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0864" w14:textId="63693D5D" w:rsidR="00C005F4" w:rsidRDefault="00B77321" w:rsidP="00C005F4">
      <w:pPr>
        <w:pStyle w:val="Heading1"/>
      </w:pPr>
      <w:r w:rsidRPr="00C541AC">
        <w:t xml:space="preserve">Appendix D: Tax </w:t>
      </w:r>
      <w:r>
        <w:t>E</w:t>
      </w:r>
      <w:r w:rsidRPr="00C541AC">
        <w:t>xpenditures</w:t>
      </w:r>
    </w:p>
    <w:p w14:paraId="2F405128" w14:textId="1EF4EECE" w:rsidR="003B44B4" w:rsidRPr="00433015" w:rsidRDefault="003B44B4" w:rsidP="003B44B4">
      <w:r w:rsidRPr="00433015">
        <w:t xml:space="preserve">This appendix contains an overview of Australian Government tax expenditures. </w:t>
      </w:r>
      <w:r w:rsidR="00D812D2">
        <w:br/>
      </w:r>
      <w:r w:rsidRPr="00433015">
        <w:t xml:space="preserve">Section 12 of the </w:t>
      </w:r>
      <w:r w:rsidRPr="008E64FC">
        <w:rPr>
          <w:rStyle w:val="Emphasis"/>
        </w:rPr>
        <w:t>Charter of Budget Honesty Act 1998</w:t>
      </w:r>
      <w:r w:rsidRPr="00433015">
        <w:t xml:space="preserve"> requires the publication of an overview of estimated tax expenditures. </w:t>
      </w:r>
    </w:p>
    <w:p w14:paraId="51763A6E" w14:textId="04D67920" w:rsidR="003B44B4" w:rsidRPr="00433015" w:rsidRDefault="00A17FC1" w:rsidP="003B44B4">
      <w:r>
        <w:t>The</w:t>
      </w:r>
      <w:r w:rsidR="003B44B4" w:rsidRPr="00433015">
        <w:t xml:space="preserve"> Tax Expenditures and Insights Statement</w:t>
      </w:r>
      <w:r w:rsidR="00D812D2" w:rsidRPr="00433015">
        <w:t> </w:t>
      </w:r>
      <w:r w:rsidR="003B44B4" w:rsidRPr="00433015">
        <w:t xml:space="preserve">(TEIS) provides an estimate of the revenue forgone from tax expenditures, along with distributional analysis on large tax expenditures and commonly utilised features of the tax system. </w:t>
      </w:r>
    </w:p>
    <w:p w14:paraId="3FAC7211" w14:textId="77777777" w:rsidR="003B44B4" w:rsidRPr="00433015" w:rsidRDefault="003B44B4" w:rsidP="003B44B4">
      <w:r w:rsidRPr="00433015">
        <w:t>Tax benchmarks represent a standard tax treatment that applies to similar taxpayers or types of activities. Policy approaches can apply a tax treatment different from a standard approach, which can give rise to positive or negative tax expenditures. The choice of benchmark unavoidably involves some judgment.</w:t>
      </w:r>
    </w:p>
    <w:p w14:paraId="55A0C36D" w14:textId="51D5B27D" w:rsidR="003B44B4" w:rsidRPr="00433015" w:rsidRDefault="003B44B4" w:rsidP="003B44B4">
      <w:r w:rsidRPr="00433015">
        <w:t>Consistent with most OECD countries, estimates of tax expenditures reflect the extent to which they are used, similar to Budget estimates of outlays on demand</w:t>
      </w:r>
      <w:r w:rsidR="008571AB">
        <w:noBreakHyphen/>
      </w:r>
      <w:r w:rsidRPr="00433015">
        <w:t xml:space="preserve">driven expenditure programs. This is known as the </w:t>
      </w:r>
      <w:r w:rsidR="008571AB">
        <w:t>‘</w:t>
      </w:r>
      <w:r w:rsidRPr="00433015">
        <w:t>revenue forgone</w:t>
      </w:r>
      <w:r w:rsidR="008571AB">
        <w:t>’</w:t>
      </w:r>
      <w:r w:rsidRPr="00433015">
        <w:t xml:space="preserve"> approach which, in practice, involves estimating the difference in revenue between the actual and benchmark tax treatments but, importantly, assuming taxpayer behaviour is the same in each circumstance. Revenue forgone estimates therefore do not indicate the revenue gain to the Budget if a specific tax expenditure was abolished through policy change, as there may be significant changes in taxpayer behaviour.</w:t>
      </w:r>
    </w:p>
    <w:p w14:paraId="137610DB" w14:textId="41784201" w:rsidR="003B44B4" w:rsidRPr="00433015" w:rsidRDefault="003B44B4" w:rsidP="003B44B4">
      <w:r w:rsidRPr="00433015">
        <w:t>Care needs to be taken when comparing tax expenditures with direct expenditures as they may measure different things. In addition, estimates from different editions of previously released Statements are generally not directly comparable, because of changes or modifications to</w:t>
      </w:r>
      <w:r w:rsidR="00B64635">
        <w:t xml:space="preserve"> – </w:t>
      </w:r>
      <w:r w:rsidRPr="00433015">
        <w:t xml:space="preserve">for </w:t>
      </w:r>
      <w:r w:rsidR="00B64635">
        <w:t xml:space="preserve">example – </w:t>
      </w:r>
      <w:r w:rsidRPr="00433015">
        <w:t>benchmarks, individual tax expenditures, data used or modelling methodology.</w:t>
      </w:r>
    </w:p>
    <w:p w14:paraId="1E0BC99E" w14:textId="2480CC51" w:rsidR="003B44B4" w:rsidRPr="00433015" w:rsidRDefault="003B44B4" w:rsidP="003B44B4">
      <w:r w:rsidRPr="00433015">
        <w:t>Table </w:t>
      </w:r>
      <w:r w:rsidR="00F5114D">
        <w:t>D</w:t>
      </w:r>
      <w:r w:rsidRPr="00433015">
        <w:t xml:space="preserve">.1 lists the largest measured tax expenditures for </w:t>
      </w:r>
      <w:r w:rsidR="00A86707">
        <w:t>2024</w:t>
      </w:r>
      <w:r w:rsidR="00A86707" w:rsidRPr="00433015">
        <w:t>–</w:t>
      </w:r>
      <w:r w:rsidR="00A86707">
        <w:t>25</w:t>
      </w:r>
      <w:r w:rsidRPr="00433015">
        <w:t xml:space="preserve"> and several personal deduction categories. It is based on economic parameters as at the publication of</w:t>
      </w:r>
      <w:r w:rsidR="00F5114D">
        <w:t xml:space="preserve"> </w:t>
      </w:r>
      <w:r w:rsidRPr="00433015">
        <w:t>MYEFO.</w:t>
      </w:r>
      <w:r w:rsidR="00397DEB">
        <w:t xml:space="preserve"> </w:t>
      </w:r>
      <w:r w:rsidRPr="00433015">
        <w:t>The items in the deductions category are not tax expenditures so they do not result in forgone revenue against the benchmark. However, the difference between tax paid with the deduction and tax that would have been paid if the deduction was not claimed has been included in Table </w:t>
      </w:r>
      <w:r w:rsidR="003521A1">
        <w:t>D</w:t>
      </w:r>
      <w:r w:rsidRPr="00433015">
        <w:t xml:space="preserve">.1 for comparison purposes. </w:t>
      </w:r>
      <w:r w:rsidR="003445B5" w:rsidRPr="00433015">
        <w:t>The TEIS is not a statement of policy intent.</w:t>
      </w:r>
    </w:p>
    <w:p w14:paraId="2F88AF48" w14:textId="1F3FA59F" w:rsidR="00656E82" w:rsidRPr="0037621D" w:rsidRDefault="00656E82" w:rsidP="00656E82">
      <w:r w:rsidRPr="0037621D">
        <w:br w:type="page"/>
      </w:r>
    </w:p>
    <w:p w14:paraId="27B68192" w14:textId="166EDEC9" w:rsidR="00924402" w:rsidRDefault="00656E82" w:rsidP="00924402">
      <w:pPr>
        <w:pStyle w:val="TableHeading"/>
        <w:rPr>
          <w:rFonts w:asciiTheme="minorHAnsi" w:eastAsiaTheme="minorHAnsi" w:hAnsiTheme="minorHAnsi" w:cstheme="minorBidi"/>
          <w:b w:val="0"/>
          <w:sz w:val="22"/>
          <w:szCs w:val="22"/>
          <w:lang w:eastAsia="en-US"/>
        </w:rPr>
      </w:pPr>
      <w:r w:rsidRPr="00C541AC">
        <w:lastRenderedPageBreak/>
        <w:t xml:space="preserve">Table D.1: Estimates of large measured tax expenditures and </w:t>
      </w:r>
      <w:r w:rsidR="00B6145B">
        <w:t>deduction</w:t>
      </w:r>
      <w:r w:rsidR="0048610E">
        <w:t>s</w:t>
      </w:r>
    </w:p>
    <w:tbl>
      <w:tblPr>
        <w:tblW w:w="5000" w:type="pct"/>
        <w:tblCellMar>
          <w:left w:w="0" w:type="dxa"/>
          <w:right w:w="28" w:type="dxa"/>
        </w:tblCellMar>
        <w:tblLook w:val="04A0" w:firstRow="1" w:lastRow="0" w:firstColumn="1" w:lastColumn="0" w:noHBand="0" w:noVBand="1"/>
      </w:tblPr>
      <w:tblGrid>
        <w:gridCol w:w="829"/>
        <w:gridCol w:w="540"/>
        <w:gridCol w:w="3738"/>
        <w:gridCol w:w="814"/>
        <w:gridCol w:w="913"/>
        <w:gridCol w:w="876"/>
      </w:tblGrid>
      <w:tr w:rsidR="00924402" w:rsidRPr="00924402" w14:paraId="108C5B64" w14:textId="77777777" w:rsidTr="002C51D9">
        <w:trPr>
          <w:trHeight w:hRule="exact" w:val="1037"/>
        </w:trPr>
        <w:tc>
          <w:tcPr>
            <w:tcW w:w="538" w:type="pct"/>
            <w:tcBorders>
              <w:top w:val="single" w:sz="4" w:space="0" w:color="293F5B"/>
              <w:left w:val="nil"/>
              <w:bottom w:val="single" w:sz="4" w:space="0" w:color="293F5B"/>
              <w:right w:val="nil"/>
            </w:tcBorders>
            <w:shd w:val="clear" w:color="auto" w:fill="auto"/>
            <w:vAlign w:val="center"/>
            <w:hideMark/>
          </w:tcPr>
          <w:p w14:paraId="13FF5C58" w14:textId="6B4741DC" w:rsidR="00924402" w:rsidRPr="00924402" w:rsidRDefault="00924402" w:rsidP="00180CD6">
            <w:pPr>
              <w:spacing w:before="0" w:after="0" w:line="240" w:lineRule="auto"/>
              <w:rPr>
                <w:rFonts w:ascii="Arial" w:hAnsi="Arial" w:cs="Arial"/>
                <w:b/>
                <w:bCs/>
                <w:color w:val="000000"/>
                <w:sz w:val="16"/>
                <w:szCs w:val="16"/>
              </w:rPr>
            </w:pPr>
            <w:r w:rsidRPr="00924402">
              <w:rPr>
                <w:rFonts w:ascii="Arial" w:hAnsi="Arial" w:cs="Arial"/>
                <w:b/>
                <w:bCs/>
                <w:color w:val="000000"/>
                <w:sz w:val="16"/>
                <w:szCs w:val="16"/>
              </w:rPr>
              <w:t>Tax type</w:t>
            </w:r>
            <w:r w:rsidRPr="00924402">
              <w:rPr>
                <w:rFonts w:ascii="Arial" w:hAnsi="Arial" w:cs="Arial"/>
                <w:b/>
                <w:bCs/>
                <w:color w:val="000000"/>
                <w:sz w:val="16"/>
                <w:szCs w:val="16"/>
              </w:rPr>
              <w:br/>
              <w:t>affected</w:t>
            </w:r>
          </w:p>
        </w:tc>
        <w:tc>
          <w:tcPr>
            <w:tcW w:w="350" w:type="pct"/>
            <w:tcBorders>
              <w:top w:val="single" w:sz="4" w:space="0" w:color="293F5B"/>
              <w:left w:val="nil"/>
              <w:bottom w:val="single" w:sz="4" w:space="0" w:color="293F5B"/>
              <w:right w:val="nil"/>
            </w:tcBorders>
            <w:shd w:val="clear" w:color="auto" w:fill="auto"/>
            <w:vAlign w:val="center"/>
            <w:hideMark/>
          </w:tcPr>
          <w:p w14:paraId="468669E5" w14:textId="77777777" w:rsidR="00924402" w:rsidRPr="00180CD6" w:rsidRDefault="00924402" w:rsidP="00180CD6">
            <w:pPr>
              <w:spacing w:before="0" w:after="0" w:line="240" w:lineRule="auto"/>
              <w:rPr>
                <w:rFonts w:ascii="Arial" w:hAnsi="Arial" w:cs="Arial"/>
                <w:b/>
                <w:bCs/>
                <w:color w:val="000000"/>
                <w:sz w:val="16"/>
                <w:szCs w:val="16"/>
              </w:rPr>
            </w:pPr>
            <w:r w:rsidRPr="00180CD6">
              <w:rPr>
                <w:rFonts w:ascii="Arial" w:hAnsi="Arial" w:cs="Arial"/>
                <w:b/>
                <w:bCs/>
                <w:color w:val="000000"/>
                <w:sz w:val="16"/>
                <w:szCs w:val="16"/>
              </w:rPr>
              <w:t>Code</w:t>
            </w:r>
          </w:p>
        </w:tc>
        <w:tc>
          <w:tcPr>
            <w:tcW w:w="2424" w:type="pct"/>
            <w:tcBorders>
              <w:top w:val="single" w:sz="4" w:space="0" w:color="293F5B"/>
              <w:left w:val="nil"/>
              <w:bottom w:val="single" w:sz="4" w:space="0" w:color="293F5B"/>
              <w:right w:val="nil"/>
            </w:tcBorders>
            <w:shd w:val="clear" w:color="auto" w:fill="auto"/>
            <w:vAlign w:val="center"/>
            <w:hideMark/>
          </w:tcPr>
          <w:p w14:paraId="2D994C6F" w14:textId="77777777" w:rsidR="00924402" w:rsidRPr="00180CD6" w:rsidRDefault="00924402" w:rsidP="00180CD6">
            <w:pPr>
              <w:spacing w:before="0" w:after="0" w:line="240" w:lineRule="auto"/>
              <w:rPr>
                <w:rFonts w:ascii="Arial" w:hAnsi="Arial" w:cs="Arial"/>
                <w:b/>
                <w:bCs/>
                <w:color w:val="000000"/>
                <w:sz w:val="16"/>
                <w:szCs w:val="16"/>
              </w:rPr>
            </w:pPr>
            <w:r w:rsidRPr="00180CD6">
              <w:rPr>
                <w:rFonts w:ascii="Arial" w:hAnsi="Arial" w:cs="Arial"/>
                <w:b/>
                <w:bCs/>
                <w:color w:val="000000"/>
                <w:sz w:val="16"/>
                <w:szCs w:val="16"/>
              </w:rPr>
              <w:t>Title</w:t>
            </w:r>
          </w:p>
        </w:tc>
        <w:tc>
          <w:tcPr>
            <w:tcW w:w="528" w:type="pct"/>
            <w:tcBorders>
              <w:top w:val="single" w:sz="4" w:space="0" w:color="293F5B"/>
              <w:left w:val="nil"/>
              <w:bottom w:val="single" w:sz="4" w:space="0" w:color="293F5B"/>
              <w:right w:val="nil"/>
            </w:tcBorders>
            <w:shd w:val="clear" w:color="auto" w:fill="auto"/>
            <w:vAlign w:val="center"/>
            <w:hideMark/>
          </w:tcPr>
          <w:p w14:paraId="6D161AC9" w14:textId="7FE0DB58" w:rsidR="00924402" w:rsidRPr="00180CD6" w:rsidRDefault="00924402" w:rsidP="00180CD6">
            <w:pPr>
              <w:spacing w:before="0" w:after="0" w:line="240" w:lineRule="auto"/>
              <w:jc w:val="right"/>
              <w:rPr>
                <w:rFonts w:ascii="Arial" w:hAnsi="Arial" w:cs="Arial"/>
                <w:b/>
                <w:bCs/>
                <w:color w:val="000000"/>
                <w:sz w:val="16"/>
                <w:szCs w:val="16"/>
              </w:rPr>
            </w:pPr>
            <w:r w:rsidRPr="00180CD6">
              <w:rPr>
                <w:rFonts w:ascii="Arial" w:hAnsi="Arial" w:cs="Arial"/>
                <w:b/>
                <w:bCs/>
                <w:color w:val="000000"/>
                <w:sz w:val="16"/>
                <w:szCs w:val="16"/>
              </w:rPr>
              <w:t xml:space="preserve">Revenue </w:t>
            </w:r>
            <w:r w:rsidRPr="00180CD6">
              <w:rPr>
                <w:rFonts w:ascii="Arial" w:hAnsi="Arial" w:cs="Arial"/>
                <w:b/>
                <w:bCs/>
                <w:color w:val="000000"/>
                <w:sz w:val="16"/>
                <w:szCs w:val="16"/>
              </w:rPr>
              <w:br/>
              <w:t xml:space="preserve">forgone </w:t>
            </w:r>
            <w:r w:rsidRPr="00180CD6">
              <w:rPr>
                <w:rFonts w:ascii="Arial" w:hAnsi="Arial" w:cs="Arial"/>
                <w:b/>
                <w:bCs/>
                <w:color w:val="000000"/>
                <w:sz w:val="16"/>
                <w:szCs w:val="16"/>
              </w:rPr>
              <w:br/>
              <w:t>2024</w:t>
            </w:r>
            <w:r w:rsidR="008571AB">
              <w:rPr>
                <w:rFonts w:ascii="Arial" w:hAnsi="Arial" w:cs="Arial"/>
                <w:b/>
                <w:bCs/>
                <w:color w:val="000000"/>
                <w:sz w:val="16"/>
                <w:szCs w:val="16"/>
              </w:rPr>
              <w:noBreakHyphen/>
            </w:r>
            <w:r w:rsidRPr="00180CD6">
              <w:rPr>
                <w:rFonts w:ascii="Arial" w:hAnsi="Arial" w:cs="Arial"/>
                <w:b/>
                <w:bCs/>
                <w:color w:val="000000"/>
                <w:sz w:val="16"/>
                <w:szCs w:val="16"/>
              </w:rPr>
              <w:t>25</w:t>
            </w:r>
            <w:r w:rsidRPr="00180CD6">
              <w:rPr>
                <w:rFonts w:ascii="Arial" w:hAnsi="Arial" w:cs="Arial"/>
                <w:b/>
                <w:bCs/>
                <w:color w:val="000000"/>
                <w:sz w:val="16"/>
                <w:szCs w:val="16"/>
              </w:rPr>
              <w:br/>
              <w:t>($m)*</w:t>
            </w:r>
          </w:p>
        </w:tc>
        <w:tc>
          <w:tcPr>
            <w:tcW w:w="592" w:type="pct"/>
            <w:tcBorders>
              <w:top w:val="single" w:sz="4" w:space="0" w:color="293F5B"/>
              <w:left w:val="nil"/>
              <w:bottom w:val="single" w:sz="4" w:space="0" w:color="293F5B"/>
              <w:right w:val="nil"/>
            </w:tcBorders>
            <w:shd w:val="clear" w:color="auto" w:fill="auto"/>
            <w:vAlign w:val="center"/>
            <w:hideMark/>
          </w:tcPr>
          <w:p w14:paraId="040E7068" w14:textId="38CE739C" w:rsidR="00924402" w:rsidRPr="00180CD6" w:rsidRDefault="00924402" w:rsidP="00180CD6">
            <w:pPr>
              <w:spacing w:before="0" w:after="0" w:line="240" w:lineRule="auto"/>
              <w:jc w:val="right"/>
              <w:rPr>
                <w:rFonts w:ascii="Arial" w:hAnsi="Arial" w:cs="Arial"/>
                <w:b/>
                <w:bCs/>
                <w:color w:val="000000"/>
                <w:sz w:val="16"/>
                <w:szCs w:val="16"/>
              </w:rPr>
            </w:pPr>
            <w:r w:rsidRPr="00180CD6">
              <w:rPr>
                <w:rFonts w:ascii="Arial" w:hAnsi="Arial" w:cs="Arial"/>
                <w:b/>
                <w:bCs/>
                <w:color w:val="000000"/>
                <w:sz w:val="16"/>
                <w:szCs w:val="16"/>
              </w:rPr>
              <w:t xml:space="preserve">Average </w:t>
            </w:r>
            <w:r w:rsidRPr="00180CD6">
              <w:rPr>
                <w:rFonts w:ascii="Arial" w:hAnsi="Arial" w:cs="Arial"/>
                <w:b/>
                <w:bCs/>
                <w:color w:val="000000"/>
                <w:sz w:val="16"/>
                <w:szCs w:val="16"/>
              </w:rPr>
              <w:br/>
              <w:t>growth</w:t>
            </w:r>
            <w:r w:rsidRPr="00180CD6">
              <w:rPr>
                <w:rFonts w:ascii="Arial" w:hAnsi="Arial" w:cs="Arial"/>
                <w:b/>
                <w:bCs/>
                <w:color w:val="000000"/>
                <w:sz w:val="16"/>
                <w:szCs w:val="16"/>
              </w:rPr>
              <w:br/>
              <w:t>2020</w:t>
            </w:r>
            <w:r w:rsidR="008571AB">
              <w:rPr>
                <w:rFonts w:ascii="Arial" w:hAnsi="Arial" w:cs="Arial"/>
                <w:b/>
                <w:bCs/>
                <w:color w:val="000000"/>
                <w:sz w:val="16"/>
                <w:szCs w:val="16"/>
              </w:rPr>
              <w:noBreakHyphen/>
            </w:r>
            <w:r w:rsidRPr="00180CD6">
              <w:rPr>
                <w:rFonts w:ascii="Arial" w:hAnsi="Arial" w:cs="Arial"/>
                <w:b/>
                <w:bCs/>
                <w:color w:val="000000"/>
                <w:sz w:val="16"/>
                <w:szCs w:val="16"/>
              </w:rPr>
              <w:t>21 to</w:t>
            </w:r>
            <w:r w:rsidRPr="00180CD6">
              <w:rPr>
                <w:rFonts w:ascii="Arial" w:hAnsi="Arial" w:cs="Arial"/>
                <w:b/>
                <w:bCs/>
                <w:color w:val="000000"/>
                <w:sz w:val="16"/>
                <w:szCs w:val="16"/>
              </w:rPr>
              <w:br/>
              <w:t>2023</w:t>
            </w:r>
            <w:r w:rsidR="008571AB">
              <w:rPr>
                <w:rFonts w:ascii="Arial" w:hAnsi="Arial" w:cs="Arial"/>
                <w:b/>
                <w:bCs/>
                <w:color w:val="000000"/>
                <w:sz w:val="16"/>
                <w:szCs w:val="16"/>
              </w:rPr>
              <w:noBreakHyphen/>
            </w:r>
            <w:r w:rsidRPr="00180CD6">
              <w:rPr>
                <w:rFonts w:ascii="Arial" w:hAnsi="Arial" w:cs="Arial"/>
                <w:b/>
                <w:bCs/>
                <w:color w:val="000000"/>
                <w:sz w:val="16"/>
                <w:szCs w:val="16"/>
              </w:rPr>
              <w:t>24</w:t>
            </w:r>
            <w:r w:rsidRPr="00180CD6">
              <w:rPr>
                <w:rFonts w:ascii="Arial" w:hAnsi="Arial" w:cs="Arial"/>
                <w:b/>
                <w:bCs/>
                <w:color w:val="000000"/>
                <w:sz w:val="16"/>
                <w:szCs w:val="16"/>
              </w:rPr>
              <w:br/>
              <w:t>(%)</w:t>
            </w:r>
          </w:p>
        </w:tc>
        <w:tc>
          <w:tcPr>
            <w:tcW w:w="568" w:type="pct"/>
            <w:tcBorders>
              <w:top w:val="single" w:sz="4" w:space="0" w:color="293F5B"/>
              <w:left w:val="nil"/>
              <w:bottom w:val="single" w:sz="4" w:space="0" w:color="293F5B"/>
              <w:right w:val="nil"/>
            </w:tcBorders>
            <w:shd w:val="clear" w:color="auto" w:fill="auto"/>
            <w:vAlign w:val="center"/>
            <w:hideMark/>
          </w:tcPr>
          <w:p w14:paraId="38FB0219" w14:textId="77777777" w:rsidR="00924402" w:rsidRPr="00180CD6" w:rsidRDefault="00924402" w:rsidP="00180CD6">
            <w:pPr>
              <w:spacing w:before="0" w:after="0" w:line="240" w:lineRule="auto"/>
              <w:jc w:val="right"/>
              <w:rPr>
                <w:rFonts w:ascii="Arial" w:hAnsi="Arial" w:cs="Arial"/>
                <w:b/>
                <w:bCs/>
                <w:color w:val="000000"/>
                <w:sz w:val="16"/>
                <w:szCs w:val="16"/>
              </w:rPr>
            </w:pPr>
            <w:r w:rsidRPr="00180CD6">
              <w:rPr>
                <w:rFonts w:ascii="Arial" w:hAnsi="Arial" w:cs="Arial"/>
                <w:b/>
                <w:bCs/>
                <w:color w:val="000000"/>
                <w:sz w:val="16"/>
                <w:szCs w:val="16"/>
              </w:rPr>
              <w:t xml:space="preserve">Average projected </w:t>
            </w:r>
            <w:r w:rsidRPr="00180CD6">
              <w:rPr>
                <w:rFonts w:ascii="Arial" w:hAnsi="Arial" w:cs="Arial"/>
                <w:b/>
                <w:bCs/>
                <w:color w:val="000000"/>
                <w:sz w:val="16"/>
                <w:szCs w:val="16"/>
              </w:rPr>
              <w:br/>
              <w:t xml:space="preserve">growth over </w:t>
            </w:r>
            <w:r w:rsidRPr="00180CD6">
              <w:rPr>
                <w:rFonts w:ascii="Arial" w:hAnsi="Arial" w:cs="Arial"/>
                <w:b/>
                <w:bCs/>
                <w:color w:val="000000"/>
                <w:sz w:val="16"/>
                <w:szCs w:val="16"/>
              </w:rPr>
              <w:br/>
              <w:t>FEs (%)</w:t>
            </w:r>
          </w:p>
        </w:tc>
      </w:tr>
      <w:tr w:rsidR="00924402" w:rsidRPr="00924402" w14:paraId="26E6A146" w14:textId="77777777" w:rsidTr="00E36D9B">
        <w:trPr>
          <w:trHeight w:hRule="exact" w:val="300"/>
        </w:trPr>
        <w:tc>
          <w:tcPr>
            <w:tcW w:w="3312" w:type="pct"/>
            <w:gridSpan w:val="3"/>
            <w:tcBorders>
              <w:top w:val="single" w:sz="4" w:space="0" w:color="293F5B"/>
              <w:left w:val="nil"/>
              <w:bottom w:val="nil"/>
              <w:right w:val="nil"/>
            </w:tcBorders>
            <w:shd w:val="clear" w:color="auto" w:fill="auto"/>
            <w:vAlign w:val="center"/>
            <w:hideMark/>
          </w:tcPr>
          <w:p w14:paraId="739ACACA" w14:textId="77777777" w:rsidR="00924402" w:rsidRPr="00180CD6" w:rsidRDefault="00924402" w:rsidP="00180CD6">
            <w:pPr>
              <w:spacing w:before="0" w:after="0" w:line="240" w:lineRule="auto"/>
              <w:rPr>
                <w:rFonts w:ascii="Arial" w:hAnsi="Arial" w:cs="Arial"/>
                <w:b/>
                <w:bCs/>
                <w:color w:val="000000"/>
                <w:sz w:val="16"/>
                <w:szCs w:val="16"/>
              </w:rPr>
            </w:pPr>
            <w:r w:rsidRPr="00180CD6">
              <w:rPr>
                <w:rFonts w:ascii="Arial" w:hAnsi="Arial" w:cs="Arial"/>
                <w:b/>
                <w:bCs/>
                <w:color w:val="000000"/>
                <w:sz w:val="16"/>
                <w:szCs w:val="16"/>
              </w:rPr>
              <w:t>Positive tax expenditures and deductions</w:t>
            </w:r>
          </w:p>
        </w:tc>
        <w:tc>
          <w:tcPr>
            <w:tcW w:w="1688" w:type="pct"/>
            <w:gridSpan w:val="3"/>
            <w:tcBorders>
              <w:top w:val="single" w:sz="4" w:space="0" w:color="293F5B"/>
              <w:left w:val="nil"/>
              <w:bottom w:val="nil"/>
              <w:right w:val="nil"/>
            </w:tcBorders>
            <w:shd w:val="clear" w:color="auto" w:fill="auto"/>
            <w:vAlign w:val="center"/>
            <w:hideMark/>
          </w:tcPr>
          <w:p w14:paraId="1462A1D2" w14:textId="77777777" w:rsidR="00924402" w:rsidRPr="00180CD6" w:rsidRDefault="00924402" w:rsidP="00180CD6">
            <w:pPr>
              <w:spacing w:before="0" w:after="0" w:line="240" w:lineRule="auto"/>
              <w:jc w:val="both"/>
              <w:rPr>
                <w:rFonts w:cs="Calibri"/>
                <w:color w:val="000000"/>
                <w:sz w:val="20"/>
              </w:rPr>
            </w:pPr>
            <w:r w:rsidRPr="00180CD6">
              <w:rPr>
                <w:rFonts w:cs="Calibri"/>
                <w:color w:val="000000"/>
                <w:sz w:val="20"/>
              </w:rPr>
              <w:t> </w:t>
            </w:r>
          </w:p>
        </w:tc>
      </w:tr>
      <w:tr w:rsidR="00924402" w:rsidRPr="00924402" w14:paraId="3374AC6A" w14:textId="77777777" w:rsidTr="00E36D9B">
        <w:trPr>
          <w:trHeight w:hRule="exact" w:val="450"/>
        </w:trPr>
        <w:tc>
          <w:tcPr>
            <w:tcW w:w="538" w:type="pct"/>
            <w:tcBorders>
              <w:top w:val="nil"/>
              <w:left w:val="nil"/>
              <w:bottom w:val="nil"/>
              <w:right w:val="nil"/>
            </w:tcBorders>
            <w:shd w:val="clear" w:color="auto" w:fill="auto"/>
            <w:vAlign w:val="center"/>
            <w:hideMark/>
          </w:tcPr>
          <w:p w14:paraId="78C5C5C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Super</w:t>
            </w:r>
          </w:p>
        </w:tc>
        <w:tc>
          <w:tcPr>
            <w:tcW w:w="350" w:type="pct"/>
            <w:tcBorders>
              <w:top w:val="nil"/>
              <w:left w:val="nil"/>
              <w:bottom w:val="nil"/>
              <w:right w:val="nil"/>
            </w:tcBorders>
            <w:shd w:val="clear" w:color="auto" w:fill="auto"/>
            <w:vAlign w:val="center"/>
            <w:hideMark/>
          </w:tcPr>
          <w:p w14:paraId="564265B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C2</w:t>
            </w:r>
          </w:p>
        </w:tc>
        <w:tc>
          <w:tcPr>
            <w:tcW w:w="2424" w:type="pct"/>
            <w:tcBorders>
              <w:top w:val="nil"/>
              <w:left w:val="nil"/>
              <w:bottom w:val="nil"/>
              <w:right w:val="nil"/>
            </w:tcBorders>
            <w:shd w:val="clear" w:color="auto" w:fill="auto"/>
            <w:vAlign w:val="center"/>
            <w:hideMark/>
          </w:tcPr>
          <w:p w14:paraId="4C44533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Concessional taxation of employer superannuation contributions</w:t>
            </w:r>
          </w:p>
        </w:tc>
        <w:tc>
          <w:tcPr>
            <w:tcW w:w="528" w:type="pct"/>
            <w:tcBorders>
              <w:top w:val="nil"/>
              <w:left w:val="nil"/>
              <w:bottom w:val="nil"/>
              <w:right w:val="nil"/>
            </w:tcBorders>
            <w:shd w:val="clear" w:color="auto" w:fill="auto"/>
            <w:vAlign w:val="center"/>
            <w:hideMark/>
          </w:tcPr>
          <w:p w14:paraId="7439B1A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29,150</w:t>
            </w:r>
          </w:p>
        </w:tc>
        <w:tc>
          <w:tcPr>
            <w:tcW w:w="592" w:type="pct"/>
            <w:tcBorders>
              <w:top w:val="nil"/>
              <w:left w:val="nil"/>
              <w:bottom w:val="nil"/>
              <w:right w:val="nil"/>
            </w:tcBorders>
            <w:shd w:val="clear" w:color="auto" w:fill="auto"/>
            <w:vAlign w:val="center"/>
            <w:hideMark/>
          </w:tcPr>
          <w:p w14:paraId="646269B4"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14.2</w:t>
            </w:r>
          </w:p>
        </w:tc>
        <w:tc>
          <w:tcPr>
            <w:tcW w:w="568" w:type="pct"/>
            <w:tcBorders>
              <w:top w:val="nil"/>
              <w:left w:val="nil"/>
              <w:bottom w:val="nil"/>
              <w:right w:val="nil"/>
            </w:tcBorders>
            <w:shd w:val="clear" w:color="auto" w:fill="auto"/>
            <w:vAlign w:val="center"/>
            <w:hideMark/>
          </w:tcPr>
          <w:p w14:paraId="2E7E0438"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4.1</w:t>
            </w:r>
          </w:p>
        </w:tc>
      </w:tr>
      <w:tr w:rsidR="00E956F3" w:rsidRPr="00924402" w14:paraId="2048492F" w14:textId="77777777" w:rsidTr="00E36D9B">
        <w:trPr>
          <w:trHeight w:hRule="exact" w:val="300"/>
        </w:trPr>
        <w:tc>
          <w:tcPr>
            <w:tcW w:w="538" w:type="pct"/>
            <w:tcBorders>
              <w:top w:val="nil"/>
              <w:left w:val="nil"/>
              <w:bottom w:val="nil"/>
              <w:right w:val="nil"/>
            </w:tcBorders>
            <w:shd w:val="clear" w:color="auto" w:fill="auto"/>
            <w:vAlign w:val="center"/>
            <w:hideMark/>
          </w:tcPr>
          <w:p w14:paraId="1E0730B5" w14:textId="77777777" w:rsidR="00E956F3" w:rsidRPr="00180CD6" w:rsidRDefault="00E956F3" w:rsidP="00E956F3">
            <w:pPr>
              <w:spacing w:before="0" w:after="0" w:line="240" w:lineRule="auto"/>
              <w:rPr>
                <w:rFonts w:ascii="Arial" w:hAnsi="Arial" w:cs="Arial"/>
                <w:color w:val="000000"/>
                <w:sz w:val="16"/>
                <w:szCs w:val="16"/>
              </w:rPr>
            </w:pPr>
            <w:r w:rsidRPr="00180CD6">
              <w:rPr>
                <w:rFonts w:ascii="Arial" w:hAnsi="Arial" w:cs="Arial"/>
                <w:color w:val="000000"/>
                <w:sz w:val="16"/>
                <w:szCs w:val="16"/>
              </w:rPr>
              <w:t>CGT</w:t>
            </w:r>
          </w:p>
        </w:tc>
        <w:tc>
          <w:tcPr>
            <w:tcW w:w="350" w:type="pct"/>
            <w:tcBorders>
              <w:top w:val="nil"/>
              <w:left w:val="nil"/>
              <w:bottom w:val="nil"/>
              <w:right w:val="nil"/>
            </w:tcBorders>
            <w:shd w:val="clear" w:color="auto" w:fill="auto"/>
            <w:vAlign w:val="center"/>
            <w:hideMark/>
          </w:tcPr>
          <w:p w14:paraId="14E44D33" w14:textId="77777777" w:rsidR="00E956F3" w:rsidRPr="00180CD6" w:rsidRDefault="00E956F3" w:rsidP="00E956F3">
            <w:pPr>
              <w:spacing w:before="0" w:after="0" w:line="240" w:lineRule="auto"/>
              <w:rPr>
                <w:rFonts w:ascii="Arial" w:hAnsi="Arial" w:cs="Arial"/>
                <w:color w:val="000000"/>
                <w:sz w:val="16"/>
                <w:szCs w:val="16"/>
              </w:rPr>
            </w:pPr>
            <w:r w:rsidRPr="00180CD6">
              <w:rPr>
                <w:rFonts w:ascii="Arial" w:hAnsi="Arial" w:cs="Arial"/>
                <w:color w:val="000000"/>
                <w:sz w:val="16"/>
                <w:szCs w:val="16"/>
              </w:rPr>
              <w:t>E8</w:t>
            </w:r>
          </w:p>
        </w:tc>
        <w:tc>
          <w:tcPr>
            <w:tcW w:w="2424" w:type="pct"/>
            <w:tcBorders>
              <w:top w:val="nil"/>
              <w:left w:val="nil"/>
              <w:bottom w:val="nil"/>
              <w:right w:val="nil"/>
            </w:tcBorders>
            <w:shd w:val="clear" w:color="auto" w:fill="auto"/>
            <w:vAlign w:val="center"/>
            <w:hideMark/>
          </w:tcPr>
          <w:p w14:paraId="15724EE8" w14:textId="77777777" w:rsidR="00E956F3" w:rsidRPr="00180CD6" w:rsidRDefault="00E956F3" w:rsidP="00E956F3">
            <w:pPr>
              <w:spacing w:before="0" w:after="0" w:line="240" w:lineRule="auto"/>
              <w:rPr>
                <w:rFonts w:ascii="Arial" w:hAnsi="Arial" w:cs="Arial"/>
                <w:color w:val="000000"/>
                <w:sz w:val="16"/>
                <w:szCs w:val="16"/>
              </w:rPr>
            </w:pPr>
            <w:r w:rsidRPr="00180CD6">
              <w:rPr>
                <w:rFonts w:ascii="Arial" w:hAnsi="Arial" w:cs="Arial"/>
                <w:color w:val="000000"/>
                <w:sz w:val="16"/>
                <w:szCs w:val="16"/>
              </w:rPr>
              <w:t>Main residence exemption – discount component</w:t>
            </w:r>
          </w:p>
        </w:tc>
        <w:tc>
          <w:tcPr>
            <w:tcW w:w="528" w:type="pct"/>
            <w:tcBorders>
              <w:top w:val="nil"/>
              <w:left w:val="nil"/>
              <w:bottom w:val="nil"/>
              <w:right w:val="nil"/>
            </w:tcBorders>
            <w:shd w:val="clear" w:color="auto" w:fill="auto"/>
            <w:vAlign w:val="center"/>
            <w:hideMark/>
          </w:tcPr>
          <w:p w14:paraId="5D49E8A8" w14:textId="77777777" w:rsidR="00E956F3" w:rsidRPr="00180CD6" w:rsidRDefault="00E956F3" w:rsidP="00E956F3">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27,000</w:t>
            </w:r>
          </w:p>
        </w:tc>
        <w:tc>
          <w:tcPr>
            <w:tcW w:w="592" w:type="pct"/>
            <w:tcBorders>
              <w:top w:val="nil"/>
              <w:left w:val="nil"/>
              <w:bottom w:val="nil"/>
              <w:right w:val="nil"/>
            </w:tcBorders>
            <w:shd w:val="clear" w:color="auto" w:fill="auto"/>
            <w:vAlign w:val="center"/>
            <w:hideMark/>
          </w:tcPr>
          <w:p w14:paraId="776F4EB8" w14:textId="6258754A" w:rsidR="00E956F3" w:rsidRPr="00180CD6" w:rsidRDefault="00E956F3" w:rsidP="00E956F3">
            <w:pPr>
              <w:spacing w:before="0" w:after="0" w:line="240" w:lineRule="auto"/>
              <w:jc w:val="right"/>
              <w:rPr>
                <w:rFonts w:ascii="Arial" w:hAnsi="Arial" w:cs="Arial"/>
                <w:color w:val="000000"/>
                <w:sz w:val="16"/>
                <w:szCs w:val="16"/>
              </w:rPr>
            </w:pPr>
            <w:r w:rsidRPr="00E956F3">
              <w:rPr>
                <w:rFonts w:ascii="Arial" w:hAnsi="Arial" w:cs="Arial"/>
                <w:color w:val="000000"/>
                <w:sz w:val="16"/>
                <w:szCs w:val="16"/>
              </w:rPr>
              <w:t>18.6</w:t>
            </w:r>
          </w:p>
        </w:tc>
        <w:tc>
          <w:tcPr>
            <w:tcW w:w="568" w:type="pct"/>
            <w:tcBorders>
              <w:top w:val="nil"/>
              <w:left w:val="nil"/>
              <w:bottom w:val="nil"/>
              <w:right w:val="nil"/>
            </w:tcBorders>
            <w:shd w:val="clear" w:color="auto" w:fill="auto"/>
            <w:vAlign w:val="center"/>
            <w:hideMark/>
          </w:tcPr>
          <w:p w14:paraId="042BD2F2" w14:textId="56997AF7" w:rsidR="00E956F3" w:rsidRPr="00180CD6" w:rsidRDefault="00E956F3" w:rsidP="00E956F3">
            <w:pPr>
              <w:spacing w:before="0" w:after="0" w:line="240" w:lineRule="auto"/>
              <w:jc w:val="right"/>
              <w:rPr>
                <w:rFonts w:ascii="Arial" w:hAnsi="Arial" w:cs="Arial"/>
                <w:color w:val="000000"/>
                <w:sz w:val="16"/>
                <w:szCs w:val="16"/>
              </w:rPr>
            </w:pPr>
            <w:r w:rsidRPr="00E956F3">
              <w:rPr>
                <w:rFonts w:ascii="Arial" w:hAnsi="Arial" w:cs="Arial"/>
                <w:color w:val="000000"/>
                <w:sz w:val="16"/>
                <w:szCs w:val="16"/>
              </w:rPr>
              <w:t>8.0</w:t>
            </w:r>
          </w:p>
        </w:tc>
      </w:tr>
      <w:tr w:rsidR="003B052E" w:rsidRPr="00924402" w14:paraId="3FA3ECE3" w14:textId="77777777" w:rsidTr="00E36D9B">
        <w:trPr>
          <w:trHeight w:hRule="exact" w:val="300"/>
        </w:trPr>
        <w:tc>
          <w:tcPr>
            <w:tcW w:w="538" w:type="pct"/>
            <w:tcBorders>
              <w:top w:val="nil"/>
              <w:left w:val="nil"/>
              <w:bottom w:val="nil"/>
              <w:right w:val="nil"/>
            </w:tcBorders>
            <w:shd w:val="clear" w:color="auto" w:fill="auto"/>
            <w:vAlign w:val="center"/>
          </w:tcPr>
          <w:p w14:paraId="613AC3CE" w14:textId="7DE7DFB0" w:rsidR="003B052E" w:rsidRPr="00180CD6" w:rsidRDefault="006D187A" w:rsidP="00180CD6">
            <w:pPr>
              <w:spacing w:before="0" w:after="0" w:line="240" w:lineRule="auto"/>
              <w:rPr>
                <w:rFonts w:ascii="Arial" w:hAnsi="Arial" w:cs="Arial"/>
                <w:color w:val="000000"/>
                <w:sz w:val="16"/>
                <w:szCs w:val="16"/>
              </w:rPr>
            </w:pPr>
            <w:r>
              <w:rPr>
                <w:rFonts w:ascii="Arial" w:hAnsi="Arial" w:cs="Arial"/>
                <w:color w:val="000000"/>
                <w:sz w:val="16"/>
                <w:szCs w:val="16"/>
              </w:rPr>
              <w:t>Deductions</w:t>
            </w:r>
          </w:p>
        </w:tc>
        <w:tc>
          <w:tcPr>
            <w:tcW w:w="350" w:type="pct"/>
            <w:tcBorders>
              <w:top w:val="nil"/>
              <w:left w:val="nil"/>
              <w:bottom w:val="nil"/>
              <w:right w:val="nil"/>
            </w:tcBorders>
            <w:shd w:val="clear" w:color="auto" w:fill="auto"/>
            <w:vAlign w:val="center"/>
          </w:tcPr>
          <w:p w14:paraId="26768E41" w14:textId="77777777" w:rsidR="003B052E" w:rsidRPr="00180CD6" w:rsidRDefault="003B052E" w:rsidP="00180CD6">
            <w:pPr>
              <w:spacing w:before="0" w:after="0" w:line="240" w:lineRule="auto"/>
              <w:rPr>
                <w:rFonts w:ascii="Arial" w:hAnsi="Arial" w:cs="Arial"/>
                <w:color w:val="000000"/>
                <w:sz w:val="16"/>
                <w:szCs w:val="16"/>
              </w:rPr>
            </w:pPr>
          </w:p>
        </w:tc>
        <w:tc>
          <w:tcPr>
            <w:tcW w:w="2424" w:type="pct"/>
            <w:tcBorders>
              <w:top w:val="nil"/>
              <w:left w:val="nil"/>
              <w:bottom w:val="nil"/>
              <w:right w:val="nil"/>
            </w:tcBorders>
            <w:shd w:val="clear" w:color="auto" w:fill="auto"/>
            <w:vAlign w:val="center"/>
          </w:tcPr>
          <w:p w14:paraId="2D3C13FA" w14:textId="177C8C3F" w:rsidR="003B052E" w:rsidRPr="00180CD6" w:rsidRDefault="006D187A" w:rsidP="00180CD6">
            <w:pPr>
              <w:spacing w:before="0" w:after="0" w:line="240" w:lineRule="auto"/>
              <w:rPr>
                <w:rFonts w:ascii="Arial" w:hAnsi="Arial" w:cs="Arial"/>
                <w:color w:val="000000"/>
                <w:sz w:val="16"/>
                <w:szCs w:val="16"/>
              </w:rPr>
            </w:pPr>
            <w:r>
              <w:rPr>
                <w:rFonts w:ascii="Arial" w:hAnsi="Arial" w:cs="Arial"/>
                <w:color w:val="000000"/>
                <w:sz w:val="16"/>
                <w:szCs w:val="16"/>
              </w:rPr>
              <w:t>Rental deductions</w:t>
            </w:r>
          </w:p>
        </w:tc>
        <w:tc>
          <w:tcPr>
            <w:tcW w:w="528" w:type="pct"/>
            <w:tcBorders>
              <w:top w:val="nil"/>
              <w:left w:val="nil"/>
              <w:bottom w:val="nil"/>
              <w:right w:val="nil"/>
            </w:tcBorders>
            <w:shd w:val="clear" w:color="auto" w:fill="auto"/>
            <w:vAlign w:val="center"/>
          </w:tcPr>
          <w:p w14:paraId="74D738C8" w14:textId="18ACDEF5" w:rsidR="003B052E" w:rsidRPr="00180CD6" w:rsidRDefault="006D187A"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26,500</w:t>
            </w:r>
          </w:p>
        </w:tc>
        <w:tc>
          <w:tcPr>
            <w:tcW w:w="592" w:type="pct"/>
            <w:tcBorders>
              <w:top w:val="nil"/>
              <w:left w:val="nil"/>
              <w:bottom w:val="nil"/>
              <w:right w:val="nil"/>
            </w:tcBorders>
            <w:shd w:val="clear" w:color="auto" w:fill="auto"/>
            <w:vAlign w:val="center"/>
          </w:tcPr>
          <w:p w14:paraId="7FAA3E1F" w14:textId="05DB3F85" w:rsidR="003B052E" w:rsidRPr="00180CD6" w:rsidRDefault="006D187A"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14.4</w:t>
            </w:r>
          </w:p>
        </w:tc>
        <w:tc>
          <w:tcPr>
            <w:tcW w:w="568" w:type="pct"/>
            <w:tcBorders>
              <w:top w:val="nil"/>
              <w:left w:val="nil"/>
              <w:bottom w:val="nil"/>
              <w:right w:val="nil"/>
            </w:tcBorders>
            <w:shd w:val="clear" w:color="auto" w:fill="auto"/>
            <w:vAlign w:val="center"/>
          </w:tcPr>
          <w:p w14:paraId="411E3A00" w14:textId="2BCAAA89" w:rsidR="003B052E" w:rsidRPr="00180CD6" w:rsidRDefault="00191886"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6.1</w:t>
            </w:r>
          </w:p>
        </w:tc>
      </w:tr>
      <w:tr w:rsidR="00924402" w:rsidRPr="00924402" w14:paraId="006F665B" w14:textId="77777777" w:rsidTr="00E36D9B">
        <w:trPr>
          <w:trHeight w:hRule="exact" w:val="300"/>
        </w:trPr>
        <w:tc>
          <w:tcPr>
            <w:tcW w:w="538" w:type="pct"/>
            <w:tcBorders>
              <w:top w:val="nil"/>
              <w:left w:val="nil"/>
              <w:bottom w:val="nil"/>
              <w:right w:val="nil"/>
            </w:tcBorders>
            <w:shd w:val="clear" w:color="auto" w:fill="auto"/>
            <w:vAlign w:val="center"/>
            <w:hideMark/>
          </w:tcPr>
          <w:p w14:paraId="102C5D8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CGT</w:t>
            </w:r>
          </w:p>
        </w:tc>
        <w:tc>
          <w:tcPr>
            <w:tcW w:w="350" w:type="pct"/>
            <w:tcBorders>
              <w:top w:val="nil"/>
              <w:left w:val="nil"/>
              <w:bottom w:val="nil"/>
              <w:right w:val="nil"/>
            </w:tcBorders>
            <w:shd w:val="clear" w:color="auto" w:fill="auto"/>
            <w:vAlign w:val="center"/>
            <w:hideMark/>
          </w:tcPr>
          <w:p w14:paraId="110DBD06"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E7</w:t>
            </w:r>
          </w:p>
        </w:tc>
        <w:tc>
          <w:tcPr>
            <w:tcW w:w="2424" w:type="pct"/>
            <w:tcBorders>
              <w:top w:val="nil"/>
              <w:left w:val="nil"/>
              <w:bottom w:val="nil"/>
              <w:right w:val="nil"/>
            </w:tcBorders>
            <w:shd w:val="clear" w:color="auto" w:fill="auto"/>
            <w:vAlign w:val="center"/>
            <w:hideMark/>
          </w:tcPr>
          <w:p w14:paraId="571937A4"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Main residence exemption</w:t>
            </w:r>
          </w:p>
        </w:tc>
        <w:tc>
          <w:tcPr>
            <w:tcW w:w="528" w:type="pct"/>
            <w:tcBorders>
              <w:top w:val="nil"/>
              <w:left w:val="nil"/>
              <w:bottom w:val="nil"/>
              <w:right w:val="nil"/>
            </w:tcBorders>
            <w:shd w:val="clear" w:color="auto" w:fill="auto"/>
            <w:vAlign w:val="center"/>
            <w:hideMark/>
          </w:tcPr>
          <w:p w14:paraId="7D786BB6"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24,500</w:t>
            </w:r>
          </w:p>
        </w:tc>
        <w:tc>
          <w:tcPr>
            <w:tcW w:w="592" w:type="pct"/>
            <w:tcBorders>
              <w:top w:val="nil"/>
              <w:left w:val="nil"/>
              <w:bottom w:val="nil"/>
              <w:right w:val="nil"/>
            </w:tcBorders>
            <w:shd w:val="clear" w:color="auto" w:fill="auto"/>
            <w:vAlign w:val="center"/>
            <w:hideMark/>
          </w:tcPr>
          <w:p w14:paraId="0FC91CDB" w14:textId="71E060CF"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18</w:t>
            </w:r>
            <w:r w:rsidR="00196B66">
              <w:rPr>
                <w:rFonts w:ascii="Arial" w:hAnsi="Arial" w:cs="Arial"/>
                <w:color w:val="000000"/>
                <w:sz w:val="16"/>
                <w:szCs w:val="16"/>
              </w:rPr>
              <w:t>.0</w:t>
            </w:r>
          </w:p>
        </w:tc>
        <w:tc>
          <w:tcPr>
            <w:tcW w:w="568" w:type="pct"/>
            <w:tcBorders>
              <w:top w:val="nil"/>
              <w:left w:val="nil"/>
              <w:bottom w:val="nil"/>
              <w:right w:val="nil"/>
            </w:tcBorders>
            <w:shd w:val="clear" w:color="auto" w:fill="auto"/>
            <w:vAlign w:val="center"/>
            <w:hideMark/>
          </w:tcPr>
          <w:p w14:paraId="3164BB3A"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7.7</w:t>
            </w:r>
          </w:p>
        </w:tc>
      </w:tr>
      <w:tr w:rsidR="00924402" w:rsidRPr="00924402" w14:paraId="6C9FE8EF" w14:textId="77777777" w:rsidTr="00E36D9B">
        <w:trPr>
          <w:trHeight w:hRule="exact" w:val="300"/>
        </w:trPr>
        <w:tc>
          <w:tcPr>
            <w:tcW w:w="538" w:type="pct"/>
            <w:tcBorders>
              <w:top w:val="nil"/>
              <w:left w:val="nil"/>
              <w:bottom w:val="nil"/>
              <w:right w:val="nil"/>
            </w:tcBorders>
            <w:shd w:val="clear" w:color="auto" w:fill="auto"/>
            <w:vAlign w:val="center"/>
            <w:hideMark/>
          </w:tcPr>
          <w:p w14:paraId="4CB6731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CGT</w:t>
            </w:r>
          </w:p>
        </w:tc>
        <w:tc>
          <w:tcPr>
            <w:tcW w:w="350" w:type="pct"/>
            <w:tcBorders>
              <w:top w:val="nil"/>
              <w:left w:val="nil"/>
              <w:bottom w:val="nil"/>
              <w:right w:val="nil"/>
            </w:tcBorders>
            <w:shd w:val="clear" w:color="auto" w:fill="auto"/>
            <w:vAlign w:val="center"/>
            <w:hideMark/>
          </w:tcPr>
          <w:p w14:paraId="0E69545B"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E15</w:t>
            </w:r>
          </w:p>
        </w:tc>
        <w:tc>
          <w:tcPr>
            <w:tcW w:w="2424" w:type="pct"/>
            <w:tcBorders>
              <w:top w:val="nil"/>
              <w:left w:val="nil"/>
              <w:bottom w:val="nil"/>
              <w:right w:val="nil"/>
            </w:tcBorders>
            <w:shd w:val="clear" w:color="auto" w:fill="auto"/>
            <w:vAlign w:val="center"/>
            <w:hideMark/>
          </w:tcPr>
          <w:p w14:paraId="79D5EBB1"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Discount for individuals and trusts</w:t>
            </w:r>
          </w:p>
        </w:tc>
        <w:tc>
          <w:tcPr>
            <w:tcW w:w="528" w:type="pct"/>
            <w:tcBorders>
              <w:top w:val="nil"/>
              <w:left w:val="nil"/>
              <w:bottom w:val="nil"/>
              <w:right w:val="nil"/>
            </w:tcBorders>
            <w:shd w:val="clear" w:color="auto" w:fill="auto"/>
            <w:vAlign w:val="center"/>
            <w:hideMark/>
          </w:tcPr>
          <w:p w14:paraId="1EBFCDD4"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22,730</w:t>
            </w:r>
          </w:p>
        </w:tc>
        <w:tc>
          <w:tcPr>
            <w:tcW w:w="592" w:type="pct"/>
            <w:tcBorders>
              <w:top w:val="nil"/>
              <w:left w:val="nil"/>
              <w:bottom w:val="nil"/>
              <w:right w:val="nil"/>
            </w:tcBorders>
            <w:shd w:val="clear" w:color="auto" w:fill="auto"/>
            <w:vAlign w:val="center"/>
            <w:hideMark/>
          </w:tcPr>
          <w:p w14:paraId="3F48007A" w14:textId="3123065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27</w:t>
            </w:r>
            <w:r w:rsidR="00196B66">
              <w:rPr>
                <w:rFonts w:ascii="Arial" w:hAnsi="Arial" w:cs="Arial"/>
                <w:color w:val="000000"/>
                <w:sz w:val="16"/>
                <w:szCs w:val="16"/>
              </w:rPr>
              <w:t>.0</w:t>
            </w:r>
          </w:p>
        </w:tc>
        <w:tc>
          <w:tcPr>
            <w:tcW w:w="568" w:type="pct"/>
            <w:tcBorders>
              <w:top w:val="nil"/>
              <w:left w:val="nil"/>
              <w:bottom w:val="nil"/>
              <w:right w:val="nil"/>
            </w:tcBorders>
            <w:shd w:val="clear" w:color="auto" w:fill="auto"/>
            <w:vAlign w:val="center"/>
            <w:hideMark/>
          </w:tcPr>
          <w:p w14:paraId="48472694" w14:textId="299453E2" w:rsidR="00924402" w:rsidRPr="00180CD6" w:rsidRDefault="008571AB" w:rsidP="00180CD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924402" w:rsidRPr="00180CD6">
              <w:rPr>
                <w:rFonts w:ascii="Arial" w:hAnsi="Arial" w:cs="Arial"/>
                <w:color w:val="000000"/>
                <w:sz w:val="16"/>
                <w:szCs w:val="16"/>
              </w:rPr>
              <w:t>3.4</w:t>
            </w:r>
          </w:p>
        </w:tc>
      </w:tr>
      <w:tr w:rsidR="00924402" w:rsidRPr="00924402" w14:paraId="4A8A382C" w14:textId="77777777" w:rsidTr="00E36D9B">
        <w:trPr>
          <w:trHeight w:hRule="exact" w:val="300"/>
        </w:trPr>
        <w:tc>
          <w:tcPr>
            <w:tcW w:w="538" w:type="pct"/>
            <w:tcBorders>
              <w:top w:val="nil"/>
              <w:left w:val="nil"/>
              <w:bottom w:val="nil"/>
              <w:right w:val="nil"/>
            </w:tcBorders>
            <w:shd w:val="clear" w:color="auto" w:fill="auto"/>
            <w:vAlign w:val="center"/>
            <w:hideMark/>
          </w:tcPr>
          <w:p w14:paraId="4DB80B9D"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Super</w:t>
            </w:r>
          </w:p>
        </w:tc>
        <w:tc>
          <w:tcPr>
            <w:tcW w:w="350" w:type="pct"/>
            <w:tcBorders>
              <w:top w:val="nil"/>
              <w:left w:val="nil"/>
              <w:bottom w:val="nil"/>
              <w:right w:val="nil"/>
            </w:tcBorders>
            <w:shd w:val="clear" w:color="auto" w:fill="auto"/>
            <w:vAlign w:val="center"/>
            <w:hideMark/>
          </w:tcPr>
          <w:p w14:paraId="28A26A5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C4</w:t>
            </w:r>
          </w:p>
        </w:tc>
        <w:tc>
          <w:tcPr>
            <w:tcW w:w="2424" w:type="pct"/>
            <w:tcBorders>
              <w:top w:val="nil"/>
              <w:left w:val="nil"/>
              <w:bottom w:val="nil"/>
              <w:right w:val="nil"/>
            </w:tcBorders>
            <w:shd w:val="clear" w:color="auto" w:fill="auto"/>
            <w:vAlign w:val="center"/>
            <w:hideMark/>
          </w:tcPr>
          <w:p w14:paraId="79D753F0"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Concessional taxation of superannuation earnings</w:t>
            </w:r>
          </w:p>
        </w:tc>
        <w:tc>
          <w:tcPr>
            <w:tcW w:w="528" w:type="pct"/>
            <w:tcBorders>
              <w:top w:val="nil"/>
              <w:left w:val="nil"/>
              <w:bottom w:val="nil"/>
              <w:right w:val="nil"/>
            </w:tcBorders>
            <w:shd w:val="clear" w:color="auto" w:fill="auto"/>
            <w:vAlign w:val="center"/>
            <w:hideMark/>
          </w:tcPr>
          <w:p w14:paraId="54BC1C7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22,200</w:t>
            </w:r>
          </w:p>
        </w:tc>
        <w:tc>
          <w:tcPr>
            <w:tcW w:w="592" w:type="pct"/>
            <w:tcBorders>
              <w:top w:val="nil"/>
              <w:left w:val="nil"/>
              <w:bottom w:val="nil"/>
              <w:right w:val="nil"/>
            </w:tcBorders>
            <w:shd w:val="clear" w:color="auto" w:fill="auto"/>
            <w:vAlign w:val="center"/>
            <w:hideMark/>
          </w:tcPr>
          <w:p w14:paraId="4F9BF770"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6.2</w:t>
            </w:r>
          </w:p>
        </w:tc>
        <w:tc>
          <w:tcPr>
            <w:tcW w:w="568" w:type="pct"/>
            <w:tcBorders>
              <w:top w:val="nil"/>
              <w:left w:val="nil"/>
              <w:bottom w:val="nil"/>
              <w:right w:val="nil"/>
            </w:tcBorders>
            <w:shd w:val="clear" w:color="auto" w:fill="auto"/>
            <w:vAlign w:val="center"/>
            <w:hideMark/>
          </w:tcPr>
          <w:p w14:paraId="2D705C1B" w14:textId="555242B3"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13</w:t>
            </w:r>
            <w:r w:rsidR="001C2A57">
              <w:rPr>
                <w:rFonts w:ascii="Arial" w:hAnsi="Arial" w:cs="Arial"/>
                <w:color w:val="000000"/>
                <w:sz w:val="16"/>
                <w:szCs w:val="16"/>
              </w:rPr>
              <w:t>.0</w:t>
            </w:r>
          </w:p>
        </w:tc>
      </w:tr>
      <w:tr w:rsidR="00924402" w:rsidRPr="00924402" w14:paraId="5EAF2FFC" w14:textId="77777777" w:rsidTr="00E36D9B">
        <w:trPr>
          <w:trHeight w:hRule="exact" w:val="450"/>
        </w:trPr>
        <w:tc>
          <w:tcPr>
            <w:tcW w:w="538" w:type="pct"/>
            <w:tcBorders>
              <w:top w:val="nil"/>
              <w:left w:val="nil"/>
              <w:bottom w:val="nil"/>
              <w:right w:val="nil"/>
            </w:tcBorders>
            <w:shd w:val="clear" w:color="auto" w:fill="auto"/>
            <w:vAlign w:val="center"/>
            <w:hideMark/>
          </w:tcPr>
          <w:p w14:paraId="3399CAF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2E0B936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A26</w:t>
            </w:r>
          </w:p>
        </w:tc>
        <w:tc>
          <w:tcPr>
            <w:tcW w:w="2424" w:type="pct"/>
            <w:tcBorders>
              <w:top w:val="nil"/>
              <w:left w:val="nil"/>
              <w:bottom w:val="nil"/>
              <w:right w:val="nil"/>
            </w:tcBorders>
            <w:shd w:val="clear" w:color="auto" w:fill="auto"/>
            <w:vAlign w:val="center"/>
            <w:hideMark/>
          </w:tcPr>
          <w:p w14:paraId="0D21FEE8"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Exemption for National Disability Insurance Scheme amounts</w:t>
            </w:r>
          </w:p>
        </w:tc>
        <w:tc>
          <w:tcPr>
            <w:tcW w:w="528" w:type="pct"/>
            <w:tcBorders>
              <w:top w:val="nil"/>
              <w:left w:val="nil"/>
              <w:bottom w:val="nil"/>
              <w:right w:val="nil"/>
            </w:tcBorders>
            <w:shd w:val="clear" w:color="auto" w:fill="auto"/>
            <w:vAlign w:val="center"/>
            <w:hideMark/>
          </w:tcPr>
          <w:p w14:paraId="6C3CB7C3"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11,420</w:t>
            </w:r>
          </w:p>
        </w:tc>
        <w:tc>
          <w:tcPr>
            <w:tcW w:w="592" w:type="pct"/>
            <w:tcBorders>
              <w:top w:val="nil"/>
              <w:left w:val="nil"/>
              <w:bottom w:val="nil"/>
              <w:right w:val="nil"/>
            </w:tcBorders>
            <w:shd w:val="clear" w:color="auto" w:fill="auto"/>
            <w:vAlign w:val="center"/>
            <w:hideMark/>
          </w:tcPr>
          <w:p w14:paraId="7062977E"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29.7</w:t>
            </w:r>
          </w:p>
        </w:tc>
        <w:tc>
          <w:tcPr>
            <w:tcW w:w="568" w:type="pct"/>
            <w:tcBorders>
              <w:top w:val="nil"/>
              <w:left w:val="nil"/>
              <w:bottom w:val="nil"/>
              <w:right w:val="nil"/>
            </w:tcBorders>
            <w:shd w:val="clear" w:color="auto" w:fill="auto"/>
            <w:vAlign w:val="center"/>
            <w:hideMark/>
          </w:tcPr>
          <w:p w14:paraId="115AAD18"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8.8</w:t>
            </w:r>
          </w:p>
        </w:tc>
      </w:tr>
      <w:tr w:rsidR="00092F87" w:rsidRPr="00924402" w14:paraId="647E4D84" w14:textId="77777777" w:rsidTr="00E36D9B">
        <w:trPr>
          <w:trHeight w:hRule="exact" w:val="300"/>
        </w:trPr>
        <w:tc>
          <w:tcPr>
            <w:tcW w:w="538" w:type="pct"/>
            <w:tcBorders>
              <w:top w:val="nil"/>
              <w:left w:val="nil"/>
              <w:bottom w:val="nil"/>
              <w:right w:val="nil"/>
            </w:tcBorders>
            <w:shd w:val="clear" w:color="auto" w:fill="auto"/>
            <w:vAlign w:val="center"/>
          </w:tcPr>
          <w:p w14:paraId="25BD5FD8" w14:textId="56FF73E3" w:rsidR="00092F87" w:rsidRPr="00180CD6" w:rsidRDefault="00AB174D" w:rsidP="00180CD6">
            <w:pPr>
              <w:spacing w:before="0" w:after="0" w:line="240" w:lineRule="auto"/>
              <w:rPr>
                <w:rFonts w:ascii="Arial" w:hAnsi="Arial" w:cs="Arial"/>
                <w:color w:val="000000"/>
                <w:sz w:val="16"/>
                <w:szCs w:val="16"/>
              </w:rPr>
            </w:pPr>
            <w:r>
              <w:rPr>
                <w:rFonts w:ascii="Arial" w:hAnsi="Arial" w:cs="Arial"/>
                <w:color w:val="000000"/>
                <w:sz w:val="16"/>
                <w:szCs w:val="16"/>
              </w:rPr>
              <w:t>Deductions</w:t>
            </w:r>
          </w:p>
        </w:tc>
        <w:tc>
          <w:tcPr>
            <w:tcW w:w="350" w:type="pct"/>
            <w:tcBorders>
              <w:top w:val="nil"/>
              <w:left w:val="nil"/>
              <w:bottom w:val="nil"/>
              <w:right w:val="nil"/>
            </w:tcBorders>
            <w:shd w:val="clear" w:color="auto" w:fill="auto"/>
            <w:vAlign w:val="center"/>
          </w:tcPr>
          <w:p w14:paraId="6D12A3DA" w14:textId="77777777" w:rsidR="00092F87" w:rsidRPr="00180CD6" w:rsidRDefault="00092F87" w:rsidP="00180CD6">
            <w:pPr>
              <w:spacing w:before="0" w:after="0" w:line="240" w:lineRule="auto"/>
              <w:rPr>
                <w:rFonts w:ascii="Arial" w:hAnsi="Arial" w:cs="Arial"/>
                <w:color w:val="000000"/>
                <w:sz w:val="16"/>
                <w:szCs w:val="16"/>
              </w:rPr>
            </w:pPr>
          </w:p>
        </w:tc>
        <w:tc>
          <w:tcPr>
            <w:tcW w:w="2424" w:type="pct"/>
            <w:tcBorders>
              <w:top w:val="nil"/>
              <w:left w:val="nil"/>
              <w:bottom w:val="nil"/>
              <w:right w:val="nil"/>
            </w:tcBorders>
            <w:shd w:val="clear" w:color="auto" w:fill="auto"/>
            <w:vAlign w:val="center"/>
          </w:tcPr>
          <w:p w14:paraId="7F24DFD9" w14:textId="7E09D57A" w:rsidR="00092F87" w:rsidRPr="00180CD6" w:rsidRDefault="00AB174D" w:rsidP="00180CD6">
            <w:pPr>
              <w:spacing w:before="0" w:after="0" w:line="240" w:lineRule="auto"/>
              <w:rPr>
                <w:rFonts w:ascii="Arial" w:hAnsi="Arial" w:cs="Arial"/>
                <w:color w:val="000000"/>
                <w:sz w:val="16"/>
                <w:szCs w:val="16"/>
              </w:rPr>
            </w:pPr>
            <w:r>
              <w:rPr>
                <w:rFonts w:ascii="Arial" w:hAnsi="Arial" w:cs="Arial"/>
                <w:color w:val="000000"/>
                <w:sz w:val="16"/>
                <w:szCs w:val="16"/>
              </w:rPr>
              <w:t>Work</w:t>
            </w:r>
            <w:r w:rsidR="008571AB">
              <w:rPr>
                <w:rFonts w:ascii="Arial" w:hAnsi="Arial" w:cs="Arial"/>
                <w:color w:val="000000"/>
                <w:sz w:val="16"/>
                <w:szCs w:val="16"/>
              </w:rPr>
              <w:noBreakHyphen/>
            </w:r>
            <w:r>
              <w:rPr>
                <w:rFonts w:ascii="Arial" w:hAnsi="Arial" w:cs="Arial"/>
                <w:color w:val="000000"/>
                <w:sz w:val="16"/>
                <w:szCs w:val="16"/>
              </w:rPr>
              <w:t>related expenses</w:t>
            </w:r>
          </w:p>
        </w:tc>
        <w:tc>
          <w:tcPr>
            <w:tcW w:w="528" w:type="pct"/>
            <w:tcBorders>
              <w:top w:val="nil"/>
              <w:left w:val="nil"/>
              <w:bottom w:val="nil"/>
              <w:right w:val="nil"/>
            </w:tcBorders>
            <w:shd w:val="clear" w:color="auto" w:fill="auto"/>
            <w:vAlign w:val="center"/>
          </w:tcPr>
          <w:p w14:paraId="44AC7933" w14:textId="42975632" w:rsidR="00092F87" w:rsidRPr="00180CD6" w:rsidRDefault="00AB174D"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11,300</w:t>
            </w:r>
          </w:p>
        </w:tc>
        <w:tc>
          <w:tcPr>
            <w:tcW w:w="592" w:type="pct"/>
            <w:tcBorders>
              <w:top w:val="nil"/>
              <w:left w:val="nil"/>
              <w:bottom w:val="nil"/>
              <w:right w:val="nil"/>
            </w:tcBorders>
            <w:shd w:val="clear" w:color="auto" w:fill="auto"/>
            <w:vAlign w:val="center"/>
          </w:tcPr>
          <w:p w14:paraId="27B26CA0" w14:textId="4BCAE471" w:rsidR="00092F87" w:rsidRPr="00180CD6" w:rsidRDefault="00AB174D"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568" w:type="pct"/>
            <w:tcBorders>
              <w:top w:val="nil"/>
              <w:left w:val="nil"/>
              <w:bottom w:val="nil"/>
              <w:right w:val="nil"/>
            </w:tcBorders>
            <w:shd w:val="clear" w:color="auto" w:fill="auto"/>
            <w:vAlign w:val="center"/>
          </w:tcPr>
          <w:p w14:paraId="02FDFA77" w14:textId="5AC55B5D" w:rsidR="00092F87" w:rsidRPr="00180CD6" w:rsidRDefault="00AB174D" w:rsidP="00180CD6">
            <w:pPr>
              <w:spacing w:before="0" w:after="0" w:line="240" w:lineRule="auto"/>
              <w:jc w:val="right"/>
              <w:rPr>
                <w:rFonts w:ascii="Arial" w:hAnsi="Arial" w:cs="Arial"/>
                <w:color w:val="000000"/>
                <w:sz w:val="16"/>
                <w:szCs w:val="16"/>
              </w:rPr>
            </w:pPr>
            <w:r>
              <w:rPr>
                <w:rFonts w:ascii="Arial" w:hAnsi="Arial" w:cs="Arial"/>
                <w:color w:val="000000"/>
                <w:sz w:val="16"/>
                <w:szCs w:val="16"/>
              </w:rPr>
              <w:t>3.7</w:t>
            </w:r>
          </w:p>
        </w:tc>
      </w:tr>
      <w:tr w:rsidR="00924402" w:rsidRPr="00924402" w14:paraId="731E1BAE" w14:textId="77777777" w:rsidTr="00E36D9B">
        <w:trPr>
          <w:trHeight w:hRule="exact" w:val="300"/>
        </w:trPr>
        <w:tc>
          <w:tcPr>
            <w:tcW w:w="538" w:type="pct"/>
            <w:tcBorders>
              <w:top w:val="nil"/>
              <w:left w:val="nil"/>
              <w:bottom w:val="nil"/>
              <w:right w:val="nil"/>
            </w:tcBorders>
            <w:shd w:val="clear" w:color="auto" w:fill="auto"/>
            <w:vAlign w:val="center"/>
            <w:hideMark/>
          </w:tcPr>
          <w:p w14:paraId="01D0AE38"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GST</w:t>
            </w:r>
          </w:p>
        </w:tc>
        <w:tc>
          <w:tcPr>
            <w:tcW w:w="350" w:type="pct"/>
            <w:tcBorders>
              <w:top w:val="nil"/>
              <w:left w:val="nil"/>
              <w:bottom w:val="nil"/>
              <w:right w:val="nil"/>
            </w:tcBorders>
            <w:shd w:val="clear" w:color="auto" w:fill="auto"/>
            <w:vAlign w:val="center"/>
            <w:hideMark/>
          </w:tcPr>
          <w:p w14:paraId="3DB83B6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H25</w:t>
            </w:r>
          </w:p>
        </w:tc>
        <w:tc>
          <w:tcPr>
            <w:tcW w:w="2424" w:type="pct"/>
            <w:tcBorders>
              <w:top w:val="nil"/>
              <w:left w:val="nil"/>
              <w:bottom w:val="nil"/>
              <w:right w:val="nil"/>
            </w:tcBorders>
            <w:shd w:val="clear" w:color="auto" w:fill="auto"/>
            <w:vAlign w:val="center"/>
            <w:hideMark/>
          </w:tcPr>
          <w:p w14:paraId="5FCB22C7"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Food</w:t>
            </w:r>
          </w:p>
        </w:tc>
        <w:tc>
          <w:tcPr>
            <w:tcW w:w="528" w:type="pct"/>
            <w:tcBorders>
              <w:top w:val="nil"/>
              <w:left w:val="nil"/>
              <w:bottom w:val="nil"/>
              <w:right w:val="nil"/>
            </w:tcBorders>
            <w:shd w:val="clear" w:color="auto" w:fill="auto"/>
            <w:vAlign w:val="center"/>
            <w:hideMark/>
          </w:tcPr>
          <w:p w14:paraId="0F0206A9"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9,500</w:t>
            </w:r>
          </w:p>
        </w:tc>
        <w:tc>
          <w:tcPr>
            <w:tcW w:w="592" w:type="pct"/>
            <w:tcBorders>
              <w:top w:val="nil"/>
              <w:left w:val="nil"/>
              <w:bottom w:val="nil"/>
              <w:right w:val="nil"/>
            </w:tcBorders>
            <w:shd w:val="clear" w:color="auto" w:fill="auto"/>
            <w:vAlign w:val="center"/>
            <w:hideMark/>
          </w:tcPr>
          <w:p w14:paraId="5BC6371E"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6.1</w:t>
            </w:r>
          </w:p>
        </w:tc>
        <w:tc>
          <w:tcPr>
            <w:tcW w:w="568" w:type="pct"/>
            <w:tcBorders>
              <w:top w:val="nil"/>
              <w:left w:val="nil"/>
              <w:bottom w:val="nil"/>
              <w:right w:val="nil"/>
            </w:tcBorders>
            <w:shd w:val="clear" w:color="auto" w:fill="auto"/>
            <w:vAlign w:val="center"/>
            <w:hideMark/>
          </w:tcPr>
          <w:p w14:paraId="5E3D5CCD"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3.6</w:t>
            </w:r>
          </w:p>
        </w:tc>
      </w:tr>
      <w:tr w:rsidR="00924402" w:rsidRPr="00924402" w14:paraId="73F47387" w14:textId="77777777" w:rsidTr="00E36D9B">
        <w:trPr>
          <w:trHeight w:hRule="exact" w:val="300"/>
        </w:trPr>
        <w:tc>
          <w:tcPr>
            <w:tcW w:w="538" w:type="pct"/>
            <w:tcBorders>
              <w:top w:val="nil"/>
              <w:left w:val="nil"/>
              <w:bottom w:val="nil"/>
              <w:right w:val="nil"/>
            </w:tcBorders>
            <w:shd w:val="clear" w:color="auto" w:fill="auto"/>
            <w:vAlign w:val="center"/>
            <w:hideMark/>
          </w:tcPr>
          <w:p w14:paraId="6518E209"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GST</w:t>
            </w:r>
          </w:p>
        </w:tc>
        <w:tc>
          <w:tcPr>
            <w:tcW w:w="350" w:type="pct"/>
            <w:tcBorders>
              <w:top w:val="nil"/>
              <w:left w:val="nil"/>
              <w:bottom w:val="nil"/>
              <w:right w:val="nil"/>
            </w:tcBorders>
            <w:shd w:val="clear" w:color="auto" w:fill="auto"/>
            <w:vAlign w:val="center"/>
            <w:hideMark/>
          </w:tcPr>
          <w:p w14:paraId="06A46EFB"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H17</w:t>
            </w:r>
          </w:p>
        </w:tc>
        <w:tc>
          <w:tcPr>
            <w:tcW w:w="2424" w:type="pct"/>
            <w:tcBorders>
              <w:top w:val="nil"/>
              <w:left w:val="nil"/>
              <w:bottom w:val="nil"/>
              <w:right w:val="nil"/>
            </w:tcBorders>
            <w:shd w:val="clear" w:color="auto" w:fill="auto"/>
            <w:vAlign w:val="center"/>
            <w:hideMark/>
          </w:tcPr>
          <w:p w14:paraId="6D42426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Health – medical and health services</w:t>
            </w:r>
          </w:p>
        </w:tc>
        <w:tc>
          <w:tcPr>
            <w:tcW w:w="528" w:type="pct"/>
            <w:tcBorders>
              <w:top w:val="nil"/>
              <w:left w:val="nil"/>
              <w:bottom w:val="nil"/>
              <w:right w:val="nil"/>
            </w:tcBorders>
            <w:shd w:val="clear" w:color="auto" w:fill="auto"/>
            <w:vAlign w:val="center"/>
            <w:hideMark/>
          </w:tcPr>
          <w:p w14:paraId="21F9BA7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5,400</w:t>
            </w:r>
          </w:p>
        </w:tc>
        <w:tc>
          <w:tcPr>
            <w:tcW w:w="592" w:type="pct"/>
            <w:tcBorders>
              <w:top w:val="nil"/>
              <w:left w:val="nil"/>
              <w:bottom w:val="nil"/>
              <w:right w:val="nil"/>
            </w:tcBorders>
            <w:shd w:val="clear" w:color="auto" w:fill="auto"/>
            <w:vAlign w:val="center"/>
            <w:hideMark/>
          </w:tcPr>
          <w:p w14:paraId="047238E0"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5.0</w:t>
            </w:r>
          </w:p>
        </w:tc>
        <w:tc>
          <w:tcPr>
            <w:tcW w:w="568" w:type="pct"/>
            <w:tcBorders>
              <w:top w:val="nil"/>
              <w:left w:val="nil"/>
              <w:bottom w:val="nil"/>
              <w:right w:val="nil"/>
            </w:tcBorders>
            <w:shd w:val="clear" w:color="auto" w:fill="auto"/>
            <w:vAlign w:val="center"/>
            <w:hideMark/>
          </w:tcPr>
          <w:p w14:paraId="2CFCA937"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6.5</w:t>
            </w:r>
          </w:p>
        </w:tc>
      </w:tr>
      <w:tr w:rsidR="00924402" w:rsidRPr="00924402" w14:paraId="0FB812FD" w14:textId="77777777" w:rsidTr="00E36D9B">
        <w:trPr>
          <w:trHeight w:hRule="exact" w:val="300"/>
        </w:trPr>
        <w:tc>
          <w:tcPr>
            <w:tcW w:w="538" w:type="pct"/>
            <w:tcBorders>
              <w:top w:val="nil"/>
              <w:left w:val="nil"/>
              <w:bottom w:val="nil"/>
              <w:right w:val="nil"/>
            </w:tcBorders>
            <w:shd w:val="clear" w:color="auto" w:fill="auto"/>
            <w:vAlign w:val="center"/>
            <w:hideMark/>
          </w:tcPr>
          <w:p w14:paraId="0400E600"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GST</w:t>
            </w:r>
          </w:p>
        </w:tc>
        <w:tc>
          <w:tcPr>
            <w:tcW w:w="350" w:type="pct"/>
            <w:tcBorders>
              <w:top w:val="nil"/>
              <w:left w:val="nil"/>
              <w:bottom w:val="nil"/>
              <w:right w:val="nil"/>
            </w:tcBorders>
            <w:shd w:val="clear" w:color="auto" w:fill="auto"/>
            <w:vAlign w:val="center"/>
            <w:hideMark/>
          </w:tcPr>
          <w:p w14:paraId="31844D77"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H14</w:t>
            </w:r>
          </w:p>
        </w:tc>
        <w:tc>
          <w:tcPr>
            <w:tcW w:w="2424" w:type="pct"/>
            <w:tcBorders>
              <w:top w:val="nil"/>
              <w:left w:val="nil"/>
              <w:bottom w:val="nil"/>
              <w:right w:val="nil"/>
            </w:tcBorders>
            <w:shd w:val="clear" w:color="auto" w:fill="auto"/>
            <w:vAlign w:val="center"/>
            <w:hideMark/>
          </w:tcPr>
          <w:p w14:paraId="3B9CA24D"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Education</w:t>
            </w:r>
          </w:p>
        </w:tc>
        <w:tc>
          <w:tcPr>
            <w:tcW w:w="528" w:type="pct"/>
            <w:tcBorders>
              <w:top w:val="nil"/>
              <w:left w:val="nil"/>
              <w:bottom w:val="nil"/>
              <w:right w:val="nil"/>
            </w:tcBorders>
            <w:shd w:val="clear" w:color="auto" w:fill="auto"/>
            <w:vAlign w:val="center"/>
            <w:hideMark/>
          </w:tcPr>
          <w:p w14:paraId="030B362C"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4,550</w:t>
            </w:r>
          </w:p>
        </w:tc>
        <w:tc>
          <w:tcPr>
            <w:tcW w:w="592" w:type="pct"/>
            <w:tcBorders>
              <w:top w:val="nil"/>
              <w:left w:val="nil"/>
              <w:bottom w:val="nil"/>
              <w:right w:val="nil"/>
            </w:tcBorders>
            <w:shd w:val="clear" w:color="auto" w:fill="auto"/>
            <w:vAlign w:val="center"/>
            <w:hideMark/>
          </w:tcPr>
          <w:p w14:paraId="6029F36D"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6.6</w:t>
            </w:r>
          </w:p>
        </w:tc>
        <w:tc>
          <w:tcPr>
            <w:tcW w:w="568" w:type="pct"/>
            <w:tcBorders>
              <w:top w:val="nil"/>
              <w:left w:val="nil"/>
              <w:bottom w:val="nil"/>
              <w:right w:val="nil"/>
            </w:tcBorders>
            <w:shd w:val="clear" w:color="auto" w:fill="auto"/>
            <w:vAlign w:val="center"/>
            <w:hideMark/>
          </w:tcPr>
          <w:p w14:paraId="446C7457"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5.4</w:t>
            </w:r>
          </w:p>
        </w:tc>
      </w:tr>
      <w:tr w:rsidR="00924402" w:rsidRPr="00924402" w14:paraId="10C2FDEB" w14:textId="77777777" w:rsidTr="00E36D9B">
        <w:trPr>
          <w:trHeight w:hRule="exact" w:val="300"/>
        </w:trPr>
        <w:tc>
          <w:tcPr>
            <w:tcW w:w="538" w:type="pct"/>
            <w:tcBorders>
              <w:top w:val="nil"/>
              <w:left w:val="nil"/>
              <w:bottom w:val="nil"/>
              <w:right w:val="nil"/>
            </w:tcBorders>
            <w:shd w:val="clear" w:color="auto" w:fill="auto"/>
            <w:vAlign w:val="center"/>
            <w:hideMark/>
          </w:tcPr>
          <w:p w14:paraId="23BD1E2C"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293B428C"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A27</w:t>
            </w:r>
          </w:p>
        </w:tc>
        <w:tc>
          <w:tcPr>
            <w:tcW w:w="2424" w:type="pct"/>
            <w:tcBorders>
              <w:top w:val="nil"/>
              <w:left w:val="nil"/>
              <w:bottom w:val="nil"/>
              <w:right w:val="nil"/>
            </w:tcBorders>
            <w:shd w:val="clear" w:color="auto" w:fill="auto"/>
            <w:vAlign w:val="center"/>
            <w:hideMark/>
          </w:tcPr>
          <w:p w14:paraId="6174B00D"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Exemption of Child Care Assistance payments</w:t>
            </w:r>
          </w:p>
        </w:tc>
        <w:tc>
          <w:tcPr>
            <w:tcW w:w="528" w:type="pct"/>
            <w:tcBorders>
              <w:top w:val="nil"/>
              <w:left w:val="nil"/>
              <w:bottom w:val="nil"/>
              <w:right w:val="nil"/>
            </w:tcBorders>
            <w:shd w:val="clear" w:color="auto" w:fill="auto"/>
            <w:vAlign w:val="center"/>
            <w:hideMark/>
          </w:tcPr>
          <w:p w14:paraId="5492CF98"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4,100</w:t>
            </w:r>
          </w:p>
        </w:tc>
        <w:tc>
          <w:tcPr>
            <w:tcW w:w="592" w:type="pct"/>
            <w:tcBorders>
              <w:top w:val="nil"/>
              <w:left w:val="nil"/>
              <w:bottom w:val="nil"/>
              <w:right w:val="nil"/>
            </w:tcBorders>
            <w:shd w:val="clear" w:color="auto" w:fill="auto"/>
            <w:vAlign w:val="center"/>
            <w:hideMark/>
          </w:tcPr>
          <w:p w14:paraId="1F32D123"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20.8</w:t>
            </w:r>
          </w:p>
        </w:tc>
        <w:tc>
          <w:tcPr>
            <w:tcW w:w="568" w:type="pct"/>
            <w:tcBorders>
              <w:top w:val="nil"/>
              <w:left w:val="nil"/>
              <w:bottom w:val="nil"/>
              <w:right w:val="nil"/>
            </w:tcBorders>
            <w:shd w:val="clear" w:color="auto" w:fill="auto"/>
            <w:vAlign w:val="center"/>
            <w:hideMark/>
          </w:tcPr>
          <w:p w14:paraId="7B8DFA29"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4.9</w:t>
            </w:r>
          </w:p>
        </w:tc>
      </w:tr>
      <w:tr w:rsidR="00924402" w:rsidRPr="00924402" w14:paraId="19B771F9" w14:textId="77777777" w:rsidTr="00E36D9B">
        <w:trPr>
          <w:trHeight w:hRule="exact" w:val="300"/>
        </w:trPr>
        <w:tc>
          <w:tcPr>
            <w:tcW w:w="538" w:type="pct"/>
            <w:tcBorders>
              <w:top w:val="nil"/>
              <w:left w:val="nil"/>
              <w:bottom w:val="nil"/>
              <w:right w:val="nil"/>
            </w:tcBorders>
            <w:shd w:val="clear" w:color="auto" w:fill="auto"/>
            <w:vAlign w:val="center"/>
            <w:hideMark/>
          </w:tcPr>
          <w:p w14:paraId="2393E02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7B0A684B"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B63</w:t>
            </w:r>
          </w:p>
        </w:tc>
        <w:tc>
          <w:tcPr>
            <w:tcW w:w="2424" w:type="pct"/>
            <w:tcBorders>
              <w:top w:val="nil"/>
              <w:left w:val="nil"/>
              <w:bottom w:val="nil"/>
              <w:right w:val="nil"/>
            </w:tcBorders>
            <w:shd w:val="clear" w:color="auto" w:fill="auto"/>
            <w:vAlign w:val="center"/>
            <w:hideMark/>
          </w:tcPr>
          <w:p w14:paraId="594FED5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Lower tax rate for small companies</w:t>
            </w:r>
          </w:p>
        </w:tc>
        <w:tc>
          <w:tcPr>
            <w:tcW w:w="528" w:type="pct"/>
            <w:tcBorders>
              <w:top w:val="nil"/>
              <w:left w:val="nil"/>
              <w:bottom w:val="nil"/>
              <w:right w:val="nil"/>
            </w:tcBorders>
            <w:shd w:val="clear" w:color="auto" w:fill="auto"/>
            <w:vAlign w:val="center"/>
            <w:hideMark/>
          </w:tcPr>
          <w:p w14:paraId="6A50482A"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3,500</w:t>
            </w:r>
          </w:p>
        </w:tc>
        <w:tc>
          <w:tcPr>
            <w:tcW w:w="592" w:type="pct"/>
            <w:tcBorders>
              <w:top w:val="nil"/>
              <w:left w:val="nil"/>
              <w:bottom w:val="nil"/>
              <w:right w:val="nil"/>
            </w:tcBorders>
            <w:shd w:val="clear" w:color="auto" w:fill="auto"/>
            <w:vAlign w:val="center"/>
            <w:hideMark/>
          </w:tcPr>
          <w:p w14:paraId="24ED6A3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11.1</w:t>
            </w:r>
          </w:p>
        </w:tc>
        <w:tc>
          <w:tcPr>
            <w:tcW w:w="568" w:type="pct"/>
            <w:tcBorders>
              <w:top w:val="nil"/>
              <w:left w:val="nil"/>
              <w:bottom w:val="nil"/>
              <w:right w:val="nil"/>
            </w:tcBorders>
            <w:shd w:val="clear" w:color="auto" w:fill="auto"/>
            <w:vAlign w:val="center"/>
            <w:hideMark/>
          </w:tcPr>
          <w:p w14:paraId="4311B772"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2.6</w:t>
            </w:r>
          </w:p>
        </w:tc>
      </w:tr>
      <w:tr w:rsidR="00924402" w:rsidRPr="00924402" w14:paraId="4C9486D1" w14:textId="77777777" w:rsidTr="00E36D9B">
        <w:trPr>
          <w:trHeight w:hRule="exact" w:val="300"/>
        </w:trPr>
        <w:tc>
          <w:tcPr>
            <w:tcW w:w="538" w:type="pct"/>
            <w:tcBorders>
              <w:top w:val="nil"/>
              <w:left w:val="nil"/>
              <w:bottom w:val="nil"/>
              <w:right w:val="nil"/>
            </w:tcBorders>
            <w:shd w:val="clear" w:color="auto" w:fill="auto"/>
            <w:vAlign w:val="center"/>
            <w:hideMark/>
          </w:tcPr>
          <w:p w14:paraId="2D9C23F7"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GST</w:t>
            </w:r>
          </w:p>
        </w:tc>
        <w:tc>
          <w:tcPr>
            <w:tcW w:w="350" w:type="pct"/>
            <w:tcBorders>
              <w:top w:val="nil"/>
              <w:left w:val="nil"/>
              <w:bottom w:val="nil"/>
              <w:right w:val="nil"/>
            </w:tcBorders>
            <w:shd w:val="clear" w:color="auto" w:fill="auto"/>
            <w:vAlign w:val="center"/>
            <w:hideMark/>
          </w:tcPr>
          <w:p w14:paraId="5A1C91A5"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H2</w:t>
            </w:r>
          </w:p>
        </w:tc>
        <w:tc>
          <w:tcPr>
            <w:tcW w:w="2424" w:type="pct"/>
            <w:tcBorders>
              <w:top w:val="nil"/>
              <w:left w:val="nil"/>
              <w:bottom w:val="nil"/>
              <w:right w:val="nil"/>
            </w:tcBorders>
            <w:shd w:val="clear" w:color="auto" w:fill="auto"/>
            <w:vAlign w:val="center"/>
            <w:hideMark/>
          </w:tcPr>
          <w:p w14:paraId="150C5BC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Financial supplies – input taxed treatment</w:t>
            </w:r>
          </w:p>
        </w:tc>
        <w:tc>
          <w:tcPr>
            <w:tcW w:w="528" w:type="pct"/>
            <w:tcBorders>
              <w:top w:val="nil"/>
              <w:left w:val="nil"/>
              <w:bottom w:val="nil"/>
              <w:right w:val="nil"/>
            </w:tcBorders>
            <w:shd w:val="clear" w:color="auto" w:fill="auto"/>
            <w:vAlign w:val="center"/>
            <w:hideMark/>
          </w:tcPr>
          <w:p w14:paraId="1628DBC6"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3,500</w:t>
            </w:r>
          </w:p>
        </w:tc>
        <w:tc>
          <w:tcPr>
            <w:tcW w:w="592" w:type="pct"/>
            <w:tcBorders>
              <w:top w:val="nil"/>
              <w:left w:val="nil"/>
              <w:bottom w:val="nil"/>
              <w:right w:val="nil"/>
            </w:tcBorders>
            <w:shd w:val="clear" w:color="auto" w:fill="auto"/>
            <w:vAlign w:val="center"/>
            <w:hideMark/>
          </w:tcPr>
          <w:p w14:paraId="3883FA8B"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3.7</w:t>
            </w:r>
          </w:p>
        </w:tc>
        <w:tc>
          <w:tcPr>
            <w:tcW w:w="568" w:type="pct"/>
            <w:tcBorders>
              <w:top w:val="nil"/>
              <w:left w:val="nil"/>
              <w:bottom w:val="nil"/>
              <w:right w:val="nil"/>
            </w:tcBorders>
            <w:shd w:val="clear" w:color="auto" w:fill="auto"/>
            <w:vAlign w:val="center"/>
            <w:hideMark/>
          </w:tcPr>
          <w:p w14:paraId="3A2F888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4.5</w:t>
            </w:r>
          </w:p>
        </w:tc>
      </w:tr>
      <w:tr w:rsidR="00924402" w:rsidRPr="00924402" w14:paraId="0847C563" w14:textId="77777777" w:rsidTr="00E36D9B">
        <w:trPr>
          <w:trHeight w:hRule="exact" w:val="450"/>
        </w:trPr>
        <w:tc>
          <w:tcPr>
            <w:tcW w:w="538" w:type="pct"/>
            <w:tcBorders>
              <w:top w:val="nil"/>
              <w:left w:val="nil"/>
              <w:bottom w:val="nil"/>
              <w:right w:val="nil"/>
            </w:tcBorders>
            <w:shd w:val="clear" w:color="auto" w:fill="auto"/>
            <w:vAlign w:val="center"/>
            <w:hideMark/>
          </w:tcPr>
          <w:p w14:paraId="7904E47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FBT</w:t>
            </w:r>
          </w:p>
        </w:tc>
        <w:tc>
          <w:tcPr>
            <w:tcW w:w="350" w:type="pct"/>
            <w:tcBorders>
              <w:top w:val="nil"/>
              <w:left w:val="nil"/>
              <w:bottom w:val="nil"/>
              <w:right w:val="nil"/>
            </w:tcBorders>
            <w:shd w:val="clear" w:color="auto" w:fill="auto"/>
            <w:vAlign w:val="center"/>
            <w:hideMark/>
          </w:tcPr>
          <w:p w14:paraId="4BBE136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D15</w:t>
            </w:r>
          </w:p>
        </w:tc>
        <w:tc>
          <w:tcPr>
            <w:tcW w:w="2424" w:type="pct"/>
            <w:tcBorders>
              <w:top w:val="nil"/>
              <w:left w:val="nil"/>
              <w:bottom w:val="nil"/>
              <w:right w:val="nil"/>
            </w:tcBorders>
            <w:shd w:val="clear" w:color="auto" w:fill="auto"/>
            <w:vAlign w:val="center"/>
            <w:hideMark/>
          </w:tcPr>
          <w:p w14:paraId="55FA6234"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Exemption for public benevolent institutions (excluding hospitals)</w:t>
            </w:r>
          </w:p>
        </w:tc>
        <w:tc>
          <w:tcPr>
            <w:tcW w:w="528" w:type="pct"/>
            <w:tcBorders>
              <w:top w:val="nil"/>
              <w:left w:val="nil"/>
              <w:bottom w:val="nil"/>
              <w:right w:val="nil"/>
            </w:tcBorders>
            <w:shd w:val="clear" w:color="auto" w:fill="auto"/>
            <w:vAlign w:val="center"/>
            <w:hideMark/>
          </w:tcPr>
          <w:p w14:paraId="0196494C"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2,950</w:t>
            </w:r>
          </w:p>
        </w:tc>
        <w:tc>
          <w:tcPr>
            <w:tcW w:w="592" w:type="pct"/>
            <w:tcBorders>
              <w:top w:val="nil"/>
              <w:left w:val="nil"/>
              <w:bottom w:val="nil"/>
              <w:right w:val="nil"/>
            </w:tcBorders>
            <w:shd w:val="clear" w:color="auto" w:fill="auto"/>
            <w:vAlign w:val="center"/>
            <w:hideMark/>
          </w:tcPr>
          <w:p w14:paraId="7D86AB5E"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11.5</w:t>
            </w:r>
          </w:p>
        </w:tc>
        <w:tc>
          <w:tcPr>
            <w:tcW w:w="568" w:type="pct"/>
            <w:tcBorders>
              <w:top w:val="nil"/>
              <w:left w:val="nil"/>
              <w:bottom w:val="nil"/>
              <w:right w:val="nil"/>
            </w:tcBorders>
            <w:shd w:val="clear" w:color="auto" w:fill="auto"/>
            <w:vAlign w:val="center"/>
            <w:hideMark/>
          </w:tcPr>
          <w:p w14:paraId="32692F49"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3.1</w:t>
            </w:r>
          </w:p>
        </w:tc>
      </w:tr>
      <w:tr w:rsidR="00924402" w:rsidRPr="00924402" w14:paraId="0061BD50" w14:textId="77777777" w:rsidTr="00E36D9B">
        <w:trPr>
          <w:trHeight w:hRule="exact" w:val="450"/>
        </w:trPr>
        <w:tc>
          <w:tcPr>
            <w:tcW w:w="538" w:type="pct"/>
            <w:tcBorders>
              <w:top w:val="nil"/>
              <w:left w:val="nil"/>
              <w:bottom w:val="nil"/>
              <w:right w:val="nil"/>
            </w:tcBorders>
            <w:shd w:val="clear" w:color="auto" w:fill="auto"/>
            <w:vAlign w:val="center"/>
            <w:hideMark/>
          </w:tcPr>
          <w:p w14:paraId="446C0D7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004DE91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B11</w:t>
            </w:r>
          </w:p>
        </w:tc>
        <w:tc>
          <w:tcPr>
            <w:tcW w:w="2424" w:type="pct"/>
            <w:tcBorders>
              <w:top w:val="nil"/>
              <w:left w:val="nil"/>
              <w:bottom w:val="nil"/>
              <w:right w:val="nil"/>
            </w:tcBorders>
            <w:shd w:val="clear" w:color="auto" w:fill="auto"/>
            <w:vAlign w:val="center"/>
            <w:hideMark/>
          </w:tcPr>
          <w:p w14:paraId="47F42D8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Exemption from interest withholding tax on certain securities</w:t>
            </w:r>
          </w:p>
        </w:tc>
        <w:tc>
          <w:tcPr>
            <w:tcW w:w="528" w:type="pct"/>
            <w:tcBorders>
              <w:top w:val="nil"/>
              <w:left w:val="nil"/>
              <w:bottom w:val="nil"/>
              <w:right w:val="nil"/>
            </w:tcBorders>
            <w:shd w:val="clear" w:color="auto" w:fill="auto"/>
            <w:vAlign w:val="center"/>
            <w:hideMark/>
          </w:tcPr>
          <w:p w14:paraId="7D82D4BA"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2,930</w:t>
            </w:r>
          </w:p>
        </w:tc>
        <w:tc>
          <w:tcPr>
            <w:tcW w:w="592" w:type="pct"/>
            <w:tcBorders>
              <w:top w:val="nil"/>
              <w:left w:val="nil"/>
              <w:bottom w:val="nil"/>
              <w:right w:val="nil"/>
            </w:tcBorders>
            <w:shd w:val="clear" w:color="auto" w:fill="auto"/>
            <w:vAlign w:val="center"/>
            <w:hideMark/>
          </w:tcPr>
          <w:p w14:paraId="1F27DF8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11.5</w:t>
            </w:r>
          </w:p>
        </w:tc>
        <w:tc>
          <w:tcPr>
            <w:tcW w:w="568" w:type="pct"/>
            <w:tcBorders>
              <w:top w:val="nil"/>
              <w:left w:val="nil"/>
              <w:bottom w:val="nil"/>
              <w:right w:val="nil"/>
            </w:tcBorders>
            <w:shd w:val="clear" w:color="auto" w:fill="auto"/>
            <w:vAlign w:val="center"/>
            <w:hideMark/>
          </w:tcPr>
          <w:p w14:paraId="57B61C1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0.3</w:t>
            </w:r>
          </w:p>
        </w:tc>
      </w:tr>
      <w:tr w:rsidR="00924402" w:rsidRPr="00924402" w14:paraId="7542E7B2" w14:textId="77777777" w:rsidTr="00E36D9B">
        <w:trPr>
          <w:trHeight w:hRule="exact" w:val="675"/>
        </w:trPr>
        <w:tc>
          <w:tcPr>
            <w:tcW w:w="538" w:type="pct"/>
            <w:tcBorders>
              <w:top w:val="nil"/>
              <w:left w:val="nil"/>
              <w:bottom w:val="nil"/>
              <w:right w:val="nil"/>
            </w:tcBorders>
            <w:shd w:val="clear" w:color="auto" w:fill="auto"/>
            <w:vAlign w:val="center"/>
            <w:hideMark/>
          </w:tcPr>
          <w:p w14:paraId="40A856B1"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151299B9"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A20</w:t>
            </w:r>
          </w:p>
        </w:tc>
        <w:tc>
          <w:tcPr>
            <w:tcW w:w="2424" w:type="pct"/>
            <w:tcBorders>
              <w:top w:val="nil"/>
              <w:left w:val="nil"/>
              <w:bottom w:val="nil"/>
              <w:right w:val="nil"/>
            </w:tcBorders>
            <w:shd w:val="clear" w:color="auto" w:fill="auto"/>
            <w:vAlign w:val="center"/>
            <w:hideMark/>
          </w:tcPr>
          <w:p w14:paraId="05A012C5" w14:textId="3E523DFA"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Medicare levy exemption for residents with taxable income below the low</w:t>
            </w:r>
            <w:r w:rsidRPr="00180CD6">
              <w:rPr>
                <w:rFonts w:ascii="Arial" w:hAnsi="Arial" w:cs="Arial"/>
                <w:color w:val="000000"/>
                <w:sz w:val="16"/>
                <w:szCs w:val="16"/>
              </w:rPr>
              <w:softHyphen/>
            </w:r>
            <w:r w:rsidRPr="00180CD6">
              <w:rPr>
                <w:rFonts w:ascii="Arial" w:hAnsi="Arial" w:cs="Arial"/>
                <w:color w:val="000000"/>
                <w:sz w:val="16"/>
                <w:szCs w:val="16"/>
              </w:rPr>
              <w:softHyphen/>
            </w:r>
            <w:r w:rsidRPr="00180CD6">
              <w:rPr>
                <w:rFonts w:ascii="Arial" w:hAnsi="Arial" w:cs="Arial"/>
                <w:color w:val="000000"/>
                <w:sz w:val="16"/>
                <w:szCs w:val="16"/>
              </w:rPr>
              <w:softHyphen/>
            </w:r>
            <w:r w:rsidR="008571AB">
              <w:rPr>
                <w:rFonts w:ascii="Arial" w:hAnsi="Arial" w:cs="Arial"/>
                <w:color w:val="000000"/>
                <w:sz w:val="16"/>
                <w:szCs w:val="16"/>
              </w:rPr>
              <w:noBreakHyphen/>
            </w:r>
            <w:r w:rsidRPr="00180CD6">
              <w:rPr>
                <w:rFonts w:ascii="Arial" w:hAnsi="Arial" w:cs="Arial"/>
                <w:color w:val="000000"/>
                <w:sz w:val="16"/>
                <w:szCs w:val="16"/>
              </w:rPr>
              <w:t>income thresholds</w:t>
            </w:r>
          </w:p>
        </w:tc>
        <w:tc>
          <w:tcPr>
            <w:tcW w:w="528" w:type="pct"/>
            <w:tcBorders>
              <w:top w:val="nil"/>
              <w:left w:val="nil"/>
              <w:bottom w:val="nil"/>
              <w:right w:val="nil"/>
            </w:tcBorders>
            <w:shd w:val="clear" w:color="auto" w:fill="auto"/>
            <w:vAlign w:val="center"/>
            <w:hideMark/>
          </w:tcPr>
          <w:p w14:paraId="68FCCAC2"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2,750</w:t>
            </w:r>
          </w:p>
        </w:tc>
        <w:tc>
          <w:tcPr>
            <w:tcW w:w="592" w:type="pct"/>
            <w:tcBorders>
              <w:top w:val="nil"/>
              <w:left w:val="nil"/>
              <w:bottom w:val="nil"/>
              <w:right w:val="nil"/>
            </w:tcBorders>
            <w:shd w:val="clear" w:color="auto" w:fill="auto"/>
            <w:vAlign w:val="center"/>
            <w:hideMark/>
          </w:tcPr>
          <w:p w14:paraId="44FB6159"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1.9</w:t>
            </w:r>
          </w:p>
        </w:tc>
        <w:tc>
          <w:tcPr>
            <w:tcW w:w="568" w:type="pct"/>
            <w:tcBorders>
              <w:top w:val="nil"/>
              <w:left w:val="nil"/>
              <w:bottom w:val="nil"/>
              <w:right w:val="nil"/>
            </w:tcBorders>
            <w:shd w:val="clear" w:color="auto" w:fill="auto"/>
            <w:vAlign w:val="center"/>
            <w:hideMark/>
          </w:tcPr>
          <w:p w14:paraId="7AD26A3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0.5</w:t>
            </w:r>
          </w:p>
        </w:tc>
      </w:tr>
      <w:tr w:rsidR="00924402" w:rsidRPr="00924402" w14:paraId="0E1E8E0C" w14:textId="77777777" w:rsidTr="00E36D9B">
        <w:trPr>
          <w:trHeight w:hRule="exact" w:val="450"/>
        </w:trPr>
        <w:tc>
          <w:tcPr>
            <w:tcW w:w="538" w:type="pct"/>
            <w:tcBorders>
              <w:top w:val="nil"/>
              <w:left w:val="nil"/>
              <w:bottom w:val="nil"/>
              <w:right w:val="nil"/>
            </w:tcBorders>
            <w:shd w:val="clear" w:color="auto" w:fill="auto"/>
            <w:vAlign w:val="center"/>
            <w:hideMark/>
          </w:tcPr>
          <w:p w14:paraId="22BF9EC3"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2C3A6580"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A24</w:t>
            </w:r>
          </w:p>
        </w:tc>
        <w:tc>
          <w:tcPr>
            <w:tcW w:w="2424" w:type="pct"/>
            <w:tcBorders>
              <w:top w:val="nil"/>
              <w:left w:val="nil"/>
              <w:bottom w:val="nil"/>
              <w:right w:val="nil"/>
            </w:tcBorders>
            <w:shd w:val="clear" w:color="auto" w:fill="auto"/>
            <w:vAlign w:val="center"/>
            <w:hideMark/>
          </w:tcPr>
          <w:p w14:paraId="57549DFD" w14:textId="1CE53A33"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Concessional taxation of non</w:t>
            </w:r>
            <w:r w:rsidR="008571AB">
              <w:rPr>
                <w:rFonts w:ascii="Arial" w:hAnsi="Arial" w:cs="Arial"/>
                <w:color w:val="000000"/>
                <w:sz w:val="16"/>
                <w:szCs w:val="16"/>
              </w:rPr>
              <w:noBreakHyphen/>
            </w:r>
            <w:r w:rsidRPr="00180CD6">
              <w:rPr>
                <w:rFonts w:ascii="Arial" w:hAnsi="Arial" w:cs="Arial"/>
                <w:color w:val="000000"/>
                <w:sz w:val="16"/>
                <w:szCs w:val="16"/>
              </w:rPr>
              <w:t>superannuation termination benefits</w:t>
            </w:r>
          </w:p>
        </w:tc>
        <w:tc>
          <w:tcPr>
            <w:tcW w:w="528" w:type="pct"/>
            <w:tcBorders>
              <w:top w:val="nil"/>
              <w:left w:val="nil"/>
              <w:bottom w:val="nil"/>
              <w:right w:val="nil"/>
            </w:tcBorders>
            <w:shd w:val="clear" w:color="auto" w:fill="auto"/>
            <w:vAlign w:val="center"/>
            <w:hideMark/>
          </w:tcPr>
          <w:p w14:paraId="643DDF7B"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2,700</w:t>
            </w:r>
          </w:p>
        </w:tc>
        <w:tc>
          <w:tcPr>
            <w:tcW w:w="592" w:type="pct"/>
            <w:tcBorders>
              <w:top w:val="nil"/>
              <w:left w:val="nil"/>
              <w:bottom w:val="nil"/>
              <w:right w:val="nil"/>
            </w:tcBorders>
            <w:shd w:val="clear" w:color="auto" w:fill="auto"/>
            <w:vAlign w:val="center"/>
            <w:hideMark/>
          </w:tcPr>
          <w:p w14:paraId="34B35317" w14:textId="28DD3392" w:rsidR="00924402" w:rsidRPr="00180CD6" w:rsidRDefault="008571AB" w:rsidP="00180CD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924402" w:rsidRPr="00180CD6">
              <w:rPr>
                <w:rFonts w:ascii="Arial" w:hAnsi="Arial" w:cs="Arial"/>
                <w:color w:val="000000"/>
                <w:sz w:val="16"/>
                <w:szCs w:val="16"/>
              </w:rPr>
              <w:t>5.5</w:t>
            </w:r>
          </w:p>
        </w:tc>
        <w:tc>
          <w:tcPr>
            <w:tcW w:w="568" w:type="pct"/>
            <w:tcBorders>
              <w:top w:val="nil"/>
              <w:left w:val="nil"/>
              <w:bottom w:val="nil"/>
              <w:right w:val="nil"/>
            </w:tcBorders>
            <w:shd w:val="clear" w:color="auto" w:fill="auto"/>
            <w:vAlign w:val="center"/>
            <w:hideMark/>
          </w:tcPr>
          <w:p w14:paraId="5E87784A"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N/A</w:t>
            </w:r>
          </w:p>
        </w:tc>
      </w:tr>
      <w:tr w:rsidR="00924402" w:rsidRPr="00924402" w14:paraId="3D7B711F" w14:textId="77777777" w:rsidTr="00E36D9B">
        <w:trPr>
          <w:trHeight w:hRule="exact" w:val="675"/>
        </w:trPr>
        <w:tc>
          <w:tcPr>
            <w:tcW w:w="538" w:type="pct"/>
            <w:tcBorders>
              <w:top w:val="nil"/>
              <w:left w:val="nil"/>
              <w:bottom w:val="nil"/>
              <w:right w:val="nil"/>
            </w:tcBorders>
            <w:shd w:val="clear" w:color="auto" w:fill="auto"/>
            <w:vAlign w:val="center"/>
            <w:hideMark/>
          </w:tcPr>
          <w:p w14:paraId="453C09B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Super</w:t>
            </w:r>
          </w:p>
        </w:tc>
        <w:tc>
          <w:tcPr>
            <w:tcW w:w="350" w:type="pct"/>
            <w:tcBorders>
              <w:top w:val="nil"/>
              <w:left w:val="nil"/>
              <w:bottom w:val="nil"/>
              <w:right w:val="nil"/>
            </w:tcBorders>
            <w:shd w:val="clear" w:color="auto" w:fill="auto"/>
            <w:vAlign w:val="center"/>
            <w:hideMark/>
          </w:tcPr>
          <w:p w14:paraId="2B4CD95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C6</w:t>
            </w:r>
          </w:p>
        </w:tc>
        <w:tc>
          <w:tcPr>
            <w:tcW w:w="2424" w:type="pct"/>
            <w:tcBorders>
              <w:top w:val="nil"/>
              <w:left w:val="nil"/>
              <w:bottom w:val="nil"/>
              <w:right w:val="nil"/>
            </w:tcBorders>
            <w:shd w:val="clear" w:color="auto" w:fill="auto"/>
            <w:vAlign w:val="center"/>
            <w:hideMark/>
          </w:tcPr>
          <w:p w14:paraId="3E3BAD9C"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Deductibility of life and total and permanent disability insurance premiums provided inside of superannuation</w:t>
            </w:r>
          </w:p>
        </w:tc>
        <w:tc>
          <w:tcPr>
            <w:tcW w:w="528" w:type="pct"/>
            <w:tcBorders>
              <w:top w:val="nil"/>
              <w:left w:val="nil"/>
              <w:bottom w:val="nil"/>
              <w:right w:val="nil"/>
            </w:tcBorders>
            <w:shd w:val="clear" w:color="auto" w:fill="auto"/>
            <w:vAlign w:val="center"/>
            <w:hideMark/>
          </w:tcPr>
          <w:p w14:paraId="128017E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2,340</w:t>
            </w:r>
          </w:p>
        </w:tc>
        <w:tc>
          <w:tcPr>
            <w:tcW w:w="592" w:type="pct"/>
            <w:tcBorders>
              <w:top w:val="nil"/>
              <w:left w:val="nil"/>
              <w:bottom w:val="nil"/>
              <w:right w:val="nil"/>
            </w:tcBorders>
            <w:shd w:val="clear" w:color="auto" w:fill="auto"/>
            <w:vAlign w:val="center"/>
            <w:hideMark/>
          </w:tcPr>
          <w:p w14:paraId="5722F2A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4.6</w:t>
            </w:r>
          </w:p>
        </w:tc>
        <w:tc>
          <w:tcPr>
            <w:tcW w:w="568" w:type="pct"/>
            <w:tcBorders>
              <w:top w:val="nil"/>
              <w:left w:val="nil"/>
              <w:bottom w:val="nil"/>
              <w:right w:val="nil"/>
            </w:tcBorders>
            <w:shd w:val="clear" w:color="auto" w:fill="auto"/>
            <w:vAlign w:val="center"/>
            <w:hideMark/>
          </w:tcPr>
          <w:p w14:paraId="72C2FD47"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4.0</w:t>
            </w:r>
          </w:p>
        </w:tc>
      </w:tr>
      <w:tr w:rsidR="00924402" w:rsidRPr="00924402" w14:paraId="4465C7F4" w14:textId="77777777" w:rsidTr="00E36D9B">
        <w:trPr>
          <w:trHeight w:hRule="exact" w:val="300"/>
        </w:trPr>
        <w:tc>
          <w:tcPr>
            <w:tcW w:w="538" w:type="pct"/>
            <w:tcBorders>
              <w:top w:val="nil"/>
              <w:left w:val="nil"/>
              <w:bottom w:val="nil"/>
              <w:right w:val="nil"/>
            </w:tcBorders>
            <w:shd w:val="clear" w:color="auto" w:fill="auto"/>
            <w:vAlign w:val="center"/>
            <w:hideMark/>
          </w:tcPr>
          <w:p w14:paraId="43AF947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GST</w:t>
            </w:r>
          </w:p>
        </w:tc>
        <w:tc>
          <w:tcPr>
            <w:tcW w:w="350" w:type="pct"/>
            <w:tcBorders>
              <w:top w:val="nil"/>
              <w:left w:val="nil"/>
              <w:bottom w:val="nil"/>
              <w:right w:val="nil"/>
            </w:tcBorders>
            <w:shd w:val="clear" w:color="auto" w:fill="auto"/>
            <w:vAlign w:val="center"/>
            <w:hideMark/>
          </w:tcPr>
          <w:p w14:paraId="41E084A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H5</w:t>
            </w:r>
          </w:p>
        </w:tc>
        <w:tc>
          <w:tcPr>
            <w:tcW w:w="2424" w:type="pct"/>
            <w:tcBorders>
              <w:top w:val="nil"/>
              <w:left w:val="nil"/>
              <w:bottom w:val="nil"/>
              <w:right w:val="nil"/>
            </w:tcBorders>
            <w:shd w:val="clear" w:color="auto" w:fill="auto"/>
            <w:vAlign w:val="center"/>
            <w:hideMark/>
          </w:tcPr>
          <w:p w14:paraId="5D4D130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Child care services</w:t>
            </w:r>
          </w:p>
        </w:tc>
        <w:tc>
          <w:tcPr>
            <w:tcW w:w="528" w:type="pct"/>
            <w:tcBorders>
              <w:top w:val="nil"/>
              <w:left w:val="nil"/>
              <w:bottom w:val="nil"/>
              <w:right w:val="nil"/>
            </w:tcBorders>
            <w:shd w:val="clear" w:color="auto" w:fill="auto"/>
            <w:vAlign w:val="center"/>
            <w:hideMark/>
          </w:tcPr>
          <w:p w14:paraId="70E05ED1"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2,330</w:t>
            </w:r>
          </w:p>
        </w:tc>
        <w:tc>
          <w:tcPr>
            <w:tcW w:w="592" w:type="pct"/>
            <w:tcBorders>
              <w:top w:val="nil"/>
              <w:left w:val="nil"/>
              <w:bottom w:val="nil"/>
              <w:right w:val="nil"/>
            </w:tcBorders>
            <w:shd w:val="clear" w:color="auto" w:fill="auto"/>
            <w:vAlign w:val="center"/>
            <w:hideMark/>
          </w:tcPr>
          <w:p w14:paraId="6AA25F40"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11.2</w:t>
            </w:r>
          </w:p>
        </w:tc>
        <w:tc>
          <w:tcPr>
            <w:tcW w:w="568" w:type="pct"/>
            <w:tcBorders>
              <w:top w:val="nil"/>
              <w:left w:val="nil"/>
              <w:bottom w:val="nil"/>
              <w:right w:val="nil"/>
            </w:tcBorders>
            <w:shd w:val="clear" w:color="auto" w:fill="auto"/>
            <w:vAlign w:val="center"/>
            <w:hideMark/>
          </w:tcPr>
          <w:p w14:paraId="722D06AB"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5.0</w:t>
            </w:r>
          </w:p>
        </w:tc>
      </w:tr>
      <w:tr w:rsidR="00924402" w:rsidRPr="00924402" w14:paraId="5F6DACEE" w14:textId="77777777" w:rsidTr="00E36D9B">
        <w:trPr>
          <w:trHeight w:hRule="exact" w:val="300"/>
        </w:trPr>
        <w:tc>
          <w:tcPr>
            <w:tcW w:w="538" w:type="pct"/>
            <w:tcBorders>
              <w:top w:val="nil"/>
              <w:left w:val="nil"/>
              <w:bottom w:val="nil"/>
              <w:right w:val="nil"/>
            </w:tcBorders>
            <w:shd w:val="clear" w:color="auto" w:fill="auto"/>
            <w:vAlign w:val="center"/>
            <w:hideMark/>
          </w:tcPr>
          <w:p w14:paraId="0FB4C2F8"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nil"/>
              <w:right w:val="nil"/>
            </w:tcBorders>
            <w:shd w:val="clear" w:color="auto" w:fill="auto"/>
            <w:vAlign w:val="center"/>
            <w:hideMark/>
          </w:tcPr>
          <w:p w14:paraId="24A86A14"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B1</w:t>
            </w:r>
          </w:p>
        </w:tc>
        <w:tc>
          <w:tcPr>
            <w:tcW w:w="2424" w:type="pct"/>
            <w:tcBorders>
              <w:top w:val="nil"/>
              <w:left w:val="nil"/>
              <w:bottom w:val="nil"/>
              <w:right w:val="nil"/>
            </w:tcBorders>
            <w:shd w:val="clear" w:color="auto" w:fill="auto"/>
            <w:vAlign w:val="center"/>
            <w:hideMark/>
          </w:tcPr>
          <w:p w14:paraId="6BFA4DC4"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Local government bodies income tax exemption</w:t>
            </w:r>
          </w:p>
        </w:tc>
        <w:tc>
          <w:tcPr>
            <w:tcW w:w="528" w:type="pct"/>
            <w:tcBorders>
              <w:top w:val="nil"/>
              <w:left w:val="nil"/>
              <w:bottom w:val="nil"/>
              <w:right w:val="nil"/>
            </w:tcBorders>
            <w:shd w:val="clear" w:color="auto" w:fill="auto"/>
            <w:vAlign w:val="center"/>
            <w:hideMark/>
          </w:tcPr>
          <w:p w14:paraId="7C86437F"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2,060</w:t>
            </w:r>
          </w:p>
        </w:tc>
        <w:tc>
          <w:tcPr>
            <w:tcW w:w="592" w:type="pct"/>
            <w:tcBorders>
              <w:top w:val="nil"/>
              <w:left w:val="nil"/>
              <w:bottom w:val="nil"/>
              <w:right w:val="nil"/>
            </w:tcBorders>
            <w:shd w:val="clear" w:color="auto" w:fill="auto"/>
            <w:vAlign w:val="center"/>
            <w:hideMark/>
          </w:tcPr>
          <w:p w14:paraId="45D86389"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5.9</w:t>
            </w:r>
          </w:p>
        </w:tc>
        <w:tc>
          <w:tcPr>
            <w:tcW w:w="568" w:type="pct"/>
            <w:tcBorders>
              <w:top w:val="nil"/>
              <w:left w:val="nil"/>
              <w:bottom w:val="nil"/>
              <w:right w:val="nil"/>
            </w:tcBorders>
            <w:shd w:val="clear" w:color="auto" w:fill="auto"/>
            <w:vAlign w:val="center"/>
            <w:hideMark/>
          </w:tcPr>
          <w:p w14:paraId="196F571D"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1.3</w:t>
            </w:r>
          </w:p>
        </w:tc>
      </w:tr>
      <w:tr w:rsidR="00924402" w:rsidRPr="00924402" w14:paraId="2ACF2A94" w14:textId="77777777" w:rsidTr="00E36D9B">
        <w:trPr>
          <w:trHeight w:hRule="exact" w:val="450"/>
        </w:trPr>
        <w:tc>
          <w:tcPr>
            <w:tcW w:w="538" w:type="pct"/>
            <w:tcBorders>
              <w:top w:val="nil"/>
              <w:left w:val="nil"/>
              <w:bottom w:val="nil"/>
              <w:right w:val="nil"/>
            </w:tcBorders>
            <w:shd w:val="clear" w:color="auto" w:fill="auto"/>
            <w:vAlign w:val="center"/>
            <w:hideMark/>
          </w:tcPr>
          <w:p w14:paraId="0D90058C"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Super</w:t>
            </w:r>
          </w:p>
        </w:tc>
        <w:tc>
          <w:tcPr>
            <w:tcW w:w="350" w:type="pct"/>
            <w:tcBorders>
              <w:top w:val="nil"/>
              <w:left w:val="nil"/>
              <w:bottom w:val="nil"/>
              <w:right w:val="nil"/>
            </w:tcBorders>
            <w:shd w:val="clear" w:color="auto" w:fill="auto"/>
            <w:vAlign w:val="center"/>
            <w:hideMark/>
          </w:tcPr>
          <w:p w14:paraId="69319297"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C1</w:t>
            </w:r>
          </w:p>
        </w:tc>
        <w:tc>
          <w:tcPr>
            <w:tcW w:w="2424" w:type="pct"/>
            <w:tcBorders>
              <w:top w:val="nil"/>
              <w:left w:val="nil"/>
              <w:bottom w:val="nil"/>
              <w:right w:val="nil"/>
            </w:tcBorders>
            <w:shd w:val="clear" w:color="auto" w:fill="auto"/>
            <w:vAlign w:val="center"/>
            <w:hideMark/>
          </w:tcPr>
          <w:p w14:paraId="2DD196AE"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Concessional taxation of capital gains for superannuation funds</w:t>
            </w:r>
          </w:p>
        </w:tc>
        <w:tc>
          <w:tcPr>
            <w:tcW w:w="528" w:type="pct"/>
            <w:tcBorders>
              <w:top w:val="nil"/>
              <w:left w:val="nil"/>
              <w:bottom w:val="nil"/>
              <w:right w:val="nil"/>
            </w:tcBorders>
            <w:shd w:val="clear" w:color="auto" w:fill="auto"/>
            <w:vAlign w:val="center"/>
            <w:hideMark/>
          </w:tcPr>
          <w:p w14:paraId="5C8E534C"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2,000</w:t>
            </w:r>
          </w:p>
        </w:tc>
        <w:tc>
          <w:tcPr>
            <w:tcW w:w="592" w:type="pct"/>
            <w:tcBorders>
              <w:top w:val="nil"/>
              <w:left w:val="nil"/>
              <w:bottom w:val="nil"/>
              <w:right w:val="nil"/>
            </w:tcBorders>
            <w:shd w:val="clear" w:color="auto" w:fill="auto"/>
            <w:vAlign w:val="center"/>
            <w:hideMark/>
          </w:tcPr>
          <w:p w14:paraId="5B1E6C64" w14:textId="0D88BFC3" w:rsidR="00924402" w:rsidRPr="00180CD6" w:rsidRDefault="008571AB" w:rsidP="00180CD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924402" w:rsidRPr="00180CD6">
              <w:rPr>
                <w:rFonts w:ascii="Arial" w:hAnsi="Arial" w:cs="Arial"/>
                <w:color w:val="000000"/>
                <w:sz w:val="16"/>
                <w:szCs w:val="16"/>
              </w:rPr>
              <w:t>15.5</w:t>
            </w:r>
          </w:p>
        </w:tc>
        <w:tc>
          <w:tcPr>
            <w:tcW w:w="568" w:type="pct"/>
            <w:tcBorders>
              <w:top w:val="nil"/>
              <w:left w:val="nil"/>
              <w:bottom w:val="nil"/>
              <w:right w:val="nil"/>
            </w:tcBorders>
            <w:shd w:val="clear" w:color="auto" w:fill="auto"/>
            <w:vAlign w:val="center"/>
            <w:hideMark/>
          </w:tcPr>
          <w:p w14:paraId="393113BE" w14:textId="695E07E0"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11</w:t>
            </w:r>
            <w:r w:rsidR="00196B66">
              <w:rPr>
                <w:rFonts w:ascii="Arial" w:hAnsi="Arial" w:cs="Arial"/>
                <w:color w:val="000000"/>
                <w:sz w:val="16"/>
                <w:szCs w:val="16"/>
              </w:rPr>
              <w:t>.0</w:t>
            </w:r>
          </w:p>
        </w:tc>
      </w:tr>
      <w:tr w:rsidR="00924402" w:rsidRPr="00924402" w14:paraId="4113BD43" w14:textId="77777777" w:rsidTr="00E36D9B">
        <w:trPr>
          <w:trHeight w:hRule="exact" w:val="450"/>
        </w:trPr>
        <w:tc>
          <w:tcPr>
            <w:tcW w:w="538" w:type="pct"/>
            <w:tcBorders>
              <w:top w:val="nil"/>
              <w:left w:val="nil"/>
              <w:bottom w:val="nil"/>
              <w:right w:val="nil"/>
            </w:tcBorders>
            <w:shd w:val="clear" w:color="auto" w:fill="auto"/>
            <w:vAlign w:val="center"/>
            <w:hideMark/>
          </w:tcPr>
          <w:p w14:paraId="68A13F56"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Super</w:t>
            </w:r>
          </w:p>
        </w:tc>
        <w:tc>
          <w:tcPr>
            <w:tcW w:w="350" w:type="pct"/>
            <w:tcBorders>
              <w:top w:val="nil"/>
              <w:left w:val="nil"/>
              <w:bottom w:val="nil"/>
              <w:right w:val="nil"/>
            </w:tcBorders>
            <w:shd w:val="clear" w:color="auto" w:fill="auto"/>
            <w:vAlign w:val="center"/>
            <w:hideMark/>
          </w:tcPr>
          <w:p w14:paraId="0D07C2B4"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C3</w:t>
            </w:r>
          </w:p>
        </w:tc>
        <w:tc>
          <w:tcPr>
            <w:tcW w:w="2424" w:type="pct"/>
            <w:tcBorders>
              <w:top w:val="nil"/>
              <w:left w:val="nil"/>
              <w:bottom w:val="nil"/>
              <w:right w:val="nil"/>
            </w:tcBorders>
            <w:shd w:val="clear" w:color="auto" w:fill="auto"/>
            <w:vAlign w:val="center"/>
            <w:hideMark/>
          </w:tcPr>
          <w:p w14:paraId="7DC51B8C"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Concessional taxation of personal superannuation contributions</w:t>
            </w:r>
          </w:p>
        </w:tc>
        <w:tc>
          <w:tcPr>
            <w:tcW w:w="528" w:type="pct"/>
            <w:tcBorders>
              <w:top w:val="nil"/>
              <w:left w:val="nil"/>
              <w:bottom w:val="nil"/>
              <w:right w:val="nil"/>
            </w:tcBorders>
            <w:shd w:val="clear" w:color="auto" w:fill="auto"/>
            <w:vAlign w:val="center"/>
            <w:hideMark/>
          </w:tcPr>
          <w:p w14:paraId="0DBED7DA"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1,800</w:t>
            </w:r>
          </w:p>
        </w:tc>
        <w:tc>
          <w:tcPr>
            <w:tcW w:w="592" w:type="pct"/>
            <w:tcBorders>
              <w:top w:val="nil"/>
              <w:left w:val="nil"/>
              <w:bottom w:val="nil"/>
              <w:right w:val="nil"/>
            </w:tcBorders>
            <w:shd w:val="clear" w:color="auto" w:fill="auto"/>
            <w:vAlign w:val="center"/>
            <w:hideMark/>
          </w:tcPr>
          <w:p w14:paraId="6D6B81C3" w14:textId="34BAB8DF"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20</w:t>
            </w:r>
            <w:r w:rsidR="00196B66">
              <w:rPr>
                <w:rFonts w:ascii="Arial" w:hAnsi="Arial" w:cs="Arial"/>
                <w:color w:val="000000"/>
                <w:sz w:val="16"/>
                <w:szCs w:val="16"/>
              </w:rPr>
              <w:t>.0</w:t>
            </w:r>
          </w:p>
        </w:tc>
        <w:tc>
          <w:tcPr>
            <w:tcW w:w="568" w:type="pct"/>
            <w:tcBorders>
              <w:top w:val="nil"/>
              <w:left w:val="nil"/>
              <w:bottom w:val="nil"/>
              <w:right w:val="nil"/>
            </w:tcBorders>
            <w:shd w:val="clear" w:color="auto" w:fill="auto"/>
            <w:vAlign w:val="center"/>
            <w:hideMark/>
          </w:tcPr>
          <w:p w14:paraId="505DFF30"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3.1</w:t>
            </w:r>
          </w:p>
        </w:tc>
      </w:tr>
      <w:tr w:rsidR="00924402" w:rsidRPr="00924402" w14:paraId="6A1A3A97" w14:textId="77777777" w:rsidTr="00E36D9B">
        <w:trPr>
          <w:trHeight w:hRule="exact" w:val="315"/>
        </w:trPr>
        <w:tc>
          <w:tcPr>
            <w:tcW w:w="538" w:type="pct"/>
            <w:tcBorders>
              <w:top w:val="nil"/>
              <w:left w:val="nil"/>
              <w:bottom w:val="single" w:sz="4" w:space="0" w:color="293F5B"/>
              <w:right w:val="nil"/>
            </w:tcBorders>
            <w:shd w:val="clear" w:color="auto" w:fill="auto"/>
            <w:vAlign w:val="center"/>
            <w:hideMark/>
          </w:tcPr>
          <w:p w14:paraId="2D50919A"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Income</w:t>
            </w:r>
          </w:p>
        </w:tc>
        <w:tc>
          <w:tcPr>
            <w:tcW w:w="350" w:type="pct"/>
            <w:tcBorders>
              <w:top w:val="nil"/>
              <w:left w:val="nil"/>
              <w:bottom w:val="single" w:sz="4" w:space="0" w:color="293F5B"/>
              <w:right w:val="nil"/>
            </w:tcBorders>
            <w:shd w:val="clear" w:color="auto" w:fill="auto"/>
            <w:vAlign w:val="center"/>
            <w:hideMark/>
          </w:tcPr>
          <w:p w14:paraId="06EE87C2"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A39</w:t>
            </w:r>
          </w:p>
        </w:tc>
        <w:tc>
          <w:tcPr>
            <w:tcW w:w="2424" w:type="pct"/>
            <w:tcBorders>
              <w:top w:val="nil"/>
              <w:left w:val="nil"/>
              <w:bottom w:val="single" w:sz="4" w:space="0" w:color="293F5B"/>
              <w:right w:val="nil"/>
            </w:tcBorders>
            <w:shd w:val="clear" w:color="auto" w:fill="auto"/>
            <w:vAlign w:val="center"/>
            <w:hideMark/>
          </w:tcPr>
          <w:p w14:paraId="07DAC38B" w14:textId="77777777" w:rsidR="00924402" w:rsidRPr="00180CD6" w:rsidRDefault="00924402" w:rsidP="00180CD6">
            <w:pPr>
              <w:spacing w:before="0" w:after="0" w:line="240" w:lineRule="auto"/>
              <w:rPr>
                <w:rFonts w:ascii="Arial" w:hAnsi="Arial" w:cs="Arial"/>
                <w:color w:val="000000"/>
                <w:sz w:val="16"/>
                <w:szCs w:val="16"/>
              </w:rPr>
            </w:pPr>
            <w:r w:rsidRPr="00180CD6">
              <w:rPr>
                <w:rFonts w:ascii="Arial" w:hAnsi="Arial" w:cs="Arial"/>
                <w:color w:val="000000"/>
                <w:sz w:val="16"/>
                <w:szCs w:val="16"/>
              </w:rPr>
              <w:t>Exemption of Family Tax Benefit payments</w:t>
            </w:r>
          </w:p>
        </w:tc>
        <w:tc>
          <w:tcPr>
            <w:tcW w:w="528" w:type="pct"/>
            <w:tcBorders>
              <w:top w:val="nil"/>
              <w:left w:val="nil"/>
              <w:bottom w:val="single" w:sz="4" w:space="0" w:color="293F5B"/>
              <w:right w:val="nil"/>
            </w:tcBorders>
            <w:shd w:val="clear" w:color="auto" w:fill="auto"/>
            <w:vAlign w:val="center"/>
            <w:hideMark/>
          </w:tcPr>
          <w:p w14:paraId="6E8C6976"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1,780</w:t>
            </w:r>
          </w:p>
        </w:tc>
        <w:tc>
          <w:tcPr>
            <w:tcW w:w="592" w:type="pct"/>
            <w:tcBorders>
              <w:top w:val="nil"/>
              <w:left w:val="nil"/>
              <w:bottom w:val="single" w:sz="4" w:space="0" w:color="293F5B"/>
              <w:right w:val="nil"/>
            </w:tcBorders>
            <w:shd w:val="clear" w:color="auto" w:fill="auto"/>
            <w:vAlign w:val="center"/>
            <w:hideMark/>
          </w:tcPr>
          <w:p w14:paraId="1BB6B607"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1.6</w:t>
            </w:r>
          </w:p>
        </w:tc>
        <w:tc>
          <w:tcPr>
            <w:tcW w:w="568" w:type="pct"/>
            <w:tcBorders>
              <w:top w:val="nil"/>
              <w:left w:val="nil"/>
              <w:bottom w:val="single" w:sz="4" w:space="0" w:color="293F5B"/>
              <w:right w:val="nil"/>
            </w:tcBorders>
            <w:shd w:val="clear" w:color="auto" w:fill="auto"/>
            <w:vAlign w:val="center"/>
            <w:hideMark/>
          </w:tcPr>
          <w:p w14:paraId="4B71DC38" w14:textId="77777777" w:rsidR="00924402" w:rsidRPr="00180CD6" w:rsidRDefault="00924402" w:rsidP="00180CD6">
            <w:pPr>
              <w:spacing w:before="0" w:after="0" w:line="240" w:lineRule="auto"/>
              <w:jc w:val="right"/>
              <w:rPr>
                <w:rFonts w:ascii="Arial" w:hAnsi="Arial" w:cs="Arial"/>
                <w:color w:val="000000"/>
                <w:sz w:val="16"/>
                <w:szCs w:val="16"/>
              </w:rPr>
            </w:pPr>
            <w:r w:rsidRPr="00180CD6">
              <w:rPr>
                <w:rFonts w:ascii="Arial" w:hAnsi="Arial" w:cs="Arial"/>
                <w:color w:val="000000"/>
                <w:sz w:val="16"/>
                <w:szCs w:val="16"/>
              </w:rPr>
              <w:t>0.7</w:t>
            </w:r>
          </w:p>
        </w:tc>
      </w:tr>
    </w:tbl>
    <w:p w14:paraId="197B9D93" w14:textId="6E8599EC" w:rsidR="000F2AAD" w:rsidRDefault="000F2AAD" w:rsidP="00BF7883">
      <w:pPr>
        <w:pStyle w:val="ChartandTableFootnote"/>
        <w:ind w:left="0" w:firstLine="0"/>
      </w:pPr>
      <w:r w:rsidRPr="005165F4">
        <w:t xml:space="preserve">* For deductions, </w:t>
      </w:r>
      <w:r w:rsidR="008571AB">
        <w:t>‘</w:t>
      </w:r>
      <w:r w:rsidRPr="005165F4">
        <w:t>Revenue forgone</w:t>
      </w:r>
      <w:r w:rsidR="008571AB">
        <w:t>’</w:t>
      </w:r>
      <w:r w:rsidRPr="005165F4">
        <w:t xml:space="preserve"> refers to the reduction in tax in relation to the specified income year due to the utilisation of deductions.</w:t>
      </w:r>
    </w:p>
    <w:p w14:paraId="30E2C8BA" w14:textId="77777777" w:rsidR="0050443E" w:rsidRPr="0050443E" w:rsidRDefault="0050443E" w:rsidP="0050443E">
      <w:pPr>
        <w:pStyle w:val="TableLine"/>
      </w:pPr>
    </w:p>
    <w:p w14:paraId="100BFC8A" w14:textId="1B823DB2" w:rsidR="005468A2" w:rsidRPr="00B921CF" w:rsidRDefault="00656E82" w:rsidP="00B921CF">
      <w:pPr>
        <w:pStyle w:val="TableHeadingcontinued"/>
        <w:rPr>
          <w:rFonts w:ascii="Arial" w:hAnsi="Arial"/>
        </w:rPr>
      </w:pPr>
      <w:r w:rsidRPr="00180CD6">
        <w:lastRenderedPageBreak/>
        <w:t xml:space="preserve">Table D.1: Estimates of large measured tax expenditures and </w:t>
      </w:r>
      <w:r w:rsidR="00E93DDD" w:rsidRPr="00180CD6">
        <w:t>deductions</w:t>
      </w:r>
      <w:r w:rsidRPr="00E93DDD">
        <w:t xml:space="preserve"> </w:t>
      </w:r>
      <w:r w:rsidRPr="00180CD6">
        <w:t>(continued</w:t>
      </w:r>
      <w:r w:rsidR="00607BEE" w:rsidRPr="00B921CF">
        <w:t>)</w:t>
      </w:r>
    </w:p>
    <w:tbl>
      <w:tblPr>
        <w:tblW w:w="5000" w:type="pct"/>
        <w:tblCellMar>
          <w:left w:w="0" w:type="dxa"/>
          <w:right w:w="28" w:type="dxa"/>
        </w:tblCellMar>
        <w:tblLook w:val="04A0" w:firstRow="1" w:lastRow="0" w:firstColumn="1" w:lastColumn="0" w:noHBand="0" w:noVBand="1"/>
      </w:tblPr>
      <w:tblGrid>
        <w:gridCol w:w="997"/>
        <w:gridCol w:w="683"/>
        <w:gridCol w:w="3388"/>
        <w:gridCol w:w="828"/>
        <w:gridCol w:w="927"/>
        <w:gridCol w:w="887"/>
      </w:tblGrid>
      <w:tr w:rsidR="005468A2" w:rsidRPr="005468A2" w14:paraId="3B9CB3A1" w14:textId="77777777" w:rsidTr="000F0BC8">
        <w:trPr>
          <w:trHeight w:hRule="exact" w:val="959"/>
        </w:trPr>
        <w:tc>
          <w:tcPr>
            <w:tcW w:w="647" w:type="pct"/>
            <w:tcBorders>
              <w:top w:val="single" w:sz="4" w:space="0" w:color="293F5B"/>
              <w:left w:val="nil"/>
              <w:bottom w:val="single" w:sz="4" w:space="0" w:color="293F5B"/>
              <w:right w:val="nil"/>
            </w:tcBorders>
            <w:shd w:val="clear" w:color="auto" w:fill="auto"/>
            <w:vAlign w:val="center"/>
            <w:hideMark/>
          </w:tcPr>
          <w:p w14:paraId="08C203A9" w14:textId="67DFCEC3" w:rsidR="005468A2" w:rsidRPr="005468A2" w:rsidRDefault="005468A2" w:rsidP="00180CD6">
            <w:pPr>
              <w:pStyle w:val="ChartandTableFootnote"/>
              <w:ind w:left="0" w:firstLine="0"/>
              <w:rPr>
                <w:rFonts w:cs="Arial"/>
                <w:b/>
                <w:bCs/>
                <w:szCs w:val="16"/>
              </w:rPr>
            </w:pPr>
            <w:r w:rsidRPr="005468A2">
              <w:rPr>
                <w:rFonts w:cs="Arial"/>
                <w:b/>
                <w:bCs/>
                <w:szCs w:val="16"/>
              </w:rPr>
              <w:t>Tax type</w:t>
            </w:r>
            <w:r w:rsidRPr="005468A2">
              <w:rPr>
                <w:rFonts w:cs="Arial"/>
                <w:b/>
                <w:bCs/>
                <w:szCs w:val="16"/>
              </w:rPr>
              <w:br/>
              <w:t>affected</w:t>
            </w:r>
          </w:p>
        </w:tc>
        <w:tc>
          <w:tcPr>
            <w:tcW w:w="443" w:type="pct"/>
            <w:tcBorders>
              <w:top w:val="single" w:sz="4" w:space="0" w:color="293F5B"/>
              <w:left w:val="nil"/>
              <w:bottom w:val="single" w:sz="4" w:space="0" w:color="293F5B"/>
              <w:right w:val="nil"/>
            </w:tcBorders>
            <w:shd w:val="clear" w:color="auto" w:fill="auto"/>
            <w:vAlign w:val="center"/>
            <w:hideMark/>
          </w:tcPr>
          <w:p w14:paraId="16132D88" w14:textId="77777777" w:rsidR="005468A2" w:rsidRPr="00180CD6" w:rsidRDefault="005468A2" w:rsidP="00180CD6">
            <w:pPr>
              <w:pStyle w:val="ChartandTableFootnote"/>
              <w:ind w:left="0" w:firstLine="0"/>
              <w:rPr>
                <w:rFonts w:cs="Arial"/>
                <w:b/>
                <w:bCs/>
                <w:szCs w:val="16"/>
              </w:rPr>
            </w:pPr>
            <w:r w:rsidRPr="00180CD6">
              <w:rPr>
                <w:rFonts w:cs="Arial"/>
                <w:b/>
                <w:bCs/>
                <w:szCs w:val="16"/>
              </w:rPr>
              <w:t>Code</w:t>
            </w:r>
          </w:p>
        </w:tc>
        <w:tc>
          <w:tcPr>
            <w:tcW w:w="2197" w:type="pct"/>
            <w:tcBorders>
              <w:top w:val="single" w:sz="4" w:space="0" w:color="293F5B"/>
              <w:left w:val="nil"/>
              <w:bottom w:val="single" w:sz="4" w:space="0" w:color="293F5B"/>
              <w:right w:val="nil"/>
            </w:tcBorders>
            <w:shd w:val="clear" w:color="auto" w:fill="auto"/>
            <w:vAlign w:val="center"/>
            <w:hideMark/>
          </w:tcPr>
          <w:p w14:paraId="78C68AA7" w14:textId="77777777" w:rsidR="005468A2" w:rsidRPr="00180CD6" w:rsidRDefault="005468A2" w:rsidP="00180CD6">
            <w:pPr>
              <w:pStyle w:val="ChartandTableFootnote"/>
              <w:ind w:left="0" w:firstLine="0"/>
              <w:rPr>
                <w:rFonts w:cs="Arial"/>
                <w:b/>
                <w:bCs/>
                <w:szCs w:val="16"/>
              </w:rPr>
            </w:pPr>
            <w:r w:rsidRPr="00180CD6">
              <w:rPr>
                <w:rFonts w:cs="Arial"/>
                <w:b/>
                <w:bCs/>
                <w:szCs w:val="16"/>
              </w:rPr>
              <w:t>Title</w:t>
            </w:r>
          </w:p>
        </w:tc>
        <w:tc>
          <w:tcPr>
            <w:tcW w:w="537" w:type="pct"/>
            <w:tcBorders>
              <w:top w:val="single" w:sz="4" w:space="0" w:color="293F5B"/>
              <w:left w:val="nil"/>
              <w:bottom w:val="single" w:sz="4" w:space="0" w:color="293F5B"/>
              <w:right w:val="nil"/>
            </w:tcBorders>
            <w:shd w:val="clear" w:color="auto" w:fill="auto"/>
            <w:vAlign w:val="center"/>
            <w:hideMark/>
          </w:tcPr>
          <w:p w14:paraId="73C2171C" w14:textId="48FBE541" w:rsidR="005468A2" w:rsidRPr="00180CD6" w:rsidRDefault="005468A2" w:rsidP="006143F3">
            <w:pPr>
              <w:pStyle w:val="ChartandTableFootnote"/>
              <w:ind w:left="0" w:firstLine="0"/>
              <w:jc w:val="right"/>
              <w:rPr>
                <w:rFonts w:cs="Arial"/>
                <w:b/>
                <w:bCs/>
                <w:szCs w:val="16"/>
              </w:rPr>
            </w:pPr>
            <w:r w:rsidRPr="00180CD6">
              <w:rPr>
                <w:rFonts w:cs="Arial"/>
                <w:b/>
                <w:bCs/>
                <w:szCs w:val="16"/>
              </w:rPr>
              <w:t xml:space="preserve">Revenue </w:t>
            </w:r>
            <w:r w:rsidRPr="00180CD6">
              <w:rPr>
                <w:rFonts w:cs="Arial"/>
                <w:b/>
                <w:bCs/>
                <w:szCs w:val="16"/>
              </w:rPr>
              <w:br/>
              <w:t xml:space="preserve">forgone </w:t>
            </w:r>
            <w:r w:rsidRPr="00180CD6">
              <w:rPr>
                <w:rFonts w:cs="Arial"/>
                <w:b/>
                <w:bCs/>
                <w:szCs w:val="16"/>
              </w:rPr>
              <w:br/>
              <w:t>2024</w:t>
            </w:r>
            <w:r w:rsidR="008571AB">
              <w:rPr>
                <w:rFonts w:cs="Arial"/>
                <w:b/>
                <w:bCs/>
                <w:szCs w:val="16"/>
              </w:rPr>
              <w:noBreakHyphen/>
            </w:r>
            <w:r w:rsidRPr="00180CD6">
              <w:rPr>
                <w:rFonts w:cs="Arial"/>
                <w:b/>
                <w:bCs/>
                <w:szCs w:val="16"/>
              </w:rPr>
              <w:t>25</w:t>
            </w:r>
            <w:r w:rsidRPr="00180CD6">
              <w:rPr>
                <w:rFonts w:cs="Arial"/>
                <w:b/>
                <w:bCs/>
                <w:szCs w:val="16"/>
              </w:rPr>
              <w:br/>
              <w:t>($m)*</w:t>
            </w:r>
          </w:p>
        </w:tc>
        <w:tc>
          <w:tcPr>
            <w:tcW w:w="601" w:type="pct"/>
            <w:tcBorders>
              <w:top w:val="single" w:sz="4" w:space="0" w:color="293F5B"/>
              <w:left w:val="nil"/>
              <w:bottom w:val="single" w:sz="4" w:space="0" w:color="293F5B"/>
              <w:right w:val="nil"/>
            </w:tcBorders>
            <w:shd w:val="clear" w:color="auto" w:fill="auto"/>
            <w:vAlign w:val="center"/>
            <w:hideMark/>
          </w:tcPr>
          <w:p w14:paraId="77FD837B" w14:textId="5E19B5F0" w:rsidR="005468A2" w:rsidRPr="00180CD6" w:rsidRDefault="005468A2" w:rsidP="006143F3">
            <w:pPr>
              <w:pStyle w:val="ChartandTableFootnote"/>
              <w:ind w:left="0" w:firstLine="0"/>
              <w:jc w:val="right"/>
              <w:rPr>
                <w:rFonts w:cs="Arial"/>
                <w:b/>
                <w:bCs/>
                <w:szCs w:val="16"/>
              </w:rPr>
            </w:pPr>
            <w:r w:rsidRPr="00180CD6">
              <w:rPr>
                <w:rFonts w:cs="Arial"/>
                <w:b/>
                <w:bCs/>
                <w:szCs w:val="16"/>
              </w:rPr>
              <w:t xml:space="preserve">Average </w:t>
            </w:r>
            <w:r w:rsidRPr="00180CD6">
              <w:rPr>
                <w:rFonts w:cs="Arial"/>
                <w:b/>
                <w:bCs/>
                <w:szCs w:val="16"/>
              </w:rPr>
              <w:br/>
              <w:t>growth</w:t>
            </w:r>
            <w:r w:rsidRPr="00180CD6">
              <w:rPr>
                <w:rFonts w:cs="Arial"/>
                <w:b/>
                <w:bCs/>
                <w:szCs w:val="16"/>
              </w:rPr>
              <w:br/>
              <w:t>2020</w:t>
            </w:r>
            <w:r w:rsidR="008571AB">
              <w:rPr>
                <w:rFonts w:cs="Arial"/>
                <w:b/>
                <w:bCs/>
                <w:szCs w:val="16"/>
              </w:rPr>
              <w:noBreakHyphen/>
            </w:r>
            <w:r w:rsidRPr="00180CD6">
              <w:rPr>
                <w:rFonts w:cs="Arial"/>
                <w:b/>
                <w:bCs/>
                <w:szCs w:val="16"/>
              </w:rPr>
              <w:t>21 to</w:t>
            </w:r>
            <w:r w:rsidRPr="00180CD6">
              <w:rPr>
                <w:rFonts w:cs="Arial"/>
                <w:b/>
                <w:bCs/>
                <w:szCs w:val="16"/>
              </w:rPr>
              <w:br/>
              <w:t>2023</w:t>
            </w:r>
            <w:r w:rsidR="008571AB">
              <w:rPr>
                <w:rFonts w:cs="Arial"/>
                <w:b/>
                <w:bCs/>
                <w:szCs w:val="16"/>
              </w:rPr>
              <w:noBreakHyphen/>
            </w:r>
            <w:r w:rsidRPr="00180CD6">
              <w:rPr>
                <w:rFonts w:cs="Arial"/>
                <w:b/>
                <w:bCs/>
                <w:szCs w:val="16"/>
              </w:rPr>
              <w:t>24</w:t>
            </w:r>
            <w:r w:rsidRPr="00180CD6">
              <w:rPr>
                <w:rFonts w:cs="Arial"/>
                <w:b/>
                <w:bCs/>
                <w:szCs w:val="16"/>
              </w:rPr>
              <w:br/>
              <w:t>(%)</w:t>
            </w:r>
          </w:p>
        </w:tc>
        <w:tc>
          <w:tcPr>
            <w:tcW w:w="575" w:type="pct"/>
            <w:tcBorders>
              <w:top w:val="single" w:sz="4" w:space="0" w:color="293F5B"/>
              <w:left w:val="nil"/>
              <w:bottom w:val="single" w:sz="4" w:space="0" w:color="293F5B"/>
              <w:right w:val="nil"/>
            </w:tcBorders>
            <w:shd w:val="clear" w:color="auto" w:fill="auto"/>
            <w:vAlign w:val="center"/>
            <w:hideMark/>
          </w:tcPr>
          <w:p w14:paraId="53A9FEB1" w14:textId="77777777" w:rsidR="005468A2" w:rsidRPr="00180CD6" w:rsidRDefault="005468A2" w:rsidP="006143F3">
            <w:pPr>
              <w:pStyle w:val="ChartandTableFootnote"/>
              <w:ind w:left="0" w:firstLine="0"/>
              <w:jc w:val="right"/>
              <w:rPr>
                <w:rFonts w:cs="Arial"/>
                <w:b/>
                <w:bCs/>
                <w:szCs w:val="16"/>
              </w:rPr>
            </w:pPr>
            <w:r w:rsidRPr="00180CD6">
              <w:rPr>
                <w:rFonts w:cs="Arial"/>
                <w:b/>
                <w:bCs/>
                <w:szCs w:val="16"/>
              </w:rPr>
              <w:t xml:space="preserve">Average projected </w:t>
            </w:r>
            <w:r w:rsidRPr="00180CD6">
              <w:rPr>
                <w:rFonts w:cs="Arial"/>
                <w:b/>
                <w:bCs/>
                <w:szCs w:val="16"/>
              </w:rPr>
              <w:br/>
              <w:t xml:space="preserve">growth over </w:t>
            </w:r>
            <w:r w:rsidRPr="00180CD6">
              <w:rPr>
                <w:rFonts w:cs="Arial"/>
                <w:b/>
                <w:bCs/>
                <w:szCs w:val="16"/>
              </w:rPr>
              <w:br/>
              <w:t>FEs (%)</w:t>
            </w:r>
          </w:p>
        </w:tc>
      </w:tr>
      <w:tr w:rsidR="005468A2" w:rsidRPr="005468A2" w14:paraId="32148085" w14:textId="77777777" w:rsidTr="000F0BC8">
        <w:trPr>
          <w:trHeight w:hRule="exact" w:val="450"/>
        </w:trPr>
        <w:tc>
          <w:tcPr>
            <w:tcW w:w="647" w:type="pct"/>
            <w:tcBorders>
              <w:top w:val="single" w:sz="4" w:space="0" w:color="293F5B"/>
              <w:left w:val="nil"/>
              <w:bottom w:val="nil"/>
              <w:right w:val="nil"/>
            </w:tcBorders>
            <w:shd w:val="clear" w:color="auto" w:fill="auto"/>
            <w:vAlign w:val="center"/>
            <w:hideMark/>
          </w:tcPr>
          <w:p w14:paraId="05A3ED7A" w14:textId="77777777" w:rsidR="005468A2" w:rsidRPr="005468A2" w:rsidRDefault="005468A2" w:rsidP="00180CD6">
            <w:pPr>
              <w:pStyle w:val="ChartandTableFootnote"/>
              <w:ind w:left="0" w:firstLine="0"/>
              <w:rPr>
                <w:rFonts w:cs="Arial"/>
                <w:szCs w:val="16"/>
              </w:rPr>
            </w:pPr>
            <w:r w:rsidRPr="005468A2">
              <w:rPr>
                <w:rFonts w:cs="Arial"/>
                <w:szCs w:val="16"/>
              </w:rPr>
              <w:t>FBT</w:t>
            </w:r>
          </w:p>
        </w:tc>
        <w:tc>
          <w:tcPr>
            <w:tcW w:w="443" w:type="pct"/>
            <w:tcBorders>
              <w:top w:val="single" w:sz="4" w:space="0" w:color="293F5B"/>
              <w:left w:val="nil"/>
              <w:bottom w:val="nil"/>
              <w:right w:val="nil"/>
            </w:tcBorders>
            <w:shd w:val="clear" w:color="auto" w:fill="auto"/>
            <w:vAlign w:val="center"/>
            <w:hideMark/>
          </w:tcPr>
          <w:p w14:paraId="7CDA0775" w14:textId="77777777" w:rsidR="005468A2" w:rsidRPr="005468A2" w:rsidRDefault="005468A2" w:rsidP="00180CD6">
            <w:pPr>
              <w:pStyle w:val="ChartandTableFootnote"/>
              <w:ind w:left="0" w:firstLine="0"/>
              <w:rPr>
                <w:rFonts w:cs="Arial"/>
                <w:szCs w:val="16"/>
              </w:rPr>
            </w:pPr>
            <w:r w:rsidRPr="005468A2">
              <w:rPr>
                <w:rFonts w:cs="Arial"/>
                <w:szCs w:val="16"/>
              </w:rPr>
              <w:t>D11</w:t>
            </w:r>
          </w:p>
        </w:tc>
        <w:tc>
          <w:tcPr>
            <w:tcW w:w="2197" w:type="pct"/>
            <w:tcBorders>
              <w:top w:val="single" w:sz="4" w:space="0" w:color="293F5B"/>
              <w:left w:val="nil"/>
              <w:bottom w:val="nil"/>
              <w:right w:val="nil"/>
            </w:tcBorders>
            <w:shd w:val="clear" w:color="auto" w:fill="auto"/>
            <w:vAlign w:val="center"/>
            <w:hideMark/>
          </w:tcPr>
          <w:p w14:paraId="535CFECD" w14:textId="0D4AFFF9" w:rsidR="005468A2" w:rsidRPr="005468A2" w:rsidRDefault="005468A2" w:rsidP="00180CD6">
            <w:pPr>
              <w:pStyle w:val="ChartandTableFootnote"/>
              <w:ind w:left="0" w:firstLine="0"/>
              <w:rPr>
                <w:rFonts w:cs="Arial"/>
                <w:szCs w:val="16"/>
              </w:rPr>
            </w:pPr>
            <w:r w:rsidRPr="005468A2">
              <w:rPr>
                <w:rFonts w:cs="Arial"/>
                <w:szCs w:val="16"/>
              </w:rPr>
              <w:t>Exemption for public and not</w:t>
            </w:r>
            <w:r w:rsidR="008571AB">
              <w:rPr>
                <w:rFonts w:cs="Arial"/>
                <w:szCs w:val="16"/>
              </w:rPr>
              <w:noBreakHyphen/>
            </w:r>
            <w:r w:rsidRPr="005468A2">
              <w:rPr>
                <w:rFonts w:cs="Arial"/>
                <w:szCs w:val="16"/>
              </w:rPr>
              <w:t>for</w:t>
            </w:r>
            <w:r w:rsidR="008571AB">
              <w:rPr>
                <w:rFonts w:cs="Arial"/>
                <w:szCs w:val="16"/>
              </w:rPr>
              <w:noBreakHyphen/>
            </w:r>
            <w:r w:rsidRPr="005468A2">
              <w:rPr>
                <w:rFonts w:cs="Arial"/>
                <w:szCs w:val="16"/>
              </w:rPr>
              <w:t>profit hospitals and public ambulance services</w:t>
            </w:r>
          </w:p>
        </w:tc>
        <w:tc>
          <w:tcPr>
            <w:tcW w:w="537" w:type="pct"/>
            <w:tcBorders>
              <w:top w:val="single" w:sz="4" w:space="0" w:color="293F5B"/>
              <w:left w:val="nil"/>
              <w:bottom w:val="nil"/>
              <w:right w:val="nil"/>
            </w:tcBorders>
            <w:shd w:val="clear" w:color="auto" w:fill="auto"/>
            <w:vAlign w:val="center"/>
            <w:hideMark/>
          </w:tcPr>
          <w:p w14:paraId="31A7DC82" w14:textId="77777777" w:rsidR="005468A2" w:rsidRPr="005468A2" w:rsidRDefault="005468A2" w:rsidP="006143F3">
            <w:pPr>
              <w:pStyle w:val="ChartandTableFootnote"/>
              <w:ind w:left="0" w:firstLine="0"/>
              <w:jc w:val="right"/>
              <w:rPr>
                <w:rFonts w:cs="Arial"/>
                <w:szCs w:val="16"/>
              </w:rPr>
            </w:pPr>
            <w:r w:rsidRPr="005468A2">
              <w:rPr>
                <w:rFonts w:cs="Arial"/>
                <w:szCs w:val="16"/>
              </w:rPr>
              <w:t>1,750</w:t>
            </w:r>
          </w:p>
        </w:tc>
        <w:tc>
          <w:tcPr>
            <w:tcW w:w="601" w:type="pct"/>
            <w:tcBorders>
              <w:top w:val="single" w:sz="4" w:space="0" w:color="293F5B"/>
              <w:left w:val="nil"/>
              <w:bottom w:val="nil"/>
              <w:right w:val="nil"/>
            </w:tcBorders>
            <w:shd w:val="clear" w:color="auto" w:fill="auto"/>
            <w:vAlign w:val="center"/>
            <w:hideMark/>
          </w:tcPr>
          <w:p w14:paraId="0FC33F7F" w14:textId="77777777" w:rsidR="005468A2" w:rsidRPr="005468A2" w:rsidRDefault="005468A2" w:rsidP="006143F3">
            <w:pPr>
              <w:pStyle w:val="ChartandTableFootnote"/>
              <w:ind w:left="0" w:firstLine="0"/>
              <w:jc w:val="right"/>
              <w:rPr>
                <w:rFonts w:cs="Arial"/>
                <w:szCs w:val="16"/>
              </w:rPr>
            </w:pPr>
            <w:r w:rsidRPr="005468A2">
              <w:rPr>
                <w:rFonts w:cs="Arial"/>
                <w:szCs w:val="16"/>
              </w:rPr>
              <w:t>7.2</w:t>
            </w:r>
          </w:p>
        </w:tc>
        <w:tc>
          <w:tcPr>
            <w:tcW w:w="575" w:type="pct"/>
            <w:tcBorders>
              <w:top w:val="single" w:sz="4" w:space="0" w:color="293F5B"/>
              <w:left w:val="nil"/>
              <w:bottom w:val="nil"/>
              <w:right w:val="nil"/>
            </w:tcBorders>
            <w:shd w:val="clear" w:color="auto" w:fill="auto"/>
            <w:vAlign w:val="center"/>
            <w:hideMark/>
          </w:tcPr>
          <w:p w14:paraId="50679D90" w14:textId="7417E332" w:rsidR="005468A2" w:rsidRPr="005468A2" w:rsidRDefault="005468A2" w:rsidP="006143F3">
            <w:pPr>
              <w:pStyle w:val="ChartandTableFootnote"/>
              <w:ind w:left="0" w:firstLine="0"/>
              <w:jc w:val="right"/>
              <w:rPr>
                <w:rFonts w:cs="Arial"/>
                <w:szCs w:val="16"/>
              </w:rPr>
            </w:pPr>
            <w:r w:rsidRPr="005468A2">
              <w:rPr>
                <w:rFonts w:cs="Arial"/>
                <w:szCs w:val="16"/>
              </w:rPr>
              <w:t>2</w:t>
            </w:r>
            <w:r w:rsidR="009F0D0E">
              <w:rPr>
                <w:rFonts w:cs="Arial"/>
                <w:szCs w:val="16"/>
              </w:rPr>
              <w:t>.0</w:t>
            </w:r>
          </w:p>
        </w:tc>
      </w:tr>
      <w:tr w:rsidR="005468A2" w:rsidRPr="005468A2" w14:paraId="3F8A6C25" w14:textId="77777777" w:rsidTr="008122DC">
        <w:trPr>
          <w:trHeight w:hRule="exact" w:val="450"/>
        </w:trPr>
        <w:tc>
          <w:tcPr>
            <w:tcW w:w="647" w:type="pct"/>
            <w:tcBorders>
              <w:top w:val="nil"/>
              <w:left w:val="nil"/>
              <w:bottom w:val="nil"/>
              <w:right w:val="nil"/>
            </w:tcBorders>
            <w:shd w:val="clear" w:color="auto" w:fill="auto"/>
            <w:vAlign w:val="center"/>
            <w:hideMark/>
          </w:tcPr>
          <w:p w14:paraId="579334AC"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455899D4" w14:textId="77777777" w:rsidR="005468A2" w:rsidRPr="005468A2" w:rsidRDefault="005468A2" w:rsidP="00180CD6">
            <w:pPr>
              <w:pStyle w:val="ChartandTableFootnote"/>
              <w:ind w:left="0" w:firstLine="0"/>
              <w:rPr>
                <w:rFonts w:cs="Arial"/>
                <w:szCs w:val="16"/>
              </w:rPr>
            </w:pPr>
            <w:r w:rsidRPr="005468A2">
              <w:rPr>
                <w:rFonts w:cs="Arial"/>
                <w:szCs w:val="16"/>
              </w:rPr>
              <w:t>A38</w:t>
            </w:r>
          </w:p>
        </w:tc>
        <w:tc>
          <w:tcPr>
            <w:tcW w:w="2197" w:type="pct"/>
            <w:tcBorders>
              <w:top w:val="nil"/>
              <w:left w:val="nil"/>
              <w:bottom w:val="nil"/>
              <w:right w:val="nil"/>
            </w:tcBorders>
            <w:shd w:val="clear" w:color="auto" w:fill="auto"/>
            <w:vAlign w:val="center"/>
            <w:hideMark/>
          </w:tcPr>
          <w:p w14:paraId="731230B4" w14:textId="77777777" w:rsidR="005468A2" w:rsidRPr="005468A2" w:rsidRDefault="005468A2" w:rsidP="00180CD6">
            <w:pPr>
              <w:pStyle w:val="ChartandTableFootnote"/>
              <w:ind w:left="0" w:firstLine="0"/>
              <w:rPr>
                <w:rFonts w:cs="Arial"/>
                <w:szCs w:val="16"/>
              </w:rPr>
            </w:pPr>
            <w:r w:rsidRPr="005468A2">
              <w:rPr>
                <w:rFonts w:cs="Arial"/>
                <w:szCs w:val="16"/>
              </w:rPr>
              <w:t>Exemption of certain income support benefits, pensions or allowances</w:t>
            </w:r>
          </w:p>
        </w:tc>
        <w:tc>
          <w:tcPr>
            <w:tcW w:w="537" w:type="pct"/>
            <w:tcBorders>
              <w:top w:val="nil"/>
              <w:left w:val="nil"/>
              <w:bottom w:val="nil"/>
              <w:right w:val="nil"/>
            </w:tcBorders>
            <w:shd w:val="clear" w:color="auto" w:fill="auto"/>
            <w:vAlign w:val="center"/>
            <w:hideMark/>
          </w:tcPr>
          <w:p w14:paraId="1BE36FAA" w14:textId="77777777" w:rsidR="005468A2" w:rsidRPr="005468A2" w:rsidRDefault="005468A2" w:rsidP="006143F3">
            <w:pPr>
              <w:pStyle w:val="ChartandTableFootnote"/>
              <w:ind w:left="0" w:firstLine="0"/>
              <w:jc w:val="right"/>
              <w:rPr>
                <w:rFonts w:cs="Arial"/>
                <w:szCs w:val="16"/>
              </w:rPr>
            </w:pPr>
            <w:r w:rsidRPr="005468A2">
              <w:rPr>
                <w:rFonts w:cs="Arial"/>
                <w:szCs w:val="16"/>
              </w:rPr>
              <w:t>1,700</w:t>
            </w:r>
          </w:p>
        </w:tc>
        <w:tc>
          <w:tcPr>
            <w:tcW w:w="601" w:type="pct"/>
            <w:tcBorders>
              <w:top w:val="nil"/>
              <w:left w:val="nil"/>
              <w:bottom w:val="nil"/>
              <w:right w:val="nil"/>
            </w:tcBorders>
            <w:shd w:val="clear" w:color="auto" w:fill="auto"/>
            <w:vAlign w:val="center"/>
            <w:hideMark/>
          </w:tcPr>
          <w:p w14:paraId="7F3F9369" w14:textId="77777777" w:rsidR="005468A2" w:rsidRPr="005468A2" w:rsidRDefault="005468A2" w:rsidP="006143F3">
            <w:pPr>
              <w:pStyle w:val="ChartandTableFootnote"/>
              <w:ind w:left="0" w:firstLine="0"/>
              <w:jc w:val="right"/>
              <w:rPr>
                <w:rFonts w:cs="Arial"/>
                <w:szCs w:val="16"/>
              </w:rPr>
            </w:pPr>
            <w:r w:rsidRPr="005468A2">
              <w:rPr>
                <w:rFonts w:cs="Arial"/>
                <w:szCs w:val="16"/>
              </w:rPr>
              <w:t>2.6</w:t>
            </w:r>
          </w:p>
        </w:tc>
        <w:tc>
          <w:tcPr>
            <w:tcW w:w="575" w:type="pct"/>
            <w:tcBorders>
              <w:top w:val="nil"/>
              <w:left w:val="nil"/>
              <w:bottom w:val="nil"/>
              <w:right w:val="nil"/>
            </w:tcBorders>
            <w:shd w:val="clear" w:color="auto" w:fill="auto"/>
            <w:vAlign w:val="center"/>
            <w:hideMark/>
          </w:tcPr>
          <w:p w14:paraId="45072E5C" w14:textId="75C82974"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0.6</w:t>
            </w:r>
          </w:p>
        </w:tc>
      </w:tr>
      <w:tr w:rsidR="005468A2" w:rsidRPr="005468A2" w14:paraId="01C36587" w14:textId="77777777" w:rsidTr="008122DC">
        <w:trPr>
          <w:trHeight w:hRule="exact" w:val="450"/>
        </w:trPr>
        <w:tc>
          <w:tcPr>
            <w:tcW w:w="647" w:type="pct"/>
            <w:tcBorders>
              <w:top w:val="nil"/>
              <w:left w:val="nil"/>
              <w:bottom w:val="nil"/>
              <w:right w:val="nil"/>
            </w:tcBorders>
            <w:shd w:val="clear" w:color="auto" w:fill="auto"/>
            <w:vAlign w:val="center"/>
            <w:hideMark/>
          </w:tcPr>
          <w:p w14:paraId="3C63906C" w14:textId="77777777" w:rsidR="005468A2" w:rsidRPr="005468A2" w:rsidRDefault="005468A2" w:rsidP="00180CD6">
            <w:pPr>
              <w:pStyle w:val="ChartandTableFootnote"/>
              <w:ind w:left="0" w:firstLine="0"/>
              <w:rPr>
                <w:rFonts w:cs="Arial"/>
                <w:szCs w:val="16"/>
              </w:rPr>
            </w:pPr>
            <w:r w:rsidRPr="005468A2">
              <w:rPr>
                <w:rFonts w:cs="Arial"/>
                <w:szCs w:val="16"/>
              </w:rPr>
              <w:t>Other</w:t>
            </w:r>
          </w:p>
        </w:tc>
        <w:tc>
          <w:tcPr>
            <w:tcW w:w="443" w:type="pct"/>
            <w:tcBorders>
              <w:top w:val="nil"/>
              <w:left w:val="nil"/>
              <w:bottom w:val="nil"/>
              <w:right w:val="nil"/>
            </w:tcBorders>
            <w:shd w:val="clear" w:color="auto" w:fill="auto"/>
            <w:vAlign w:val="center"/>
            <w:hideMark/>
          </w:tcPr>
          <w:p w14:paraId="52A855ED" w14:textId="77777777" w:rsidR="005468A2" w:rsidRPr="005468A2" w:rsidRDefault="005468A2" w:rsidP="00180CD6">
            <w:pPr>
              <w:pStyle w:val="ChartandTableFootnote"/>
              <w:ind w:left="0" w:firstLine="0"/>
              <w:rPr>
                <w:rFonts w:cs="Arial"/>
                <w:szCs w:val="16"/>
              </w:rPr>
            </w:pPr>
            <w:r w:rsidRPr="005468A2">
              <w:rPr>
                <w:rFonts w:cs="Arial"/>
                <w:szCs w:val="16"/>
              </w:rPr>
              <w:t>F6</w:t>
            </w:r>
          </w:p>
        </w:tc>
        <w:tc>
          <w:tcPr>
            <w:tcW w:w="2197" w:type="pct"/>
            <w:tcBorders>
              <w:top w:val="nil"/>
              <w:left w:val="nil"/>
              <w:bottom w:val="nil"/>
              <w:right w:val="nil"/>
            </w:tcBorders>
            <w:shd w:val="clear" w:color="auto" w:fill="auto"/>
            <w:vAlign w:val="center"/>
            <w:hideMark/>
          </w:tcPr>
          <w:p w14:paraId="1EF54502" w14:textId="77777777" w:rsidR="005468A2" w:rsidRPr="005468A2" w:rsidRDefault="005468A2" w:rsidP="00180CD6">
            <w:pPr>
              <w:pStyle w:val="ChartandTableFootnote"/>
              <w:ind w:left="0" w:firstLine="0"/>
              <w:rPr>
                <w:rFonts w:cs="Arial"/>
                <w:szCs w:val="16"/>
              </w:rPr>
            </w:pPr>
            <w:r w:rsidRPr="005468A2">
              <w:rPr>
                <w:rFonts w:cs="Arial"/>
                <w:szCs w:val="16"/>
              </w:rPr>
              <w:t>Concessional rate of excise levied on aviation gasoline and aviation turbine fuel</w:t>
            </w:r>
          </w:p>
        </w:tc>
        <w:tc>
          <w:tcPr>
            <w:tcW w:w="537" w:type="pct"/>
            <w:tcBorders>
              <w:top w:val="nil"/>
              <w:left w:val="nil"/>
              <w:bottom w:val="nil"/>
              <w:right w:val="nil"/>
            </w:tcBorders>
            <w:shd w:val="clear" w:color="auto" w:fill="auto"/>
            <w:vAlign w:val="center"/>
            <w:hideMark/>
          </w:tcPr>
          <w:p w14:paraId="42652462" w14:textId="77777777" w:rsidR="005468A2" w:rsidRPr="005468A2" w:rsidRDefault="005468A2" w:rsidP="006143F3">
            <w:pPr>
              <w:pStyle w:val="ChartandTableFootnote"/>
              <w:ind w:left="0" w:firstLine="0"/>
              <w:jc w:val="right"/>
              <w:rPr>
                <w:rFonts w:cs="Arial"/>
                <w:szCs w:val="16"/>
              </w:rPr>
            </w:pPr>
            <w:r w:rsidRPr="005468A2">
              <w:rPr>
                <w:rFonts w:cs="Arial"/>
                <w:szCs w:val="16"/>
              </w:rPr>
              <w:t>1,700</w:t>
            </w:r>
          </w:p>
        </w:tc>
        <w:tc>
          <w:tcPr>
            <w:tcW w:w="601" w:type="pct"/>
            <w:tcBorders>
              <w:top w:val="nil"/>
              <w:left w:val="nil"/>
              <w:bottom w:val="nil"/>
              <w:right w:val="nil"/>
            </w:tcBorders>
            <w:shd w:val="clear" w:color="auto" w:fill="auto"/>
            <w:vAlign w:val="center"/>
            <w:hideMark/>
          </w:tcPr>
          <w:p w14:paraId="3D31A875" w14:textId="77777777" w:rsidR="005468A2" w:rsidRPr="005468A2" w:rsidRDefault="005468A2" w:rsidP="006143F3">
            <w:pPr>
              <w:pStyle w:val="ChartandTableFootnote"/>
              <w:ind w:left="0" w:firstLine="0"/>
              <w:jc w:val="right"/>
              <w:rPr>
                <w:rFonts w:cs="Arial"/>
                <w:szCs w:val="16"/>
              </w:rPr>
            </w:pPr>
            <w:r w:rsidRPr="005468A2">
              <w:rPr>
                <w:rFonts w:cs="Arial"/>
                <w:szCs w:val="16"/>
              </w:rPr>
              <w:t>27.9</w:t>
            </w:r>
          </w:p>
        </w:tc>
        <w:tc>
          <w:tcPr>
            <w:tcW w:w="575" w:type="pct"/>
            <w:tcBorders>
              <w:top w:val="nil"/>
              <w:left w:val="nil"/>
              <w:bottom w:val="nil"/>
              <w:right w:val="nil"/>
            </w:tcBorders>
            <w:shd w:val="clear" w:color="auto" w:fill="auto"/>
            <w:vAlign w:val="center"/>
            <w:hideMark/>
          </w:tcPr>
          <w:p w14:paraId="351856B6" w14:textId="77777777" w:rsidR="005468A2" w:rsidRPr="005468A2" w:rsidRDefault="005468A2" w:rsidP="006143F3">
            <w:pPr>
              <w:pStyle w:val="ChartandTableFootnote"/>
              <w:ind w:left="0" w:firstLine="0"/>
              <w:jc w:val="right"/>
              <w:rPr>
                <w:rFonts w:cs="Arial"/>
                <w:szCs w:val="16"/>
              </w:rPr>
            </w:pPr>
            <w:r w:rsidRPr="005468A2">
              <w:rPr>
                <w:rFonts w:cs="Arial"/>
                <w:szCs w:val="16"/>
              </w:rPr>
              <w:t>6.0</w:t>
            </w:r>
          </w:p>
        </w:tc>
      </w:tr>
      <w:tr w:rsidR="00892E86" w:rsidRPr="005468A2" w14:paraId="3C3B9F09" w14:textId="77777777" w:rsidTr="008122DC">
        <w:trPr>
          <w:trHeight w:hRule="exact" w:val="455"/>
        </w:trPr>
        <w:tc>
          <w:tcPr>
            <w:tcW w:w="647" w:type="pct"/>
            <w:tcBorders>
              <w:top w:val="nil"/>
              <w:left w:val="nil"/>
              <w:bottom w:val="nil"/>
              <w:right w:val="nil"/>
            </w:tcBorders>
            <w:shd w:val="clear" w:color="auto" w:fill="auto"/>
            <w:vAlign w:val="center"/>
          </w:tcPr>
          <w:p w14:paraId="59C51D1B" w14:textId="36CBD696" w:rsidR="00892E86" w:rsidRPr="005468A2" w:rsidRDefault="004B6297" w:rsidP="00180CD6">
            <w:pPr>
              <w:pStyle w:val="ChartandTableFootnote"/>
              <w:ind w:left="0" w:firstLine="0"/>
              <w:rPr>
                <w:rFonts w:cs="Arial"/>
                <w:szCs w:val="16"/>
              </w:rPr>
            </w:pPr>
            <w:r>
              <w:rPr>
                <w:rFonts w:cs="Arial"/>
                <w:szCs w:val="16"/>
              </w:rPr>
              <w:t>Deductions</w:t>
            </w:r>
          </w:p>
        </w:tc>
        <w:tc>
          <w:tcPr>
            <w:tcW w:w="443" w:type="pct"/>
            <w:tcBorders>
              <w:top w:val="nil"/>
              <w:left w:val="nil"/>
              <w:bottom w:val="nil"/>
              <w:right w:val="nil"/>
            </w:tcBorders>
            <w:shd w:val="clear" w:color="auto" w:fill="auto"/>
            <w:vAlign w:val="center"/>
          </w:tcPr>
          <w:p w14:paraId="79FA8426" w14:textId="77777777" w:rsidR="00892E86" w:rsidRPr="005468A2" w:rsidRDefault="00892E86" w:rsidP="00180CD6">
            <w:pPr>
              <w:pStyle w:val="ChartandTableFootnote"/>
              <w:ind w:left="0" w:firstLine="0"/>
              <w:rPr>
                <w:rFonts w:cs="Arial"/>
                <w:szCs w:val="16"/>
              </w:rPr>
            </w:pPr>
          </w:p>
        </w:tc>
        <w:tc>
          <w:tcPr>
            <w:tcW w:w="2197" w:type="pct"/>
            <w:tcBorders>
              <w:top w:val="nil"/>
              <w:left w:val="nil"/>
              <w:bottom w:val="nil"/>
              <w:right w:val="nil"/>
            </w:tcBorders>
            <w:shd w:val="clear" w:color="auto" w:fill="auto"/>
            <w:vAlign w:val="center"/>
          </w:tcPr>
          <w:p w14:paraId="1AACA2DD" w14:textId="219F9594" w:rsidR="00892E86" w:rsidRPr="005468A2" w:rsidRDefault="00A62447" w:rsidP="00180CD6">
            <w:pPr>
              <w:pStyle w:val="ChartandTableFootnote"/>
              <w:ind w:left="0" w:firstLine="0"/>
              <w:rPr>
                <w:rFonts w:cs="Arial"/>
                <w:szCs w:val="16"/>
              </w:rPr>
            </w:pPr>
            <w:r>
              <w:rPr>
                <w:rFonts w:cs="Arial"/>
                <w:szCs w:val="16"/>
              </w:rPr>
              <w:t>Cost of managing tax affairs and other deductions</w:t>
            </w:r>
          </w:p>
        </w:tc>
        <w:tc>
          <w:tcPr>
            <w:tcW w:w="537" w:type="pct"/>
            <w:tcBorders>
              <w:top w:val="nil"/>
              <w:left w:val="nil"/>
              <w:bottom w:val="nil"/>
              <w:right w:val="nil"/>
            </w:tcBorders>
            <w:shd w:val="clear" w:color="auto" w:fill="auto"/>
            <w:vAlign w:val="center"/>
          </w:tcPr>
          <w:p w14:paraId="6BF0B1E7" w14:textId="6C26C8A1" w:rsidR="00892E86" w:rsidRPr="005468A2" w:rsidRDefault="0097374E" w:rsidP="006143F3">
            <w:pPr>
              <w:pStyle w:val="ChartandTableFootnote"/>
              <w:ind w:left="0" w:firstLine="0"/>
              <w:jc w:val="right"/>
              <w:rPr>
                <w:rFonts w:cs="Arial"/>
                <w:szCs w:val="16"/>
              </w:rPr>
            </w:pPr>
            <w:r>
              <w:rPr>
                <w:rFonts w:cs="Arial"/>
                <w:szCs w:val="16"/>
              </w:rPr>
              <w:t>1,600</w:t>
            </w:r>
          </w:p>
        </w:tc>
        <w:tc>
          <w:tcPr>
            <w:tcW w:w="601" w:type="pct"/>
            <w:tcBorders>
              <w:top w:val="nil"/>
              <w:left w:val="nil"/>
              <w:bottom w:val="nil"/>
              <w:right w:val="nil"/>
            </w:tcBorders>
            <w:shd w:val="clear" w:color="auto" w:fill="auto"/>
            <w:vAlign w:val="center"/>
          </w:tcPr>
          <w:p w14:paraId="0BE5DEE9" w14:textId="33F11B4C" w:rsidR="00892E86" w:rsidRPr="005468A2" w:rsidRDefault="0029545D" w:rsidP="006143F3">
            <w:pPr>
              <w:pStyle w:val="ChartandTableFootnote"/>
              <w:ind w:left="0" w:firstLine="0"/>
              <w:jc w:val="right"/>
              <w:rPr>
                <w:rFonts w:cs="Arial"/>
                <w:szCs w:val="16"/>
              </w:rPr>
            </w:pPr>
            <w:r>
              <w:rPr>
                <w:rFonts w:cs="Arial"/>
                <w:szCs w:val="16"/>
              </w:rPr>
              <w:t>7.2</w:t>
            </w:r>
          </w:p>
        </w:tc>
        <w:tc>
          <w:tcPr>
            <w:tcW w:w="575" w:type="pct"/>
            <w:tcBorders>
              <w:top w:val="nil"/>
              <w:left w:val="nil"/>
              <w:bottom w:val="nil"/>
              <w:right w:val="nil"/>
            </w:tcBorders>
            <w:shd w:val="clear" w:color="auto" w:fill="auto"/>
            <w:vAlign w:val="center"/>
          </w:tcPr>
          <w:p w14:paraId="0CA54B04" w14:textId="31B01D2B" w:rsidR="00892E86" w:rsidRPr="005468A2" w:rsidRDefault="0029545D" w:rsidP="006143F3">
            <w:pPr>
              <w:pStyle w:val="ChartandTableFootnote"/>
              <w:ind w:left="0" w:firstLine="0"/>
              <w:jc w:val="right"/>
              <w:rPr>
                <w:rFonts w:cs="Arial"/>
                <w:szCs w:val="16"/>
              </w:rPr>
            </w:pPr>
            <w:r>
              <w:rPr>
                <w:rFonts w:cs="Arial"/>
                <w:szCs w:val="16"/>
              </w:rPr>
              <w:t>4.4</w:t>
            </w:r>
          </w:p>
        </w:tc>
      </w:tr>
      <w:tr w:rsidR="005468A2" w:rsidRPr="005468A2" w14:paraId="108CBCC3" w14:textId="77777777" w:rsidTr="008122DC">
        <w:trPr>
          <w:trHeight w:hRule="exact" w:val="455"/>
        </w:trPr>
        <w:tc>
          <w:tcPr>
            <w:tcW w:w="647" w:type="pct"/>
            <w:tcBorders>
              <w:top w:val="nil"/>
              <w:left w:val="nil"/>
              <w:bottom w:val="nil"/>
              <w:right w:val="nil"/>
            </w:tcBorders>
            <w:shd w:val="clear" w:color="auto" w:fill="auto"/>
            <w:vAlign w:val="center"/>
            <w:hideMark/>
          </w:tcPr>
          <w:p w14:paraId="401AA49D"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5929FA32" w14:textId="77777777" w:rsidR="005468A2" w:rsidRPr="005468A2" w:rsidRDefault="005468A2" w:rsidP="00180CD6">
            <w:pPr>
              <w:pStyle w:val="ChartandTableFootnote"/>
              <w:ind w:left="0" w:firstLine="0"/>
              <w:rPr>
                <w:rFonts w:cs="Arial"/>
                <w:szCs w:val="16"/>
              </w:rPr>
            </w:pPr>
            <w:r w:rsidRPr="005468A2">
              <w:rPr>
                <w:rFonts w:cs="Arial"/>
                <w:szCs w:val="16"/>
              </w:rPr>
              <w:t>A18</w:t>
            </w:r>
          </w:p>
        </w:tc>
        <w:tc>
          <w:tcPr>
            <w:tcW w:w="2197" w:type="pct"/>
            <w:tcBorders>
              <w:top w:val="nil"/>
              <w:left w:val="nil"/>
              <w:bottom w:val="nil"/>
              <w:right w:val="nil"/>
            </w:tcBorders>
            <w:shd w:val="clear" w:color="auto" w:fill="auto"/>
            <w:vAlign w:val="center"/>
            <w:hideMark/>
          </w:tcPr>
          <w:p w14:paraId="3A7034DE" w14:textId="77777777" w:rsidR="005468A2" w:rsidRPr="005468A2" w:rsidRDefault="005468A2" w:rsidP="00180CD6">
            <w:pPr>
              <w:pStyle w:val="ChartandTableFootnote"/>
              <w:ind w:left="0" w:firstLine="0"/>
              <w:rPr>
                <w:rFonts w:cs="Arial"/>
                <w:szCs w:val="16"/>
              </w:rPr>
            </w:pPr>
            <w:r w:rsidRPr="005468A2">
              <w:rPr>
                <w:rFonts w:cs="Arial"/>
                <w:szCs w:val="16"/>
              </w:rPr>
              <w:t>Exemption of the Private Health Insurance Rebate</w:t>
            </w:r>
          </w:p>
        </w:tc>
        <w:tc>
          <w:tcPr>
            <w:tcW w:w="537" w:type="pct"/>
            <w:tcBorders>
              <w:top w:val="nil"/>
              <w:left w:val="nil"/>
              <w:bottom w:val="nil"/>
              <w:right w:val="nil"/>
            </w:tcBorders>
            <w:shd w:val="clear" w:color="auto" w:fill="auto"/>
            <w:vAlign w:val="center"/>
            <w:hideMark/>
          </w:tcPr>
          <w:p w14:paraId="7DA90748" w14:textId="77777777" w:rsidR="005468A2" w:rsidRPr="005468A2" w:rsidRDefault="005468A2" w:rsidP="006143F3">
            <w:pPr>
              <w:pStyle w:val="ChartandTableFootnote"/>
              <w:ind w:left="0" w:firstLine="0"/>
              <w:jc w:val="right"/>
              <w:rPr>
                <w:rFonts w:cs="Arial"/>
                <w:szCs w:val="16"/>
              </w:rPr>
            </w:pPr>
            <w:r w:rsidRPr="005468A2">
              <w:rPr>
                <w:rFonts w:cs="Arial"/>
                <w:szCs w:val="16"/>
              </w:rPr>
              <w:t>1,600</w:t>
            </w:r>
          </w:p>
        </w:tc>
        <w:tc>
          <w:tcPr>
            <w:tcW w:w="601" w:type="pct"/>
            <w:tcBorders>
              <w:top w:val="nil"/>
              <w:left w:val="nil"/>
              <w:bottom w:val="nil"/>
              <w:right w:val="nil"/>
            </w:tcBorders>
            <w:shd w:val="clear" w:color="auto" w:fill="auto"/>
            <w:vAlign w:val="center"/>
            <w:hideMark/>
          </w:tcPr>
          <w:p w14:paraId="58893ECE" w14:textId="1F986381" w:rsidR="005468A2" w:rsidRPr="005468A2" w:rsidRDefault="005468A2" w:rsidP="006143F3">
            <w:pPr>
              <w:pStyle w:val="ChartandTableFootnote"/>
              <w:ind w:left="0" w:firstLine="0"/>
              <w:jc w:val="right"/>
              <w:rPr>
                <w:rFonts w:cs="Arial"/>
                <w:szCs w:val="16"/>
              </w:rPr>
            </w:pPr>
            <w:r w:rsidRPr="005468A2">
              <w:rPr>
                <w:rFonts w:cs="Arial"/>
                <w:szCs w:val="16"/>
              </w:rPr>
              <w:t>0</w:t>
            </w:r>
            <w:r w:rsidR="0025052A">
              <w:rPr>
                <w:rFonts w:cs="Arial"/>
                <w:szCs w:val="16"/>
              </w:rPr>
              <w:t>.</w:t>
            </w:r>
            <w:r w:rsidRPr="005468A2">
              <w:rPr>
                <w:rFonts w:cs="Arial"/>
                <w:szCs w:val="16"/>
              </w:rPr>
              <w:t>0</w:t>
            </w:r>
          </w:p>
        </w:tc>
        <w:tc>
          <w:tcPr>
            <w:tcW w:w="575" w:type="pct"/>
            <w:tcBorders>
              <w:top w:val="nil"/>
              <w:left w:val="nil"/>
              <w:bottom w:val="nil"/>
              <w:right w:val="nil"/>
            </w:tcBorders>
            <w:shd w:val="clear" w:color="auto" w:fill="auto"/>
            <w:vAlign w:val="center"/>
            <w:hideMark/>
          </w:tcPr>
          <w:p w14:paraId="243B432C" w14:textId="77777777" w:rsidR="005468A2" w:rsidRPr="005468A2" w:rsidRDefault="005468A2" w:rsidP="006143F3">
            <w:pPr>
              <w:pStyle w:val="ChartandTableFootnote"/>
              <w:ind w:left="0" w:firstLine="0"/>
              <w:jc w:val="right"/>
              <w:rPr>
                <w:rFonts w:cs="Arial"/>
                <w:szCs w:val="16"/>
              </w:rPr>
            </w:pPr>
            <w:r w:rsidRPr="005468A2">
              <w:rPr>
                <w:rFonts w:cs="Arial"/>
                <w:szCs w:val="16"/>
              </w:rPr>
              <w:t>2.3</w:t>
            </w:r>
          </w:p>
        </w:tc>
      </w:tr>
      <w:tr w:rsidR="005468A2" w:rsidRPr="005468A2" w14:paraId="09E49B3D" w14:textId="77777777" w:rsidTr="008122DC">
        <w:trPr>
          <w:trHeight w:hRule="exact" w:val="450"/>
        </w:trPr>
        <w:tc>
          <w:tcPr>
            <w:tcW w:w="647" w:type="pct"/>
            <w:tcBorders>
              <w:top w:val="nil"/>
              <w:left w:val="nil"/>
              <w:bottom w:val="nil"/>
              <w:right w:val="nil"/>
            </w:tcBorders>
            <w:shd w:val="clear" w:color="auto" w:fill="auto"/>
            <w:vAlign w:val="center"/>
            <w:hideMark/>
          </w:tcPr>
          <w:p w14:paraId="02324D26" w14:textId="77777777" w:rsidR="005468A2" w:rsidRPr="005468A2" w:rsidRDefault="005468A2" w:rsidP="00180CD6">
            <w:pPr>
              <w:pStyle w:val="ChartandTableFootnote"/>
              <w:ind w:left="0" w:firstLine="0"/>
              <w:rPr>
                <w:rFonts w:cs="Arial"/>
                <w:szCs w:val="16"/>
              </w:rPr>
            </w:pPr>
            <w:r w:rsidRPr="005468A2">
              <w:rPr>
                <w:rFonts w:cs="Arial"/>
                <w:szCs w:val="16"/>
              </w:rPr>
              <w:t>GST</w:t>
            </w:r>
          </w:p>
        </w:tc>
        <w:tc>
          <w:tcPr>
            <w:tcW w:w="443" w:type="pct"/>
            <w:tcBorders>
              <w:top w:val="nil"/>
              <w:left w:val="nil"/>
              <w:bottom w:val="nil"/>
              <w:right w:val="nil"/>
            </w:tcBorders>
            <w:shd w:val="clear" w:color="auto" w:fill="auto"/>
            <w:vAlign w:val="center"/>
            <w:hideMark/>
          </w:tcPr>
          <w:p w14:paraId="5EC66925" w14:textId="77777777" w:rsidR="005468A2" w:rsidRPr="005468A2" w:rsidRDefault="005468A2" w:rsidP="00180CD6">
            <w:pPr>
              <w:pStyle w:val="ChartandTableFootnote"/>
              <w:ind w:left="0" w:firstLine="0"/>
              <w:rPr>
                <w:rFonts w:cs="Arial"/>
                <w:szCs w:val="16"/>
              </w:rPr>
            </w:pPr>
            <w:r w:rsidRPr="005468A2">
              <w:rPr>
                <w:rFonts w:cs="Arial"/>
                <w:szCs w:val="16"/>
              </w:rPr>
              <w:t>H18</w:t>
            </w:r>
          </w:p>
        </w:tc>
        <w:tc>
          <w:tcPr>
            <w:tcW w:w="2197" w:type="pct"/>
            <w:tcBorders>
              <w:top w:val="nil"/>
              <w:left w:val="nil"/>
              <w:bottom w:val="nil"/>
              <w:right w:val="nil"/>
            </w:tcBorders>
            <w:shd w:val="clear" w:color="auto" w:fill="auto"/>
            <w:vAlign w:val="center"/>
            <w:hideMark/>
          </w:tcPr>
          <w:p w14:paraId="7CBC8F13" w14:textId="77777777" w:rsidR="005468A2" w:rsidRPr="005468A2" w:rsidRDefault="005468A2" w:rsidP="00180CD6">
            <w:pPr>
              <w:pStyle w:val="ChartandTableFootnote"/>
              <w:ind w:left="0" w:firstLine="0"/>
              <w:rPr>
                <w:rFonts w:cs="Arial"/>
                <w:szCs w:val="16"/>
              </w:rPr>
            </w:pPr>
            <w:r w:rsidRPr="005468A2">
              <w:rPr>
                <w:rFonts w:cs="Arial"/>
                <w:szCs w:val="16"/>
              </w:rPr>
              <w:t>Health – residential care, community care and other care services</w:t>
            </w:r>
          </w:p>
        </w:tc>
        <w:tc>
          <w:tcPr>
            <w:tcW w:w="537" w:type="pct"/>
            <w:tcBorders>
              <w:top w:val="nil"/>
              <w:left w:val="nil"/>
              <w:bottom w:val="nil"/>
              <w:right w:val="nil"/>
            </w:tcBorders>
            <w:shd w:val="clear" w:color="auto" w:fill="auto"/>
            <w:vAlign w:val="center"/>
            <w:hideMark/>
          </w:tcPr>
          <w:p w14:paraId="68C9CC8D" w14:textId="77777777" w:rsidR="005468A2" w:rsidRPr="005468A2" w:rsidRDefault="005468A2" w:rsidP="006143F3">
            <w:pPr>
              <w:pStyle w:val="ChartandTableFootnote"/>
              <w:ind w:left="0" w:firstLine="0"/>
              <w:jc w:val="right"/>
              <w:rPr>
                <w:rFonts w:cs="Arial"/>
                <w:szCs w:val="16"/>
              </w:rPr>
            </w:pPr>
            <w:r w:rsidRPr="005468A2">
              <w:rPr>
                <w:rFonts w:cs="Arial"/>
                <w:szCs w:val="16"/>
              </w:rPr>
              <w:t>1,600</w:t>
            </w:r>
          </w:p>
        </w:tc>
        <w:tc>
          <w:tcPr>
            <w:tcW w:w="601" w:type="pct"/>
            <w:tcBorders>
              <w:top w:val="nil"/>
              <w:left w:val="nil"/>
              <w:bottom w:val="nil"/>
              <w:right w:val="nil"/>
            </w:tcBorders>
            <w:shd w:val="clear" w:color="auto" w:fill="auto"/>
            <w:vAlign w:val="center"/>
            <w:hideMark/>
          </w:tcPr>
          <w:p w14:paraId="20B938C8" w14:textId="77777777" w:rsidR="005468A2" w:rsidRPr="005468A2" w:rsidRDefault="005468A2" w:rsidP="006143F3">
            <w:pPr>
              <w:pStyle w:val="ChartandTableFootnote"/>
              <w:ind w:left="0" w:firstLine="0"/>
              <w:jc w:val="right"/>
              <w:rPr>
                <w:rFonts w:cs="Arial"/>
                <w:szCs w:val="16"/>
              </w:rPr>
            </w:pPr>
            <w:r w:rsidRPr="005468A2">
              <w:rPr>
                <w:rFonts w:cs="Arial"/>
                <w:szCs w:val="16"/>
              </w:rPr>
              <w:t>4.1</w:t>
            </w:r>
          </w:p>
        </w:tc>
        <w:tc>
          <w:tcPr>
            <w:tcW w:w="575" w:type="pct"/>
            <w:tcBorders>
              <w:top w:val="nil"/>
              <w:left w:val="nil"/>
              <w:bottom w:val="nil"/>
              <w:right w:val="nil"/>
            </w:tcBorders>
            <w:shd w:val="clear" w:color="auto" w:fill="auto"/>
            <w:vAlign w:val="center"/>
            <w:hideMark/>
          </w:tcPr>
          <w:p w14:paraId="7CC41849" w14:textId="77777777" w:rsidR="005468A2" w:rsidRPr="005468A2" w:rsidRDefault="005468A2" w:rsidP="006143F3">
            <w:pPr>
              <w:pStyle w:val="ChartandTableFootnote"/>
              <w:ind w:left="0" w:firstLine="0"/>
              <w:jc w:val="right"/>
              <w:rPr>
                <w:rFonts w:cs="Arial"/>
                <w:szCs w:val="16"/>
              </w:rPr>
            </w:pPr>
            <w:r w:rsidRPr="005468A2">
              <w:rPr>
                <w:rFonts w:cs="Arial"/>
                <w:szCs w:val="16"/>
              </w:rPr>
              <w:t>6.6</w:t>
            </w:r>
          </w:p>
        </w:tc>
      </w:tr>
      <w:tr w:rsidR="005468A2" w:rsidRPr="005468A2" w14:paraId="6B524593" w14:textId="77777777" w:rsidTr="008122DC">
        <w:trPr>
          <w:trHeight w:hRule="exact" w:val="450"/>
        </w:trPr>
        <w:tc>
          <w:tcPr>
            <w:tcW w:w="647" w:type="pct"/>
            <w:tcBorders>
              <w:top w:val="nil"/>
              <w:left w:val="nil"/>
              <w:bottom w:val="nil"/>
              <w:right w:val="nil"/>
            </w:tcBorders>
            <w:shd w:val="clear" w:color="auto" w:fill="auto"/>
            <w:vAlign w:val="center"/>
            <w:hideMark/>
          </w:tcPr>
          <w:p w14:paraId="22242A3C"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607506AD" w14:textId="77777777" w:rsidR="005468A2" w:rsidRPr="005468A2" w:rsidRDefault="005468A2" w:rsidP="00180CD6">
            <w:pPr>
              <w:pStyle w:val="ChartandTableFootnote"/>
              <w:ind w:left="0" w:firstLine="0"/>
              <w:rPr>
                <w:rFonts w:cs="Arial"/>
                <w:szCs w:val="16"/>
              </w:rPr>
            </w:pPr>
            <w:r w:rsidRPr="005468A2">
              <w:rPr>
                <w:rFonts w:cs="Arial"/>
                <w:szCs w:val="16"/>
              </w:rPr>
              <w:t>A57</w:t>
            </w:r>
          </w:p>
        </w:tc>
        <w:tc>
          <w:tcPr>
            <w:tcW w:w="2197" w:type="pct"/>
            <w:tcBorders>
              <w:top w:val="nil"/>
              <w:left w:val="nil"/>
              <w:bottom w:val="nil"/>
              <w:right w:val="nil"/>
            </w:tcBorders>
            <w:shd w:val="clear" w:color="auto" w:fill="auto"/>
            <w:vAlign w:val="center"/>
            <w:hideMark/>
          </w:tcPr>
          <w:p w14:paraId="048E149C" w14:textId="77777777" w:rsidR="005468A2" w:rsidRPr="005468A2" w:rsidRDefault="005468A2" w:rsidP="00180CD6">
            <w:pPr>
              <w:pStyle w:val="ChartandTableFootnote"/>
              <w:ind w:left="0" w:firstLine="0"/>
              <w:rPr>
                <w:rFonts w:cs="Arial"/>
                <w:szCs w:val="16"/>
              </w:rPr>
            </w:pPr>
            <w:r w:rsidRPr="005468A2">
              <w:rPr>
                <w:rFonts w:cs="Arial"/>
                <w:szCs w:val="16"/>
              </w:rPr>
              <w:t>Philanthropy – deduction for gifts to deductible gift recipients</w:t>
            </w:r>
          </w:p>
        </w:tc>
        <w:tc>
          <w:tcPr>
            <w:tcW w:w="537" w:type="pct"/>
            <w:tcBorders>
              <w:top w:val="nil"/>
              <w:left w:val="nil"/>
              <w:bottom w:val="nil"/>
              <w:right w:val="nil"/>
            </w:tcBorders>
            <w:shd w:val="clear" w:color="auto" w:fill="auto"/>
            <w:vAlign w:val="center"/>
            <w:hideMark/>
          </w:tcPr>
          <w:p w14:paraId="59B95E84" w14:textId="77777777" w:rsidR="005468A2" w:rsidRPr="005468A2" w:rsidRDefault="005468A2" w:rsidP="006143F3">
            <w:pPr>
              <w:pStyle w:val="ChartandTableFootnote"/>
              <w:ind w:left="0" w:firstLine="0"/>
              <w:jc w:val="right"/>
              <w:rPr>
                <w:rFonts w:cs="Arial"/>
                <w:szCs w:val="16"/>
              </w:rPr>
            </w:pPr>
            <w:r w:rsidRPr="005468A2">
              <w:rPr>
                <w:rFonts w:cs="Arial"/>
                <w:szCs w:val="16"/>
              </w:rPr>
              <w:t>1,515</w:t>
            </w:r>
          </w:p>
        </w:tc>
        <w:tc>
          <w:tcPr>
            <w:tcW w:w="601" w:type="pct"/>
            <w:tcBorders>
              <w:top w:val="nil"/>
              <w:left w:val="nil"/>
              <w:bottom w:val="nil"/>
              <w:right w:val="nil"/>
            </w:tcBorders>
            <w:shd w:val="clear" w:color="auto" w:fill="auto"/>
            <w:vAlign w:val="center"/>
            <w:hideMark/>
          </w:tcPr>
          <w:p w14:paraId="376BD07C" w14:textId="77777777" w:rsidR="005468A2" w:rsidRPr="005468A2" w:rsidRDefault="005468A2" w:rsidP="006143F3">
            <w:pPr>
              <w:pStyle w:val="ChartandTableFootnote"/>
              <w:ind w:left="0" w:firstLine="0"/>
              <w:jc w:val="right"/>
              <w:rPr>
                <w:rFonts w:cs="Arial"/>
                <w:szCs w:val="16"/>
              </w:rPr>
            </w:pPr>
            <w:r w:rsidRPr="005468A2">
              <w:rPr>
                <w:rFonts w:cs="Arial"/>
                <w:szCs w:val="16"/>
              </w:rPr>
              <w:t>35.6</w:t>
            </w:r>
          </w:p>
        </w:tc>
        <w:tc>
          <w:tcPr>
            <w:tcW w:w="575" w:type="pct"/>
            <w:tcBorders>
              <w:top w:val="nil"/>
              <w:left w:val="nil"/>
              <w:bottom w:val="nil"/>
              <w:right w:val="nil"/>
            </w:tcBorders>
            <w:shd w:val="clear" w:color="auto" w:fill="auto"/>
            <w:vAlign w:val="center"/>
            <w:hideMark/>
          </w:tcPr>
          <w:p w14:paraId="3E29F96B" w14:textId="4D81BF22"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21.6</w:t>
            </w:r>
          </w:p>
        </w:tc>
      </w:tr>
      <w:tr w:rsidR="005468A2" w:rsidRPr="005468A2" w14:paraId="0B3A5BB6" w14:textId="77777777" w:rsidTr="008122DC">
        <w:trPr>
          <w:trHeight w:hRule="exact" w:val="300"/>
        </w:trPr>
        <w:tc>
          <w:tcPr>
            <w:tcW w:w="647" w:type="pct"/>
            <w:tcBorders>
              <w:top w:val="nil"/>
              <w:left w:val="nil"/>
              <w:bottom w:val="nil"/>
              <w:right w:val="nil"/>
            </w:tcBorders>
            <w:shd w:val="clear" w:color="auto" w:fill="auto"/>
            <w:vAlign w:val="center"/>
            <w:hideMark/>
          </w:tcPr>
          <w:p w14:paraId="4E441216"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2476AF3C" w14:textId="77777777" w:rsidR="005468A2" w:rsidRPr="005468A2" w:rsidRDefault="005468A2" w:rsidP="00180CD6">
            <w:pPr>
              <w:pStyle w:val="ChartandTableFootnote"/>
              <w:ind w:left="0" w:firstLine="0"/>
              <w:rPr>
                <w:rFonts w:cs="Arial"/>
                <w:szCs w:val="16"/>
              </w:rPr>
            </w:pPr>
            <w:r w:rsidRPr="005468A2">
              <w:rPr>
                <w:rFonts w:cs="Arial"/>
                <w:szCs w:val="16"/>
              </w:rPr>
              <w:t>B83</w:t>
            </w:r>
          </w:p>
        </w:tc>
        <w:tc>
          <w:tcPr>
            <w:tcW w:w="2197" w:type="pct"/>
            <w:tcBorders>
              <w:top w:val="nil"/>
              <w:left w:val="nil"/>
              <w:bottom w:val="nil"/>
              <w:right w:val="nil"/>
            </w:tcBorders>
            <w:shd w:val="clear" w:color="auto" w:fill="auto"/>
            <w:vAlign w:val="center"/>
            <w:hideMark/>
          </w:tcPr>
          <w:p w14:paraId="782D5115" w14:textId="77777777" w:rsidR="005468A2" w:rsidRPr="005468A2" w:rsidRDefault="005468A2" w:rsidP="00180CD6">
            <w:pPr>
              <w:pStyle w:val="ChartandTableFootnote"/>
              <w:ind w:left="0" w:firstLine="0"/>
              <w:rPr>
                <w:rFonts w:cs="Arial"/>
                <w:szCs w:val="16"/>
              </w:rPr>
            </w:pPr>
            <w:r w:rsidRPr="005468A2">
              <w:rPr>
                <w:rFonts w:cs="Arial"/>
                <w:szCs w:val="16"/>
              </w:rPr>
              <w:t>Capital works expenditure deduction</w:t>
            </w:r>
          </w:p>
        </w:tc>
        <w:tc>
          <w:tcPr>
            <w:tcW w:w="537" w:type="pct"/>
            <w:tcBorders>
              <w:top w:val="nil"/>
              <w:left w:val="nil"/>
              <w:bottom w:val="nil"/>
              <w:right w:val="nil"/>
            </w:tcBorders>
            <w:shd w:val="clear" w:color="auto" w:fill="auto"/>
            <w:vAlign w:val="center"/>
            <w:hideMark/>
          </w:tcPr>
          <w:p w14:paraId="7D8C8CFC" w14:textId="77777777" w:rsidR="005468A2" w:rsidRPr="005468A2" w:rsidRDefault="005468A2" w:rsidP="006143F3">
            <w:pPr>
              <w:pStyle w:val="ChartandTableFootnote"/>
              <w:ind w:left="0" w:firstLine="0"/>
              <w:jc w:val="right"/>
              <w:rPr>
                <w:rFonts w:cs="Arial"/>
                <w:szCs w:val="16"/>
              </w:rPr>
            </w:pPr>
            <w:r w:rsidRPr="005468A2">
              <w:rPr>
                <w:rFonts w:cs="Arial"/>
                <w:szCs w:val="16"/>
              </w:rPr>
              <w:t>1,430</w:t>
            </w:r>
          </w:p>
        </w:tc>
        <w:tc>
          <w:tcPr>
            <w:tcW w:w="601" w:type="pct"/>
            <w:tcBorders>
              <w:top w:val="nil"/>
              <w:left w:val="nil"/>
              <w:bottom w:val="nil"/>
              <w:right w:val="nil"/>
            </w:tcBorders>
            <w:shd w:val="clear" w:color="auto" w:fill="auto"/>
            <w:vAlign w:val="center"/>
            <w:hideMark/>
          </w:tcPr>
          <w:p w14:paraId="14099137" w14:textId="77777777" w:rsidR="005468A2" w:rsidRPr="005468A2" w:rsidRDefault="005468A2" w:rsidP="006143F3">
            <w:pPr>
              <w:pStyle w:val="ChartandTableFootnote"/>
              <w:ind w:left="0" w:firstLine="0"/>
              <w:jc w:val="right"/>
              <w:rPr>
                <w:rFonts w:cs="Arial"/>
                <w:szCs w:val="16"/>
              </w:rPr>
            </w:pPr>
            <w:r w:rsidRPr="005468A2">
              <w:rPr>
                <w:rFonts w:cs="Arial"/>
                <w:szCs w:val="16"/>
              </w:rPr>
              <w:t>3.4</w:t>
            </w:r>
          </w:p>
        </w:tc>
        <w:tc>
          <w:tcPr>
            <w:tcW w:w="575" w:type="pct"/>
            <w:tcBorders>
              <w:top w:val="nil"/>
              <w:left w:val="nil"/>
              <w:bottom w:val="nil"/>
              <w:right w:val="nil"/>
            </w:tcBorders>
            <w:shd w:val="clear" w:color="auto" w:fill="auto"/>
            <w:vAlign w:val="center"/>
            <w:hideMark/>
          </w:tcPr>
          <w:p w14:paraId="4E14B396" w14:textId="77777777" w:rsidR="005468A2" w:rsidRPr="005468A2" w:rsidRDefault="005468A2" w:rsidP="006143F3">
            <w:pPr>
              <w:pStyle w:val="ChartandTableFootnote"/>
              <w:ind w:left="0" w:firstLine="0"/>
              <w:jc w:val="right"/>
              <w:rPr>
                <w:rFonts w:cs="Arial"/>
                <w:szCs w:val="16"/>
              </w:rPr>
            </w:pPr>
            <w:r w:rsidRPr="005468A2">
              <w:rPr>
                <w:rFonts w:cs="Arial"/>
                <w:szCs w:val="16"/>
              </w:rPr>
              <w:t>3.6</w:t>
            </w:r>
          </w:p>
        </w:tc>
      </w:tr>
      <w:tr w:rsidR="005468A2" w:rsidRPr="005468A2" w14:paraId="06BA26DE" w14:textId="77777777" w:rsidTr="008122DC">
        <w:trPr>
          <w:trHeight w:hRule="exact" w:val="900"/>
        </w:trPr>
        <w:tc>
          <w:tcPr>
            <w:tcW w:w="647" w:type="pct"/>
            <w:tcBorders>
              <w:top w:val="nil"/>
              <w:left w:val="nil"/>
              <w:bottom w:val="nil"/>
              <w:right w:val="nil"/>
            </w:tcBorders>
            <w:shd w:val="clear" w:color="auto" w:fill="auto"/>
            <w:vAlign w:val="center"/>
            <w:hideMark/>
          </w:tcPr>
          <w:p w14:paraId="58DCFCE7"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30DF1511" w14:textId="77777777" w:rsidR="005468A2" w:rsidRPr="005468A2" w:rsidRDefault="005468A2" w:rsidP="00180CD6">
            <w:pPr>
              <w:pStyle w:val="ChartandTableFootnote"/>
              <w:ind w:left="0" w:firstLine="0"/>
              <w:rPr>
                <w:rFonts w:cs="Arial"/>
                <w:szCs w:val="16"/>
              </w:rPr>
            </w:pPr>
            <w:r w:rsidRPr="005468A2">
              <w:rPr>
                <w:rFonts w:cs="Arial"/>
                <w:szCs w:val="16"/>
              </w:rPr>
              <w:t>A40</w:t>
            </w:r>
          </w:p>
        </w:tc>
        <w:tc>
          <w:tcPr>
            <w:tcW w:w="2197" w:type="pct"/>
            <w:tcBorders>
              <w:top w:val="nil"/>
              <w:left w:val="nil"/>
              <w:bottom w:val="nil"/>
              <w:right w:val="nil"/>
            </w:tcBorders>
            <w:shd w:val="clear" w:color="auto" w:fill="auto"/>
            <w:vAlign w:val="center"/>
            <w:hideMark/>
          </w:tcPr>
          <w:p w14:paraId="7937FD45" w14:textId="330410EA" w:rsidR="005468A2" w:rsidRPr="005468A2" w:rsidRDefault="005468A2" w:rsidP="00180CD6">
            <w:pPr>
              <w:pStyle w:val="ChartandTableFootnote"/>
              <w:ind w:left="0" w:firstLine="0"/>
              <w:rPr>
                <w:rFonts w:cs="Arial"/>
                <w:szCs w:val="16"/>
              </w:rPr>
            </w:pPr>
            <w:r w:rsidRPr="005468A2">
              <w:rPr>
                <w:rFonts w:cs="Arial"/>
                <w:szCs w:val="16"/>
              </w:rPr>
              <w:t>Exemptions of certain veterans</w:t>
            </w:r>
            <w:r w:rsidR="008571AB">
              <w:rPr>
                <w:rFonts w:cs="Arial"/>
                <w:szCs w:val="16"/>
              </w:rPr>
              <w:t>’</w:t>
            </w:r>
            <w:r w:rsidRPr="005468A2">
              <w:rPr>
                <w:rFonts w:cs="Arial"/>
                <w:szCs w:val="16"/>
              </w:rPr>
              <w:t xml:space="preserve"> pensions, allowances or benefits, compensation, and particular World War II</w:t>
            </w:r>
            <w:r w:rsidR="008571AB">
              <w:rPr>
                <w:rFonts w:cs="Arial"/>
                <w:szCs w:val="16"/>
              </w:rPr>
              <w:noBreakHyphen/>
            </w:r>
            <w:r w:rsidRPr="005468A2">
              <w:rPr>
                <w:rFonts w:cs="Arial"/>
                <w:szCs w:val="16"/>
              </w:rPr>
              <w:t>related payments for persecution</w:t>
            </w:r>
          </w:p>
        </w:tc>
        <w:tc>
          <w:tcPr>
            <w:tcW w:w="537" w:type="pct"/>
            <w:tcBorders>
              <w:top w:val="nil"/>
              <w:left w:val="nil"/>
              <w:bottom w:val="nil"/>
              <w:right w:val="nil"/>
            </w:tcBorders>
            <w:shd w:val="clear" w:color="auto" w:fill="auto"/>
            <w:vAlign w:val="center"/>
            <w:hideMark/>
          </w:tcPr>
          <w:p w14:paraId="73FC46EF" w14:textId="77777777" w:rsidR="005468A2" w:rsidRPr="005468A2" w:rsidRDefault="005468A2" w:rsidP="006143F3">
            <w:pPr>
              <w:pStyle w:val="ChartandTableFootnote"/>
              <w:ind w:left="0" w:firstLine="0"/>
              <w:jc w:val="right"/>
              <w:rPr>
                <w:rFonts w:cs="Arial"/>
                <w:szCs w:val="16"/>
              </w:rPr>
            </w:pPr>
            <w:r w:rsidRPr="005468A2">
              <w:rPr>
                <w:rFonts w:cs="Arial"/>
                <w:szCs w:val="16"/>
              </w:rPr>
              <w:t>1,380</w:t>
            </w:r>
          </w:p>
        </w:tc>
        <w:tc>
          <w:tcPr>
            <w:tcW w:w="601" w:type="pct"/>
            <w:tcBorders>
              <w:top w:val="nil"/>
              <w:left w:val="nil"/>
              <w:bottom w:val="nil"/>
              <w:right w:val="nil"/>
            </w:tcBorders>
            <w:shd w:val="clear" w:color="auto" w:fill="auto"/>
            <w:vAlign w:val="center"/>
            <w:hideMark/>
          </w:tcPr>
          <w:p w14:paraId="303A3D3B" w14:textId="77777777" w:rsidR="005468A2" w:rsidRPr="005468A2" w:rsidRDefault="005468A2" w:rsidP="006143F3">
            <w:pPr>
              <w:pStyle w:val="ChartandTableFootnote"/>
              <w:ind w:left="0" w:firstLine="0"/>
              <w:jc w:val="right"/>
              <w:rPr>
                <w:rFonts w:cs="Arial"/>
                <w:szCs w:val="16"/>
              </w:rPr>
            </w:pPr>
            <w:r w:rsidRPr="005468A2">
              <w:rPr>
                <w:rFonts w:cs="Arial"/>
                <w:szCs w:val="16"/>
              </w:rPr>
              <w:t>20.2</w:t>
            </w:r>
          </w:p>
        </w:tc>
        <w:tc>
          <w:tcPr>
            <w:tcW w:w="575" w:type="pct"/>
            <w:tcBorders>
              <w:top w:val="nil"/>
              <w:left w:val="nil"/>
              <w:bottom w:val="nil"/>
              <w:right w:val="nil"/>
            </w:tcBorders>
            <w:shd w:val="clear" w:color="auto" w:fill="auto"/>
            <w:vAlign w:val="center"/>
            <w:hideMark/>
          </w:tcPr>
          <w:p w14:paraId="454BC465" w14:textId="764241D9"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0.9</w:t>
            </w:r>
          </w:p>
        </w:tc>
      </w:tr>
      <w:tr w:rsidR="005468A2" w:rsidRPr="005468A2" w14:paraId="1549FD7C" w14:textId="77777777" w:rsidTr="008122DC">
        <w:trPr>
          <w:trHeight w:hRule="exact" w:val="300"/>
        </w:trPr>
        <w:tc>
          <w:tcPr>
            <w:tcW w:w="647" w:type="pct"/>
            <w:tcBorders>
              <w:top w:val="nil"/>
              <w:left w:val="nil"/>
              <w:bottom w:val="nil"/>
              <w:right w:val="nil"/>
            </w:tcBorders>
            <w:shd w:val="clear" w:color="auto" w:fill="auto"/>
            <w:vAlign w:val="center"/>
            <w:hideMark/>
          </w:tcPr>
          <w:p w14:paraId="2E71D3C3" w14:textId="77777777" w:rsidR="005468A2" w:rsidRPr="005468A2" w:rsidRDefault="005468A2" w:rsidP="00180CD6">
            <w:pPr>
              <w:pStyle w:val="ChartandTableFootnote"/>
              <w:ind w:left="0" w:firstLine="0"/>
              <w:rPr>
                <w:rFonts w:cs="Arial"/>
                <w:szCs w:val="16"/>
              </w:rPr>
            </w:pPr>
            <w:r w:rsidRPr="005468A2">
              <w:rPr>
                <w:rFonts w:cs="Arial"/>
                <w:szCs w:val="16"/>
              </w:rPr>
              <w:t>GST</w:t>
            </w:r>
          </w:p>
        </w:tc>
        <w:tc>
          <w:tcPr>
            <w:tcW w:w="443" w:type="pct"/>
            <w:tcBorders>
              <w:top w:val="nil"/>
              <w:left w:val="nil"/>
              <w:bottom w:val="nil"/>
              <w:right w:val="nil"/>
            </w:tcBorders>
            <w:shd w:val="clear" w:color="auto" w:fill="auto"/>
            <w:vAlign w:val="center"/>
            <w:hideMark/>
          </w:tcPr>
          <w:p w14:paraId="5FD5B3C2" w14:textId="77777777" w:rsidR="005468A2" w:rsidRPr="005468A2" w:rsidRDefault="005468A2" w:rsidP="00180CD6">
            <w:pPr>
              <w:pStyle w:val="ChartandTableFootnote"/>
              <w:ind w:left="0" w:firstLine="0"/>
              <w:rPr>
                <w:rFonts w:cs="Arial"/>
                <w:szCs w:val="16"/>
              </w:rPr>
            </w:pPr>
            <w:r w:rsidRPr="005468A2">
              <w:rPr>
                <w:rFonts w:cs="Arial"/>
                <w:szCs w:val="16"/>
              </w:rPr>
              <w:t>H6</w:t>
            </w:r>
          </w:p>
        </w:tc>
        <w:tc>
          <w:tcPr>
            <w:tcW w:w="2197" w:type="pct"/>
            <w:tcBorders>
              <w:top w:val="nil"/>
              <w:left w:val="nil"/>
              <w:bottom w:val="nil"/>
              <w:right w:val="nil"/>
            </w:tcBorders>
            <w:shd w:val="clear" w:color="auto" w:fill="auto"/>
            <w:vAlign w:val="center"/>
            <w:hideMark/>
          </w:tcPr>
          <w:p w14:paraId="245E041A" w14:textId="77777777" w:rsidR="005468A2" w:rsidRPr="005468A2" w:rsidRDefault="005468A2" w:rsidP="00180CD6">
            <w:pPr>
              <w:pStyle w:val="ChartandTableFootnote"/>
              <w:ind w:left="0" w:firstLine="0"/>
              <w:rPr>
                <w:rFonts w:cs="Arial"/>
                <w:szCs w:val="16"/>
              </w:rPr>
            </w:pPr>
            <w:r w:rsidRPr="005468A2">
              <w:rPr>
                <w:rFonts w:cs="Arial"/>
                <w:szCs w:val="16"/>
              </w:rPr>
              <w:t>Water, sewerage and drainage</w:t>
            </w:r>
          </w:p>
        </w:tc>
        <w:tc>
          <w:tcPr>
            <w:tcW w:w="537" w:type="pct"/>
            <w:tcBorders>
              <w:top w:val="nil"/>
              <w:left w:val="nil"/>
              <w:bottom w:val="nil"/>
              <w:right w:val="nil"/>
            </w:tcBorders>
            <w:shd w:val="clear" w:color="auto" w:fill="auto"/>
            <w:vAlign w:val="center"/>
            <w:hideMark/>
          </w:tcPr>
          <w:p w14:paraId="45D01F21" w14:textId="77777777" w:rsidR="005468A2" w:rsidRPr="005468A2" w:rsidRDefault="005468A2" w:rsidP="006143F3">
            <w:pPr>
              <w:pStyle w:val="ChartandTableFootnote"/>
              <w:ind w:left="0" w:firstLine="0"/>
              <w:jc w:val="right"/>
              <w:rPr>
                <w:rFonts w:cs="Arial"/>
                <w:szCs w:val="16"/>
              </w:rPr>
            </w:pPr>
            <w:r w:rsidRPr="005468A2">
              <w:rPr>
                <w:rFonts w:cs="Arial"/>
                <w:szCs w:val="16"/>
              </w:rPr>
              <w:t>1,320</w:t>
            </w:r>
          </w:p>
        </w:tc>
        <w:tc>
          <w:tcPr>
            <w:tcW w:w="601" w:type="pct"/>
            <w:tcBorders>
              <w:top w:val="nil"/>
              <w:left w:val="nil"/>
              <w:bottom w:val="nil"/>
              <w:right w:val="nil"/>
            </w:tcBorders>
            <w:shd w:val="clear" w:color="auto" w:fill="auto"/>
            <w:vAlign w:val="center"/>
            <w:hideMark/>
          </w:tcPr>
          <w:p w14:paraId="5C470BFB" w14:textId="77777777" w:rsidR="005468A2" w:rsidRPr="005468A2" w:rsidRDefault="005468A2" w:rsidP="006143F3">
            <w:pPr>
              <w:pStyle w:val="ChartandTableFootnote"/>
              <w:ind w:left="0" w:firstLine="0"/>
              <w:jc w:val="right"/>
              <w:rPr>
                <w:rFonts w:cs="Arial"/>
                <w:szCs w:val="16"/>
              </w:rPr>
            </w:pPr>
            <w:r w:rsidRPr="005468A2">
              <w:rPr>
                <w:rFonts w:cs="Arial"/>
                <w:szCs w:val="16"/>
              </w:rPr>
              <w:t>5.2</w:t>
            </w:r>
          </w:p>
        </w:tc>
        <w:tc>
          <w:tcPr>
            <w:tcW w:w="575" w:type="pct"/>
            <w:tcBorders>
              <w:top w:val="nil"/>
              <w:left w:val="nil"/>
              <w:bottom w:val="nil"/>
              <w:right w:val="nil"/>
            </w:tcBorders>
            <w:shd w:val="clear" w:color="auto" w:fill="auto"/>
            <w:vAlign w:val="center"/>
            <w:hideMark/>
          </w:tcPr>
          <w:p w14:paraId="2CA3719A" w14:textId="77777777" w:rsidR="005468A2" w:rsidRPr="005468A2" w:rsidRDefault="005468A2" w:rsidP="006143F3">
            <w:pPr>
              <w:pStyle w:val="ChartandTableFootnote"/>
              <w:ind w:left="0" w:firstLine="0"/>
              <w:jc w:val="right"/>
              <w:rPr>
                <w:rFonts w:cs="Arial"/>
                <w:szCs w:val="16"/>
              </w:rPr>
            </w:pPr>
            <w:r w:rsidRPr="005468A2">
              <w:rPr>
                <w:rFonts w:cs="Arial"/>
                <w:szCs w:val="16"/>
              </w:rPr>
              <w:t>3.5</w:t>
            </w:r>
          </w:p>
        </w:tc>
      </w:tr>
      <w:tr w:rsidR="005468A2" w:rsidRPr="005468A2" w14:paraId="111A1821" w14:textId="77777777" w:rsidTr="008122DC">
        <w:trPr>
          <w:trHeight w:hRule="exact" w:val="300"/>
        </w:trPr>
        <w:tc>
          <w:tcPr>
            <w:tcW w:w="647" w:type="pct"/>
            <w:tcBorders>
              <w:top w:val="nil"/>
              <w:left w:val="nil"/>
              <w:bottom w:val="nil"/>
              <w:right w:val="nil"/>
            </w:tcBorders>
            <w:shd w:val="clear" w:color="auto" w:fill="auto"/>
            <w:vAlign w:val="center"/>
            <w:hideMark/>
          </w:tcPr>
          <w:p w14:paraId="528E3E09" w14:textId="77777777" w:rsidR="005468A2" w:rsidRPr="005468A2" w:rsidRDefault="005468A2" w:rsidP="00180CD6">
            <w:pPr>
              <w:pStyle w:val="ChartandTableFootnote"/>
              <w:ind w:left="0" w:firstLine="0"/>
              <w:rPr>
                <w:rFonts w:cs="Arial"/>
                <w:szCs w:val="16"/>
              </w:rPr>
            </w:pPr>
            <w:r w:rsidRPr="005468A2">
              <w:rPr>
                <w:rFonts w:cs="Arial"/>
                <w:szCs w:val="16"/>
              </w:rPr>
              <w:t>CGT</w:t>
            </w:r>
          </w:p>
        </w:tc>
        <w:tc>
          <w:tcPr>
            <w:tcW w:w="443" w:type="pct"/>
            <w:tcBorders>
              <w:top w:val="nil"/>
              <w:left w:val="nil"/>
              <w:bottom w:val="nil"/>
              <w:right w:val="nil"/>
            </w:tcBorders>
            <w:shd w:val="clear" w:color="auto" w:fill="auto"/>
            <w:vAlign w:val="center"/>
            <w:hideMark/>
          </w:tcPr>
          <w:p w14:paraId="35EEBDC1" w14:textId="77777777" w:rsidR="005468A2" w:rsidRPr="005468A2" w:rsidRDefault="005468A2" w:rsidP="00180CD6">
            <w:pPr>
              <w:pStyle w:val="ChartandTableFootnote"/>
              <w:ind w:left="0" w:firstLine="0"/>
              <w:rPr>
                <w:rFonts w:cs="Arial"/>
                <w:szCs w:val="16"/>
              </w:rPr>
            </w:pPr>
            <w:r w:rsidRPr="005468A2">
              <w:rPr>
                <w:rFonts w:cs="Arial"/>
                <w:szCs w:val="16"/>
              </w:rPr>
              <w:t>E32</w:t>
            </w:r>
          </w:p>
        </w:tc>
        <w:tc>
          <w:tcPr>
            <w:tcW w:w="2197" w:type="pct"/>
            <w:tcBorders>
              <w:top w:val="nil"/>
              <w:left w:val="nil"/>
              <w:bottom w:val="nil"/>
              <w:right w:val="nil"/>
            </w:tcBorders>
            <w:shd w:val="clear" w:color="auto" w:fill="auto"/>
            <w:vAlign w:val="center"/>
            <w:hideMark/>
          </w:tcPr>
          <w:p w14:paraId="22F270D4" w14:textId="77777777" w:rsidR="005468A2" w:rsidRPr="005468A2" w:rsidRDefault="005468A2" w:rsidP="00180CD6">
            <w:pPr>
              <w:pStyle w:val="ChartandTableFootnote"/>
              <w:ind w:left="0" w:firstLine="0"/>
              <w:rPr>
                <w:rFonts w:cs="Arial"/>
                <w:szCs w:val="16"/>
              </w:rPr>
            </w:pPr>
            <w:r w:rsidRPr="005468A2">
              <w:rPr>
                <w:rFonts w:cs="Arial"/>
                <w:szCs w:val="16"/>
              </w:rPr>
              <w:t>Small business 50 per cent reduction</w:t>
            </w:r>
          </w:p>
        </w:tc>
        <w:tc>
          <w:tcPr>
            <w:tcW w:w="537" w:type="pct"/>
            <w:tcBorders>
              <w:top w:val="nil"/>
              <w:left w:val="nil"/>
              <w:bottom w:val="nil"/>
              <w:right w:val="nil"/>
            </w:tcBorders>
            <w:shd w:val="clear" w:color="auto" w:fill="auto"/>
            <w:vAlign w:val="center"/>
            <w:hideMark/>
          </w:tcPr>
          <w:p w14:paraId="49DF3514" w14:textId="77777777" w:rsidR="005468A2" w:rsidRPr="005468A2" w:rsidRDefault="005468A2" w:rsidP="006143F3">
            <w:pPr>
              <w:pStyle w:val="ChartandTableFootnote"/>
              <w:ind w:left="0" w:firstLine="0"/>
              <w:jc w:val="right"/>
              <w:rPr>
                <w:rFonts w:cs="Arial"/>
                <w:szCs w:val="16"/>
              </w:rPr>
            </w:pPr>
            <w:r w:rsidRPr="005468A2">
              <w:rPr>
                <w:rFonts w:cs="Arial"/>
                <w:szCs w:val="16"/>
              </w:rPr>
              <w:t>1,310</w:t>
            </w:r>
          </w:p>
        </w:tc>
        <w:tc>
          <w:tcPr>
            <w:tcW w:w="601" w:type="pct"/>
            <w:tcBorders>
              <w:top w:val="nil"/>
              <w:left w:val="nil"/>
              <w:bottom w:val="nil"/>
              <w:right w:val="nil"/>
            </w:tcBorders>
            <w:shd w:val="clear" w:color="auto" w:fill="auto"/>
            <w:vAlign w:val="center"/>
            <w:hideMark/>
          </w:tcPr>
          <w:p w14:paraId="130425B9" w14:textId="77777777" w:rsidR="005468A2" w:rsidRPr="005468A2" w:rsidRDefault="005468A2" w:rsidP="006143F3">
            <w:pPr>
              <w:pStyle w:val="ChartandTableFootnote"/>
              <w:ind w:left="0" w:firstLine="0"/>
              <w:jc w:val="right"/>
              <w:rPr>
                <w:rFonts w:cs="Arial"/>
                <w:szCs w:val="16"/>
              </w:rPr>
            </w:pPr>
            <w:r w:rsidRPr="005468A2">
              <w:rPr>
                <w:rFonts w:cs="Arial"/>
                <w:szCs w:val="16"/>
              </w:rPr>
              <w:t>16.4</w:t>
            </w:r>
          </w:p>
        </w:tc>
        <w:tc>
          <w:tcPr>
            <w:tcW w:w="575" w:type="pct"/>
            <w:tcBorders>
              <w:top w:val="nil"/>
              <w:left w:val="nil"/>
              <w:bottom w:val="nil"/>
              <w:right w:val="nil"/>
            </w:tcBorders>
            <w:shd w:val="clear" w:color="auto" w:fill="auto"/>
            <w:vAlign w:val="center"/>
            <w:hideMark/>
          </w:tcPr>
          <w:p w14:paraId="2127DB70" w14:textId="007F97C6"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4.2</w:t>
            </w:r>
          </w:p>
        </w:tc>
      </w:tr>
      <w:tr w:rsidR="005468A2" w:rsidRPr="005468A2" w14:paraId="531FC96B" w14:textId="77777777" w:rsidTr="008122DC">
        <w:trPr>
          <w:trHeight w:hRule="exact" w:val="450"/>
        </w:trPr>
        <w:tc>
          <w:tcPr>
            <w:tcW w:w="647" w:type="pct"/>
            <w:tcBorders>
              <w:top w:val="nil"/>
              <w:left w:val="nil"/>
              <w:bottom w:val="nil"/>
              <w:right w:val="nil"/>
            </w:tcBorders>
            <w:shd w:val="clear" w:color="auto" w:fill="auto"/>
            <w:vAlign w:val="center"/>
            <w:hideMark/>
          </w:tcPr>
          <w:p w14:paraId="311C658F"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2970E1F0" w14:textId="77777777" w:rsidR="005468A2" w:rsidRPr="005468A2" w:rsidRDefault="005468A2" w:rsidP="00180CD6">
            <w:pPr>
              <w:pStyle w:val="ChartandTableFootnote"/>
              <w:ind w:left="0" w:firstLine="0"/>
              <w:rPr>
                <w:rFonts w:cs="Arial"/>
                <w:szCs w:val="16"/>
              </w:rPr>
            </w:pPr>
            <w:r w:rsidRPr="005468A2">
              <w:rPr>
                <w:rFonts w:cs="Arial"/>
                <w:szCs w:val="16"/>
              </w:rPr>
              <w:t>B12</w:t>
            </w:r>
          </w:p>
        </w:tc>
        <w:tc>
          <w:tcPr>
            <w:tcW w:w="2197" w:type="pct"/>
            <w:tcBorders>
              <w:top w:val="nil"/>
              <w:left w:val="nil"/>
              <w:bottom w:val="nil"/>
              <w:right w:val="nil"/>
            </w:tcBorders>
            <w:shd w:val="clear" w:color="auto" w:fill="auto"/>
            <w:vAlign w:val="center"/>
            <w:hideMark/>
          </w:tcPr>
          <w:p w14:paraId="6A98767F" w14:textId="04EA0673" w:rsidR="005468A2" w:rsidRPr="005468A2" w:rsidRDefault="005468A2" w:rsidP="00180CD6">
            <w:pPr>
              <w:pStyle w:val="ChartandTableFootnote"/>
              <w:ind w:left="0" w:firstLine="0"/>
              <w:rPr>
                <w:rFonts w:cs="Arial"/>
                <w:szCs w:val="16"/>
              </w:rPr>
            </w:pPr>
            <w:r w:rsidRPr="005468A2">
              <w:rPr>
                <w:rFonts w:cs="Arial"/>
                <w:szCs w:val="16"/>
              </w:rPr>
              <w:t>Exemption of inbound non</w:t>
            </w:r>
            <w:r w:rsidR="008571AB">
              <w:rPr>
                <w:rFonts w:cs="Arial"/>
                <w:szCs w:val="16"/>
              </w:rPr>
              <w:noBreakHyphen/>
            </w:r>
            <w:r w:rsidRPr="005468A2">
              <w:rPr>
                <w:rFonts w:cs="Arial"/>
                <w:szCs w:val="16"/>
              </w:rPr>
              <w:t>portfolio distributions from income tax</w:t>
            </w:r>
          </w:p>
        </w:tc>
        <w:tc>
          <w:tcPr>
            <w:tcW w:w="537" w:type="pct"/>
            <w:tcBorders>
              <w:top w:val="nil"/>
              <w:left w:val="nil"/>
              <w:bottom w:val="nil"/>
              <w:right w:val="nil"/>
            </w:tcBorders>
            <w:shd w:val="clear" w:color="auto" w:fill="auto"/>
            <w:vAlign w:val="center"/>
            <w:hideMark/>
          </w:tcPr>
          <w:p w14:paraId="7606DCD2" w14:textId="77777777" w:rsidR="005468A2" w:rsidRPr="005468A2" w:rsidRDefault="005468A2" w:rsidP="006143F3">
            <w:pPr>
              <w:pStyle w:val="ChartandTableFootnote"/>
              <w:ind w:left="0" w:firstLine="0"/>
              <w:jc w:val="right"/>
              <w:rPr>
                <w:rFonts w:cs="Arial"/>
                <w:szCs w:val="16"/>
              </w:rPr>
            </w:pPr>
            <w:r w:rsidRPr="005468A2">
              <w:rPr>
                <w:rFonts w:cs="Arial"/>
                <w:szCs w:val="16"/>
              </w:rPr>
              <w:t>1,120</w:t>
            </w:r>
          </w:p>
        </w:tc>
        <w:tc>
          <w:tcPr>
            <w:tcW w:w="601" w:type="pct"/>
            <w:tcBorders>
              <w:top w:val="nil"/>
              <w:left w:val="nil"/>
              <w:bottom w:val="nil"/>
              <w:right w:val="nil"/>
            </w:tcBorders>
            <w:shd w:val="clear" w:color="auto" w:fill="auto"/>
            <w:vAlign w:val="center"/>
            <w:hideMark/>
          </w:tcPr>
          <w:p w14:paraId="005259B5" w14:textId="77777777" w:rsidR="005468A2" w:rsidRPr="005468A2" w:rsidRDefault="005468A2" w:rsidP="006143F3">
            <w:pPr>
              <w:pStyle w:val="ChartandTableFootnote"/>
              <w:ind w:left="0" w:firstLine="0"/>
              <w:jc w:val="right"/>
              <w:rPr>
                <w:rFonts w:cs="Arial"/>
                <w:szCs w:val="16"/>
              </w:rPr>
            </w:pPr>
            <w:r w:rsidRPr="005468A2">
              <w:rPr>
                <w:rFonts w:cs="Arial"/>
                <w:szCs w:val="16"/>
              </w:rPr>
              <w:t>5.1</w:t>
            </w:r>
          </w:p>
        </w:tc>
        <w:tc>
          <w:tcPr>
            <w:tcW w:w="575" w:type="pct"/>
            <w:tcBorders>
              <w:top w:val="nil"/>
              <w:left w:val="nil"/>
              <w:bottom w:val="nil"/>
              <w:right w:val="nil"/>
            </w:tcBorders>
            <w:shd w:val="clear" w:color="auto" w:fill="auto"/>
            <w:vAlign w:val="center"/>
            <w:hideMark/>
          </w:tcPr>
          <w:p w14:paraId="72481A24" w14:textId="7FB779A6"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0.7</w:t>
            </w:r>
          </w:p>
        </w:tc>
      </w:tr>
      <w:tr w:rsidR="005468A2" w:rsidRPr="005468A2" w14:paraId="2DCAEF70" w14:textId="77777777" w:rsidTr="008122DC">
        <w:trPr>
          <w:trHeight w:hRule="exact" w:val="450"/>
        </w:trPr>
        <w:tc>
          <w:tcPr>
            <w:tcW w:w="647" w:type="pct"/>
            <w:tcBorders>
              <w:top w:val="nil"/>
              <w:left w:val="nil"/>
              <w:bottom w:val="nil"/>
              <w:right w:val="nil"/>
            </w:tcBorders>
            <w:shd w:val="clear" w:color="auto" w:fill="auto"/>
            <w:vAlign w:val="center"/>
            <w:hideMark/>
          </w:tcPr>
          <w:p w14:paraId="057EFD25"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73C21DCD" w14:textId="77777777" w:rsidR="005468A2" w:rsidRPr="005468A2" w:rsidRDefault="005468A2" w:rsidP="00180CD6">
            <w:pPr>
              <w:pStyle w:val="ChartandTableFootnote"/>
              <w:ind w:left="0" w:firstLine="0"/>
              <w:rPr>
                <w:rFonts w:cs="Arial"/>
                <w:szCs w:val="16"/>
              </w:rPr>
            </w:pPr>
            <w:r w:rsidRPr="005468A2">
              <w:rPr>
                <w:rFonts w:cs="Arial"/>
                <w:szCs w:val="16"/>
              </w:rPr>
              <w:t>B5</w:t>
            </w:r>
          </w:p>
        </w:tc>
        <w:tc>
          <w:tcPr>
            <w:tcW w:w="2197" w:type="pct"/>
            <w:tcBorders>
              <w:top w:val="nil"/>
              <w:left w:val="nil"/>
              <w:bottom w:val="nil"/>
              <w:right w:val="nil"/>
            </w:tcBorders>
            <w:shd w:val="clear" w:color="auto" w:fill="auto"/>
            <w:vAlign w:val="center"/>
            <w:hideMark/>
          </w:tcPr>
          <w:p w14:paraId="78FE2580" w14:textId="77777777" w:rsidR="005468A2" w:rsidRPr="005468A2" w:rsidRDefault="005468A2" w:rsidP="00180CD6">
            <w:pPr>
              <w:pStyle w:val="ChartandTableFootnote"/>
              <w:ind w:left="0" w:firstLine="0"/>
              <w:rPr>
                <w:rFonts w:cs="Arial"/>
                <w:szCs w:val="16"/>
              </w:rPr>
            </w:pPr>
            <w:r w:rsidRPr="005468A2">
              <w:rPr>
                <w:rFonts w:cs="Arial"/>
                <w:szCs w:val="16"/>
              </w:rPr>
              <w:t>Reduced withholding tax under international tax treaties</w:t>
            </w:r>
          </w:p>
        </w:tc>
        <w:tc>
          <w:tcPr>
            <w:tcW w:w="537" w:type="pct"/>
            <w:tcBorders>
              <w:top w:val="nil"/>
              <w:left w:val="nil"/>
              <w:bottom w:val="nil"/>
              <w:right w:val="nil"/>
            </w:tcBorders>
            <w:shd w:val="clear" w:color="auto" w:fill="auto"/>
            <w:vAlign w:val="center"/>
            <w:hideMark/>
          </w:tcPr>
          <w:p w14:paraId="48F18C39" w14:textId="77777777" w:rsidR="005468A2" w:rsidRPr="005468A2" w:rsidRDefault="005468A2" w:rsidP="006143F3">
            <w:pPr>
              <w:pStyle w:val="ChartandTableFootnote"/>
              <w:ind w:left="0" w:firstLine="0"/>
              <w:jc w:val="right"/>
              <w:rPr>
                <w:rFonts w:cs="Arial"/>
                <w:szCs w:val="16"/>
              </w:rPr>
            </w:pPr>
            <w:r w:rsidRPr="005468A2">
              <w:rPr>
                <w:rFonts w:cs="Arial"/>
                <w:szCs w:val="16"/>
              </w:rPr>
              <w:t>1,080</w:t>
            </w:r>
          </w:p>
        </w:tc>
        <w:tc>
          <w:tcPr>
            <w:tcW w:w="601" w:type="pct"/>
            <w:tcBorders>
              <w:top w:val="nil"/>
              <w:left w:val="nil"/>
              <w:bottom w:val="nil"/>
              <w:right w:val="nil"/>
            </w:tcBorders>
            <w:shd w:val="clear" w:color="auto" w:fill="auto"/>
            <w:vAlign w:val="center"/>
            <w:hideMark/>
          </w:tcPr>
          <w:p w14:paraId="759D2FC2" w14:textId="77777777" w:rsidR="005468A2" w:rsidRPr="005468A2" w:rsidRDefault="005468A2" w:rsidP="006143F3">
            <w:pPr>
              <w:pStyle w:val="ChartandTableFootnote"/>
              <w:ind w:left="0" w:firstLine="0"/>
              <w:jc w:val="right"/>
              <w:rPr>
                <w:rFonts w:cs="Arial"/>
                <w:szCs w:val="16"/>
              </w:rPr>
            </w:pPr>
            <w:r w:rsidRPr="005468A2">
              <w:rPr>
                <w:rFonts w:cs="Arial"/>
                <w:szCs w:val="16"/>
              </w:rPr>
              <w:t>15.4</w:t>
            </w:r>
          </w:p>
        </w:tc>
        <w:tc>
          <w:tcPr>
            <w:tcW w:w="575" w:type="pct"/>
            <w:tcBorders>
              <w:top w:val="nil"/>
              <w:left w:val="nil"/>
              <w:bottom w:val="nil"/>
              <w:right w:val="nil"/>
            </w:tcBorders>
            <w:shd w:val="clear" w:color="auto" w:fill="auto"/>
            <w:vAlign w:val="center"/>
            <w:hideMark/>
          </w:tcPr>
          <w:p w14:paraId="2A3E2980" w14:textId="77777777" w:rsidR="005468A2" w:rsidRPr="005468A2" w:rsidRDefault="005468A2" w:rsidP="006143F3">
            <w:pPr>
              <w:pStyle w:val="ChartandTableFootnote"/>
              <w:ind w:left="0" w:firstLine="0"/>
              <w:jc w:val="right"/>
              <w:rPr>
                <w:rFonts w:cs="Arial"/>
                <w:szCs w:val="16"/>
              </w:rPr>
            </w:pPr>
            <w:r w:rsidRPr="005468A2">
              <w:rPr>
                <w:rFonts w:cs="Arial"/>
                <w:szCs w:val="16"/>
              </w:rPr>
              <w:t>8.6</w:t>
            </w:r>
          </w:p>
        </w:tc>
      </w:tr>
      <w:tr w:rsidR="005468A2" w:rsidRPr="005468A2" w14:paraId="0B0A6865" w14:textId="77777777" w:rsidTr="008122DC">
        <w:trPr>
          <w:trHeight w:hRule="exact" w:val="300"/>
        </w:trPr>
        <w:tc>
          <w:tcPr>
            <w:tcW w:w="647" w:type="pct"/>
            <w:tcBorders>
              <w:top w:val="nil"/>
              <w:left w:val="nil"/>
              <w:bottom w:val="nil"/>
              <w:right w:val="nil"/>
            </w:tcBorders>
            <w:shd w:val="clear" w:color="auto" w:fill="auto"/>
            <w:vAlign w:val="center"/>
            <w:hideMark/>
          </w:tcPr>
          <w:p w14:paraId="5D5070A8" w14:textId="77777777" w:rsidR="005468A2" w:rsidRPr="005468A2" w:rsidRDefault="005468A2" w:rsidP="00180CD6">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71FEB61E" w14:textId="77777777" w:rsidR="005468A2" w:rsidRPr="005468A2" w:rsidRDefault="005468A2" w:rsidP="00180CD6">
            <w:pPr>
              <w:pStyle w:val="ChartandTableFootnote"/>
              <w:ind w:left="0" w:firstLine="0"/>
              <w:rPr>
                <w:rFonts w:cs="Arial"/>
                <w:szCs w:val="16"/>
              </w:rPr>
            </w:pPr>
            <w:r w:rsidRPr="005468A2">
              <w:rPr>
                <w:rFonts w:cs="Arial"/>
                <w:szCs w:val="16"/>
              </w:rPr>
              <w:t>A32</w:t>
            </w:r>
          </w:p>
        </w:tc>
        <w:tc>
          <w:tcPr>
            <w:tcW w:w="2197" w:type="pct"/>
            <w:tcBorders>
              <w:top w:val="nil"/>
              <w:left w:val="nil"/>
              <w:bottom w:val="nil"/>
              <w:right w:val="nil"/>
            </w:tcBorders>
            <w:shd w:val="clear" w:color="auto" w:fill="auto"/>
            <w:vAlign w:val="center"/>
            <w:hideMark/>
          </w:tcPr>
          <w:p w14:paraId="539D9BFA" w14:textId="77777777" w:rsidR="005468A2" w:rsidRPr="005468A2" w:rsidRDefault="005468A2" w:rsidP="00180CD6">
            <w:pPr>
              <w:pStyle w:val="ChartandTableFootnote"/>
              <w:ind w:left="0" w:firstLine="0"/>
              <w:rPr>
                <w:rFonts w:cs="Arial"/>
                <w:szCs w:val="16"/>
              </w:rPr>
            </w:pPr>
            <w:r w:rsidRPr="005468A2">
              <w:rPr>
                <w:rFonts w:cs="Arial"/>
                <w:szCs w:val="16"/>
              </w:rPr>
              <w:t>Seniors and pensioners tax offset</w:t>
            </w:r>
          </w:p>
        </w:tc>
        <w:tc>
          <w:tcPr>
            <w:tcW w:w="537" w:type="pct"/>
            <w:tcBorders>
              <w:top w:val="nil"/>
              <w:left w:val="nil"/>
              <w:bottom w:val="nil"/>
              <w:right w:val="nil"/>
            </w:tcBorders>
            <w:shd w:val="clear" w:color="auto" w:fill="auto"/>
            <w:vAlign w:val="center"/>
            <w:hideMark/>
          </w:tcPr>
          <w:p w14:paraId="6075A20E" w14:textId="77777777" w:rsidR="005468A2" w:rsidRPr="005468A2" w:rsidRDefault="005468A2" w:rsidP="006143F3">
            <w:pPr>
              <w:pStyle w:val="ChartandTableFootnote"/>
              <w:ind w:left="0" w:firstLine="0"/>
              <w:jc w:val="right"/>
              <w:rPr>
                <w:rFonts w:cs="Arial"/>
                <w:szCs w:val="16"/>
              </w:rPr>
            </w:pPr>
            <w:r w:rsidRPr="005468A2">
              <w:rPr>
                <w:rFonts w:cs="Arial"/>
                <w:szCs w:val="16"/>
              </w:rPr>
              <w:t>1,050</w:t>
            </w:r>
          </w:p>
        </w:tc>
        <w:tc>
          <w:tcPr>
            <w:tcW w:w="601" w:type="pct"/>
            <w:tcBorders>
              <w:top w:val="nil"/>
              <w:left w:val="nil"/>
              <w:bottom w:val="nil"/>
              <w:right w:val="nil"/>
            </w:tcBorders>
            <w:shd w:val="clear" w:color="auto" w:fill="auto"/>
            <w:vAlign w:val="center"/>
            <w:hideMark/>
          </w:tcPr>
          <w:p w14:paraId="1BD6E3EE" w14:textId="77777777" w:rsidR="005468A2" w:rsidRPr="005468A2" w:rsidRDefault="005468A2" w:rsidP="006143F3">
            <w:pPr>
              <w:pStyle w:val="ChartandTableFootnote"/>
              <w:ind w:left="0" w:firstLine="0"/>
              <w:jc w:val="right"/>
              <w:rPr>
                <w:rFonts w:cs="Arial"/>
                <w:szCs w:val="16"/>
              </w:rPr>
            </w:pPr>
            <w:r w:rsidRPr="005468A2">
              <w:rPr>
                <w:rFonts w:cs="Arial"/>
                <w:szCs w:val="16"/>
              </w:rPr>
              <w:t>25.7</w:t>
            </w:r>
          </w:p>
        </w:tc>
        <w:tc>
          <w:tcPr>
            <w:tcW w:w="575" w:type="pct"/>
            <w:tcBorders>
              <w:top w:val="nil"/>
              <w:left w:val="nil"/>
              <w:bottom w:val="nil"/>
              <w:right w:val="nil"/>
            </w:tcBorders>
            <w:shd w:val="clear" w:color="auto" w:fill="auto"/>
            <w:vAlign w:val="center"/>
            <w:hideMark/>
          </w:tcPr>
          <w:p w14:paraId="1DF2EA12" w14:textId="17D0C1A2"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5.4</w:t>
            </w:r>
          </w:p>
        </w:tc>
      </w:tr>
      <w:tr w:rsidR="005468A2" w:rsidRPr="005468A2" w14:paraId="1532525A" w14:textId="77777777" w:rsidTr="008122DC">
        <w:trPr>
          <w:trHeight w:hRule="exact" w:val="450"/>
        </w:trPr>
        <w:tc>
          <w:tcPr>
            <w:tcW w:w="647" w:type="pct"/>
            <w:tcBorders>
              <w:top w:val="nil"/>
              <w:left w:val="nil"/>
              <w:bottom w:val="nil"/>
              <w:right w:val="nil"/>
            </w:tcBorders>
            <w:shd w:val="clear" w:color="auto" w:fill="auto"/>
            <w:vAlign w:val="center"/>
            <w:hideMark/>
          </w:tcPr>
          <w:p w14:paraId="2953927B" w14:textId="77777777" w:rsidR="005468A2" w:rsidRPr="005468A2" w:rsidRDefault="005468A2" w:rsidP="00180CD6">
            <w:pPr>
              <w:pStyle w:val="ChartandTableFootnote"/>
              <w:ind w:left="0" w:firstLine="0"/>
              <w:rPr>
                <w:rFonts w:cs="Arial"/>
                <w:szCs w:val="16"/>
              </w:rPr>
            </w:pPr>
            <w:r w:rsidRPr="005468A2">
              <w:rPr>
                <w:rFonts w:cs="Arial"/>
                <w:szCs w:val="16"/>
              </w:rPr>
              <w:t>FBT</w:t>
            </w:r>
          </w:p>
        </w:tc>
        <w:tc>
          <w:tcPr>
            <w:tcW w:w="443" w:type="pct"/>
            <w:tcBorders>
              <w:top w:val="nil"/>
              <w:left w:val="nil"/>
              <w:bottom w:val="nil"/>
              <w:right w:val="nil"/>
            </w:tcBorders>
            <w:shd w:val="clear" w:color="auto" w:fill="auto"/>
            <w:vAlign w:val="center"/>
            <w:hideMark/>
          </w:tcPr>
          <w:p w14:paraId="06273D79" w14:textId="77777777" w:rsidR="005468A2" w:rsidRPr="005468A2" w:rsidRDefault="005468A2" w:rsidP="00180CD6">
            <w:pPr>
              <w:pStyle w:val="ChartandTableFootnote"/>
              <w:ind w:left="0" w:firstLine="0"/>
              <w:rPr>
                <w:rFonts w:cs="Arial"/>
                <w:szCs w:val="16"/>
              </w:rPr>
            </w:pPr>
            <w:r w:rsidRPr="005468A2">
              <w:rPr>
                <w:rFonts w:cs="Arial"/>
                <w:szCs w:val="16"/>
              </w:rPr>
              <w:t>D21</w:t>
            </w:r>
          </w:p>
        </w:tc>
        <w:tc>
          <w:tcPr>
            <w:tcW w:w="2197" w:type="pct"/>
            <w:tcBorders>
              <w:top w:val="nil"/>
              <w:left w:val="nil"/>
              <w:bottom w:val="nil"/>
              <w:right w:val="nil"/>
            </w:tcBorders>
            <w:shd w:val="clear" w:color="auto" w:fill="auto"/>
            <w:vAlign w:val="center"/>
            <w:hideMark/>
          </w:tcPr>
          <w:p w14:paraId="2A6DF4B2" w14:textId="77777777" w:rsidR="005468A2" w:rsidRPr="005468A2" w:rsidRDefault="005468A2" w:rsidP="00180CD6">
            <w:pPr>
              <w:pStyle w:val="ChartandTableFootnote"/>
              <w:ind w:left="0" w:firstLine="0"/>
              <w:rPr>
                <w:rFonts w:cs="Arial"/>
                <w:szCs w:val="16"/>
              </w:rPr>
            </w:pPr>
            <w:r w:rsidRPr="005468A2">
              <w:rPr>
                <w:rFonts w:cs="Arial"/>
                <w:szCs w:val="16"/>
              </w:rPr>
              <w:t>Application of statutory formula to value car benefits</w:t>
            </w:r>
          </w:p>
        </w:tc>
        <w:tc>
          <w:tcPr>
            <w:tcW w:w="537" w:type="pct"/>
            <w:tcBorders>
              <w:top w:val="nil"/>
              <w:left w:val="nil"/>
              <w:bottom w:val="nil"/>
              <w:right w:val="nil"/>
            </w:tcBorders>
            <w:shd w:val="clear" w:color="auto" w:fill="auto"/>
            <w:vAlign w:val="center"/>
            <w:hideMark/>
          </w:tcPr>
          <w:p w14:paraId="57510ACF" w14:textId="77777777" w:rsidR="005468A2" w:rsidRPr="005468A2" w:rsidRDefault="005468A2" w:rsidP="006143F3">
            <w:pPr>
              <w:pStyle w:val="ChartandTableFootnote"/>
              <w:ind w:left="0" w:firstLine="0"/>
              <w:jc w:val="right"/>
              <w:rPr>
                <w:rFonts w:cs="Arial"/>
                <w:szCs w:val="16"/>
              </w:rPr>
            </w:pPr>
            <w:r w:rsidRPr="005468A2">
              <w:rPr>
                <w:rFonts w:cs="Arial"/>
                <w:szCs w:val="16"/>
              </w:rPr>
              <w:t>1,050</w:t>
            </w:r>
          </w:p>
        </w:tc>
        <w:tc>
          <w:tcPr>
            <w:tcW w:w="601" w:type="pct"/>
            <w:tcBorders>
              <w:top w:val="nil"/>
              <w:left w:val="nil"/>
              <w:bottom w:val="nil"/>
              <w:right w:val="nil"/>
            </w:tcBorders>
            <w:shd w:val="clear" w:color="auto" w:fill="auto"/>
            <w:vAlign w:val="center"/>
            <w:hideMark/>
          </w:tcPr>
          <w:p w14:paraId="5B187F3D" w14:textId="7D91B2DD" w:rsidR="005468A2" w:rsidRPr="005468A2" w:rsidRDefault="005468A2" w:rsidP="006143F3">
            <w:pPr>
              <w:pStyle w:val="ChartandTableFootnote"/>
              <w:ind w:left="0" w:firstLine="0"/>
              <w:jc w:val="right"/>
              <w:rPr>
                <w:rFonts w:cs="Arial"/>
                <w:szCs w:val="16"/>
              </w:rPr>
            </w:pPr>
            <w:r w:rsidRPr="005468A2">
              <w:rPr>
                <w:rFonts w:cs="Arial"/>
                <w:szCs w:val="16"/>
              </w:rPr>
              <w:t>28</w:t>
            </w:r>
            <w:r w:rsidR="00342D62">
              <w:rPr>
                <w:rFonts w:cs="Arial"/>
                <w:szCs w:val="16"/>
              </w:rPr>
              <w:t>.0</w:t>
            </w:r>
          </w:p>
        </w:tc>
        <w:tc>
          <w:tcPr>
            <w:tcW w:w="575" w:type="pct"/>
            <w:tcBorders>
              <w:top w:val="nil"/>
              <w:left w:val="nil"/>
              <w:bottom w:val="nil"/>
              <w:right w:val="nil"/>
            </w:tcBorders>
            <w:shd w:val="clear" w:color="auto" w:fill="auto"/>
            <w:vAlign w:val="center"/>
            <w:hideMark/>
          </w:tcPr>
          <w:p w14:paraId="55D63168" w14:textId="47E5C236"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2</w:t>
            </w:r>
            <w:r w:rsidR="00342D62">
              <w:rPr>
                <w:rFonts w:cs="Arial"/>
                <w:szCs w:val="16"/>
              </w:rPr>
              <w:t>.0</w:t>
            </w:r>
          </w:p>
        </w:tc>
      </w:tr>
      <w:tr w:rsidR="005468A2" w:rsidRPr="005468A2" w14:paraId="66061B39" w14:textId="77777777" w:rsidTr="008122DC">
        <w:trPr>
          <w:trHeight w:hRule="exact" w:val="450"/>
        </w:trPr>
        <w:tc>
          <w:tcPr>
            <w:tcW w:w="647" w:type="pct"/>
            <w:tcBorders>
              <w:top w:val="nil"/>
              <w:left w:val="nil"/>
              <w:bottom w:val="nil"/>
              <w:right w:val="nil"/>
            </w:tcBorders>
            <w:shd w:val="clear" w:color="auto" w:fill="auto"/>
            <w:vAlign w:val="center"/>
            <w:hideMark/>
          </w:tcPr>
          <w:p w14:paraId="468E0BEE" w14:textId="77777777" w:rsidR="005468A2" w:rsidRPr="005468A2" w:rsidRDefault="005468A2" w:rsidP="00180CD6">
            <w:pPr>
              <w:pStyle w:val="ChartandTableFootnote"/>
              <w:ind w:left="0" w:firstLine="0"/>
              <w:rPr>
                <w:rFonts w:cs="Arial"/>
                <w:szCs w:val="16"/>
              </w:rPr>
            </w:pPr>
            <w:r w:rsidRPr="005468A2">
              <w:rPr>
                <w:rFonts w:cs="Arial"/>
                <w:szCs w:val="16"/>
              </w:rPr>
              <w:t>Super</w:t>
            </w:r>
          </w:p>
        </w:tc>
        <w:tc>
          <w:tcPr>
            <w:tcW w:w="443" w:type="pct"/>
            <w:tcBorders>
              <w:top w:val="nil"/>
              <w:left w:val="nil"/>
              <w:bottom w:val="nil"/>
              <w:right w:val="nil"/>
            </w:tcBorders>
            <w:shd w:val="clear" w:color="auto" w:fill="auto"/>
            <w:vAlign w:val="center"/>
            <w:hideMark/>
          </w:tcPr>
          <w:p w14:paraId="526C7D01" w14:textId="77777777" w:rsidR="005468A2" w:rsidRPr="005468A2" w:rsidRDefault="005468A2" w:rsidP="00180CD6">
            <w:pPr>
              <w:pStyle w:val="ChartandTableFootnote"/>
              <w:ind w:left="0" w:firstLine="0"/>
              <w:rPr>
                <w:rFonts w:cs="Arial"/>
                <w:szCs w:val="16"/>
              </w:rPr>
            </w:pPr>
            <w:r w:rsidRPr="005468A2">
              <w:rPr>
                <w:rFonts w:cs="Arial"/>
                <w:szCs w:val="16"/>
              </w:rPr>
              <w:t>C12</w:t>
            </w:r>
          </w:p>
        </w:tc>
        <w:tc>
          <w:tcPr>
            <w:tcW w:w="2197" w:type="pct"/>
            <w:tcBorders>
              <w:top w:val="nil"/>
              <w:left w:val="nil"/>
              <w:bottom w:val="nil"/>
              <w:right w:val="nil"/>
            </w:tcBorders>
            <w:shd w:val="clear" w:color="auto" w:fill="auto"/>
            <w:vAlign w:val="center"/>
            <w:hideMark/>
          </w:tcPr>
          <w:p w14:paraId="27047D82" w14:textId="77777777" w:rsidR="005468A2" w:rsidRPr="005468A2" w:rsidRDefault="005468A2" w:rsidP="00180CD6">
            <w:pPr>
              <w:pStyle w:val="ChartandTableFootnote"/>
              <w:ind w:left="0" w:firstLine="0"/>
              <w:rPr>
                <w:rFonts w:cs="Arial"/>
                <w:szCs w:val="16"/>
              </w:rPr>
            </w:pPr>
            <w:r w:rsidRPr="005468A2">
              <w:rPr>
                <w:rFonts w:cs="Arial"/>
                <w:szCs w:val="16"/>
              </w:rPr>
              <w:t>Exemption for small business assets held for more than 15 years</w:t>
            </w:r>
          </w:p>
        </w:tc>
        <w:tc>
          <w:tcPr>
            <w:tcW w:w="537" w:type="pct"/>
            <w:tcBorders>
              <w:top w:val="nil"/>
              <w:left w:val="nil"/>
              <w:bottom w:val="nil"/>
              <w:right w:val="nil"/>
            </w:tcBorders>
            <w:shd w:val="clear" w:color="auto" w:fill="auto"/>
            <w:vAlign w:val="center"/>
            <w:hideMark/>
          </w:tcPr>
          <w:p w14:paraId="724FBE83" w14:textId="77777777" w:rsidR="005468A2" w:rsidRPr="005468A2" w:rsidRDefault="005468A2" w:rsidP="006143F3">
            <w:pPr>
              <w:pStyle w:val="ChartandTableFootnote"/>
              <w:ind w:left="0" w:firstLine="0"/>
              <w:jc w:val="right"/>
              <w:rPr>
                <w:rFonts w:cs="Arial"/>
                <w:szCs w:val="16"/>
              </w:rPr>
            </w:pPr>
            <w:r w:rsidRPr="005468A2">
              <w:rPr>
                <w:rFonts w:cs="Arial"/>
                <w:szCs w:val="16"/>
              </w:rPr>
              <w:t>1,020</w:t>
            </w:r>
          </w:p>
        </w:tc>
        <w:tc>
          <w:tcPr>
            <w:tcW w:w="601" w:type="pct"/>
            <w:tcBorders>
              <w:top w:val="nil"/>
              <w:left w:val="nil"/>
              <w:bottom w:val="nil"/>
              <w:right w:val="nil"/>
            </w:tcBorders>
            <w:shd w:val="clear" w:color="auto" w:fill="auto"/>
            <w:vAlign w:val="center"/>
            <w:hideMark/>
          </w:tcPr>
          <w:p w14:paraId="784CA312" w14:textId="77777777" w:rsidR="005468A2" w:rsidRPr="005468A2" w:rsidRDefault="005468A2" w:rsidP="006143F3">
            <w:pPr>
              <w:pStyle w:val="ChartandTableFootnote"/>
              <w:ind w:left="0" w:firstLine="0"/>
              <w:jc w:val="right"/>
              <w:rPr>
                <w:rFonts w:cs="Arial"/>
                <w:szCs w:val="16"/>
              </w:rPr>
            </w:pPr>
            <w:r w:rsidRPr="005468A2">
              <w:rPr>
                <w:rFonts w:cs="Arial"/>
                <w:szCs w:val="16"/>
              </w:rPr>
              <w:t>33.1</w:t>
            </w:r>
          </w:p>
        </w:tc>
        <w:tc>
          <w:tcPr>
            <w:tcW w:w="575" w:type="pct"/>
            <w:tcBorders>
              <w:top w:val="nil"/>
              <w:left w:val="nil"/>
              <w:bottom w:val="nil"/>
              <w:right w:val="nil"/>
            </w:tcBorders>
            <w:shd w:val="clear" w:color="auto" w:fill="auto"/>
            <w:vAlign w:val="center"/>
            <w:hideMark/>
          </w:tcPr>
          <w:p w14:paraId="2F18D091" w14:textId="5CCC33F2" w:rsidR="005468A2" w:rsidRPr="005468A2" w:rsidRDefault="008571AB" w:rsidP="006143F3">
            <w:pPr>
              <w:pStyle w:val="ChartandTableFootnote"/>
              <w:ind w:left="0" w:firstLine="0"/>
              <w:jc w:val="right"/>
              <w:rPr>
                <w:rFonts w:cs="Arial"/>
                <w:szCs w:val="16"/>
              </w:rPr>
            </w:pPr>
            <w:r>
              <w:rPr>
                <w:rFonts w:cs="Arial"/>
                <w:szCs w:val="16"/>
              </w:rPr>
              <w:noBreakHyphen/>
            </w:r>
            <w:r w:rsidR="005468A2" w:rsidRPr="005468A2">
              <w:rPr>
                <w:rFonts w:cs="Arial"/>
                <w:szCs w:val="16"/>
              </w:rPr>
              <w:t>6.2</w:t>
            </w:r>
          </w:p>
        </w:tc>
      </w:tr>
      <w:tr w:rsidR="005468A2" w:rsidRPr="005468A2" w14:paraId="180C4AD0" w14:textId="77777777" w:rsidTr="00180CD6">
        <w:trPr>
          <w:trHeight w:hRule="exact" w:val="300"/>
        </w:trPr>
        <w:tc>
          <w:tcPr>
            <w:tcW w:w="3287" w:type="pct"/>
            <w:gridSpan w:val="3"/>
            <w:tcBorders>
              <w:top w:val="nil"/>
              <w:left w:val="nil"/>
              <w:bottom w:val="nil"/>
              <w:right w:val="nil"/>
            </w:tcBorders>
            <w:shd w:val="clear" w:color="auto" w:fill="auto"/>
            <w:noWrap/>
            <w:vAlign w:val="center"/>
            <w:hideMark/>
          </w:tcPr>
          <w:p w14:paraId="134F3DAA" w14:textId="77777777" w:rsidR="005468A2" w:rsidRPr="00180CD6" w:rsidRDefault="005468A2" w:rsidP="00180CD6">
            <w:pPr>
              <w:pStyle w:val="ChartandTableFootnote"/>
              <w:ind w:left="0" w:firstLine="0"/>
              <w:rPr>
                <w:rFonts w:cs="Arial"/>
                <w:b/>
                <w:bCs/>
                <w:szCs w:val="16"/>
              </w:rPr>
            </w:pPr>
            <w:r w:rsidRPr="00180CD6">
              <w:rPr>
                <w:rFonts w:cs="Arial"/>
                <w:b/>
                <w:bCs/>
                <w:szCs w:val="16"/>
              </w:rPr>
              <w:t>Negative tax expenditures and deductions</w:t>
            </w:r>
          </w:p>
        </w:tc>
        <w:tc>
          <w:tcPr>
            <w:tcW w:w="537" w:type="pct"/>
            <w:tcBorders>
              <w:top w:val="nil"/>
              <w:left w:val="nil"/>
              <w:bottom w:val="nil"/>
              <w:right w:val="nil"/>
            </w:tcBorders>
            <w:shd w:val="clear" w:color="auto" w:fill="auto"/>
            <w:noWrap/>
            <w:vAlign w:val="center"/>
            <w:hideMark/>
          </w:tcPr>
          <w:p w14:paraId="61FD6212" w14:textId="77777777" w:rsidR="005468A2" w:rsidRPr="00180CD6" w:rsidRDefault="005468A2" w:rsidP="006143F3">
            <w:pPr>
              <w:pStyle w:val="ChartandTableFootnote"/>
              <w:ind w:left="0" w:firstLine="0"/>
              <w:jc w:val="right"/>
              <w:rPr>
                <w:rFonts w:cs="Arial"/>
                <w:b/>
                <w:bCs/>
                <w:szCs w:val="16"/>
              </w:rPr>
            </w:pPr>
          </w:p>
        </w:tc>
        <w:tc>
          <w:tcPr>
            <w:tcW w:w="601" w:type="pct"/>
            <w:tcBorders>
              <w:top w:val="nil"/>
              <w:left w:val="nil"/>
              <w:bottom w:val="nil"/>
              <w:right w:val="nil"/>
            </w:tcBorders>
            <w:shd w:val="clear" w:color="auto" w:fill="auto"/>
            <w:noWrap/>
            <w:vAlign w:val="center"/>
            <w:hideMark/>
          </w:tcPr>
          <w:p w14:paraId="50A83909" w14:textId="77777777" w:rsidR="005468A2" w:rsidRPr="00180CD6" w:rsidRDefault="005468A2" w:rsidP="006143F3">
            <w:pPr>
              <w:pStyle w:val="ChartandTableFootnote"/>
              <w:ind w:left="0" w:firstLine="0"/>
              <w:jc w:val="right"/>
              <w:rPr>
                <w:rFonts w:ascii="Times New Roman" w:hAnsi="Times New Roman"/>
                <w:sz w:val="20"/>
              </w:rPr>
            </w:pPr>
          </w:p>
        </w:tc>
        <w:tc>
          <w:tcPr>
            <w:tcW w:w="575" w:type="pct"/>
            <w:tcBorders>
              <w:top w:val="nil"/>
              <w:left w:val="nil"/>
              <w:bottom w:val="nil"/>
              <w:right w:val="nil"/>
            </w:tcBorders>
            <w:shd w:val="clear" w:color="auto" w:fill="auto"/>
            <w:noWrap/>
            <w:vAlign w:val="center"/>
            <w:hideMark/>
          </w:tcPr>
          <w:p w14:paraId="60A0E8B5" w14:textId="77777777" w:rsidR="005468A2" w:rsidRPr="00180CD6" w:rsidRDefault="005468A2" w:rsidP="006143F3">
            <w:pPr>
              <w:pStyle w:val="ChartandTableFootnote"/>
              <w:ind w:left="0" w:firstLine="0"/>
              <w:jc w:val="right"/>
              <w:rPr>
                <w:rFonts w:ascii="Times New Roman" w:hAnsi="Times New Roman"/>
                <w:sz w:val="20"/>
              </w:rPr>
            </w:pPr>
          </w:p>
        </w:tc>
      </w:tr>
      <w:tr w:rsidR="008122DC" w:rsidRPr="005468A2" w14:paraId="4FB78C6A" w14:textId="77777777" w:rsidTr="008122DC">
        <w:trPr>
          <w:trHeight w:hRule="exact" w:val="300"/>
        </w:trPr>
        <w:tc>
          <w:tcPr>
            <w:tcW w:w="647" w:type="pct"/>
            <w:tcBorders>
              <w:top w:val="nil"/>
              <w:left w:val="nil"/>
              <w:bottom w:val="nil"/>
              <w:right w:val="nil"/>
            </w:tcBorders>
            <w:shd w:val="clear" w:color="auto" w:fill="auto"/>
            <w:vAlign w:val="center"/>
            <w:hideMark/>
          </w:tcPr>
          <w:p w14:paraId="2A9EC5FC" w14:textId="77777777" w:rsidR="008122DC" w:rsidRPr="005468A2" w:rsidRDefault="008122DC" w:rsidP="008122DC">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281E25C5" w14:textId="77777777" w:rsidR="008122DC" w:rsidRPr="005468A2" w:rsidRDefault="008122DC" w:rsidP="008122DC">
            <w:pPr>
              <w:pStyle w:val="ChartandTableFootnote"/>
              <w:ind w:left="0" w:firstLine="0"/>
              <w:rPr>
                <w:rFonts w:cs="Arial"/>
                <w:szCs w:val="16"/>
              </w:rPr>
            </w:pPr>
            <w:r w:rsidRPr="005468A2">
              <w:rPr>
                <w:rFonts w:cs="Arial"/>
                <w:szCs w:val="16"/>
              </w:rPr>
              <w:t>B82</w:t>
            </w:r>
          </w:p>
        </w:tc>
        <w:tc>
          <w:tcPr>
            <w:tcW w:w="2197" w:type="pct"/>
            <w:tcBorders>
              <w:top w:val="nil"/>
              <w:left w:val="nil"/>
              <w:bottom w:val="nil"/>
              <w:right w:val="nil"/>
            </w:tcBorders>
            <w:shd w:val="clear" w:color="auto" w:fill="auto"/>
            <w:vAlign w:val="center"/>
            <w:hideMark/>
          </w:tcPr>
          <w:p w14:paraId="279BCC83" w14:textId="77777777" w:rsidR="008122DC" w:rsidRPr="005468A2" w:rsidRDefault="008122DC" w:rsidP="008122DC">
            <w:pPr>
              <w:pStyle w:val="ChartandTableFootnote"/>
              <w:ind w:left="0" w:firstLine="0"/>
              <w:rPr>
                <w:rFonts w:cs="Arial"/>
                <w:szCs w:val="16"/>
              </w:rPr>
            </w:pPr>
            <w:r w:rsidRPr="005468A2">
              <w:rPr>
                <w:rFonts w:cs="Arial"/>
                <w:szCs w:val="16"/>
              </w:rPr>
              <w:t>Accelerated depreciation for business entities</w:t>
            </w:r>
          </w:p>
        </w:tc>
        <w:tc>
          <w:tcPr>
            <w:tcW w:w="537" w:type="pct"/>
            <w:tcBorders>
              <w:top w:val="nil"/>
              <w:left w:val="nil"/>
              <w:bottom w:val="nil"/>
              <w:right w:val="nil"/>
            </w:tcBorders>
            <w:shd w:val="clear" w:color="auto" w:fill="auto"/>
            <w:vAlign w:val="center"/>
            <w:hideMark/>
          </w:tcPr>
          <w:p w14:paraId="1F017E2E" w14:textId="7294E2E9" w:rsidR="008122DC" w:rsidRPr="005468A2" w:rsidRDefault="008571AB" w:rsidP="006143F3">
            <w:pPr>
              <w:pStyle w:val="ChartandTableFootnote"/>
              <w:ind w:left="0" w:firstLine="0"/>
              <w:jc w:val="right"/>
              <w:rPr>
                <w:rFonts w:cs="Arial"/>
                <w:szCs w:val="16"/>
              </w:rPr>
            </w:pPr>
            <w:r>
              <w:noBreakHyphen/>
            </w:r>
            <w:r w:rsidR="008122DC" w:rsidRPr="00C135D9">
              <w:t>3</w:t>
            </w:r>
            <w:r w:rsidR="008122DC">
              <w:t>,</w:t>
            </w:r>
            <w:r w:rsidR="008122DC" w:rsidRPr="00C135D9">
              <w:t>900</w:t>
            </w:r>
          </w:p>
        </w:tc>
        <w:tc>
          <w:tcPr>
            <w:tcW w:w="601" w:type="pct"/>
            <w:tcBorders>
              <w:top w:val="nil"/>
              <w:left w:val="nil"/>
              <w:bottom w:val="nil"/>
              <w:right w:val="nil"/>
            </w:tcBorders>
            <w:shd w:val="clear" w:color="auto" w:fill="auto"/>
            <w:vAlign w:val="center"/>
            <w:hideMark/>
          </w:tcPr>
          <w:p w14:paraId="17527438" w14:textId="0C5E8CA7" w:rsidR="008122DC" w:rsidRPr="005468A2" w:rsidRDefault="008122DC" w:rsidP="006143F3">
            <w:pPr>
              <w:pStyle w:val="ChartandTableFootnote"/>
              <w:ind w:left="0" w:firstLine="0"/>
              <w:jc w:val="right"/>
              <w:rPr>
                <w:rFonts w:cs="Arial"/>
                <w:szCs w:val="16"/>
              </w:rPr>
            </w:pPr>
            <w:r w:rsidRPr="00DE7A72">
              <w:t>168</w:t>
            </w:r>
          </w:p>
        </w:tc>
        <w:tc>
          <w:tcPr>
            <w:tcW w:w="575" w:type="pct"/>
            <w:tcBorders>
              <w:top w:val="nil"/>
              <w:left w:val="nil"/>
              <w:bottom w:val="nil"/>
              <w:right w:val="nil"/>
            </w:tcBorders>
            <w:shd w:val="clear" w:color="auto" w:fill="auto"/>
            <w:vAlign w:val="center"/>
            <w:hideMark/>
          </w:tcPr>
          <w:p w14:paraId="51414316" w14:textId="797AC28E" w:rsidR="008122DC" w:rsidRPr="005468A2" w:rsidRDefault="008122DC" w:rsidP="006143F3">
            <w:pPr>
              <w:pStyle w:val="ChartandTableFootnote"/>
              <w:ind w:left="0" w:firstLine="0"/>
              <w:jc w:val="right"/>
              <w:rPr>
                <w:rFonts w:cs="Arial"/>
                <w:szCs w:val="16"/>
              </w:rPr>
            </w:pPr>
            <w:r w:rsidRPr="00DE7A72">
              <w:t>N/A</w:t>
            </w:r>
          </w:p>
        </w:tc>
      </w:tr>
      <w:tr w:rsidR="008122DC" w:rsidRPr="005468A2" w14:paraId="07BFA5E3" w14:textId="77777777" w:rsidTr="008122DC">
        <w:trPr>
          <w:trHeight w:hRule="exact" w:val="300"/>
        </w:trPr>
        <w:tc>
          <w:tcPr>
            <w:tcW w:w="647" w:type="pct"/>
            <w:tcBorders>
              <w:top w:val="nil"/>
              <w:left w:val="nil"/>
              <w:bottom w:val="nil"/>
              <w:right w:val="nil"/>
            </w:tcBorders>
            <w:shd w:val="clear" w:color="auto" w:fill="auto"/>
            <w:vAlign w:val="center"/>
            <w:hideMark/>
          </w:tcPr>
          <w:p w14:paraId="4F92AE26" w14:textId="77777777" w:rsidR="008122DC" w:rsidRPr="005468A2" w:rsidRDefault="008122DC" w:rsidP="008122DC">
            <w:pPr>
              <w:pStyle w:val="ChartandTableFootnote"/>
              <w:ind w:left="0" w:firstLine="0"/>
              <w:rPr>
                <w:rFonts w:cs="Arial"/>
                <w:szCs w:val="16"/>
              </w:rPr>
            </w:pPr>
            <w:r w:rsidRPr="005468A2">
              <w:rPr>
                <w:rFonts w:cs="Arial"/>
                <w:szCs w:val="16"/>
              </w:rPr>
              <w:t>Income</w:t>
            </w:r>
          </w:p>
        </w:tc>
        <w:tc>
          <w:tcPr>
            <w:tcW w:w="443" w:type="pct"/>
            <w:tcBorders>
              <w:top w:val="nil"/>
              <w:left w:val="nil"/>
              <w:bottom w:val="nil"/>
              <w:right w:val="nil"/>
            </w:tcBorders>
            <w:shd w:val="clear" w:color="auto" w:fill="auto"/>
            <w:vAlign w:val="center"/>
            <w:hideMark/>
          </w:tcPr>
          <w:p w14:paraId="492FDA5F" w14:textId="77777777" w:rsidR="008122DC" w:rsidRPr="005468A2" w:rsidRDefault="008122DC" w:rsidP="008122DC">
            <w:pPr>
              <w:pStyle w:val="ChartandTableFootnote"/>
              <w:ind w:left="0" w:firstLine="0"/>
              <w:rPr>
                <w:rFonts w:cs="Arial"/>
                <w:szCs w:val="16"/>
              </w:rPr>
            </w:pPr>
            <w:r w:rsidRPr="005468A2">
              <w:rPr>
                <w:rFonts w:cs="Arial"/>
                <w:szCs w:val="16"/>
              </w:rPr>
              <w:t>B88</w:t>
            </w:r>
          </w:p>
        </w:tc>
        <w:tc>
          <w:tcPr>
            <w:tcW w:w="2197" w:type="pct"/>
            <w:tcBorders>
              <w:top w:val="nil"/>
              <w:left w:val="nil"/>
              <w:bottom w:val="nil"/>
              <w:right w:val="nil"/>
            </w:tcBorders>
            <w:shd w:val="clear" w:color="auto" w:fill="auto"/>
            <w:vAlign w:val="center"/>
            <w:hideMark/>
          </w:tcPr>
          <w:p w14:paraId="4BD93DEF" w14:textId="77777777" w:rsidR="008122DC" w:rsidRPr="005468A2" w:rsidRDefault="008122DC" w:rsidP="008122DC">
            <w:pPr>
              <w:pStyle w:val="ChartandTableFootnote"/>
              <w:ind w:left="0" w:firstLine="0"/>
              <w:rPr>
                <w:rFonts w:cs="Arial"/>
                <w:szCs w:val="16"/>
              </w:rPr>
            </w:pPr>
            <w:r w:rsidRPr="005468A2">
              <w:rPr>
                <w:rFonts w:cs="Arial"/>
                <w:szCs w:val="16"/>
              </w:rPr>
              <w:t>Simplified depreciation rules</w:t>
            </w:r>
          </w:p>
        </w:tc>
        <w:tc>
          <w:tcPr>
            <w:tcW w:w="537" w:type="pct"/>
            <w:tcBorders>
              <w:top w:val="nil"/>
              <w:left w:val="nil"/>
              <w:bottom w:val="nil"/>
              <w:right w:val="nil"/>
            </w:tcBorders>
            <w:shd w:val="clear" w:color="auto" w:fill="auto"/>
            <w:vAlign w:val="center"/>
            <w:hideMark/>
          </w:tcPr>
          <w:p w14:paraId="6829E857" w14:textId="15F742B1" w:rsidR="008122DC" w:rsidRPr="005468A2" w:rsidRDefault="008571AB" w:rsidP="006143F3">
            <w:pPr>
              <w:pStyle w:val="ChartandTableFootnote"/>
              <w:ind w:left="0" w:firstLine="0"/>
              <w:jc w:val="right"/>
              <w:rPr>
                <w:rFonts w:cs="Arial"/>
                <w:szCs w:val="16"/>
              </w:rPr>
            </w:pPr>
            <w:r>
              <w:noBreakHyphen/>
            </w:r>
            <w:r w:rsidR="008122DC" w:rsidRPr="00C135D9">
              <w:t>3</w:t>
            </w:r>
            <w:r w:rsidR="008122DC">
              <w:t>,</w:t>
            </w:r>
            <w:r w:rsidR="008122DC" w:rsidRPr="00C135D9">
              <w:t>700</w:t>
            </w:r>
          </w:p>
        </w:tc>
        <w:tc>
          <w:tcPr>
            <w:tcW w:w="601" w:type="pct"/>
            <w:tcBorders>
              <w:top w:val="nil"/>
              <w:left w:val="nil"/>
              <w:bottom w:val="nil"/>
              <w:right w:val="nil"/>
            </w:tcBorders>
            <w:shd w:val="clear" w:color="auto" w:fill="auto"/>
            <w:vAlign w:val="center"/>
            <w:hideMark/>
          </w:tcPr>
          <w:p w14:paraId="2AC34EBD" w14:textId="7AF195FD" w:rsidR="008122DC" w:rsidRPr="005468A2" w:rsidRDefault="008122DC" w:rsidP="006143F3">
            <w:pPr>
              <w:pStyle w:val="ChartandTableFootnote"/>
              <w:ind w:left="0" w:firstLine="0"/>
              <w:jc w:val="right"/>
              <w:rPr>
                <w:rFonts w:cs="Arial"/>
                <w:szCs w:val="16"/>
              </w:rPr>
            </w:pPr>
            <w:r w:rsidRPr="00DE7A72">
              <w:t>9.8</w:t>
            </w:r>
          </w:p>
        </w:tc>
        <w:tc>
          <w:tcPr>
            <w:tcW w:w="575" w:type="pct"/>
            <w:tcBorders>
              <w:top w:val="nil"/>
              <w:left w:val="nil"/>
              <w:bottom w:val="nil"/>
              <w:right w:val="nil"/>
            </w:tcBorders>
            <w:shd w:val="clear" w:color="auto" w:fill="auto"/>
            <w:vAlign w:val="center"/>
            <w:hideMark/>
          </w:tcPr>
          <w:p w14:paraId="21B0692D" w14:textId="2B749D01" w:rsidR="008122DC" w:rsidRPr="005468A2" w:rsidRDefault="008122DC" w:rsidP="006143F3">
            <w:pPr>
              <w:pStyle w:val="ChartandTableFootnote"/>
              <w:ind w:left="0" w:firstLine="0"/>
              <w:jc w:val="right"/>
              <w:rPr>
                <w:rFonts w:cs="Arial"/>
                <w:szCs w:val="16"/>
              </w:rPr>
            </w:pPr>
            <w:r w:rsidRPr="00DE7A72">
              <w:t>N/A</w:t>
            </w:r>
          </w:p>
        </w:tc>
      </w:tr>
      <w:tr w:rsidR="008122DC" w:rsidRPr="005468A2" w14:paraId="40016F42" w14:textId="77777777" w:rsidTr="008122DC">
        <w:trPr>
          <w:trHeight w:hRule="exact" w:val="300"/>
        </w:trPr>
        <w:tc>
          <w:tcPr>
            <w:tcW w:w="647" w:type="pct"/>
            <w:tcBorders>
              <w:top w:val="nil"/>
              <w:left w:val="nil"/>
              <w:bottom w:val="nil"/>
              <w:right w:val="nil"/>
            </w:tcBorders>
            <w:shd w:val="clear" w:color="auto" w:fill="auto"/>
            <w:vAlign w:val="center"/>
            <w:hideMark/>
          </w:tcPr>
          <w:p w14:paraId="5E4BB454" w14:textId="77777777" w:rsidR="008122DC" w:rsidRPr="005468A2" w:rsidRDefault="008122DC" w:rsidP="008122DC">
            <w:pPr>
              <w:pStyle w:val="ChartandTableFootnote"/>
              <w:ind w:left="0" w:firstLine="0"/>
              <w:rPr>
                <w:rFonts w:cs="Arial"/>
                <w:szCs w:val="16"/>
              </w:rPr>
            </w:pPr>
            <w:r w:rsidRPr="005468A2">
              <w:rPr>
                <w:rFonts w:cs="Arial"/>
                <w:szCs w:val="16"/>
              </w:rPr>
              <w:t>Other</w:t>
            </w:r>
          </w:p>
        </w:tc>
        <w:tc>
          <w:tcPr>
            <w:tcW w:w="443" w:type="pct"/>
            <w:tcBorders>
              <w:top w:val="nil"/>
              <w:left w:val="nil"/>
              <w:bottom w:val="nil"/>
              <w:right w:val="nil"/>
            </w:tcBorders>
            <w:shd w:val="clear" w:color="auto" w:fill="auto"/>
            <w:vAlign w:val="center"/>
            <w:hideMark/>
          </w:tcPr>
          <w:p w14:paraId="1951E391" w14:textId="77777777" w:rsidR="008122DC" w:rsidRPr="005468A2" w:rsidRDefault="008122DC" w:rsidP="008122DC">
            <w:pPr>
              <w:pStyle w:val="ChartandTableFootnote"/>
              <w:ind w:left="0" w:firstLine="0"/>
              <w:rPr>
                <w:rFonts w:cs="Arial"/>
                <w:szCs w:val="16"/>
              </w:rPr>
            </w:pPr>
            <w:r w:rsidRPr="005468A2">
              <w:rPr>
                <w:rFonts w:cs="Arial"/>
                <w:szCs w:val="16"/>
              </w:rPr>
              <w:t>F21</w:t>
            </w:r>
          </w:p>
        </w:tc>
        <w:tc>
          <w:tcPr>
            <w:tcW w:w="2197" w:type="pct"/>
            <w:tcBorders>
              <w:top w:val="nil"/>
              <w:left w:val="nil"/>
              <w:bottom w:val="nil"/>
              <w:right w:val="nil"/>
            </w:tcBorders>
            <w:shd w:val="clear" w:color="auto" w:fill="auto"/>
            <w:vAlign w:val="center"/>
            <w:hideMark/>
          </w:tcPr>
          <w:p w14:paraId="7593FE79" w14:textId="77777777" w:rsidR="008122DC" w:rsidRPr="005468A2" w:rsidRDefault="008122DC" w:rsidP="008122DC">
            <w:pPr>
              <w:pStyle w:val="ChartandTableFootnote"/>
              <w:ind w:left="0" w:firstLine="0"/>
              <w:rPr>
                <w:rFonts w:cs="Arial"/>
                <w:szCs w:val="16"/>
              </w:rPr>
            </w:pPr>
            <w:r w:rsidRPr="005468A2">
              <w:rPr>
                <w:rFonts w:cs="Arial"/>
                <w:szCs w:val="16"/>
              </w:rPr>
              <w:t>Customs duty</w:t>
            </w:r>
          </w:p>
        </w:tc>
        <w:tc>
          <w:tcPr>
            <w:tcW w:w="537" w:type="pct"/>
            <w:tcBorders>
              <w:top w:val="nil"/>
              <w:left w:val="nil"/>
              <w:bottom w:val="nil"/>
              <w:right w:val="nil"/>
            </w:tcBorders>
            <w:shd w:val="clear" w:color="auto" w:fill="auto"/>
            <w:vAlign w:val="center"/>
            <w:hideMark/>
          </w:tcPr>
          <w:p w14:paraId="49966F21" w14:textId="542D45EC" w:rsidR="008122DC" w:rsidRPr="005468A2" w:rsidRDefault="008571AB" w:rsidP="006143F3">
            <w:pPr>
              <w:pStyle w:val="ChartandTableFootnote"/>
              <w:ind w:left="0" w:firstLine="0"/>
              <w:jc w:val="right"/>
              <w:rPr>
                <w:rFonts w:cs="Arial"/>
                <w:szCs w:val="16"/>
              </w:rPr>
            </w:pPr>
            <w:r>
              <w:noBreakHyphen/>
            </w:r>
            <w:r w:rsidR="008122DC" w:rsidRPr="00C135D9">
              <w:t>2</w:t>
            </w:r>
            <w:r w:rsidR="008122DC">
              <w:t>,</w:t>
            </w:r>
            <w:r w:rsidR="008122DC" w:rsidRPr="00C135D9">
              <w:t>1</w:t>
            </w:r>
            <w:r w:rsidR="008122DC">
              <w:t>3</w:t>
            </w:r>
            <w:r w:rsidR="008122DC" w:rsidRPr="00C135D9">
              <w:t>0</w:t>
            </w:r>
          </w:p>
        </w:tc>
        <w:tc>
          <w:tcPr>
            <w:tcW w:w="601" w:type="pct"/>
            <w:tcBorders>
              <w:top w:val="nil"/>
              <w:left w:val="nil"/>
              <w:bottom w:val="nil"/>
              <w:right w:val="nil"/>
            </w:tcBorders>
            <w:shd w:val="clear" w:color="auto" w:fill="auto"/>
            <w:vAlign w:val="center"/>
            <w:hideMark/>
          </w:tcPr>
          <w:p w14:paraId="2B32128A" w14:textId="6F9EFAD5" w:rsidR="008122DC" w:rsidRPr="005468A2" w:rsidRDefault="008122DC" w:rsidP="006143F3">
            <w:pPr>
              <w:pStyle w:val="ChartandTableFootnote"/>
              <w:ind w:left="0" w:firstLine="0"/>
              <w:jc w:val="right"/>
              <w:rPr>
                <w:rFonts w:cs="Arial"/>
                <w:szCs w:val="16"/>
              </w:rPr>
            </w:pPr>
            <w:r w:rsidRPr="00DE7A72">
              <w:t>5.</w:t>
            </w:r>
            <w:r>
              <w:t>4</w:t>
            </w:r>
          </w:p>
        </w:tc>
        <w:tc>
          <w:tcPr>
            <w:tcW w:w="575" w:type="pct"/>
            <w:tcBorders>
              <w:top w:val="nil"/>
              <w:left w:val="nil"/>
              <w:bottom w:val="nil"/>
              <w:right w:val="nil"/>
            </w:tcBorders>
            <w:shd w:val="clear" w:color="auto" w:fill="auto"/>
            <w:vAlign w:val="center"/>
            <w:hideMark/>
          </w:tcPr>
          <w:p w14:paraId="3AFE11E6" w14:textId="2124EE66" w:rsidR="008122DC" w:rsidRPr="005468A2" w:rsidRDefault="008571AB" w:rsidP="006143F3">
            <w:pPr>
              <w:pStyle w:val="ChartandTableFootnote"/>
              <w:ind w:left="0" w:firstLine="0"/>
              <w:jc w:val="right"/>
              <w:rPr>
                <w:rFonts w:cs="Arial"/>
                <w:szCs w:val="16"/>
              </w:rPr>
            </w:pPr>
            <w:r>
              <w:noBreakHyphen/>
            </w:r>
            <w:r w:rsidR="008122DC" w:rsidRPr="00DE7A72">
              <w:t>1</w:t>
            </w:r>
            <w:r w:rsidR="008122DC">
              <w:t>3.</w:t>
            </w:r>
            <w:r w:rsidR="008122DC" w:rsidRPr="00DE7A72">
              <w:t>1</w:t>
            </w:r>
          </w:p>
        </w:tc>
      </w:tr>
      <w:tr w:rsidR="008122DC" w:rsidRPr="005468A2" w14:paraId="3BCAE4A1" w14:textId="77777777" w:rsidTr="00E9515C">
        <w:trPr>
          <w:trHeight w:hRule="exact" w:val="300"/>
        </w:trPr>
        <w:tc>
          <w:tcPr>
            <w:tcW w:w="647" w:type="pct"/>
            <w:tcBorders>
              <w:top w:val="nil"/>
              <w:left w:val="nil"/>
              <w:bottom w:val="nil"/>
              <w:right w:val="nil"/>
            </w:tcBorders>
            <w:shd w:val="clear" w:color="auto" w:fill="auto"/>
            <w:vAlign w:val="center"/>
            <w:hideMark/>
          </w:tcPr>
          <w:p w14:paraId="1216147D" w14:textId="77777777" w:rsidR="008122DC" w:rsidRPr="005468A2" w:rsidRDefault="008122DC" w:rsidP="008122DC">
            <w:pPr>
              <w:pStyle w:val="ChartandTableFootnote"/>
              <w:ind w:left="0" w:firstLine="0"/>
              <w:rPr>
                <w:rFonts w:cs="Arial"/>
                <w:szCs w:val="16"/>
              </w:rPr>
            </w:pPr>
            <w:r w:rsidRPr="005468A2">
              <w:rPr>
                <w:rFonts w:cs="Arial"/>
                <w:szCs w:val="16"/>
              </w:rPr>
              <w:t>Other</w:t>
            </w:r>
          </w:p>
        </w:tc>
        <w:tc>
          <w:tcPr>
            <w:tcW w:w="443" w:type="pct"/>
            <w:tcBorders>
              <w:top w:val="nil"/>
              <w:left w:val="nil"/>
              <w:bottom w:val="nil"/>
              <w:right w:val="nil"/>
            </w:tcBorders>
            <w:shd w:val="clear" w:color="auto" w:fill="auto"/>
            <w:vAlign w:val="center"/>
            <w:hideMark/>
          </w:tcPr>
          <w:p w14:paraId="741CCD42" w14:textId="77777777" w:rsidR="008122DC" w:rsidRPr="005468A2" w:rsidRDefault="008122DC" w:rsidP="008122DC">
            <w:pPr>
              <w:pStyle w:val="ChartandTableFootnote"/>
              <w:ind w:left="0" w:firstLine="0"/>
              <w:rPr>
                <w:rFonts w:cs="Arial"/>
                <w:szCs w:val="16"/>
              </w:rPr>
            </w:pPr>
            <w:r w:rsidRPr="005468A2">
              <w:rPr>
                <w:rFonts w:cs="Arial"/>
                <w:szCs w:val="16"/>
              </w:rPr>
              <w:t>F5</w:t>
            </w:r>
          </w:p>
        </w:tc>
        <w:tc>
          <w:tcPr>
            <w:tcW w:w="2197" w:type="pct"/>
            <w:tcBorders>
              <w:top w:val="nil"/>
              <w:left w:val="nil"/>
              <w:bottom w:val="nil"/>
              <w:right w:val="nil"/>
            </w:tcBorders>
            <w:shd w:val="clear" w:color="auto" w:fill="auto"/>
            <w:vAlign w:val="center"/>
            <w:hideMark/>
          </w:tcPr>
          <w:p w14:paraId="0FFB529E" w14:textId="77777777" w:rsidR="008122DC" w:rsidRPr="005468A2" w:rsidRDefault="008122DC" w:rsidP="008122DC">
            <w:pPr>
              <w:pStyle w:val="ChartandTableFootnote"/>
              <w:ind w:left="0" w:firstLine="0"/>
              <w:rPr>
                <w:rFonts w:cs="Arial"/>
                <w:szCs w:val="16"/>
              </w:rPr>
            </w:pPr>
            <w:r w:rsidRPr="005468A2">
              <w:rPr>
                <w:rFonts w:cs="Arial"/>
                <w:szCs w:val="16"/>
              </w:rPr>
              <w:t>Luxury car tax</w:t>
            </w:r>
          </w:p>
        </w:tc>
        <w:tc>
          <w:tcPr>
            <w:tcW w:w="537" w:type="pct"/>
            <w:tcBorders>
              <w:top w:val="nil"/>
              <w:left w:val="nil"/>
              <w:bottom w:val="nil"/>
              <w:right w:val="nil"/>
            </w:tcBorders>
            <w:shd w:val="clear" w:color="auto" w:fill="auto"/>
            <w:vAlign w:val="center"/>
            <w:hideMark/>
          </w:tcPr>
          <w:p w14:paraId="379D31C5" w14:textId="77B63995" w:rsidR="008122DC" w:rsidRPr="005468A2" w:rsidRDefault="008571AB" w:rsidP="006143F3">
            <w:pPr>
              <w:pStyle w:val="ChartandTableFootnote"/>
              <w:ind w:left="0" w:firstLine="0"/>
              <w:jc w:val="right"/>
              <w:rPr>
                <w:rFonts w:cs="Arial"/>
                <w:szCs w:val="16"/>
              </w:rPr>
            </w:pPr>
            <w:r>
              <w:noBreakHyphen/>
            </w:r>
            <w:r w:rsidR="008122DC" w:rsidRPr="00136AB8">
              <w:t>1</w:t>
            </w:r>
            <w:r w:rsidR="008122DC">
              <w:t>,</w:t>
            </w:r>
            <w:r w:rsidR="008122DC" w:rsidRPr="00136AB8">
              <w:t>1</w:t>
            </w:r>
            <w:r w:rsidR="008122DC">
              <w:t>7</w:t>
            </w:r>
            <w:r w:rsidR="008122DC" w:rsidRPr="00136AB8">
              <w:t xml:space="preserve">0 </w:t>
            </w:r>
          </w:p>
        </w:tc>
        <w:tc>
          <w:tcPr>
            <w:tcW w:w="601" w:type="pct"/>
            <w:tcBorders>
              <w:top w:val="nil"/>
              <w:left w:val="nil"/>
              <w:bottom w:val="nil"/>
              <w:right w:val="nil"/>
            </w:tcBorders>
            <w:shd w:val="clear" w:color="auto" w:fill="auto"/>
            <w:vAlign w:val="center"/>
            <w:hideMark/>
          </w:tcPr>
          <w:p w14:paraId="248B1927" w14:textId="74CCC8C2" w:rsidR="008122DC" w:rsidRPr="005468A2" w:rsidRDefault="008122DC" w:rsidP="006143F3">
            <w:pPr>
              <w:pStyle w:val="ChartandTableFootnote"/>
              <w:ind w:left="0" w:firstLine="0"/>
              <w:jc w:val="right"/>
              <w:rPr>
                <w:rFonts w:cs="Arial"/>
                <w:szCs w:val="16"/>
              </w:rPr>
            </w:pPr>
            <w:r w:rsidRPr="00B82E55">
              <w:t>11.</w:t>
            </w:r>
            <w:r>
              <w:t>0</w:t>
            </w:r>
          </w:p>
        </w:tc>
        <w:tc>
          <w:tcPr>
            <w:tcW w:w="575" w:type="pct"/>
            <w:tcBorders>
              <w:top w:val="nil"/>
              <w:left w:val="nil"/>
              <w:right w:val="nil"/>
            </w:tcBorders>
            <w:shd w:val="clear" w:color="auto" w:fill="auto"/>
            <w:vAlign w:val="center"/>
            <w:hideMark/>
          </w:tcPr>
          <w:p w14:paraId="0750A4B2" w14:textId="147E8E91" w:rsidR="008122DC" w:rsidRPr="005468A2" w:rsidRDefault="008122DC" w:rsidP="006143F3">
            <w:pPr>
              <w:pStyle w:val="ChartandTableFootnote"/>
              <w:ind w:left="0" w:firstLine="0"/>
              <w:jc w:val="right"/>
              <w:rPr>
                <w:rFonts w:cs="Arial"/>
                <w:szCs w:val="16"/>
              </w:rPr>
            </w:pPr>
            <w:r>
              <w:t>2.0</w:t>
            </w:r>
          </w:p>
        </w:tc>
      </w:tr>
      <w:tr w:rsidR="008122DC" w:rsidRPr="005468A2" w14:paraId="14822C04" w14:textId="77777777" w:rsidTr="00E9515C">
        <w:trPr>
          <w:trHeight w:hRule="exact" w:val="315"/>
        </w:trPr>
        <w:tc>
          <w:tcPr>
            <w:tcW w:w="647" w:type="pct"/>
            <w:tcBorders>
              <w:top w:val="nil"/>
              <w:left w:val="nil"/>
              <w:bottom w:val="single" w:sz="4" w:space="0" w:color="293F5B"/>
              <w:right w:val="nil"/>
            </w:tcBorders>
            <w:shd w:val="clear" w:color="auto" w:fill="auto"/>
            <w:vAlign w:val="center"/>
            <w:hideMark/>
          </w:tcPr>
          <w:p w14:paraId="71B1D585" w14:textId="77777777" w:rsidR="008122DC" w:rsidRPr="005468A2" w:rsidRDefault="008122DC" w:rsidP="008122DC">
            <w:pPr>
              <w:pStyle w:val="ChartandTableFootnote"/>
              <w:ind w:left="0" w:firstLine="0"/>
              <w:rPr>
                <w:rFonts w:cs="Arial"/>
                <w:szCs w:val="16"/>
              </w:rPr>
            </w:pPr>
            <w:r w:rsidRPr="005468A2">
              <w:rPr>
                <w:rFonts w:cs="Arial"/>
                <w:szCs w:val="16"/>
              </w:rPr>
              <w:t>Income</w:t>
            </w:r>
          </w:p>
        </w:tc>
        <w:tc>
          <w:tcPr>
            <w:tcW w:w="443" w:type="pct"/>
            <w:tcBorders>
              <w:top w:val="nil"/>
              <w:left w:val="nil"/>
              <w:bottom w:val="single" w:sz="4" w:space="0" w:color="293F5B"/>
              <w:right w:val="nil"/>
            </w:tcBorders>
            <w:shd w:val="clear" w:color="auto" w:fill="auto"/>
            <w:vAlign w:val="center"/>
            <w:hideMark/>
          </w:tcPr>
          <w:p w14:paraId="4E5931C6" w14:textId="77777777" w:rsidR="008122DC" w:rsidRPr="005468A2" w:rsidRDefault="008122DC" w:rsidP="008122DC">
            <w:pPr>
              <w:pStyle w:val="ChartandTableFootnote"/>
              <w:ind w:left="0" w:firstLine="0"/>
              <w:rPr>
                <w:rFonts w:cs="Arial"/>
                <w:szCs w:val="16"/>
              </w:rPr>
            </w:pPr>
            <w:r w:rsidRPr="005468A2">
              <w:rPr>
                <w:rFonts w:cs="Arial"/>
                <w:szCs w:val="16"/>
              </w:rPr>
              <w:t>A21</w:t>
            </w:r>
          </w:p>
        </w:tc>
        <w:tc>
          <w:tcPr>
            <w:tcW w:w="2197" w:type="pct"/>
            <w:tcBorders>
              <w:top w:val="nil"/>
              <w:left w:val="nil"/>
              <w:bottom w:val="single" w:sz="4" w:space="0" w:color="293F5B"/>
              <w:right w:val="nil"/>
            </w:tcBorders>
            <w:shd w:val="clear" w:color="auto" w:fill="auto"/>
            <w:vAlign w:val="center"/>
            <w:hideMark/>
          </w:tcPr>
          <w:p w14:paraId="4ED7467B" w14:textId="77777777" w:rsidR="008122DC" w:rsidRPr="005468A2" w:rsidRDefault="008122DC" w:rsidP="008122DC">
            <w:pPr>
              <w:pStyle w:val="ChartandTableFootnote"/>
              <w:ind w:left="0" w:firstLine="0"/>
              <w:rPr>
                <w:rFonts w:cs="Arial"/>
                <w:szCs w:val="16"/>
              </w:rPr>
            </w:pPr>
            <w:r w:rsidRPr="005468A2">
              <w:rPr>
                <w:rFonts w:cs="Arial"/>
                <w:szCs w:val="16"/>
              </w:rPr>
              <w:t>Medicare levy surcharge</w:t>
            </w:r>
          </w:p>
        </w:tc>
        <w:tc>
          <w:tcPr>
            <w:tcW w:w="537" w:type="pct"/>
            <w:tcBorders>
              <w:top w:val="nil"/>
              <w:left w:val="nil"/>
              <w:bottom w:val="single" w:sz="4" w:space="0" w:color="293F5B"/>
              <w:right w:val="nil"/>
            </w:tcBorders>
            <w:shd w:val="clear" w:color="auto" w:fill="auto"/>
            <w:vAlign w:val="center"/>
            <w:hideMark/>
          </w:tcPr>
          <w:p w14:paraId="33B7B673" w14:textId="43102DBB" w:rsidR="008122DC" w:rsidRPr="005468A2" w:rsidRDefault="008571AB" w:rsidP="006143F3">
            <w:pPr>
              <w:pStyle w:val="ChartandTableFootnote"/>
              <w:ind w:left="0" w:firstLine="0"/>
              <w:jc w:val="right"/>
              <w:rPr>
                <w:rFonts w:cs="Arial"/>
                <w:szCs w:val="16"/>
              </w:rPr>
            </w:pPr>
            <w:r>
              <w:noBreakHyphen/>
            </w:r>
            <w:r w:rsidR="008122DC" w:rsidRPr="002A0EFC">
              <w:t>1</w:t>
            </w:r>
            <w:r w:rsidR="008122DC">
              <w:t>,</w:t>
            </w:r>
            <w:r w:rsidR="008122DC" w:rsidRPr="002A0EFC">
              <w:t>100</w:t>
            </w:r>
          </w:p>
        </w:tc>
        <w:tc>
          <w:tcPr>
            <w:tcW w:w="601" w:type="pct"/>
            <w:tcBorders>
              <w:top w:val="nil"/>
              <w:left w:val="nil"/>
              <w:bottom w:val="single" w:sz="4" w:space="0" w:color="293F5B"/>
              <w:right w:val="nil"/>
            </w:tcBorders>
            <w:shd w:val="clear" w:color="auto" w:fill="auto"/>
            <w:vAlign w:val="center"/>
            <w:hideMark/>
          </w:tcPr>
          <w:p w14:paraId="29DF247C" w14:textId="0DAF2800" w:rsidR="008122DC" w:rsidRPr="005468A2" w:rsidRDefault="008122DC" w:rsidP="006143F3">
            <w:pPr>
              <w:pStyle w:val="ChartandTableFootnote"/>
              <w:ind w:left="0" w:firstLine="0"/>
              <w:jc w:val="right"/>
              <w:rPr>
                <w:rFonts w:cs="Arial"/>
                <w:szCs w:val="16"/>
              </w:rPr>
            </w:pPr>
            <w:r w:rsidRPr="00DF3163">
              <w:t>24.8</w:t>
            </w:r>
          </w:p>
        </w:tc>
        <w:tc>
          <w:tcPr>
            <w:tcW w:w="575" w:type="pct"/>
            <w:tcBorders>
              <w:top w:val="nil"/>
              <w:left w:val="nil"/>
              <w:bottom w:val="single" w:sz="4" w:space="0" w:color="293F5B"/>
              <w:right w:val="nil"/>
            </w:tcBorders>
            <w:shd w:val="clear" w:color="auto" w:fill="auto"/>
            <w:vAlign w:val="center"/>
            <w:hideMark/>
          </w:tcPr>
          <w:p w14:paraId="70876031" w14:textId="3CD2A024" w:rsidR="008122DC" w:rsidRPr="005468A2" w:rsidRDefault="008122DC" w:rsidP="006143F3">
            <w:pPr>
              <w:pStyle w:val="ChartandTableFootnote"/>
              <w:ind w:left="0" w:firstLine="0"/>
              <w:jc w:val="right"/>
              <w:rPr>
                <w:rFonts w:cs="Arial"/>
                <w:szCs w:val="16"/>
              </w:rPr>
            </w:pPr>
            <w:r w:rsidRPr="00DF3163">
              <w:t>4.5</w:t>
            </w:r>
          </w:p>
        </w:tc>
      </w:tr>
    </w:tbl>
    <w:p w14:paraId="32C35E91" w14:textId="75B4287D" w:rsidR="005165F4" w:rsidRDefault="000F2AAD" w:rsidP="001215DB">
      <w:pPr>
        <w:pStyle w:val="ChartandTableFootnote"/>
        <w:ind w:left="0" w:firstLine="0"/>
      </w:pPr>
      <w:r w:rsidRPr="005165F4">
        <w:t xml:space="preserve">* For deductions, </w:t>
      </w:r>
      <w:r w:rsidR="008571AB">
        <w:t>‘</w:t>
      </w:r>
      <w:r w:rsidRPr="005165F4">
        <w:t>Revenue forgone</w:t>
      </w:r>
      <w:r w:rsidR="008571AB">
        <w:t>’</w:t>
      </w:r>
      <w:r w:rsidRPr="005165F4">
        <w:t xml:space="preserve"> refers to the reduction in tax in relation to the specified income year due to the utilisation of deductions.</w:t>
      </w:r>
    </w:p>
    <w:p w14:paraId="2511273F" w14:textId="77777777" w:rsidR="0050443E" w:rsidRDefault="0050443E" w:rsidP="0050443E">
      <w:pPr>
        <w:pStyle w:val="TableLine"/>
      </w:pPr>
    </w:p>
    <w:p w14:paraId="0A627226" w14:textId="77777777" w:rsidR="00EC5FD1" w:rsidRPr="00EC5FD1" w:rsidRDefault="00EC5FD1" w:rsidP="00EC5FD1">
      <w:pPr>
        <w:pStyle w:val="SingleParagraph"/>
      </w:pPr>
    </w:p>
    <w:sectPr w:rsidR="00EC5FD1" w:rsidRPr="00EC5FD1" w:rsidSect="00D726FA">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pgNumType w:start="3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3F90" w14:textId="77777777" w:rsidR="008E187B" w:rsidRDefault="008E187B" w:rsidP="00E40261">
      <w:pPr>
        <w:spacing w:after="0" w:line="240" w:lineRule="auto"/>
      </w:pPr>
      <w:r>
        <w:separator/>
      </w:r>
    </w:p>
  </w:endnote>
  <w:endnote w:type="continuationSeparator" w:id="0">
    <w:p w14:paraId="2F0DB77D" w14:textId="77777777" w:rsidR="008E187B" w:rsidRDefault="008E187B" w:rsidP="00E40261">
      <w:pPr>
        <w:spacing w:after="0" w:line="240" w:lineRule="auto"/>
      </w:pPr>
      <w:r>
        <w:continuationSeparator/>
      </w:r>
    </w:p>
  </w:endnote>
  <w:endnote w:type="continuationNotice" w:id="1">
    <w:p w14:paraId="3DD2B859" w14:textId="77777777" w:rsidR="008E187B" w:rsidRDefault="008E18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4FFDD0CB"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A2747E">
        <w:t>Appendix D: Tax Expenditures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478FC60D" w:rsidR="00FB5DDD" w:rsidRDefault="00000000" w:rsidP="002A6A16">
    <w:pPr>
      <w:pStyle w:val="FooterOdd"/>
    </w:pPr>
    <w:fldSimple w:instr=" SUBJECT   \* MERGEFORMAT ">
      <w:r w:rsidR="00A2747E">
        <w:t>Appendix D: Tax Expenditures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3150D2AF" w:rsidR="00FB5DDD" w:rsidRDefault="00000000" w:rsidP="00360947">
    <w:pPr>
      <w:pStyle w:val="FooterOdd"/>
    </w:pPr>
    <w:fldSimple w:instr=" SUBJECT   \* MERGEFORMAT ">
      <w:r w:rsidR="00A2747E">
        <w:t>Appendix D: Tax Expenditures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2D1A" w14:textId="77777777" w:rsidR="008E187B" w:rsidRPr="003C1CA4" w:rsidRDefault="008E187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56831D9" w14:textId="77777777" w:rsidR="008E187B" w:rsidRDefault="008E187B" w:rsidP="00E40261">
      <w:pPr>
        <w:spacing w:after="0" w:line="240" w:lineRule="auto"/>
      </w:pPr>
      <w:r>
        <w:continuationSeparator/>
      </w:r>
    </w:p>
  </w:footnote>
  <w:footnote w:type="continuationNotice" w:id="1">
    <w:p w14:paraId="6AE59877" w14:textId="77777777" w:rsidR="008E187B" w:rsidRDefault="008E18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71677642"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rsidTr="00806F81">
      <w:trPr>
        <w:trHeight w:hRule="exact" w:val="340"/>
      </w:trPr>
      <w:tc>
        <w:tcPr>
          <w:tcW w:w="7797" w:type="dxa"/>
        </w:tcPr>
        <w:p w14:paraId="25622698" w14:textId="185D0CA7" w:rsidR="00FB5DDD" w:rsidRPr="008C56E1" w:rsidRDefault="00FB5DDD" w:rsidP="00F60EA1">
          <w:pPr>
            <w:pStyle w:val="HeaderEven"/>
          </w:pPr>
          <w:r w:rsidRPr="008C56E1">
            <w:rPr>
              <w:noProof/>
              <w:position w:val="-8"/>
            </w:rPr>
            <w:drawing>
              <wp:inline distT="0" distB="0" distL="0" distR="0" wp14:anchorId="786950E1" wp14:editId="35B4E4F3">
                <wp:extent cx="874979" cy="198000"/>
                <wp:effectExtent l="0" t="0" r="1905" b="0"/>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A2747E">
              <w:t>Mid-Year Economic and Fiscal Outlook 2024–25</w:t>
            </w:r>
          </w:fldSimple>
        </w:p>
      </w:tc>
    </w:tr>
  </w:tbl>
  <w:p w14:paraId="67D6E8B8" w14:textId="77777777" w:rsidR="00FB5DDD" w:rsidRPr="00AA5439" w:rsidRDefault="00FB5DDD" w:rsidP="00C57700">
    <w:pPr>
      <w:pStyle w:val="HeaderEven"/>
      <w:rPr>
        <w:sz w:val="2"/>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7D97A92F"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30CBA500" w14:textId="77777777" w:rsidTr="00235A7F">
      <w:trPr>
        <w:trHeight w:hRule="exact" w:val="340"/>
      </w:trPr>
      <w:tc>
        <w:tcPr>
          <w:tcW w:w="7797" w:type="dxa"/>
        </w:tcPr>
        <w:p w14:paraId="093AD35F" w14:textId="5CA5C910" w:rsidR="00FB5DDD" w:rsidRPr="00D13BF9" w:rsidRDefault="00000000" w:rsidP="00D13BF9">
          <w:pPr>
            <w:pStyle w:val="HeaderOdd"/>
          </w:pPr>
          <w:fldSimple w:instr=" TITLE   \* MERGEFORMAT ">
            <w:r w:rsidR="00A2747E">
              <w:t>Mid-Year Economic and Fiscal Outlook 2024–25</w:t>
            </w:r>
          </w:fldSimple>
          <w:r w:rsidR="00FB5DDD" w:rsidRPr="00D13BF9">
            <w:t xml:space="preserve">  |  </w:t>
          </w:r>
          <w:r w:rsidR="00FB5DDD" w:rsidRPr="00C9389A">
            <w:rPr>
              <w:noProof/>
              <w:position w:val="-8"/>
            </w:rPr>
            <w:drawing>
              <wp:inline distT="0" distB="0" distL="0" distR="0" wp14:anchorId="5A744D53" wp14:editId="77C01318">
                <wp:extent cx="878400" cy="198000"/>
                <wp:effectExtent l="0" t="0" r="0" b="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5449E626" w:rsidR="00FB5DDD" w:rsidRDefault="00FB5DDD">
    <w:pPr>
      <w:pStyle w:val="Header"/>
      <w:rPr>
        <w:sz w:val="2"/>
        <w:szCs w:val="2"/>
      </w:rPr>
    </w:pPr>
  </w:p>
  <w:p w14:paraId="524B0DBB" w14:textId="77777777" w:rsidR="00FB5DDD" w:rsidRDefault="00FB5DDD">
    <w:pPr>
      <w:pStyle w:val="Header"/>
      <w:rPr>
        <w:sz w:val="2"/>
        <w:szCs w:val="2"/>
      </w:rPr>
    </w:pPr>
  </w:p>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543E1899" w:rsidR="00FB5DDD" w:rsidRPr="00137C7E" w:rsidRDefault="00000000" w:rsidP="001D33D6">
                          <w:pPr>
                            <w:pStyle w:val="HeaderOdd"/>
                          </w:pPr>
                          <w:fldSimple w:instr=" TITLE   \* MERGEFORMAT ">
                            <w:r w:rsidR="00A2747E">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1EA9713D">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448CE7" w14:textId="543E1899" w:rsidR="00FB5DDD" w:rsidRPr="00137C7E" w:rsidRDefault="00000000" w:rsidP="001D33D6">
                    <w:pPr>
                      <w:pStyle w:val="HeaderOdd"/>
                    </w:pPr>
                    <w:fldSimple w:instr=" TITLE   \* MERGEFORMAT ">
                      <w:r w:rsidR="00A2747E">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1EA9713D">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linkStyles/>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1809"/>
    <w:rsid w:val="00010C2C"/>
    <w:rsid w:val="00011DBB"/>
    <w:rsid w:val="0001283E"/>
    <w:rsid w:val="00013CBF"/>
    <w:rsid w:val="00013EA8"/>
    <w:rsid w:val="00017EB7"/>
    <w:rsid w:val="00024BA4"/>
    <w:rsid w:val="000310DD"/>
    <w:rsid w:val="000353C8"/>
    <w:rsid w:val="00035D8D"/>
    <w:rsid w:val="00050B37"/>
    <w:rsid w:val="000512E5"/>
    <w:rsid w:val="000546EB"/>
    <w:rsid w:val="0005671E"/>
    <w:rsid w:val="00056BBC"/>
    <w:rsid w:val="00060991"/>
    <w:rsid w:val="000622DA"/>
    <w:rsid w:val="000635BE"/>
    <w:rsid w:val="0007179C"/>
    <w:rsid w:val="000765FC"/>
    <w:rsid w:val="00077C20"/>
    <w:rsid w:val="0008399A"/>
    <w:rsid w:val="00083C99"/>
    <w:rsid w:val="0008597F"/>
    <w:rsid w:val="00092F87"/>
    <w:rsid w:val="00093CEB"/>
    <w:rsid w:val="00096250"/>
    <w:rsid w:val="000A0BF0"/>
    <w:rsid w:val="000B38A8"/>
    <w:rsid w:val="000C13AD"/>
    <w:rsid w:val="000C5533"/>
    <w:rsid w:val="000D78F4"/>
    <w:rsid w:val="000E105B"/>
    <w:rsid w:val="000E149B"/>
    <w:rsid w:val="000F0BC8"/>
    <w:rsid w:val="000F2AAD"/>
    <w:rsid w:val="00101D3B"/>
    <w:rsid w:val="00103F65"/>
    <w:rsid w:val="001051B9"/>
    <w:rsid w:val="0011175D"/>
    <w:rsid w:val="001147DF"/>
    <w:rsid w:val="0011674E"/>
    <w:rsid w:val="001215DB"/>
    <w:rsid w:val="001217FE"/>
    <w:rsid w:val="0012412C"/>
    <w:rsid w:val="001370EB"/>
    <w:rsid w:val="00141302"/>
    <w:rsid w:val="00143C80"/>
    <w:rsid w:val="001472CA"/>
    <w:rsid w:val="00154518"/>
    <w:rsid w:val="00160928"/>
    <w:rsid w:val="00161E74"/>
    <w:rsid w:val="0016306D"/>
    <w:rsid w:val="00166965"/>
    <w:rsid w:val="00170D2C"/>
    <w:rsid w:val="00171AF5"/>
    <w:rsid w:val="00171F5F"/>
    <w:rsid w:val="00172CFE"/>
    <w:rsid w:val="001734BE"/>
    <w:rsid w:val="0017694D"/>
    <w:rsid w:val="0017758F"/>
    <w:rsid w:val="00180CD6"/>
    <w:rsid w:val="00182B30"/>
    <w:rsid w:val="0019115B"/>
    <w:rsid w:val="00191886"/>
    <w:rsid w:val="00192401"/>
    <w:rsid w:val="00196B66"/>
    <w:rsid w:val="001970E6"/>
    <w:rsid w:val="001A5805"/>
    <w:rsid w:val="001A5A92"/>
    <w:rsid w:val="001A5D52"/>
    <w:rsid w:val="001A7712"/>
    <w:rsid w:val="001B01EE"/>
    <w:rsid w:val="001B6DD4"/>
    <w:rsid w:val="001B7232"/>
    <w:rsid w:val="001C0DCA"/>
    <w:rsid w:val="001C121A"/>
    <w:rsid w:val="001C29BA"/>
    <w:rsid w:val="001C2A57"/>
    <w:rsid w:val="001C3523"/>
    <w:rsid w:val="001C5502"/>
    <w:rsid w:val="001C5E21"/>
    <w:rsid w:val="001C7FCB"/>
    <w:rsid w:val="001D0B27"/>
    <w:rsid w:val="001D33D6"/>
    <w:rsid w:val="001D47E9"/>
    <w:rsid w:val="001E6FD3"/>
    <w:rsid w:val="001F08E1"/>
    <w:rsid w:val="001F189D"/>
    <w:rsid w:val="00200A27"/>
    <w:rsid w:val="00201EB7"/>
    <w:rsid w:val="00206A05"/>
    <w:rsid w:val="0021321F"/>
    <w:rsid w:val="00217FB9"/>
    <w:rsid w:val="00225ED6"/>
    <w:rsid w:val="0022611B"/>
    <w:rsid w:val="00233453"/>
    <w:rsid w:val="00235A7F"/>
    <w:rsid w:val="00237F04"/>
    <w:rsid w:val="00242462"/>
    <w:rsid w:val="00242479"/>
    <w:rsid w:val="0024521A"/>
    <w:rsid w:val="00250208"/>
    <w:rsid w:val="00250238"/>
    <w:rsid w:val="0025052A"/>
    <w:rsid w:val="00263741"/>
    <w:rsid w:val="00263788"/>
    <w:rsid w:val="00267200"/>
    <w:rsid w:val="0027630E"/>
    <w:rsid w:val="00281716"/>
    <w:rsid w:val="00281AF2"/>
    <w:rsid w:val="00283157"/>
    <w:rsid w:val="00294F14"/>
    <w:rsid w:val="002950DA"/>
    <w:rsid w:val="0029545D"/>
    <w:rsid w:val="002A6A16"/>
    <w:rsid w:val="002A7DB2"/>
    <w:rsid w:val="002B1853"/>
    <w:rsid w:val="002B39C8"/>
    <w:rsid w:val="002B3F57"/>
    <w:rsid w:val="002B45C9"/>
    <w:rsid w:val="002B6106"/>
    <w:rsid w:val="002B651D"/>
    <w:rsid w:val="002B71A2"/>
    <w:rsid w:val="002C175F"/>
    <w:rsid w:val="002C2097"/>
    <w:rsid w:val="002C3DEB"/>
    <w:rsid w:val="002C403C"/>
    <w:rsid w:val="002C51D9"/>
    <w:rsid w:val="002C56F3"/>
    <w:rsid w:val="002C596C"/>
    <w:rsid w:val="002C7E32"/>
    <w:rsid w:val="002D0194"/>
    <w:rsid w:val="002D577A"/>
    <w:rsid w:val="002D789E"/>
    <w:rsid w:val="002E2A75"/>
    <w:rsid w:val="002E638A"/>
    <w:rsid w:val="002E7B71"/>
    <w:rsid w:val="002F3507"/>
    <w:rsid w:val="002F40F3"/>
    <w:rsid w:val="002F4A6E"/>
    <w:rsid w:val="002F5B18"/>
    <w:rsid w:val="00305105"/>
    <w:rsid w:val="00316CB0"/>
    <w:rsid w:val="003215C6"/>
    <w:rsid w:val="00325EE2"/>
    <w:rsid w:val="00325F5F"/>
    <w:rsid w:val="003303B0"/>
    <w:rsid w:val="00334F14"/>
    <w:rsid w:val="00335985"/>
    <w:rsid w:val="003421CD"/>
    <w:rsid w:val="00342D62"/>
    <w:rsid w:val="003445B5"/>
    <w:rsid w:val="003451F5"/>
    <w:rsid w:val="00345478"/>
    <w:rsid w:val="003478ED"/>
    <w:rsid w:val="003506C0"/>
    <w:rsid w:val="003521A1"/>
    <w:rsid w:val="003548E3"/>
    <w:rsid w:val="00360947"/>
    <w:rsid w:val="00367812"/>
    <w:rsid w:val="00376330"/>
    <w:rsid w:val="00377927"/>
    <w:rsid w:val="00380608"/>
    <w:rsid w:val="00381D29"/>
    <w:rsid w:val="00382158"/>
    <w:rsid w:val="00382E3D"/>
    <w:rsid w:val="00384D69"/>
    <w:rsid w:val="00386740"/>
    <w:rsid w:val="00386B63"/>
    <w:rsid w:val="003874B5"/>
    <w:rsid w:val="0039504E"/>
    <w:rsid w:val="00395538"/>
    <w:rsid w:val="00397DEB"/>
    <w:rsid w:val="003A3AC2"/>
    <w:rsid w:val="003A56BE"/>
    <w:rsid w:val="003B052E"/>
    <w:rsid w:val="003B07C4"/>
    <w:rsid w:val="003B3670"/>
    <w:rsid w:val="003B44B4"/>
    <w:rsid w:val="003C1580"/>
    <w:rsid w:val="003C1CA4"/>
    <w:rsid w:val="003C53B8"/>
    <w:rsid w:val="003D2A65"/>
    <w:rsid w:val="003E7586"/>
    <w:rsid w:val="003F2E26"/>
    <w:rsid w:val="003F42F4"/>
    <w:rsid w:val="003F4596"/>
    <w:rsid w:val="003F53EB"/>
    <w:rsid w:val="003F6C63"/>
    <w:rsid w:val="00401216"/>
    <w:rsid w:val="00406D87"/>
    <w:rsid w:val="00407576"/>
    <w:rsid w:val="00410AC2"/>
    <w:rsid w:val="00414D61"/>
    <w:rsid w:val="0042291C"/>
    <w:rsid w:val="004233DE"/>
    <w:rsid w:val="00432818"/>
    <w:rsid w:val="00433015"/>
    <w:rsid w:val="004352E0"/>
    <w:rsid w:val="00441412"/>
    <w:rsid w:val="004458D0"/>
    <w:rsid w:val="0044700A"/>
    <w:rsid w:val="0044700C"/>
    <w:rsid w:val="00447E2C"/>
    <w:rsid w:val="00452FA9"/>
    <w:rsid w:val="00454771"/>
    <w:rsid w:val="00456B98"/>
    <w:rsid w:val="004621B2"/>
    <w:rsid w:val="00463913"/>
    <w:rsid w:val="0046391C"/>
    <w:rsid w:val="00472E41"/>
    <w:rsid w:val="0047587F"/>
    <w:rsid w:val="0047698C"/>
    <w:rsid w:val="0048563A"/>
    <w:rsid w:val="0048610E"/>
    <w:rsid w:val="004871EE"/>
    <w:rsid w:val="00493A06"/>
    <w:rsid w:val="004B04D9"/>
    <w:rsid w:val="004B6297"/>
    <w:rsid w:val="004B77B2"/>
    <w:rsid w:val="004C3F27"/>
    <w:rsid w:val="004C4B34"/>
    <w:rsid w:val="004D36A5"/>
    <w:rsid w:val="004E4D63"/>
    <w:rsid w:val="004F3FD9"/>
    <w:rsid w:val="004F60DD"/>
    <w:rsid w:val="0050443E"/>
    <w:rsid w:val="00513FCE"/>
    <w:rsid w:val="005151D9"/>
    <w:rsid w:val="005165F4"/>
    <w:rsid w:val="00520640"/>
    <w:rsid w:val="00524358"/>
    <w:rsid w:val="00532259"/>
    <w:rsid w:val="00535753"/>
    <w:rsid w:val="005359E7"/>
    <w:rsid w:val="005408FA"/>
    <w:rsid w:val="005440AA"/>
    <w:rsid w:val="00544DF6"/>
    <w:rsid w:val="005468A2"/>
    <w:rsid w:val="005476BD"/>
    <w:rsid w:val="0054784A"/>
    <w:rsid w:val="00551E91"/>
    <w:rsid w:val="0055350B"/>
    <w:rsid w:val="00553C9A"/>
    <w:rsid w:val="005615BE"/>
    <w:rsid w:val="00562AB7"/>
    <w:rsid w:val="00563052"/>
    <w:rsid w:val="005637E5"/>
    <w:rsid w:val="00563FF0"/>
    <w:rsid w:val="005642C7"/>
    <w:rsid w:val="00574C63"/>
    <w:rsid w:val="00575DBD"/>
    <w:rsid w:val="00580067"/>
    <w:rsid w:val="00582CB5"/>
    <w:rsid w:val="005A3D74"/>
    <w:rsid w:val="005A43A4"/>
    <w:rsid w:val="005A6F5F"/>
    <w:rsid w:val="005B2F30"/>
    <w:rsid w:val="005B3010"/>
    <w:rsid w:val="005C0091"/>
    <w:rsid w:val="005C0978"/>
    <w:rsid w:val="005C263A"/>
    <w:rsid w:val="005C2FA8"/>
    <w:rsid w:val="005C5853"/>
    <w:rsid w:val="005D23CB"/>
    <w:rsid w:val="005D6ADA"/>
    <w:rsid w:val="005E332F"/>
    <w:rsid w:val="005E4F85"/>
    <w:rsid w:val="005E5D5F"/>
    <w:rsid w:val="005E63E4"/>
    <w:rsid w:val="005E771B"/>
    <w:rsid w:val="005E792C"/>
    <w:rsid w:val="0060305C"/>
    <w:rsid w:val="00603A7E"/>
    <w:rsid w:val="00603D8A"/>
    <w:rsid w:val="00606AB3"/>
    <w:rsid w:val="00607BEE"/>
    <w:rsid w:val="00613C11"/>
    <w:rsid w:val="00614275"/>
    <w:rsid w:val="006143F3"/>
    <w:rsid w:val="00614554"/>
    <w:rsid w:val="00614FC4"/>
    <w:rsid w:val="006201AB"/>
    <w:rsid w:val="0062237D"/>
    <w:rsid w:val="00622CDB"/>
    <w:rsid w:val="006451D0"/>
    <w:rsid w:val="00652F61"/>
    <w:rsid w:val="00653A7D"/>
    <w:rsid w:val="00653D2B"/>
    <w:rsid w:val="00654C57"/>
    <w:rsid w:val="006568AA"/>
    <w:rsid w:val="00656E82"/>
    <w:rsid w:val="00664F1B"/>
    <w:rsid w:val="0066575F"/>
    <w:rsid w:val="00666904"/>
    <w:rsid w:val="00670507"/>
    <w:rsid w:val="00674D40"/>
    <w:rsid w:val="00676560"/>
    <w:rsid w:val="00677731"/>
    <w:rsid w:val="00677EBB"/>
    <w:rsid w:val="00680768"/>
    <w:rsid w:val="00682D05"/>
    <w:rsid w:val="00683C4C"/>
    <w:rsid w:val="00687622"/>
    <w:rsid w:val="0069020F"/>
    <w:rsid w:val="006907BC"/>
    <w:rsid w:val="00691FBA"/>
    <w:rsid w:val="00692105"/>
    <w:rsid w:val="00692BED"/>
    <w:rsid w:val="006A01FC"/>
    <w:rsid w:val="006A0595"/>
    <w:rsid w:val="006A4DA4"/>
    <w:rsid w:val="006A59DD"/>
    <w:rsid w:val="006A772E"/>
    <w:rsid w:val="006B0367"/>
    <w:rsid w:val="006B2D5A"/>
    <w:rsid w:val="006B3B26"/>
    <w:rsid w:val="006B5514"/>
    <w:rsid w:val="006B6C59"/>
    <w:rsid w:val="006B6D2C"/>
    <w:rsid w:val="006C1494"/>
    <w:rsid w:val="006C3E1F"/>
    <w:rsid w:val="006C4809"/>
    <w:rsid w:val="006C4A32"/>
    <w:rsid w:val="006C4A90"/>
    <w:rsid w:val="006C7CF9"/>
    <w:rsid w:val="006D187A"/>
    <w:rsid w:val="006D4A4D"/>
    <w:rsid w:val="006E56EB"/>
    <w:rsid w:val="006E7E39"/>
    <w:rsid w:val="006E7F46"/>
    <w:rsid w:val="00702304"/>
    <w:rsid w:val="007063FA"/>
    <w:rsid w:val="007073A6"/>
    <w:rsid w:val="0072449F"/>
    <w:rsid w:val="00724CDF"/>
    <w:rsid w:val="00735942"/>
    <w:rsid w:val="00737444"/>
    <w:rsid w:val="0074218F"/>
    <w:rsid w:val="007446CC"/>
    <w:rsid w:val="0074527D"/>
    <w:rsid w:val="00745A0D"/>
    <w:rsid w:val="00754CF2"/>
    <w:rsid w:val="00755023"/>
    <w:rsid w:val="00755F34"/>
    <w:rsid w:val="00757CE5"/>
    <w:rsid w:val="00763F27"/>
    <w:rsid w:val="0076514F"/>
    <w:rsid w:val="00766536"/>
    <w:rsid w:val="007703C7"/>
    <w:rsid w:val="00772B07"/>
    <w:rsid w:val="00776184"/>
    <w:rsid w:val="0078224F"/>
    <w:rsid w:val="007822C8"/>
    <w:rsid w:val="00787DEE"/>
    <w:rsid w:val="007911CB"/>
    <w:rsid w:val="00791275"/>
    <w:rsid w:val="007913DD"/>
    <w:rsid w:val="0079200E"/>
    <w:rsid w:val="00792F0C"/>
    <w:rsid w:val="00796B5D"/>
    <w:rsid w:val="007A1F41"/>
    <w:rsid w:val="007A6D93"/>
    <w:rsid w:val="007B152F"/>
    <w:rsid w:val="007B6A91"/>
    <w:rsid w:val="007C0B41"/>
    <w:rsid w:val="007D5AEF"/>
    <w:rsid w:val="007E2FB3"/>
    <w:rsid w:val="007F3625"/>
    <w:rsid w:val="00806F81"/>
    <w:rsid w:val="008122DC"/>
    <w:rsid w:val="0082483F"/>
    <w:rsid w:val="00824E07"/>
    <w:rsid w:val="008253FB"/>
    <w:rsid w:val="0082609B"/>
    <w:rsid w:val="00833715"/>
    <w:rsid w:val="00836438"/>
    <w:rsid w:val="008400E3"/>
    <w:rsid w:val="00842E76"/>
    <w:rsid w:val="0084368F"/>
    <w:rsid w:val="008571AB"/>
    <w:rsid w:val="00863EA6"/>
    <w:rsid w:val="008646AE"/>
    <w:rsid w:val="008665D9"/>
    <w:rsid w:val="008715C3"/>
    <w:rsid w:val="00871FD8"/>
    <w:rsid w:val="00881D59"/>
    <w:rsid w:val="00884E18"/>
    <w:rsid w:val="00885620"/>
    <w:rsid w:val="00892E86"/>
    <w:rsid w:val="008A43DC"/>
    <w:rsid w:val="008B6543"/>
    <w:rsid w:val="008B7395"/>
    <w:rsid w:val="008C1938"/>
    <w:rsid w:val="008C2AAD"/>
    <w:rsid w:val="008C2CA0"/>
    <w:rsid w:val="008C34C6"/>
    <w:rsid w:val="008C56E1"/>
    <w:rsid w:val="008D3CA1"/>
    <w:rsid w:val="008D3EF8"/>
    <w:rsid w:val="008D45DE"/>
    <w:rsid w:val="008D683A"/>
    <w:rsid w:val="008D71E5"/>
    <w:rsid w:val="008D7493"/>
    <w:rsid w:val="008E187B"/>
    <w:rsid w:val="008E3B10"/>
    <w:rsid w:val="008E404B"/>
    <w:rsid w:val="008E5788"/>
    <w:rsid w:val="008E64FC"/>
    <w:rsid w:val="008E65DE"/>
    <w:rsid w:val="008E7225"/>
    <w:rsid w:val="008F0E3D"/>
    <w:rsid w:val="008F1225"/>
    <w:rsid w:val="008F33CA"/>
    <w:rsid w:val="008F55F8"/>
    <w:rsid w:val="008F7564"/>
    <w:rsid w:val="00905CD7"/>
    <w:rsid w:val="00907000"/>
    <w:rsid w:val="009100E4"/>
    <w:rsid w:val="00914946"/>
    <w:rsid w:val="00917C7D"/>
    <w:rsid w:val="00924402"/>
    <w:rsid w:val="00931ECF"/>
    <w:rsid w:val="0093275B"/>
    <w:rsid w:val="0093363A"/>
    <w:rsid w:val="009345C5"/>
    <w:rsid w:val="009359B2"/>
    <w:rsid w:val="0094345F"/>
    <w:rsid w:val="00943C8B"/>
    <w:rsid w:val="00945C29"/>
    <w:rsid w:val="00950F7A"/>
    <w:rsid w:val="0095269D"/>
    <w:rsid w:val="009526DA"/>
    <w:rsid w:val="00954592"/>
    <w:rsid w:val="009606B4"/>
    <w:rsid w:val="00963030"/>
    <w:rsid w:val="009632C9"/>
    <w:rsid w:val="009705C0"/>
    <w:rsid w:val="00970B01"/>
    <w:rsid w:val="0097374E"/>
    <w:rsid w:val="009804F5"/>
    <w:rsid w:val="009816EC"/>
    <w:rsid w:val="00984087"/>
    <w:rsid w:val="00985C8A"/>
    <w:rsid w:val="0098629D"/>
    <w:rsid w:val="009902BC"/>
    <w:rsid w:val="00995D5B"/>
    <w:rsid w:val="009963A6"/>
    <w:rsid w:val="00997029"/>
    <w:rsid w:val="009A553C"/>
    <w:rsid w:val="009A6F67"/>
    <w:rsid w:val="009A7DCC"/>
    <w:rsid w:val="009B030B"/>
    <w:rsid w:val="009B0E91"/>
    <w:rsid w:val="009B19EC"/>
    <w:rsid w:val="009B2CFA"/>
    <w:rsid w:val="009B3C16"/>
    <w:rsid w:val="009C37E9"/>
    <w:rsid w:val="009C3A40"/>
    <w:rsid w:val="009C4905"/>
    <w:rsid w:val="009C7F73"/>
    <w:rsid w:val="009D44CF"/>
    <w:rsid w:val="009D7662"/>
    <w:rsid w:val="009E766A"/>
    <w:rsid w:val="009F0D0E"/>
    <w:rsid w:val="009F11AD"/>
    <w:rsid w:val="009F4D67"/>
    <w:rsid w:val="00A034E9"/>
    <w:rsid w:val="00A03E5D"/>
    <w:rsid w:val="00A04475"/>
    <w:rsid w:val="00A0746B"/>
    <w:rsid w:val="00A07E33"/>
    <w:rsid w:val="00A1011C"/>
    <w:rsid w:val="00A10769"/>
    <w:rsid w:val="00A11F5D"/>
    <w:rsid w:val="00A17FC1"/>
    <w:rsid w:val="00A26245"/>
    <w:rsid w:val="00A265F1"/>
    <w:rsid w:val="00A267BA"/>
    <w:rsid w:val="00A268AC"/>
    <w:rsid w:val="00A2747E"/>
    <w:rsid w:val="00A27919"/>
    <w:rsid w:val="00A33ABD"/>
    <w:rsid w:val="00A35C41"/>
    <w:rsid w:val="00A36880"/>
    <w:rsid w:val="00A431C3"/>
    <w:rsid w:val="00A45F27"/>
    <w:rsid w:val="00A52AFA"/>
    <w:rsid w:val="00A60413"/>
    <w:rsid w:val="00A610A3"/>
    <w:rsid w:val="00A61300"/>
    <w:rsid w:val="00A62447"/>
    <w:rsid w:val="00A67D32"/>
    <w:rsid w:val="00A67E10"/>
    <w:rsid w:val="00A70B50"/>
    <w:rsid w:val="00A71E89"/>
    <w:rsid w:val="00A724CE"/>
    <w:rsid w:val="00A73A14"/>
    <w:rsid w:val="00A76C97"/>
    <w:rsid w:val="00A819BF"/>
    <w:rsid w:val="00A85845"/>
    <w:rsid w:val="00A86707"/>
    <w:rsid w:val="00A87063"/>
    <w:rsid w:val="00A9001C"/>
    <w:rsid w:val="00A91965"/>
    <w:rsid w:val="00A967B6"/>
    <w:rsid w:val="00A96C1F"/>
    <w:rsid w:val="00A97D46"/>
    <w:rsid w:val="00AA04BD"/>
    <w:rsid w:val="00AA2846"/>
    <w:rsid w:val="00AA5439"/>
    <w:rsid w:val="00AA58FE"/>
    <w:rsid w:val="00AA71F1"/>
    <w:rsid w:val="00AB174D"/>
    <w:rsid w:val="00AB4FA8"/>
    <w:rsid w:val="00AB5E51"/>
    <w:rsid w:val="00AB63E5"/>
    <w:rsid w:val="00AB7182"/>
    <w:rsid w:val="00AC2FED"/>
    <w:rsid w:val="00AD4C0B"/>
    <w:rsid w:val="00AD68DA"/>
    <w:rsid w:val="00AD7CA6"/>
    <w:rsid w:val="00AE1F48"/>
    <w:rsid w:val="00AE5B5A"/>
    <w:rsid w:val="00AF3E59"/>
    <w:rsid w:val="00B01FA2"/>
    <w:rsid w:val="00B051A6"/>
    <w:rsid w:val="00B05436"/>
    <w:rsid w:val="00B07596"/>
    <w:rsid w:val="00B07D27"/>
    <w:rsid w:val="00B116F0"/>
    <w:rsid w:val="00B13273"/>
    <w:rsid w:val="00B26C0C"/>
    <w:rsid w:val="00B27A62"/>
    <w:rsid w:val="00B3168D"/>
    <w:rsid w:val="00B3419D"/>
    <w:rsid w:val="00B401DD"/>
    <w:rsid w:val="00B46C76"/>
    <w:rsid w:val="00B55B69"/>
    <w:rsid w:val="00B6145B"/>
    <w:rsid w:val="00B62ED2"/>
    <w:rsid w:val="00B63A7C"/>
    <w:rsid w:val="00B63DA9"/>
    <w:rsid w:val="00B64635"/>
    <w:rsid w:val="00B70272"/>
    <w:rsid w:val="00B742E3"/>
    <w:rsid w:val="00B75873"/>
    <w:rsid w:val="00B77321"/>
    <w:rsid w:val="00B778E8"/>
    <w:rsid w:val="00B8212B"/>
    <w:rsid w:val="00B83387"/>
    <w:rsid w:val="00B8770D"/>
    <w:rsid w:val="00B91AED"/>
    <w:rsid w:val="00B921CF"/>
    <w:rsid w:val="00B9239E"/>
    <w:rsid w:val="00B96A23"/>
    <w:rsid w:val="00B97356"/>
    <w:rsid w:val="00BA095A"/>
    <w:rsid w:val="00BA1F56"/>
    <w:rsid w:val="00BA2244"/>
    <w:rsid w:val="00BA26EE"/>
    <w:rsid w:val="00BA5537"/>
    <w:rsid w:val="00BA7246"/>
    <w:rsid w:val="00BB03E2"/>
    <w:rsid w:val="00BB207D"/>
    <w:rsid w:val="00BB2751"/>
    <w:rsid w:val="00BB52EC"/>
    <w:rsid w:val="00BB62AB"/>
    <w:rsid w:val="00BB6826"/>
    <w:rsid w:val="00BC1AD1"/>
    <w:rsid w:val="00BC2E68"/>
    <w:rsid w:val="00BC487D"/>
    <w:rsid w:val="00BC4E72"/>
    <w:rsid w:val="00BC6569"/>
    <w:rsid w:val="00BD1ABF"/>
    <w:rsid w:val="00BD6374"/>
    <w:rsid w:val="00BD6F5B"/>
    <w:rsid w:val="00BE2420"/>
    <w:rsid w:val="00BE710B"/>
    <w:rsid w:val="00BE712B"/>
    <w:rsid w:val="00BE795D"/>
    <w:rsid w:val="00BF5420"/>
    <w:rsid w:val="00BF5CE0"/>
    <w:rsid w:val="00BF5E88"/>
    <w:rsid w:val="00BF7883"/>
    <w:rsid w:val="00C005F4"/>
    <w:rsid w:val="00C02633"/>
    <w:rsid w:val="00C04026"/>
    <w:rsid w:val="00C060D7"/>
    <w:rsid w:val="00C14EFF"/>
    <w:rsid w:val="00C15696"/>
    <w:rsid w:val="00C21110"/>
    <w:rsid w:val="00C23219"/>
    <w:rsid w:val="00C33129"/>
    <w:rsid w:val="00C4293F"/>
    <w:rsid w:val="00C44195"/>
    <w:rsid w:val="00C4437F"/>
    <w:rsid w:val="00C4509F"/>
    <w:rsid w:val="00C461BE"/>
    <w:rsid w:val="00C51625"/>
    <w:rsid w:val="00C525D9"/>
    <w:rsid w:val="00C57700"/>
    <w:rsid w:val="00C601D0"/>
    <w:rsid w:val="00C62606"/>
    <w:rsid w:val="00C6488B"/>
    <w:rsid w:val="00C64CC1"/>
    <w:rsid w:val="00C7138E"/>
    <w:rsid w:val="00C75ABC"/>
    <w:rsid w:val="00C801B3"/>
    <w:rsid w:val="00C83F8C"/>
    <w:rsid w:val="00C85EA0"/>
    <w:rsid w:val="00C93398"/>
    <w:rsid w:val="00C9389A"/>
    <w:rsid w:val="00C94AB7"/>
    <w:rsid w:val="00C97F9B"/>
    <w:rsid w:val="00CA1BCF"/>
    <w:rsid w:val="00CA2BFE"/>
    <w:rsid w:val="00CA3070"/>
    <w:rsid w:val="00CB11CF"/>
    <w:rsid w:val="00CB36AE"/>
    <w:rsid w:val="00CC6004"/>
    <w:rsid w:val="00CD0F9F"/>
    <w:rsid w:val="00CD0FD6"/>
    <w:rsid w:val="00CD1F7D"/>
    <w:rsid w:val="00CD284B"/>
    <w:rsid w:val="00CD354B"/>
    <w:rsid w:val="00CD4A1E"/>
    <w:rsid w:val="00CD678C"/>
    <w:rsid w:val="00CD7714"/>
    <w:rsid w:val="00CE3736"/>
    <w:rsid w:val="00CE6667"/>
    <w:rsid w:val="00CE79C8"/>
    <w:rsid w:val="00CF0D0F"/>
    <w:rsid w:val="00CF3F56"/>
    <w:rsid w:val="00D077A0"/>
    <w:rsid w:val="00D07A5E"/>
    <w:rsid w:val="00D12666"/>
    <w:rsid w:val="00D136E1"/>
    <w:rsid w:val="00D139C4"/>
    <w:rsid w:val="00D13BF9"/>
    <w:rsid w:val="00D146F0"/>
    <w:rsid w:val="00D1656D"/>
    <w:rsid w:val="00D1685E"/>
    <w:rsid w:val="00D203D5"/>
    <w:rsid w:val="00D27078"/>
    <w:rsid w:val="00D270F4"/>
    <w:rsid w:val="00D47C6E"/>
    <w:rsid w:val="00D51793"/>
    <w:rsid w:val="00D5569F"/>
    <w:rsid w:val="00D560AD"/>
    <w:rsid w:val="00D56C99"/>
    <w:rsid w:val="00D56FE4"/>
    <w:rsid w:val="00D71A9C"/>
    <w:rsid w:val="00D726FA"/>
    <w:rsid w:val="00D72D44"/>
    <w:rsid w:val="00D769CA"/>
    <w:rsid w:val="00D812D2"/>
    <w:rsid w:val="00D81A31"/>
    <w:rsid w:val="00D820BA"/>
    <w:rsid w:val="00D82B0F"/>
    <w:rsid w:val="00D83A3F"/>
    <w:rsid w:val="00D86307"/>
    <w:rsid w:val="00D92F7A"/>
    <w:rsid w:val="00D93796"/>
    <w:rsid w:val="00D96023"/>
    <w:rsid w:val="00DA1DFB"/>
    <w:rsid w:val="00DA42A3"/>
    <w:rsid w:val="00DA58C6"/>
    <w:rsid w:val="00DB175B"/>
    <w:rsid w:val="00DB2122"/>
    <w:rsid w:val="00DB2DB5"/>
    <w:rsid w:val="00DB44FB"/>
    <w:rsid w:val="00DB513A"/>
    <w:rsid w:val="00DB7393"/>
    <w:rsid w:val="00DC20A5"/>
    <w:rsid w:val="00DC430F"/>
    <w:rsid w:val="00DD4220"/>
    <w:rsid w:val="00DD5DAF"/>
    <w:rsid w:val="00DE3D77"/>
    <w:rsid w:val="00DE504B"/>
    <w:rsid w:val="00DE5B11"/>
    <w:rsid w:val="00DE71D2"/>
    <w:rsid w:val="00DF5A91"/>
    <w:rsid w:val="00E01C86"/>
    <w:rsid w:val="00E062B1"/>
    <w:rsid w:val="00E07F6F"/>
    <w:rsid w:val="00E11FAE"/>
    <w:rsid w:val="00E13F25"/>
    <w:rsid w:val="00E17ADB"/>
    <w:rsid w:val="00E212CF"/>
    <w:rsid w:val="00E2159B"/>
    <w:rsid w:val="00E30839"/>
    <w:rsid w:val="00E3290E"/>
    <w:rsid w:val="00E3364A"/>
    <w:rsid w:val="00E36637"/>
    <w:rsid w:val="00E36D9B"/>
    <w:rsid w:val="00E40261"/>
    <w:rsid w:val="00E404C5"/>
    <w:rsid w:val="00E447EA"/>
    <w:rsid w:val="00E4685E"/>
    <w:rsid w:val="00E47746"/>
    <w:rsid w:val="00E535C2"/>
    <w:rsid w:val="00E66821"/>
    <w:rsid w:val="00E70282"/>
    <w:rsid w:val="00E71045"/>
    <w:rsid w:val="00E73DDD"/>
    <w:rsid w:val="00E80210"/>
    <w:rsid w:val="00E85029"/>
    <w:rsid w:val="00E8579D"/>
    <w:rsid w:val="00E866AF"/>
    <w:rsid w:val="00E90AE0"/>
    <w:rsid w:val="00E928F0"/>
    <w:rsid w:val="00E93DDD"/>
    <w:rsid w:val="00E94B1B"/>
    <w:rsid w:val="00E9515C"/>
    <w:rsid w:val="00E956F3"/>
    <w:rsid w:val="00EA52E4"/>
    <w:rsid w:val="00EA7134"/>
    <w:rsid w:val="00EB6597"/>
    <w:rsid w:val="00EB6850"/>
    <w:rsid w:val="00EB7504"/>
    <w:rsid w:val="00EC00CE"/>
    <w:rsid w:val="00EC2045"/>
    <w:rsid w:val="00EC5D6F"/>
    <w:rsid w:val="00EC5FD1"/>
    <w:rsid w:val="00EC6F05"/>
    <w:rsid w:val="00ED2350"/>
    <w:rsid w:val="00ED6986"/>
    <w:rsid w:val="00EE2FE6"/>
    <w:rsid w:val="00EE332C"/>
    <w:rsid w:val="00EE4527"/>
    <w:rsid w:val="00EF1B7E"/>
    <w:rsid w:val="00EF338C"/>
    <w:rsid w:val="00EF4C8A"/>
    <w:rsid w:val="00EF6D5E"/>
    <w:rsid w:val="00F00F51"/>
    <w:rsid w:val="00F04A74"/>
    <w:rsid w:val="00F055C3"/>
    <w:rsid w:val="00F06E2E"/>
    <w:rsid w:val="00F07285"/>
    <w:rsid w:val="00F11365"/>
    <w:rsid w:val="00F22289"/>
    <w:rsid w:val="00F22684"/>
    <w:rsid w:val="00F26831"/>
    <w:rsid w:val="00F268A1"/>
    <w:rsid w:val="00F362DE"/>
    <w:rsid w:val="00F5114D"/>
    <w:rsid w:val="00F51298"/>
    <w:rsid w:val="00F51DA2"/>
    <w:rsid w:val="00F54848"/>
    <w:rsid w:val="00F54ED9"/>
    <w:rsid w:val="00F56C5C"/>
    <w:rsid w:val="00F607F3"/>
    <w:rsid w:val="00F60EA1"/>
    <w:rsid w:val="00F63870"/>
    <w:rsid w:val="00F67955"/>
    <w:rsid w:val="00F71137"/>
    <w:rsid w:val="00F76AED"/>
    <w:rsid w:val="00F82D8D"/>
    <w:rsid w:val="00F846D1"/>
    <w:rsid w:val="00F84F40"/>
    <w:rsid w:val="00F9120F"/>
    <w:rsid w:val="00FA093B"/>
    <w:rsid w:val="00FA7D31"/>
    <w:rsid w:val="00FB1FC2"/>
    <w:rsid w:val="00FB37A0"/>
    <w:rsid w:val="00FB5DDD"/>
    <w:rsid w:val="00FC0568"/>
    <w:rsid w:val="00FC37E8"/>
    <w:rsid w:val="00FC4240"/>
    <w:rsid w:val="00FC7371"/>
    <w:rsid w:val="00FD532A"/>
    <w:rsid w:val="00FE48A3"/>
    <w:rsid w:val="00FE5859"/>
    <w:rsid w:val="00FF68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15:docId w15:val="{16E583DD-EE25-4BF9-95CB-38CE9735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96"/>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B07596"/>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07596"/>
    <w:pPr>
      <w:spacing w:before="240" w:after="240"/>
      <w:outlineLvl w:val="1"/>
    </w:pPr>
    <w:rPr>
      <w:rFonts w:ascii="Arial Bold" w:hAnsi="Arial Bold"/>
      <w:b/>
      <w:sz w:val="26"/>
    </w:rPr>
  </w:style>
  <w:style w:type="paragraph" w:styleId="Heading3">
    <w:name w:val="heading 3"/>
    <w:basedOn w:val="HeadingBase"/>
    <w:next w:val="Normal"/>
    <w:link w:val="Heading3Char"/>
    <w:qFormat/>
    <w:rsid w:val="00B07596"/>
    <w:pPr>
      <w:spacing w:before="120" w:after="120"/>
      <w:outlineLvl w:val="2"/>
    </w:pPr>
    <w:rPr>
      <w:rFonts w:ascii="Arial Bold" w:hAnsi="Arial Bold"/>
      <w:b/>
      <w:sz w:val="22"/>
    </w:rPr>
  </w:style>
  <w:style w:type="paragraph" w:styleId="Heading4">
    <w:name w:val="heading 4"/>
    <w:basedOn w:val="HeadingBase"/>
    <w:next w:val="Normal"/>
    <w:link w:val="Heading4Char"/>
    <w:qFormat/>
    <w:rsid w:val="00B07596"/>
    <w:pPr>
      <w:spacing w:after="120"/>
      <w:outlineLvl w:val="3"/>
    </w:pPr>
    <w:rPr>
      <w:rFonts w:ascii="Arial Bold" w:hAnsi="Arial Bold"/>
      <w:b/>
      <w:sz w:val="20"/>
    </w:rPr>
  </w:style>
  <w:style w:type="paragraph" w:styleId="Heading5">
    <w:name w:val="heading 5"/>
    <w:basedOn w:val="HeadingBase"/>
    <w:next w:val="Normal"/>
    <w:link w:val="Heading5Char"/>
    <w:qFormat/>
    <w:rsid w:val="00B07596"/>
    <w:pPr>
      <w:spacing w:after="120"/>
      <w:outlineLvl w:val="4"/>
    </w:pPr>
    <w:rPr>
      <w:bCs/>
      <w:i/>
      <w:iCs/>
      <w:sz w:val="20"/>
      <w:szCs w:val="26"/>
    </w:rPr>
  </w:style>
  <w:style w:type="paragraph" w:styleId="Heading6">
    <w:name w:val="heading 6"/>
    <w:basedOn w:val="HeadingBase"/>
    <w:next w:val="Normal"/>
    <w:link w:val="Heading6Char"/>
    <w:rsid w:val="00B07596"/>
    <w:pPr>
      <w:spacing w:after="120"/>
      <w:outlineLvl w:val="5"/>
    </w:pPr>
    <w:rPr>
      <w:bCs/>
      <w:sz w:val="20"/>
      <w:szCs w:val="22"/>
    </w:rPr>
  </w:style>
  <w:style w:type="paragraph" w:styleId="Heading7">
    <w:name w:val="heading 7"/>
    <w:basedOn w:val="HeadingBase"/>
    <w:next w:val="Normal"/>
    <w:link w:val="Heading7Char"/>
    <w:rsid w:val="00B07596"/>
    <w:pPr>
      <w:spacing w:before="120"/>
      <w:outlineLvl w:val="6"/>
    </w:pPr>
    <w:rPr>
      <w:sz w:val="20"/>
      <w:szCs w:val="24"/>
    </w:rPr>
  </w:style>
  <w:style w:type="paragraph" w:styleId="Heading8">
    <w:name w:val="heading 8"/>
    <w:basedOn w:val="HeadingBase"/>
    <w:next w:val="Normal"/>
    <w:link w:val="Heading8Char"/>
    <w:rsid w:val="00B0759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B07596"/>
    <w:pPr>
      <w:spacing w:after="60"/>
      <w:outlineLvl w:val="8"/>
    </w:pPr>
    <w:rPr>
      <w:rFonts w:ascii="Cambria" w:hAnsi="Cambria"/>
      <w:sz w:val="22"/>
      <w:szCs w:val="22"/>
    </w:rPr>
  </w:style>
  <w:style w:type="character" w:default="1" w:styleId="DefaultParagraphFont">
    <w:name w:val="Default Paragraph Font"/>
    <w:uiPriority w:val="1"/>
    <w:semiHidden/>
    <w:unhideWhenUsed/>
    <w:rsid w:val="00B075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596"/>
  </w:style>
  <w:style w:type="paragraph" w:styleId="Header">
    <w:name w:val="header"/>
    <w:basedOn w:val="HeaderBase"/>
    <w:link w:val="HeaderChar"/>
    <w:rsid w:val="00B07596"/>
    <w:pPr>
      <w:tabs>
        <w:tab w:val="center" w:pos="4153"/>
        <w:tab w:val="right" w:pos="8306"/>
      </w:tabs>
    </w:pPr>
  </w:style>
  <w:style w:type="character" w:customStyle="1" w:styleId="HeaderChar">
    <w:name w:val="Header Char"/>
    <w:basedOn w:val="DefaultParagraphFont"/>
    <w:link w:val="Header"/>
    <w:rsid w:val="00B07596"/>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B07596"/>
    <w:pPr>
      <w:tabs>
        <w:tab w:val="center" w:pos="4153"/>
        <w:tab w:val="right" w:pos="8306"/>
      </w:tabs>
    </w:pPr>
  </w:style>
  <w:style w:type="character" w:customStyle="1" w:styleId="FooterChar">
    <w:name w:val="Footer Char"/>
    <w:basedOn w:val="DefaultParagraphFont"/>
    <w:link w:val="Footer"/>
    <w:rsid w:val="00B07596"/>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B07596"/>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B07596"/>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B07596"/>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B07596"/>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B07596"/>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B07596"/>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B07596"/>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B07596"/>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B07596"/>
    <w:pPr>
      <w:jc w:val="center"/>
    </w:pPr>
    <w:rPr>
      <w:rFonts w:ascii="Arial Bold" w:hAnsi="Arial Bold"/>
      <w:b/>
      <w:caps/>
      <w:sz w:val="22"/>
    </w:rPr>
  </w:style>
  <w:style w:type="paragraph" w:customStyle="1" w:styleId="FileProperties">
    <w:name w:val="File Properties"/>
    <w:basedOn w:val="Normal"/>
    <w:rsid w:val="00B07596"/>
    <w:pPr>
      <w:spacing w:before="0"/>
    </w:pPr>
    <w:rPr>
      <w:i/>
    </w:rPr>
  </w:style>
  <w:style w:type="paragraph" w:customStyle="1" w:styleId="AlphaParagraph">
    <w:name w:val="Alpha Paragraph"/>
    <w:basedOn w:val="Normal"/>
    <w:rsid w:val="00B07596"/>
    <w:pPr>
      <w:numPr>
        <w:numId w:val="1"/>
      </w:numPr>
      <w:tabs>
        <w:tab w:val="clear" w:pos="567"/>
        <w:tab w:val="num" w:pos="360"/>
      </w:tabs>
      <w:ind w:left="0" w:firstLine="0"/>
    </w:pPr>
  </w:style>
  <w:style w:type="paragraph" w:customStyle="1" w:styleId="HeadingBase">
    <w:name w:val="Heading Base"/>
    <w:rsid w:val="00B07596"/>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B07596"/>
    <w:rPr>
      <w:bCs/>
      <w:color w:val="002A54" w:themeColor="text2"/>
      <w:szCs w:val="52"/>
    </w:rPr>
  </w:style>
  <w:style w:type="paragraph" w:customStyle="1" w:styleId="BoxText">
    <w:name w:val="Box Text"/>
    <w:basedOn w:val="Normal"/>
    <w:link w:val="BoxTextChar"/>
    <w:qFormat/>
    <w:rsid w:val="00B07596"/>
    <w:pPr>
      <w:spacing w:before="120" w:after="120" w:line="240" w:lineRule="auto"/>
    </w:pPr>
  </w:style>
  <w:style w:type="paragraph" w:customStyle="1" w:styleId="BoxBullet">
    <w:name w:val="Box Bullet"/>
    <w:basedOn w:val="BoxText"/>
    <w:rsid w:val="00B07596"/>
    <w:pPr>
      <w:numPr>
        <w:numId w:val="2"/>
      </w:numPr>
    </w:pPr>
  </w:style>
  <w:style w:type="paragraph" w:customStyle="1" w:styleId="BoxHeading">
    <w:name w:val="Box Heading"/>
    <w:basedOn w:val="HeadingBase"/>
    <w:next w:val="BoxText"/>
    <w:rsid w:val="00B07596"/>
    <w:pPr>
      <w:spacing w:before="120" w:after="120"/>
    </w:pPr>
    <w:rPr>
      <w:b/>
      <w:sz w:val="20"/>
    </w:rPr>
  </w:style>
  <w:style w:type="character" w:customStyle="1" w:styleId="Heading6Char">
    <w:name w:val="Heading 6 Char"/>
    <w:basedOn w:val="DefaultParagraphFont"/>
    <w:link w:val="Heading6"/>
    <w:rsid w:val="00B07596"/>
    <w:rPr>
      <w:rFonts w:ascii="Arial" w:eastAsia="Times New Roman" w:hAnsi="Arial" w:cs="Times New Roman"/>
      <w:bCs/>
      <w:sz w:val="20"/>
      <w:lang w:eastAsia="en-AU"/>
    </w:rPr>
  </w:style>
  <w:style w:type="paragraph" w:customStyle="1" w:styleId="Bullet">
    <w:name w:val="Bullet"/>
    <w:basedOn w:val="Normal"/>
    <w:qFormat/>
    <w:rsid w:val="00B07596"/>
    <w:pPr>
      <w:numPr>
        <w:numId w:val="7"/>
      </w:numPr>
      <w:spacing w:after="160"/>
      <w:ind w:left="284" w:hanging="284"/>
    </w:pPr>
  </w:style>
  <w:style w:type="paragraph" w:styleId="Caption">
    <w:name w:val="caption"/>
    <w:basedOn w:val="Normal"/>
    <w:next w:val="Normal"/>
    <w:rsid w:val="00B07596"/>
    <w:rPr>
      <w:b/>
      <w:bCs/>
    </w:rPr>
  </w:style>
  <w:style w:type="paragraph" w:customStyle="1" w:styleId="ChartandTableFootnote">
    <w:name w:val="Chart and Table Footnote"/>
    <w:basedOn w:val="HeadingBase"/>
    <w:next w:val="Normal"/>
    <w:link w:val="ChartandTableFootnoteChar"/>
    <w:rsid w:val="00B07596"/>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B07596"/>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B07596"/>
    <w:pPr>
      <w:keepNext w:val="0"/>
      <w:tabs>
        <w:tab w:val="left" w:pos="284"/>
      </w:tabs>
      <w:jc w:val="both"/>
    </w:pPr>
    <w:rPr>
      <w:color w:val="000000"/>
      <w:sz w:val="15"/>
    </w:rPr>
  </w:style>
  <w:style w:type="paragraph" w:customStyle="1" w:styleId="ChartGraphic">
    <w:name w:val="Chart Graphic"/>
    <w:basedOn w:val="HeadingBase"/>
    <w:rsid w:val="00B07596"/>
    <w:rPr>
      <w:sz w:val="20"/>
    </w:rPr>
  </w:style>
  <w:style w:type="paragraph" w:customStyle="1" w:styleId="TableLine">
    <w:name w:val="Table Line"/>
    <w:basedOn w:val="Normal"/>
    <w:next w:val="Normal"/>
    <w:autoRedefine/>
    <w:rsid w:val="00B07596"/>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B07596"/>
    <w:pPr>
      <w:spacing w:after="60"/>
    </w:pPr>
    <w:rPr>
      <w:sz w:val="19"/>
    </w:rPr>
  </w:style>
  <w:style w:type="character" w:styleId="CommentReference">
    <w:name w:val="annotation reference"/>
    <w:basedOn w:val="DefaultParagraphFont"/>
    <w:semiHidden/>
    <w:rsid w:val="00B07596"/>
    <w:rPr>
      <w:sz w:val="16"/>
      <w:szCs w:val="16"/>
    </w:rPr>
  </w:style>
  <w:style w:type="paragraph" w:styleId="CommentText">
    <w:name w:val="annotation text"/>
    <w:basedOn w:val="Normal"/>
    <w:link w:val="CommentTextChar"/>
    <w:rsid w:val="00B07596"/>
  </w:style>
  <w:style w:type="character" w:customStyle="1" w:styleId="CommentTextChar">
    <w:name w:val="Comment Text Char"/>
    <w:basedOn w:val="DefaultParagraphFont"/>
    <w:link w:val="CommentText"/>
    <w:rsid w:val="00B07596"/>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B07596"/>
    <w:rPr>
      <w:b/>
      <w:bCs/>
    </w:rPr>
  </w:style>
  <w:style w:type="character" w:customStyle="1" w:styleId="CommentSubjectChar">
    <w:name w:val="Comment Subject Char"/>
    <w:basedOn w:val="CommentTextChar"/>
    <w:link w:val="CommentSubject"/>
    <w:semiHidden/>
    <w:rsid w:val="00B07596"/>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B07596"/>
    <w:pPr>
      <w:spacing w:after="720"/>
      <w:outlineLvl w:val="9"/>
    </w:pPr>
  </w:style>
  <w:style w:type="character" w:styleId="Strong">
    <w:name w:val="Strong"/>
    <w:basedOn w:val="DefaultParagraphFont"/>
    <w:uiPriority w:val="22"/>
    <w:qFormat/>
    <w:rsid w:val="00B07596"/>
    <w:rPr>
      <w:b/>
      <w:bCs/>
      <w:color w:val="auto"/>
    </w:rPr>
  </w:style>
  <w:style w:type="paragraph" w:customStyle="1" w:styleId="Dash">
    <w:name w:val="Dash"/>
    <w:basedOn w:val="Normal"/>
    <w:qFormat/>
    <w:rsid w:val="00B07596"/>
    <w:pPr>
      <w:numPr>
        <w:ilvl w:val="1"/>
        <w:numId w:val="7"/>
      </w:numPr>
      <w:tabs>
        <w:tab w:val="left" w:pos="567"/>
      </w:tabs>
    </w:pPr>
  </w:style>
  <w:style w:type="paragraph" w:styleId="DocumentMap">
    <w:name w:val="Document Map"/>
    <w:basedOn w:val="Normal"/>
    <w:link w:val="DocumentMapChar"/>
    <w:semiHidden/>
    <w:rsid w:val="00B07596"/>
    <w:pPr>
      <w:shd w:val="clear" w:color="auto" w:fill="000080"/>
    </w:pPr>
    <w:rPr>
      <w:rFonts w:ascii="Tahoma" w:hAnsi="Tahoma" w:cs="Tahoma"/>
    </w:rPr>
  </w:style>
  <w:style w:type="character" w:customStyle="1" w:styleId="DocumentMapChar">
    <w:name w:val="Document Map Char"/>
    <w:basedOn w:val="DefaultParagraphFont"/>
    <w:link w:val="DocumentMap"/>
    <w:semiHidden/>
    <w:rsid w:val="00B07596"/>
    <w:rPr>
      <w:rFonts w:ascii="Tahoma" w:eastAsia="Times New Roman" w:hAnsi="Tahoma" w:cs="Tahoma"/>
      <w:sz w:val="19"/>
      <w:szCs w:val="20"/>
      <w:shd w:val="clear" w:color="auto" w:fill="000080"/>
      <w:lang w:eastAsia="en-AU"/>
    </w:rPr>
  </w:style>
  <w:style w:type="paragraph" w:customStyle="1" w:styleId="DoubleDot">
    <w:name w:val="Double Dot"/>
    <w:basedOn w:val="Normal"/>
    <w:rsid w:val="00B07596"/>
    <w:pPr>
      <w:numPr>
        <w:ilvl w:val="2"/>
        <w:numId w:val="7"/>
      </w:numPr>
      <w:tabs>
        <w:tab w:val="clear" w:pos="850"/>
        <w:tab w:val="num" w:pos="360"/>
        <w:tab w:val="left" w:pos="851"/>
      </w:tabs>
    </w:pPr>
  </w:style>
  <w:style w:type="paragraph" w:customStyle="1" w:styleId="FigureHeading">
    <w:name w:val="Figure Heading"/>
    <w:basedOn w:val="HeadingBase"/>
    <w:next w:val="ChartGraphic"/>
    <w:rsid w:val="00B07596"/>
    <w:pPr>
      <w:spacing w:before="120" w:after="20"/>
    </w:pPr>
    <w:rPr>
      <w:b/>
      <w:sz w:val="20"/>
    </w:rPr>
  </w:style>
  <w:style w:type="paragraph" w:customStyle="1" w:styleId="FooterBase">
    <w:name w:val="Footer Base"/>
    <w:rsid w:val="00B07596"/>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B07596"/>
    <w:pPr>
      <w:pBdr>
        <w:top w:val="single" w:sz="4" w:space="10" w:color="002A54" w:themeColor="text2"/>
      </w:pBdr>
      <w:jc w:val="left"/>
    </w:pPr>
    <w:rPr>
      <w:sz w:val="18"/>
    </w:rPr>
  </w:style>
  <w:style w:type="paragraph" w:customStyle="1" w:styleId="FooterOdd">
    <w:name w:val="Footer Odd"/>
    <w:basedOn w:val="Footer"/>
    <w:qFormat/>
    <w:rsid w:val="00B07596"/>
    <w:pPr>
      <w:pBdr>
        <w:top w:val="single" w:sz="4" w:space="10" w:color="002A54" w:themeColor="text2"/>
      </w:pBdr>
      <w:jc w:val="right"/>
    </w:pPr>
    <w:rPr>
      <w:sz w:val="18"/>
    </w:rPr>
  </w:style>
  <w:style w:type="character" w:styleId="FootnoteReference">
    <w:name w:val="footnote reference"/>
    <w:basedOn w:val="DefaultParagraphFont"/>
    <w:rsid w:val="00B07596"/>
    <w:rPr>
      <w:vertAlign w:val="superscript"/>
    </w:rPr>
  </w:style>
  <w:style w:type="paragraph" w:styleId="FootnoteText">
    <w:name w:val="footnote text"/>
    <w:basedOn w:val="Normal"/>
    <w:link w:val="FootnoteTextChar"/>
    <w:rsid w:val="00B07596"/>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B0759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07596"/>
    <w:rPr>
      <w:rFonts w:ascii="Book Antiqua" w:hAnsi="Book Antiqua"/>
      <w:i/>
      <w:dstrike w:val="0"/>
      <w:color w:val="auto"/>
      <w:sz w:val="20"/>
      <w:vertAlign w:val="baseline"/>
    </w:rPr>
  </w:style>
  <w:style w:type="paragraph" w:customStyle="1" w:styleId="HeaderBase">
    <w:name w:val="Header Base"/>
    <w:rsid w:val="00B07596"/>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B07596"/>
  </w:style>
  <w:style w:type="paragraph" w:customStyle="1" w:styleId="HeaderOdd">
    <w:name w:val="Header Odd"/>
    <w:basedOn w:val="HeaderBase"/>
    <w:rsid w:val="00B07596"/>
    <w:pPr>
      <w:jc w:val="right"/>
    </w:pPr>
  </w:style>
  <w:style w:type="character" w:customStyle="1" w:styleId="Heading1Char">
    <w:name w:val="Heading 1 Char"/>
    <w:basedOn w:val="DefaultParagraphFont"/>
    <w:link w:val="Heading1"/>
    <w:rsid w:val="00B07596"/>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B07596"/>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07596"/>
    <w:rPr>
      <w:rFonts w:ascii="Arial Bold" w:eastAsia="Times New Roman" w:hAnsi="Arial Bold" w:cs="Times New Roman"/>
      <w:b/>
      <w:szCs w:val="20"/>
      <w:lang w:eastAsia="en-AU"/>
    </w:rPr>
  </w:style>
  <w:style w:type="paragraph" w:customStyle="1" w:styleId="Heading3noTOC">
    <w:name w:val="Heading 3 no TOC"/>
    <w:basedOn w:val="Heading3"/>
    <w:rsid w:val="00B07596"/>
    <w:pPr>
      <w:outlineLvl w:val="9"/>
    </w:pPr>
  </w:style>
  <w:style w:type="character" w:customStyle="1" w:styleId="Heading4Char">
    <w:name w:val="Heading 4 Char"/>
    <w:basedOn w:val="DefaultParagraphFont"/>
    <w:link w:val="Heading4"/>
    <w:rsid w:val="00B07596"/>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B0759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07596"/>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07596"/>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07596"/>
    <w:rPr>
      <w:rFonts w:ascii="Times New Roman" w:hAnsi="Times New Roman"/>
      <w:vanish/>
      <w:sz w:val="16"/>
    </w:rPr>
  </w:style>
  <w:style w:type="character" w:styleId="Hyperlink">
    <w:name w:val="Hyperlink"/>
    <w:basedOn w:val="DefaultParagraphFont"/>
    <w:uiPriority w:val="99"/>
    <w:unhideWhenUsed/>
    <w:rsid w:val="00B07596"/>
    <w:rPr>
      <w:color w:val="auto"/>
      <w:u w:val="single"/>
    </w:rPr>
  </w:style>
  <w:style w:type="paragraph" w:styleId="Index4">
    <w:name w:val="index 4"/>
    <w:basedOn w:val="Normal"/>
    <w:next w:val="Normal"/>
    <w:autoRedefine/>
    <w:semiHidden/>
    <w:rsid w:val="00B07596"/>
    <w:pPr>
      <w:ind w:left="800" w:hanging="200"/>
    </w:pPr>
  </w:style>
  <w:style w:type="paragraph" w:styleId="Index5">
    <w:name w:val="index 5"/>
    <w:basedOn w:val="Normal"/>
    <w:next w:val="Normal"/>
    <w:autoRedefine/>
    <w:semiHidden/>
    <w:rsid w:val="00B07596"/>
    <w:pPr>
      <w:ind w:left="1000" w:hanging="200"/>
    </w:pPr>
  </w:style>
  <w:style w:type="paragraph" w:styleId="Index6">
    <w:name w:val="index 6"/>
    <w:basedOn w:val="Normal"/>
    <w:next w:val="Normal"/>
    <w:autoRedefine/>
    <w:semiHidden/>
    <w:rsid w:val="00B07596"/>
    <w:pPr>
      <w:ind w:left="1200" w:hanging="200"/>
    </w:pPr>
  </w:style>
  <w:style w:type="paragraph" w:styleId="Index7">
    <w:name w:val="index 7"/>
    <w:basedOn w:val="Normal"/>
    <w:next w:val="Normal"/>
    <w:autoRedefine/>
    <w:semiHidden/>
    <w:rsid w:val="00B07596"/>
    <w:pPr>
      <w:ind w:left="1400" w:hanging="200"/>
    </w:pPr>
  </w:style>
  <w:style w:type="paragraph" w:styleId="Index8">
    <w:name w:val="index 8"/>
    <w:basedOn w:val="Normal"/>
    <w:next w:val="Normal"/>
    <w:autoRedefine/>
    <w:semiHidden/>
    <w:rsid w:val="00B07596"/>
    <w:pPr>
      <w:ind w:left="1600" w:hanging="200"/>
    </w:pPr>
  </w:style>
  <w:style w:type="paragraph" w:styleId="Index9">
    <w:name w:val="index 9"/>
    <w:basedOn w:val="Normal"/>
    <w:next w:val="Normal"/>
    <w:autoRedefine/>
    <w:semiHidden/>
    <w:rsid w:val="00B07596"/>
    <w:pPr>
      <w:ind w:left="1800" w:hanging="200"/>
    </w:pPr>
  </w:style>
  <w:style w:type="paragraph" w:styleId="MacroText">
    <w:name w:val="macro"/>
    <w:link w:val="MacroTextChar"/>
    <w:unhideWhenUsed/>
    <w:rsid w:val="00B0759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07596"/>
    <w:rPr>
      <w:rFonts w:ascii="Courier New" w:eastAsia="Times New Roman" w:hAnsi="Courier New" w:cs="Courier New"/>
      <w:sz w:val="20"/>
      <w:szCs w:val="20"/>
      <w:lang w:eastAsia="en-AU"/>
    </w:rPr>
  </w:style>
  <w:style w:type="paragraph" w:styleId="NormalIndent">
    <w:name w:val="Normal Indent"/>
    <w:basedOn w:val="Normal"/>
    <w:rsid w:val="00B07596"/>
    <w:pPr>
      <w:ind w:left="567"/>
    </w:pPr>
  </w:style>
  <w:style w:type="paragraph" w:customStyle="1" w:styleId="NoteTableHeading">
    <w:name w:val="Note Table Heading"/>
    <w:basedOn w:val="HeadingBase"/>
    <w:next w:val="Normal"/>
    <w:rsid w:val="00B07596"/>
    <w:pPr>
      <w:spacing w:before="240"/>
    </w:pPr>
    <w:rPr>
      <w:b/>
      <w:sz w:val="20"/>
    </w:rPr>
  </w:style>
  <w:style w:type="paragraph" w:customStyle="1" w:styleId="OverviewParagraph">
    <w:name w:val="Overview Paragraph"/>
    <w:basedOn w:val="Normal"/>
    <w:rsid w:val="00B07596"/>
    <w:pPr>
      <w:spacing w:before="120" w:after="120" w:line="240" w:lineRule="auto"/>
    </w:pPr>
  </w:style>
  <w:style w:type="character" w:styleId="PageNumber">
    <w:name w:val="page number"/>
    <w:basedOn w:val="DefaultParagraphFont"/>
    <w:rsid w:val="00B07596"/>
    <w:rPr>
      <w:rFonts w:ascii="Arial" w:hAnsi="Arial" w:cs="Arial"/>
    </w:rPr>
  </w:style>
  <w:style w:type="paragraph" w:customStyle="1" w:styleId="SingleParagraph">
    <w:name w:val="Single Paragraph"/>
    <w:basedOn w:val="Normal"/>
    <w:rsid w:val="00B07596"/>
    <w:pPr>
      <w:spacing w:before="0" w:after="0"/>
    </w:pPr>
  </w:style>
  <w:style w:type="paragraph" w:customStyle="1" w:styleId="Source">
    <w:name w:val="Source"/>
    <w:basedOn w:val="Normal"/>
    <w:rsid w:val="00B07596"/>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B07596"/>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B07596"/>
    <w:pPr>
      <w:jc w:val="center"/>
    </w:pPr>
  </w:style>
  <w:style w:type="paragraph" w:customStyle="1" w:styleId="TableColumnHeadingLeft">
    <w:name w:val="Table Column Heading Left"/>
    <w:basedOn w:val="TableColumnHeadingBase"/>
    <w:next w:val="Normal"/>
    <w:rsid w:val="00B07596"/>
  </w:style>
  <w:style w:type="paragraph" w:customStyle="1" w:styleId="TableColumnHeadingRight">
    <w:name w:val="Table Column Heading Right"/>
    <w:basedOn w:val="TableColumnHeadingBase"/>
    <w:next w:val="Normal"/>
    <w:rsid w:val="00B07596"/>
    <w:pPr>
      <w:jc w:val="right"/>
    </w:pPr>
  </w:style>
  <w:style w:type="paragraph" w:customStyle="1" w:styleId="TableGraphic">
    <w:name w:val="Table Graphic"/>
    <w:basedOn w:val="Normal"/>
    <w:next w:val="Normal"/>
    <w:rsid w:val="00B07596"/>
    <w:pPr>
      <w:spacing w:after="0" w:line="240" w:lineRule="auto"/>
      <w:ind w:right="-113"/>
    </w:pPr>
  </w:style>
  <w:style w:type="table" w:styleId="TableGrid">
    <w:name w:val="Table Grid"/>
    <w:basedOn w:val="TableNormal"/>
    <w:rsid w:val="00B07596"/>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07596"/>
    <w:pPr>
      <w:spacing w:before="120" w:after="20"/>
    </w:pPr>
    <w:rPr>
      <w:b/>
      <w:sz w:val="20"/>
    </w:rPr>
  </w:style>
  <w:style w:type="paragraph" w:customStyle="1" w:styleId="TableHeadingcontinued">
    <w:name w:val="Table Heading continued"/>
    <w:basedOn w:val="HeadingBase"/>
    <w:next w:val="TableGraphic"/>
    <w:rsid w:val="00B07596"/>
    <w:pPr>
      <w:spacing w:before="120" w:after="20"/>
    </w:pPr>
    <w:rPr>
      <w:rFonts w:ascii="Arial Bold" w:hAnsi="Arial Bold"/>
      <w:b/>
      <w:sz w:val="20"/>
    </w:rPr>
  </w:style>
  <w:style w:type="paragraph" w:styleId="TableofFigures">
    <w:name w:val="table of figures"/>
    <w:basedOn w:val="Normal"/>
    <w:next w:val="Normal"/>
    <w:rsid w:val="00B07596"/>
  </w:style>
  <w:style w:type="paragraph" w:customStyle="1" w:styleId="TableTextBase">
    <w:name w:val="Table Text Base"/>
    <w:basedOn w:val="Normal"/>
    <w:rsid w:val="00B07596"/>
    <w:pPr>
      <w:spacing w:before="20" w:after="20" w:line="240" w:lineRule="auto"/>
    </w:pPr>
    <w:rPr>
      <w:rFonts w:ascii="Arial" w:hAnsi="Arial"/>
      <w:sz w:val="16"/>
    </w:rPr>
  </w:style>
  <w:style w:type="paragraph" w:customStyle="1" w:styleId="TableTextCentred">
    <w:name w:val="Table Text Centred"/>
    <w:basedOn w:val="TableTextBase"/>
    <w:rsid w:val="00B07596"/>
    <w:pPr>
      <w:jc w:val="center"/>
    </w:pPr>
  </w:style>
  <w:style w:type="paragraph" w:customStyle="1" w:styleId="TableTextIndented">
    <w:name w:val="Table Text Indented"/>
    <w:basedOn w:val="TableTextBase"/>
    <w:rsid w:val="00B07596"/>
    <w:pPr>
      <w:ind w:left="284"/>
    </w:pPr>
  </w:style>
  <w:style w:type="paragraph" w:customStyle="1" w:styleId="TableTextLeft">
    <w:name w:val="Table Text Left"/>
    <w:basedOn w:val="TableTextBase"/>
    <w:rsid w:val="00B07596"/>
  </w:style>
  <w:style w:type="paragraph" w:customStyle="1" w:styleId="TableTextRight">
    <w:name w:val="Table Text Right"/>
    <w:basedOn w:val="TableTextBase"/>
    <w:rsid w:val="00B07596"/>
    <w:pPr>
      <w:jc w:val="right"/>
    </w:pPr>
  </w:style>
  <w:style w:type="paragraph" w:styleId="TOAHeading">
    <w:name w:val="toa heading"/>
    <w:basedOn w:val="Normal"/>
    <w:next w:val="Normal"/>
    <w:rsid w:val="00B07596"/>
    <w:pPr>
      <w:spacing w:before="120"/>
    </w:pPr>
    <w:rPr>
      <w:rFonts w:ascii="Arial" w:hAnsi="Arial" w:cs="Arial"/>
      <w:b/>
      <w:bCs/>
      <w:sz w:val="24"/>
      <w:szCs w:val="24"/>
    </w:rPr>
  </w:style>
  <w:style w:type="paragraph" w:styleId="TOC1">
    <w:name w:val="toc 1"/>
    <w:basedOn w:val="HeaderBase"/>
    <w:next w:val="Normal"/>
    <w:uiPriority w:val="2"/>
    <w:rsid w:val="00B07596"/>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07596"/>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07596"/>
    <w:pPr>
      <w:tabs>
        <w:tab w:val="right" w:leader="dot" w:pos="7700"/>
      </w:tabs>
      <w:spacing w:before="40"/>
      <w:ind w:right="851"/>
    </w:pPr>
    <w:rPr>
      <w:sz w:val="20"/>
    </w:rPr>
  </w:style>
  <w:style w:type="paragraph" w:styleId="TOC4">
    <w:name w:val="toc 4"/>
    <w:basedOn w:val="HeadingBase"/>
    <w:next w:val="Normal"/>
    <w:uiPriority w:val="2"/>
    <w:unhideWhenUsed/>
    <w:rsid w:val="00B07596"/>
    <w:pPr>
      <w:tabs>
        <w:tab w:val="right" w:leader="dot" w:pos="7700"/>
      </w:tabs>
      <w:spacing w:before="40"/>
      <w:ind w:right="851"/>
    </w:pPr>
    <w:rPr>
      <w:sz w:val="20"/>
    </w:rPr>
  </w:style>
  <w:style w:type="paragraph" w:styleId="TOC5">
    <w:name w:val="toc 5"/>
    <w:basedOn w:val="Normal"/>
    <w:next w:val="Normal"/>
    <w:autoRedefine/>
    <w:uiPriority w:val="2"/>
    <w:semiHidden/>
    <w:rsid w:val="00B07596"/>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07596"/>
    <w:pPr>
      <w:tabs>
        <w:tab w:val="left" w:pos="851"/>
      </w:tabs>
      <w:ind w:left="851" w:hanging="851"/>
    </w:pPr>
    <w:rPr>
      <w:color w:val="000000"/>
    </w:rPr>
  </w:style>
  <w:style w:type="paragraph" w:styleId="TOC7">
    <w:name w:val="toc 7"/>
    <w:basedOn w:val="Normal"/>
    <w:next w:val="Normal"/>
    <w:autoRedefine/>
    <w:uiPriority w:val="2"/>
    <w:semiHidden/>
    <w:rsid w:val="00B07596"/>
    <w:pPr>
      <w:ind w:left="1200"/>
    </w:pPr>
  </w:style>
  <w:style w:type="paragraph" w:styleId="TOC8">
    <w:name w:val="toc 8"/>
    <w:basedOn w:val="Normal"/>
    <w:next w:val="Normal"/>
    <w:autoRedefine/>
    <w:uiPriority w:val="2"/>
    <w:semiHidden/>
    <w:rsid w:val="00B07596"/>
    <w:pPr>
      <w:ind w:left="1400"/>
    </w:pPr>
  </w:style>
  <w:style w:type="paragraph" w:styleId="TOC9">
    <w:name w:val="toc 9"/>
    <w:basedOn w:val="Normal"/>
    <w:next w:val="Normal"/>
    <w:autoRedefine/>
    <w:uiPriority w:val="2"/>
    <w:semiHidden/>
    <w:rsid w:val="00B07596"/>
    <w:pPr>
      <w:ind w:left="1600"/>
    </w:pPr>
  </w:style>
  <w:style w:type="paragraph" w:customStyle="1" w:styleId="TPHeading1">
    <w:name w:val="TP Heading 1"/>
    <w:basedOn w:val="HeadingBase"/>
    <w:semiHidden/>
    <w:rsid w:val="00B07596"/>
    <w:pPr>
      <w:spacing w:before="60" w:after="60"/>
      <w:ind w:left="1134"/>
    </w:pPr>
    <w:rPr>
      <w:rFonts w:ascii="Arial Bold" w:hAnsi="Arial Bold"/>
      <w:b/>
      <w:caps/>
      <w:spacing w:val="-10"/>
      <w:sz w:val="28"/>
    </w:rPr>
  </w:style>
  <w:style w:type="paragraph" w:customStyle="1" w:styleId="TPHeading2">
    <w:name w:val="TP Heading 2"/>
    <w:basedOn w:val="HeadingBase"/>
    <w:semiHidden/>
    <w:rsid w:val="00B07596"/>
    <w:pPr>
      <w:ind w:left="1134"/>
    </w:pPr>
    <w:rPr>
      <w:caps/>
      <w:spacing w:val="-10"/>
      <w:sz w:val="28"/>
    </w:rPr>
  </w:style>
  <w:style w:type="paragraph" w:customStyle="1" w:styleId="TPHeading3">
    <w:name w:val="TP Heading 3"/>
    <w:basedOn w:val="HeadingBase"/>
    <w:semiHidden/>
    <w:rsid w:val="00B07596"/>
    <w:pPr>
      <w:ind w:left="1134"/>
    </w:pPr>
    <w:rPr>
      <w:caps/>
      <w:spacing w:val="-10"/>
    </w:rPr>
  </w:style>
  <w:style w:type="paragraph" w:customStyle="1" w:styleId="TPHeading3bold">
    <w:name w:val="TP Heading 3 bold"/>
    <w:basedOn w:val="TPHeading3"/>
    <w:semiHidden/>
    <w:rsid w:val="00B07596"/>
    <w:rPr>
      <w:rFonts w:cs="Arial"/>
      <w:b/>
      <w:sz w:val="22"/>
      <w:szCs w:val="22"/>
    </w:rPr>
  </w:style>
  <w:style w:type="paragraph" w:customStyle="1" w:styleId="TPHEADING3boldspace">
    <w:name w:val="TP HEADING 3 bold space"/>
    <w:basedOn w:val="TPHeading3bold"/>
    <w:semiHidden/>
    <w:rsid w:val="00B07596"/>
    <w:pPr>
      <w:spacing w:after="120"/>
    </w:pPr>
  </w:style>
  <w:style w:type="paragraph" w:customStyle="1" w:styleId="TPHEADING3space">
    <w:name w:val="TP HEADING 3 space"/>
    <w:basedOn w:val="TPHeading3"/>
    <w:semiHidden/>
    <w:rsid w:val="00B07596"/>
    <w:pPr>
      <w:spacing w:before="120" w:after="120"/>
    </w:pPr>
    <w:rPr>
      <w:rFonts w:cs="Arial"/>
      <w:sz w:val="22"/>
      <w:szCs w:val="22"/>
    </w:rPr>
  </w:style>
  <w:style w:type="paragraph" w:customStyle="1" w:styleId="TPHeading4">
    <w:name w:val="TP Heading 4"/>
    <w:basedOn w:val="TPHeading3"/>
    <w:semiHidden/>
    <w:rsid w:val="00B07596"/>
    <w:rPr>
      <w:sz w:val="20"/>
    </w:rPr>
  </w:style>
  <w:style w:type="paragraph" w:customStyle="1" w:styleId="TPHEADING4space">
    <w:name w:val="TP HEADING 4 space"/>
    <w:basedOn w:val="TPHEADING3space"/>
    <w:semiHidden/>
    <w:rsid w:val="00B07596"/>
  </w:style>
  <w:style w:type="paragraph" w:customStyle="1" w:styleId="ChartLine">
    <w:name w:val="Chart Line"/>
    <w:basedOn w:val="Normal"/>
    <w:autoRedefine/>
    <w:qFormat/>
    <w:rsid w:val="00B07596"/>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B07596"/>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B07596"/>
    <w:rPr>
      <w:sz w:val="16"/>
    </w:rPr>
  </w:style>
  <w:style w:type="paragraph" w:customStyle="1" w:styleId="Box-continuedon">
    <w:name w:val="Box - continued on"/>
    <w:basedOn w:val="Normal"/>
    <w:qFormat/>
    <w:rsid w:val="00B07596"/>
    <w:pPr>
      <w:jc w:val="right"/>
    </w:pPr>
    <w:rPr>
      <w:rFonts w:asciiTheme="majorHAnsi" w:hAnsiTheme="majorHAnsi" w:cstheme="majorHAnsi"/>
      <w:i/>
      <w:iCs/>
      <w:sz w:val="18"/>
      <w:szCs w:val="24"/>
    </w:rPr>
  </w:style>
  <w:style w:type="paragraph" w:customStyle="1" w:styleId="BoxHeading2">
    <w:name w:val="Box Heading 2"/>
    <w:basedOn w:val="BoxHeading"/>
    <w:autoRedefine/>
    <w:rsid w:val="00B07596"/>
    <w:pPr>
      <w:spacing w:after="0"/>
    </w:pPr>
    <w:rPr>
      <w:b w:val="0"/>
      <w:bCs/>
      <w:szCs w:val="14"/>
    </w:rPr>
  </w:style>
  <w:style w:type="character" w:customStyle="1" w:styleId="Heading9Char">
    <w:name w:val="Heading 9 Char"/>
    <w:basedOn w:val="DefaultParagraphFont"/>
    <w:link w:val="Heading9"/>
    <w:uiPriority w:val="9"/>
    <w:rsid w:val="00B07596"/>
    <w:rPr>
      <w:rFonts w:ascii="Cambria" w:eastAsia="Times New Roman" w:hAnsi="Cambria" w:cs="Times New Roman"/>
      <w:lang w:eastAsia="en-AU"/>
    </w:rPr>
  </w:style>
  <w:style w:type="paragraph" w:customStyle="1" w:styleId="GhostLine">
    <w:name w:val="Ghost Line"/>
    <w:basedOn w:val="NoSpacing"/>
    <w:qFormat/>
    <w:rsid w:val="00B07596"/>
    <w:pPr>
      <w:jc w:val="both"/>
    </w:pPr>
    <w:rPr>
      <w:rFonts w:ascii="Book Antiqua" w:hAnsi="Book Antiqua"/>
      <w:sz w:val="2"/>
    </w:rPr>
  </w:style>
  <w:style w:type="paragraph" w:styleId="NoSpacing">
    <w:name w:val="No Spacing"/>
    <w:uiPriority w:val="1"/>
    <w:qFormat/>
    <w:rsid w:val="00B07596"/>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B07596"/>
    <w:rPr>
      <w:rFonts w:ascii="Book Antiqua" w:eastAsia="Times New Roman" w:hAnsi="Book Antiqua" w:cs="Times New Roman"/>
      <w:sz w:val="19"/>
      <w:szCs w:val="20"/>
      <w:lang w:eastAsia="en-AU"/>
    </w:rPr>
  </w:style>
  <w:style w:type="paragraph" w:styleId="Revision">
    <w:name w:val="Revision"/>
    <w:hidden/>
    <w:uiPriority w:val="99"/>
    <w:semiHidden/>
    <w:rsid w:val="0021321F"/>
    <w:pPr>
      <w:spacing w:after="0" w:line="240" w:lineRule="auto"/>
    </w:pPr>
    <w:rPr>
      <w:rFonts w:ascii="Book Antiqua" w:eastAsia="Times New Roman" w:hAnsi="Book Antiqua" w:cs="Times New Roman"/>
      <w:sz w:val="19"/>
      <w:szCs w:val="20"/>
      <w:lang w:eastAsia="en-AU"/>
    </w:rPr>
  </w:style>
  <w:style w:type="character" w:styleId="Emphasis">
    <w:name w:val="Emphasis"/>
    <w:basedOn w:val="DefaultParagraphFont"/>
    <w:uiPriority w:val="20"/>
    <w:rsid w:val="003B44B4"/>
    <w:rPr>
      <w:i/>
      <w:iCs/>
    </w:rPr>
  </w:style>
  <w:style w:type="character" w:customStyle="1" w:styleId="ChartandTableFootnoteChar">
    <w:name w:val="Chart and Table Footnote Char"/>
    <w:basedOn w:val="DefaultParagraphFont"/>
    <w:link w:val="ChartandTableFootnote"/>
    <w:rsid w:val="00CD354B"/>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201E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134">
      <w:bodyDiv w:val="1"/>
      <w:marLeft w:val="0"/>
      <w:marRight w:val="0"/>
      <w:marTop w:val="0"/>
      <w:marBottom w:val="0"/>
      <w:divBdr>
        <w:top w:val="none" w:sz="0" w:space="0" w:color="auto"/>
        <w:left w:val="none" w:sz="0" w:space="0" w:color="auto"/>
        <w:bottom w:val="none" w:sz="0" w:space="0" w:color="auto"/>
        <w:right w:val="none" w:sz="0" w:space="0" w:color="auto"/>
      </w:divBdr>
    </w:div>
    <w:div w:id="168377520">
      <w:bodyDiv w:val="1"/>
      <w:marLeft w:val="0"/>
      <w:marRight w:val="0"/>
      <w:marTop w:val="0"/>
      <w:marBottom w:val="0"/>
      <w:divBdr>
        <w:top w:val="none" w:sz="0" w:space="0" w:color="auto"/>
        <w:left w:val="none" w:sz="0" w:space="0" w:color="auto"/>
        <w:bottom w:val="none" w:sz="0" w:space="0" w:color="auto"/>
        <w:right w:val="none" w:sz="0" w:space="0" w:color="auto"/>
      </w:divBdr>
    </w:div>
    <w:div w:id="230970826">
      <w:bodyDiv w:val="1"/>
      <w:marLeft w:val="0"/>
      <w:marRight w:val="0"/>
      <w:marTop w:val="0"/>
      <w:marBottom w:val="0"/>
      <w:divBdr>
        <w:top w:val="none" w:sz="0" w:space="0" w:color="auto"/>
        <w:left w:val="none" w:sz="0" w:space="0" w:color="auto"/>
        <w:bottom w:val="none" w:sz="0" w:space="0" w:color="auto"/>
        <w:right w:val="none" w:sz="0" w:space="0" w:color="auto"/>
      </w:divBdr>
    </w:div>
    <w:div w:id="280692628">
      <w:bodyDiv w:val="1"/>
      <w:marLeft w:val="0"/>
      <w:marRight w:val="0"/>
      <w:marTop w:val="0"/>
      <w:marBottom w:val="0"/>
      <w:divBdr>
        <w:top w:val="none" w:sz="0" w:space="0" w:color="auto"/>
        <w:left w:val="none" w:sz="0" w:space="0" w:color="auto"/>
        <w:bottom w:val="none" w:sz="0" w:space="0" w:color="auto"/>
        <w:right w:val="none" w:sz="0" w:space="0" w:color="auto"/>
      </w:divBdr>
    </w:div>
    <w:div w:id="832181573">
      <w:bodyDiv w:val="1"/>
      <w:marLeft w:val="0"/>
      <w:marRight w:val="0"/>
      <w:marTop w:val="0"/>
      <w:marBottom w:val="0"/>
      <w:divBdr>
        <w:top w:val="none" w:sz="0" w:space="0" w:color="auto"/>
        <w:left w:val="none" w:sz="0" w:space="0" w:color="auto"/>
        <w:bottom w:val="none" w:sz="0" w:space="0" w:color="auto"/>
        <w:right w:val="none" w:sz="0" w:space="0" w:color="auto"/>
      </w:divBdr>
    </w:div>
    <w:div w:id="1059596074">
      <w:bodyDiv w:val="1"/>
      <w:marLeft w:val="0"/>
      <w:marRight w:val="0"/>
      <w:marTop w:val="0"/>
      <w:marBottom w:val="0"/>
      <w:divBdr>
        <w:top w:val="none" w:sz="0" w:space="0" w:color="auto"/>
        <w:left w:val="none" w:sz="0" w:space="0" w:color="auto"/>
        <w:bottom w:val="none" w:sz="0" w:space="0" w:color="auto"/>
        <w:right w:val="none" w:sz="0" w:space="0" w:color="auto"/>
      </w:divBdr>
    </w:div>
    <w:div w:id="1244413434">
      <w:bodyDiv w:val="1"/>
      <w:marLeft w:val="0"/>
      <w:marRight w:val="0"/>
      <w:marTop w:val="0"/>
      <w:marBottom w:val="0"/>
      <w:divBdr>
        <w:top w:val="none" w:sz="0" w:space="0" w:color="auto"/>
        <w:left w:val="none" w:sz="0" w:space="0" w:color="auto"/>
        <w:bottom w:val="none" w:sz="0" w:space="0" w:color="auto"/>
        <w:right w:val="none" w:sz="0" w:space="0" w:color="auto"/>
      </w:divBdr>
    </w:div>
    <w:div w:id="1269392615">
      <w:bodyDiv w:val="1"/>
      <w:marLeft w:val="0"/>
      <w:marRight w:val="0"/>
      <w:marTop w:val="0"/>
      <w:marBottom w:val="0"/>
      <w:divBdr>
        <w:top w:val="none" w:sz="0" w:space="0" w:color="auto"/>
        <w:left w:val="none" w:sz="0" w:space="0" w:color="auto"/>
        <w:bottom w:val="none" w:sz="0" w:space="0" w:color="auto"/>
        <w:right w:val="none" w:sz="0" w:space="0" w:color="auto"/>
      </w:divBdr>
    </w:div>
    <w:div w:id="1306080987">
      <w:bodyDiv w:val="1"/>
      <w:marLeft w:val="0"/>
      <w:marRight w:val="0"/>
      <w:marTop w:val="0"/>
      <w:marBottom w:val="0"/>
      <w:divBdr>
        <w:top w:val="none" w:sz="0" w:space="0" w:color="auto"/>
        <w:left w:val="none" w:sz="0" w:space="0" w:color="auto"/>
        <w:bottom w:val="none" w:sz="0" w:space="0" w:color="auto"/>
        <w:right w:val="none" w:sz="0" w:space="0" w:color="auto"/>
      </w:divBdr>
    </w:div>
    <w:div w:id="1377780464">
      <w:bodyDiv w:val="1"/>
      <w:marLeft w:val="0"/>
      <w:marRight w:val="0"/>
      <w:marTop w:val="0"/>
      <w:marBottom w:val="0"/>
      <w:divBdr>
        <w:top w:val="none" w:sz="0" w:space="0" w:color="auto"/>
        <w:left w:val="none" w:sz="0" w:space="0" w:color="auto"/>
        <w:bottom w:val="none" w:sz="0" w:space="0" w:color="auto"/>
        <w:right w:val="none" w:sz="0" w:space="0" w:color="auto"/>
      </w:divBdr>
    </w:div>
    <w:div w:id="1577596543">
      <w:bodyDiv w:val="1"/>
      <w:marLeft w:val="0"/>
      <w:marRight w:val="0"/>
      <w:marTop w:val="0"/>
      <w:marBottom w:val="0"/>
      <w:divBdr>
        <w:top w:val="none" w:sz="0" w:space="0" w:color="auto"/>
        <w:left w:val="none" w:sz="0" w:space="0" w:color="auto"/>
        <w:bottom w:val="none" w:sz="0" w:space="0" w:color="auto"/>
        <w:right w:val="none" w:sz="0" w:space="0" w:color="auto"/>
      </w:divBdr>
    </w:div>
    <w:div w:id="1693192115">
      <w:bodyDiv w:val="1"/>
      <w:marLeft w:val="0"/>
      <w:marRight w:val="0"/>
      <w:marTop w:val="0"/>
      <w:marBottom w:val="0"/>
      <w:divBdr>
        <w:top w:val="none" w:sz="0" w:space="0" w:color="auto"/>
        <w:left w:val="none" w:sz="0" w:space="0" w:color="auto"/>
        <w:bottom w:val="none" w:sz="0" w:space="0" w:color="auto"/>
        <w:right w:val="none" w:sz="0" w:space="0" w:color="auto"/>
      </w:divBdr>
    </w:div>
    <w:div w:id="1768816657">
      <w:bodyDiv w:val="1"/>
      <w:marLeft w:val="0"/>
      <w:marRight w:val="0"/>
      <w:marTop w:val="0"/>
      <w:marBottom w:val="0"/>
      <w:divBdr>
        <w:top w:val="none" w:sz="0" w:space="0" w:color="auto"/>
        <w:left w:val="none" w:sz="0" w:space="0" w:color="auto"/>
        <w:bottom w:val="none" w:sz="0" w:space="0" w:color="auto"/>
        <w:right w:val="none" w:sz="0" w:space="0" w:color="auto"/>
      </w:divBdr>
    </w:div>
    <w:div w:id="1934124023">
      <w:bodyDiv w:val="1"/>
      <w:marLeft w:val="0"/>
      <w:marRight w:val="0"/>
      <w:marTop w:val="0"/>
      <w:marBottom w:val="0"/>
      <w:divBdr>
        <w:top w:val="none" w:sz="0" w:space="0" w:color="auto"/>
        <w:left w:val="none" w:sz="0" w:space="0" w:color="auto"/>
        <w:bottom w:val="none" w:sz="0" w:space="0" w:color="auto"/>
        <w:right w:val="none" w:sz="0" w:space="0" w:color="auto"/>
      </w:divBdr>
    </w:div>
    <w:div w:id="1955941774">
      <w:bodyDiv w:val="1"/>
      <w:marLeft w:val="0"/>
      <w:marRight w:val="0"/>
      <w:marTop w:val="0"/>
      <w:marBottom w:val="0"/>
      <w:divBdr>
        <w:top w:val="none" w:sz="0" w:space="0" w:color="auto"/>
        <w:left w:val="none" w:sz="0" w:space="0" w:color="auto"/>
        <w:bottom w:val="none" w:sz="0" w:space="0" w:color="auto"/>
        <w:right w:val="none" w:sz="0" w:space="0" w:color="auto"/>
      </w:divBdr>
    </w:div>
    <w:div w:id="19810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Budget Template.dotm</Template>
  <TotalTime>344</TotalTime>
  <Pages>3</Pages>
  <Words>973</Words>
  <Characters>5469</Characters>
  <Application>Microsoft Office Word</Application>
  <DocSecurity>0</DocSecurity>
  <Lines>376</Lines>
  <Paragraphs>292</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Appendix D: Tax Expenditures</dc:subject>
  <dc:creator>Australian Government</dc:creator>
  <cp:keywords/>
  <dc:description/>
  <cp:revision>271</cp:revision>
  <cp:lastPrinted>2024-12-16T00:29:00Z</cp:lastPrinted>
  <dcterms:created xsi:type="dcterms:W3CDTF">2024-10-18T15:54:00Z</dcterms:created>
  <dcterms:modified xsi:type="dcterms:W3CDTF">2024-12-17T06:34:00Z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2024-12-17T06:34:11Z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def93300-13cf-49e3-ad8f-0d2c46577dda</vt:lpwstr>
  </property>
  <property fmtid="{D5CDD505-2E9C-101B-9397-08002B2CF9AE}" pid="8" name="MSIP_Label_4f932d64-9ab1-4d9b-81d2-a3a8b82dd47d_ContentBits">
    <vt:lpwstr>0</vt:lpwstr>
  </property>
</Properties>
</file>