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9.xml" ContentType="application/vnd.openxmlformats-officedocument.wordprocessingml.header+xml"/>
  <Override PartName="/word/footer30.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2.xml" ContentType="application/vnd.openxmlformats-officedocument.wordprocessingml.header+xml"/>
  <Override PartName="/word/footer33.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5.xml" ContentType="application/vnd.openxmlformats-officedocument.wordprocessingml.header+xml"/>
  <Override PartName="/word/footer36.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8.xml" ContentType="application/vnd.openxmlformats-officedocument.wordprocessingml.header+xml"/>
  <Override PartName="/word/footer39.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1.xml" ContentType="application/vnd.openxmlformats-officedocument.wordprocessingml.header+xml"/>
  <Override PartName="/word/footer42.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4.xml" ContentType="application/vnd.openxmlformats-officedocument.wordprocessingml.header+xml"/>
  <Override PartName="/word/footer45.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7.xml" ContentType="application/vnd.openxmlformats-officedocument.wordprocessingml.header+xml"/>
  <Override PartName="/word/footer48.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0.xml" ContentType="application/vnd.openxmlformats-officedocument.wordprocessingml.header+xml"/>
  <Override PartName="/word/footer51.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3.xml" ContentType="application/vnd.openxmlformats-officedocument.wordprocessingml.header+xml"/>
  <Override PartName="/word/footer54.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6.xml" ContentType="application/vnd.openxmlformats-officedocument.wordprocessingml.header+xml"/>
  <Override PartName="/word/footer57.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59.xml" ContentType="application/vnd.openxmlformats-officedocument.wordprocessingml.header+xml"/>
  <Override PartName="/word/footer60.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2.xml" ContentType="application/vnd.openxmlformats-officedocument.wordprocessingml.header+xml"/>
  <Override PartName="/word/footer63.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5.xml" ContentType="application/vnd.openxmlformats-officedocument.wordprocessingml.header+xml"/>
  <Override PartName="/word/footer6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02EA2" w14:textId="1D2DEFE4" w:rsidR="00B449D0" w:rsidRDefault="00175344" w:rsidP="0086273F">
      <w:pPr>
        <w:pStyle w:val="Heading1"/>
      </w:pPr>
      <w:r>
        <w:t>Appendix A: Policy decisions taken since the 2024–25 Budget</w:t>
      </w:r>
    </w:p>
    <w:p w14:paraId="3959E839" w14:textId="6BBE932E" w:rsidR="00B449D0" w:rsidRPr="00F4551B" w:rsidRDefault="00175344" w:rsidP="00FC757B">
      <w:pPr>
        <w:pStyle w:val="Heading2"/>
      </w:pPr>
      <w:r w:rsidRPr="00F4551B">
        <w:t xml:space="preserve">Receipt </w:t>
      </w:r>
      <w:r w:rsidRPr="00FC757B" w:rsidDel="001E5BC3">
        <w:t>Measures</w:t>
      </w:r>
    </w:p>
    <w:p w14:paraId="204A9544" w14:textId="04D0C11C" w:rsidR="00B449D0" w:rsidRDefault="00175344" w:rsidP="00272FED">
      <w:pPr>
        <w:pStyle w:val="TableHeading"/>
      </w:pPr>
      <w:r>
        <w:t xml:space="preserve">Table </w:t>
      </w:r>
      <w:r w:rsidR="006E0A94">
        <w:t>A.</w:t>
      </w:r>
      <w:r>
        <w:t xml:space="preserve">1: Receipt measures since the 2024–25 </w:t>
      </w:r>
      <w:r w:rsidRPr="00272FED">
        <w:t>Budget</w:t>
      </w:r>
      <w:r>
        <w:rPr>
          <w:rFonts w:ascii="Cambria Math" w:hAnsi="Cambria Math" w:cs="Cambria Math"/>
        </w:rPr>
        <w:t>⁽</w:t>
      </w:r>
      <w:r>
        <w:rPr>
          <w:rFonts w:cs="Arial"/>
        </w:rPr>
        <w:t>ª</w:t>
      </w:r>
      <w:r>
        <w:rPr>
          <w:rFonts w:ascii="Cambria Math" w:hAnsi="Cambria Math" w:cs="Cambria Math"/>
        </w:rPr>
        <w:t>⁾</w:t>
      </w:r>
    </w:p>
    <w:tbl>
      <w:tblPr>
        <w:tblOverlap w:val="never"/>
        <w:tblW w:w="7721" w:type="dxa"/>
        <w:tblBorders>
          <w:top w:val="single" w:sz="4" w:space="0" w:color="000000"/>
          <w:bottom w:val="single" w:sz="4" w:space="0" w:color="000000"/>
        </w:tblBorders>
        <w:tblLayout w:type="fixed"/>
        <w:tblCellMar>
          <w:left w:w="0" w:type="dxa"/>
          <w:right w:w="56" w:type="dxa"/>
        </w:tblCellMar>
        <w:tblLook w:val="04A0" w:firstRow="1" w:lastRow="0" w:firstColumn="1" w:lastColumn="0" w:noHBand="0" w:noVBand="1"/>
      </w:tblPr>
      <w:tblGrid>
        <w:gridCol w:w="3471"/>
        <w:gridCol w:w="850"/>
        <w:gridCol w:w="850"/>
        <w:gridCol w:w="850"/>
        <w:gridCol w:w="850"/>
        <w:gridCol w:w="850"/>
      </w:tblGrid>
      <w:tr w:rsidR="00B449D0" w14:paraId="62FF923D" w14:textId="77777777" w:rsidTr="00301E48">
        <w:tc>
          <w:tcPr>
            <w:tcW w:w="3471" w:type="dxa"/>
            <w:tcBorders>
              <w:top w:val="single" w:sz="4" w:space="0" w:color="000000"/>
            </w:tcBorders>
          </w:tcPr>
          <w:p w14:paraId="684D0481" w14:textId="77777777" w:rsidR="00B449D0" w:rsidRDefault="00B449D0">
            <w:pPr>
              <w:pStyle w:val="Summarytabletextrightaligned"/>
            </w:pPr>
          </w:p>
        </w:tc>
        <w:tc>
          <w:tcPr>
            <w:tcW w:w="850" w:type="dxa"/>
            <w:tcBorders>
              <w:top w:val="single" w:sz="4" w:space="0" w:color="000000"/>
            </w:tcBorders>
          </w:tcPr>
          <w:p w14:paraId="6DB2A88B" w14:textId="5619EDD0" w:rsidR="00B449D0" w:rsidRDefault="00175344">
            <w:pPr>
              <w:pStyle w:val="Summarytabletextrightaligned"/>
            </w:pPr>
            <w:r>
              <w:t>2023</w:t>
            </w:r>
            <w:r w:rsidR="00076D78">
              <w:noBreakHyphen/>
            </w:r>
            <w:r>
              <w:t>24</w:t>
            </w:r>
          </w:p>
        </w:tc>
        <w:tc>
          <w:tcPr>
            <w:tcW w:w="850" w:type="dxa"/>
            <w:tcBorders>
              <w:top w:val="single" w:sz="4" w:space="0" w:color="000000"/>
            </w:tcBorders>
            <w:shd w:val="clear" w:color="auto" w:fill="E6F2FF"/>
          </w:tcPr>
          <w:p w14:paraId="79F8DAF9" w14:textId="16EC6768" w:rsidR="00B449D0" w:rsidRDefault="00175344">
            <w:pPr>
              <w:pStyle w:val="Summarytabletextrightaligned"/>
            </w:pPr>
            <w:r>
              <w:t>2024</w:t>
            </w:r>
            <w:r w:rsidR="00076D78">
              <w:noBreakHyphen/>
            </w:r>
            <w:r>
              <w:t>25</w:t>
            </w:r>
          </w:p>
        </w:tc>
        <w:tc>
          <w:tcPr>
            <w:tcW w:w="850" w:type="dxa"/>
            <w:tcBorders>
              <w:top w:val="single" w:sz="4" w:space="0" w:color="000000"/>
            </w:tcBorders>
          </w:tcPr>
          <w:p w14:paraId="5AF573AC" w14:textId="0BB50D4B" w:rsidR="00B449D0" w:rsidRDefault="00175344">
            <w:pPr>
              <w:pStyle w:val="Summarytabletextrightaligned"/>
            </w:pPr>
            <w:r>
              <w:t>2025</w:t>
            </w:r>
            <w:r w:rsidR="00076D78">
              <w:noBreakHyphen/>
            </w:r>
            <w:r>
              <w:t>26</w:t>
            </w:r>
          </w:p>
        </w:tc>
        <w:tc>
          <w:tcPr>
            <w:tcW w:w="850" w:type="dxa"/>
            <w:tcBorders>
              <w:top w:val="single" w:sz="4" w:space="0" w:color="000000"/>
            </w:tcBorders>
          </w:tcPr>
          <w:p w14:paraId="15637902" w14:textId="100CC671" w:rsidR="00B449D0" w:rsidRDefault="00175344">
            <w:pPr>
              <w:pStyle w:val="Summarytabletextrightaligned"/>
            </w:pPr>
            <w:r>
              <w:t>2026</w:t>
            </w:r>
            <w:r w:rsidR="00076D78">
              <w:noBreakHyphen/>
            </w:r>
            <w:r>
              <w:t>27</w:t>
            </w:r>
          </w:p>
        </w:tc>
        <w:tc>
          <w:tcPr>
            <w:tcW w:w="850" w:type="dxa"/>
            <w:tcBorders>
              <w:top w:val="single" w:sz="4" w:space="0" w:color="000000"/>
            </w:tcBorders>
          </w:tcPr>
          <w:p w14:paraId="24260E4E" w14:textId="1DFDF305" w:rsidR="00B449D0" w:rsidRDefault="00175344">
            <w:pPr>
              <w:pStyle w:val="Summarytabletextrightaligned"/>
            </w:pPr>
            <w:r>
              <w:t>2027</w:t>
            </w:r>
            <w:r w:rsidR="00076D78">
              <w:noBreakHyphen/>
            </w:r>
            <w:r>
              <w:t>28</w:t>
            </w:r>
          </w:p>
        </w:tc>
      </w:tr>
      <w:tr w:rsidR="00B449D0" w14:paraId="0ED7DC8C" w14:textId="77777777" w:rsidTr="00301E48">
        <w:tc>
          <w:tcPr>
            <w:tcW w:w="3471" w:type="dxa"/>
          </w:tcPr>
          <w:p w14:paraId="019A0814" w14:textId="77777777" w:rsidR="00B449D0" w:rsidRDefault="00B449D0">
            <w:pPr>
              <w:pStyle w:val="Summarytabletextrightaligned"/>
            </w:pPr>
          </w:p>
        </w:tc>
        <w:tc>
          <w:tcPr>
            <w:tcW w:w="850" w:type="dxa"/>
            <w:tcBorders>
              <w:bottom w:val="single" w:sz="4" w:space="0" w:color="000000"/>
            </w:tcBorders>
          </w:tcPr>
          <w:p w14:paraId="0D34998C" w14:textId="77777777" w:rsidR="00B449D0" w:rsidRDefault="00175344">
            <w:pPr>
              <w:pStyle w:val="Summarytabletextrightaligned"/>
            </w:pPr>
            <w:r>
              <w:t>$m</w:t>
            </w:r>
          </w:p>
        </w:tc>
        <w:tc>
          <w:tcPr>
            <w:tcW w:w="850" w:type="dxa"/>
            <w:tcBorders>
              <w:bottom w:val="single" w:sz="4" w:space="0" w:color="000000"/>
            </w:tcBorders>
            <w:shd w:val="clear" w:color="auto" w:fill="E6F2FF"/>
          </w:tcPr>
          <w:p w14:paraId="35F33EC4" w14:textId="77777777" w:rsidR="00B449D0" w:rsidRDefault="00175344">
            <w:pPr>
              <w:pStyle w:val="Summarytabletextrightaligned"/>
            </w:pPr>
            <w:r>
              <w:t>$m</w:t>
            </w:r>
          </w:p>
        </w:tc>
        <w:tc>
          <w:tcPr>
            <w:tcW w:w="850" w:type="dxa"/>
            <w:tcBorders>
              <w:bottom w:val="single" w:sz="4" w:space="0" w:color="000000"/>
            </w:tcBorders>
          </w:tcPr>
          <w:p w14:paraId="4FBBBF4E" w14:textId="77777777" w:rsidR="00B449D0" w:rsidRDefault="00175344">
            <w:pPr>
              <w:pStyle w:val="Summarytabletextrightaligned"/>
            </w:pPr>
            <w:r>
              <w:t>$m</w:t>
            </w:r>
          </w:p>
        </w:tc>
        <w:tc>
          <w:tcPr>
            <w:tcW w:w="850" w:type="dxa"/>
            <w:tcBorders>
              <w:bottom w:val="single" w:sz="4" w:space="0" w:color="000000"/>
            </w:tcBorders>
          </w:tcPr>
          <w:p w14:paraId="70A6EA40" w14:textId="77777777" w:rsidR="00B449D0" w:rsidRDefault="00175344">
            <w:pPr>
              <w:pStyle w:val="Summarytabletextrightaligned"/>
            </w:pPr>
            <w:r>
              <w:t>$m</w:t>
            </w:r>
          </w:p>
        </w:tc>
        <w:tc>
          <w:tcPr>
            <w:tcW w:w="850" w:type="dxa"/>
            <w:tcBorders>
              <w:bottom w:val="single" w:sz="4" w:space="0" w:color="000000"/>
            </w:tcBorders>
          </w:tcPr>
          <w:p w14:paraId="4E758E10" w14:textId="77777777" w:rsidR="00B449D0" w:rsidRDefault="00175344">
            <w:pPr>
              <w:pStyle w:val="Summarytabletextrightaligned"/>
            </w:pPr>
            <w:r>
              <w:t>$m</w:t>
            </w:r>
          </w:p>
        </w:tc>
      </w:tr>
      <w:tr w:rsidR="00B449D0" w14:paraId="38B56208" w14:textId="77777777" w:rsidTr="00301E48">
        <w:tc>
          <w:tcPr>
            <w:tcW w:w="3471" w:type="dxa"/>
            <w:vAlign w:val="bottom"/>
          </w:tcPr>
          <w:p w14:paraId="0A34AD72" w14:textId="77777777" w:rsidR="00B449D0" w:rsidRDefault="00175344">
            <w:pPr>
              <w:pStyle w:val="SummaryPortfolioTitle-BP2"/>
            </w:pPr>
            <w:r>
              <w:t>AGRICULTURE, FISHERIES AND FORESTRY</w:t>
            </w:r>
          </w:p>
        </w:tc>
        <w:tc>
          <w:tcPr>
            <w:tcW w:w="850" w:type="dxa"/>
          </w:tcPr>
          <w:p w14:paraId="21EEA5F0" w14:textId="77777777" w:rsidR="00B449D0" w:rsidRDefault="00B449D0">
            <w:pPr>
              <w:pStyle w:val="MeasureTableTextRightAlignedBefore6ptAfter1pt"/>
            </w:pPr>
          </w:p>
        </w:tc>
        <w:tc>
          <w:tcPr>
            <w:tcW w:w="850" w:type="dxa"/>
            <w:shd w:val="clear" w:color="auto" w:fill="E6F2FF"/>
          </w:tcPr>
          <w:p w14:paraId="5B60B284" w14:textId="77777777" w:rsidR="00B449D0" w:rsidRDefault="00B449D0">
            <w:pPr>
              <w:pStyle w:val="MeasureTableTextRightAlignedBefore6ptAfter1pt"/>
            </w:pPr>
          </w:p>
        </w:tc>
        <w:tc>
          <w:tcPr>
            <w:tcW w:w="850" w:type="dxa"/>
          </w:tcPr>
          <w:p w14:paraId="27AD52FD" w14:textId="77777777" w:rsidR="00B449D0" w:rsidRDefault="00B449D0">
            <w:pPr>
              <w:pStyle w:val="MeasureTableTextRightAlignedBefore6ptAfter1pt"/>
            </w:pPr>
          </w:p>
        </w:tc>
        <w:tc>
          <w:tcPr>
            <w:tcW w:w="850" w:type="dxa"/>
          </w:tcPr>
          <w:p w14:paraId="3F557001" w14:textId="77777777" w:rsidR="00B449D0" w:rsidRDefault="00B449D0">
            <w:pPr>
              <w:pStyle w:val="MeasureTableTextRightAlignedBefore6ptAfter1pt"/>
            </w:pPr>
          </w:p>
        </w:tc>
        <w:tc>
          <w:tcPr>
            <w:tcW w:w="850" w:type="dxa"/>
          </w:tcPr>
          <w:p w14:paraId="4BB6A3C4" w14:textId="77777777" w:rsidR="00B449D0" w:rsidRDefault="00B449D0">
            <w:pPr>
              <w:pStyle w:val="MeasureTableTextRightAlignedBefore6ptAfter1pt"/>
            </w:pPr>
          </w:p>
        </w:tc>
      </w:tr>
      <w:tr w:rsidR="00B449D0" w14:paraId="727272AF" w14:textId="77777777" w:rsidTr="00301E48">
        <w:tc>
          <w:tcPr>
            <w:tcW w:w="3471" w:type="dxa"/>
            <w:vAlign w:val="bottom"/>
          </w:tcPr>
          <w:p w14:paraId="217E9FDB" w14:textId="77777777" w:rsidR="00B449D0" w:rsidRDefault="00175344">
            <w:pPr>
              <w:pStyle w:val="SummaryAgencyTitle-BP2"/>
            </w:pPr>
            <w:r>
              <w:t>Department of Agriculture, Fisheries and Forestry</w:t>
            </w:r>
          </w:p>
        </w:tc>
        <w:tc>
          <w:tcPr>
            <w:tcW w:w="850" w:type="dxa"/>
          </w:tcPr>
          <w:p w14:paraId="11C74AF6" w14:textId="77777777" w:rsidR="00B449D0" w:rsidRDefault="00B449D0">
            <w:pPr>
              <w:pStyle w:val="SummaryAgencyTitle-BP2"/>
            </w:pPr>
          </w:p>
        </w:tc>
        <w:tc>
          <w:tcPr>
            <w:tcW w:w="850" w:type="dxa"/>
            <w:shd w:val="clear" w:color="auto" w:fill="E6F2FF"/>
          </w:tcPr>
          <w:p w14:paraId="25936DE6" w14:textId="77777777" w:rsidR="00B449D0" w:rsidRDefault="00B449D0">
            <w:pPr>
              <w:pStyle w:val="SummaryAgencyTitle-BP2"/>
            </w:pPr>
          </w:p>
        </w:tc>
        <w:tc>
          <w:tcPr>
            <w:tcW w:w="850" w:type="dxa"/>
          </w:tcPr>
          <w:p w14:paraId="23EBE2AE" w14:textId="77777777" w:rsidR="00B449D0" w:rsidRDefault="00B449D0">
            <w:pPr>
              <w:pStyle w:val="SummaryAgencyTitle-BP2"/>
            </w:pPr>
          </w:p>
        </w:tc>
        <w:tc>
          <w:tcPr>
            <w:tcW w:w="850" w:type="dxa"/>
          </w:tcPr>
          <w:p w14:paraId="2B63E3AF" w14:textId="77777777" w:rsidR="00B449D0" w:rsidRDefault="00B449D0">
            <w:pPr>
              <w:pStyle w:val="SummaryAgencyTitle-BP2"/>
            </w:pPr>
          </w:p>
        </w:tc>
        <w:tc>
          <w:tcPr>
            <w:tcW w:w="850" w:type="dxa"/>
          </w:tcPr>
          <w:p w14:paraId="32228C70" w14:textId="77777777" w:rsidR="00B449D0" w:rsidRDefault="00B449D0">
            <w:pPr>
              <w:pStyle w:val="SummaryAgencyTitle-BP2"/>
            </w:pPr>
          </w:p>
        </w:tc>
      </w:tr>
      <w:tr w:rsidR="00B449D0" w14:paraId="21337DB5" w14:textId="77777777" w:rsidTr="00301E48">
        <w:tc>
          <w:tcPr>
            <w:tcW w:w="3471" w:type="dxa"/>
            <w:vAlign w:val="bottom"/>
          </w:tcPr>
          <w:p w14:paraId="2BA6A726" w14:textId="26675E65" w:rsidR="00B449D0" w:rsidRDefault="00175344">
            <w:pPr>
              <w:pStyle w:val="SummaryMeasureTitlewithTheme"/>
            </w:pPr>
            <w:r>
              <w:t xml:space="preserve">Primary </w:t>
            </w:r>
            <w:r w:rsidR="00AB2AA9">
              <w:t>I</w:t>
            </w:r>
            <w:r>
              <w:t>ndustries – changes to agricultural production levies(b)</w:t>
            </w:r>
          </w:p>
        </w:tc>
        <w:tc>
          <w:tcPr>
            <w:tcW w:w="850" w:type="dxa"/>
            <w:vAlign w:val="bottom"/>
          </w:tcPr>
          <w:p w14:paraId="33673525" w14:textId="43730572" w:rsidR="00B449D0" w:rsidRDefault="00076D78">
            <w:pPr>
              <w:pStyle w:val="Summarytabletextrightaligned"/>
            </w:pPr>
            <w:r>
              <w:noBreakHyphen/>
            </w:r>
          </w:p>
        </w:tc>
        <w:tc>
          <w:tcPr>
            <w:tcW w:w="850" w:type="dxa"/>
            <w:shd w:val="clear" w:color="auto" w:fill="E6F2FF"/>
            <w:vAlign w:val="bottom"/>
          </w:tcPr>
          <w:p w14:paraId="196EAC34" w14:textId="77777777" w:rsidR="00B449D0" w:rsidRDefault="00175344">
            <w:pPr>
              <w:pStyle w:val="Summarytabletextrightaligned"/>
            </w:pPr>
            <w:r>
              <w:t>0.4</w:t>
            </w:r>
          </w:p>
        </w:tc>
        <w:tc>
          <w:tcPr>
            <w:tcW w:w="850" w:type="dxa"/>
            <w:vAlign w:val="bottom"/>
          </w:tcPr>
          <w:p w14:paraId="45D0FF9C" w14:textId="77777777" w:rsidR="00B449D0" w:rsidRDefault="00175344">
            <w:pPr>
              <w:pStyle w:val="Summarytabletextrightaligned"/>
            </w:pPr>
            <w:r>
              <w:t>0.7</w:t>
            </w:r>
          </w:p>
        </w:tc>
        <w:tc>
          <w:tcPr>
            <w:tcW w:w="850" w:type="dxa"/>
            <w:vAlign w:val="bottom"/>
          </w:tcPr>
          <w:p w14:paraId="7DEAF0C4" w14:textId="77777777" w:rsidR="00B449D0" w:rsidRDefault="00175344">
            <w:pPr>
              <w:pStyle w:val="Summarytabletextrightaligned"/>
            </w:pPr>
            <w:r>
              <w:t>0.7</w:t>
            </w:r>
          </w:p>
        </w:tc>
        <w:tc>
          <w:tcPr>
            <w:tcW w:w="850" w:type="dxa"/>
            <w:vAlign w:val="bottom"/>
          </w:tcPr>
          <w:p w14:paraId="39237B07" w14:textId="77777777" w:rsidR="00B449D0" w:rsidRDefault="00175344">
            <w:pPr>
              <w:pStyle w:val="Summarytabletextrightaligned"/>
            </w:pPr>
            <w:r>
              <w:t>0.7</w:t>
            </w:r>
          </w:p>
        </w:tc>
      </w:tr>
      <w:tr w:rsidR="00B449D0" w14:paraId="2831A2A3" w14:textId="77777777" w:rsidTr="00301E48">
        <w:tc>
          <w:tcPr>
            <w:tcW w:w="3471" w:type="dxa"/>
            <w:vAlign w:val="bottom"/>
          </w:tcPr>
          <w:p w14:paraId="4F6A4B24" w14:textId="77777777" w:rsidR="00B449D0" w:rsidRDefault="00175344">
            <w:pPr>
              <w:pStyle w:val="Summarytabletextleftalignedbold"/>
            </w:pPr>
            <w:r>
              <w:t>Portfolio total</w:t>
            </w:r>
          </w:p>
        </w:tc>
        <w:tc>
          <w:tcPr>
            <w:tcW w:w="850" w:type="dxa"/>
            <w:tcBorders>
              <w:top w:val="single" w:sz="4" w:space="0" w:color="000000"/>
              <w:bottom w:val="single" w:sz="4" w:space="0" w:color="000000"/>
            </w:tcBorders>
            <w:vAlign w:val="bottom"/>
          </w:tcPr>
          <w:p w14:paraId="3BD17B5F" w14:textId="7FFD7FF7" w:rsidR="00B449D0" w:rsidRDefault="00076D78">
            <w:pPr>
              <w:pStyle w:val="Summarytabletextrightalignedbold"/>
            </w:pPr>
            <w:r>
              <w:noBreakHyphen/>
            </w:r>
          </w:p>
        </w:tc>
        <w:tc>
          <w:tcPr>
            <w:tcW w:w="850" w:type="dxa"/>
            <w:tcBorders>
              <w:top w:val="single" w:sz="4" w:space="0" w:color="000000"/>
              <w:bottom w:val="single" w:sz="4" w:space="0" w:color="000000"/>
            </w:tcBorders>
            <w:shd w:val="clear" w:color="auto" w:fill="E6F2FF"/>
            <w:vAlign w:val="bottom"/>
          </w:tcPr>
          <w:p w14:paraId="6E76B670" w14:textId="77777777" w:rsidR="00B449D0" w:rsidRDefault="00175344">
            <w:pPr>
              <w:pStyle w:val="Summarytabletextrightalignedbold"/>
            </w:pPr>
            <w:r>
              <w:t>0.4</w:t>
            </w:r>
          </w:p>
        </w:tc>
        <w:tc>
          <w:tcPr>
            <w:tcW w:w="850" w:type="dxa"/>
            <w:tcBorders>
              <w:top w:val="single" w:sz="4" w:space="0" w:color="000000"/>
              <w:bottom w:val="single" w:sz="4" w:space="0" w:color="000000"/>
            </w:tcBorders>
            <w:vAlign w:val="bottom"/>
          </w:tcPr>
          <w:p w14:paraId="5B41D91A" w14:textId="77777777" w:rsidR="00B449D0" w:rsidRDefault="00175344">
            <w:pPr>
              <w:pStyle w:val="Summarytabletextrightalignedbold"/>
            </w:pPr>
            <w:r>
              <w:t>0.7</w:t>
            </w:r>
          </w:p>
        </w:tc>
        <w:tc>
          <w:tcPr>
            <w:tcW w:w="850" w:type="dxa"/>
            <w:tcBorders>
              <w:top w:val="single" w:sz="4" w:space="0" w:color="000000"/>
              <w:bottom w:val="single" w:sz="4" w:space="0" w:color="000000"/>
            </w:tcBorders>
            <w:vAlign w:val="bottom"/>
          </w:tcPr>
          <w:p w14:paraId="0832A260" w14:textId="77777777" w:rsidR="00B449D0" w:rsidRDefault="00175344">
            <w:pPr>
              <w:pStyle w:val="Summarytabletextrightalignedbold"/>
            </w:pPr>
            <w:r>
              <w:t>0.7</w:t>
            </w:r>
          </w:p>
        </w:tc>
        <w:tc>
          <w:tcPr>
            <w:tcW w:w="850" w:type="dxa"/>
            <w:tcBorders>
              <w:top w:val="single" w:sz="4" w:space="0" w:color="000000"/>
              <w:bottom w:val="single" w:sz="4" w:space="0" w:color="000000"/>
            </w:tcBorders>
            <w:vAlign w:val="bottom"/>
          </w:tcPr>
          <w:p w14:paraId="198BEDE1" w14:textId="77777777" w:rsidR="00B449D0" w:rsidRDefault="00175344">
            <w:pPr>
              <w:pStyle w:val="Summarytabletextrightalignedbold"/>
            </w:pPr>
            <w:r>
              <w:t>0.7</w:t>
            </w:r>
          </w:p>
        </w:tc>
      </w:tr>
      <w:tr w:rsidR="00B449D0" w14:paraId="63293DB2" w14:textId="77777777" w:rsidTr="00301E48">
        <w:tc>
          <w:tcPr>
            <w:tcW w:w="3471" w:type="dxa"/>
            <w:vAlign w:val="bottom"/>
          </w:tcPr>
          <w:p w14:paraId="13390F26" w14:textId="77777777" w:rsidR="00B449D0" w:rsidRDefault="00175344">
            <w:pPr>
              <w:pStyle w:val="SummaryPortfolioTitle-BP2"/>
            </w:pPr>
            <w:r>
              <w:t>CLIMATE CHANGE, ENERGY, THE ENVIRONMENT AND WATER</w:t>
            </w:r>
          </w:p>
        </w:tc>
        <w:tc>
          <w:tcPr>
            <w:tcW w:w="850" w:type="dxa"/>
          </w:tcPr>
          <w:p w14:paraId="0F06E6AC" w14:textId="77777777" w:rsidR="00B449D0" w:rsidRDefault="00B449D0">
            <w:pPr>
              <w:pStyle w:val="MeasureTableTextRightAlignedBefore6ptAfter1pt"/>
            </w:pPr>
          </w:p>
        </w:tc>
        <w:tc>
          <w:tcPr>
            <w:tcW w:w="850" w:type="dxa"/>
            <w:shd w:val="clear" w:color="auto" w:fill="E6F2FF"/>
          </w:tcPr>
          <w:p w14:paraId="16CBFB00" w14:textId="77777777" w:rsidR="00B449D0" w:rsidRDefault="00B449D0">
            <w:pPr>
              <w:pStyle w:val="MeasureTableTextRightAlignedBefore6ptAfter1pt"/>
            </w:pPr>
          </w:p>
        </w:tc>
        <w:tc>
          <w:tcPr>
            <w:tcW w:w="850" w:type="dxa"/>
          </w:tcPr>
          <w:p w14:paraId="2A68F06A" w14:textId="77777777" w:rsidR="00B449D0" w:rsidRDefault="00B449D0">
            <w:pPr>
              <w:pStyle w:val="MeasureTableTextRightAlignedBefore6ptAfter1pt"/>
            </w:pPr>
          </w:p>
        </w:tc>
        <w:tc>
          <w:tcPr>
            <w:tcW w:w="850" w:type="dxa"/>
          </w:tcPr>
          <w:p w14:paraId="16DBDBF1" w14:textId="77777777" w:rsidR="00B449D0" w:rsidRDefault="00B449D0">
            <w:pPr>
              <w:pStyle w:val="MeasureTableTextRightAlignedBefore6ptAfter1pt"/>
            </w:pPr>
          </w:p>
        </w:tc>
        <w:tc>
          <w:tcPr>
            <w:tcW w:w="850" w:type="dxa"/>
          </w:tcPr>
          <w:p w14:paraId="0B916054" w14:textId="77777777" w:rsidR="00B449D0" w:rsidRDefault="00B449D0">
            <w:pPr>
              <w:pStyle w:val="MeasureTableTextRightAlignedBefore6ptAfter1pt"/>
            </w:pPr>
          </w:p>
        </w:tc>
      </w:tr>
      <w:tr w:rsidR="00B449D0" w14:paraId="7A60BF05" w14:textId="77777777" w:rsidTr="00301E48">
        <w:tc>
          <w:tcPr>
            <w:tcW w:w="3471" w:type="dxa"/>
            <w:vAlign w:val="bottom"/>
          </w:tcPr>
          <w:p w14:paraId="4030C4EF" w14:textId="77777777" w:rsidR="00B449D0" w:rsidRDefault="00175344">
            <w:pPr>
              <w:pStyle w:val="SummaryAgencyTitle-BP2"/>
            </w:pPr>
            <w:r>
              <w:t>Clean Energy Finance Corporation</w:t>
            </w:r>
          </w:p>
        </w:tc>
        <w:tc>
          <w:tcPr>
            <w:tcW w:w="850" w:type="dxa"/>
          </w:tcPr>
          <w:p w14:paraId="29FFD48D" w14:textId="77777777" w:rsidR="00B449D0" w:rsidRDefault="00B449D0">
            <w:pPr>
              <w:pStyle w:val="SummaryAgencyTitle-BP2"/>
            </w:pPr>
          </w:p>
        </w:tc>
        <w:tc>
          <w:tcPr>
            <w:tcW w:w="850" w:type="dxa"/>
            <w:shd w:val="clear" w:color="auto" w:fill="E6F2FF"/>
          </w:tcPr>
          <w:p w14:paraId="5689E2E3" w14:textId="77777777" w:rsidR="00B449D0" w:rsidRDefault="00B449D0">
            <w:pPr>
              <w:pStyle w:val="SummaryAgencyTitle-BP2"/>
            </w:pPr>
          </w:p>
        </w:tc>
        <w:tc>
          <w:tcPr>
            <w:tcW w:w="850" w:type="dxa"/>
          </w:tcPr>
          <w:p w14:paraId="02D20B1D" w14:textId="77777777" w:rsidR="00B449D0" w:rsidRDefault="00B449D0">
            <w:pPr>
              <w:pStyle w:val="SummaryAgencyTitle-BP2"/>
            </w:pPr>
          </w:p>
        </w:tc>
        <w:tc>
          <w:tcPr>
            <w:tcW w:w="850" w:type="dxa"/>
          </w:tcPr>
          <w:p w14:paraId="4F01198C" w14:textId="77777777" w:rsidR="00B449D0" w:rsidRDefault="00B449D0">
            <w:pPr>
              <w:pStyle w:val="SummaryAgencyTitle-BP2"/>
            </w:pPr>
          </w:p>
        </w:tc>
        <w:tc>
          <w:tcPr>
            <w:tcW w:w="850" w:type="dxa"/>
          </w:tcPr>
          <w:p w14:paraId="783DEAAC" w14:textId="77777777" w:rsidR="00B449D0" w:rsidRDefault="00B449D0">
            <w:pPr>
              <w:pStyle w:val="SummaryAgencyTitle-BP2"/>
            </w:pPr>
          </w:p>
        </w:tc>
      </w:tr>
      <w:tr w:rsidR="00B449D0" w14:paraId="3F65BB8D" w14:textId="77777777" w:rsidTr="00301E48">
        <w:tc>
          <w:tcPr>
            <w:tcW w:w="3471" w:type="dxa"/>
            <w:vAlign w:val="bottom"/>
          </w:tcPr>
          <w:p w14:paraId="6C8D0A71" w14:textId="77777777" w:rsidR="00B449D0" w:rsidRDefault="00175344">
            <w:pPr>
              <w:pStyle w:val="SummaryMeasureTitlewithTheme"/>
            </w:pPr>
            <w:r>
              <w:t>Rewiring the Nation – recapitalisation(b)</w:t>
            </w:r>
          </w:p>
        </w:tc>
        <w:tc>
          <w:tcPr>
            <w:tcW w:w="850" w:type="dxa"/>
            <w:vAlign w:val="bottom"/>
          </w:tcPr>
          <w:p w14:paraId="79D672FB" w14:textId="4DB65AB6" w:rsidR="00B449D0" w:rsidRDefault="00076D78">
            <w:pPr>
              <w:pStyle w:val="Summarytabletextrightaligned"/>
            </w:pPr>
            <w:r>
              <w:noBreakHyphen/>
            </w:r>
          </w:p>
        </w:tc>
        <w:tc>
          <w:tcPr>
            <w:tcW w:w="850" w:type="dxa"/>
            <w:shd w:val="clear" w:color="auto" w:fill="E6F2FF"/>
            <w:vAlign w:val="bottom"/>
          </w:tcPr>
          <w:p w14:paraId="3305F09C" w14:textId="3AB7F640" w:rsidR="00B449D0" w:rsidRDefault="00076D78">
            <w:pPr>
              <w:pStyle w:val="Summarytabletextrightaligned"/>
            </w:pPr>
            <w:r>
              <w:noBreakHyphen/>
            </w:r>
          </w:p>
        </w:tc>
        <w:tc>
          <w:tcPr>
            <w:tcW w:w="850" w:type="dxa"/>
            <w:vAlign w:val="bottom"/>
          </w:tcPr>
          <w:p w14:paraId="05EC5A08" w14:textId="77777777" w:rsidR="00B449D0" w:rsidRDefault="00175344">
            <w:pPr>
              <w:pStyle w:val="Summarytabletextrightaligned"/>
            </w:pPr>
            <w:r>
              <w:t>1.0</w:t>
            </w:r>
          </w:p>
        </w:tc>
        <w:tc>
          <w:tcPr>
            <w:tcW w:w="850" w:type="dxa"/>
            <w:vAlign w:val="bottom"/>
          </w:tcPr>
          <w:p w14:paraId="574691B6" w14:textId="77777777" w:rsidR="00B449D0" w:rsidRDefault="00175344">
            <w:pPr>
              <w:pStyle w:val="Summarytabletextrightaligned"/>
            </w:pPr>
            <w:r>
              <w:t>11.7</w:t>
            </w:r>
          </w:p>
        </w:tc>
        <w:tc>
          <w:tcPr>
            <w:tcW w:w="850" w:type="dxa"/>
            <w:vAlign w:val="bottom"/>
          </w:tcPr>
          <w:p w14:paraId="4950E4C8" w14:textId="77777777" w:rsidR="00B449D0" w:rsidRDefault="00175344">
            <w:pPr>
              <w:pStyle w:val="Summarytabletextrightaligned"/>
            </w:pPr>
            <w:r>
              <w:t>23.3</w:t>
            </w:r>
          </w:p>
        </w:tc>
      </w:tr>
      <w:tr w:rsidR="00B449D0" w14:paraId="665CD637" w14:textId="77777777" w:rsidTr="00301E48">
        <w:tc>
          <w:tcPr>
            <w:tcW w:w="3471" w:type="dxa"/>
            <w:vAlign w:val="bottom"/>
          </w:tcPr>
          <w:p w14:paraId="3CD8E378" w14:textId="1FCDF1C2" w:rsidR="00B449D0" w:rsidRDefault="00175344">
            <w:pPr>
              <w:pStyle w:val="Summarytabletextleftalignedbold"/>
            </w:pPr>
            <w:r>
              <w:t>Portfolio total</w:t>
            </w:r>
          </w:p>
        </w:tc>
        <w:tc>
          <w:tcPr>
            <w:tcW w:w="850" w:type="dxa"/>
            <w:tcBorders>
              <w:top w:val="single" w:sz="4" w:space="0" w:color="000000"/>
              <w:bottom w:val="single" w:sz="4" w:space="0" w:color="000000"/>
            </w:tcBorders>
            <w:vAlign w:val="bottom"/>
          </w:tcPr>
          <w:p w14:paraId="679B44DD" w14:textId="3B61DEA8" w:rsidR="00B449D0" w:rsidRDefault="00076D78">
            <w:pPr>
              <w:pStyle w:val="Summarytabletextrightalignedbold"/>
            </w:pPr>
            <w:r>
              <w:noBreakHyphen/>
            </w:r>
          </w:p>
        </w:tc>
        <w:tc>
          <w:tcPr>
            <w:tcW w:w="850" w:type="dxa"/>
            <w:tcBorders>
              <w:top w:val="single" w:sz="4" w:space="0" w:color="000000"/>
              <w:bottom w:val="single" w:sz="4" w:space="0" w:color="000000"/>
            </w:tcBorders>
            <w:shd w:val="clear" w:color="auto" w:fill="E6F2FF"/>
            <w:vAlign w:val="bottom"/>
          </w:tcPr>
          <w:p w14:paraId="4AADBD0F" w14:textId="217FC317" w:rsidR="00B449D0" w:rsidRDefault="00076D78">
            <w:pPr>
              <w:pStyle w:val="Summarytabletextrightalignedbold"/>
            </w:pPr>
            <w:r>
              <w:noBreakHyphen/>
            </w:r>
          </w:p>
        </w:tc>
        <w:tc>
          <w:tcPr>
            <w:tcW w:w="850" w:type="dxa"/>
            <w:tcBorders>
              <w:top w:val="single" w:sz="4" w:space="0" w:color="000000"/>
              <w:bottom w:val="single" w:sz="4" w:space="0" w:color="000000"/>
            </w:tcBorders>
            <w:vAlign w:val="bottom"/>
          </w:tcPr>
          <w:p w14:paraId="063ABC13" w14:textId="77777777" w:rsidR="00B449D0" w:rsidRDefault="00175344">
            <w:pPr>
              <w:pStyle w:val="Summarytabletextrightalignedbold"/>
            </w:pPr>
            <w:r>
              <w:t>1.0</w:t>
            </w:r>
          </w:p>
        </w:tc>
        <w:tc>
          <w:tcPr>
            <w:tcW w:w="850" w:type="dxa"/>
            <w:tcBorders>
              <w:top w:val="single" w:sz="4" w:space="0" w:color="000000"/>
              <w:bottom w:val="single" w:sz="4" w:space="0" w:color="000000"/>
            </w:tcBorders>
            <w:vAlign w:val="bottom"/>
          </w:tcPr>
          <w:p w14:paraId="164DCD4B" w14:textId="77777777" w:rsidR="00B449D0" w:rsidRDefault="00175344">
            <w:pPr>
              <w:pStyle w:val="Summarytabletextrightalignedbold"/>
            </w:pPr>
            <w:r>
              <w:t>11.7</w:t>
            </w:r>
          </w:p>
        </w:tc>
        <w:tc>
          <w:tcPr>
            <w:tcW w:w="850" w:type="dxa"/>
            <w:tcBorders>
              <w:top w:val="single" w:sz="4" w:space="0" w:color="000000"/>
              <w:bottom w:val="single" w:sz="4" w:space="0" w:color="000000"/>
            </w:tcBorders>
            <w:vAlign w:val="bottom"/>
          </w:tcPr>
          <w:p w14:paraId="41C9660D" w14:textId="77777777" w:rsidR="00B449D0" w:rsidRDefault="00175344">
            <w:pPr>
              <w:pStyle w:val="Summarytabletextrightalignedbold"/>
            </w:pPr>
            <w:r>
              <w:t>23.3</w:t>
            </w:r>
          </w:p>
        </w:tc>
      </w:tr>
      <w:tr w:rsidR="00B449D0" w14:paraId="3D735DAE" w14:textId="77777777" w:rsidTr="00301E48">
        <w:tc>
          <w:tcPr>
            <w:tcW w:w="3471" w:type="dxa"/>
            <w:vAlign w:val="bottom"/>
          </w:tcPr>
          <w:p w14:paraId="1292DF7D" w14:textId="77777777" w:rsidR="00B449D0" w:rsidRDefault="00175344">
            <w:pPr>
              <w:pStyle w:val="SummaryPortfolioTitle-BP2"/>
            </w:pPr>
            <w:r>
              <w:t>EDUCATION</w:t>
            </w:r>
          </w:p>
        </w:tc>
        <w:tc>
          <w:tcPr>
            <w:tcW w:w="850" w:type="dxa"/>
          </w:tcPr>
          <w:p w14:paraId="27947A48" w14:textId="77777777" w:rsidR="00B449D0" w:rsidRDefault="00B449D0">
            <w:pPr>
              <w:pStyle w:val="MeasureTableTextRightAlignedBefore6ptAfter1pt"/>
            </w:pPr>
          </w:p>
        </w:tc>
        <w:tc>
          <w:tcPr>
            <w:tcW w:w="850" w:type="dxa"/>
            <w:shd w:val="clear" w:color="auto" w:fill="E6F2FF"/>
          </w:tcPr>
          <w:p w14:paraId="0623D4A8" w14:textId="77777777" w:rsidR="00B449D0" w:rsidRDefault="00B449D0">
            <w:pPr>
              <w:pStyle w:val="MeasureTableTextRightAlignedBefore6ptAfter1pt"/>
            </w:pPr>
          </w:p>
        </w:tc>
        <w:tc>
          <w:tcPr>
            <w:tcW w:w="850" w:type="dxa"/>
          </w:tcPr>
          <w:p w14:paraId="27A1E2DC" w14:textId="77777777" w:rsidR="00B449D0" w:rsidRDefault="00B449D0">
            <w:pPr>
              <w:pStyle w:val="MeasureTableTextRightAlignedBefore6ptAfter1pt"/>
            </w:pPr>
          </w:p>
        </w:tc>
        <w:tc>
          <w:tcPr>
            <w:tcW w:w="850" w:type="dxa"/>
          </w:tcPr>
          <w:p w14:paraId="0888E3BF" w14:textId="77777777" w:rsidR="00B449D0" w:rsidRDefault="00B449D0">
            <w:pPr>
              <w:pStyle w:val="MeasureTableTextRightAlignedBefore6ptAfter1pt"/>
            </w:pPr>
          </w:p>
        </w:tc>
        <w:tc>
          <w:tcPr>
            <w:tcW w:w="850" w:type="dxa"/>
          </w:tcPr>
          <w:p w14:paraId="0695D75A" w14:textId="77777777" w:rsidR="00B449D0" w:rsidRDefault="00B449D0">
            <w:pPr>
              <w:pStyle w:val="MeasureTableTextRightAlignedBefore6ptAfter1pt"/>
            </w:pPr>
          </w:p>
        </w:tc>
      </w:tr>
      <w:tr w:rsidR="00B449D0" w14:paraId="06B7C407" w14:textId="77777777" w:rsidTr="00301E48">
        <w:tc>
          <w:tcPr>
            <w:tcW w:w="3471" w:type="dxa"/>
            <w:vAlign w:val="bottom"/>
          </w:tcPr>
          <w:p w14:paraId="0DDDA8B7" w14:textId="77777777" w:rsidR="00B449D0" w:rsidRDefault="00175344">
            <w:pPr>
              <w:pStyle w:val="SummaryAgencyTitle-BP2"/>
            </w:pPr>
            <w:r>
              <w:t>Department of Education</w:t>
            </w:r>
          </w:p>
        </w:tc>
        <w:tc>
          <w:tcPr>
            <w:tcW w:w="850" w:type="dxa"/>
          </w:tcPr>
          <w:p w14:paraId="0B9E396B" w14:textId="77777777" w:rsidR="00B449D0" w:rsidRDefault="00B449D0">
            <w:pPr>
              <w:pStyle w:val="SummaryAgencyTitle-BP2"/>
            </w:pPr>
          </w:p>
        </w:tc>
        <w:tc>
          <w:tcPr>
            <w:tcW w:w="850" w:type="dxa"/>
            <w:shd w:val="clear" w:color="auto" w:fill="E6F2FF"/>
          </w:tcPr>
          <w:p w14:paraId="500D758B" w14:textId="77777777" w:rsidR="00B449D0" w:rsidRDefault="00B449D0">
            <w:pPr>
              <w:pStyle w:val="SummaryAgencyTitle-BP2"/>
            </w:pPr>
          </w:p>
        </w:tc>
        <w:tc>
          <w:tcPr>
            <w:tcW w:w="850" w:type="dxa"/>
          </w:tcPr>
          <w:p w14:paraId="2F632DC3" w14:textId="77777777" w:rsidR="00B449D0" w:rsidRDefault="00B449D0">
            <w:pPr>
              <w:pStyle w:val="SummaryAgencyTitle-BP2"/>
            </w:pPr>
          </w:p>
        </w:tc>
        <w:tc>
          <w:tcPr>
            <w:tcW w:w="850" w:type="dxa"/>
          </w:tcPr>
          <w:p w14:paraId="0ADF6AA2" w14:textId="77777777" w:rsidR="00B449D0" w:rsidRDefault="00B449D0">
            <w:pPr>
              <w:pStyle w:val="SummaryAgencyTitle-BP2"/>
            </w:pPr>
          </w:p>
        </w:tc>
        <w:tc>
          <w:tcPr>
            <w:tcW w:w="850" w:type="dxa"/>
          </w:tcPr>
          <w:p w14:paraId="380A85B2" w14:textId="77777777" w:rsidR="00B449D0" w:rsidRDefault="00B449D0">
            <w:pPr>
              <w:pStyle w:val="SummaryAgencyTitle-BP2"/>
            </w:pPr>
          </w:p>
        </w:tc>
      </w:tr>
      <w:tr w:rsidR="00B449D0" w14:paraId="501A09FB" w14:textId="77777777" w:rsidTr="00301E48">
        <w:tc>
          <w:tcPr>
            <w:tcW w:w="3471" w:type="dxa"/>
            <w:vAlign w:val="bottom"/>
          </w:tcPr>
          <w:p w14:paraId="52E7E329" w14:textId="77777777" w:rsidR="00B449D0" w:rsidRDefault="00175344">
            <w:pPr>
              <w:pStyle w:val="SummaryMeasureTitlewithTheme"/>
            </w:pPr>
            <w:r>
              <w:t>Assistance for Recent Arrivals from Conflict Zones(b)</w:t>
            </w:r>
          </w:p>
        </w:tc>
        <w:tc>
          <w:tcPr>
            <w:tcW w:w="850" w:type="dxa"/>
            <w:vAlign w:val="bottom"/>
          </w:tcPr>
          <w:p w14:paraId="25027297" w14:textId="731725D1" w:rsidR="00B449D0" w:rsidRDefault="00076D78">
            <w:pPr>
              <w:pStyle w:val="Summarytabletextrightaligned"/>
            </w:pPr>
            <w:r>
              <w:noBreakHyphen/>
            </w:r>
          </w:p>
        </w:tc>
        <w:tc>
          <w:tcPr>
            <w:tcW w:w="850" w:type="dxa"/>
            <w:shd w:val="clear" w:color="auto" w:fill="E6F2FF"/>
            <w:vAlign w:val="bottom"/>
          </w:tcPr>
          <w:p w14:paraId="69F2C466" w14:textId="18D268FB" w:rsidR="00B449D0" w:rsidRDefault="00076D78">
            <w:pPr>
              <w:pStyle w:val="Summarytabletextrightaligned"/>
            </w:pPr>
            <w:r>
              <w:noBreakHyphen/>
            </w:r>
          </w:p>
        </w:tc>
        <w:tc>
          <w:tcPr>
            <w:tcW w:w="850" w:type="dxa"/>
            <w:vAlign w:val="bottom"/>
          </w:tcPr>
          <w:p w14:paraId="21656A14" w14:textId="77777777" w:rsidR="00B449D0" w:rsidRDefault="00175344">
            <w:pPr>
              <w:pStyle w:val="Summarytabletextrightaligned"/>
            </w:pPr>
            <w:r>
              <w:t>..</w:t>
            </w:r>
          </w:p>
        </w:tc>
        <w:tc>
          <w:tcPr>
            <w:tcW w:w="850" w:type="dxa"/>
            <w:vAlign w:val="bottom"/>
          </w:tcPr>
          <w:p w14:paraId="4AA33FC1" w14:textId="77777777" w:rsidR="00B449D0" w:rsidRDefault="00175344">
            <w:pPr>
              <w:pStyle w:val="Summarytabletextrightaligned"/>
            </w:pPr>
            <w:r>
              <w:t>..</w:t>
            </w:r>
          </w:p>
        </w:tc>
        <w:tc>
          <w:tcPr>
            <w:tcW w:w="850" w:type="dxa"/>
            <w:vAlign w:val="bottom"/>
          </w:tcPr>
          <w:p w14:paraId="73D1BBAE" w14:textId="77777777" w:rsidR="00B449D0" w:rsidRDefault="00175344">
            <w:pPr>
              <w:pStyle w:val="Summarytabletextrightaligned"/>
            </w:pPr>
            <w:r>
              <w:t>..</w:t>
            </w:r>
          </w:p>
        </w:tc>
      </w:tr>
      <w:tr w:rsidR="00B449D0" w14:paraId="3F004F56" w14:textId="77777777" w:rsidTr="00301E48">
        <w:tc>
          <w:tcPr>
            <w:tcW w:w="3471" w:type="dxa"/>
            <w:vAlign w:val="bottom"/>
          </w:tcPr>
          <w:p w14:paraId="11FDC11F" w14:textId="77777777" w:rsidR="00B449D0" w:rsidRDefault="00175344">
            <w:pPr>
              <w:pStyle w:val="SummaryMeasureTitlewithTheme"/>
            </w:pPr>
            <w:r>
              <w:t>Australian Universities Accord ‑ further reforms(b)</w:t>
            </w:r>
          </w:p>
        </w:tc>
        <w:tc>
          <w:tcPr>
            <w:tcW w:w="850" w:type="dxa"/>
            <w:vAlign w:val="bottom"/>
          </w:tcPr>
          <w:p w14:paraId="4EE67B0F" w14:textId="6450CEA3" w:rsidR="00B449D0" w:rsidRDefault="00076D78">
            <w:pPr>
              <w:pStyle w:val="Summarytabletextrightaligned"/>
            </w:pPr>
            <w:r>
              <w:noBreakHyphen/>
            </w:r>
          </w:p>
        </w:tc>
        <w:tc>
          <w:tcPr>
            <w:tcW w:w="850" w:type="dxa"/>
            <w:shd w:val="clear" w:color="auto" w:fill="E6F2FF"/>
            <w:vAlign w:val="bottom"/>
          </w:tcPr>
          <w:p w14:paraId="7B0BBC26" w14:textId="201B37B2" w:rsidR="00B449D0" w:rsidRDefault="00076D78">
            <w:pPr>
              <w:pStyle w:val="Summarytabletextrightaligned"/>
            </w:pPr>
            <w:r>
              <w:noBreakHyphen/>
            </w:r>
          </w:p>
        </w:tc>
        <w:tc>
          <w:tcPr>
            <w:tcW w:w="850" w:type="dxa"/>
            <w:vAlign w:val="bottom"/>
          </w:tcPr>
          <w:p w14:paraId="0C3DE582" w14:textId="2A7EB8E0" w:rsidR="00B449D0" w:rsidRDefault="00076D78">
            <w:pPr>
              <w:pStyle w:val="Summarytabletextrightaligned"/>
            </w:pPr>
            <w:r>
              <w:noBreakHyphen/>
            </w:r>
            <w:r w:rsidR="00175344">
              <w:t>0.9</w:t>
            </w:r>
          </w:p>
        </w:tc>
        <w:tc>
          <w:tcPr>
            <w:tcW w:w="850" w:type="dxa"/>
            <w:vAlign w:val="bottom"/>
          </w:tcPr>
          <w:p w14:paraId="3D9A6EB0" w14:textId="1083D9AB" w:rsidR="00B449D0" w:rsidRDefault="00076D78">
            <w:pPr>
              <w:pStyle w:val="Summarytabletextrightaligned"/>
            </w:pPr>
            <w:r>
              <w:noBreakHyphen/>
            </w:r>
            <w:r w:rsidR="00175344">
              <w:t>2.6</w:t>
            </w:r>
          </w:p>
        </w:tc>
        <w:tc>
          <w:tcPr>
            <w:tcW w:w="850" w:type="dxa"/>
            <w:vAlign w:val="bottom"/>
          </w:tcPr>
          <w:p w14:paraId="68953432" w14:textId="5CD775DE" w:rsidR="00B449D0" w:rsidRDefault="00076D78">
            <w:pPr>
              <w:pStyle w:val="Summarytabletextrightaligned"/>
            </w:pPr>
            <w:r>
              <w:noBreakHyphen/>
            </w:r>
            <w:r w:rsidR="00175344">
              <w:t>4.7</w:t>
            </w:r>
          </w:p>
        </w:tc>
      </w:tr>
      <w:tr w:rsidR="00B449D0" w14:paraId="66C5AEA5" w14:textId="77777777" w:rsidTr="00301E48">
        <w:tc>
          <w:tcPr>
            <w:tcW w:w="3471" w:type="dxa"/>
            <w:vAlign w:val="bottom"/>
          </w:tcPr>
          <w:p w14:paraId="09F062AC" w14:textId="507B60E6" w:rsidR="00B449D0" w:rsidRDefault="00175344">
            <w:pPr>
              <w:pStyle w:val="SummaryMeasureTitlewithTheme"/>
            </w:pPr>
            <w:r>
              <w:t>Building Australia</w:t>
            </w:r>
            <w:r w:rsidR="00076D78">
              <w:t>’</w:t>
            </w:r>
            <w:r>
              <w:t>s Future – A fairer deal for students(b)</w:t>
            </w:r>
          </w:p>
        </w:tc>
        <w:tc>
          <w:tcPr>
            <w:tcW w:w="850" w:type="dxa"/>
            <w:vAlign w:val="bottom"/>
          </w:tcPr>
          <w:p w14:paraId="66061E73" w14:textId="159B27AE" w:rsidR="00B449D0" w:rsidRDefault="00076D78">
            <w:pPr>
              <w:pStyle w:val="Summarytabletextrightaligned"/>
            </w:pPr>
            <w:r>
              <w:noBreakHyphen/>
            </w:r>
          </w:p>
        </w:tc>
        <w:tc>
          <w:tcPr>
            <w:tcW w:w="850" w:type="dxa"/>
            <w:shd w:val="clear" w:color="auto" w:fill="E6F2FF"/>
            <w:vAlign w:val="bottom"/>
          </w:tcPr>
          <w:p w14:paraId="13CB03F0" w14:textId="55465E38" w:rsidR="00B449D0" w:rsidRDefault="00076D78">
            <w:pPr>
              <w:pStyle w:val="Summarytabletextrightaligned"/>
            </w:pPr>
            <w:r>
              <w:noBreakHyphen/>
            </w:r>
            <w:r w:rsidR="00175344">
              <w:t>152.6</w:t>
            </w:r>
          </w:p>
        </w:tc>
        <w:tc>
          <w:tcPr>
            <w:tcW w:w="850" w:type="dxa"/>
            <w:vAlign w:val="bottom"/>
          </w:tcPr>
          <w:p w14:paraId="6E62BFB6" w14:textId="267C4485" w:rsidR="00B449D0" w:rsidRDefault="00076D78">
            <w:pPr>
              <w:pStyle w:val="Summarytabletextrightaligned"/>
            </w:pPr>
            <w:r>
              <w:noBreakHyphen/>
            </w:r>
            <w:r w:rsidR="00175344">
              <w:t>197.2</w:t>
            </w:r>
          </w:p>
        </w:tc>
        <w:tc>
          <w:tcPr>
            <w:tcW w:w="850" w:type="dxa"/>
            <w:vAlign w:val="bottom"/>
          </w:tcPr>
          <w:p w14:paraId="5D61ABCA" w14:textId="01210DDE" w:rsidR="00B449D0" w:rsidRDefault="00076D78">
            <w:pPr>
              <w:pStyle w:val="Summarytabletextrightaligned"/>
            </w:pPr>
            <w:r>
              <w:noBreakHyphen/>
            </w:r>
            <w:r w:rsidR="00175344">
              <w:t>203.5</w:t>
            </w:r>
          </w:p>
        </w:tc>
        <w:tc>
          <w:tcPr>
            <w:tcW w:w="850" w:type="dxa"/>
            <w:vAlign w:val="bottom"/>
          </w:tcPr>
          <w:p w14:paraId="07085C32" w14:textId="4B7F9A85" w:rsidR="00B449D0" w:rsidRDefault="00076D78">
            <w:pPr>
              <w:pStyle w:val="Summarytabletextrightaligned"/>
            </w:pPr>
            <w:r>
              <w:noBreakHyphen/>
            </w:r>
            <w:r w:rsidR="00175344">
              <w:t>215.1</w:t>
            </w:r>
          </w:p>
        </w:tc>
      </w:tr>
      <w:tr w:rsidR="00B449D0" w14:paraId="68B20D67" w14:textId="77777777" w:rsidTr="00301E48">
        <w:tc>
          <w:tcPr>
            <w:tcW w:w="3471" w:type="dxa"/>
            <w:vAlign w:val="bottom"/>
          </w:tcPr>
          <w:p w14:paraId="48C9F0E5" w14:textId="77777777" w:rsidR="00B449D0" w:rsidRDefault="00175344">
            <w:pPr>
              <w:pStyle w:val="SummaryAgencyTitle-BP2"/>
            </w:pPr>
            <w:r>
              <w:t>Tertiary Education Quality and Standards Agency</w:t>
            </w:r>
          </w:p>
        </w:tc>
        <w:tc>
          <w:tcPr>
            <w:tcW w:w="850" w:type="dxa"/>
          </w:tcPr>
          <w:p w14:paraId="062B4BD3" w14:textId="77777777" w:rsidR="00B449D0" w:rsidRDefault="00B449D0">
            <w:pPr>
              <w:pStyle w:val="SummaryAgencyTitle-BP2"/>
            </w:pPr>
          </w:p>
        </w:tc>
        <w:tc>
          <w:tcPr>
            <w:tcW w:w="850" w:type="dxa"/>
            <w:shd w:val="clear" w:color="auto" w:fill="E6F2FF"/>
          </w:tcPr>
          <w:p w14:paraId="46088DD5" w14:textId="77777777" w:rsidR="00B449D0" w:rsidRDefault="00B449D0">
            <w:pPr>
              <w:pStyle w:val="SummaryAgencyTitle-BP2"/>
            </w:pPr>
          </w:p>
        </w:tc>
        <w:tc>
          <w:tcPr>
            <w:tcW w:w="850" w:type="dxa"/>
          </w:tcPr>
          <w:p w14:paraId="5135F65A" w14:textId="77777777" w:rsidR="00B449D0" w:rsidRDefault="00B449D0">
            <w:pPr>
              <w:pStyle w:val="SummaryAgencyTitle-BP2"/>
            </w:pPr>
          </w:p>
        </w:tc>
        <w:tc>
          <w:tcPr>
            <w:tcW w:w="850" w:type="dxa"/>
          </w:tcPr>
          <w:p w14:paraId="1E38A999" w14:textId="77777777" w:rsidR="00B449D0" w:rsidRDefault="00B449D0">
            <w:pPr>
              <w:pStyle w:val="SummaryAgencyTitle-BP2"/>
            </w:pPr>
          </w:p>
        </w:tc>
        <w:tc>
          <w:tcPr>
            <w:tcW w:w="850" w:type="dxa"/>
          </w:tcPr>
          <w:p w14:paraId="7ECF1052" w14:textId="77777777" w:rsidR="00B449D0" w:rsidRDefault="00B449D0">
            <w:pPr>
              <w:pStyle w:val="SummaryAgencyTitle-BP2"/>
            </w:pPr>
          </w:p>
        </w:tc>
      </w:tr>
      <w:tr w:rsidR="00B449D0" w14:paraId="0AD3B27E" w14:textId="77777777" w:rsidTr="00301E48">
        <w:tc>
          <w:tcPr>
            <w:tcW w:w="3471" w:type="dxa"/>
            <w:vAlign w:val="bottom"/>
          </w:tcPr>
          <w:p w14:paraId="11B90CC0" w14:textId="77777777" w:rsidR="00B449D0" w:rsidRDefault="00175344">
            <w:pPr>
              <w:pStyle w:val="SummaryMeasureTitlewithTheme"/>
            </w:pPr>
            <w:r>
              <w:t>Australian Universities Accord ‑ further reforms(b)</w:t>
            </w:r>
          </w:p>
        </w:tc>
        <w:tc>
          <w:tcPr>
            <w:tcW w:w="850" w:type="dxa"/>
            <w:vAlign w:val="bottom"/>
          </w:tcPr>
          <w:p w14:paraId="032ADD8C" w14:textId="369B960C" w:rsidR="00B449D0" w:rsidRDefault="00076D78">
            <w:pPr>
              <w:pStyle w:val="Summarytabletextrightaligned"/>
            </w:pPr>
            <w:r>
              <w:noBreakHyphen/>
            </w:r>
          </w:p>
        </w:tc>
        <w:tc>
          <w:tcPr>
            <w:tcW w:w="850" w:type="dxa"/>
            <w:shd w:val="clear" w:color="auto" w:fill="E6F2FF"/>
            <w:vAlign w:val="bottom"/>
          </w:tcPr>
          <w:p w14:paraId="1E81F564" w14:textId="77777777" w:rsidR="00B449D0" w:rsidRDefault="00175344">
            <w:pPr>
              <w:pStyle w:val="Summarytabletextrightaligned"/>
            </w:pPr>
            <w:r>
              <w:t>1.5</w:t>
            </w:r>
          </w:p>
        </w:tc>
        <w:tc>
          <w:tcPr>
            <w:tcW w:w="850" w:type="dxa"/>
            <w:vAlign w:val="bottom"/>
          </w:tcPr>
          <w:p w14:paraId="7AAFB347" w14:textId="77777777" w:rsidR="00B449D0" w:rsidRDefault="00175344">
            <w:pPr>
              <w:pStyle w:val="Summarytabletextrightaligned"/>
            </w:pPr>
            <w:r>
              <w:t>1.5</w:t>
            </w:r>
          </w:p>
        </w:tc>
        <w:tc>
          <w:tcPr>
            <w:tcW w:w="850" w:type="dxa"/>
            <w:vAlign w:val="bottom"/>
          </w:tcPr>
          <w:p w14:paraId="417D933E" w14:textId="77777777" w:rsidR="00B449D0" w:rsidRDefault="00175344">
            <w:pPr>
              <w:pStyle w:val="Summarytabletextrightaligned"/>
            </w:pPr>
            <w:r>
              <w:t>1.5</w:t>
            </w:r>
          </w:p>
        </w:tc>
        <w:tc>
          <w:tcPr>
            <w:tcW w:w="850" w:type="dxa"/>
            <w:vAlign w:val="bottom"/>
          </w:tcPr>
          <w:p w14:paraId="09869375" w14:textId="77777777" w:rsidR="00B449D0" w:rsidRDefault="00175344">
            <w:pPr>
              <w:pStyle w:val="Summarytabletextrightaligned"/>
            </w:pPr>
            <w:r>
              <w:t>1.5</w:t>
            </w:r>
          </w:p>
        </w:tc>
      </w:tr>
      <w:tr w:rsidR="00B449D0" w14:paraId="6EC4D413" w14:textId="77777777" w:rsidTr="00301E48">
        <w:tc>
          <w:tcPr>
            <w:tcW w:w="3471" w:type="dxa"/>
            <w:vAlign w:val="bottom"/>
          </w:tcPr>
          <w:p w14:paraId="76734E15" w14:textId="77777777" w:rsidR="00B449D0" w:rsidRDefault="00175344">
            <w:pPr>
              <w:pStyle w:val="Summarytabletextleftalignedbold"/>
            </w:pPr>
            <w:r>
              <w:t>Portfolio total</w:t>
            </w:r>
          </w:p>
        </w:tc>
        <w:tc>
          <w:tcPr>
            <w:tcW w:w="850" w:type="dxa"/>
            <w:tcBorders>
              <w:top w:val="single" w:sz="4" w:space="0" w:color="000000"/>
              <w:bottom w:val="single" w:sz="4" w:space="0" w:color="000000"/>
            </w:tcBorders>
            <w:vAlign w:val="bottom"/>
          </w:tcPr>
          <w:p w14:paraId="40877251" w14:textId="43509171" w:rsidR="00B449D0" w:rsidRDefault="00076D78">
            <w:pPr>
              <w:pStyle w:val="Summarytabletextrightalignedbold"/>
            </w:pPr>
            <w:r>
              <w:noBreakHyphen/>
            </w:r>
          </w:p>
        </w:tc>
        <w:tc>
          <w:tcPr>
            <w:tcW w:w="850" w:type="dxa"/>
            <w:tcBorders>
              <w:top w:val="single" w:sz="4" w:space="0" w:color="000000"/>
              <w:bottom w:val="single" w:sz="4" w:space="0" w:color="000000"/>
            </w:tcBorders>
            <w:shd w:val="clear" w:color="auto" w:fill="E6F2FF"/>
            <w:vAlign w:val="bottom"/>
          </w:tcPr>
          <w:p w14:paraId="27395C7A" w14:textId="65053D3D" w:rsidR="00B449D0" w:rsidRDefault="00076D78">
            <w:pPr>
              <w:pStyle w:val="Summarytabletextrightalignedbold"/>
            </w:pPr>
            <w:r>
              <w:noBreakHyphen/>
            </w:r>
            <w:r w:rsidR="00175344">
              <w:t>151.1</w:t>
            </w:r>
          </w:p>
        </w:tc>
        <w:tc>
          <w:tcPr>
            <w:tcW w:w="850" w:type="dxa"/>
            <w:tcBorders>
              <w:top w:val="single" w:sz="4" w:space="0" w:color="000000"/>
              <w:bottom w:val="single" w:sz="4" w:space="0" w:color="000000"/>
            </w:tcBorders>
            <w:vAlign w:val="bottom"/>
          </w:tcPr>
          <w:p w14:paraId="5E9D7FFF" w14:textId="6C564975" w:rsidR="00B449D0" w:rsidRDefault="00076D78">
            <w:pPr>
              <w:pStyle w:val="Summarytabletextrightalignedbold"/>
            </w:pPr>
            <w:r>
              <w:noBreakHyphen/>
            </w:r>
            <w:r w:rsidR="00175344">
              <w:t>196.6</w:t>
            </w:r>
          </w:p>
        </w:tc>
        <w:tc>
          <w:tcPr>
            <w:tcW w:w="850" w:type="dxa"/>
            <w:tcBorders>
              <w:top w:val="single" w:sz="4" w:space="0" w:color="000000"/>
              <w:bottom w:val="single" w:sz="4" w:space="0" w:color="000000"/>
            </w:tcBorders>
            <w:vAlign w:val="bottom"/>
          </w:tcPr>
          <w:p w14:paraId="5B444502" w14:textId="34E90EF9" w:rsidR="00B449D0" w:rsidRDefault="00076D78">
            <w:pPr>
              <w:pStyle w:val="Summarytabletextrightalignedbold"/>
            </w:pPr>
            <w:r>
              <w:noBreakHyphen/>
            </w:r>
            <w:r w:rsidR="00175344">
              <w:t>204.6</w:t>
            </w:r>
          </w:p>
        </w:tc>
        <w:tc>
          <w:tcPr>
            <w:tcW w:w="850" w:type="dxa"/>
            <w:tcBorders>
              <w:top w:val="single" w:sz="4" w:space="0" w:color="000000"/>
              <w:bottom w:val="single" w:sz="4" w:space="0" w:color="000000"/>
            </w:tcBorders>
            <w:vAlign w:val="bottom"/>
          </w:tcPr>
          <w:p w14:paraId="651842BA" w14:textId="77C8F8D8" w:rsidR="00B449D0" w:rsidRDefault="00076D78">
            <w:pPr>
              <w:pStyle w:val="Summarytabletextrightalignedbold"/>
            </w:pPr>
            <w:r>
              <w:noBreakHyphen/>
            </w:r>
            <w:r w:rsidR="00175344">
              <w:t>218.2</w:t>
            </w:r>
          </w:p>
        </w:tc>
      </w:tr>
      <w:tr w:rsidR="00B449D0" w14:paraId="106F544F" w14:textId="77777777" w:rsidTr="00301E48">
        <w:tc>
          <w:tcPr>
            <w:tcW w:w="3471" w:type="dxa"/>
            <w:vAlign w:val="bottom"/>
          </w:tcPr>
          <w:p w14:paraId="1008DC6F" w14:textId="77777777" w:rsidR="00B449D0" w:rsidRDefault="00175344">
            <w:pPr>
              <w:pStyle w:val="SummaryPortfolioTitle-BP2"/>
            </w:pPr>
            <w:r>
              <w:t>EMPLOYMENT AND WORKPLACE RELATIONS</w:t>
            </w:r>
          </w:p>
        </w:tc>
        <w:tc>
          <w:tcPr>
            <w:tcW w:w="850" w:type="dxa"/>
          </w:tcPr>
          <w:p w14:paraId="3EFD47CB" w14:textId="77777777" w:rsidR="00B449D0" w:rsidRDefault="00B449D0">
            <w:pPr>
              <w:pStyle w:val="MeasureTableTextRightAlignedBefore6ptAfter1pt"/>
            </w:pPr>
          </w:p>
        </w:tc>
        <w:tc>
          <w:tcPr>
            <w:tcW w:w="850" w:type="dxa"/>
            <w:shd w:val="clear" w:color="auto" w:fill="E6F2FF"/>
          </w:tcPr>
          <w:p w14:paraId="15B81CCD" w14:textId="77777777" w:rsidR="00B449D0" w:rsidRDefault="00B449D0">
            <w:pPr>
              <w:pStyle w:val="MeasureTableTextRightAlignedBefore6ptAfter1pt"/>
            </w:pPr>
          </w:p>
        </w:tc>
        <w:tc>
          <w:tcPr>
            <w:tcW w:w="850" w:type="dxa"/>
          </w:tcPr>
          <w:p w14:paraId="5335A715" w14:textId="77777777" w:rsidR="00B449D0" w:rsidRDefault="00B449D0">
            <w:pPr>
              <w:pStyle w:val="MeasureTableTextRightAlignedBefore6ptAfter1pt"/>
            </w:pPr>
          </w:p>
        </w:tc>
        <w:tc>
          <w:tcPr>
            <w:tcW w:w="850" w:type="dxa"/>
          </w:tcPr>
          <w:p w14:paraId="4C57BCD3" w14:textId="77777777" w:rsidR="00B449D0" w:rsidRDefault="00B449D0">
            <w:pPr>
              <w:pStyle w:val="MeasureTableTextRightAlignedBefore6ptAfter1pt"/>
            </w:pPr>
          </w:p>
        </w:tc>
        <w:tc>
          <w:tcPr>
            <w:tcW w:w="850" w:type="dxa"/>
          </w:tcPr>
          <w:p w14:paraId="5CF3CF94" w14:textId="77777777" w:rsidR="00B449D0" w:rsidRDefault="00B449D0">
            <w:pPr>
              <w:pStyle w:val="MeasureTableTextRightAlignedBefore6ptAfter1pt"/>
            </w:pPr>
          </w:p>
        </w:tc>
      </w:tr>
      <w:tr w:rsidR="00B449D0" w14:paraId="38A681BF" w14:textId="77777777" w:rsidTr="00301E48">
        <w:tc>
          <w:tcPr>
            <w:tcW w:w="3471" w:type="dxa"/>
            <w:vAlign w:val="bottom"/>
          </w:tcPr>
          <w:p w14:paraId="1A0211A0" w14:textId="77777777" w:rsidR="00B449D0" w:rsidRDefault="00175344">
            <w:pPr>
              <w:pStyle w:val="SummaryAgencyTitle-BP2"/>
            </w:pPr>
            <w:r>
              <w:t>Department of Employment and Workplace Relations</w:t>
            </w:r>
          </w:p>
        </w:tc>
        <w:tc>
          <w:tcPr>
            <w:tcW w:w="850" w:type="dxa"/>
          </w:tcPr>
          <w:p w14:paraId="5C6AE012" w14:textId="77777777" w:rsidR="00B449D0" w:rsidRDefault="00B449D0">
            <w:pPr>
              <w:pStyle w:val="SummaryAgencyTitle-BP2"/>
            </w:pPr>
          </w:p>
        </w:tc>
        <w:tc>
          <w:tcPr>
            <w:tcW w:w="850" w:type="dxa"/>
            <w:shd w:val="clear" w:color="auto" w:fill="E6F2FF"/>
          </w:tcPr>
          <w:p w14:paraId="0B22EE2E" w14:textId="77777777" w:rsidR="00B449D0" w:rsidRDefault="00B449D0">
            <w:pPr>
              <w:pStyle w:val="SummaryAgencyTitle-BP2"/>
            </w:pPr>
          </w:p>
        </w:tc>
        <w:tc>
          <w:tcPr>
            <w:tcW w:w="850" w:type="dxa"/>
          </w:tcPr>
          <w:p w14:paraId="561813CE" w14:textId="77777777" w:rsidR="00B449D0" w:rsidRDefault="00B449D0">
            <w:pPr>
              <w:pStyle w:val="SummaryAgencyTitle-BP2"/>
            </w:pPr>
          </w:p>
        </w:tc>
        <w:tc>
          <w:tcPr>
            <w:tcW w:w="850" w:type="dxa"/>
          </w:tcPr>
          <w:p w14:paraId="74BCAF68" w14:textId="77777777" w:rsidR="00B449D0" w:rsidRDefault="00B449D0">
            <w:pPr>
              <w:pStyle w:val="SummaryAgencyTitle-BP2"/>
            </w:pPr>
          </w:p>
        </w:tc>
        <w:tc>
          <w:tcPr>
            <w:tcW w:w="850" w:type="dxa"/>
          </w:tcPr>
          <w:p w14:paraId="05A2265D" w14:textId="77777777" w:rsidR="00B449D0" w:rsidRDefault="00B449D0">
            <w:pPr>
              <w:pStyle w:val="SummaryAgencyTitle-BP2"/>
            </w:pPr>
          </w:p>
        </w:tc>
      </w:tr>
      <w:tr w:rsidR="00B449D0" w14:paraId="3A83BFFC" w14:textId="77777777" w:rsidTr="00301E48">
        <w:tc>
          <w:tcPr>
            <w:tcW w:w="3471" w:type="dxa"/>
            <w:vAlign w:val="bottom"/>
          </w:tcPr>
          <w:p w14:paraId="66CC4C8F" w14:textId="67EE42EA" w:rsidR="00B449D0" w:rsidRDefault="00175344">
            <w:pPr>
              <w:pStyle w:val="SummaryMeasureTitlewithTheme"/>
            </w:pPr>
            <w:r>
              <w:t>Building Australia</w:t>
            </w:r>
            <w:r w:rsidR="00076D78">
              <w:t>’</w:t>
            </w:r>
            <w:r>
              <w:t>s Future – A fairer deal for students(b)</w:t>
            </w:r>
          </w:p>
        </w:tc>
        <w:tc>
          <w:tcPr>
            <w:tcW w:w="850" w:type="dxa"/>
            <w:vAlign w:val="bottom"/>
          </w:tcPr>
          <w:p w14:paraId="46A1F16D" w14:textId="27C69545" w:rsidR="00B449D0" w:rsidRDefault="00076D78">
            <w:pPr>
              <w:pStyle w:val="Summarytabletextrightaligned"/>
            </w:pPr>
            <w:r>
              <w:noBreakHyphen/>
            </w:r>
          </w:p>
        </w:tc>
        <w:tc>
          <w:tcPr>
            <w:tcW w:w="850" w:type="dxa"/>
            <w:shd w:val="clear" w:color="auto" w:fill="E6F2FF"/>
            <w:vAlign w:val="bottom"/>
          </w:tcPr>
          <w:p w14:paraId="4DB7B684" w14:textId="6563060E" w:rsidR="00B449D0" w:rsidRDefault="00076D78">
            <w:pPr>
              <w:pStyle w:val="Summarytabletextrightaligned"/>
            </w:pPr>
            <w:r>
              <w:noBreakHyphen/>
            </w:r>
            <w:r w:rsidR="00175344">
              <w:t>19.9</w:t>
            </w:r>
          </w:p>
        </w:tc>
        <w:tc>
          <w:tcPr>
            <w:tcW w:w="850" w:type="dxa"/>
            <w:vAlign w:val="bottom"/>
          </w:tcPr>
          <w:p w14:paraId="1BE1D094" w14:textId="5AF99044" w:rsidR="00B449D0" w:rsidRDefault="00076D78">
            <w:pPr>
              <w:pStyle w:val="Summarytabletextrightaligned"/>
            </w:pPr>
            <w:r>
              <w:noBreakHyphen/>
            </w:r>
            <w:r w:rsidR="00175344">
              <w:t>40.5</w:t>
            </w:r>
          </w:p>
        </w:tc>
        <w:tc>
          <w:tcPr>
            <w:tcW w:w="850" w:type="dxa"/>
            <w:vAlign w:val="bottom"/>
          </w:tcPr>
          <w:p w14:paraId="410B8373" w14:textId="7A4CE307" w:rsidR="00B449D0" w:rsidRDefault="00076D78">
            <w:pPr>
              <w:pStyle w:val="Summarytabletextrightaligned"/>
            </w:pPr>
            <w:r>
              <w:noBreakHyphen/>
            </w:r>
            <w:r w:rsidR="00175344">
              <w:t>40.4</w:t>
            </w:r>
          </w:p>
        </w:tc>
        <w:tc>
          <w:tcPr>
            <w:tcW w:w="850" w:type="dxa"/>
            <w:vAlign w:val="bottom"/>
          </w:tcPr>
          <w:p w14:paraId="71BEA9C4" w14:textId="2C12475C" w:rsidR="00B449D0" w:rsidRDefault="00076D78">
            <w:pPr>
              <w:pStyle w:val="Summarytabletextrightaligned"/>
            </w:pPr>
            <w:r>
              <w:noBreakHyphen/>
            </w:r>
            <w:r w:rsidR="00175344">
              <w:t>41.8</w:t>
            </w:r>
          </w:p>
        </w:tc>
      </w:tr>
      <w:tr w:rsidR="00B449D0" w14:paraId="498D09FE" w14:textId="77777777" w:rsidTr="00301E48">
        <w:tc>
          <w:tcPr>
            <w:tcW w:w="3471" w:type="dxa"/>
            <w:vAlign w:val="bottom"/>
          </w:tcPr>
          <w:p w14:paraId="6B690315" w14:textId="77777777" w:rsidR="00B449D0" w:rsidRDefault="00175344">
            <w:pPr>
              <w:pStyle w:val="Summarytabletextleftalignedbold"/>
            </w:pPr>
            <w:r>
              <w:t>Portfolio total</w:t>
            </w:r>
          </w:p>
        </w:tc>
        <w:tc>
          <w:tcPr>
            <w:tcW w:w="850" w:type="dxa"/>
            <w:tcBorders>
              <w:top w:val="single" w:sz="4" w:space="0" w:color="000000"/>
              <w:bottom w:val="single" w:sz="4" w:space="0" w:color="000000"/>
            </w:tcBorders>
            <w:vAlign w:val="bottom"/>
          </w:tcPr>
          <w:p w14:paraId="36A822FB" w14:textId="7703314E" w:rsidR="00B449D0" w:rsidRDefault="00076D78">
            <w:pPr>
              <w:pStyle w:val="Summarytabletextrightalignedbold"/>
            </w:pPr>
            <w:r>
              <w:noBreakHyphen/>
            </w:r>
          </w:p>
        </w:tc>
        <w:tc>
          <w:tcPr>
            <w:tcW w:w="850" w:type="dxa"/>
            <w:tcBorders>
              <w:top w:val="single" w:sz="4" w:space="0" w:color="000000"/>
              <w:bottom w:val="single" w:sz="4" w:space="0" w:color="000000"/>
            </w:tcBorders>
            <w:shd w:val="clear" w:color="auto" w:fill="E6F2FF"/>
            <w:vAlign w:val="bottom"/>
          </w:tcPr>
          <w:p w14:paraId="6B52D5D1" w14:textId="78D0E9E9" w:rsidR="00B449D0" w:rsidRDefault="00076D78">
            <w:pPr>
              <w:pStyle w:val="Summarytabletextrightalignedbold"/>
            </w:pPr>
            <w:r>
              <w:noBreakHyphen/>
            </w:r>
            <w:r w:rsidR="00175344">
              <w:t>19.9</w:t>
            </w:r>
          </w:p>
        </w:tc>
        <w:tc>
          <w:tcPr>
            <w:tcW w:w="850" w:type="dxa"/>
            <w:tcBorders>
              <w:top w:val="single" w:sz="4" w:space="0" w:color="000000"/>
              <w:bottom w:val="single" w:sz="4" w:space="0" w:color="000000"/>
            </w:tcBorders>
            <w:vAlign w:val="bottom"/>
          </w:tcPr>
          <w:p w14:paraId="63E19C93" w14:textId="078867B8" w:rsidR="00B449D0" w:rsidRDefault="00076D78">
            <w:pPr>
              <w:pStyle w:val="Summarytabletextrightalignedbold"/>
            </w:pPr>
            <w:r>
              <w:noBreakHyphen/>
            </w:r>
            <w:r w:rsidR="00175344">
              <w:t>40.5</w:t>
            </w:r>
          </w:p>
        </w:tc>
        <w:tc>
          <w:tcPr>
            <w:tcW w:w="850" w:type="dxa"/>
            <w:tcBorders>
              <w:top w:val="single" w:sz="4" w:space="0" w:color="000000"/>
              <w:bottom w:val="single" w:sz="4" w:space="0" w:color="000000"/>
            </w:tcBorders>
            <w:vAlign w:val="bottom"/>
          </w:tcPr>
          <w:p w14:paraId="614091BC" w14:textId="68C430A7" w:rsidR="00B449D0" w:rsidRDefault="00076D78">
            <w:pPr>
              <w:pStyle w:val="Summarytabletextrightalignedbold"/>
            </w:pPr>
            <w:r>
              <w:noBreakHyphen/>
            </w:r>
            <w:r w:rsidR="00175344">
              <w:t>40.4</w:t>
            </w:r>
          </w:p>
        </w:tc>
        <w:tc>
          <w:tcPr>
            <w:tcW w:w="850" w:type="dxa"/>
            <w:tcBorders>
              <w:top w:val="single" w:sz="4" w:space="0" w:color="000000"/>
              <w:bottom w:val="single" w:sz="4" w:space="0" w:color="000000"/>
            </w:tcBorders>
            <w:vAlign w:val="bottom"/>
          </w:tcPr>
          <w:p w14:paraId="0523CD71" w14:textId="044CA262" w:rsidR="00B449D0" w:rsidRDefault="00076D78">
            <w:pPr>
              <w:pStyle w:val="Summarytabletextrightalignedbold"/>
            </w:pPr>
            <w:r>
              <w:noBreakHyphen/>
            </w:r>
            <w:r w:rsidR="00175344">
              <w:t>41.8</w:t>
            </w:r>
          </w:p>
        </w:tc>
      </w:tr>
    </w:tbl>
    <w:p w14:paraId="6F023DD7" w14:textId="77777777" w:rsidR="00301E48" w:rsidRDefault="00301E48" w:rsidP="006D68AC">
      <w:pPr>
        <w:pStyle w:val="SingleParagraph0"/>
        <w:sectPr w:rsidR="00301E48" w:rsidSect="000F545B">
          <w:headerReference w:type="even" r:id="rId7"/>
          <w:headerReference w:type="default" r:id="rId8"/>
          <w:footerReference w:type="even" r:id="rId9"/>
          <w:footerReference w:type="default" r:id="rId10"/>
          <w:footerReference w:type="first" r:id="rId11"/>
          <w:endnotePr>
            <w:numFmt w:val="lowerLetter"/>
            <w:numRestart w:val="eachSect"/>
          </w:endnotePr>
          <w:pgSz w:w="11906" w:h="16838" w:code="9"/>
          <w:pgMar w:top="2835" w:right="2098" w:bottom="2466" w:left="2098" w:header="1814" w:footer="1814" w:gutter="0"/>
          <w:pgNumType w:start="183"/>
          <w:cols w:space="720"/>
          <w:noEndnote/>
          <w:titlePg/>
          <w:docGrid w:linePitch="272"/>
        </w:sectPr>
      </w:pPr>
    </w:p>
    <w:p w14:paraId="440B59AA" w14:textId="49838BD2" w:rsidR="00301E48" w:rsidRDefault="00301E48" w:rsidP="00272FED">
      <w:pPr>
        <w:pStyle w:val="TableHeadingcontinued"/>
      </w:pPr>
      <w:r>
        <w:lastRenderedPageBreak/>
        <w:t xml:space="preserve">Table </w:t>
      </w:r>
      <w:r w:rsidR="006E0A94">
        <w:t>A.</w:t>
      </w:r>
      <w:r>
        <w:t xml:space="preserve">1: </w:t>
      </w:r>
      <w:r w:rsidRPr="00272FED">
        <w:t>Receipt</w:t>
      </w:r>
      <w:r>
        <w:t xml:space="preserve"> measures since the 2024–25 Budget</w:t>
      </w:r>
      <w:r>
        <w:rPr>
          <w:rFonts w:ascii="Cambria Math" w:hAnsi="Cambria Math" w:cs="Cambria Math"/>
        </w:rPr>
        <w:t>⁽</w:t>
      </w:r>
      <w:r>
        <w:rPr>
          <w:rFonts w:cs="Arial"/>
        </w:rPr>
        <w:t>ª</w:t>
      </w:r>
      <w:r>
        <w:rPr>
          <w:rFonts w:ascii="Cambria Math" w:hAnsi="Cambria Math" w:cs="Cambria Math"/>
        </w:rPr>
        <w:t>⁾</w:t>
      </w:r>
      <w:r>
        <w:t xml:space="preserve"> (continued)</w:t>
      </w:r>
    </w:p>
    <w:tbl>
      <w:tblPr>
        <w:tblOverlap w:val="never"/>
        <w:tblW w:w="7721" w:type="dxa"/>
        <w:tblBorders>
          <w:top w:val="single" w:sz="4" w:space="0" w:color="000000"/>
          <w:bottom w:val="single" w:sz="4" w:space="0" w:color="000000"/>
        </w:tblBorders>
        <w:tblLayout w:type="fixed"/>
        <w:tblCellMar>
          <w:left w:w="0" w:type="dxa"/>
          <w:right w:w="56" w:type="dxa"/>
        </w:tblCellMar>
        <w:tblLook w:val="04A0" w:firstRow="1" w:lastRow="0" w:firstColumn="1" w:lastColumn="0" w:noHBand="0" w:noVBand="1"/>
      </w:tblPr>
      <w:tblGrid>
        <w:gridCol w:w="3471"/>
        <w:gridCol w:w="850"/>
        <w:gridCol w:w="850"/>
        <w:gridCol w:w="850"/>
        <w:gridCol w:w="850"/>
        <w:gridCol w:w="850"/>
      </w:tblGrid>
      <w:tr w:rsidR="00301E48" w14:paraId="47C09222" w14:textId="77777777" w:rsidTr="6083684C">
        <w:tc>
          <w:tcPr>
            <w:tcW w:w="3471" w:type="dxa"/>
            <w:vAlign w:val="bottom"/>
          </w:tcPr>
          <w:p w14:paraId="027BB2A4" w14:textId="77777777" w:rsidR="00301E48" w:rsidRDefault="00301E48" w:rsidP="00301E48"/>
        </w:tc>
        <w:tc>
          <w:tcPr>
            <w:tcW w:w="850" w:type="dxa"/>
            <w:tcBorders>
              <w:bottom w:val="nil"/>
            </w:tcBorders>
          </w:tcPr>
          <w:p w14:paraId="5E80F5EC" w14:textId="543B13CD" w:rsidR="00301E48" w:rsidRDefault="00301E48" w:rsidP="00301E48">
            <w:pPr>
              <w:pStyle w:val="Summarytabletextrightaligned"/>
            </w:pPr>
            <w:r>
              <w:t>2023</w:t>
            </w:r>
            <w:r w:rsidR="00076D78">
              <w:noBreakHyphen/>
            </w:r>
            <w:r>
              <w:t>24</w:t>
            </w:r>
          </w:p>
        </w:tc>
        <w:tc>
          <w:tcPr>
            <w:tcW w:w="850" w:type="dxa"/>
            <w:tcBorders>
              <w:bottom w:val="nil"/>
            </w:tcBorders>
            <w:shd w:val="clear" w:color="auto" w:fill="E6F2FF"/>
          </w:tcPr>
          <w:p w14:paraId="14674F5B" w14:textId="60B96470" w:rsidR="00301E48" w:rsidRDefault="00301E48" w:rsidP="00301E48">
            <w:pPr>
              <w:pStyle w:val="Summarytabletextrightaligned"/>
            </w:pPr>
            <w:r>
              <w:t>2024</w:t>
            </w:r>
            <w:r w:rsidR="00076D78">
              <w:noBreakHyphen/>
            </w:r>
            <w:r>
              <w:t>25</w:t>
            </w:r>
          </w:p>
        </w:tc>
        <w:tc>
          <w:tcPr>
            <w:tcW w:w="850" w:type="dxa"/>
            <w:tcBorders>
              <w:bottom w:val="nil"/>
            </w:tcBorders>
          </w:tcPr>
          <w:p w14:paraId="5A5C20C3" w14:textId="4748EB3B" w:rsidR="00301E48" w:rsidRDefault="00301E48" w:rsidP="00301E48">
            <w:pPr>
              <w:pStyle w:val="Summarytabletextrightaligned"/>
            </w:pPr>
            <w:r>
              <w:t>2025</w:t>
            </w:r>
            <w:r w:rsidR="00076D78">
              <w:noBreakHyphen/>
            </w:r>
            <w:r>
              <w:t>26</w:t>
            </w:r>
          </w:p>
        </w:tc>
        <w:tc>
          <w:tcPr>
            <w:tcW w:w="850" w:type="dxa"/>
            <w:tcBorders>
              <w:bottom w:val="nil"/>
            </w:tcBorders>
          </w:tcPr>
          <w:p w14:paraId="1B61B65A" w14:textId="4F65436D" w:rsidR="00301E48" w:rsidRDefault="00301E48" w:rsidP="00301E48">
            <w:pPr>
              <w:pStyle w:val="Summarytabletextrightaligned"/>
            </w:pPr>
            <w:r>
              <w:t>2026</w:t>
            </w:r>
            <w:r w:rsidR="00076D78">
              <w:noBreakHyphen/>
            </w:r>
            <w:r>
              <w:t>27</w:t>
            </w:r>
          </w:p>
        </w:tc>
        <w:tc>
          <w:tcPr>
            <w:tcW w:w="850" w:type="dxa"/>
            <w:tcBorders>
              <w:bottom w:val="nil"/>
            </w:tcBorders>
          </w:tcPr>
          <w:p w14:paraId="0E9D688D" w14:textId="5FAA485C" w:rsidR="00301E48" w:rsidRDefault="00301E48" w:rsidP="00301E48">
            <w:pPr>
              <w:pStyle w:val="Summarytabletextrightaligned"/>
            </w:pPr>
            <w:r>
              <w:t>2027</w:t>
            </w:r>
            <w:r w:rsidR="00076D78">
              <w:noBreakHyphen/>
            </w:r>
            <w:r>
              <w:t>28</w:t>
            </w:r>
          </w:p>
        </w:tc>
      </w:tr>
      <w:tr w:rsidR="00301E48" w14:paraId="3682DAB7" w14:textId="77777777" w:rsidTr="6083684C">
        <w:tc>
          <w:tcPr>
            <w:tcW w:w="3471" w:type="dxa"/>
            <w:vAlign w:val="bottom"/>
          </w:tcPr>
          <w:p w14:paraId="41B302EF" w14:textId="77777777" w:rsidR="00301E48" w:rsidRDefault="00301E48" w:rsidP="00301E48"/>
        </w:tc>
        <w:tc>
          <w:tcPr>
            <w:tcW w:w="850" w:type="dxa"/>
            <w:tcBorders>
              <w:top w:val="nil"/>
              <w:bottom w:val="single" w:sz="4" w:space="0" w:color="auto"/>
            </w:tcBorders>
            <w:shd w:val="clear" w:color="auto" w:fill="auto"/>
          </w:tcPr>
          <w:p w14:paraId="0B8469D6" w14:textId="77777777" w:rsidR="00301E48" w:rsidRDefault="00301E48" w:rsidP="00301E48">
            <w:pPr>
              <w:pStyle w:val="Summarytabletextrightaligned"/>
            </w:pPr>
            <w:r>
              <w:t>$m</w:t>
            </w:r>
          </w:p>
        </w:tc>
        <w:tc>
          <w:tcPr>
            <w:tcW w:w="850" w:type="dxa"/>
            <w:tcBorders>
              <w:top w:val="nil"/>
              <w:bottom w:val="single" w:sz="4" w:space="0" w:color="auto"/>
            </w:tcBorders>
            <w:shd w:val="clear" w:color="auto" w:fill="E6F2FF"/>
          </w:tcPr>
          <w:p w14:paraId="71DCF681" w14:textId="77777777" w:rsidR="00301E48" w:rsidRDefault="00301E48" w:rsidP="00301E48">
            <w:pPr>
              <w:pStyle w:val="Summarytabletextrightaligned"/>
            </w:pPr>
            <w:r>
              <w:t>$m</w:t>
            </w:r>
          </w:p>
        </w:tc>
        <w:tc>
          <w:tcPr>
            <w:tcW w:w="850" w:type="dxa"/>
            <w:tcBorders>
              <w:top w:val="nil"/>
              <w:bottom w:val="single" w:sz="4" w:space="0" w:color="auto"/>
            </w:tcBorders>
            <w:shd w:val="clear" w:color="auto" w:fill="auto"/>
          </w:tcPr>
          <w:p w14:paraId="44E9A2CE" w14:textId="77777777" w:rsidR="00301E48" w:rsidRDefault="00301E48" w:rsidP="00301E48">
            <w:pPr>
              <w:pStyle w:val="Summarytabletextrightaligned"/>
            </w:pPr>
            <w:r>
              <w:t>$m</w:t>
            </w:r>
          </w:p>
        </w:tc>
        <w:tc>
          <w:tcPr>
            <w:tcW w:w="850" w:type="dxa"/>
            <w:tcBorders>
              <w:top w:val="nil"/>
              <w:bottom w:val="single" w:sz="4" w:space="0" w:color="auto"/>
            </w:tcBorders>
            <w:shd w:val="clear" w:color="auto" w:fill="auto"/>
          </w:tcPr>
          <w:p w14:paraId="5217A10F" w14:textId="77777777" w:rsidR="00301E48" w:rsidRDefault="00301E48" w:rsidP="00301E48">
            <w:pPr>
              <w:pStyle w:val="Summarytabletextrightaligned"/>
            </w:pPr>
            <w:r>
              <w:t>$m</w:t>
            </w:r>
          </w:p>
        </w:tc>
        <w:tc>
          <w:tcPr>
            <w:tcW w:w="850" w:type="dxa"/>
            <w:tcBorders>
              <w:top w:val="nil"/>
              <w:bottom w:val="single" w:sz="4" w:space="0" w:color="auto"/>
            </w:tcBorders>
            <w:shd w:val="clear" w:color="auto" w:fill="auto"/>
          </w:tcPr>
          <w:p w14:paraId="6F8AAFB0" w14:textId="77777777" w:rsidR="00301E48" w:rsidRDefault="00301E48" w:rsidP="00301E48">
            <w:pPr>
              <w:pStyle w:val="Summarytabletextrightaligned"/>
            </w:pPr>
            <w:r>
              <w:t>$m</w:t>
            </w:r>
          </w:p>
        </w:tc>
      </w:tr>
      <w:tr w:rsidR="00B449D0" w14:paraId="7A2116C8" w14:textId="77777777" w:rsidTr="6083684C">
        <w:tc>
          <w:tcPr>
            <w:tcW w:w="3471" w:type="dxa"/>
            <w:vAlign w:val="bottom"/>
          </w:tcPr>
          <w:p w14:paraId="550D67FC" w14:textId="77777777" w:rsidR="00B449D0" w:rsidRDefault="00175344">
            <w:pPr>
              <w:pStyle w:val="SummaryPortfolioTitle-BP2"/>
            </w:pPr>
            <w:r>
              <w:t>FOREIGN AFFAIRS AND TRADE</w:t>
            </w:r>
          </w:p>
        </w:tc>
        <w:tc>
          <w:tcPr>
            <w:tcW w:w="850" w:type="dxa"/>
            <w:tcBorders>
              <w:top w:val="single" w:sz="4" w:space="0" w:color="auto"/>
            </w:tcBorders>
          </w:tcPr>
          <w:p w14:paraId="7E5B0FA7" w14:textId="77777777" w:rsidR="00B449D0" w:rsidRDefault="00B449D0">
            <w:pPr>
              <w:pStyle w:val="MeasureTableTextRightAlignedBefore6ptAfter1pt"/>
            </w:pPr>
          </w:p>
        </w:tc>
        <w:tc>
          <w:tcPr>
            <w:tcW w:w="850" w:type="dxa"/>
            <w:tcBorders>
              <w:top w:val="single" w:sz="4" w:space="0" w:color="auto"/>
            </w:tcBorders>
            <w:shd w:val="clear" w:color="auto" w:fill="E6F2FF"/>
          </w:tcPr>
          <w:p w14:paraId="06746319" w14:textId="77777777" w:rsidR="00B449D0" w:rsidRDefault="00B449D0">
            <w:pPr>
              <w:pStyle w:val="MeasureTableTextRightAlignedBefore6ptAfter1pt"/>
            </w:pPr>
          </w:p>
        </w:tc>
        <w:tc>
          <w:tcPr>
            <w:tcW w:w="850" w:type="dxa"/>
            <w:tcBorders>
              <w:top w:val="single" w:sz="4" w:space="0" w:color="auto"/>
            </w:tcBorders>
          </w:tcPr>
          <w:p w14:paraId="3A0A5913" w14:textId="77777777" w:rsidR="00B449D0" w:rsidRDefault="00B449D0">
            <w:pPr>
              <w:pStyle w:val="MeasureTableTextRightAlignedBefore6ptAfter1pt"/>
            </w:pPr>
          </w:p>
        </w:tc>
        <w:tc>
          <w:tcPr>
            <w:tcW w:w="850" w:type="dxa"/>
            <w:tcBorders>
              <w:top w:val="single" w:sz="4" w:space="0" w:color="auto"/>
            </w:tcBorders>
          </w:tcPr>
          <w:p w14:paraId="3A080113" w14:textId="77777777" w:rsidR="00B449D0" w:rsidRDefault="00B449D0">
            <w:pPr>
              <w:pStyle w:val="MeasureTableTextRightAlignedBefore6ptAfter1pt"/>
            </w:pPr>
          </w:p>
        </w:tc>
        <w:tc>
          <w:tcPr>
            <w:tcW w:w="850" w:type="dxa"/>
            <w:tcBorders>
              <w:top w:val="single" w:sz="4" w:space="0" w:color="auto"/>
            </w:tcBorders>
          </w:tcPr>
          <w:p w14:paraId="601E0134" w14:textId="77777777" w:rsidR="00B449D0" w:rsidRDefault="00B449D0">
            <w:pPr>
              <w:pStyle w:val="MeasureTableTextRightAlignedBefore6ptAfter1pt"/>
            </w:pPr>
          </w:p>
        </w:tc>
      </w:tr>
      <w:tr w:rsidR="00B449D0" w14:paraId="0B49190C" w14:textId="77777777" w:rsidTr="6083684C">
        <w:tc>
          <w:tcPr>
            <w:tcW w:w="3471" w:type="dxa"/>
            <w:vAlign w:val="bottom"/>
          </w:tcPr>
          <w:p w14:paraId="6273F043" w14:textId="77777777" w:rsidR="00B449D0" w:rsidRDefault="00175344">
            <w:pPr>
              <w:pStyle w:val="SummaryAgencyTitle-BP2"/>
            </w:pPr>
            <w:r>
              <w:t>Export Finance and Insurance Corporation (National Interest component)</w:t>
            </w:r>
          </w:p>
        </w:tc>
        <w:tc>
          <w:tcPr>
            <w:tcW w:w="850" w:type="dxa"/>
          </w:tcPr>
          <w:p w14:paraId="14D5330D" w14:textId="77777777" w:rsidR="00B449D0" w:rsidRDefault="00B449D0">
            <w:pPr>
              <w:pStyle w:val="SummaryAgencyTitle-BP2"/>
            </w:pPr>
          </w:p>
        </w:tc>
        <w:tc>
          <w:tcPr>
            <w:tcW w:w="850" w:type="dxa"/>
            <w:shd w:val="clear" w:color="auto" w:fill="E6F2FF"/>
          </w:tcPr>
          <w:p w14:paraId="5214451A" w14:textId="77777777" w:rsidR="00B449D0" w:rsidRDefault="00B449D0">
            <w:pPr>
              <w:pStyle w:val="SummaryAgencyTitle-BP2"/>
            </w:pPr>
          </w:p>
        </w:tc>
        <w:tc>
          <w:tcPr>
            <w:tcW w:w="850" w:type="dxa"/>
          </w:tcPr>
          <w:p w14:paraId="6EABC5F1" w14:textId="77777777" w:rsidR="00B449D0" w:rsidRDefault="00B449D0">
            <w:pPr>
              <w:pStyle w:val="SummaryAgencyTitle-BP2"/>
            </w:pPr>
          </w:p>
        </w:tc>
        <w:tc>
          <w:tcPr>
            <w:tcW w:w="850" w:type="dxa"/>
          </w:tcPr>
          <w:p w14:paraId="4ED5A40A" w14:textId="77777777" w:rsidR="00B449D0" w:rsidRDefault="00B449D0">
            <w:pPr>
              <w:pStyle w:val="SummaryAgencyTitle-BP2"/>
            </w:pPr>
          </w:p>
        </w:tc>
        <w:tc>
          <w:tcPr>
            <w:tcW w:w="850" w:type="dxa"/>
          </w:tcPr>
          <w:p w14:paraId="7502E647" w14:textId="77777777" w:rsidR="00B449D0" w:rsidRDefault="00B449D0">
            <w:pPr>
              <w:pStyle w:val="SummaryAgencyTitle-BP2"/>
            </w:pPr>
          </w:p>
        </w:tc>
      </w:tr>
      <w:tr w:rsidR="00B449D0" w14:paraId="06A4893E" w14:textId="77777777" w:rsidTr="6083684C">
        <w:tc>
          <w:tcPr>
            <w:tcW w:w="3471" w:type="dxa"/>
            <w:vAlign w:val="bottom"/>
          </w:tcPr>
          <w:p w14:paraId="0E52A087" w14:textId="77777777" w:rsidR="00B449D0" w:rsidRDefault="00175344">
            <w:pPr>
              <w:pStyle w:val="SummaryMeasureTitlewithTheme"/>
            </w:pPr>
            <w:r>
              <w:t>Critical Minerals Facility – additional support for Iluka Resources Eneabba Rare Earths Refinery(b)</w:t>
            </w:r>
          </w:p>
        </w:tc>
        <w:tc>
          <w:tcPr>
            <w:tcW w:w="850" w:type="dxa"/>
            <w:vAlign w:val="bottom"/>
          </w:tcPr>
          <w:p w14:paraId="12E5133E" w14:textId="73C51B87" w:rsidR="00B449D0" w:rsidRDefault="00076D78">
            <w:pPr>
              <w:pStyle w:val="Summarytabletextrightaligned"/>
            </w:pPr>
            <w:r>
              <w:noBreakHyphen/>
            </w:r>
          </w:p>
        </w:tc>
        <w:tc>
          <w:tcPr>
            <w:tcW w:w="850" w:type="dxa"/>
            <w:shd w:val="clear" w:color="auto" w:fill="E6F2FF"/>
            <w:vAlign w:val="bottom"/>
          </w:tcPr>
          <w:p w14:paraId="791FEDD6" w14:textId="71434B2B" w:rsidR="00B449D0" w:rsidRDefault="00076D78">
            <w:pPr>
              <w:pStyle w:val="Summarytabletextrightaligned"/>
            </w:pPr>
            <w:r>
              <w:noBreakHyphen/>
            </w:r>
          </w:p>
        </w:tc>
        <w:tc>
          <w:tcPr>
            <w:tcW w:w="850" w:type="dxa"/>
            <w:vAlign w:val="bottom"/>
          </w:tcPr>
          <w:p w14:paraId="58F43369" w14:textId="77777777" w:rsidR="00B449D0" w:rsidRDefault="00175344" w:rsidP="7F762F0D">
            <w:pPr>
              <w:pStyle w:val="Summarytabletextrightaligned"/>
              <w:rPr>
                <w:lang w:val="en-US"/>
              </w:rPr>
            </w:pPr>
            <w:r w:rsidRPr="7F762F0D">
              <w:rPr>
                <w:lang w:val="en-US"/>
              </w:rPr>
              <w:t>nfp</w:t>
            </w:r>
          </w:p>
        </w:tc>
        <w:tc>
          <w:tcPr>
            <w:tcW w:w="850" w:type="dxa"/>
            <w:vAlign w:val="bottom"/>
          </w:tcPr>
          <w:p w14:paraId="2B6528F9" w14:textId="77777777" w:rsidR="00B449D0" w:rsidRDefault="00175344" w:rsidP="7F762F0D">
            <w:pPr>
              <w:pStyle w:val="Summarytabletextrightaligned"/>
              <w:rPr>
                <w:lang w:val="en-US"/>
              </w:rPr>
            </w:pPr>
            <w:r w:rsidRPr="7F762F0D">
              <w:rPr>
                <w:lang w:val="en-US"/>
              </w:rPr>
              <w:t>nfp</w:t>
            </w:r>
          </w:p>
        </w:tc>
        <w:tc>
          <w:tcPr>
            <w:tcW w:w="850" w:type="dxa"/>
            <w:vAlign w:val="bottom"/>
          </w:tcPr>
          <w:p w14:paraId="62E1AC86" w14:textId="77777777" w:rsidR="00B449D0" w:rsidRDefault="00175344" w:rsidP="7F762F0D">
            <w:pPr>
              <w:pStyle w:val="Summarytabletextrightaligned"/>
              <w:rPr>
                <w:lang w:val="en-US"/>
              </w:rPr>
            </w:pPr>
            <w:r w:rsidRPr="7F762F0D">
              <w:rPr>
                <w:lang w:val="en-US"/>
              </w:rPr>
              <w:t>nfp</w:t>
            </w:r>
          </w:p>
        </w:tc>
      </w:tr>
      <w:tr w:rsidR="00B449D0" w14:paraId="6F87BF28" w14:textId="77777777" w:rsidTr="6083684C">
        <w:tc>
          <w:tcPr>
            <w:tcW w:w="3471" w:type="dxa"/>
            <w:vAlign w:val="bottom"/>
          </w:tcPr>
          <w:p w14:paraId="7131CCF6" w14:textId="77777777" w:rsidR="00B449D0" w:rsidRDefault="00175344">
            <w:pPr>
              <w:pStyle w:val="SummaryMeasureTitlewithTheme"/>
            </w:pPr>
            <w:r>
              <w:t>Southeast Asia Investment Financing Facility – Investment in FAST‑P Green Investments Partnership fund(b)</w:t>
            </w:r>
          </w:p>
        </w:tc>
        <w:tc>
          <w:tcPr>
            <w:tcW w:w="850" w:type="dxa"/>
            <w:vAlign w:val="bottom"/>
          </w:tcPr>
          <w:p w14:paraId="1E90F779" w14:textId="6645943E" w:rsidR="00B449D0" w:rsidRDefault="00076D78">
            <w:pPr>
              <w:pStyle w:val="Summarytabletextrightaligned"/>
            </w:pPr>
            <w:r>
              <w:noBreakHyphen/>
            </w:r>
          </w:p>
        </w:tc>
        <w:tc>
          <w:tcPr>
            <w:tcW w:w="850" w:type="dxa"/>
            <w:shd w:val="clear" w:color="auto" w:fill="E6F2FF"/>
            <w:vAlign w:val="bottom"/>
          </w:tcPr>
          <w:p w14:paraId="3A72AB68" w14:textId="77777777" w:rsidR="00B449D0" w:rsidRDefault="00175344" w:rsidP="7F762F0D">
            <w:pPr>
              <w:pStyle w:val="Summarytabletextrightaligned"/>
              <w:rPr>
                <w:lang w:val="en-US"/>
              </w:rPr>
            </w:pPr>
            <w:r w:rsidRPr="7F762F0D">
              <w:rPr>
                <w:lang w:val="en-US"/>
              </w:rPr>
              <w:t>nfp</w:t>
            </w:r>
          </w:p>
        </w:tc>
        <w:tc>
          <w:tcPr>
            <w:tcW w:w="850" w:type="dxa"/>
            <w:vAlign w:val="bottom"/>
          </w:tcPr>
          <w:p w14:paraId="5C269570" w14:textId="77777777" w:rsidR="00B449D0" w:rsidRDefault="00175344" w:rsidP="7F762F0D">
            <w:pPr>
              <w:pStyle w:val="Summarytabletextrightaligned"/>
              <w:rPr>
                <w:lang w:val="en-US"/>
              </w:rPr>
            </w:pPr>
            <w:r w:rsidRPr="7F762F0D">
              <w:rPr>
                <w:lang w:val="en-US"/>
              </w:rPr>
              <w:t>nfp</w:t>
            </w:r>
          </w:p>
        </w:tc>
        <w:tc>
          <w:tcPr>
            <w:tcW w:w="850" w:type="dxa"/>
            <w:vAlign w:val="bottom"/>
          </w:tcPr>
          <w:p w14:paraId="4F3FCFAA" w14:textId="77777777" w:rsidR="00B449D0" w:rsidRDefault="00175344" w:rsidP="7F762F0D">
            <w:pPr>
              <w:pStyle w:val="Summarytabletextrightaligned"/>
              <w:rPr>
                <w:lang w:val="en-US"/>
              </w:rPr>
            </w:pPr>
            <w:r w:rsidRPr="7F762F0D">
              <w:rPr>
                <w:lang w:val="en-US"/>
              </w:rPr>
              <w:t>nfp</w:t>
            </w:r>
          </w:p>
        </w:tc>
        <w:tc>
          <w:tcPr>
            <w:tcW w:w="850" w:type="dxa"/>
            <w:vAlign w:val="bottom"/>
          </w:tcPr>
          <w:p w14:paraId="5E0E8EC3" w14:textId="77777777" w:rsidR="00B449D0" w:rsidRDefault="00175344" w:rsidP="7F762F0D">
            <w:pPr>
              <w:pStyle w:val="Summarytabletextrightaligned"/>
              <w:rPr>
                <w:lang w:val="en-US"/>
              </w:rPr>
            </w:pPr>
            <w:r w:rsidRPr="7F762F0D">
              <w:rPr>
                <w:lang w:val="en-US"/>
              </w:rPr>
              <w:t>nfp</w:t>
            </w:r>
          </w:p>
        </w:tc>
      </w:tr>
      <w:tr w:rsidR="00B449D0" w14:paraId="1949E080" w14:textId="77777777" w:rsidTr="6083684C">
        <w:tc>
          <w:tcPr>
            <w:tcW w:w="3471" w:type="dxa"/>
            <w:vAlign w:val="bottom"/>
          </w:tcPr>
          <w:p w14:paraId="45BD4616" w14:textId="77777777" w:rsidR="00B449D0" w:rsidRDefault="00175344">
            <w:pPr>
              <w:pStyle w:val="Summarytabletextleftalignedbold"/>
            </w:pPr>
            <w:r>
              <w:t>Portfolio total</w:t>
            </w:r>
          </w:p>
        </w:tc>
        <w:tc>
          <w:tcPr>
            <w:tcW w:w="850" w:type="dxa"/>
            <w:tcBorders>
              <w:top w:val="single" w:sz="4" w:space="0" w:color="000000" w:themeColor="text1"/>
              <w:bottom w:val="single" w:sz="4" w:space="0" w:color="000000" w:themeColor="text1"/>
            </w:tcBorders>
            <w:vAlign w:val="bottom"/>
          </w:tcPr>
          <w:p w14:paraId="09368AD8" w14:textId="52CD64AC" w:rsidR="00B449D0" w:rsidRDefault="00076D78">
            <w:pPr>
              <w:pStyle w:val="Summarytabletextrightalignedbold"/>
            </w:pPr>
            <w:r>
              <w:noBreakHyphen/>
            </w:r>
          </w:p>
        </w:tc>
        <w:tc>
          <w:tcPr>
            <w:tcW w:w="850" w:type="dxa"/>
            <w:tcBorders>
              <w:top w:val="single" w:sz="4" w:space="0" w:color="000000" w:themeColor="text1"/>
              <w:bottom w:val="single" w:sz="4" w:space="0" w:color="000000" w:themeColor="text1"/>
            </w:tcBorders>
            <w:shd w:val="clear" w:color="auto" w:fill="E6F2FF"/>
            <w:vAlign w:val="bottom"/>
          </w:tcPr>
          <w:p w14:paraId="0C793393" w14:textId="760D04EA" w:rsidR="00B449D0" w:rsidRDefault="00076D78">
            <w:pPr>
              <w:pStyle w:val="Summarytabletextrightalignedbold"/>
            </w:pPr>
            <w:r>
              <w:noBreakHyphen/>
            </w:r>
          </w:p>
        </w:tc>
        <w:tc>
          <w:tcPr>
            <w:tcW w:w="850" w:type="dxa"/>
            <w:tcBorders>
              <w:top w:val="single" w:sz="4" w:space="0" w:color="000000" w:themeColor="text1"/>
              <w:bottom w:val="single" w:sz="4" w:space="0" w:color="000000" w:themeColor="text1"/>
            </w:tcBorders>
            <w:vAlign w:val="bottom"/>
          </w:tcPr>
          <w:p w14:paraId="20BC3D3C" w14:textId="67990AA3" w:rsidR="00B449D0" w:rsidRDefault="00076D78">
            <w:pPr>
              <w:pStyle w:val="Summarytabletextrightalignedbold"/>
            </w:pPr>
            <w:r>
              <w:noBreakHyphen/>
            </w:r>
          </w:p>
        </w:tc>
        <w:tc>
          <w:tcPr>
            <w:tcW w:w="850" w:type="dxa"/>
            <w:tcBorders>
              <w:top w:val="single" w:sz="4" w:space="0" w:color="000000" w:themeColor="text1"/>
              <w:bottom w:val="single" w:sz="4" w:space="0" w:color="000000" w:themeColor="text1"/>
            </w:tcBorders>
            <w:vAlign w:val="bottom"/>
          </w:tcPr>
          <w:p w14:paraId="7085EE6D" w14:textId="4F62CE0F" w:rsidR="00B449D0" w:rsidRDefault="00076D78">
            <w:pPr>
              <w:pStyle w:val="Summarytabletextrightalignedbold"/>
            </w:pPr>
            <w:r>
              <w:noBreakHyphen/>
            </w:r>
          </w:p>
        </w:tc>
        <w:tc>
          <w:tcPr>
            <w:tcW w:w="850" w:type="dxa"/>
            <w:tcBorders>
              <w:top w:val="single" w:sz="4" w:space="0" w:color="000000" w:themeColor="text1"/>
              <w:bottom w:val="single" w:sz="4" w:space="0" w:color="000000" w:themeColor="text1"/>
            </w:tcBorders>
            <w:vAlign w:val="bottom"/>
          </w:tcPr>
          <w:p w14:paraId="5D18BE50" w14:textId="28609F9F" w:rsidR="00B449D0" w:rsidRDefault="00076D78">
            <w:pPr>
              <w:pStyle w:val="Summarytabletextrightalignedbold"/>
            </w:pPr>
            <w:r>
              <w:noBreakHyphen/>
            </w:r>
          </w:p>
        </w:tc>
      </w:tr>
      <w:tr w:rsidR="00B449D0" w14:paraId="3DA0C168" w14:textId="77777777" w:rsidTr="6083684C">
        <w:tc>
          <w:tcPr>
            <w:tcW w:w="3471" w:type="dxa"/>
            <w:vAlign w:val="bottom"/>
          </w:tcPr>
          <w:p w14:paraId="42365562" w14:textId="77777777" w:rsidR="00B449D0" w:rsidRDefault="00175344">
            <w:pPr>
              <w:pStyle w:val="SummaryPortfolioTitle-BP2"/>
            </w:pPr>
            <w:r>
              <w:t>HEALTH AND AGED CARE</w:t>
            </w:r>
          </w:p>
        </w:tc>
        <w:tc>
          <w:tcPr>
            <w:tcW w:w="850" w:type="dxa"/>
          </w:tcPr>
          <w:p w14:paraId="397663FF" w14:textId="77777777" w:rsidR="00B449D0" w:rsidRDefault="00B449D0">
            <w:pPr>
              <w:pStyle w:val="MeasureTableTextRightAlignedBefore6ptAfter1pt"/>
            </w:pPr>
          </w:p>
        </w:tc>
        <w:tc>
          <w:tcPr>
            <w:tcW w:w="850" w:type="dxa"/>
            <w:shd w:val="clear" w:color="auto" w:fill="E6F2FF"/>
          </w:tcPr>
          <w:p w14:paraId="0DE70DD9" w14:textId="77777777" w:rsidR="00B449D0" w:rsidRDefault="00B449D0">
            <w:pPr>
              <w:pStyle w:val="MeasureTableTextRightAlignedBefore6ptAfter1pt"/>
            </w:pPr>
          </w:p>
        </w:tc>
        <w:tc>
          <w:tcPr>
            <w:tcW w:w="850" w:type="dxa"/>
          </w:tcPr>
          <w:p w14:paraId="740AF9FF" w14:textId="77777777" w:rsidR="00B449D0" w:rsidRDefault="00B449D0">
            <w:pPr>
              <w:pStyle w:val="MeasureTableTextRightAlignedBefore6ptAfter1pt"/>
            </w:pPr>
          </w:p>
        </w:tc>
        <w:tc>
          <w:tcPr>
            <w:tcW w:w="850" w:type="dxa"/>
          </w:tcPr>
          <w:p w14:paraId="6425A65E" w14:textId="77777777" w:rsidR="00B449D0" w:rsidRDefault="00B449D0">
            <w:pPr>
              <w:pStyle w:val="MeasureTableTextRightAlignedBefore6ptAfter1pt"/>
            </w:pPr>
          </w:p>
        </w:tc>
        <w:tc>
          <w:tcPr>
            <w:tcW w:w="850" w:type="dxa"/>
          </w:tcPr>
          <w:p w14:paraId="136C525F" w14:textId="77777777" w:rsidR="00B449D0" w:rsidRDefault="00B449D0">
            <w:pPr>
              <w:pStyle w:val="MeasureTableTextRightAlignedBefore6ptAfter1pt"/>
            </w:pPr>
          </w:p>
        </w:tc>
      </w:tr>
      <w:tr w:rsidR="00B449D0" w14:paraId="0C14618D" w14:textId="77777777" w:rsidTr="6083684C">
        <w:tc>
          <w:tcPr>
            <w:tcW w:w="3471" w:type="dxa"/>
            <w:vAlign w:val="bottom"/>
          </w:tcPr>
          <w:p w14:paraId="5B2883C7" w14:textId="77777777" w:rsidR="00B449D0" w:rsidRDefault="00175344">
            <w:pPr>
              <w:pStyle w:val="SummaryAgencyTitle-BP2"/>
            </w:pPr>
            <w:r>
              <w:t>Department of Health and Aged Care</w:t>
            </w:r>
          </w:p>
        </w:tc>
        <w:tc>
          <w:tcPr>
            <w:tcW w:w="850" w:type="dxa"/>
          </w:tcPr>
          <w:p w14:paraId="3C5450B2" w14:textId="77777777" w:rsidR="00B449D0" w:rsidRDefault="00B449D0">
            <w:pPr>
              <w:pStyle w:val="SummaryAgencyTitle-BP2"/>
            </w:pPr>
          </w:p>
        </w:tc>
        <w:tc>
          <w:tcPr>
            <w:tcW w:w="850" w:type="dxa"/>
            <w:shd w:val="clear" w:color="auto" w:fill="E6F2FF"/>
          </w:tcPr>
          <w:p w14:paraId="09A8899E" w14:textId="77777777" w:rsidR="00B449D0" w:rsidRDefault="00B449D0">
            <w:pPr>
              <w:pStyle w:val="SummaryAgencyTitle-BP2"/>
            </w:pPr>
          </w:p>
        </w:tc>
        <w:tc>
          <w:tcPr>
            <w:tcW w:w="850" w:type="dxa"/>
          </w:tcPr>
          <w:p w14:paraId="21B43AC8" w14:textId="77777777" w:rsidR="00B449D0" w:rsidRDefault="00B449D0">
            <w:pPr>
              <w:pStyle w:val="SummaryAgencyTitle-BP2"/>
            </w:pPr>
          </w:p>
        </w:tc>
        <w:tc>
          <w:tcPr>
            <w:tcW w:w="850" w:type="dxa"/>
          </w:tcPr>
          <w:p w14:paraId="1A3FCFF8" w14:textId="77777777" w:rsidR="00B449D0" w:rsidRDefault="00B449D0">
            <w:pPr>
              <w:pStyle w:val="SummaryAgencyTitle-BP2"/>
            </w:pPr>
          </w:p>
        </w:tc>
        <w:tc>
          <w:tcPr>
            <w:tcW w:w="850" w:type="dxa"/>
          </w:tcPr>
          <w:p w14:paraId="1D1A113F" w14:textId="77777777" w:rsidR="00B449D0" w:rsidRDefault="00B449D0">
            <w:pPr>
              <w:pStyle w:val="SummaryAgencyTitle-BP2"/>
            </w:pPr>
          </w:p>
        </w:tc>
      </w:tr>
      <w:tr w:rsidR="00B449D0" w14:paraId="05707481" w14:textId="77777777" w:rsidTr="6083684C">
        <w:tc>
          <w:tcPr>
            <w:tcW w:w="3471" w:type="dxa"/>
            <w:vAlign w:val="bottom"/>
          </w:tcPr>
          <w:p w14:paraId="04EF1287" w14:textId="77777777" w:rsidR="00B449D0" w:rsidRDefault="00175344">
            <w:pPr>
              <w:pStyle w:val="SummaryMeasureTitlewithTheme"/>
            </w:pPr>
            <w:r>
              <w:t>Pharmaceutical Benefits Scheme New and Amended Listings(b)</w:t>
            </w:r>
          </w:p>
        </w:tc>
        <w:tc>
          <w:tcPr>
            <w:tcW w:w="850" w:type="dxa"/>
            <w:vAlign w:val="bottom"/>
          </w:tcPr>
          <w:p w14:paraId="62A67046" w14:textId="0176E3B0" w:rsidR="00B449D0" w:rsidRDefault="00DB5446">
            <w:pPr>
              <w:pStyle w:val="Summarytabletextrightaligned"/>
            </w:pPr>
            <w:r w:rsidRPr="6083684C">
              <w:rPr>
                <w:lang w:val="en-US"/>
              </w:rPr>
              <w:t>nfp</w:t>
            </w:r>
          </w:p>
        </w:tc>
        <w:tc>
          <w:tcPr>
            <w:tcW w:w="850" w:type="dxa"/>
            <w:shd w:val="clear" w:color="auto" w:fill="E6F2FF"/>
            <w:vAlign w:val="bottom"/>
          </w:tcPr>
          <w:p w14:paraId="262E2637" w14:textId="77777777" w:rsidR="00B449D0" w:rsidRDefault="00175344" w:rsidP="7F762F0D">
            <w:pPr>
              <w:pStyle w:val="Summarytabletextrightaligned"/>
              <w:rPr>
                <w:lang w:val="en-US"/>
              </w:rPr>
            </w:pPr>
            <w:r w:rsidRPr="7F762F0D">
              <w:rPr>
                <w:lang w:val="en-US"/>
              </w:rPr>
              <w:t>nfp</w:t>
            </w:r>
          </w:p>
        </w:tc>
        <w:tc>
          <w:tcPr>
            <w:tcW w:w="850" w:type="dxa"/>
            <w:vAlign w:val="bottom"/>
          </w:tcPr>
          <w:p w14:paraId="537CDE53" w14:textId="77777777" w:rsidR="00B449D0" w:rsidRDefault="00175344" w:rsidP="7F762F0D">
            <w:pPr>
              <w:pStyle w:val="Summarytabletextrightaligned"/>
              <w:rPr>
                <w:lang w:val="en-US"/>
              </w:rPr>
            </w:pPr>
            <w:r w:rsidRPr="7F762F0D">
              <w:rPr>
                <w:lang w:val="en-US"/>
              </w:rPr>
              <w:t>nfp</w:t>
            </w:r>
          </w:p>
        </w:tc>
        <w:tc>
          <w:tcPr>
            <w:tcW w:w="850" w:type="dxa"/>
            <w:vAlign w:val="bottom"/>
          </w:tcPr>
          <w:p w14:paraId="786A07E4" w14:textId="77777777" w:rsidR="00B449D0" w:rsidRDefault="00175344" w:rsidP="7F762F0D">
            <w:pPr>
              <w:pStyle w:val="Summarytabletextrightaligned"/>
              <w:rPr>
                <w:lang w:val="en-US"/>
              </w:rPr>
            </w:pPr>
            <w:r w:rsidRPr="7F762F0D">
              <w:rPr>
                <w:lang w:val="en-US"/>
              </w:rPr>
              <w:t>nfp</w:t>
            </w:r>
          </w:p>
        </w:tc>
        <w:tc>
          <w:tcPr>
            <w:tcW w:w="850" w:type="dxa"/>
            <w:vAlign w:val="bottom"/>
          </w:tcPr>
          <w:p w14:paraId="16BDABB1" w14:textId="77777777" w:rsidR="00B449D0" w:rsidRDefault="00175344" w:rsidP="7F762F0D">
            <w:pPr>
              <w:pStyle w:val="Summarytabletextrightaligned"/>
              <w:rPr>
                <w:lang w:val="en-US"/>
              </w:rPr>
            </w:pPr>
            <w:r w:rsidRPr="7F762F0D">
              <w:rPr>
                <w:lang w:val="en-US"/>
              </w:rPr>
              <w:t>nfp</w:t>
            </w:r>
          </w:p>
        </w:tc>
      </w:tr>
      <w:tr w:rsidR="00B449D0" w14:paraId="24FE160B" w14:textId="77777777" w:rsidTr="6083684C">
        <w:tc>
          <w:tcPr>
            <w:tcW w:w="3471" w:type="dxa"/>
            <w:vAlign w:val="bottom"/>
          </w:tcPr>
          <w:p w14:paraId="46322C1D" w14:textId="77777777" w:rsidR="00B449D0" w:rsidRDefault="00175344">
            <w:pPr>
              <w:pStyle w:val="SummaryMeasureTitlewithTheme"/>
            </w:pPr>
            <w:r>
              <w:t>Private Health Insurance – Prescribed List of Medical Devices and Human Tissue Products(b)</w:t>
            </w:r>
          </w:p>
        </w:tc>
        <w:tc>
          <w:tcPr>
            <w:tcW w:w="850" w:type="dxa"/>
            <w:vAlign w:val="bottom"/>
          </w:tcPr>
          <w:p w14:paraId="0DD337AB" w14:textId="122863D9" w:rsidR="00B449D0" w:rsidRDefault="00076D78">
            <w:pPr>
              <w:pStyle w:val="Summarytabletextrightaligned"/>
            </w:pPr>
            <w:r>
              <w:noBreakHyphen/>
            </w:r>
          </w:p>
        </w:tc>
        <w:tc>
          <w:tcPr>
            <w:tcW w:w="850" w:type="dxa"/>
            <w:shd w:val="clear" w:color="auto" w:fill="E6F2FF"/>
            <w:vAlign w:val="bottom"/>
          </w:tcPr>
          <w:p w14:paraId="7B0B5A82" w14:textId="1F83484E" w:rsidR="00B449D0" w:rsidRDefault="00076D78">
            <w:pPr>
              <w:pStyle w:val="Summarytabletextrightaligned"/>
            </w:pPr>
            <w:r>
              <w:noBreakHyphen/>
            </w:r>
            <w:r w:rsidR="00175344">
              <w:t>1.3</w:t>
            </w:r>
          </w:p>
        </w:tc>
        <w:tc>
          <w:tcPr>
            <w:tcW w:w="850" w:type="dxa"/>
            <w:vAlign w:val="bottom"/>
          </w:tcPr>
          <w:p w14:paraId="7D9C20B0" w14:textId="78288BDD" w:rsidR="00B449D0" w:rsidRDefault="00076D78">
            <w:pPr>
              <w:pStyle w:val="Summarytabletextrightaligned"/>
            </w:pPr>
            <w:r>
              <w:noBreakHyphen/>
            </w:r>
          </w:p>
        </w:tc>
        <w:tc>
          <w:tcPr>
            <w:tcW w:w="850" w:type="dxa"/>
            <w:vAlign w:val="bottom"/>
          </w:tcPr>
          <w:p w14:paraId="699EFCB1" w14:textId="4DB4A292" w:rsidR="00B449D0" w:rsidRDefault="00076D78">
            <w:pPr>
              <w:pStyle w:val="Summarytabletextrightaligned"/>
            </w:pPr>
            <w:r>
              <w:noBreakHyphen/>
            </w:r>
          </w:p>
        </w:tc>
        <w:tc>
          <w:tcPr>
            <w:tcW w:w="850" w:type="dxa"/>
            <w:vAlign w:val="bottom"/>
          </w:tcPr>
          <w:p w14:paraId="1350FCC7" w14:textId="5D9B4D77" w:rsidR="00B449D0" w:rsidRDefault="00076D78">
            <w:pPr>
              <w:pStyle w:val="Summarytabletextrightaligned"/>
            </w:pPr>
            <w:r>
              <w:noBreakHyphen/>
            </w:r>
          </w:p>
        </w:tc>
      </w:tr>
      <w:tr w:rsidR="00B449D0" w14:paraId="7040EE2E" w14:textId="77777777" w:rsidTr="6083684C">
        <w:tc>
          <w:tcPr>
            <w:tcW w:w="3471" w:type="dxa"/>
            <w:vAlign w:val="bottom"/>
          </w:tcPr>
          <w:p w14:paraId="42A05CDE" w14:textId="77777777" w:rsidR="00B449D0" w:rsidRDefault="00175344">
            <w:pPr>
              <w:pStyle w:val="Summarytabletextleftalignedbold"/>
            </w:pPr>
            <w:r>
              <w:t>Portfolio total</w:t>
            </w:r>
          </w:p>
        </w:tc>
        <w:tc>
          <w:tcPr>
            <w:tcW w:w="850" w:type="dxa"/>
            <w:tcBorders>
              <w:top w:val="single" w:sz="4" w:space="0" w:color="000000" w:themeColor="text1"/>
              <w:bottom w:val="single" w:sz="4" w:space="0" w:color="000000" w:themeColor="text1"/>
            </w:tcBorders>
            <w:vAlign w:val="bottom"/>
          </w:tcPr>
          <w:p w14:paraId="1D178552" w14:textId="1F954E15" w:rsidR="00B449D0" w:rsidRDefault="00076D78">
            <w:pPr>
              <w:pStyle w:val="Summarytabletextrightalignedbold"/>
            </w:pPr>
            <w:r>
              <w:noBreakHyphen/>
            </w:r>
          </w:p>
        </w:tc>
        <w:tc>
          <w:tcPr>
            <w:tcW w:w="850" w:type="dxa"/>
            <w:tcBorders>
              <w:top w:val="single" w:sz="4" w:space="0" w:color="000000" w:themeColor="text1"/>
              <w:bottom w:val="single" w:sz="4" w:space="0" w:color="000000" w:themeColor="text1"/>
            </w:tcBorders>
            <w:shd w:val="clear" w:color="auto" w:fill="E6F2FF"/>
            <w:vAlign w:val="bottom"/>
          </w:tcPr>
          <w:p w14:paraId="2A625802" w14:textId="029C9333" w:rsidR="00B449D0" w:rsidRDefault="00076D78">
            <w:pPr>
              <w:pStyle w:val="Summarytabletextrightalignedbold"/>
            </w:pPr>
            <w:r>
              <w:noBreakHyphen/>
            </w:r>
            <w:r w:rsidR="00175344">
              <w:t>1.3</w:t>
            </w:r>
          </w:p>
        </w:tc>
        <w:tc>
          <w:tcPr>
            <w:tcW w:w="850" w:type="dxa"/>
            <w:tcBorders>
              <w:top w:val="single" w:sz="4" w:space="0" w:color="000000" w:themeColor="text1"/>
              <w:bottom w:val="single" w:sz="4" w:space="0" w:color="000000" w:themeColor="text1"/>
            </w:tcBorders>
            <w:vAlign w:val="bottom"/>
          </w:tcPr>
          <w:p w14:paraId="19D70791" w14:textId="4A5EAADF" w:rsidR="00B449D0" w:rsidRDefault="00076D78">
            <w:pPr>
              <w:pStyle w:val="Summarytabletextrightalignedbold"/>
            </w:pPr>
            <w:r>
              <w:noBreakHyphen/>
            </w:r>
          </w:p>
        </w:tc>
        <w:tc>
          <w:tcPr>
            <w:tcW w:w="850" w:type="dxa"/>
            <w:tcBorders>
              <w:top w:val="single" w:sz="4" w:space="0" w:color="000000" w:themeColor="text1"/>
              <w:bottom w:val="single" w:sz="4" w:space="0" w:color="000000" w:themeColor="text1"/>
            </w:tcBorders>
            <w:vAlign w:val="bottom"/>
          </w:tcPr>
          <w:p w14:paraId="6949FA0C" w14:textId="77D56042" w:rsidR="00B449D0" w:rsidRDefault="00076D78">
            <w:pPr>
              <w:pStyle w:val="Summarytabletextrightalignedbold"/>
            </w:pPr>
            <w:r>
              <w:noBreakHyphen/>
            </w:r>
          </w:p>
        </w:tc>
        <w:tc>
          <w:tcPr>
            <w:tcW w:w="850" w:type="dxa"/>
            <w:tcBorders>
              <w:top w:val="single" w:sz="4" w:space="0" w:color="000000" w:themeColor="text1"/>
              <w:bottom w:val="single" w:sz="4" w:space="0" w:color="000000" w:themeColor="text1"/>
            </w:tcBorders>
            <w:vAlign w:val="bottom"/>
          </w:tcPr>
          <w:p w14:paraId="560A9D49" w14:textId="17AD5E90" w:rsidR="00B449D0" w:rsidRDefault="00076D78">
            <w:pPr>
              <w:pStyle w:val="Summarytabletextrightalignedbold"/>
            </w:pPr>
            <w:r>
              <w:noBreakHyphen/>
            </w:r>
          </w:p>
        </w:tc>
      </w:tr>
      <w:tr w:rsidR="00B449D0" w14:paraId="7266BA6C" w14:textId="77777777" w:rsidTr="6083684C">
        <w:tc>
          <w:tcPr>
            <w:tcW w:w="3471" w:type="dxa"/>
            <w:vAlign w:val="bottom"/>
          </w:tcPr>
          <w:p w14:paraId="05FE53CD" w14:textId="77777777" w:rsidR="00B449D0" w:rsidRDefault="00175344">
            <w:pPr>
              <w:pStyle w:val="SummaryPortfolioTitle-BP2"/>
            </w:pPr>
            <w:r>
              <w:t>HOME AFFAIRS</w:t>
            </w:r>
          </w:p>
        </w:tc>
        <w:tc>
          <w:tcPr>
            <w:tcW w:w="850" w:type="dxa"/>
          </w:tcPr>
          <w:p w14:paraId="08E180F8" w14:textId="77777777" w:rsidR="00B449D0" w:rsidRDefault="00B449D0">
            <w:pPr>
              <w:pStyle w:val="MeasureTableTextRightAlignedBefore6ptAfter1pt"/>
            </w:pPr>
          </w:p>
        </w:tc>
        <w:tc>
          <w:tcPr>
            <w:tcW w:w="850" w:type="dxa"/>
            <w:shd w:val="clear" w:color="auto" w:fill="E6F2FF"/>
          </w:tcPr>
          <w:p w14:paraId="4E1D64FD" w14:textId="77777777" w:rsidR="00B449D0" w:rsidRDefault="00B449D0">
            <w:pPr>
              <w:pStyle w:val="MeasureTableTextRightAlignedBefore6ptAfter1pt"/>
            </w:pPr>
          </w:p>
        </w:tc>
        <w:tc>
          <w:tcPr>
            <w:tcW w:w="850" w:type="dxa"/>
          </w:tcPr>
          <w:p w14:paraId="58B80EE8" w14:textId="77777777" w:rsidR="00B449D0" w:rsidRDefault="00B449D0">
            <w:pPr>
              <w:pStyle w:val="MeasureTableTextRightAlignedBefore6ptAfter1pt"/>
            </w:pPr>
          </w:p>
        </w:tc>
        <w:tc>
          <w:tcPr>
            <w:tcW w:w="850" w:type="dxa"/>
          </w:tcPr>
          <w:p w14:paraId="2820C1AF" w14:textId="77777777" w:rsidR="00B449D0" w:rsidRDefault="00B449D0">
            <w:pPr>
              <w:pStyle w:val="MeasureTableTextRightAlignedBefore6ptAfter1pt"/>
            </w:pPr>
          </w:p>
        </w:tc>
        <w:tc>
          <w:tcPr>
            <w:tcW w:w="850" w:type="dxa"/>
          </w:tcPr>
          <w:p w14:paraId="0BB32387" w14:textId="77777777" w:rsidR="00B449D0" w:rsidRDefault="00B449D0">
            <w:pPr>
              <w:pStyle w:val="MeasureTableTextRightAlignedBefore6ptAfter1pt"/>
            </w:pPr>
          </w:p>
        </w:tc>
      </w:tr>
      <w:tr w:rsidR="00B449D0" w14:paraId="0F6B84C6" w14:textId="77777777" w:rsidTr="6083684C">
        <w:tc>
          <w:tcPr>
            <w:tcW w:w="3471" w:type="dxa"/>
            <w:vAlign w:val="bottom"/>
          </w:tcPr>
          <w:p w14:paraId="6A0AACE7" w14:textId="77777777" w:rsidR="00B449D0" w:rsidRDefault="00175344">
            <w:pPr>
              <w:pStyle w:val="SummaryAgencyTitle-BP2"/>
            </w:pPr>
            <w:r>
              <w:t>Department of Home Affairs</w:t>
            </w:r>
          </w:p>
        </w:tc>
        <w:tc>
          <w:tcPr>
            <w:tcW w:w="850" w:type="dxa"/>
          </w:tcPr>
          <w:p w14:paraId="36981ADF" w14:textId="77777777" w:rsidR="00B449D0" w:rsidRDefault="00B449D0">
            <w:pPr>
              <w:pStyle w:val="SummaryAgencyTitle-BP2"/>
            </w:pPr>
          </w:p>
        </w:tc>
        <w:tc>
          <w:tcPr>
            <w:tcW w:w="850" w:type="dxa"/>
            <w:shd w:val="clear" w:color="auto" w:fill="E6F2FF"/>
          </w:tcPr>
          <w:p w14:paraId="044BA7A5" w14:textId="77777777" w:rsidR="00B449D0" w:rsidRDefault="00B449D0">
            <w:pPr>
              <w:pStyle w:val="SummaryAgencyTitle-BP2"/>
            </w:pPr>
          </w:p>
        </w:tc>
        <w:tc>
          <w:tcPr>
            <w:tcW w:w="850" w:type="dxa"/>
          </w:tcPr>
          <w:p w14:paraId="656B151E" w14:textId="77777777" w:rsidR="00B449D0" w:rsidRDefault="00B449D0">
            <w:pPr>
              <w:pStyle w:val="SummaryAgencyTitle-BP2"/>
            </w:pPr>
          </w:p>
        </w:tc>
        <w:tc>
          <w:tcPr>
            <w:tcW w:w="850" w:type="dxa"/>
          </w:tcPr>
          <w:p w14:paraId="5816183B" w14:textId="77777777" w:rsidR="00B449D0" w:rsidRDefault="00B449D0">
            <w:pPr>
              <w:pStyle w:val="SummaryAgencyTitle-BP2"/>
            </w:pPr>
          </w:p>
        </w:tc>
        <w:tc>
          <w:tcPr>
            <w:tcW w:w="850" w:type="dxa"/>
          </w:tcPr>
          <w:p w14:paraId="62AC84B2" w14:textId="77777777" w:rsidR="00B449D0" w:rsidRDefault="00B449D0">
            <w:pPr>
              <w:pStyle w:val="SummaryAgencyTitle-BP2"/>
            </w:pPr>
          </w:p>
        </w:tc>
      </w:tr>
      <w:tr w:rsidR="00B449D0" w14:paraId="5D729374" w14:textId="77777777" w:rsidTr="6083684C">
        <w:tc>
          <w:tcPr>
            <w:tcW w:w="3471" w:type="dxa"/>
            <w:vAlign w:val="bottom"/>
          </w:tcPr>
          <w:p w14:paraId="2AD146D2" w14:textId="77777777" w:rsidR="00B449D0" w:rsidRDefault="00175344">
            <w:pPr>
              <w:pStyle w:val="SummaryMeasureTitlewithTheme"/>
            </w:pPr>
            <w:r>
              <w:t>Assistance for Recent Arrivals from Conflict Zones(b)</w:t>
            </w:r>
          </w:p>
        </w:tc>
        <w:tc>
          <w:tcPr>
            <w:tcW w:w="850" w:type="dxa"/>
            <w:vAlign w:val="bottom"/>
          </w:tcPr>
          <w:p w14:paraId="3996A42E" w14:textId="46543D0B" w:rsidR="00B449D0" w:rsidRDefault="00076D78">
            <w:pPr>
              <w:pStyle w:val="Summarytabletextrightaligned"/>
            </w:pPr>
            <w:r>
              <w:noBreakHyphen/>
            </w:r>
          </w:p>
        </w:tc>
        <w:tc>
          <w:tcPr>
            <w:tcW w:w="850" w:type="dxa"/>
            <w:shd w:val="clear" w:color="auto" w:fill="E6F2FF"/>
            <w:vAlign w:val="bottom"/>
          </w:tcPr>
          <w:p w14:paraId="632553E6" w14:textId="77777777" w:rsidR="00B449D0" w:rsidRDefault="00175344">
            <w:pPr>
              <w:pStyle w:val="Summarytabletextrightaligned"/>
            </w:pPr>
            <w:r>
              <w:t>5.0</w:t>
            </w:r>
          </w:p>
        </w:tc>
        <w:tc>
          <w:tcPr>
            <w:tcW w:w="850" w:type="dxa"/>
            <w:vAlign w:val="bottom"/>
          </w:tcPr>
          <w:p w14:paraId="2A107A91" w14:textId="77777777" w:rsidR="00B449D0" w:rsidRDefault="00175344">
            <w:pPr>
              <w:pStyle w:val="Summarytabletextrightaligned"/>
            </w:pPr>
            <w:r>
              <w:t>5.0</w:t>
            </w:r>
          </w:p>
        </w:tc>
        <w:tc>
          <w:tcPr>
            <w:tcW w:w="850" w:type="dxa"/>
            <w:vAlign w:val="bottom"/>
          </w:tcPr>
          <w:p w14:paraId="553AE89D" w14:textId="6E93305C" w:rsidR="00B449D0" w:rsidRDefault="00142A5E">
            <w:pPr>
              <w:pStyle w:val="Summarytabletextrightaligned"/>
            </w:pPr>
            <w:r>
              <w:t>..</w:t>
            </w:r>
          </w:p>
        </w:tc>
        <w:tc>
          <w:tcPr>
            <w:tcW w:w="850" w:type="dxa"/>
            <w:vAlign w:val="bottom"/>
          </w:tcPr>
          <w:p w14:paraId="4FFAA401" w14:textId="3729FE28" w:rsidR="00B449D0" w:rsidRDefault="00142A5E">
            <w:pPr>
              <w:pStyle w:val="Summarytabletextrightaligned"/>
            </w:pPr>
            <w:r>
              <w:t>..</w:t>
            </w:r>
          </w:p>
        </w:tc>
      </w:tr>
      <w:tr w:rsidR="00B449D0" w14:paraId="5F75A070" w14:textId="77777777" w:rsidTr="6083684C">
        <w:tc>
          <w:tcPr>
            <w:tcW w:w="3471" w:type="dxa"/>
            <w:vAlign w:val="bottom"/>
          </w:tcPr>
          <w:p w14:paraId="0F8FA1DC" w14:textId="77777777" w:rsidR="00B449D0" w:rsidRDefault="00175344">
            <w:pPr>
              <w:pStyle w:val="SummaryMeasureTitlewithTheme"/>
            </w:pPr>
            <w:r>
              <w:t>Australia‑United Arab Emirates Comprehensive Economic Partnership Agreement</w:t>
            </w:r>
          </w:p>
        </w:tc>
        <w:tc>
          <w:tcPr>
            <w:tcW w:w="850" w:type="dxa"/>
            <w:vAlign w:val="bottom"/>
          </w:tcPr>
          <w:p w14:paraId="14412ACC" w14:textId="039D1E3A" w:rsidR="00B449D0" w:rsidRDefault="00076D78">
            <w:pPr>
              <w:pStyle w:val="Summarytabletextrightaligned"/>
            </w:pPr>
            <w:r>
              <w:noBreakHyphen/>
            </w:r>
          </w:p>
        </w:tc>
        <w:tc>
          <w:tcPr>
            <w:tcW w:w="850" w:type="dxa"/>
            <w:shd w:val="clear" w:color="auto" w:fill="E6F2FF"/>
            <w:vAlign w:val="bottom"/>
          </w:tcPr>
          <w:p w14:paraId="23139E97" w14:textId="566FAC76" w:rsidR="00B449D0" w:rsidRDefault="00076D78">
            <w:pPr>
              <w:pStyle w:val="Summarytabletextrightaligned"/>
            </w:pPr>
            <w:r>
              <w:noBreakHyphen/>
            </w:r>
          </w:p>
        </w:tc>
        <w:tc>
          <w:tcPr>
            <w:tcW w:w="850" w:type="dxa"/>
            <w:vAlign w:val="bottom"/>
          </w:tcPr>
          <w:p w14:paraId="42B7CF76" w14:textId="22A61395" w:rsidR="00B449D0" w:rsidRDefault="00076D78">
            <w:pPr>
              <w:pStyle w:val="Summarytabletextrightaligned"/>
            </w:pPr>
            <w:r>
              <w:noBreakHyphen/>
            </w:r>
            <w:r w:rsidR="00175344">
              <w:t>16.0</w:t>
            </w:r>
          </w:p>
        </w:tc>
        <w:tc>
          <w:tcPr>
            <w:tcW w:w="850" w:type="dxa"/>
            <w:vAlign w:val="bottom"/>
          </w:tcPr>
          <w:p w14:paraId="209EBC15" w14:textId="2844F71E" w:rsidR="00B449D0" w:rsidRDefault="00076D78">
            <w:pPr>
              <w:pStyle w:val="Summarytabletextrightaligned"/>
            </w:pPr>
            <w:r>
              <w:noBreakHyphen/>
            </w:r>
            <w:r w:rsidR="00175344">
              <w:t>18.0</w:t>
            </w:r>
          </w:p>
        </w:tc>
        <w:tc>
          <w:tcPr>
            <w:tcW w:w="850" w:type="dxa"/>
            <w:vAlign w:val="bottom"/>
          </w:tcPr>
          <w:p w14:paraId="04A23FC8" w14:textId="54D34DA9" w:rsidR="00B449D0" w:rsidRDefault="00076D78">
            <w:pPr>
              <w:pStyle w:val="Summarytabletextrightaligned"/>
            </w:pPr>
            <w:r>
              <w:noBreakHyphen/>
            </w:r>
            <w:r w:rsidR="00175344">
              <w:t>20.0</w:t>
            </w:r>
          </w:p>
        </w:tc>
      </w:tr>
      <w:tr w:rsidR="00B449D0" w14:paraId="33E8524E" w14:textId="77777777" w:rsidTr="6083684C">
        <w:tc>
          <w:tcPr>
            <w:tcW w:w="3471" w:type="dxa"/>
            <w:vAlign w:val="bottom"/>
          </w:tcPr>
          <w:p w14:paraId="3E98DF26" w14:textId="77777777" w:rsidR="00B449D0" w:rsidRDefault="00175344">
            <w:pPr>
              <w:pStyle w:val="SummaryMeasureTitlewithTheme"/>
            </w:pPr>
            <w:r>
              <w:t>Indexation of Citizenship Application Fees</w:t>
            </w:r>
          </w:p>
        </w:tc>
        <w:tc>
          <w:tcPr>
            <w:tcW w:w="850" w:type="dxa"/>
            <w:vAlign w:val="bottom"/>
          </w:tcPr>
          <w:p w14:paraId="09B59551" w14:textId="2EEFA2A5" w:rsidR="00B449D0" w:rsidRDefault="00076D78">
            <w:pPr>
              <w:pStyle w:val="Summarytabletextrightaligned"/>
            </w:pPr>
            <w:r>
              <w:noBreakHyphen/>
            </w:r>
          </w:p>
        </w:tc>
        <w:tc>
          <w:tcPr>
            <w:tcW w:w="850" w:type="dxa"/>
            <w:shd w:val="clear" w:color="auto" w:fill="E6F2FF"/>
            <w:vAlign w:val="bottom"/>
          </w:tcPr>
          <w:p w14:paraId="162DF61B" w14:textId="2A4752AA" w:rsidR="00B449D0" w:rsidRDefault="00076D78">
            <w:pPr>
              <w:pStyle w:val="Summarytabletextrightaligned"/>
            </w:pPr>
            <w:r>
              <w:noBreakHyphen/>
            </w:r>
          </w:p>
        </w:tc>
        <w:tc>
          <w:tcPr>
            <w:tcW w:w="850" w:type="dxa"/>
            <w:vAlign w:val="bottom"/>
          </w:tcPr>
          <w:p w14:paraId="7C472DB1" w14:textId="2BEBF64C" w:rsidR="00B449D0" w:rsidRDefault="00076D78">
            <w:pPr>
              <w:pStyle w:val="Summarytabletextrightaligned"/>
            </w:pPr>
            <w:r>
              <w:noBreakHyphen/>
            </w:r>
          </w:p>
        </w:tc>
        <w:tc>
          <w:tcPr>
            <w:tcW w:w="850" w:type="dxa"/>
            <w:vAlign w:val="bottom"/>
          </w:tcPr>
          <w:p w14:paraId="51B0CEDE" w14:textId="426FCF67" w:rsidR="00B449D0" w:rsidRDefault="00076D78">
            <w:pPr>
              <w:pStyle w:val="Summarytabletextrightaligned"/>
            </w:pPr>
            <w:r>
              <w:noBreakHyphen/>
            </w:r>
          </w:p>
        </w:tc>
        <w:tc>
          <w:tcPr>
            <w:tcW w:w="850" w:type="dxa"/>
            <w:vAlign w:val="bottom"/>
          </w:tcPr>
          <w:p w14:paraId="06FD0653" w14:textId="4F9BACF5" w:rsidR="00B449D0" w:rsidRDefault="00076D78">
            <w:pPr>
              <w:pStyle w:val="Summarytabletextrightaligned"/>
            </w:pPr>
            <w:r>
              <w:noBreakHyphen/>
            </w:r>
          </w:p>
        </w:tc>
      </w:tr>
      <w:tr w:rsidR="00B449D0" w14:paraId="177E51A9" w14:textId="77777777" w:rsidTr="6083684C">
        <w:tc>
          <w:tcPr>
            <w:tcW w:w="3471" w:type="dxa"/>
            <w:vAlign w:val="bottom"/>
          </w:tcPr>
          <w:p w14:paraId="72AA3DFE" w14:textId="77777777" w:rsidR="00B449D0" w:rsidRDefault="00175344">
            <w:pPr>
              <w:pStyle w:val="SummaryMeasureTitlewithTheme"/>
            </w:pPr>
            <w:r>
              <w:t>Migration – uplift of Visa Application Charges(b)</w:t>
            </w:r>
          </w:p>
        </w:tc>
        <w:tc>
          <w:tcPr>
            <w:tcW w:w="850" w:type="dxa"/>
            <w:vAlign w:val="bottom"/>
          </w:tcPr>
          <w:p w14:paraId="08193A4E" w14:textId="199F5956" w:rsidR="00B449D0" w:rsidRDefault="00076D78">
            <w:pPr>
              <w:pStyle w:val="Summarytabletextrightaligned"/>
            </w:pPr>
            <w:r>
              <w:noBreakHyphen/>
            </w:r>
          </w:p>
        </w:tc>
        <w:tc>
          <w:tcPr>
            <w:tcW w:w="850" w:type="dxa"/>
            <w:shd w:val="clear" w:color="auto" w:fill="E6F2FF"/>
            <w:vAlign w:val="bottom"/>
          </w:tcPr>
          <w:p w14:paraId="4ADE6DB8" w14:textId="69394722" w:rsidR="00B449D0" w:rsidRDefault="00076D78">
            <w:pPr>
              <w:pStyle w:val="Summarytabletextrightaligned"/>
            </w:pPr>
            <w:r>
              <w:noBreakHyphen/>
            </w:r>
          </w:p>
        </w:tc>
        <w:tc>
          <w:tcPr>
            <w:tcW w:w="850" w:type="dxa"/>
            <w:vAlign w:val="bottom"/>
          </w:tcPr>
          <w:p w14:paraId="52240C33" w14:textId="00A2D085" w:rsidR="00B449D0" w:rsidRDefault="00076D78">
            <w:pPr>
              <w:pStyle w:val="Summarytabletextrightaligned"/>
            </w:pPr>
            <w:r>
              <w:noBreakHyphen/>
            </w:r>
          </w:p>
        </w:tc>
        <w:tc>
          <w:tcPr>
            <w:tcW w:w="850" w:type="dxa"/>
            <w:vAlign w:val="bottom"/>
          </w:tcPr>
          <w:p w14:paraId="4BF4F0FF" w14:textId="327BFCF8" w:rsidR="00B449D0" w:rsidRDefault="00076D78">
            <w:pPr>
              <w:pStyle w:val="Summarytabletextrightaligned"/>
            </w:pPr>
            <w:r>
              <w:noBreakHyphen/>
            </w:r>
          </w:p>
        </w:tc>
        <w:tc>
          <w:tcPr>
            <w:tcW w:w="850" w:type="dxa"/>
            <w:vAlign w:val="bottom"/>
          </w:tcPr>
          <w:p w14:paraId="0ECE32C4" w14:textId="19DD86CD" w:rsidR="00B449D0" w:rsidRDefault="00076D78">
            <w:pPr>
              <w:pStyle w:val="Summarytabletextrightaligned"/>
            </w:pPr>
            <w:r>
              <w:noBreakHyphen/>
            </w:r>
          </w:p>
        </w:tc>
      </w:tr>
      <w:tr w:rsidR="00B449D0" w14:paraId="0A29FC3A" w14:textId="77777777" w:rsidTr="6083684C">
        <w:tc>
          <w:tcPr>
            <w:tcW w:w="3471" w:type="dxa"/>
            <w:vAlign w:val="bottom"/>
          </w:tcPr>
          <w:p w14:paraId="640F8CAB" w14:textId="77777777" w:rsidR="00B449D0" w:rsidRDefault="00175344">
            <w:pPr>
              <w:pStyle w:val="Summarytabletextleftalignedbold"/>
            </w:pPr>
            <w:r>
              <w:t>Portfolio total</w:t>
            </w:r>
          </w:p>
        </w:tc>
        <w:tc>
          <w:tcPr>
            <w:tcW w:w="850" w:type="dxa"/>
            <w:tcBorders>
              <w:top w:val="single" w:sz="4" w:space="0" w:color="000000" w:themeColor="text1"/>
              <w:bottom w:val="single" w:sz="4" w:space="0" w:color="000000" w:themeColor="text1"/>
            </w:tcBorders>
            <w:vAlign w:val="bottom"/>
          </w:tcPr>
          <w:p w14:paraId="439478E0" w14:textId="42A0DAD6" w:rsidR="00B449D0" w:rsidRDefault="00076D78">
            <w:pPr>
              <w:pStyle w:val="Summarytabletextrightalignedbold"/>
            </w:pPr>
            <w:r>
              <w:noBreakHyphen/>
            </w:r>
          </w:p>
        </w:tc>
        <w:tc>
          <w:tcPr>
            <w:tcW w:w="850" w:type="dxa"/>
            <w:tcBorders>
              <w:top w:val="single" w:sz="4" w:space="0" w:color="000000" w:themeColor="text1"/>
              <w:bottom w:val="single" w:sz="4" w:space="0" w:color="000000" w:themeColor="text1"/>
            </w:tcBorders>
            <w:shd w:val="clear" w:color="auto" w:fill="E6F2FF"/>
            <w:vAlign w:val="bottom"/>
          </w:tcPr>
          <w:p w14:paraId="31EE13C6" w14:textId="77777777" w:rsidR="00B449D0" w:rsidRDefault="00175344">
            <w:pPr>
              <w:pStyle w:val="Summarytabletextrightalignedbold"/>
            </w:pPr>
            <w:r>
              <w:t>5.0</w:t>
            </w:r>
          </w:p>
        </w:tc>
        <w:tc>
          <w:tcPr>
            <w:tcW w:w="850" w:type="dxa"/>
            <w:tcBorders>
              <w:top w:val="single" w:sz="4" w:space="0" w:color="000000" w:themeColor="text1"/>
              <w:bottom w:val="single" w:sz="4" w:space="0" w:color="000000" w:themeColor="text1"/>
            </w:tcBorders>
            <w:vAlign w:val="bottom"/>
          </w:tcPr>
          <w:p w14:paraId="15796A13" w14:textId="5A632805" w:rsidR="00B449D0" w:rsidRDefault="00076D78">
            <w:pPr>
              <w:pStyle w:val="Summarytabletextrightalignedbold"/>
            </w:pPr>
            <w:r>
              <w:noBreakHyphen/>
            </w:r>
            <w:r w:rsidR="00175344">
              <w:t>11.0</w:t>
            </w:r>
          </w:p>
        </w:tc>
        <w:tc>
          <w:tcPr>
            <w:tcW w:w="850" w:type="dxa"/>
            <w:tcBorders>
              <w:top w:val="single" w:sz="4" w:space="0" w:color="000000" w:themeColor="text1"/>
              <w:bottom w:val="single" w:sz="4" w:space="0" w:color="000000" w:themeColor="text1"/>
            </w:tcBorders>
            <w:vAlign w:val="bottom"/>
          </w:tcPr>
          <w:p w14:paraId="6DE717E4" w14:textId="77D01FF8" w:rsidR="00B449D0" w:rsidRDefault="00076D78">
            <w:pPr>
              <w:pStyle w:val="Summarytabletextrightalignedbold"/>
            </w:pPr>
            <w:r>
              <w:noBreakHyphen/>
            </w:r>
            <w:r w:rsidR="00175344">
              <w:t>18.0</w:t>
            </w:r>
          </w:p>
        </w:tc>
        <w:tc>
          <w:tcPr>
            <w:tcW w:w="850" w:type="dxa"/>
            <w:tcBorders>
              <w:top w:val="single" w:sz="4" w:space="0" w:color="000000" w:themeColor="text1"/>
              <w:bottom w:val="single" w:sz="4" w:space="0" w:color="000000" w:themeColor="text1"/>
            </w:tcBorders>
            <w:vAlign w:val="bottom"/>
          </w:tcPr>
          <w:p w14:paraId="558C807C" w14:textId="4629CD31" w:rsidR="00B449D0" w:rsidRDefault="00076D78">
            <w:pPr>
              <w:pStyle w:val="Summarytabletextrightalignedbold"/>
            </w:pPr>
            <w:r>
              <w:noBreakHyphen/>
            </w:r>
            <w:r w:rsidR="00175344">
              <w:t>20.0</w:t>
            </w:r>
          </w:p>
        </w:tc>
      </w:tr>
      <w:tr w:rsidR="00B449D0" w14:paraId="1D7F0F57" w14:textId="77777777" w:rsidTr="6083684C">
        <w:tc>
          <w:tcPr>
            <w:tcW w:w="3471" w:type="dxa"/>
            <w:vAlign w:val="bottom"/>
          </w:tcPr>
          <w:p w14:paraId="07BDF51F" w14:textId="77777777" w:rsidR="00B449D0" w:rsidRDefault="00175344">
            <w:pPr>
              <w:pStyle w:val="SummaryPortfolioTitle-BP2"/>
            </w:pPr>
            <w:r>
              <w:t>INFRASTRUCTURE, TRANSPORT, REGIONAL DEVELOPMENT, COMMUNICATIONS AND THE ARTS</w:t>
            </w:r>
          </w:p>
        </w:tc>
        <w:tc>
          <w:tcPr>
            <w:tcW w:w="850" w:type="dxa"/>
          </w:tcPr>
          <w:p w14:paraId="1D7154A5" w14:textId="77777777" w:rsidR="00B449D0" w:rsidRDefault="00B449D0">
            <w:pPr>
              <w:pStyle w:val="MeasureTableTextRightAlignedBefore6ptAfter1pt"/>
            </w:pPr>
          </w:p>
        </w:tc>
        <w:tc>
          <w:tcPr>
            <w:tcW w:w="850" w:type="dxa"/>
            <w:shd w:val="clear" w:color="auto" w:fill="E6F2FF"/>
          </w:tcPr>
          <w:p w14:paraId="1FC90221" w14:textId="77777777" w:rsidR="00B449D0" w:rsidRDefault="00B449D0">
            <w:pPr>
              <w:pStyle w:val="MeasureTableTextRightAlignedBefore6ptAfter1pt"/>
            </w:pPr>
          </w:p>
        </w:tc>
        <w:tc>
          <w:tcPr>
            <w:tcW w:w="850" w:type="dxa"/>
          </w:tcPr>
          <w:p w14:paraId="7D636AB3" w14:textId="77777777" w:rsidR="00B449D0" w:rsidRDefault="00B449D0">
            <w:pPr>
              <w:pStyle w:val="MeasureTableTextRightAlignedBefore6ptAfter1pt"/>
            </w:pPr>
          </w:p>
        </w:tc>
        <w:tc>
          <w:tcPr>
            <w:tcW w:w="850" w:type="dxa"/>
          </w:tcPr>
          <w:p w14:paraId="6A015680" w14:textId="77777777" w:rsidR="00B449D0" w:rsidRDefault="00B449D0">
            <w:pPr>
              <w:pStyle w:val="MeasureTableTextRightAlignedBefore6ptAfter1pt"/>
            </w:pPr>
          </w:p>
        </w:tc>
        <w:tc>
          <w:tcPr>
            <w:tcW w:w="850" w:type="dxa"/>
          </w:tcPr>
          <w:p w14:paraId="506067E8" w14:textId="77777777" w:rsidR="00B449D0" w:rsidRDefault="00B449D0">
            <w:pPr>
              <w:pStyle w:val="MeasureTableTextRightAlignedBefore6ptAfter1pt"/>
            </w:pPr>
          </w:p>
        </w:tc>
      </w:tr>
      <w:tr w:rsidR="00B449D0" w14:paraId="590DDEC5" w14:textId="77777777" w:rsidTr="6083684C">
        <w:tc>
          <w:tcPr>
            <w:tcW w:w="3471" w:type="dxa"/>
            <w:vAlign w:val="bottom"/>
          </w:tcPr>
          <w:p w14:paraId="2E7C5133" w14:textId="77777777" w:rsidR="00B449D0" w:rsidRDefault="00175344">
            <w:pPr>
              <w:pStyle w:val="SummaryAgencyTitle-BP2"/>
            </w:pPr>
            <w:r>
              <w:t>Australian Communications and Media Authority</w:t>
            </w:r>
          </w:p>
        </w:tc>
        <w:tc>
          <w:tcPr>
            <w:tcW w:w="850" w:type="dxa"/>
          </w:tcPr>
          <w:p w14:paraId="7243EE23" w14:textId="77777777" w:rsidR="00B449D0" w:rsidRDefault="00B449D0">
            <w:pPr>
              <w:pStyle w:val="SummaryAgencyTitle-BP2"/>
            </w:pPr>
          </w:p>
        </w:tc>
        <w:tc>
          <w:tcPr>
            <w:tcW w:w="850" w:type="dxa"/>
            <w:shd w:val="clear" w:color="auto" w:fill="E6F2FF"/>
          </w:tcPr>
          <w:p w14:paraId="3313A209" w14:textId="77777777" w:rsidR="00B449D0" w:rsidRDefault="00B449D0">
            <w:pPr>
              <w:pStyle w:val="SummaryAgencyTitle-BP2"/>
            </w:pPr>
          </w:p>
        </w:tc>
        <w:tc>
          <w:tcPr>
            <w:tcW w:w="850" w:type="dxa"/>
          </w:tcPr>
          <w:p w14:paraId="133C0DB6" w14:textId="77777777" w:rsidR="00B449D0" w:rsidRDefault="00B449D0">
            <w:pPr>
              <w:pStyle w:val="SummaryAgencyTitle-BP2"/>
            </w:pPr>
          </w:p>
        </w:tc>
        <w:tc>
          <w:tcPr>
            <w:tcW w:w="850" w:type="dxa"/>
          </w:tcPr>
          <w:p w14:paraId="01E6BBD0" w14:textId="77777777" w:rsidR="00B449D0" w:rsidRDefault="00B449D0">
            <w:pPr>
              <w:pStyle w:val="SummaryAgencyTitle-BP2"/>
            </w:pPr>
          </w:p>
        </w:tc>
        <w:tc>
          <w:tcPr>
            <w:tcW w:w="850" w:type="dxa"/>
          </w:tcPr>
          <w:p w14:paraId="0BBFD2FD" w14:textId="77777777" w:rsidR="00B449D0" w:rsidRDefault="00B449D0">
            <w:pPr>
              <w:pStyle w:val="SummaryAgencyTitle-BP2"/>
            </w:pPr>
          </w:p>
        </w:tc>
      </w:tr>
      <w:tr w:rsidR="00B449D0" w14:paraId="18726CDA" w14:textId="77777777" w:rsidTr="6083684C">
        <w:tc>
          <w:tcPr>
            <w:tcW w:w="3471" w:type="dxa"/>
            <w:vAlign w:val="bottom"/>
          </w:tcPr>
          <w:p w14:paraId="04281882" w14:textId="77777777" w:rsidR="00B449D0" w:rsidRDefault="00175344">
            <w:pPr>
              <w:pStyle w:val="SummaryMeasureTitlewithTheme"/>
            </w:pPr>
            <w:r>
              <w:t>Supporting News and Media Diversity(b)</w:t>
            </w:r>
          </w:p>
        </w:tc>
        <w:tc>
          <w:tcPr>
            <w:tcW w:w="850" w:type="dxa"/>
            <w:vAlign w:val="bottom"/>
          </w:tcPr>
          <w:p w14:paraId="1140DB77" w14:textId="54FADD9F" w:rsidR="00B449D0" w:rsidRDefault="00076D78">
            <w:pPr>
              <w:pStyle w:val="Summarytabletextrightaligned"/>
            </w:pPr>
            <w:r>
              <w:noBreakHyphen/>
            </w:r>
          </w:p>
        </w:tc>
        <w:tc>
          <w:tcPr>
            <w:tcW w:w="850" w:type="dxa"/>
            <w:shd w:val="clear" w:color="auto" w:fill="E6F2FF"/>
            <w:vAlign w:val="bottom"/>
          </w:tcPr>
          <w:p w14:paraId="00302C77" w14:textId="3D8F7DBA" w:rsidR="00B449D0" w:rsidRDefault="00076D78">
            <w:pPr>
              <w:pStyle w:val="Summarytabletextrightaligned"/>
            </w:pPr>
            <w:r>
              <w:noBreakHyphen/>
            </w:r>
          </w:p>
        </w:tc>
        <w:tc>
          <w:tcPr>
            <w:tcW w:w="850" w:type="dxa"/>
            <w:vAlign w:val="bottom"/>
          </w:tcPr>
          <w:p w14:paraId="5326889A" w14:textId="09842806" w:rsidR="00B449D0" w:rsidRDefault="00076D78">
            <w:pPr>
              <w:pStyle w:val="Summarytabletextrightaligned"/>
            </w:pPr>
            <w:r>
              <w:noBreakHyphen/>
            </w:r>
            <w:r w:rsidR="00175344">
              <w:t>50.2</w:t>
            </w:r>
          </w:p>
        </w:tc>
        <w:tc>
          <w:tcPr>
            <w:tcW w:w="850" w:type="dxa"/>
            <w:vAlign w:val="bottom"/>
          </w:tcPr>
          <w:p w14:paraId="08535EB5" w14:textId="5493ED29" w:rsidR="00B449D0" w:rsidRDefault="00076D78">
            <w:pPr>
              <w:pStyle w:val="Summarytabletextrightaligned"/>
            </w:pPr>
            <w:r>
              <w:noBreakHyphen/>
            </w:r>
            <w:r w:rsidR="00175344">
              <w:t>0.1</w:t>
            </w:r>
          </w:p>
        </w:tc>
        <w:tc>
          <w:tcPr>
            <w:tcW w:w="850" w:type="dxa"/>
            <w:vAlign w:val="bottom"/>
          </w:tcPr>
          <w:p w14:paraId="0164F0B1" w14:textId="36B2D882" w:rsidR="00B449D0" w:rsidRDefault="00076D78">
            <w:pPr>
              <w:pStyle w:val="Summarytabletextrightaligned"/>
            </w:pPr>
            <w:r>
              <w:noBreakHyphen/>
            </w:r>
          </w:p>
        </w:tc>
      </w:tr>
      <w:tr w:rsidR="00B449D0" w14:paraId="61E7CFAD" w14:textId="77777777" w:rsidTr="6083684C">
        <w:tc>
          <w:tcPr>
            <w:tcW w:w="3471" w:type="dxa"/>
            <w:vAlign w:val="bottom"/>
          </w:tcPr>
          <w:p w14:paraId="78C6A3A9" w14:textId="77777777" w:rsidR="00B449D0" w:rsidRDefault="00175344">
            <w:pPr>
              <w:pStyle w:val="SummaryAgencyTitle-BP2"/>
            </w:pPr>
            <w:r>
              <w:t>Department of Infrastructure, Transport, Regional Development, Communications and the Arts</w:t>
            </w:r>
          </w:p>
        </w:tc>
        <w:tc>
          <w:tcPr>
            <w:tcW w:w="850" w:type="dxa"/>
          </w:tcPr>
          <w:p w14:paraId="77818623" w14:textId="77777777" w:rsidR="00B449D0" w:rsidRDefault="00B449D0">
            <w:pPr>
              <w:pStyle w:val="SummaryAgencyTitle-BP2"/>
            </w:pPr>
          </w:p>
        </w:tc>
        <w:tc>
          <w:tcPr>
            <w:tcW w:w="850" w:type="dxa"/>
            <w:shd w:val="clear" w:color="auto" w:fill="E6F2FF"/>
          </w:tcPr>
          <w:p w14:paraId="3F03D8FD" w14:textId="77777777" w:rsidR="00B449D0" w:rsidRDefault="00B449D0">
            <w:pPr>
              <w:pStyle w:val="SummaryAgencyTitle-BP2"/>
            </w:pPr>
          </w:p>
        </w:tc>
        <w:tc>
          <w:tcPr>
            <w:tcW w:w="850" w:type="dxa"/>
          </w:tcPr>
          <w:p w14:paraId="11A82786" w14:textId="77777777" w:rsidR="00B449D0" w:rsidRDefault="00B449D0">
            <w:pPr>
              <w:pStyle w:val="SummaryAgencyTitle-BP2"/>
            </w:pPr>
          </w:p>
        </w:tc>
        <w:tc>
          <w:tcPr>
            <w:tcW w:w="850" w:type="dxa"/>
          </w:tcPr>
          <w:p w14:paraId="7B00E956" w14:textId="77777777" w:rsidR="00B449D0" w:rsidRDefault="00B449D0">
            <w:pPr>
              <w:pStyle w:val="SummaryAgencyTitle-BP2"/>
            </w:pPr>
          </w:p>
        </w:tc>
        <w:tc>
          <w:tcPr>
            <w:tcW w:w="850" w:type="dxa"/>
          </w:tcPr>
          <w:p w14:paraId="6D048824" w14:textId="77777777" w:rsidR="00B449D0" w:rsidRDefault="00B449D0">
            <w:pPr>
              <w:pStyle w:val="SummaryAgencyTitle-BP2"/>
            </w:pPr>
          </w:p>
        </w:tc>
      </w:tr>
      <w:tr w:rsidR="00B449D0" w14:paraId="73579A01" w14:textId="77777777" w:rsidTr="6083684C">
        <w:tc>
          <w:tcPr>
            <w:tcW w:w="3471" w:type="dxa"/>
            <w:vAlign w:val="bottom"/>
          </w:tcPr>
          <w:p w14:paraId="151710C4" w14:textId="77777777" w:rsidR="00B449D0" w:rsidRDefault="00175344">
            <w:pPr>
              <w:pStyle w:val="SummaryMeasureTitlewithTheme"/>
            </w:pPr>
            <w:r>
              <w:t>Supporting Aviation Priorities(b)</w:t>
            </w:r>
          </w:p>
        </w:tc>
        <w:tc>
          <w:tcPr>
            <w:tcW w:w="850" w:type="dxa"/>
            <w:vAlign w:val="bottom"/>
          </w:tcPr>
          <w:p w14:paraId="30EAFEC7" w14:textId="6675352A" w:rsidR="00B449D0" w:rsidRDefault="00076D78">
            <w:pPr>
              <w:pStyle w:val="Summarytabletextrightaligned"/>
            </w:pPr>
            <w:r>
              <w:noBreakHyphen/>
            </w:r>
          </w:p>
        </w:tc>
        <w:tc>
          <w:tcPr>
            <w:tcW w:w="850" w:type="dxa"/>
            <w:shd w:val="clear" w:color="auto" w:fill="E6F2FF"/>
            <w:vAlign w:val="bottom"/>
          </w:tcPr>
          <w:p w14:paraId="423CEE63" w14:textId="51119791" w:rsidR="00B449D0" w:rsidRDefault="00076D78">
            <w:pPr>
              <w:pStyle w:val="Summarytabletextrightaligned"/>
            </w:pPr>
            <w:r>
              <w:noBreakHyphen/>
            </w:r>
          </w:p>
        </w:tc>
        <w:tc>
          <w:tcPr>
            <w:tcW w:w="850" w:type="dxa"/>
            <w:vAlign w:val="bottom"/>
          </w:tcPr>
          <w:p w14:paraId="36921A7E" w14:textId="77777777" w:rsidR="00B449D0" w:rsidRDefault="00175344" w:rsidP="7F762F0D">
            <w:pPr>
              <w:pStyle w:val="Summarytabletextrightaligned"/>
              <w:rPr>
                <w:lang w:val="en-US"/>
              </w:rPr>
            </w:pPr>
            <w:r w:rsidRPr="7F762F0D">
              <w:rPr>
                <w:lang w:val="en-US"/>
              </w:rPr>
              <w:t>nfp</w:t>
            </w:r>
          </w:p>
        </w:tc>
        <w:tc>
          <w:tcPr>
            <w:tcW w:w="850" w:type="dxa"/>
            <w:vAlign w:val="bottom"/>
          </w:tcPr>
          <w:p w14:paraId="1E0F150A" w14:textId="6779AF86" w:rsidR="00B449D0" w:rsidRDefault="00076D78">
            <w:pPr>
              <w:pStyle w:val="Summarytabletextrightaligned"/>
            </w:pPr>
            <w:r>
              <w:noBreakHyphen/>
            </w:r>
          </w:p>
        </w:tc>
        <w:tc>
          <w:tcPr>
            <w:tcW w:w="850" w:type="dxa"/>
            <w:vAlign w:val="bottom"/>
          </w:tcPr>
          <w:p w14:paraId="43A6DC20" w14:textId="03DD06CE" w:rsidR="00B449D0" w:rsidRDefault="00076D78">
            <w:pPr>
              <w:pStyle w:val="Summarytabletextrightaligned"/>
            </w:pPr>
            <w:r>
              <w:noBreakHyphen/>
            </w:r>
          </w:p>
        </w:tc>
      </w:tr>
      <w:tr w:rsidR="00B449D0" w14:paraId="61ACDF90" w14:textId="77777777" w:rsidTr="6083684C">
        <w:tc>
          <w:tcPr>
            <w:tcW w:w="3471" w:type="dxa"/>
            <w:vAlign w:val="bottom"/>
          </w:tcPr>
          <w:p w14:paraId="02BC052A" w14:textId="77777777" w:rsidR="00B449D0" w:rsidRDefault="00175344">
            <w:pPr>
              <w:pStyle w:val="Summarytabletextleftalignedbold"/>
            </w:pPr>
            <w:r>
              <w:t>Portfolio total</w:t>
            </w:r>
          </w:p>
        </w:tc>
        <w:tc>
          <w:tcPr>
            <w:tcW w:w="850" w:type="dxa"/>
            <w:tcBorders>
              <w:top w:val="single" w:sz="4" w:space="0" w:color="000000" w:themeColor="text1"/>
              <w:bottom w:val="single" w:sz="4" w:space="0" w:color="000000" w:themeColor="text1"/>
            </w:tcBorders>
            <w:vAlign w:val="bottom"/>
          </w:tcPr>
          <w:p w14:paraId="021EC5D9" w14:textId="2170F029" w:rsidR="00B449D0" w:rsidRDefault="00076D78">
            <w:pPr>
              <w:pStyle w:val="Summarytabletextrightalignedbold"/>
            </w:pPr>
            <w:r>
              <w:noBreakHyphen/>
            </w:r>
          </w:p>
        </w:tc>
        <w:tc>
          <w:tcPr>
            <w:tcW w:w="850" w:type="dxa"/>
            <w:tcBorders>
              <w:top w:val="single" w:sz="4" w:space="0" w:color="000000" w:themeColor="text1"/>
              <w:bottom w:val="single" w:sz="4" w:space="0" w:color="000000" w:themeColor="text1"/>
            </w:tcBorders>
            <w:shd w:val="clear" w:color="auto" w:fill="E6F2FF"/>
            <w:vAlign w:val="bottom"/>
          </w:tcPr>
          <w:p w14:paraId="7198C20A" w14:textId="70DA0AEE" w:rsidR="00B449D0" w:rsidRDefault="00076D78">
            <w:pPr>
              <w:pStyle w:val="Summarytabletextrightalignedbold"/>
            </w:pPr>
            <w:r>
              <w:noBreakHyphen/>
            </w:r>
          </w:p>
        </w:tc>
        <w:tc>
          <w:tcPr>
            <w:tcW w:w="850" w:type="dxa"/>
            <w:tcBorders>
              <w:top w:val="single" w:sz="4" w:space="0" w:color="000000" w:themeColor="text1"/>
              <w:bottom w:val="single" w:sz="4" w:space="0" w:color="000000" w:themeColor="text1"/>
            </w:tcBorders>
            <w:vAlign w:val="bottom"/>
          </w:tcPr>
          <w:p w14:paraId="0C58F0EB" w14:textId="3D95DF19" w:rsidR="00B449D0" w:rsidRDefault="00076D78">
            <w:pPr>
              <w:pStyle w:val="Summarytabletextrightalignedbold"/>
            </w:pPr>
            <w:r>
              <w:noBreakHyphen/>
            </w:r>
            <w:r w:rsidR="00175344">
              <w:t>50.2</w:t>
            </w:r>
          </w:p>
        </w:tc>
        <w:tc>
          <w:tcPr>
            <w:tcW w:w="850" w:type="dxa"/>
            <w:tcBorders>
              <w:top w:val="single" w:sz="4" w:space="0" w:color="000000" w:themeColor="text1"/>
              <w:bottom w:val="single" w:sz="4" w:space="0" w:color="000000" w:themeColor="text1"/>
            </w:tcBorders>
            <w:vAlign w:val="bottom"/>
          </w:tcPr>
          <w:p w14:paraId="4B1F19F3" w14:textId="461115AF" w:rsidR="00B449D0" w:rsidRDefault="00076D78">
            <w:pPr>
              <w:pStyle w:val="Summarytabletextrightalignedbold"/>
            </w:pPr>
            <w:r>
              <w:noBreakHyphen/>
            </w:r>
            <w:r w:rsidR="00175344">
              <w:t>0.1</w:t>
            </w:r>
          </w:p>
        </w:tc>
        <w:tc>
          <w:tcPr>
            <w:tcW w:w="850" w:type="dxa"/>
            <w:tcBorders>
              <w:top w:val="single" w:sz="4" w:space="0" w:color="000000" w:themeColor="text1"/>
              <w:bottom w:val="single" w:sz="4" w:space="0" w:color="000000" w:themeColor="text1"/>
            </w:tcBorders>
            <w:vAlign w:val="bottom"/>
          </w:tcPr>
          <w:p w14:paraId="03334A0F" w14:textId="11E842B7" w:rsidR="00B449D0" w:rsidRDefault="00076D78">
            <w:pPr>
              <w:pStyle w:val="Summarytabletextrightalignedbold"/>
            </w:pPr>
            <w:r>
              <w:noBreakHyphen/>
            </w:r>
          </w:p>
        </w:tc>
      </w:tr>
      <w:tr w:rsidR="00B449D0" w14:paraId="13A6EF35" w14:textId="77777777" w:rsidTr="6083684C">
        <w:tc>
          <w:tcPr>
            <w:tcW w:w="3471" w:type="dxa"/>
            <w:vAlign w:val="bottom"/>
          </w:tcPr>
          <w:p w14:paraId="40098768" w14:textId="77777777" w:rsidR="00B449D0" w:rsidRDefault="00175344">
            <w:pPr>
              <w:pStyle w:val="SummaryPortfolioTitle-BP2"/>
            </w:pPr>
            <w:r>
              <w:t>SOCIAL SERVICES</w:t>
            </w:r>
          </w:p>
        </w:tc>
        <w:tc>
          <w:tcPr>
            <w:tcW w:w="850" w:type="dxa"/>
          </w:tcPr>
          <w:p w14:paraId="489C876F" w14:textId="77777777" w:rsidR="00B449D0" w:rsidRDefault="00B449D0">
            <w:pPr>
              <w:pStyle w:val="MeasureTableTextRightAlignedBefore6ptAfter1pt"/>
            </w:pPr>
          </w:p>
        </w:tc>
        <w:tc>
          <w:tcPr>
            <w:tcW w:w="850" w:type="dxa"/>
            <w:shd w:val="clear" w:color="auto" w:fill="E6F2FF"/>
          </w:tcPr>
          <w:p w14:paraId="38048152" w14:textId="77777777" w:rsidR="00B449D0" w:rsidRDefault="00B449D0">
            <w:pPr>
              <w:pStyle w:val="MeasureTableTextRightAlignedBefore6ptAfter1pt"/>
            </w:pPr>
          </w:p>
        </w:tc>
        <w:tc>
          <w:tcPr>
            <w:tcW w:w="850" w:type="dxa"/>
          </w:tcPr>
          <w:p w14:paraId="1FE1F205" w14:textId="77777777" w:rsidR="00B449D0" w:rsidRDefault="00B449D0">
            <w:pPr>
              <w:pStyle w:val="MeasureTableTextRightAlignedBefore6ptAfter1pt"/>
            </w:pPr>
          </w:p>
        </w:tc>
        <w:tc>
          <w:tcPr>
            <w:tcW w:w="850" w:type="dxa"/>
          </w:tcPr>
          <w:p w14:paraId="3A0E6B61" w14:textId="77777777" w:rsidR="00B449D0" w:rsidRDefault="00B449D0">
            <w:pPr>
              <w:pStyle w:val="MeasureTableTextRightAlignedBefore6ptAfter1pt"/>
            </w:pPr>
          </w:p>
        </w:tc>
        <w:tc>
          <w:tcPr>
            <w:tcW w:w="850" w:type="dxa"/>
          </w:tcPr>
          <w:p w14:paraId="563A3F9B" w14:textId="77777777" w:rsidR="00B449D0" w:rsidRDefault="00B449D0">
            <w:pPr>
              <w:pStyle w:val="MeasureTableTextRightAlignedBefore6ptAfter1pt"/>
            </w:pPr>
          </w:p>
        </w:tc>
      </w:tr>
      <w:tr w:rsidR="00B449D0" w14:paraId="4FDA901B" w14:textId="77777777" w:rsidTr="6083684C">
        <w:tc>
          <w:tcPr>
            <w:tcW w:w="3471" w:type="dxa"/>
            <w:vAlign w:val="bottom"/>
          </w:tcPr>
          <w:p w14:paraId="06338C30" w14:textId="77777777" w:rsidR="00B449D0" w:rsidRDefault="00175344">
            <w:pPr>
              <w:pStyle w:val="SummaryAgencyTitle-BP2"/>
            </w:pPr>
            <w:r>
              <w:t>National Disability Insurance Agency</w:t>
            </w:r>
          </w:p>
        </w:tc>
        <w:tc>
          <w:tcPr>
            <w:tcW w:w="850" w:type="dxa"/>
          </w:tcPr>
          <w:p w14:paraId="0295CF4E" w14:textId="77777777" w:rsidR="00B449D0" w:rsidRDefault="00B449D0">
            <w:pPr>
              <w:pStyle w:val="SummaryAgencyTitle-BP2"/>
            </w:pPr>
          </w:p>
        </w:tc>
        <w:tc>
          <w:tcPr>
            <w:tcW w:w="850" w:type="dxa"/>
            <w:shd w:val="clear" w:color="auto" w:fill="E6F2FF"/>
          </w:tcPr>
          <w:p w14:paraId="483E89D9" w14:textId="77777777" w:rsidR="00B449D0" w:rsidRDefault="00B449D0">
            <w:pPr>
              <w:pStyle w:val="SummaryAgencyTitle-BP2"/>
            </w:pPr>
          </w:p>
        </w:tc>
        <w:tc>
          <w:tcPr>
            <w:tcW w:w="850" w:type="dxa"/>
          </w:tcPr>
          <w:p w14:paraId="223B319D" w14:textId="77777777" w:rsidR="00B449D0" w:rsidRDefault="00B449D0">
            <w:pPr>
              <w:pStyle w:val="SummaryAgencyTitle-BP2"/>
            </w:pPr>
          </w:p>
        </w:tc>
        <w:tc>
          <w:tcPr>
            <w:tcW w:w="850" w:type="dxa"/>
          </w:tcPr>
          <w:p w14:paraId="53EB0E1B" w14:textId="77777777" w:rsidR="00B449D0" w:rsidRDefault="00B449D0">
            <w:pPr>
              <w:pStyle w:val="SummaryAgencyTitle-BP2"/>
            </w:pPr>
          </w:p>
        </w:tc>
        <w:tc>
          <w:tcPr>
            <w:tcW w:w="850" w:type="dxa"/>
          </w:tcPr>
          <w:p w14:paraId="7B88F2E1" w14:textId="77777777" w:rsidR="00B449D0" w:rsidRDefault="00B449D0">
            <w:pPr>
              <w:pStyle w:val="SummaryAgencyTitle-BP2"/>
            </w:pPr>
          </w:p>
        </w:tc>
      </w:tr>
      <w:tr w:rsidR="00B449D0" w14:paraId="262CE194" w14:textId="77777777" w:rsidTr="6083684C">
        <w:tc>
          <w:tcPr>
            <w:tcW w:w="3471" w:type="dxa"/>
            <w:vAlign w:val="bottom"/>
          </w:tcPr>
          <w:p w14:paraId="0ED74B15" w14:textId="77777777" w:rsidR="00B449D0" w:rsidRDefault="00175344">
            <w:pPr>
              <w:pStyle w:val="SummaryMeasureTitlewithTheme"/>
            </w:pPr>
            <w:r>
              <w:t>National Disability Insurance Scheme Reform(b)</w:t>
            </w:r>
          </w:p>
        </w:tc>
        <w:tc>
          <w:tcPr>
            <w:tcW w:w="850" w:type="dxa"/>
            <w:vAlign w:val="bottom"/>
          </w:tcPr>
          <w:p w14:paraId="74680DFD" w14:textId="345A9355" w:rsidR="00B449D0" w:rsidRDefault="00076D78">
            <w:pPr>
              <w:pStyle w:val="Summarytabletextrightaligned"/>
            </w:pPr>
            <w:r>
              <w:noBreakHyphen/>
            </w:r>
          </w:p>
        </w:tc>
        <w:tc>
          <w:tcPr>
            <w:tcW w:w="850" w:type="dxa"/>
            <w:shd w:val="clear" w:color="auto" w:fill="E6F2FF"/>
            <w:vAlign w:val="bottom"/>
          </w:tcPr>
          <w:p w14:paraId="56ED86F0" w14:textId="62E1359B" w:rsidR="00B449D0" w:rsidRDefault="00076D78">
            <w:pPr>
              <w:pStyle w:val="Summarytabletextrightaligned"/>
            </w:pPr>
            <w:r>
              <w:noBreakHyphen/>
            </w:r>
          </w:p>
        </w:tc>
        <w:tc>
          <w:tcPr>
            <w:tcW w:w="850" w:type="dxa"/>
            <w:vAlign w:val="bottom"/>
          </w:tcPr>
          <w:p w14:paraId="715E91E8" w14:textId="45C2D156" w:rsidR="00B449D0" w:rsidRDefault="00076D78">
            <w:pPr>
              <w:pStyle w:val="Summarytabletextrightaligned"/>
            </w:pPr>
            <w:r>
              <w:noBreakHyphen/>
            </w:r>
          </w:p>
        </w:tc>
        <w:tc>
          <w:tcPr>
            <w:tcW w:w="850" w:type="dxa"/>
            <w:vAlign w:val="bottom"/>
          </w:tcPr>
          <w:p w14:paraId="541060A0" w14:textId="4F44B318" w:rsidR="00B449D0" w:rsidRDefault="00076D78">
            <w:pPr>
              <w:pStyle w:val="Summarytabletextrightaligned"/>
            </w:pPr>
            <w:r>
              <w:noBreakHyphen/>
            </w:r>
          </w:p>
        </w:tc>
        <w:tc>
          <w:tcPr>
            <w:tcW w:w="850" w:type="dxa"/>
            <w:vAlign w:val="bottom"/>
          </w:tcPr>
          <w:p w14:paraId="1357B0F8" w14:textId="6227FFBE" w:rsidR="00B449D0" w:rsidRDefault="00076D78">
            <w:pPr>
              <w:pStyle w:val="Summarytabletextrightaligned"/>
            </w:pPr>
            <w:r>
              <w:noBreakHyphen/>
            </w:r>
          </w:p>
        </w:tc>
      </w:tr>
      <w:tr w:rsidR="00B449D0" w14:paraId="436672DA" w14:textId="77777777" w:rsidTr="6083684C">
        <w:tc>
          <w:tcPr>
            <w:tcW w:w="3471" w:type="dxa"/>
            <w:vAlign w:val="bottom"/>
          </w:tcPr>
          <w:p w14:paraId="22D6A92F" w14:textId="77777777" w:rsidR="00B449D0" w:rsidRDefault="00175344">
            <w:pPr>
              <w:pStyle w:val="Summarytabletextleftalignedbold"/>
            </w:pPr>
            <w:r>
              <w:t>Portfolio total</w:t>
            </w:r>
          </w:p>
        </w:tc>
        <w:tc>
          <w:tcPr>
            <w:tcW w:w="850" w:type="dxa"/>
            <w:tcBorders>
              <w:top w:val="single" w:sz="4" w:space="0" w:color="000000" w:themeColor="text1"/>
              <w:bottom w:val="single" w:sz="4" w:space="0" w:color="000000" w:themeColor="text1"/>
            </w:tcBorders>
            <w:vAlign w:val="bottom"/>
          </w:tcPr>
          <w:p w14:paraId="20252F51" w14:textId="765461F4" w:rsidR="00B449D0" w:rsidRDefault="00076D78">
            <w:pPr>
              <w:pStyle w:val="Summarytabletextrightalignedbold"/>
            </w:pPr>
            <w:r>
              <w:noBreakHyphen/>
            </w:r>
          </w:p>
        </w:tc>
        <w:tc>
          <w:tcPr>
            <w:tcW w:w="850" w:type="dxa"/>
            <w:tcBorders>
              <w:top w:val="single" w:sz="4" w:space="0" w:color="000000" w:themeColor="text1"/>
              <w:bottom w:val="single" w:sz="4" w:space="0" w:color="000000" w:themeColor="text1"/>
            </w:tcBorders>
            <w:shd w:val="clear" w:color="auto" w:fill="E6F2FF"/>
            <w:vAlign w:val="bottom"/>
          </w:tcPr>
          <w:p w14:paraId="4D94F597" w14:textId="67B40883" w:rsidR="00B449D0" w:rsidRDefault="00076D78">
            <w:pPr>
              <w:pStyle w:val="Summarytabletextrightalignedbold"/>
            </w:pPr>
            <w:r>
              <w:noBreakHyphen/>
            </w:r>
          </w:p>
        </w:tc>
        <w:tc>
          <w:tcPr>
            <w:tcW w:w="850" w:type="dxa"/>
            <w:tcBorders>
              <w:top w:val="single" w:sz="4" w:space="0" w:color="000000" w:themeColor="text1"/>
              <w:bottom w:val="single" w:sz="4" w:space="0" w:color="000000" w:themeColor="text1"/>
            </w:tcBorders>
            <w:vAlign w:val="bottom"/>
          </w:tcPr>
          <w:p w14:paraId="669E806A" w14:textId="176299A5" w:rsidR="00B449D0" w:rsidRDefault="00076D78">
            <w:pPr>
              <w:pStyle w:val="Summarytabletextrightalignedbold"/>
            </w:pPr>
            <w:r>
              <w:noBreakHyphen/>
            </w:r>
          </w:p>
        </w:tc>
        <w:tc>
          <w:tcPr>
            <w:tcW w:w="850" w:type="dxa"/>
            <w:tcBorders>
              <w:top w:val="single" w:sz="4" w:space="0" w:color="000000" w:themeColor="text1"/>
              <w:bottom w:val="single" w:sz="4" w:space="0" w:color="000000" w:themeColor="text1"/>
            </w:tcBorders>
            <w:vAlign w:val="bottom"/>
          </w:tcPr>
          <w:p w14:paraId="69B14530" w14:textId="5370C97C" w:rsidR="00B449D0" w:rsidRDefault="00076D78">
            <w:pPr>
              <w:pStyle w:val="Summarytabletextrightalignedbold"/>
            </w:pPr>
            <w:r>
              <w:noBreakHyphen/>
            </w:r>
          </w:p>
        </w:tc>
        <w:tc>
          <w:tcPr>
            <w:tcW w:w="850" w:type="dxa"/>
            <w:tcBorders>
              <w:top w:val="single" w:sz="4" w:space="0" w:color="000000" w:themeColor="text1"/>
              <w:bottom w:val="single" w:sz="4" w:space="0" w:color="000000" w:themeColor="text1"/>
            </w:tcBorders>
            <w:vAlign w:val="bottom"/>
          </w:tcPr>
          <w:p w14:paraId="50B824BE" w14:textId="6019EF0A" w:rsidR="00B449D0" w:rsidRDefault="00076D78">
            <w:pPr>
              <w:pStyle w:val="Summarytabletextrightalignedbold"/>
            </w:pPr>
            <w:r>
              <w:noBreakHyphen/>
            </w:r>
          </w:p>
        </w:tc>
      </w:tr>
    </w:tbl>
    <w:p w14:paraId="4C50E944" w14:textId="77777777" w:rsidR="00301E48" w:rsidRDefault="00301E48" w:rsidP="00B85ACC">
      <w:pPr>
        <w:pStyle w:val="SingleParagraph0"/>
        <w:sectPr w:rsidR="00301E48" w:rsidSect="00301E48">
          <w:endnotePr>
            <w:numFmt w:val="lowerLetter"/>
            <w:numRestart w:val="eachSect"/>
          </w:endnotePr>
          <w:pgSz w:w="11906" w:h="16838" w:code="9"/>
          <w:pgMar w:top="2835" w:right="2098" w:bottom="2466" w:left="2098" w:header="1814" w:footer="1814" w:gutter="0"/>
          <w:cols w:space="720"/>
          <w:noEndnote/>
          <w:docGrid w:linePitch="272"/>
        </w:sectPr>
      </w:pPr>
    </w:p>
    <w:p w14:paraId="5711A7E6" w14:textId="6B909B7F" w:rsidR="00301E48" w:rsidRDefault="00301E48" w:rsidP="00301E48">
      <w:pPr>
        <w:pStyle w:val="TableHeadingcontinued"/>
      </w:pPr>
      <w:r>
        <w:lastRenderedPageBreak/>
        <w:t xml:space="preserve">Table </w:t>
      </w:r>
      <w:r w:rsidR="006E0A94">
        <w:t>A.</w:t>
      </w:r>
      <w:r>
        <w:t>1: Receipt measures since the 2024–25 Budget</w:t>
      </w:r>
      <w:r>
        <w:rPr>
          <w:rFonts w:ascii="Cambria Math" w:hAnsi="Cambria Math" w:cs="Cambria Math"/>
        </w:rPr>
        <w:t>⁽</w:t>
      </w:r>
      <w:r>
        <w:rPr>
          <w:rFonts w:cs="Arial"/>
        </w:rPr>
        <w:t>ª</w:t>
      </w:r>
      <w:r>
        <w:rPr>
          <w:rFonts w:ascii="Cambria Math" w:hAnsi="Cambria Math" w:cs="Cambria Math"/>
        </w:rPr>
        <w:t>⁾</w:t>
      </w:r>
      <w:r>
        <w:t xml:space="preserve"> (continued)</w:t>
      </w:r>
    </w:p>
    <w:tbl>
      <w:tblPr>
        <w:tblOverlap w:val="never"/>
        <w:tblW w:w="7721" w:type="dxa"/>
        <w:tblBorders>
          <w:top w:val="single" w:sz="4" w:space="0" w:color="000000"/>
          <w:bottom w:val="single" w:sz="4" w:space="0" w:color="000000"/>
        </w:tblBorders>
        <w:tblLayout w:type="fixed"/>
        <w:tblCellMar>
          <w:left w:w="0" w:type="dxa"/>
          <w:right w:w="56" w:type="dxa"/>
        </w:tblCellMar>
        <w:tblLook w:val="04A0" w:firstRow="1" w:lastRow="0" w:firstColumn="1" w:lastColumn="0" w:noHBand="0" w:noVBand="1"/>
      </w:tblPr>
      <w:tblGrid>
        <w:gridCol w:w="3471"/>
        <w:gridCol w:w="850"/>
        <w:gridCol w:w="850"/>
        <w:gridCol w:w="850"/>
        <w:gridCol w:w="850"/>
        <w:gridCol w:w="850"/>
      </w:tblGrid>
      <w:tr w:rsidR="00301E48" w14:paraId="7BE8BBCA" w14:textId="77777777" w:rsidTr="00301E48">
        <w:tc>
          <w:tcPr>
            <w:tcW w:w="3471" w:type="dxa"/>
            <w:vAlign w:val="bottom"/>
          </w:tcPr>
          <w:p w14:paraId="5B63065C" w14:textId="77777777" w:rsidR="00301E48" w:rsidRDefault="00301E48" w:rsidP="00301E48"/>
        </w:tc>
        <w:tc>
          <w:tcPr>
            <w:tcW w:w="850" w:type="dxa"/>
            <w:tcBorders>
              <w:bottom w:val="nil"/>
            </w:tcBorders>
          </w:tcPr>
          <w:p w14:paraId="00F7CF2B" w14:textId="7CF5FD22" w:rsidR="00301E48" w:rsidRDefault="00301E48" w:rsidP="00301E48">
            <w:pPr>
              <w:pStyle w:val="Summarytabletextrightaligned"/>
            </w:pPr>
            <w:r>
              <w:t>2023</w:t>
            </w:r>
            <w:r w:rsidR="00076D78">
              <w:noBreakHyphen/>
            </w:r>
            <w:r>
              <w:t>24</w:t>
            </w:r>
          </w:p>
        </w:tc>
        <w:tc>
          <w:tcPr>
            <w:tcW w:w="850" w:type="dxa"/>
            <w:tcBorders>
              <w:bottom w:val="nil"/>
            </w:tcBorders>
            <w:shd w:val="clear" w:color="auto" w:fill="E6F2FF"/>
          </w:tcPr>
          <w:p w14:paraId="3DD34CA2" w14:textId="1A0C6EF6" w:rsidR="00301E48" w:rsidRDefault="00301E48" w:rsidP="00301E48">
            <w:pPr>
              <w:pStyle w:val="Summarytabletextrightaligned"/>
            </w:pPr>
            <w:r>
              <w:t>2024</w:t>
            </w:r>
            <w:r w:rsidR="00076D78">
              <w:noBreakHyphen/>
            </w:r>
            <w:r>
              <w:t>25</w:t>
            </w:r>
          </w:p>
        </w:tc>
        <w:tc>
          <w:tcPr>
            <w:tcW w:w="850" w:type="dxa"/>
            <w:tcBorders>
              <w:bottom w:val="nil"/>
            </w:tcBorders>
          </w:tcPr>
          <w:p w14:paraId="6E2FBC8A" w14:textId="0D6F5CA6" w:rsidR="00301E48" w:rsidRDefault="00301E48" w:rsidP="00301E48">
            <w:pPr>
              <w:pStyle w:val="Summarytabletextrightaligned"/>
            </w:pPr>
            <w:r>
              <w:t>2025</w:t>
            </w:r>
            <w:r w:rsidR="00076D78">
              <w:noBreakHyphen/>
            </w:r>
            <w:r>
              <w:t>26</w:t>
            </w:r>
          </w:p>
        </w:tc>
        <w:tc>
          <w:tcPr>
            <w:tcW w:w="850" w:type="dxa"/>
            <w:tcBorders>
              <w:bottom w:val="nil"/>
            </w:tcBorders>
          </w:tcPr>
          <w:p w14:paraId="3860EFB2" w14:textId="73F2C255" w:rsidR="00301E48" w:rsidRDefault="00301E48" w:rsidP="00301E48">
            <w:pPr>
              <w:pStyle w:val="Summarytabletextrightaligned"/>
            </w:pPr>
            <w:r>
              <w:t>2026</w:t>
            </w:r>
            <w:r w:rsidR="00076D78">
              <w:noBreakHyphen/>
            </w:r>
            <w:r>
              <w:t>27</w:t>
            </w:r>
          </w:p>
        </w:tc>
        <w:tc>
          <w:tcPr>
            <w:tcW w:w="850" w:type="dxa"/>
            <w:tcBorders>
              <w:bottom w:val="nil"/>
            </w:tcBorders>
          </w:tcPr>
          <w:p w14:paraId="79D8595A" w14:textId="457A1BE4" w:rsidR="00301E48" w:rsidRDefault="00301E48" w:rsidP="00301E48">
            <w:pPr>
              <w:pStyle w:val="Summarytabletextrightaligned"/>
            </w:pPr>
            <w:r>
              <w:t>2027</w:t>
            </w:r>
            <w:r w:rsidR="00076D78">
              <w:noBreakHyphen/>
            </w:r>
            <w:r>
              <w:t>28</w:t>
            </w:r>
          </w:p>
        </w:tc>
      </w:tr>
      <w:tr w:rsidR="00301E48" w14:paraId="6F25695D" w14:textId="77777777" w:rsidTr="00301E48">
        <w:tc>
          <w:tcPr>
            <w:tcW w:w="3471" w:type="dxa"/>
            <w:vAlign w:val="bottom"/>
          </w:tcPr>
          <w:p w14:paraId="2A793C61" w14:textId="77777777" w:rsidR="00301E48" w:rsidRDefault="00301E48" w:rsidP="00301E48"/>
        </w:tc>
        <w:tc>
          <w:tcPr>
            <w:tcW w:w="850" w:type="dxa"/>
            <w:tcBorders>
              <w:top w:val="nil"/>
              <w:bottom w:val="single" w:sz="4" w:space="0" w:color="auto"/>
            </w:tcBorders>
            <w:shd w:val="clear" w:color="auto" w:fill="auto"/>
          </w:tcPr>
          <w:p w14:paraId="080E22CB" w14:textId="77777777" w:rsidR="00301E48" w:rsidRDefault="00301E48" w:rsidP="00301E48">
            <w:pPr>
              <w:pStyle w:val="Summarytabletextrightaligned"/>
            </w:pPr>
            <w:r>
              <w:t>$m</w:t>
            </w:r>
          </w:p>
        </w:tc>
        <w:tc>
          <w:tcPr>
            <w:tcW w:w="850" w:type="dxa"/>
            <w:tcBorders>
              <w:top w:val="nil"/>
              <w:bottom w:val="single" w:sz="4" w:space="0" w:color="auto"/>
            </w:tcBorders>
            <w:shd w:val="clear" w:color="auto" w:fill="E6F2FF"/>
          </w:tcPr>
          <w:p w14:paraId="21597926" w14:textId="77777777" w:rsidR="00301E48" w:rsidRDefault="00301E48" w:rsidP="00301E48">
            <w:pPr>
              <w:pStyle w:val="Summarytabletextrightaligned"/>
            </w:pPr>
            <w:r>
              <w:t>$m</w:t>
            </w:r>
          </w:p>
        </w:tc>
        <w:tc>
          <w:tcPr>
            <w:tcW w:w="850" w:type="dxa"/>
            <w:tcBorders>
              <w:top w:val="nil"/>
              <w:bottom w:val="single" w:sz="4" w:space="0" w:color="auto"/>
            </w:tcBorders>
            <w:shd w:val="clear" w:color="auto" w:fill="auto"/>
          </w:tcPr>
          <w:p w14:paraId="00897183" w14:textId="77777777" w:rsidR="00301E48" w:rsidRDefault="00301E48" w:rsidP="00301E48">
            <w:pPr>
              <w:pStyle w:val="Summarytabletextrightaligned"/>
            </w:pPr>
            <w:r>
              <w:t>$m</w:t>
            </w:r>
          </w:p>
        </w:tc>
        <w:tc>
          <w:tcPr>
            <w:tcW w:w="850" w:type="dxa"/>
            <w:tcBorders>
              <w:top w:val="nil"/>
              <w:bottom w:val="single" w:sz="4" w:space="0" w:color="auto"/>
            </w:tcBorders>
            <w:shd w:val="clear" w:color="auto" w:fill="auto"/>
          </w:tcPr>
          <w:p w14:paraId="33D465BD" w14:textId="77777777" w:rsidR="00301E48" w:rsidRDefault="00301E48" w:rsidP="00301E48">
            <w:pPr>
              <w:pStyle w:val="Summarytabletextrightaligned"/>
            </w:pPr>
            <w:r>
              <w:t>$m</w:t>
            </w:r>
          </w:p>
        </w:tc>
        <w:tc>
          <w:tcPr>
            <w:tcW w:w="850" w:type="dxa"/>
            <w:tcBorders>
              <w:top w:val="nil"/>
              <w:bottom w:val="single" w:sz="4" w:space="0" w:color="auto"/>
            </w:tcBorders>
            <w:shd w:val="clear" w:color="auto" w:fill="auto"/>
          </w:tcPr>
          <w:p w14:paraId="764FD182" w14:textId="77777777" w:rsidR="00301E48" w:rsidRDefault="00301E48" w:rsidP="00301E48">
            <w:pPr>
              <w:pStyle w:val="Summarytabletextrightaligned"/>
            </w:pPr>
            <w:r>
              <w:t>$m</w:t>
            </w:r>
          </w:p>
        </w:tc>
      </w:tr>
      <w:tr w:rsidR="00B449D0" w14:paraId="48705BF4" w14:textId="77777777" w:rsidTr="00301E48">
        <w:tc>
          <w:tcPr>
            <w:tcW w:w="3471" w:type="dxa"/>
            <w:vAlign w:val="bottom"/>
          </w:tcPr>
          <w:p w14:paraId="0948040F" w14:textId="77777777" w:rsidR="00B449D0" w:rsidRDefault="00175344">
            <w:pPr>
              <w:pStyle w:val="SummaryPortfolioTitle-BP2"/>
            </w:pPr>
            <w:r>
              <w:t>TREASURY</w:t>
            </w:r>
          </w:p>
        </w:tc>
        <w:tc>
          <w:tcPr>
            <w:tcW w:w="850" w:type="dxa"/>
            <w:tcBorders>
              <w:top w:val="single" w:sz="4" w:space="0" w:color="auto"/>
            </w:tcBorders>
          </w:tcPr>
          <w:p w14:paraId="2AD05CE3" w14:textId="77777777" w:rsidR="00B449D0" w:rsidRDefault="00B449D0">
            <w:pPr>
              <w:pStyle w:val="MeasureTableTextRightAlignedBefore6ptAfter1pt"/>
            </w:pPr>
          </w:p>
        </w:tc>
        <w:tc>
          <w:tcPr>
            <w:tcW w:w="850" w:type="dxa"/>
            <w:tcBorders>
              <w:top w:val="single" w:sz="4" w:space="0" w:color="auto"/>
            </w:tcBorders>
            <w:shd w:val="clear" w:color="auto" w:fill="E6F2FF"/>
          </w:tcPr>
          <w:p w14:paraId="1688351A" w14:textId="77777777" w:rsidR="00B449D0" w:rsidRDefault="00B449D0">
            <w:pPr>
              <w:pStyle w:val="MeasureTableTextRightAlignedBefore6ptAfter1pt"/>
            </w:pPr>
          </w:p>
        </w:tc>
        <w:tc>
          <w:tcPr>
            <w:tcW w:w="850" w:type="dxa"/>
            <w:tcBorders>
              <w:top w:val="single" w:sz="4" w:space="0" w:color="auto"/>
            </w:tcBorders>
          </w:tcPr>
          <w:p w14:paraId="0269E89C" w14:textId="77777777" w:rsidR="00B449D0" w:rsidRDefault="00B449D0">
            <w:pPr>
              <w:pStyle w:val="MeasureTableTextRightAlignedBefore6ptAfter1pt"/>
            </w:pPr>
          </w:p>
        </w:tc>
        <w:tc>
          <w:tcPr>
            <w:tcW w:w="850" w:type="dxa"/>
            <w:tcBorders>
              <w:top w:val="single" w:sz="4" w:space="0" w:color="auto"/>
            </w:tcBorders>
          </w:tcPr>
          <w:p w14:paraId="340D6B0F" w14:textId="77777777" w:rsidR="00B449D0" w:rsidRDefault="00B449D0">
            <w:pPr>
              <w:pStyle w:val="MeasureTableTextRightAlignedBefore6ptAfter1pt"/>
            </w:pPr>
          </w:p>
        </w:tc>
        <w:tc>
          <w:tcPr>
            <w:tcW w:w="850" w:type="dxa"/>
            <w:tcBorders>
              <w:top w:val="single" w:sz="4" w:space="0" w:color="auto"/>
            </w:tcBorders>
          </w:tcPr>
          <w:p w14:paraId="01D0F5BF" w14:textId="77777777" w:rsidR="00B449D0" w:rsidRDefault="00B449D0">
            <w:pPr>
              <w:pStyle w:val="MeasureTableTextRightAlignedBefore6ptAfter1pt"/>
            </w:pPr>
          </w:p>
        </w:tc>
      </w:tr>
      <w:tr w:rsidR="00B449D0" w14:paraId="45C77182" w14:textId="77777777" w:rsidTr="00301E48">
        <w:tc>
          <w:tcPr>
            <w:tcW w:w="3471" w:type="dxa"/>
            <w:vAlign w:val="bottom"/>
          </w:tcPr>
          <w:p w14:paraId="198488FF" w14:textId="77777777" w:rsidR="00B449D0" w:rsidRDefault="00175344">
            <w:pPr>
              <w:pStyle w:val="SummaryAgencyTitle-BP2"/>
            </w:pPr>
            <w:r>
              <w:t>Australian Competition and Consumer Commission</w:t>
            </w:r>
          </w:p>
        </w:tc>
        <w:tc>
          <w:tcPr>
            <w:tcW w:w="850" w:type="dxa"/>
          </w:tcPr>
          <w:p w14:paraId="0C885197" w14:textId="77777777" w:rsidR="00B449D0" w:rsidRDefault="00B449D0">
            <w:pPr>
              <w:pStyle w:val="SummaryAgencyTitle-BP2"/>
            </w:pPr>
          </w:p>
        </w:tc>
        <w:tc>
          <w:tcPr>
            <w:tcW w:w="850" w:type="dxa"/>
            <w:shd w:val="clear" w:color="auto" w:fill="E6F2FF"/>
          </w:tcPr>
          <w:p w14:paraId="64AED51C" w14:textId="77777777" w:rsidR="00B449D0" w:rsidRDefault="00B449D0">
            <w:pPr>
              <w:pStyle w:val="SummaryAgencyTitle-BP2"/>
            </w:pPr>
          </w:p>
        </w:tc>
        <w:tc>
          <w:tcPr>
            <w:tcW w:w="850" w:type="dxa"/>
          </w:tcPr>
          <w:p w14:paraId="22328969" w14:textId="77777777" w:rsidR="00B449D0" w:rsidRDefault="00B449D0">
            <w:pPr>
              <w:pStyle w:val="SummaryAgencyTitle-BP2"/>
            </w:pPr>
          </w:p>
        </w:tc>
        <w:tc>
          <w:tcPr>
            <w:tcW w:w="850" w:type="dxa"/>
          </w:tcPr>
          <w:p w14:paraId="07CE4CC0" w14:textId="77777777" w:rsidR="00B449D0" w:rsidRDefault="00B449D0">
            <w:pPr>
              <w:pStyle w:val="SummaryAgencyTitle-BP2"/>
            </w:pPr>
          </w:p>
        </w:tc>
        <w:tc>
          <w:tcPr>
            <w:tcW w:w="850" w:type="dxa"/>
          </w:tcPr>
          <w:p w14:paraId="10631FCB" w14:textId="77777777" w:rsidR="00B449D0" w:rsidRDefault="00B449D0">
            <w:pPr>
              <w:pStyle w:val="SummaryAgencyTitle-BP2"/>
            </w:pPr>
          </w:p>
        </w:tc>
      </w:tr>
      <w:tr w:rsidR="00B449D0" w14:paraId="28989F65" w14:textId="77777777" w:rsidTr="00301E48">
        <w:tc>
          <w:tcPr>
            <w:tcW w:w="3471" w:type="dxa"/>
            <w:vAlign w:val="bottom"/>
          </w:tcPr>
          <w:p w14:paraId="0F5A5C00" w14:textId="77777777" w:rsidR="00B449D0" w:rsidRDefault="00175344">
            <w:pPr>
              <w:pStyle w:val="SummaryMeasureTitlewithTheme"/>
            </w:pPr>
            <w:r>
              <w:t>Ensuring a Better Deal for Consumers(b)</w:t>
            </w:r>
          </w:p>
        </w:tc>
        <w:tc>
          <w:tcPr>
            <w:tcW w:w="850" w:type="dxa"/>
            <w:vAlign w:val="bottom"/>
          </w:tcPr>
          <w:p w14:paraId="18882253" w14:textId="4EBDABFD" w:rsidR="00B449D0" w:rsidRDefault="00076D78">
            <w:pPr>
              <w:pStyle w:val="Summarytabletextrightaligned"/>
            </w:pPr>
            <w:r>
              <w:noBreakHyphen/>
            </w:r>
          </w:p>
        </w:tc>
        <w:tc>
          <w:tcPr>
            <w:tcW w:w="850" w:type="dxa"/>
            <w:shd w:val="clear" w:color="auto" w:fill="E6F2FF"/>
            <w:vAlign w:val="bottom"/>
          </w:tcPr>
          <w:p w14:paraId="39999814" w14:textId="76C1D9E2" w:rsidR="00B449D0" w:rsidRDefault="00076D78">
            <w:pPr>
              <w:pStyle w:val="Summarytabletextrightaligned"/>
            </w:pPr>
            <w:r>
              <w:noBreakHyphen/>
            </w:r>
          </w:p>
        </w:tc>
        <w:tc>
          <w:tcPr>
            <w:tcW w:w="850" w:type="dxa"/>
            <w:vAlign w:val="bottom"/>
          </w:tcPr>
          <w:p w14:paraId="546C0D82" w14:textId="77777777" w:rsidR="00B449D0" w:rsidRDefault="00175344">
            <w:pPr>
              <w:pStyle w:val="Summarytabletextrightaligned"/>
            </w:pPr>
            <w:r>
              <w:t>7.0</w:t>
            </w:r>
          </w:p>
        </w:tc>
        <w:tc>
          <w:tcPr>
            <w:tcW w:w="850" w:type="dxa"/>
            <w:vAlign w:val="bottom"/>
          </w:tcPr>
          <w:p w14:paraId="504F10B0" w14:textId="77777777" w:rsidR="00B449D0" w:rsidRDefault="00175344">
            <w:pPr>
              <w:pStyle w:val="Summarytabletextrightaligned"/>
            </w:pPr>
            <w:r>
              <w:t>8.0</w:t>
            </w:r>
          </w:p>
        </w:tc>
        <w:tc>
          <w:tcPr>
            <w:tcW w:w="850" w:type="dxa"/>
            <w:vAlign w:val="bottom"/>
          </w:tcPr>
          <w:p w14:paraId="04400F53" w14:textId="77777777" w:rsidR="00B449D0" w:rsidRDefault="00175344">
            <w:pPr>
              <w:pStyle w:val="Summarytabletextrightaligned"/>
            </w:pPr>
            <w:r>
              <w:t>13.0</w:t>
            </w:r>
          </w:p>
        </w:tc>
      </w:tr>
      <w:tr w:rsidR="00B449D0" w14:paraId="21242D9C" w14:textId="77777777" w:rsidTr="00301E48">
        <w:tc>
          <w:tcPr>
            <w:tcW w:w="3471" w:type="dxa"/>
            <w:vAlign w:val="bottom"/>
          </w:tcPr>
          <w:p w14:paraId="0227C108" w14:textId="77777777" w:rsidR="00B449D0" w:rsidRDefault="00175344">
            <w:pPr>
              <w:pStyle w:val="SummaryAgencyTitle-BP2"/>
            </w:pPr>
            <w:r>
              <w:t>Australian Prudential Regulation Authority</w:t>
            </w:r>
          </w:p>
        </w:tc>
        <w:tc>
          <w:tcPr>
            <w:tcW w:w="850" w:type="dxa"/>
          </w:tcPr>
          <w:p w14:paraId="4A25137E" w14:textId="77777777" w:rsidR="00B449D0" w:rsidRDefault="00B449D0">
            <w:pPr>
              <w:pStyle w:val="SummaryAgencyTitle-BP2"/>
            </w:pPr>
          </w:p>
        </w:tc>
        <w:tc>
          <w:tcPr>
            <w:tcW w:w="850" w:type="dxa"/>
            <w:shd w:val="clear" w:color="auto" w:fill="E6F2FF"/>
          </w:tcPr>
          <w:p w14:paraId="0B699C79" w14:textId="77777777" w:rsidR="00B449D0" w:rsidRDefault="00B449D0">
            <w:pPr>
              <w:pStyle w:val="SummaryAgencyTitle-BP2"/>
            </w:pPr>
          </w:p>
        </w:tc>
        <w:tc>
          <w:tcPr>
            <w:tcW w:w="850" w:type="dxa"/>
          </w:tcPr>
          <w:p w14:paraId="6DA49450" w14:textId="77777777" w:rsidR="00B449D0" w:rsidRDefault="00B449D0">
            <w:pPr>
              <w:pStyle w:val="SummaryAgencyTitle-BP2"/>
            </w:pPr>
          </w:p>
        </w:tc>
        <w:tc>
          <w:tcPr>
            <w:tcW w:w="850" w:type="dxa"/>
          </w:tcPr>
          <w:p w14:paraId="5DDAB068" w14:textId="77777777" w:rsidR="00B449D0" w:rsidRDefault="00B449D0">
            <w:pPr>
              <w:pStyle w:val="SummaryAgencyTitle-BP2"/>
            </w:pPr>
          </w:p>
        </w:tc>
        <w:tc>
          <w:tcPr>
            <w:tcW w:w="850" w:type="dxa"/>
          </w:tcPr>
          <w:p w14:paraId="29AE5CA0" w14:textId="77777777" w:rsidR="00B449D0" w:rsidRDefault="00B449D0">
            <w:pPr>
              <w:pStyle w:val="SummaryAgencyTitle-BP2"/>
            </w:pPr>
          </w:p>
        </w:tc>
      </w:tr>
      <w:tr w:rsidR="00B449D0" w14:paraId="52B2FB4A" w14:textId="77777777" w:rsidTr="00301E48">
        <w:tc>
          <w:tcPr>
            <w:tcW w:w="3471" w:type="dxa"/>
            <w:vAlign w:val="bottom"/>
          </w:tcPr>
          <w:p w14:paraId="03F67817" w14:textId="77777777" w:rsidR="00B449D0" w:rsidRDefault="00175344">
            <w:pPr>
              <w:pStyle w:val="SummaryMeasureTitlewithTheme"/>
            </w:pPr>
            <w:r>
              <w:t>Superannuation in Retirement(b)</w:t>
            </w:r>
          </w:p>
        </w:tc>
        <w:tc>
          <w:tcPr>
            <w:tcW w:w="850" w:type="dxa"/>
            <w:vAlign w:val="bottom"/>
          </w:tcPr>
          <w:p w14:paraId="2169C999" w14:textId="2F3FAE54" w:rsidR="00B449D0" w:rsidRDefault="00076D78">
            <w:pPr>
              <w:pStyle w:val="Summarytabletextrightaligned"/>
            </w:pPr>
            <w:r>
              <w:noBreakHyphen/>
            </w:r>
          </w:p>
        </w:tc>
        <w:tc>
          <w:tcPr>
            <w:tcW w:w="850" w:type="dxa"/>
            <w:shd w:val="clear" w:color="auto" w:fill="E6F2FF"/>
            <w:vAlign w:val="bottom"/>
          </w:tcPr>
          <w:p w14:paraId="7267B1BE" w14:textId="77777777" w:rsidR="00B449D0" w:rsidRDefault="00175344">
            <w:pPr>
              <w:pStyle w:val="Summarytabletextrightaligned"/>
            </w:pPr>
            <w:r>
              <w:t>1.3</w:t>
            </w:r>
          </w:p>
        </w:tc>
        <w:tc>
          <w:tcPr>
            <w:tcW w:w="850" w:type="dxa"/>
            <w:vAlign w:val="bottom"/>
          </w:tcPr>
          <w:p w14:paraId="0F1ACAF3" w14:textId="77777777" w:rsidR="00B449D0" w:rsidRDefault="00175344">
            <w:pPr>
              <w:pStyle w:val="Summarytabletextrightaligned"/>
            </w:pPr>
            <w:r>
              <w:t>2.0</w:t>
            </w:r>
          </w:p>
        </w:tc>
        <w:tc>
          <w:tcPr>
            <w:tcW w:w="850" w:type="dxa"/>
            <w:vAlign w:val="bottom"/>
          </w:tcPr>
          <w:p w14:paraId="11E888BF" w14:textId="77777777" w:rsidR="00B449D0" w:rsidRDefault="00175344">
            <w:pPr>
              <w:pStyle w:val="Summarytabletextrightaligned"/>
            </w:pPr>
            <w:r>
              <w:t>2.5</w:t>
            </w:r>
          </w:p>
        </w:tc>
        <w:tc>
          <w:tcPr>
            <w:tcW w:w="850" w:type="dxa"/>
            <w:vAlign w:val="bottom"/>
          </w:tcPr>
          <w:p w14:paraId="20D2D145" w14:textId="77777777" w:rsidR="00B449D0" w:rsidRDefault="00175344">
            <w:pPr>
              <w:pStyle w:val="Summarytabletextrightaligned"/>
            </w:pPr>
            <w:r>
              <w:t>0.9</w:t>
            </w:r>
          </w:p>
        </w:tc>
      </w:tr>
      <w:tr w:rsidR="00B449D0" w14:paraId="7CD890DA" w14:textId="77777777" w:rsidTr="00301E48">
        <w:tc>
          <w:tcPr>
            <w:tcW w:w="3471" w:type="dxa"/>
            <w:vAlign w:val="bottom"/>
          </w:tcPr>
          <w:p w14:paraId="375F1AB4" w14:textId="77777777" w:rsidR="00B449D0" w:rsidRDefault="00175344">
            <w:pPr>
              <w:pStyle w:val="SummaryAgencyTitle-BP2"/>
            </w:pPr>
            <w:r>
              <w:t>Australian Securities and Investments Commission</w:t>
            </w:r>
          </w:p>
        </w:tc>
        <w:tc>
          <w:tcPr>
            <w:tcW w:w="850" w:type="dxa"/>
          </w:tcPr>
          <w:p w14:paraId="5690368B" w14:textId="77777777" w:rsidR="00B449D0" w:rsidRDefault="00B449D0">
            <w:pPr>
              <w:pStyle w:val="SummaryAgencyTitle-BP2"/>
            </w:pPr>
          </w:p>
        </w:tc>
        <w:tc>
          <w:tcPr>
            <w:tcW w:w="850" w:type="dxa"/>
            <w:shd w:val="clear" w:color="auto" w:fill="E6F2FF"/>
          </w:tcPr>
          <w:p w14:paraId="75895373" w14:textId="77777777" w:rsidR="00B449D0" w:rsidRDefault="00B449D0">
            <w:pPr>
              <w:pStyle w:val="SummaryAgencyTitle-BP2"/>
            </w:pPr>
          </w:p>
        </w:tc>
        <w:tc>
          <w:tcPr>
            <w:tcW w:w="850" w:type="dxa"/>
          </w:tcPr>
          <w:p w14:paraId="305364A1" w14:textId="77777777" w:rsidR="00B449D0" w:rsidRDefault="00B449D0">
            <w:pPr>
              <w:pStyle w:val="SummaryAgencyTitle-BP2"/>
            </w:pPr>
          </w:p>
        </w:tc>
        <w:tc>
          <w:tcPr>
            <w:tcW w:w="850" w:type="dxa"/>
          </w:tcPr>
          <w:p w14:paraId="0A484617" w14:textId="77777777" w:rsidR="00B449D0" w:rsidRDefault="00B449D0">
            <w:pPr>
              <w:pStyle w:val="SummaryAgencyTitle-BP2"/>
            </w:pPr>
          </w:p>
        </w:tc>
        <w:tc>
          <w:tcPr>
            <w:tcW w:w="850" w:type="dxa"/>
          </w:tcPr>
          <w:p w14:paraId="11B58C6B" w14:textId="77777777" w:rsidR="00B449D0" w:rsidRDefault="00B449D0">
            <w:pPr>
              <w:pStyle w:val="SummaryAgencyTitle-BP2"/>
            </w:pPr>
          </w:p>
        </w:tc>
      </w:tr>
      <w:tr w:rsidR="00B449D0" w14:paraId="092B871A" w14:textId="77777777" w:rsidTr="00301E48">
        <w:tc>
          <w:tcPr>
            <w:tcW w:w="3471" w:type="dxa"/>
            <w:vAlign w:val="bottom"/>
          </w:tcPr>
          <w:p w14:paraId="1B39ECF0" w14:textId="77777777" w:rsidR="00B449D0" w:rsidRDefault="00175344">
            <w:pPr>
              <w:pStyle w:val="SummaryMeasureTitlewithTheme"/>
            </w:pPr>
            <w:r>
              <w:t>Combatting Illegal Phoenixing – extending and enhancing the Phoenix Compliance Program(b)</w:t>
            </w:r>
          </w:p>
        </w:tc>
        <w:tc>
          <w:tcPr>
            <w:tcW w:w="850" w:type="dxa"/>
            <w:vAlign w:val="bottom"/>
          </w:tcPr>
          <w:p w14:paraId="184382D7" w14:textId="290BDB9F" w:rsidR="00B449D0" w:rsidRDefault="00076D78">
            <w:pPr>
              <w:pStyle w:val="Summarytabletextrightaligned"/>
            </w:pPr>
            <w:r>
              <w:noBreakHyphen/>
            </w:r>
          </w:p>
        </w:tc>
        <w:tc>
          <w:tcPr>
            <w:tcW w:w="850" w:type="dxa"/>
            <w:shd w:val="clear" w:color="auto" w:fill="E6F2FF"/>
            <w:vAlign w:val="bottom"/>
          </w:tcPr>
          <w:p w14:paraId="70FF28CD" w14:textId="43D8CE88" w:rsidR="00B449D0" w:rsidRDefault="00076D78">
            <w:pPr>
              <w:pStyle w:val="Summarytabletextrightaligned"/>
            </w:pPr>
            <w:r>
              <w:noBreakHyphen/>
            </w:r>
          </w:p>
        </w:tc>
        <w:tc>
          <w:tcPr>
            <w:tcW w:w="850" w:type="dxa"/>
            <w:vAlign w:val="bottom"/>
          </w:tcPr>
          <w:p w14:paraId="07CD313E" w14:textId="69D62B1A" w:rsidR="00B449D0" w:rsidRDefault="00076D78">
            <w:pPr>
              <w:pStyle w:val="Summarytabletextrightaligned"/>
            </w:pPr>
            <w:r>
              <w:noBreakHyphen/>
            </w:r>
          </w:p>
        </w:tc>
        <w:tc>
          <w:tcPr>
            <w:tcW w:w="850" w:type="dxa"/>
            <w:vAlign w:val="bottom"/>
          </w:tcPr>
          <w:p w14:paraId="65E6D93C" w14:textId="77777777" w:rsidR="00B449D0" w:rsidRDefault="00175344">
            <w:pPr>
              <w:pStyle w:val="Summarytabletextrightaligned"/>
            </w:pPr>
            <w:r>
              <w:t>0.5</w:t>
            </w:r>
          </w:p>
        </w:tc>
        <w:tc>
          <w:tcPr>
            <w:tcW w:w="850" w:type="dxa"/>
            <w:vAlign w:val="bottom"/>
          </w:tcPr>
          <w:p w14:paraId="6428B819" w14:textId="77777777" w:rsidR="00B449D0" w:rsidRDefault="00175344">
            <w:pPr>
              <w:pStyle w:val="Summarytabletextrightaligned"/>
            </w:pPr>
            <w:r>
              <w:t>0.6</w:t>
            </w:r>
          </w:p>
        </w:tc>
      </w:tr>
      <w:tr w:rsidR="00B449D0" w14:paraId="0E7EF5C0" w14:textId="77777777" w:rsidTr="00301E48">
        <w:tc>
          <w:tcPr>
            <w:tcW w:w="3471" w:type="dxa"/>
            <w:vAlign w:val="bottom"/>
          </w:tcPr>
          <w:p w14:paraId="65EAB920" w14:textId="321DB14A" w:rsidR="00B449D0" w:rsidRDefault="00175344">
            <w:pPr>
              <w:pStyle w:val="SummaryMeasureTitlewithTheme"/>
            </w:pPr>
            <w:r>
              <w:t xml:space="preserve">Corporations – </w:t>
            </w:r>
            <w:r w:rsidR="00FA5DE7">
              <w:t>f</w:t>
            </w:r>
            <w:r>
              <w:t>ee for takeover transactions(b)</w:t>
            </w:r>
          </w:p>
        </w:tc>
        <w:tc>
          <w:tcPr>
            <w:tcW w:w="850" w:type="dxa"/>
            <w:vAlign w:val="bottom"/>
          </w:tcPr>
          <w:p w14:paraId="78CCE1CE" w14:textId="3D6FEE83" w:rsidR="00B449D0" w:rsidRDefault="00076D78">
            <w:pPr>
              <w:pStyle w:val="Summarytabletextrightaligned"/>
            </w:pPr>
            <w:r>
              <w:noBreakHyphen/>
            </w:r>
          </w:p>
        </w:tc>
        <w:tc>
          <w:tcPr>
            <w:tcW w:w="850" w:type="dxa"/>
            <w:shd w:val="clear" w:color="auto" w:fill="E6F2FF"/>
            <w:vAlign w:val="bottom"/>
          </w:tcPr>
          <w:p w14:paraId="66FF8C3A" w14:textId="77777777" w:rsidR="00B449D0" w:rsidRDefault="00175344">
            <w:pPr>
              <w:pStyle w:val="Summarytabletextrightaligned"/>
            </w:pPr>
            <w:r>
              <w:t>2.8</w:t>
            </w:r>
          </w:p>
        </w:tc>
        <w:tc>
          <w:tcPr>
            <w:tcW w:w="850" w:type="dxa"/>
            <w:vAlign w:val="bottom"/>
          </w:tcPr>
          <w:p w14:paraId="74B37897" w14:textId="77777777" w:rsidR="00B449D0" w:rsidRDefault="00175344">
            <w:pPr>
              <w:pStyle w:val="Summarytabletextrightaligned"/>
            </w:pPr>
            <w:r>
              <w:t>5.7</w:t>
            </w:r>
          </w:p>
        </w:tc>
        <w:tc>
          <w:tcPr>
            <w:tcW w:w="850" w:type="dxa"/>
            <w:vAlign w:val="bottom"/>
          </w:tcPr>
          <w:p w14:paraId="24262BCC" w14:textId="77777777" w:rsidR="00B449D0" w:rsidRDefault="00175344">
            <w:pPr>
              <w:pStyle w:val="Summarytabletextrightaligned"/>
            </w:pPr>
            <w:r>
              <w:t>5.7</w:t>
            </w:r>
          </w:p>
        </w:tc>
        <w:tc>
          <w:tcPr>
            <w:tcW w:w="850" w:type="dxa"/>
            <w:vAlign w:val="bottom"/>
          </w:tcPr>
          <w:p w14:paraId="676AFD29" w14:textId="77777777" w:rsidR="00B449D0" w:rsidRDefault="00175344">
            <w:pPr>
              <w:pStyle w:val="Summarytabletextrightaligned"/>
            </w:pPr>
            <w:r>
              <w:t>2.8</w:t>
            </w:r>
          </w:p>
        </w:tc>
      </w:tr>
      <w:tr w:rsidR="00B449D0" w14:paraId="5EDC583A" w14:textId="77777777" w:rsidTr="00301E48">
        <w:tc>
          <w:tcPr>
            <w:tcW w:w="3471" w:type="dxa"/>
            <w:vAlign w:val="bottom"/>
          </w:tcPr>
          <w:p w14:paraId="37A670C9" w14:textId="77777777" w:rsidR="00B449D0" w:rsidRDefault="00175344">
            <w:pPr>
              <w:pStyle w:val="SummaryMeasureTitlewithTheme"/>
            </w:pPr>
            <w:r>
              <w:t>Superannuation in Retirement(b)</w:t>
            </w:r>
          </w:p>
        </w:tc>
        <w:tc>
          <w:tcPr>
            <w:tcW w:w="850" w:type="dxa"/>
            <w:vAlign w:val="bottom"/>
          </w:tcPr>
          <w:p w14:paraId="0741A50A" w14:textId="3A36D576" w:rsidR="00B449D0" w:rsidRDefault="00076D78">
            <w:pPr>
              <w:pStyle w:val="Summarytabletextrightaligned"/>
            </w:pPr>
            <w:r>
              <w:noBreakHyphen/>
            </w:r>
          </w:p>
        </w:tc>
        <w:tc>
          <w:tcPr>
            <w:tcW w:w="850" w:type="dxa"/>
            <w:shd w:val="clear" w:color="auto" w:fill="E6F2FF"/>
            <w:vAlign w:val="bottom"/>
          </w:tcPr>
          <w:p w14:paraId="7C653830" w14:textId="16F76ADD" w:rsidR="00B449D0" w:rsidRDefault="00076D78">
            <w:pPr>
              <w:pStyle w:val="Summarytabletextrightaligned"/>
            </w:pPr>
            <w:r>
              <w:noBreakHyphen/>
            </w:r>
          </w:p>
        </w:tc>
        <w:tc>
          <w:tcPr>
            <w:tcW w:w="850" w:type="dxa"/>
            <w:vAlign w:val="bottom"/>
          </w:tcPr>
          <w:p w14:paraId="5229752F" w14:textId="77777777" w:rsidR="00B449D0" w:rsidRDefault="00175344">
            <w:pPr>
              <w:pStyle w:val="Summarytabletextrightaligned"/>
            </w:pPr>
            <w:r>
              <w:t>3.5</w:t>
            </w:r>
          </w:p>
        </w:tc>
        <w:tc>
          <w:tcPr>
            <w:tcW w:w="850" w:type="dxa"/>
            <w:vAlign w:val="bottom"/>
          </w:tcPr>
          <w:p w14:paraId="1B816DB5" w14:textId="77777777" w:rsidR="00B449D0" w:rsidRDefault="00175344">
            <w:pPr>
              <w:pStyle w:val="Summarytabletextrightaligned"/>
            </w:pPr>
            <w:r>
              <w:t>2.9</w:t>
            </w:r>
          </w:p>
        </w:tc>
        <w:tc>
          <w:tcPr>
            <w:tcW w:w="850" w:type="dxa"/>
            <w:vAlign w:val="bottom"/>
          </w:tcPr>
          <w:p w14:paraId="4F5A863B" w14:textId="77777777" w:rsidR="00B449D0" w:rsidRDefault="00175344">
            <w:pPr>
              <w:pStyle w:val="Summarytabletextrightaligned"/>
            </w:pPr>
            <w:r>
              <w:t>2.9</w:t>
            </w:r>
          </w:p>
        </w:tc>
      </w:tr>
      <w:tr w:rsidR="00B449D0" w14:paraId="618823D2" w14:textId="77777777" w:rsidTr="00301E48">
        <w:tc>
          <w:tcPr>
            <w:tcW w:w="3471" w:type="dxa"/>
            <w:vAlign w:val="bottom"/>
          </w:tcPr>
          <w:p w14:paraId="46319E42" w14:textId="77777777" w:rsidR="00B449D0" w:rsidRDefault="00175344">
            <w:pPr>
              <w:pStyle w:val="SummaryAgencyTitle-BP2"/>
            </w:pPr>
            <w:r>
              <w:t>Australian Taxation Office</w:t>
            </w:r>
          </w:p>
        </w:tc>
        <w:tc>
          <w:tcPr>
            <w:tcW w:w="850" w:type="dxa"/>
          </w:tcPr>
          <w:p w14:paraId="7891271C" w14:textId="77777777" w:rsidR="00B449D0" w:rsidRDefault="00B449D0">
            <w:pPr>
              <w:pStyle w:val="SummaryAgencyTitle-BP2"/>
            </w:pPr>
          </w:p>
        </w:tc>
        <w:tc>
          <w:tcPr>
            <w:tcW w:w="850" w:type="dxa"/>
            <w:shd w:val="clear" w:color="auto" w:fill="E6F2FF"/>
          </w:tcPr>
          <w:p w14:paraId="739654E8" w14:textId="77777777" w:rsidR="00B449D0" w:rsidRDefault="00B449D0">
            <w:pPr>
              <w:pStyle w:val="SummaryAgencyTitle-BP2"/>
            </w:pPr>
          </w:p>
        </w:tc>
        <w:tc>
          <w:tcPr>
            <w:tcW w:w="850" w:type="dxa"/>
          </w:tcPr>
          <w:p w14:paraId="69442C4F" w14:textId="77777777" w:rsidR="00B449D0" w:rsidRDefault="00B449D0">
            <w:pPr>
              <w:pStyle w:val="SummaryAgencyTitle-BP2"/>
            </w:pPr>
          </w:p>
        </w:tc>
        <w:tc>
          <w:tcPr>
            <w:tcW w:w="850" w:type="dxa"/>
          </w:tcPr>
          <w:p w14:paraId="7764BF6B" w14:textId="77777777" w:rsidR="00B449D0" w:rsidRDefault="00B449D0">
            <w:pPr>
              <w:pStyle w:val="SummaryAgencyTitle-BP2"/>
            </w:pPr>
          </w:p>
        </w:tc>
        <w:tc>
          <w:tcPr>
            <w:tcW w:w="850" w:type="dxa"/>
          </w:tcPr>
          <w:p w14:paraId="6F105B36" w14:textId="77777777" w:rsidR="00B449D0" w:rsidRDefault="00B449D0">
            <w:pPr>
              <w:pStyle w:val="SummaryAgencyTitle-BP2"/>
            </w:pPr>
          </w:p>
        </w:tc>
      </w:tr>
      <w:tr w:rsidR="00B449D0" w14:paraId="29BAC5BC" w14:textId="77777777" w:rsidTr="00301E48">
        <w:tc>
          <w:tcPr>
            <w:tcW w:w="3471" w:type="dxa"/>
            <w:vAlign w:val="bottom"/>
          </w:tcPr>
          <w:p w14:paraId="3ED31D36" w14:textId="77777777" w:rsidR="00B449D0" w:rsidRDefault="00175344">
            <w:pPr>
              <w:pStyle w:val="SummaryMeasureTitlewithTheme"/>
            </w:pPr>
            <w:r>
              <w:t>Assistance for Recent Arrivals from Conflict Zones(b)</w:t>
            </w:r>
          </w:p>
        </w:tc>
        <w:tc>
          <w:tcPr>
            <w:tcW w:w="850" w:type="dxa"/>
            <w:vAlign w:val="bottom"/>
          </w:tcPr>
          <w:p w14:paraId="44146600" w14:textId="0F1FB41A" w:rsidR="00B449D0" w:rsidRDefault="00076D78">
            <w:pPr>
              <w:pStyle w:val="Summarytabletextrightaligned"/>
            </w:pPr>
            <w:r>
              <w:noBreakHyphen/>
            </w:r>
          </w:p>
        </w:tc>
        <w:tc>
          <w:tcPr>
            <w:tcW w:w="850" w:type="dxa"/>
            <w:shd w:val="clear" w:color="auto" w:fill="E6F2FF"/>
            <w:vAlign w:val="bottom"/>
          </w:tcPr>
          <w:p w14:paraId="5D99EF7B" w14:textId="48F1C9E0" w:rsidR="00B449D0" w:rsidRDefault="007D5CDA">
            <w:pPr>
              <w:pStyle w:val="Summarytabletextrightaligned"/>
            </w:pPr>
            <w:r>
              <w:t>..</w:t>
            </w:r>
          </w:p>
        </w:tc>
        <w:tc>
          <w:tcPr>
            <w:tcW w:w="850" w:type="dxa"/>
            <w:vAlign w:val="bottom"/>
          </w:tcPr>
          <w:p w14:paraId="75852795" w14:textId="77777777" w:rsidR="00B449D0" w:rsidRDefault="00175344">
            <w:pPr>
              <w:pStyle w:val="Summarytabletextrightaligned"/>
            </w:pPr>
            <w:r>
              <w:t>5.0</w:t>
            </w:r>
          </w:p>
        </w:tc>
        <w:tc>
          <w:tcPr>
            <w:tcW w:w="850" w:type="dxa"/>
            <w:vAlign w:val="bottom"/>
          </w:tcPr>
          <w:p w14:paraId="104C8089" w14:textId="77777777" w:rsidR="00B449D0" w:rsidRDefault="00175344">
            <w:pPr>
              <w:pStyle w:val="Summarytabletextrightaligned"/>
            </w:pPr>
            <w:r>
              <w:t>5.0</w:t>
            </w:r>
          </w:p>
        </w:tc>
        <w:tc>
          <w:tcPr>
            <w:tcW w:w="850" w:type="dxa"/>
            <w:vAlign w:val="bottom"/>
          </w:tcPr>
          <w:p w14:paraId="61EBAF8E" w14:textId="77777777" w:rsidR="00B449D0" w:rsidRDefault="00175344">
            <w:pPr>
              <w:pStyle w:val="Summarytabletextrightaligned"/>
            </w:pPr>
            <w:r>
              <w:t>5.0</w:t>
            </w:r>
          </w:p>
        </w:tc>
      </w:tr>
      <w:tr w:rsidR="00B449D0" w14:paraId="4A93A695" w14:textId="77777777" w:rsidTr="00301E48">
        <w:tc>
          <w:tcPr>
            <w:tcW w:w="3471" w:type="dxa"/>
            <w:vAlign w:val="bottom"/>
          </w:tcPr>
          <w:p w14:paraId="7D408D64" w14:textId="58B55823" w:rsidR="00B449D0" w:rsidRDefault="00175344">
            <w:pPr>
              <w:pStyle w:val="SummaryMeasureTitlewithTheme"/>
            </w:pPr>
            <w:r>
              <w:t>Building Australia</w:t>
            </w:r>
            <w:r w:rsidR="00076D78">
              <w:t>’</w:t>
            </w:r>
            <w:r>
              <w:t xml:space="preserve">s Future </w:t>
            </w:r>
            <w:r w:rsidR="00960E84">
              <w:t>–</w:t>
            </w:r>
            <w:r>
              <w:t xml:space="preserve"> delivering pay rises for early educators(b)</w:t>
            </w:r>
          </w:p>
        </w:tc>
        <w:tc>
          <w:tcPr>
            <w:tcW w:w="850" w:type="dxa"/>
            <w:vAlign w:val="bottom"/>
          </w:tcPr>
          <w:p w14:paraId="307D3C33" w14:textId="7B58F25A" w:rsidR="00B449D0" w:rsidRDefault="00076D78">
            <w:pPr>
              <w:pStyle w:val="Summarytabletextrightaligned"/>
            </w:pPr>
            <w:r>
              <w:noBreakHyphen/>
            </w:r>
          </w:p>
        </w:tc>
        <w:tc>
          <w:tcPr>
            <w:tcW w:w="850" w:type="dxa"/>
            <w:shd w:val="clear" w:color="auto" w:fill="E6F2FF"/>
            <w:vAlign w:val="bottom"/>
          </w:tcPr>
          <w:p w14:paraId="4F7B4891" w14:textId="77777777" w:rsidR="00B449D0" w:rsidRDefault="00175344">
            <w:pPr>
              <w:pStyle w:val="Summarytabletextrightaligned"/>
            </w:pPr>
            <w:r>
              <w:t>168.0</w:t>
            </w:r>
          </w:p>
        </w:tc>
        <w:tc>
          <w:tcPr>
            <w:tcW w:w="850" w:type="dxa"/>
            <w:vAlign w:val="bottom"/>
          </w:tcPr>
          <w:p w14:paraId="479BCCED" w14:textId="54D96F7B" w:rsidR="00B449D0" w:rsidRDefault="00365C71">
            <w:pPr>
              <w:pStyle w:val="Summarytabletextrightaligned"/>
            </w:pPr>
            <w:r>
              <w:t>*</w:t>
            </w:r>
          </w:p>
        </w:tc>
        <w:tc>
          <w:tcPr>
            <w:tcW w:w="850" w:type="dxa"/>
            <w:vAlign w:val="bottom"/>
          </w:tcPr>
          <w:p w14:paraId="3F11694E" w14:textId="3496A869" w:rsidR="00B449D0" w:rsidRDefault="00365C71">
            <w:pPr>
              <w:pStyle w:val="Summarytabletextrightaligned"/>
            </w:pPr>
            <w:r>
              <w:t>*</w:t>
            </w:r>
          </w:p>
        </w:tc>
        <w:tc>
          <w:tcPr>
            <w:tcW w:w="850" w:type="dxa"/>
            <w:vAlign w:val="bottom"/>
          </w:tcPr>
          <w:p w14:paraId="1A019A93" w14:textId="70A87A7A" w:rsidR="00B449D0" w:rsidRDefault="00076D78">
            <w:pPr>
              <w:pStyle w:val="Summarytabletextrightaligned"/>
            </w:pPr>
            <w:r>
              <w:noBreakHyphen/>
            </w:r>
          </w:p>
        </w:tc>
      </w:tr>
      <w:tr w:rsidR="00B449D0" w14:paraId="62C20D52" w14:textId="77777777" w:rsidTr="00301E48">
        <w:tc>
          <w:tcPr>
            <w:tcW w:w="3471" w:type="dxa"/>
            <w:vAlign w:val="bottom"/>
          </w:tcPr>
          <w:p w14:paraId="1D6A9047" w14:textId="77777777" w:rsidR="00B449D0" w:rsidRDefault="00175344">
            <w:pPr>
              <w:pStyle w:val="SummaryMeasureTitlewithTheme"/>
            </w:pPr>
            <w:r>
              <w:t>Combatting Illegal Phoenixing – extending and enhancing the Phoenix Compliance Program(b)</w:t>
            </w:r>
          </w:p>
        </w:tc>
        <w:tc>
          <w:tcPr>
            <w:tcW w:w="850" w:type="dxa"/>
            <w:vAlign w:val="bottom"/>
          </w:tcPr>
          <w:p w14:paraId="1C2DA7B9" w14:textId="730420FA" w:rsidR="00B449D0" w:rsidRDefault="00076D78">
            <w:pPr>
              <w:pStyle w:val="Summarytabletextrightaligned"/>
            </w:pPr>
            <w:r>
              <w:noBreakHyphen/>
            </w:r>
          </w:p>
        </w:tc>
        <w:tc>
          <w:tcPr>
            <w:tcW w:w="850" w:type="dxa"/>
            <w:shd w:val="clear" w:color="auto" w:fill="E6F2FF"/>
            <w:vAlign w:val="bottom"/>
          </w:tcPr>
          <w:p w14:paraId="1E8812F7" w14:textId="33C4B4AF" w:rsidR="00B449D0" w:rsidRDefault="00076D78">
            <w:pPr>
              <w:pStyle w:val="Summarytabletextrightaligned"/>
            </w:pPr>
            <w:r>
              <w:noBreakHyphen/>
            </w:r>
          </w:p>
        </w:tc>
        <w:tc>
          <w:tcPr>
            <w:tcW w:w="850" w:type="dxa"/>
            <w:vAlign w:val="bottom"/>
          </w:tcPr>
          <w:p w14:paraId="654C4E64" w14:textId="77777777" w:rsidR="00B449D0" w:rsidRDefault="00175344">
            <w:pPr>
              <w:pStyle w:val="Summarytabletextrightaligned"/>
            </w:pPr>
            <w:r>
              <w:t>42.6</w:t>
            </w:r>
          </w:p>
        </w:tc>
        <w:tc>
          <w:tcPr>
            <w:tcW w:w="850" w:type="dxa"/>
            <w:vAlign w:val="bottom"/>
          </w:tcPr>
          <w:p w14:paraId="3B68492A" w14:textId="77777777" w:rsidR="00B449D0" w:rsidRDefault="00175344">
            <w:pPr>
              <w:pStyle w:val="Summarytabletextrightaligned"/>
            </w:pPr>
            <w:r>
              <w:t>114.4</w:t>
            </w:r>
          </w:p>
        </w:tc>
        <w:tc>
          <w:tcPr>
            <w:tcW w:w="850" w:type="dxa"/>
            <w:vAlign w:val="bottom"/>
          </w:tcPr>
          <w:p w14:paraId="2ACBAD3F" w14:textId="77777777" w:rsidR="00B449D0" w:rsidRDefault="00175344">
            <w:pPr>
              <w:pStyle w:val="Summarytabletextrightaligned"/>
            </w:pPr>
            <w:r>
              <w:t>120.1</w:t>
            </w:r>
          </w:p>
        </w:tc>
      </w:tr>
      <w:tr w:rsidR="00B449D0" w14:paraId="589489A8" w14:textId="77777777" w:rsidTr="00301E48">
        <w:tc>
          <w:tcPr>
            <w:tcW w:w="3471" w:type="dxa"/>
            <w:vAlign w:val="bottom"/>
          </w:tcPr>
          <w:p w14:paraId="4985EEE9" w14:textId="77777777" w:rsidR="00B449D0" w:rsidRDefault="00175344">
            <w:pPr>
              <w:pStyle w:val="SummaryMeasureTitlewithTheme"/>
            </w:pPr>
            <w:r>
              <w:t>Defence Support to the Pacific and the Middle East(b)</w:t>
            </w:r>
          </w:p>
        </w:tc>
        <w:tc>
          <w:tcPr>
            <w:tcW w:w="850" w:type="dxa"/>
            <w:vAlign w:val="bottom"/>
          </w:tcPr>
          <w:p w14:paraId="322B3E9B" w14:textId="6E032B5D" w:rsidR="00B449D0" w:rsidRDefault="00076D78">
            <w:pPr>
              <w:pStyle w:val="Summarytabletextrightaligned"/>
            </w:pPr>
            <w:r>
              <w:noBreakHyphen/>
            </w:r>
          </w:p>
        </w:tc>
        <w:tc>
          <w:tcPr>
            <w:tcW w:w="850" w:type="dxa"/>
            <w:shd w:val="clear" w:color="auto" w:fill="E6F2FF"/>
            <w:vAlign w:val="bottom"/>
          </w:tcPr>
          <w:p w14:paraId="400D919B" w14:textId="3B4074C5" w:rsidR="00B449D0" w:rsidRDefault="00076D78">
            <w:pPr>
              <w:pStyle w:val="Summarytabletextrightaligned"/>
            </w:pPr>
            <w:r>
              <w:noBreakHyphen/>
            </w:r>
            <w:r w:rsidR="00175344">
              <w:t>0.1</w:t>
            </w:r>
          </w:p>
        </w:tc>
        <w:tc>
          <w:tcPr>
            <w:tcW w:w="850" w:type="dxa"/>
            <w:vAlign w:val="bottom"/>
          </w:tcPr>
          <w:p w14:paraId="6397C438" w14:textId="7C1F04AB" w:rsidR="00B449D0" w:rsidRDefault="005B6F2F">
            <w:pPr>
              <w:pStyle w:val="Summarytabletextrightaligned"/>
            </w:pPr>
            <w:r>
              <w:t>..</w:t>
            </w:r>
          </w:p>
        </w:tc>
        <w:tc>
          <w:tcPr>
            <w:tcW w:w="850" w:type="dxa"/>
            <w:vAlign w:val="bottom"/>
          </w:tcPr>
          <w:p w14:paraId="504F7B2C" w14:textId="6858FB4A" w:rsidR="00B449D0" w:rsidRDefault="00076D78">
            <w:pPr>
              <w:pStyle w:val="Summarytabletextrightaligned"/>
            </w:pPr>
            <w:r>
              <w:noBreakHyphen/>
            </w:r>
          </w:p>
        </w:tc>
        <w:tc>
          <w:tcPr>
            <w:tcW w:w="850" w:type="dxa"/>
            <w:vAlign w:val="bottom"/>
          </w:tcPr>
          <w:p w14:paraId="1435373B" w14:textId="6A132F6A" w:rsidR="00B449D0" w:rsidRDefault="00076D78">
            <w:pPr>
              <w:pStyle w:val="Summarytabletextrightaligned"/>
            </w:pPr>
            <w:r>
              <w:noBreakHyphen/>
            </w:r>
          </w:p>
        </w:tc>
      </w:tr>
      <w:tr w:rsidR="00B449D0" w14:paraId="6201D6AC" w14:textId="77777777" w:rsidTr="00301E48">
        <w:tc>
          <w:tcPr>
            <w:tcW w:w="3471" w:type="dxa"/>
            <w:vAlign w:val="bottom"/>
          </w:tcPr>
          <w:p w14:paraId="5571C6D9" w14:textId="54D7B8A1" w:rsidR="00B449D0" w:rsidRDefault="00175344">
            <w:pPr>
              <w:pStyle w:val="SummaryMeasureTitlewithTheme"/>
            </w:pPr>
            <w:r>
              <w:t>Defence Workforce Plan – investing in Defence</w:t>
            </w:r>
            <w:r w:rsidR="00076D78">
              <w:t>’</w:t>
            </w:r>
            <w:r>
              <w:t>s people(b)</w:t>
            </w:r>
          </w:p>
        </w:tc>
        <w:tc>
          <w:tcPr>
            <w:tcW w:w="850" w:type="dxa"/>
            <w:vAlign w:val="bottom"/>
          </w:tcPr>
          <w:p w14:paraId="08E6645A" w14:textId="3CCDB426" w:rsidR="00B449D0" w:rsidRDefault="00076D78">
            <w:pPr>
              <w:pStyle w:val="Summarytabletextrightaligned"/>
            </w:pPr>
            <w:r>
              <w:noBreakHyphen/>
            </w:r>
          </w:p>
        </w:tc>
        <w:tc>
          <w:tcPr>
            <w:tcW w:w="850" w:type="dxa"/>
            <w:shd w:val="clear" w:color="auto" w:fill="E6F2FF"/>
            <w:vAlign w:val="bottom"/>
          </w:tcPr>
          <w:p w14:paraId="09A48B4B" w14:textId="1A9F4AF5" w:rsidR="00B449D0" w:rsidRDefault="00076D78">
            <w:pPr>
              <w:pStyle w:val="Summarytabletextrightaligned"/>
            </w:pPr>
            <w:r>
              <w:noBreakHyphen/>
            </w:r>
          </w:p>
        </w:tc>
        <w:tc>
          <w:tcPr>
            <w:tcW w:w="850" w:type="dxa"/>
            <w:vAlign w:val="bottom"/>
          </w:tcPr>
          <w:p w14:paraId="08807160" w14:textId="77777777" w:rsidR="00B449D0" w:rsidRDefault="00175344">
            <w:pPr>
              <w:pStyle w:val="Summarytabletextrightaligned"/>
            </w:pPr>
            <w:r>
              <w:t>40.0</w:t>
            </w:r>
          </w:p>
        </w:tc>
        <w:tc>
          <w:tcPr>
            <w:tcW w:w="850" w:type="dxa"/>
            <w:vAlign w:val="bottom"/>
          </w:tcPr>
          <w:p w14:paraId="428A1B09" w14:textId="77777777" w:rsidR="00B449D0" w:rsidRDefault="00175344">
            <w:pPr>
              <w:pStyle w:val="Summarytabletextrightaligned"/>
            </w:pPr>
            <w:r>
              <w:t>48.0</w:t>
            </w:r>
          </w:p>
        </w:tc>
        <w:tc>
          <w:tcPr>
            <w:tcW w:w="850" w:type="dxa"/>
            <w:vAlign w:val="bottom"/>
          </w:tcPr>
          <w:p w14:paraId="473BF3B9" w14:textId="77777777" w:rsidR="00B449D0" w:rsidRDefault="00175344">
            <w:pPr>
              <w:pStyle w:val="Summarytabletextrightaligned"/>
            </w:pPr>
            <w:r>
              <w:t>49.0</w:t>
            </w:r>
          </w:p>
        </w:tc>
      </w:tr>
      <w:tr w:rsidR="00B449D0" w14:paraId="369F5EDA" w14:textId="77777777" w:rsidTr="00301E48">
        <w:tc>
          <w:tcPr>
            <w:tcW w:w="3471" w:type="dxa"/>
            <w:vAlign w:val="bottom"/>
          </w:tcPr>
          <w:p w14:paraId="7B9575D9" w14:textId="77777777" w:rsidR="00B449D0" w:rsidRDefault="00175344">
            <w:pPr>
              <w:pStyle w:val="SummaryMeasureTitlewithTheme"/>
            </w:pPr>
            <w:r>
              <w:t>Housing – securing more affordable housing supply and better outcomes for renters</w:t>
            </w:r>
          </w:p>
        </w:tc>
        <w:tc>
          <w:tcPr>
            <w:tcW w:w="850" w:type="dxa"/>
            <w:vAlign w:val="bottom"/>
          </w:tcPr>
          <w:p w14:paraId="2FD6FF38" w14:textId="0C4D70A6" w:rsidR="00B449D0" w:rsidRDefault="00076D78">
            <w:pPr>
              <w:pStyle w:val="Summarytabletextrightaligned"/>
            </w:pPr>
            <w:r>
              <w:noBreakHyphen/>
            </w:r>
          </w:p>
        </w:tc>
        <w:tc>
          <w:tcPr>
            <w:tcW w:w="850" w:type="dxa"/>
            <w:shd w:val="clear" w:color="auto" w:fill="E6F2FF"/>
            <w:vAlign w:val="bottom"/>
          </w:tcPr>
          <w:p w14:paraId="6609C4B5" w14:textId="6E48B689" w:rsidR="00B449D0" w:rsidRDefault="00076D78">
            <w:pPr>
              <w:pStyle w:val="Summarytabletextrightaligned"/>
            </w:pPr>
            <w:r>
              <w:noBreakHyphen/>
            </w:r>
            <w:r w:rsidR="00175344">
              <w:t>5.0</w:t>
            </w:r>
          </w:p>
        </w:tc>
        <w:tc>
          <w:tcPr>
            <w:tcW w:w="850" w:type="dxa"/>
            <w:vAlign w:val="bottom"/>
          </w:tcPr>
          <w:p w14:paraId="1FCC4AE4" w14:textId="7D9A6D53" w:rsidR="00B449D0" w:rsidRDefault="00076D78">
            <w:pPr>
              <w:pStyle w:val="Summarytabletextrightaligned"/>
            </w:pPr>
            <w:r>
              <w:noBreakHyphen/>
            </w:r>
            <w:r w:rsidR="00175344">
              <w:t>10.0</w:t>
            </w:r>
          </w:p>
        </w:tc>
        <w:tc>
          <w:tcPr>
            <w:tcW w:w="850" w:type="dxa"/>
            <w:vAlign w:val="bottom"/>
          </w:tcPr>
          <w:p w14:paraId="7B61DF52" w14:textId="2CF30258" w:rsidR="00B449D0" w:rsidRDefault="00076D78">
            <w:pPr>
              <w:pStyle w:val="Summarytabletextrightaligned"/>
            </w:pPr>
            <w:r>
              <w:noBreakHyphen/>
            </w:r>
            <w:r w:rsidR="00175344">
              <w:t>15.0</w:t>
            </w:r>
          </w:p>
        </w:tc>
        <w:tc>
          <w:tcPr>
            <w:tcW w:w="850" w:type="dxa"/>
            <w:vAlign w:val="bottom"/>
          </w:tcPr>
          <w:p w14:paraId="74C14C77" w14:textId="7DFC3EE2" w:rsidR="00B449D0" w:rsidRDefault="00076D78">
            <w:pPr>
              <w:pStyle w:val="Summarytabletextrightaligned"/>
            </w:pPr>
            <w:r>
              <w:noBreakHyphen/>
            </w:r>
            <w:r w:rsidR="00175344">
              <w:t>15.0</w:t>
            </w:r>
          </w:p>
        </w:tc>
      </w:tr>
      <w:tr w:rsidR="00B449D0" w14:paraId="4B6AF7BC" w14:textId="77777777" w:rsidTr="00301E48">
        <w:tc>
          <w:tcPr>
            <w:tcW w:w="3471" w:type="dxa"/>
            <w:vAlign w:val="bottom"/>
          </w:tcPr>
          <w:p w14:paraId="1B06A125" w14:textId="77777777" w:rsidR="00B449D0" w:rsidRDefault="00175344">
            <w:pPr>
              <w:pStyle w:val="SummaryMeasureTitlewithTheme"/>
            </w:pPr>
            <w:r>
              <w:t>Indirect Tax Concession Scheme – diplomatic and consular concessions(b)</w:t>
            </w:r>
          </w:p>
        </w:tc>
        <w:tc>
          <w:tcPr>
            <w:tcW w:w="850" w:type="dxa"/>
            <w:vAlign w:val="bottom"/>
          </w:tcPr>
          <w:p w14:paraId="6860DB03" w14:textId="552E20DF" w:rsidR="00B449D0" w:rsidRDefault="00076D78">
            <w:pPr>
              <w:pStyle w:val="Summarytabletextrightaligned"/>
            </w:pPr>
            <w:r>
              <w:noBreakHyphen/>
            </w:r>
          </w:p>
        </w:tc>
        <w:tc>
          <w:tcPr>
            <w:tcW w:w="850" w:type="dxa"/>
            <w:shd w:val="clear" w:color="auto" w:fill="E6F2FF"/>
            <w:vAlign w:val="bottom"/>
          </w:tcPr>
          <w:p w14:paraId="66BEE25F" w14:textId="2A0A986D" w:rsidR="00B449D0" w:rsidRDefault="00076D78">
            <w:pPr>
              <w:pStyle w:val="Summarytabletextrightaligned"/>
            </w:pPr>
            <w:r>
              <w:noBreakHyphen/>
            </w:r>
            <w:r w:rsidR="00175344">
              <w:t>1.4</w:t>
            </w:r>
          </w:p>
        </w:tc>
        <w:tc>
          <w:tcPr>
            <w:tcW w:w="850" w:type="dxa"/>
            <w:vAlign w:val="bottom"/>
          </w:tcPr>
          <w:p w14:paraId="43FF4003" w14:textId="046C3A2F" w:rsidR="00B449D0" w:rsidRDefault="00076D78">
            <w:pPr>
              <w:pStyle w:val="Summarytabletextrightaligned"/>
            </w:pPr>
            <w:r>
              <w:noBreakHyphen/>
            </w:r>
            <w:r w:rsidR="00175344">
              <w:t>0.7</w:t>
            </w:r>
          </w:p>
        </w:tc>
        <w:tc>
          <w:tcPr>
            <w:tcW w:w="850" w:type="dxa"/>
            <w:vAlign w:val="bottom"/>
          </w:tcPr>
          <w:p w14:paraId="32478357" w14:textId="06F13004" w:rsidR="00B449D0" w:rsidRDefault="00076D78">
            <w:pPr>
              <w:pStyle w:val="Summarytabletextrightaligned"/>
            </w:pPr>
            <w:r>
              <w:noBreakHyphen/>
            </w:r>
            <w:r w:rsidR="00175344">
              <w:t>0.2</w:t>
            </w:r>
          </w:p>
        </w:tc>
        <w:tc>
          <w:tcPr>
            <w:tcW w:w="850" w:type="dxa"/>
            <w:vAlign w:val="bottom"/>
          </w:tcPr>
          <w:p w14:paraId="7C8668AF" w14:textId="0ADEDDF0" w:rsidR="00B449D0" w:rsidRDefault="005B6F2F">
            <w:pPr>
              <w:pStyle w:val="Summarytabletextrightaligned"/>
            </w:pPr>
            <w:r>
              <w:t>..</w:t>
            </w:r>
          </w:p>
        </w:tc>
      </w:tr>
      <w:tr w:rsidR="00B449D0" w14:paraId="02A3F831" w14:textId="77777777" w:rsidTr="00301E48">
        <w:tc>
          <w:tcPr>
            <w:tcW w:w="3471" w:type="dxa"/>
            <w:vAlign w:val="bottom"/>
          </w:tcPr>
          <w:p w14:paraId="61AED25E" w14:textId="77777777" w:rsidR="00B449D0" w:rsidRDefault="00175344">
            <w:pPr>
              <w:pStyle w:val="SummaryMeasureTitlewithTheme"/>
            </w:pPr>
            <w:r>
              <w:t>International Tax – signing of the Australia‑Slovenia Tax Treaty</w:t>
            </w:r>
          </w:p>
        </w:tc>
        <w:tc>
          <w:tcPr>
            <w:tcW w:w="850" w:type="dxa"/>
            <w:vAlign w:val="bottom"/>
          </w:tcPr>
          <w:p w14:paraId="0AC94FA5" w14:textId="3DDC33F5" w:rsidR="00B449D0" w:rsidRDefault="00076D78">
            <w:pPr>
              <w:pStyle w:val="Summarytabletextrightaligned"/>
            </w:pPr>
            <w:r>
              <w:noBreakHyphen/>
            </w:r>
          </w:p>
        </w:tc>
        <w:tc>
          <w:tcPr>
            <w:tcW w:w="850" w:type="dxa"/>
            <w:shd w:val="clear" w:color="auto" w:fill="E6F2FF"/>
            <w:vAlign w:val="bottom"/>
          </w:tcPr>
          <w:p w14:paraId="68012B34" w14:textId="09727BA0" w:rsidR="00B449D0" w:rsidRDefault="00076D78">
            <w:pPr>
              <w:pStyle w:val="Summarytabletextrightaligned"/>
            </w:pPr>
            <w:r>
              <w:noBreakHyphen/>
            </w:r>
          </w:p>
        </w:tc>
        <w:tc>
          <w:tcPr>
            <w:tcW w:w="850" w:type="dxa"/>
            <w:vAlign w:val="bottom"/>
          </w:tcPr>
          <w:p w14:paraId="0FE367EC" w14:textId="2CB59597" w:rsidR="00B449D0" w:rsidRDefault="005B6F2F">
            <w:pPr>
              <w:pStyle w:val="Summarytabletextrightaligned"/>
            </w:pPr>
            <w:r>
              <w:t>..</w:t>
            </w:r>
          </w:p>
        </w:tc>
        <w:tc>
          <w:tcPr>
            <w:tcW w:w="850" w:type="dxa"/>
            <w:vAlign w:val="bottom"/>
          </w:tcPr>
          <w:p w14:paraId="22169025" w14:textId="0FEAAB24" w:rsidR="00B449D0" w:rsidRDefault="005B6F2F">
            <w:pPr>
              <w:pStyle w:val="Summarytabletextrightaligned"/>
            </w:pPr>
            <w:r>
              <w:t>..</w:t>
            </w:r>
          </w:p>
        </w:tc>
        <w:tc>
          <w:tcPr>
            <w:tcW w:w="850" w:type="dxa"/>
            <w:vAlign w:val="bottom"/>
          </w:tcPr>
          <w:p w14:paraId="56A492E3" w14:textId="75B2A985" w:rsidR="00B449D0" w:rsidRDefault="005B6F2F">
            <w:pPr>
              <w:pStyle w:val="Summarytabletextrightaligned"/>
            </w:pPr>
            <w:r>
              <w:t>..</w:t>
            </w:r>
          </w:p>
        </w:tc>
      </w:tr>
      <w:tr w:rsidR="00B449D0" w14:paraId="66EFC7C8" w14:textId="77777777" w:rsidTr="00301E48">
        <w:tc>
          <w:tcPr>
            <w:tcW w:w="3471" w:type="dxa"/>
            <w:vAlign w:val="bottom"/>
          </w:tcPr>
          <w:p w14:paraId="67752E97" w14:textId="06C94BF9" w:rsidR="00B449D0" w:rsidRDefault="00175344">
            <w:pPr>
              <w:pStyle w:val="SummaryMeasureTitlewithTheme"/>
            </w:pPr>
            <w:r>
              <w:t xml:space="preserve">Legacy </w:t>
            </w:r>
            <w:r w:rsidR="0042769F">
              <w:t>S</w:t>
            </w:r>
            <w:r>
              <w:t xml:space="preserve">uperannuation </w:t>
            </w:r>
            <w:r w:rsidR="0042769F">
              <w:t>R</w:t>
            </w:r>
            <w:r>
              <w:t xml:space="preserve">etirement </w:t>
            </w:r>
            <w:r w:rsidR="0042769F">
              <w:t>P</w:t>
            </w:r>
            <w:r>
              <w:t xml:space="preserve">roduct </w:t>
            </w:r>
            <w:r w:rsidR="0042769F">
              <w:t>C</w:t>
            </w:r>
            <w:r>
              <w:t xml:space="preserve">onversions and </w:t>
            </w:r>
            <w:r w:rsidR="0042769F">
              <w:t>R</w:t>
            </w:r>
            <w:r>
              <w:t>eserves(b)</w:t>
            </w:r>
          </w:p>
        </w:tc>
        <w:tc>
          <w:tcPr>
            <w:tcW w:w="850" w:type="dxa"/>
            <w:vAlign w:val="bottom"/>
          </w:tcPr>
          <w:p w14:paraId="158938F1" w14:textId="1E660B27" w:rsidR="00B449D0" w:rsidRDefault="00076D78">
            <w:pPr>
              <w:pStyle w:val="Summarytabletextrightaligned"/>
            </w:pPr>
            <w:r>
              <w:noBreakHyphen/>
            </w:r>
          </w:p>
        </w:tc>
        <w:tc>
          <w:tcPr>
            <w:tcW w:w="850" w:type="dxa"/>
            <w:shd w:val="clear" w:color="auto" w:fill="E6F2FF"/>
            <w:vAlign w:val="bottom"/>
          </w:tcPr>
          <w:p w14:paraId="4C5A371D" w14:textId="77777777" w:rsidR="00B449D0" w:rsidRDefault="00175344">
            <w:pPr>
              <w:pStyle w:val="Summarytabletextrightaligned"/>
            </w:pPr>
            <w:r>
              <w:t>*</w:t>
            </w:r>
          </w:p>
        </w:tc>
        <w:tc>
          <w:tcPr>
            <w:tcW w:w="850" w:type="dxa"/>
            <w:vAlign w:val="bottom"/>
          </w:tcPr>
          <w:p w14:paraId="3C012AE7" w14:textId="77777777" w:rsidR="00B449D0" w:rsidRDefault="00175344">
            <w:pPr>
              <w:pStyle w:val="Summarytabletextrightaligned"/>
            </w:pPr>
            <w:r>
              <w:t>*</w:t>
            </w:r>
          </w:p>
        </w:tc>
        <w:tc>
          <w:tcPr>
            <w:tcW w:w="850" w:type="dxa"/>
            <w:vAlign w:val="bottom"/>
          </w:tcPr>
          <w:p w14:paraId="13D7B1D1" w14:textId="77777777" w:rsidR="00B449D0" w:rsidRDefault="00175344">
            <w:pPr>
              <w:pStyle w:val="Summarytabletextrightaligned"/>
            </w:pPr>
            <w:r>
              <w:t>*</w:t>
            </w:r>
          </w:p>
        </w:tc>
        <w:tc>
          <w:tcPr>
            <w:tcW w:w="850" w:type="dxa"/>
            <w:vAlign w:val="bottom"/>
          </w:tcPr>
          <w:p w14:paraId="54CD66DB" w14:textId="77777777" w:rsidR="00B449D0" w:rsidRDefault="00175344">
            <w:pPr>
              <w:pStyle w:val="Summarytabletextrightaligned"/>
            </w:pPr>
            <w:r>
              <w:t>*</w:t>
            </w:r>
          </w:p>
        </w:tc>
      </w:tr>
      <w:tr w:rsidR="00B449D0" w14:paraId="1A928E16" w14:textId="77777777" w:rsidTr="00301E48">
        <w:tc>
          <w:tcPr>
            <w:tcW w:w="3471" w:type="dxa"/>
            <w:vAlign w:val="bottom"/>
          </w:tcPr>
          <w:p w14:paraId="17D036E6" w14:textId="77777777" w:rsidR="00B449D0" w:rsidRDefault="00175344">
            <w:pPr>
              <w:pStyle w:val="SummaryMeasureTitlewithTheme"/>
            </w:pPr>
            <w:r>
              <w:t>Migration – uplift of Visa Application Charges(b)</w:t>
            </w:r>
          </w:p>
        </w:tc>
        <w:tc>
          <w:tcPr>
            <w:tcW w:w="850" w:type="dxa"/>
            <w:vAlign w:val="bottom"/>
          </w:tcPr>
          <w:p w14:paraId="29D6D6F8" w14:textId="1E4E04C0" w:rsidR="00B449D0" w:rsidRDefault="00076D78">
            <w:pPr>
              <w:pStyle w:val="Summarytabletextrightaligned"/>
            </w:pPr>
            <w:r>
              <w:noBreakHyphen/>
            </w:r>
          </w:p>
        </w:tc>
        <w:tc>
          <w:tcPr>
            <w:tcW w:w="850" w:type="dxa"/>
            <w:shd w:val="clear" w:color="auto" w:fill="E6F2FF"/>
            <w:vAlign w:val="bottom"/>
          </w:tcPr>
          <w:p w14:paraId="3201B186" w14:textId="0190D8E7" w:rsidR="00B449D0" w:rsidRDefault="00076D78">
            <w:pPr>
              <w:pStyle w:val="Summarytabletextrightaligned"/>
            </w:pPr>
            <w:r>
              <w:noBreakHyphen/>
            </w:r>
          </w:p>
        </w:tc>
        <w:tc>
          <w:tcPr>
            <w:tcW w:w="850" w:type="dxa"/>
            <w:vAlign w:val="bottom"/>
          </w:tcPr>
          <w:p w14:paraId="06043BD3" w14:textId="515C1232" w:rsidR="00B449D0" w:rsidRDefault="00076D78">
            <w:pPr>
              <w:pStyle w:val="Summarytabletextrightaligned"/>
            </w:pPr>
            <w:r>
              <w:noBreakHyphen/>
            </w:r>
          </w:p>
        </w:tc>
        <w:tc>
          <w:tcPr>
            <w:tcW w:w="850" w:type="dxa"/>
            <w:vAlign w:val="bottom"/>
          </w:tcPr>
          <w:p w14:paraId="6B77AE78" w14:textId="3E9527D4" w:rsidR="00B449D0" w:rsidRDefault="00076D78">
            <w:pPr>
              <w:pStyle w:val="Summarytabletextrightaligned"/>
            </w:pPr>
            <w:r>
              <w:noBreakHyphen/>
            </w:r>
          </w:p>
        </w:tc>
        <w:tc>
          <w:tcPr>
            <w:tcW w:w="850" w:type="dxa"/>
            <w:vAlign w:val="bottom"/>
          </w:tcPr>
          <w:p w14:paraId="696D20DC" w14:textId="72EEB18A" w:rsidR="00B449D0" w:rsidRDefault="00076D78">
            <w:pPr>
              <w:pStyle w:val="Summarytabletextrightaligned"/>
            </w:pPr>
            <w:r>
              <w:noBreakHyphen/>
            </w:r>
          </w:p>
        </w:tc>
      </w:tr>
      <w:tr w:rsidR="00B449D0" w14:paraId="2AB40456" w14:textId="77777777" w:rsidTr="00301E48">
        <w:tc>
          <w:tcPr>
            <w:tcW w:w="3471" w:type="dxa"/>
            <w:vAlign w:val="bottom"/>
          </w:tcPr>
          <w:p w14:paraId="0361A6A1" w14:textId="3DFC08ED" w:rsidR="00B449D0" w:rsidRDefault="00175344">
            <w:pPr>
              <w:pStyle w:val="SummaryMeasureTitlewithTheme"/>
            </w:pPr>
            <w:r>
              <w:t xml:space="preserve">Modernising </w:t>
            </w:r>
            <w:r w:rsidR="00C169E6">
              <w:t>T</w:t>
            </w:r>
            <w:r>
              <w:t xml:space="preserve">ax </w:t>
            </w:r>
            <w:r w:rsidR="00C169E6">
              <w:t>A</w:t>
            </w:r>
            <w:r>
              <w:t xml:space="preserve">dministration </w:t>
            </w:r>
            <w:r w:rsidR="00C169E6">
              <w:t>S</w:t>
            </w:r>
            <w:r>
              <w:t>ystems(b)</w:t>
            </w:r>
          </w:p>
        </w:tc>
        <w:tc>
          <w:tcPr>
            <w:tcW w:w="850" w:type="dxa"/>
            <w:vAlign w:val="bottom"/>
          </w:tcPr>
          <w:p w14:paraId="544230A6" w14:textId="79AD7617" w:rsidR="00B449D0" w:rsidRDefault="00076D78">
            <w:pPr>
              <w:pStyle w:val="Summarytabletextrightaligned"/>
            </w:pPr>
            <w:r>
              <w:noBreakHyphen/>
            </w:r>
          </w:p>
        </w:tc>
        <w:tc>
          <w:tcPr>
            <w:tcW w:w="850" w:type="dxa"/>
            <w:shd w:val="clear" w:color="auto" w:fill="E6F2FF"/>
            <w:vAlign w:val="bottom"/>
          </w:tcPr>
          <w:p w14:paraId="0A51390F" w14:textId="058AE1F0" w:rsidR="00B449D0" w:rsidRDefault="00076D78">
            <w:pPr>
              <w:pStyle w:val="Summarytabletextrightaligned"/>
            </w:pPr>
            <w:r>
              <w:noBreakHyphen/>
            </w:r>
          </w:p>
        </w:tc>
        <w:tc>
          <w:tcPr>
            <w:tcW w:w="850" w:type="dxa"/>
            <w:vAlign w:val="bottom"/>
          </w:tcPr>
          <w:p w14:paraId="6906A560" w14:textId="7565DFDE" w:rsidR="00B449D0" w:rsidRDefault="00076D78">
            <w:pPr>
              <w:pStyle w:val="Summarytabletextrightaligned"/>
            </w:pPr>
            <w:r>
              <w:noBreakHyphen/>
            </w:r>
          </w:p>
        </w:tc>
        <w:tc>
          <w:tcPr>
            <w:tcW w:w="850" w:type="dxa"/>
            <w:vAlign w:val="bottom"/>
          </w:tcPr>
          <w:p w14:paraId="3F03452B" w14:textId="77777777" w:rsidR="00B449D0" w:rsidRDefault="00175344">
            <w:pPr>
              <w:pStyle w:val="Summarytabletextrightaligned"/>
            </w:pPr>
            <w:r>
              <w:t>17.4</w:t>
            </w:r>
          </w:p>
        </w:tc>
        <w:tc>
          <w:tcPr>
            <w:tcW w:w="850" w:type="dxa"/>
            <w:vAlign w:val="bottom"/>
          </w:tcPr>
          <w:p w14:paraId="7B814EAC" w14:textId="77777777" w:rsidR="00B449D0" w:rsidRDefault="00175344">
            <w:pPr>
              <w:pStyle w:val="Summarytabletextrightaligned"/>
            </w:pPr>
            <w:r>
              <w:t>64.2</w:t>
            </w:r>
          </w:p>
        </w:tc>
      </w:tr>
      <w:tr w:rsidR="00B449D0" w14:paraId="22D6B017" w14:textId="77777777" w:rsidTr="00301E48">
        <w:tc>
          <w:tcPr>
            <w:tcW w:w="3471" w:type="dxa"/>
            <w:vAlign w:val="bottom"/>
          </w:tcPr>
          <w:p w14:paraId="571727CA" w14:textId="77777777" w:rsidR="00B449D0" w:rsidRDefault="00175344">
            <w:pPr>
              <w:pStyle w:val="SummaryMeasureTitlewithTheme"/>
            </w:pPr>
            <w:r>
              <w:t>Payday Super(b)</w:t>
            </w:r>
          </w:p>
        </w:tc>
        <w:tc>
          <w:tcPr>
            <w:tcW w:w="850" w:type="dxa"/>
            <w:vAlign w:val="bottom"/>
          </w:tcPr>
          <w:p w14:paraId="2E5E5457" w14:textId="1BB9331F" w:rsidR="00B449D0" w:rsidRDefault="00076D78">
            <w:pPr>
              <w:pStyle w:val="Summarytabletextrightaligned"/>
            </w:pPr>
            <w:r>
              <w:noBreakHyphen/>
            </w:r>
          </w:p>
        </w:tc>
        <w:tc>
          <w:tcPr>
            <w:tcW w:w="850" w:type="dxa"/>
            <w:shd w:val="clear" w:color="auto" w:fill="E6F2FF"/>
            <w:vAlign w:val="bottom"/>
          </w:tcPr>
          <w:p w14:paraId="73D64CEB" w14:textId="1181B138" w:rsidR="00B449D0" w:rsidRDefault="00076D78">
            <w:pPr>
              <w:pStyle w:val="Summarytabletextrightaligned"/>
            </w:pPr>
            <w:r>
              <w:noBreakHyphen/>
            </w:r>
          </w:p>
        </w:tc>
        <w:tc>
          <w:tcPr>
            <w:tcW w:w="850" w:type="dxa"/>
            <w:vAlign w:val="bottom"/>
          </w:tcPr>
          <w:p w14:paraId="7F51BFDD" w14:textId="244FD4F7" w:rsidR="00B449D0" w:rsidRDefault="00076D78">
            <w:pPr>
              <w:pStyle w:val="Summarytabletextrightaligned"/>
            </w:pPr>
            <w:r>
              <w:noBreakHyphen/>
            </w:r>
          </w:p>
        </w:tc>
        <w:tc>
          <w:tcPr>
            <w:tcW w:w="850" w:type="dxa"/>
            <w:vAlign w:val="bottom"/>
          </w:tcPr>
          <w:p w14:paraId="7E3A8215" w14:textId="00E093FC" w:rsidR="00B449D0" w:rsidRDefault="00076D78">
            <w:pPr>
              <w:pStyle w:val="Summarytabletextrightaligned"/>
            </w:pPr>
            <w:r>
              <w:noBreakHyphen/>
            </w:r>
            <w:r w:rsidR="00175344">
              <w:t>20.0</w:t>
            </w:r>
          </w:p>
        </w:tc>
        <w:tc>
          <w:tcPr>
            <w:tcW w:w="850" w:type="dxa"/>
            <w:vAlign w:val="bottom"/>
          </w:tcPr>
          <w:p w14:paraId="259D6920" w14:textId="21385CC4" w:rsidR="00B449D0" w:rsidRDefault="00076D78">
            <w:pPr>
              <w:pStyle w:val="Summarytabletextrightaligned"/>
            </w:pPr>
            <w:r>
              <w:noBreakHyphen/>
            </w:r>
            <w:r w:rsidR="00175344">
              <w:t>107.0</w:t>
            </w:r>
          </w:p>
        </w:tc>
      </w:tr>
      <w:tr w:rsidR="00B449D0" w14:paraId="12FBBD3D" w14:textId="77777777" w:rsidTr="00301E48">
        <w:tc>
          <w:tcPr>
            <w:tcW w:w="3471" w:type="dxa"/>
            <w:vAlign w:val="bottom"/>
          </w:tcPr>
          <w:p w14:paraId="212E366D" w14:textId="08EF36E1" w:rsidR="00B449D0" w:rsidRDefault="00175344">
            <w:pPr>
              <w:pStyle w:val="SummaryMeasureTitlewithTheme"/>
            </w:pPr>
            <w:r>
              <w:t xml:space="preserve">Penalties – </w:t>
            </w:r>
            <w:r w:rsidR="009E3AEC">
              <w:t>a</w:t>
            </w:r>
            <w:r>
              <w:t>ddressing gaps in the current tax penalty regime</w:t>
            </w:r>
          </w:p>
        </w:tc>
        <w:tc>
          <w:tcPr>
            <w:tcW w:w="850" w:type="dxa"/>
            <w:vAlign w:val="bottom"/>
          </w:tcPr>
          <w:p w14:paraId="04EAC5CC" w14:textId="0D0E2D79" w:rsidR="00B449D0" w:rsidRDefault="00076D78">
            <w:pPr>
              <w:pStyle w:val="Summarytabletextrightaligned"/>
            </w:pPr>
            <w:r>
              <w:noBreakHyphen/>
            </w:r>
          </w:p>
        </w:tc>
        <w:tc>
          <w:tcPr>
            <w:tcW w:w="850" w:type="dxa"/>
            <w:shd w:val="clear" w:color="auto" w:fill="E6F2FF"/>
            <w:vAlign w:val="bottom"/>
          </w:tcPr>
          <w:p w14:paraId="3DB2E08D" w14:textId="541260F1" w:rsidR="00B449D0" w:rsidRDefault="00076D78">
            <w:pPr>
              <w:pStyle w:val="Summarytabletextrightaligned"/>
            </w:pPr>
            <w:r>
              <w:noBreakHyphen/>
            </w:r>
          </w:p>
        </w:tc>
        <w:tc>
          <w:tcPr>
            <w:tcW w:w="850" w:type="dxa"/>
            <w:vAlign w:val="bottom"/>
          </w:tcPr>
          <w:p w14:paraId="125D58F8" w14:textId="3113E05A" w:rsidR="00B449D0" w:rsidRDefault="00910891">
            <w:pPr>
              <w:pStyle w:val="Summarytabletextrightaligned"/>
            </w:pPr>
            <w:r>
              <w:t>..</w:t>
            </w:r>
          </w:p>
        </w:tc>
        <w:tc>
          <w:tcPr>
            <w:tcW w:w="850" w:type="dxa"/>
            <w:vAlign w:val="bottom"/>
          </w:tcPr>
          <w:p w14:paraId="222ACA1C" w14:textId="77777777" w:rsidR="00B449D0" w:rsidRDefault="00175344">
            <w:pPr>
              <w:pStyle w:val="Summarytabletextrightaligned"/>
            </w:pPr>
            <w:r>
              <w:t>*</w:t>
            </w:r>
          </w:p>
        </w:tc>
        <w:tc>
          <w:tcPr>
            <w:tcW w:w="850" w:type="dxa"/>
            <w:vAlign w:val="bottom"/>
          </w:tcPr>
          <w:p w14:paraId="5E98477F" w14:textId="77777777" w:rsidR="00B449D0" w:rsidRDefault="00175344">
            <w:pPr>
              <w:pStyle w:val="Summarytabletextrightaligned"/>
            </w:pPr>
            <w:r>
              <w:t>*</w:t>
            </w:r>
          </w:p>
        </w:tc>
      </w:tr>
      <w:tr w:rsidR="00B449D0" w14:paraId="3D8C686E" w14:textId="77777777" w:rsidTr="00301E48">
        <w:tc>
          <w:tcPr>
            <w:tcW w:w="3471" w:type="dxa"/>
            <w:vAlign w:val="bottom"/>
          </w:tcPr>
          <w:p w14:paraId="5E97886D" w14:textId="77777777" w:rsidR="00B449D0" w:rsidRDefault="00175344">
            <w:pPr>
              <w:pStyle w:val="SummaryMeasureTitlewithTheme"/>
            </w:pPr>
            <w:r>
              <w:t>Philanthropy – updates to the list of specifically listed deductible gift recipients</w:t>
            </w:r>
          </w:p>
        </w:tc>
        <w:tc>
          <w:tcPr>
            <w:tcW w:w="850" w:type="dxa"/>
            <w:vAlign w:val="bottom"/>
          </w:tcPr>
          <w:p w14:paraId="7659B16F" w14:textId="768EC9F5" w:rsidR="00B449D0" w:rsidRDefault="00076D78">
            <w:pPr>
              <w:pStyle w:val="Summarytabletextrightaligned"/>
            </w:pPr>
            <w:r>
              <w:noBreakHyphen/>
            </w:r>
          </w:p>
        </w:tc>
        <w:tc>
          <w:tcPr>
            <w:tcW w:w="850" w:type="dxa"/>
            <w:shd w:val="clear" w:color="auto" w:fill="E6F2FF"/>
            <w:vAlign w:val="bottom"/>
          </w:tcPr>
          <w:p w14:paraId="69F8E87B" w14:textId="55FFC14B" w:rsidR="00B449D0" w:rsidRDefault="00076D78">
            <w:pPr>
              <w:pStyle w:val="Summarytabletextrightaligned"/>
            </w:pPr>
            <w:r>
              <w:noBreakHyphen/>
            </w:r>
          </w:p>
        </w:tc>
        <w:tc>
          <w:tcPr>
            <w:tcW w:w="850" w:type="dxa"/>
            <w:vAlign w:val="bottom"/>
          </w:tcPr>
          <w:p w14:paraId="0CFBABF3" w14:textId="5B46F005" w:rsidR="00B449D0" w:rsidRDefault="00076D78">
            <w:pPr>
              <w:pStyle w:val="Summarytabletextrightaligned"/>
            </w:pPr>
            <w:r>
              <w:noBreakHyphen/>
            </w:r>
            <w:r w:rsidR="00175344">
              <w:t>0.6</w:t>
            </w:r>
          </w:p>
        </w:tc>
        <w:tc>
          <w:tcPr>
            <w:tcW w:w="850" w:type="dxa"/>
            <w:vAlign w:val="bottom"/>
          </w:tcPr>
          <w:p w14:paraId="2E004705" w14:textId="0D2DA987" w:rsidR="00B449D0" w:rsidRDefault="00076D78">
            <w:pPr>
              <w:pStyle w:val="Summarytabletextrightaligned"/>
            </w:pPr>
            <w:r>
              <w:noBreakHyphen/>
            </w:r>
            <w:r w:rsidR="00175344">
              <w:t>0.2</w:t>
            </w:r>
          </w:p>
        </w:tc>
        <w:tc>
          <w:tcPr>
            <w:tcW w:w="850" w:type="dxa"/>
            <w:vAlign w:val="bottom"/>
          </w:tcPr>
          <w:p w14:paraId="5BB15811" w14:textId="5C1913DA" w:rsidR="00B449D0" w:rsidRDefault="00FD1C31">
            <w:pPr>
              <w:pStyle w:val="Summarytabletextrightaligned"/>
            </w:pPr>
            <w:r>
              <w:t>..</w:t>
            </w:r>
          </w:p>
        </w:tc>
      </w:tr>
      <w:tr w:rsidR="00B449D0" w14:paraId="1EFA040C" w14:textId="77777777" w:rsidTr="00301E48">
        <w:tc>
          <w:tcPr>
            <w:tcW w:w="3471" w:type="dxa"/>
            <w:vAlign w:val="bottom"/>
          </w:tcPr>
          <w:p w14:paraId="4E8F1F26" w14:textId="77777777" w:rsidR="00B449D0" w:rsidRDefault="00175344">
            <w:pPr>
              <w:pStyle w:val="SummaryMeasureTitlewithTheme"/>
            </w:pPr>
            <w:r>
              <w:t>Philanthropy – support to double philanthropic giving by 2030</w:t>
            </w:r>
          </w:p>
        </w:tc>
        <w:tc>
          <w:tcPr>
            <w:tcW w:w="850" w:type="dxa"/>
            <w:vAlign w:val="bottom"/>
          </w:tcPr>
          <w:p w14:paraId="63AAD0D1" w14:textId="7E0452C1" w:rsidR="00B449D0" w:rsidRDefault="00076D78">
            <w:pPr>
              <w:pStyle w:val="Summarytabletextrightaligned"/>
            </w:pPr>
            <w:r>
              <w:noBreakHyphen/>
            </w:r>
          </w:p>
        </w:tc>
        <w:tc>
          <w:tcPr>
            <w:tcW w:w="850" w:type="dxa"/>
            <w:shd w:val="clear" w:color="auto" w:fill="E6F2FF"/>
            <w:vAlign w:val="bottom"/>
          </w:tcPr>
          <w:p w14:paraId="2B19BDDD" w14:textId="00EE42E6" w:rsidR="00B449D0" w:rsidRDefault="00076D78">
            <w:pPr>
              <w:pStyle w:val="Summarytabletextrightaligned"/>
            </w:pPr>
            <w:r>
              <w:noBreakHyphen/>
            </w:r>
          </w:p>
        </w:tc>
        <w:tc>
          <w:tcPr>
            <w:tcW w:w="850" w:type="dxa"/>
            <w:vAlign w:val="bottom"/>
          </w:tcPr>
          <w:p w14:paraId="15959C42" w14:textId="491B824A" w:rsidR="00B449D0" w:rsidRDefault="00FD1C31">
            <w:pPr>
              <w:pStyle w:val="Summarytabletextrightaligned"/>
            </w:pPr>
            <w:r>
              <w:t>..</w:t>
            </w:r>
          </w:p>
        </w:tc>
        <w:tc>
          <w:tcPr>
            <w:tcW w:w="850" w:type="dxa"/>
            <w:vAlign w:val="bottom"/>
          </w:tcPr>
          <w:p w14:paraId="279842B4" w14:textId="3F622088" w:rsidR="00B449D0" w:rsidRDefault="00FD1C31">
            <w:pPr>
              <w:pStyle w:val="Summarytabletextrightaligned"/>
            </w:pPr>
            <w:r>
              <w:t>..</w:t>
            </w:r>
          </w:p>
        </w:tc>
        <w:tc>
          <w:tcPr>
            <w:tcW w:w="850" w:type="dxa"/>
            <w:vAlign w:val="bottom"/>
          </w:tcPr>
          <w:p w14:paraId="1743CC1C" w14:textId="3286DE78" w:rsidR="00B449D0" w:rsidRDefault="00FD1C31">
            <w:pPr>
              <w:pStyle w:val="Summarytabletextrightaligned"/>
            </w:pPr>
            <w:r>
              <w:t>..</w:t>
            </w:r>
          </w:p>
        </w:tc>
      </w:tr>
      <w:tr w:rsidR="00B449D0" w14:paraId="5FD74F22" w14:textId="77777777" w:rsidTr="00301E48">
        <w:tc>
          <w:tcPr>
            <w:tcW w:w="3471" w:type="dxa"/>
            <w:vAlign w:val="bottom"/>
          </w:tcPr>
          <w:p w14:paraId="787A0AD6" w14:textId="77777777" w:rsidR="00B449D0" w:rsidRDefault="00175344">
            <w:pPr>
              <w:pStyle w:val="SummaryMeasureTitlewithTheme"/>
            </w:pPr>
            <w:r>
              <w:t>Research and Development Tax Incentive – excluding activities relating to gambling and tobacco(b)</w:t>
            </w:r>
          </w:p>
        </w:tc>
        <w:tc>
          <w:tcPr>
            <w:tcW w:w="850" w:type="dxa"/>
            <w:vAlign w:val="bottom"/>
          </w:tcPr>
          <w:p w14:paraId="7CFEA2B5" w14:textId="5D60FE6E" w:rsidR="00B449D0" w:rsidRDefault="00076D78">
            <w:pPr>
              <w:pStyle w:val="Summarytabletextrightaligned"/>
            </w:pPr>
            <w:r>
              <w:noBreakHyphen/>
            </w:r>
          </w:p>
        </w:tc>
        <w:tc>
          <w:tcPr>
            <w:tcW w:w="850" w:type="dxa"/>
            <w:shd w:val="clear" w:color="auto" w:fill="E6F2FF"/>
            <w:vAlign w:val="bottom"/>
          </w:tcPr>
          <w:p w14:paraId="4FB4FA68" w14:textId="3E751544" w:rsidR="00B449D0" w:rsidRDefault="00076D78">
            <w:pPr>
              <w:pStyle w:val="Summarytabletextrightaligned"/>
            </w:pPr>
            <w:r>
              <w:noBreakHyphen/>
            </w:r>
          </w:p>
        </w:tc>
        <w:tc>
          <w:tcPr>
            <w:tcW w:w="850" w:type="dxa"/>
            <w:vAlign w:val="bottom"/>
          </w:tcPr>
          <w:p w14:paraId="6CF73CF9" w14:textId="0211D4B1" w:rsidR="00B449D0" w:rsidRDefault="00076D78">
            <w:pPr>
              <w:pStyle w:val="Summarytabletextrightaligned"/>
            </w:pPr>
            <w:r>
              <w:noBreakHyphen/>
            </w:r>
          </w:p>
        </w:tc>
        <w:tc>
          <w:tcPr>
            <w:tcW w:w="850" w:type="dxa"/>
            <w:vAlign w:val="bottom"/>
          </w:tcPr>
          <w:p w14:paraId="63EB0A73" w14:textId="77777777" w:rsidR="00B449D0" w:rsidRDefault="00175344">
            <w:pPr>
              <w:pStyle w:val="Summarytabletextrightaligned"/>
            </w:pPr>
            <w:r>
              <w:t>6.0</w:t>
            </w:r>
          </w:p>
        </w:tc>
        <w:tc>
          <w:tcPr>
            <w:tcW w:w="850" w:type="dxa"/>
            <w:vAlign w:val="bottom"/>
          </w:tcPr>
          <w:p w14:paraId="4AFCD07E" w14:textId="77777777" w:rsidR="00B449D0" w:rsidRDefault="00175344">
            <w:pPr>
              <w:pStyle w:val="Summarytabletextrightaligned"/>
            </w:pPr>
            <w:r>
              <w:t>6.0</w:t>
            </w:r>
          </w:p>
        </w:tc>
      </w:tr>
    </w:tbl>
    <w:p w14:paraId="6203B1A0" w14:textId="77777777" w:rsidR="00301E48" w:rsidRDefault="00301E48" w:rsidP="00B85ACC">
      <w:pPr>
        <w:pStyle w:val="SingleParagraph0"/>
        <w:sectPr w:rsidR="00301E48" w:rsidSect="00301E48">
          <w:endnotePr>
            <w:numFmt w:val="lowerLetter"/>
            <w:numRestart w:val="eachSect"/>
          </w:endnotePr>
          <w:pgSz w:w="11906" w:h="16838" w:code="9"/>
          <w:pgMar w:top="2835" w:right="2098" w:bottom="2466" w:left="2098" w:header="1814" w:footer="1814" w:gutter="0"/>
          <w:cols w:space="720"/>
          <w:noEndnote/>
          <w:docGrid w:linePitch="272"/>
        </w:sectPr>
      </w:pPr>
    </w:p>
    <w:p w14:paraId="42C24501" w14:textId="2E776DDC" w:rsidR="00301E48" w:rsidRDefault="00301E48" w:rsidP="00301E48">
      <w:pPr>
        <w:pStyle w:val="TableHeadingcontinued"/>
      </w:pPr>
      <w:r>
        <w:lastRenderedPageBreak/>
        <w:t xml:space="preserve">Table </w:t>
      </w:r>
      <w:r w:rsidR="006E0A94">
        <w:t>A.</w:t>
      </w:r>
      <w:r>
        <w:t>1: Receipt measures since the 2024–25 Budget</w:t>
      </w:r>
      <w:r>
        <w:rPr>
          <w:rFonts w:ascii="Cambria Math" w:hAnsi="Cambria Math" w:cs="Cambria Math"/>
        </w:rPr>
        <w:t>⁽</w:t>
      </w:r>
      <w:r>
        <w:rPr>
          <w:rFonts w:cs="Arial"/>
        </w:rPr>
        <w:t>ª</w:t>
      </w:r>
      <w:r>
        <w:rPr>
          <w:rFonts w:ascii="Cambria Math" w:hAnsi="Cambria Math" w:cs="Cambria Math"/>
        </w:rPr>
        <w:t>⁾</w:t>
      </w:r>
      <w:r>
        <w:t xml:space="preserve"> (continued)</w:t>
      </w:r>
    </w:p>
    <w:tbl>
      <w:tblPr>
        <w:tblOverlap w:val="never"/>
        <w:tblW w:w="7721" w:type="dxa"/>
        <w:tblBorders>
          <w:top w:val="single" w:sz="4" w:space="0" w:color="000000"/>
          <w:bottom w:val="single" w:sz="4" w:space="0" w:color="000000"/>
        </w:tblBorders>
        <w:tblLayout w:type="fixed"/>
        <w:tblCellMar>
          <w:left w:w="0" w:type="dxa"/>
          <w:right w:w="56" w:type="dxa"/>
        </w:tblCellMar>
        <w:tblLook w:val="04A0" w:firstRow="1" w:lastRow="0" w:firstColumn="1" w:lastColumn="0" w:noHBand="0" w:noVBand="1"/>
      </w:tblPr>
      <w:tblGrid>
        <w:gridCol w:w="3471"/>
        <w:gridCol w:w="850"/>
        <w:gridCol w:w="850"/>
        <w:gridCol w:w="850"/>
        <w:gridCol w:w="850"/>
        <w:gridCol w:w="850"/>
      </w:tblGrid>
      <w:tr w:rsidR="00301E48" w14:paraId="4EFFE28D" w14:textId="77777777" w:rsidTr="00301E48">
        <w:tc>
          <w:tcPr>
            <w:tcW w:w="3471" w:type="dxa"/>
            <w:vAlign w:val="bottom"/>
          </w:tcPr>
          <w:p w14:paraId="31DE1733" w14:textId="77777777" w:rsidR="00301E48" w:rsidRDefault="00301E48" w:rsidP="00301E48"/>
        </w:tc>
        <w:tc>
          <w:tcPr>
            <w:tcW w:w="850" w:type="dxa"/>
            <w:tcBorders>
              <w:bottom w:val="nil"/>
            </w:tcBorders>
            <w:vAlign w:val="bottom"/>
          </w:tcPr>
          <w:p w14:paraId="302CBF38" w14:textId="3FB194FC" w:rsidR="00301E48" w:rsidRDefault="00301E48" w:rsidP="00301E48">
            <w:pPr>
              <w:pStyle w:val="Summarytabletextrightaligned"/>
            </w:pPr>
            <w:r>
              <w:t>2023</w:t>
            </w:r>
            <w:r w:rsidR="00076D78">
              <w:noBreakHyphen/>
            </w:r>
            <w:r>
              <w:t>24</w:t>
            </w:r>
          </w:p>
        </w:tc>
        <w:tc>
          <w:tcPr>
            <w:tcW w:w="850" w:type="dxa"/>
            <w:tcBorders>
              <w:bottom w:val="nil"/>
            </w:tcBorders>
            <w:shd w:val="clear" w:color="auto" w:fill="E6F2FF"/>
            <w:vAlign w:val="bottom"/>
          </w:tcPr>
          <w:p w14:paraId="3FB089F5" w14:textId="09EABABF" w:rsidR="00301E48" w:rsidRDefault="00301E48" w:rsidP="00301E48">
            <w:pPr>
              <w:pStyle w:val="Summarytabletextrightaligned"/>
            </w:pPr>
            <w:r>
              <w:t>2024</w:t>
            </w:r>
            <w:r w:rsidR="00076D78">
              <w:noBreakHyphen/>
            </w:r>
            <w:r>
              <w:t>25</w:t>
            </w:r>
          </w:p>
        </w:tc>
        <w:tc>
          <w:tcPr>
            <w:tcW w:w="850" w:type="dxa"/>
            <w:tcBorders>
              <w:bottom w:val="nil"/>
            </w:tcBorders>
            <w:vAlign w:val="bottom"/>
          </w:tcPr>
          <w:p w14:paraId="72A941D6" w14:textId="76230225" w:rsidR="00301E48" w:rsidRDefault="00301E48" w:rsidP="00301E48">
            <w:pPr>
              <w:pStyle w:val="Summarytabletextrightaligned"/>
            </w:pPr>
            <w:r>
              <w:t>2025</w:t>
            </w:r>
            <w:r w:rsidR="00076D78">
              <w:noBreakHyphen/>
            </w:r>
            <w:r>
              <w:t>26</w:t>
            </w:r>
          </w:p>
        </w:tc>
        <w:tc>
          <w:tcPr>
            <w:tcW w:w="850" w:type="dxa"/>
            <w:tcBorders>
              <w:bottom w:val="nil"/>
            </w:tcBorders>
            <w:vAlign w:val="bottom"/>
          </w:tcPr>
          <w:p w14:paraId="624F93AB" w14:textId="4683BED5" w:rsidR="00301E48" w:rsidRDefault="00301E48" w:rsidP="00301E48">
            <w:pPr>
              <w:pStyle w:val="Summarytabletextrightaligned"/>
            </w:pPr>
            <w:r>
              <w:t>2026</w:t>
            </w:r>
            <w:r w:rsidR="00076D78">
              <w:noBreakHyphen/>
            </w:r>
            <w:r>
              <w:t>27</w:t>
            </w:r>
          </w:p>
        </w:tc>
        <w:tc>
          <w:tcPr>
            <w:tcW w:w="850" w:type="dxa"/>
            <w:tcBorders>
              <w:bottom w:val="nil"/>
            </w:tcBorders>
            <w:vAlign w:val="bottom"/>
          </w:tcPr>
          <w:p w14:paraId="21E0FABD" w14:textId="7F98342E" w:rsidR="00301E48" w:rsidRDefault="00301E48" w:rsidP="00301E48">
            <w:pPr>
              <w:pStyle w:val="Summarytabletextrightaligned"/>
            </w:pPr>
            <w:r>
              <w:t>2027</w:t>
            </w:r>
            <w:r w:rsidR="00076D78">
              <w:noBreakHyphen/>
            </w:r>
            <w:r>
              <w:t>28</w:t>
            </w:r>
          </w:p>
        </w:tc>
      </w:tr>
      <w:tr w:rsidR="00301E48" w14:paraId="36A29997" w14:textId="77777777" w:rsidTr="00301E48">
        <w:tc>
          <w:tcPr>
            <w:tcW w:w="3471" w:type="dxa"/>
            <w:vAlign w:val="bottom"/>
          </w:tcPr>
          <w:p w14:paraId="49A31669" w14:textId="77777777" w:rsidR="00301E48" w:rsidRDefault="00301E48" w:rsidP="00301E48"/>
        </w:tc>
        <w:tc>
          <w:tcPr>
            <w:tcW w:w="850" w:type="dxa"/>
            <w:tcBorders>
              <w:top w:val="nil"/>
              <w:bottom w:val="single" w:sz="4" w:space="0" w:color="auto"/>
            </w:tcBorders>
            <w:shd w:val="clear" w:color="auto" w:fill="auto"/>
            <w:vAlign w:val="bottom"/>
          </w:tcPr>
          <w:p w14:paraId="109F9629" w14:textId="77777777" w:rsidR="00301E48" w:rsidRDefault="00301E48" w:rsidP="00301E48">
            <w:pPr>
              <w:pStyle w:val="Summarytabletextrightaligned"/>
            </w:pPr>
            <w:r>
              <w:t>$m</w:t>
            </w:r>
          </w:p>
        </w:tc>
        <w:tc>
          <w:tcPr>
            <w:tcW w:w="850" w:type="dxa"/>
            <w:tcBorders>
              <w:top w:val="nil"/>
              <w:bottom w:val="single" w:sz="4" w:space="0" w:color="auto"/>
            </w:tcBorders>
            <w:shd w:val="clear" w:color="auto" w:fill="E6F2FF"/>
            <w:vAlign w:val="bottom"/>
          </w:tcPr>
          <w:p w14:paraId="55505878" w14:textId="77777777" w:rsidR="00301E48" w:rsidRDefault="00301E48" w:rsidP="00301E48">
            <w:pPr>
              <w:pStyle w:val="Summarytabletextrightaligned"/>
            </w:pPr>
            <w:r>
              <w:t>$m</w:t>
            </w:r>
          </w:p>
        </w:tc>
        <w:tc>
          <w:tcPr>
            <w:tcW w:w="850" w:type="dxa"/>
            <w:tcBorders>
              <w:top w:val="nil"/>
              <w:bottom w:val="single" w:sz="4" w:space="0" w:color="auto"/>
            </w:tcBorders>
            <w:shd w:val="clear" w:color="auto" w:fill="auto"/>
            <w:vAlign w:val="bottom"/>
          </w:tcPr>
          <w:p w14:paraId="065EC891" w14:textId="77777777" w:rsidR="00301E48" w:rsidRDefault="00301E48" w:rsidP="00301E48">
            <w:pPr>
              <w:pStyle w:val="Summarytabletextrightaligned"/>
            </w:pPr>
            <w:r>
              <w:t>$m</w:t>
            </w:r>
          </w:p>
        </w:tc>
        <w:tc>
          <w:tcPr>
            <w:tcW w:w="850" w:type="dxa"/>
            <w:tcBorders>
              <w:top w:val="nil"/>
              <w:bottom w:val="single" w:sz="4" w:space="0" w:color="auto"/>
            </w:tcBorders>
            <w:shd w:val="clear" w:color="auto" w:fill="auto"/>
            <w:vAlign w:val="bottom"/>
          </w:tcPr>
          <w:p w14:paraId="7D411566" w14:textId="77777777" w:rsidR="00301E48" w:rsidRDefault="00301E48" w:rsidP="00301E48">
            <w:pPr>
              <w:pStyle w:val="Summarytabletextrightaligned"/>
            </w:pPr>
            <w:r>
              <w:t>$m</w:t>
            </w:r>
          </w:p>
        </w:tc>
        <w:tc>
          <w:tcPr>
            <w:tcW w:w="850" w:type="dxa"/>
            <w:tcBorders>
              <w:top w:val="nil"/>
              <w:bottom w:val="single" w:sz="4" w:space="0" w:color="auto"/>
            </w:tcBorders>
            <w:shd w:val="clear" w:color="auto" w:fill="auto"/>
            <w:vAlign w:val="bottom"/>
          </w:tcPr>
          <w:p w14:paraId="44DEE922" w14:textId="77777777" w:rsidR="00301E48" w:rsidRDefault="00301E48" w:rsidP="00301E48">
            <w:pPr>
              <w:pStyle w:val="Summarytabletextrightaligned"/>
            </w:pPr>
            <w:r>
              <w:t>$m</w:t>
            </w:r>
          </w:p>
        </w:tc>
      </w:tr>
      <w:tr w:rsidR="00301E48" w14:paraId="556450F7" w14:textId="77777777" w:rsidTr="00301E48">
        <w:tc>
          <w:tcPr>
            <w:tcW w:w="3471" w:type="dxa"/>
            <w:tcBorders>
              <w:bottom w:val="nil"/>
            </w:tcBorders>
            <w:vAlign w:val="bottom"/>
          </w:tcPr>
          <w:p w14:paraId="16EB0056" w14:textId="77777777" w:rsidR="00301E48" w:rsidRPr="00301E48" w:rsidRDefault="00301E48" w:rsidP="00301E48">
            <w:pPr>
              <w:pStyle w:val="SummaryMeasureTitlewithTheme"/>
              <w:rPr>
                <w:b/>
              </w:rPr>
            </w:pPr>
            <w:r w:rsidRPr="00301E48">
              <w:rPr>
                <w:b/>
              </w:rPr>
              <w:t>TREASURY (continued)</w:t>
            </w:r>
          </w:p>
        </w:tc>
        <w:tc>
          <w:tcPr>
            <w:tcW w:w="850" w:type="dxa"/>
            <w:tcBorders>
              <w:top w:val="single" w:sz="4" w:space="0" w:color="auto"/>
              <w:bottom w:val="nil"/>
            </w:tcBorders>
            <w:vAlign w:val="bottom"/>
          </w:tcPr>
          <w:p w14:paraId="5078ABD9" w14:textId="77777777" w:rsidR="00301E48" w:rsidRDefault="00301E48">
            <w:pPr>
              <w:pStyle w:val="Summarytabletextrightaligned"/>
            </w:pPr>
          </w:p>
        </w:tc>
        <w:tc>
          <w:tcPr>
            <w:tcW w:w="850" w:type="dxa"/>
            <w:tcBorders>
              <w:top w:val="single" w:sz="4" w:space="0" w:color="auto"/>
              <w:bottom w:val="nil"/>
            </w:tcBorders>
            <w:shd w:val="clear" w:color="auto" w:fill="E6F2FF"/>
            <w:vAlign w:val="bottom"/>
          </w:tcPr>
          <w:p w14:paraId="40657E0C" w14:textId="77777777" w:rsidR="00301E48" w:rsidRDefault="00301E48">
            <w:pPr>
              <w:pStyle w:val="Summarytabletextrightaligned"/>
            </w:pPr>
          </w:p>
        </w:tc>
        <w:tc>
          <w:tcPr>
            <w:tcW w:w="850" w:type="dxa"/>
            <w:tcBorders>
              <w:top w:val="single" w:sz="4" w:space="0" w:color="auto"/>
              <w:bottom w:val="nil"/>
            </w:tcBorders>
            <w:vAlign w:val="bottom"/>
          </w:tcPr>
          <w:p w14:paraId="10A16083" w14:textId="77777777" w:rsidR="00301E48" w:rsidRDefault="00301E48">
            <w:pPr>
              <w:pStyle w:val="Summarytabletextrightaligned"/>
            </w:pPr>
          </w:p>
        </w:tc>
        <w:tc>
          <w:tcPr>
            <w:tcW w:w="850" w:type="dxa"/>
            <w:tcBorders>
              <w:top w:val="single" w:sz="4" w:space="0" w:color="auto"/>
              <w:bottom w:val="nil"/>
            </w:tcBorders>
            <w:vAlign w:val="bottom"/>
          </w:tcPr>
          <w:p w14:paraId="1A004660" w14:textId="77777777" w:rsidR="00301E48" w:rsidRDefault="00301E48">
            <w:pPr>
              <w:pStyle w:val="Summarytabletextrightaligned"/>
            </w:pPr>
          </w:p>
        </w:tc>
        <w:tc>
          <w:tcPr>
            <w:tcW w:w="850" w:type="dxa"/>
            <w:tcBorders>
              <w:top w:val="single" w:sz="4" w:space="0" w:color="auto"/>
              <w:bottom w:val="nil"/>
            </w:tcBorders>
            <w:vAlign w:val="bottom"/>
          </w:tcPr>
          <w:p w14:paraId="1798A0FA" w14:textId="77777777" w:rsidR="00301E48" w:rsidRDefault="00301E48">
            <w:pPr>
              <w:pStyle w:val="Summarytabletextrightaligned"/>
            </w:pPr>
          </w:p>
        </w:tc>
      </w:tr>
      <w:tr w:rsidR="00B449D0" w14:paraId="388AD7CC" w14:textId="77777777" w:rsidTr="00301E48">
        <w:tc>
          <w:tcPr>
            <w:tcW w:w="3471" w:type="dxa"/>
            <w:tcBorders>
              <w:top w:val="nil"/>
            </w:tcBorders>
            <w:vAlign w:val="bottom"/>
          </w:tcPr>
          <w:p w14:paraId="0482EBC6" w14:textId="77777777" w:rsidR="00B449D0" w:rsidRDefault="00175344">
            <w:pPr>
              <w:pStyle w:val="SummaryMeasureTitlewithTheme"/>
            </w:pPr>
            <w:r>
              <w:t>Strengthening Tax Compliance – boosting the Shadow Economy Compliance Program(b)</w:t>
            </w:r>
          </w:p>
        </w:tc>
        <w:tc>
          <w:tcPr>
            <w:tcW w:w="850" w:type="dxa"/>
            <w:tcBorders>
              <w:top w:val="nil"/>
            </w:tcBorders>
            <w:vAlign w:val="bottom"/>
          </w:tcPr>
          <w:p w14:paraId="2D9BCED1" w14:textId="3D7172D4" w:rsidR="00B449D0" w:rsidRDefault="00076D78">
            <w:pPr>
              <w:pStyle w:val="Summarytabletextrightaligned"/>
            </w:pPr>
            <w:r>
              <w:noBreakHyphen/>
            </w:r>
          </w:p>
        </w:tc>
        <w:tc>
          <w:tcPr>
            <w:tcW w:w="850" w:type="dxa"/>
            <w:tcBorders>
              <w:top w:val="nil"/>
            </w:tcBorders>
            <w:shd w:val="clear" w:color="auto" w:fill="E6F2FF"/>
            <w:vAlign w:val="bottom"/>
          </w:tcPr>
          <w:p w14:paraId="4D59F121" w14:textId="77777777" w:rsidR="00B449D0" w:rsidRDefault="00175344">
            <w:pPr>
              <w:pStyle w:val="Summarytabletextrightaligned"/>
            </w:pPr>
            <w:r>
              <w:t>13.3</w:t>
            </w:r>
          </w:p>
        </w:tc>
        <w:tc>
          <w:tcPr>
            <w:tcW w:w="850" w:type="dxa"/>
            <w:tcBorders>
              <w:top w:val="nil"/>
            </w:tcBorders>
            <w:vAlign w:val="bottom"/>
          </w:tcPr>
          <w:p w14:paraId="0E846A97" w14:textId="77777777" w:rsidR="00B449D0" w:rsidRDefault="00175344">
            <w:pPr>
              <w:pStyle w:val="Summarytabletextrightaligned"/>
            </w:pPr>
            <w:r>
              <w:t>68.1</w:t>
            </w:r>
          </w:p>
        </w:tc>
        <w:tc>
          <w:tcPr>
            <w:tcW w:w="850" w:type="dxa"/>
            <w:tcBorders>
              <w:top w:val="nil"/>
            </w:tcBorders>
            <w:vAlign w:val="bottom"/>
          </w:tcPr>
          <w:p w14:paraId="08F9D00A" w14:textId="77777777" w:rsidR="00B449D0" w:rsidRDefault="00175344">
            <w:pPr>
              <w:pStyle w:val="Summarytabletextrightaligned"/>
            </w:pPr>
            <w:r>
              <w:t>122.6</w:t>
            </w:r>
          </w:p>
        </w:tc>
        <w:tc>
          <w:tcPr>
            <w:tcW w:w="850" w:type="dxa"/>
            <w:tcBorders>
              <w:top w:val="nil"/>
            </w:tcBorders>
            <w:vAlign w:val="bottom"/>
          </w:tcPr>
          <w:p w14:paraId="72AED769" w14:textId="77777777" w:rsidR="00B449D0" w:rsidRDefault="00175344">
            <w:pPr>
              <w:pStyle w:val="Summarytabletextrightaligned"/>
            </w:pPr>
            <w:r>
              <w:t>162.1</w:t>
            </w:r>
          </w:p>
        </w:tc>
      </w:tr>
      <w:tr w:rsidR="00B449D0" w14:paraId="00BB1C67" w14:textId="77777777" w:rsidTr="00301E48">
        <w:tc>
          <w:tcPr>
            <w:tcW w:w="3471" w:type="dxa"/>
            <w:vAlign w:val="bottom"/>
          </w:tcPr>
          <w:p w14:paraId="4185824E" w14:textId="77777777" w:rsidR="00B449D0" w:rsidRDefault="00175344">
            <w:pPr>
              <w:pStyle w:val="SummaryMeasureTitlewithTheme"/>
            </w:pPr>
            <w:r>
              <w:t>Superannuation in Retirement(b)</w:t>
            </w:r>
          </w:p>
        </w:tc>
        <w:tc>
          <w:tcPr>
            <w:tcW w:w="850" w:type="dxa"/>
            <w:vAlign w:val="bottom"/>
          </w:tcPr>
          <w:p w14:paraId="39E4B1F8" w14:textId="25AC3B66" w:rsidR="00B449D0" w:rsidRDefault="00076D78">
            <w:pPr>
              <w:pStyle w:val="Summarytabletextrightaligned"/>
            </w:pPr>
            <w:r>
              <w:noBreakHyphen/>
            </w:r>
          </w:p>
        </w:tc>
        <w:tc>
          <w:tcPr>
            <w:tcW w:w="850" w:type="dxa"/>
            <w:shd w:val="clear" w:color="auto" w:fill="E6F2FF"/>
            <w:vAlign w:val="bottom"/>
          </w:tcPr>
          <w:p w14:paraId="158C4373" w14:textId="5EE15688" w:rsidR="00B449D0" w:rsidRDefault="00076D78">
            <w:pPr>
              <w:pStyle w:val="Summarytabletextrightaligned"/>
            </w:pPr>
            <w:r>
              <w:noBreakHyphen/>
            </w:r>
          </w:p>
        </w:tc>
        <w:tc>
          <w:tcPr>
            <w:tcW w:w="850" w:type="dxa"/>
            <w:vAlign w:val="bottom"/>
          </w:tcPr>
          <w:p w14:paraId="410449C6" w14:textId="6AF35071" w:rsidR="00B449D0" w:rsidRDefault="00076D78">
            <w:pPr>
              <w:pStyle w:val="Summarytabletextrightaligned"/>
            </w:pPr>
            <w:r>
              <w:noBreakHyphen/>
            </w:r>
          </w:p>
        </w:tc>
        <w:tc>
          <w:tcPr>
            <w:tcW w:w="850" w:type="dxa"/>
            <w:vAlign w:val="bottom"/>
          </w:tcPr>
          <w:p w14:paraId="5C8F1735" w14:textId="2D21A91B" w:rsidR="00B449D0" w:rsidRDefault="00910891">
            <w:pPr>
              <w:pStyle w:val="Summarytabletextrightaligned"/>
            </w:pPr>
            <w:r>
              <w:t>..</w:t>
            </w:r>
          </w:p>
        </w:tc>
        <w:tc>
          <w:tcPr>
            <w:tcW w:w="850" w:type="dxa"/>
            <w:vAlign w:val="bottom"/>
          </w:tcPr>
          <w:p w14:paraId="787A23C4" w14:textId="4E18866A" w:rsidR="00B449D0" w:rsidRDefault="00910891">
            <w:pPr>
              <w:pStyle w:val="Summarytabletextrightaligned"/>
            </w:pPr>
            <w:r>
              <w:t>..</w:t>
            </w:r>
          </w:p>
        </w:tc>
      </w:tr>
      <w:tr w:rsidR="00B449D0" w14:paraId="2C45312F" w14:textId="77777777" w:rsidTr="00301E48">
        <w:tc>
          <w:tcPr>
            <w:tcW w:w="3471" w:type="dxa"/>
            <w:vAlign w:val="bottom"/>
          </w:tcPr>
          <w:p w14:paraId="253D5B2F" w14:textId="77777777" w:rsidR="00B449D0" w:rsidRDefault="00175344">
            <w:pPr>
              <w:pStyle w:val="SummaryMeasureTitlewithTheme"/>
            </w:pPr>
            <w:r>
              <w:t>Supporting News and Media Diversity(b)</w:t>
            </w:r>
          </w:p>
        </w:tc>
        <w:tc>
          <w:tcPr>
            <w:tcW w:w="850" w:type="dxa"/>
            <w:vAlign w:val="bottom"/>
          </w:tcPr>
          <w:p w14:paraId="3DDFE3A8" w14:textId="32000CFC" w:rsidR="00B449D0" w:rsidRDefault="00076D78">
            <w:pPr>
              <w:pStyle w:val="Summarytabletextrightaligned"/>
            </w:pPr>
            <w:r>
              <w:noBreakHyphen/>
            </w:r>
          </w:p>
        </w:tc>
        <w:tc>
          <w:tcPr>
            <w:tcW w:w="850" w:type="dxa"/>
            <w:shd w:val="clear" w:color="auto" w:fill="E6F2FF"/>
            <w:vAlign w:val="bottom"/>
          </w:tcPr>
          <w:p w14:paraId="512D713E" w14:textId="3C4DD82F" w:rsidR="00B449D0" w:rsidRDefault="00076D78">
            <w:pPr>
              <w:pStyle w:val="Summarytabletextrightaligned"/>
            </w:pPr>
            <w:r>
              <w:noBreakHyphen/>
            </w:r>
          </w:p>
        </w:tc>
        <w:tc>
          <w:tcPr>
            <w:tcW w:w="850" w:type="dxa"/>
            <w:vAlign w:val="bottom"/>
          </w:tcPr>
          <w:p w14:paraId="575E4B83" w14:textId="7B0F39BE" w:rsidR="00B449D0" w:rsidRDefault="007D5CDA">
            <w:pPr>
              <w:pStyle w:val="Summarytabletextrightaligned"/>
            </w:pPr>
            <w:r>
              <w:t>..</w:t>
            </w:r>
          </w:p>
        </w:tc>
        <w:tc>
          <w:tcPr>
            <w:tcW w:w="850" w:type="dxa"/>
            <w:vAlign w:val="bottom"/>
          </w:tcPr>
          <w:p w14:paraId="5783C152" w14:textId="05530B2B" w:rsidR="00B449D0" w:rsidRDefault="007D5CDA">
            <w:pPr>
              <w:pStyle w:val="Summarytabletextrightaligned"/>
            </w:pPr>
            <w:r>
              <w:t>..</w:t>
            </w:r>
          </w:p>
        </w:tc>
        <w:tc>
          <w:tcPr>
            <w:tcW w:w="850" w:type="dxa"/>
            <w:vAlign w:val="bottom"/>
          </w:tcPr>
          <w:p w14:paraId="749C53BB" w14:textId="79295805" w:rsidR="00B449D0" w:rsidRDefault="007D5CDA">
            <w:pPr>
              <w:pStyle w:val="Summarytabletextrightaligned"/>
            </w:pPr>
            <w:r>
              <w:t>..</w:t>
            </w:r>
          </w:p>
        </w:tc>
      </w:tr>
      <w:tr w:rsidR="00B449D0" w14:paraId="516DF3C6" w14:textId="77777777" w:rsidTr="00301E48">
        <w:tc>
          <w:tcPr>
            <w:tcW w:w="3471" w:type="dxa"/>
            <w:vAlign w:val="bottom"/>
          </w:tcPr>
          <w:p w14:paraId="757CA27A" w14:textId="7B116BFF" w:rsidR="00B449D0" w:rsidRDefault="00175344">
            <w:pPr>
              <w:pStyle w:val="SummaryMeasureTitlewithTheme"/>
            </w:pPr>
            <w:r>
              <w:t xml:space="preserve">Taxation – </w:t>
            </w:r>
            <w:r w:rsidR="007E7A48">
              <w:t>a</w:t>
            </w:r>
            <w:r>
              <w:t>llow tax deductions for interest payments on foreign bail‑in bonds</w:t>
            </w:r>
          </w:p>
        </w:tc>
        <w:tc>
          <w:tcPr>
            <w:tcW w:w="850" w:type="dxa"/>
            <w:vAlign w:val="bottom"/>
          </w:tcPr>
          <w:p w14:paraId="49720A52" w14:textId="5E17B758" w:rsidR="00B449D0" w:rsidRDefault="00076D78">
            <w:pPr>
              <w:pStyle w:val="Summarytabletextrightaligned"/>
            </w:pPr>
            <w:r>
              <w:noBreakHyphen/>
            </w:r>
          </w:p>
        </w:tc>
        <w:tc>
          <w:tcPr>
            <w:tcW w:w="850" w:type="dxa"/>
            <w:shd w:val="clear" w:color="auto" w:fill="E6F2FF"/>
            <w:vAlign w:val="bottom"/>
          </w:tcPr>
          <w:p w14:paraId="3702CA20" w14:textId="3DC1DE96" w:rsidR="00B449D0" w:rsidRDefault="00076D78">
            <w:pPr>
              <w:pStyle w:val="Summarytabletextrightaligned"/>
            </w:pPr>
            <w:r>
              <w:noBreakHyphen/>
            </w:r>
          </w:p>
        </w:tc>
        <w:tc>
          <w:tcPr>
            <w:tcW w:w="850" w:type="dxa"/>
            <w:vAlign w:val="bottom"/>
          </w:tcPr>
          <w:p w14:paraId="0110FB68" w14:textId="74454EE7" w:rsidR="00B449D0" w:rsidRDefault="00076D78">
            <w:pPr>
              <w:pStyle w:val="Summarytabletextrightaligned"/>
            </w:pPr>
            <w:r>
              <w:noBreakHyphen/>
            </w:r>
          </w:p>
        </w:tc>
        <w:tc>
          <w:tcPr>
            <w:tcW w:w="850" w:type="dxa"/>
            <w:vAlign w:val="bottom"/>
          </w:tcPr>
          <w:p w14:paraId="038966BA" w14:textId="3350C0E7" w:rsidR="00B449D0" w:rsidRDefault="00076D78">
            <w:pPr>
              <w:pStyle w:val="Summarytabletextrightaligned"/>
            </w:pPr>
            <w:r>
              <w:noBreakHyphen/>
            </w:r>
          </w:p>
        </w:tc>
        <w:tc>
          <w:tcPr>
            <w:tcW w:w="850" w:type="dxa"/>
            <w:vAlign w:val="bottom"/>
          </w:tcPr>
          <w:p w14:paraId="4936ABE9" w14:textId="3049F2DD" w:rsidR="00B449D0" w:rsidRDefault="00076D78">
            <w:pPr>
              <w:pStyle w:val="Summarytabletextrightaligned"/>
            </w:pPr>
            <w:r>
              <w:noBreakHyphen/>
            </w:r>
          </w:p>
        </w:tc>
      </w:tr>
      <w:tr w:rsidR="00B449D0" w14:paraId="0F4234D9" w14:textId="77777777" w:rsidTr="00301E48">
        <w:tc>
          <w:tcPr>
            <w:tcW w:w="3471" w:type="dxa"/>
            <w:vAlign w:val="bottom"/>
          </w:tcPr>
          <w:p w14:paraId="022DE3A0" w14:textId="77777777" w:rsidR="00B449D0" w:rsidRDefault="00175344">
            <w:pPr>
              <w:pStyle w:val="SummaryMeasureTitlewithTheme"/>
            </w:pPr>
            <w:r>
              <w:t>Temporary Financial Assistance to the NSW Government for NSW Police Officers(b)</w:t>
            </w:r>
          </w:p>
        </w:tc>
        <w:tc>
          <w:tcPr>
            <w:tcW w:w="850" w:type="dxa"/>
            <w:vAlign w:val="bottom"/>
          </w:tcPr>
          <w:p w14:paraId="35822BCB" w14:textId="5C0EA5A7" w:rsidR="00B449D0" w:rsidRDefault="00076D78">
            <w:pPr>
              <w:pStyle w:val="Summarytabletextrightaligned"/>
            </w:pPr>
            <w:r>
              <w:noBreakHyphen/>
            </w:r>
          </w:p>
        </w:tc>
        <w:tc>
          <w:tcPr>
            <w:tcW w:w="850" w:type="dxa"/>
            <w:shd w:val="clear" w:color="auto" w:fill="E6F2FF"/>
            <w:vAlign w:val="bottom"/>
          </w:tcPr>
          <w:p w14:paraId="5DD6ED34" w14:textId="48F1DFB8" w:rsidR="00B449D0" w:rsidRDefault="00076D78">
            <w:pPr>
              <w:pStyle w:val="Summarytabletextrightaligned"/>
            </w:pPr>
            <w:r>
              <w:noBreakHyphen/>
            </w:r>
          </w:p>
        </w:tc>
        <w:tc>
          <w:tcPr>
            <w:tcW w:w="850" w:type="dxa"/>
            <w:vAlign w:val="bottom"/>
          </w:tcPr>
          <w:p w14:paraId="1956C84C" w14:textId="77777777" w:rsidR="00B449D0" w:rsidRDefault="00175344">
            <w:pPr>
              <w:pStyle w:val="Summarytabletextrightaligned"/>
            </w:pPr>
            <w:r>
              <w:t>19.0</w:t>
            </w:r>
          </w:p>
        </w:tc>
        <w:tc>
          <w:tcPr>
            <w:tcW w:w="850" w:type="dxa"/>
            <w:vAlign w:val="bottom"/>
          </w:tcPr>
          <w:p w14:paraId="314ECE5F" w14:textId="77777777" w:rsidR="00B449D0" w:rsidRDefault="00175344">
            <w:pPr>
              <w:pStyle w:val="Summarytabletextrightaligned"/>
            </w:pPr>
            <w:r>
              <w:t>7.0</w:t>
            </w:r>
          </w:p>
        </w:tc>
        <w:tc>
          <w:tcPr>
            <w:tcW w:w="850" w:type="dxa"/>
            <w:vAlign w:val="bottom"/>
          </w:tcPr>
          <w:p w14:paraId="374FE648" w14:textId="3063CA04" w:rsidR="00B449D0" w:rsidRDefault="00076D78">
            <w:pPr>
              <w:pStyle w:val="Summarytabletextrightaligned"/>
            </w:pPr>
            <w:r>
              <w:noBreakHyphen/>
            </w:r>
          </w:p>
        </w:tc>
      </w:tr>
      <w:tr w:rsidR="00B449D0" w14:paraId="0B4BA33D" w14:textId="77777777" w:rsidTr="00301E48">
        <w:tc>
          <w:tcPr>
            <w:tcW w:w="3471" w:type="dxa"/>
            <w:vAlign w:val="bottom"/>
          </w:tcPr>
          <w:p w14:paraId="79F21064" w14:textId="77777777" w:rsidR="00B449D0" w:rsidRDefault="00175344">
            <w:pPr>
              <w:pStyle w:val="SummaryAgencyTitle-BP2"/>
            </w:pPr>
            <w:r>
              <w:t>Department of the Treasury</w:t>
            </w:r>
          </w:p>
        </w:tc>
        <w:tc>
          <w:tcPr>
            <w:tcW w:w="850" w:type="dxa"/>
          </w:tcPr>
          <w:p w14:paraId="566BC8EF" w14:textId="77777777" w:rsidR="00B449D0" w:rsidRDefault="00B449D0">
            <w:pPr>
              <w:pStyle w:val="SummaryAgencyTitle-BP2"/>
            </w:pPr>
          </w:p>
        </w:tc>
        <w:tc>
          <w:tcPr>
            <w:tcW w:w="850" w:type="dxa"/>
            <w:shd w:val="clear" w:color="auto" w:fill="E6F2FF"/>
          </w:tcPr>
          <w:p w14:paraId="0008555D" w14:textId="77777777" w:rsidR="00B449D0" w:rsidRDefault="00B449D0">
            <w:pPr>
              <w:pStyle w:val="SummaryAgencyTitle-BP2"/>
            </w:pPr>
          </w:p>
        </w:tc>
        <w:tc>
          <w:tcPr>
            <w:tcW w:w="850" w:type="dxa"/>
          </w:tcPr>
          <w:p w14:paraId="5ABF90C6" w14:textId="77777777" w:rsidR="00B449D0" w:rsidRDefault="00B449D0">
            <w:pPr>
              <w:pStyle w:val="SummaryAgencyTitle-BP2"/>
            </w:pPr>
          </w:p>
        </w:tc>
        <w:tc>
          <w:tcPr>
            <w:tcW w:w="850" w:type="dxa"/>
          </w:tcPr>
          <w:p w14:paraId="0221DA6B" w14:textId="77777777" w:rsidR="00B449D0" w:rsidRDefault="00B449D0">
            <w:pPr>
              <w:pStyle w:val="SummaryAgencyTitle-BP2"/>
            </w:pPr>
          </w:p>
        </w:tc>
        <w:tc>
          <w:tcPr>
            <w:tcW w:w="850" w:type="dxa"/>
          </w:tcPr>
          <w:p w14:paraId="67C4FDDB" w14:textId="77777777" w:rsidR="00B449D0" w:rsidRDefault="00B449D0">
            <w:pPr>
              <w:pStyle w:val="SummaryAgencyTitle-BP2"/>
            </w:pPr>
          </w:p>
        </w:tc>
      </w:tr>
      <w:tr w:rsidR="00B449D0" w14:paraId="34BF847C" w14:textId="77777777" w:rsidTr="00301E48">
        <w:tc>
          <w:tcPr>
            <w:tcW w:w="3471" w:type="dxa"/>
            <w:vAlign w:val="bottom"/>
          </w:tcPr>
          <w:p w14:paraId="6FC21C1F" w14:textId="204B4A9E" w:rsidR="00B449D0" w:rsidRDefault="00175344">
            <w:pPr>
              <w:pStyle w:val="SummaryMeasureTitlewithTheme"/>
            </w:pPr>
            <w:r>
              <w:t>International Assistance – pursuing Australia</w:t>
            </w:r>
            <w:r w:rsidR="00076D78">
              <w:t>’</w:t>
            </w:r>
            <w:r>
              <w:t>s national interest through multilateral development banks(b)</w:t>
            </w:r>
          </w:p>
        </w:tc>
        <w:tc>
          <w:tcPr>
            <w:tcW w:w="850" w:type="dxa"/>
            <w:vAlign w:val="bottom"/>
          </w:tcPr>
          <w:p w14:paraId="04BDBD9D" w14:textId="4D2CB692" w:rsidR="00B449D0" w:rsidRDefault="00076D78">
            <w:pPr>
              <w:pStyle w:val="Summarytabletextrightaligned"/>
            </w:pPr>
            <w:r>
              <w:noBreakHyphen/>
            </w:r>
          </w:p>
        </w:tc>
        <w:tc>
          <w:tcPr>
            <w:tcW w:w="850" w:type="dxa"/>
            <w:shd w:val="clear" w:color="auto" w:fill="E6F2FF"/>
            <w:vAlign w:val="bottom"/>
          </w:tcPr>
          <w:p w14:paraId="7E1FD652" w14:textId="77777777" w:rsidR="00B449D0" w:rsidRDefault="00175344">
            <w:pPr>
              <w:pStyle w:val="Summarytabletextrightaligned"/>
            </w:pPr>
            <w:r>
              <w:t>..</w:t>
            </w:r>
          </w:p>
        </w:tc>
        <w:tc>
          <w:tcPr>
            <w:tcW w:w="850" w:type="dxa"/>
            <w:vAlign w:val="bottom"/>
          </w:tcPr>
          <w:p w14:paraId="266E0106" w14:textId="77777777" w:rsidR="00B449D0" w:rsidRDefault="00175344">
            <w:pPr>
              <w:pStyle w:val="Summarytabletextrightaligned"/>
            </w:pPr>
            <w:r>
              <w:t>2.2</w:t>
            </w:r>
          </w:p>
        </w:tc>
        <w:tc>
          <w:tcPr>
            <w:tcW w:w="850" w:type="dxa"/>
            <w:vAlign w:val="bottom"/>
          </w:tcPr>
          <w:p w14:paraId="652A191F" w14:textId="77777777" w:rsidR="00B449D0" w:rsidRDefault="00175344">
            <w:pPr>
              <w:pStyle w:val="Summarytabletextrightaligned"/>
            </w:pPr>
            <w:r>
              <w:t>4.0</w:t>
            </w:r>
          </w:p>
        </w:tc>
        <w:tc>
          <w:tcPr>
            <w:tcW w:w="850" w:type="dxa"/>
            <w:vAlign w:val="bottom"/>
          </w:tcPr>
          <w:p w14:paraId="1B12A137" w14:textId="77777777" w:rsidR="00B449D0" w:rsidRDefault="00175344">
            <w:pPr>
              <w:pStyle w:val="Summarytabletextrightaligned"/>
            </w:pPr>
            <w:r>
              <w:t>5.8</w:t>
            </w:r>
          </w:p>
        </w:tc>
      </w:tr>
      <w:tr w:rsidR="00B449D0" w14:paraId="72D38FCC" w14:textId="77777777" w:rsidTr="00301E48">
        <w:tc>
          <w:tcPr>
            <w:tcW w:w="3471" w:type="dxa"/>
            <w:vAlign w:val="bottom"/>
          </w:tcPr>
          <w:p w14:paraId="324A6A28" w14:textId="77777777" w:rsidR="00B449D0" w:rsidRDefault="00175344">
            <w:pPr>
              <w:pStyle w:val="Summarytabletextleftalignedbold"/>
            </w:pPr>
            <w:r>
              <w:t>Portfolio total</w:t>
            </w:r>
          </w:p>
        </w:tc>
        <w:tc>
          <w:tcPr>
            <w:tcW w:w="850" w:type="dxa"/>
            <w:tcBorders>
              <w:top w:val="single" w:sz="4" w:space="0" w:color="000000"/>
              <w:bottom w:val="single" w:sz="4" w:space="0" w:color="000000"/>
            </w:tcBorders>
            <w:vAlign w:val="bottom"/>
          </w:tcPr>
          <w:p w14:paraId="6BD74397" w14:textId="017111F8" w:rsidR="00B449D0" w:rsidRDefault="00076D78">
            <w:pPr>
              <w:pStyle w:val="Summarytabletextrightalignedbold"/>
            </w:pPr>
            <w:r>
              <w:noBreakHyphen/>
            </w:r>
          </w:p>
        </w:tc>
        <w:tc>
          <w:tcPr>
            <w:tcW w:w="850" w:type="dxa"/>
            <w:tcBorders>
              <w:top w:val="single" w:sz="4" w:space="0" w:color="000000"/>
              <w:bottom w:val="single" w:sz="4" w:space="0" w:color="000000"/>
            </w:tcBorders>
            <w:shd w:val="clear" w:color="auto" w:fill="E6F2FF"/>
            <w:vAlign w:val="bottom"/>
          </w:tcPr>
          <w:p w14:paraId="3C48E780" w14:textId="77777777" w:rsidR="00B449D0" w:rsidRDefault="00175344">
            <w:pPr>
              <w:pStyle w:val="Summarytabletextrightalignedbold"/>
            </w:pPr>
            <w:r>
              <w:t>178.9</w:t>
            </w:r>
          </w:p>
        </w:tc>
        <w:tc>
          <w:tcPr>
            <w:tcW w:w="850" w:type="dxa"/>
            <w:tcBorders>
              <w:top w:val="single" w:sz="4" w:space="0" w:color="000000"/>
              <w:bottom w:val="single" w:sz="4" w:space="0" w:color="000000"/>
            </w:tcBorders>
            <w:vAlign w:val="bottom"/>
          </w:tcPr>
          <w:p w14:paraId="53E5E5DA" w14:textId="77777777" w:rsidR="00B449D0" w:rsidRDefault="00175344">
            <w:pPr>
              <w:pStyle w:val="Summarytabletextrightalignedbold"/>
            </w:pPr>
            <w:r>
              <w:t>183.8</w:t>
            </w:r>
          </w:p>
        </w:tc>
        <w:tc>
          <w:tcPr>
            <w:tcW w:w="850" w:type="dxa"/>
            <w:tcBorders>
              <w:top w:val="single" w:sz="4" w:space="0" w:color="000000"/>
              <w:bottom w:val="single" w:sz="4" w:space="0" w:color="000000"/>
            </w:tcBorders>
            <w:vAlign w:val="bottom"/>
          </w:tcPr>
          <w:p w14:paraId="35AFB98F" w14:textId="77777777" w:rsidR="00B449D0" w:rsidRDefault="00175344">
            <w:pPr>
              <w:pStyle w:val="Summarytabletextrightalignedbold"/>
            </w:pPr>
            <w:r>
              <w:t>308.7</w:t>
            </w:r>
          </w:p>
        </w:tc>
        <w:tc>
          <w:tcPr>
            <w:tcW w:w="850" w:type="dxa"/>
            <w:tcBorders>
              <w:top w:val="single" w:sz="4" w:space="0" w:color="000000"/>
              <w:bottom w:val="single" w:sz="4" w:space="0" w:color="000000"/>
            </w:tcBorders>
            <w:vAlign w:val="bottom"/>
          </w:tcPr>
          <w:p w14:paraId="316E62DD" w14:textId="77777777" w:rsidR="00B449D0" w:rsidRDefault="00175344">
            <w:pPr>
              <w:pStyle w:val="Summarytabletextrightalignedbold"/>
            </w:pPr>
            <w:r>
              <w:t>310.3</w:t>
            </w:r>
          </w:p>
        </w:tc>
      </w:tr>
      <w:tr w:rsidR="00B449D0" w14:paraId="7781BC77" w14:textId="77777777" w:rsidTr="00301E48">
        <w:tc>
          <w:tcPr>
            <w:tcW w:w="3471" w:type="dxa"/>
            <w:vAlign w:val="bottom"/>
          </w:tcPr>
          <w:p w14:paraId="39408B4F" w14:textId="300469F6" w:rsidR="00B449D0" w:rsidRDefault="00175344">
            <w:pPr>
              <w:pStyle w:val="Summarytabletextleftalignedbold"/>
            </w:pPr>
            <w:r>
              <w:t>Decisions taken but not yet announced</w:t>
            </w:r>
            <w:r w:rsidR="00FA23FB">
              <w:t xml:space="preserve"> and not for publication</w:t>
            </w:r>
            <w:r w:rsidR="00B45C4E">
              <w:t xml:space="preserve"> (nf</w:t>
            </w:r>
            <w:r w:rsidR="005340E6">
              <w:t xml:space="preserve">p) </w:t>
            </w:r>
            <w:r>
              <w:t>(c)</w:t>
            </w:r>
          </w:p>
        </w:tc>
        <w:tc>
          <w:tcPr>
            <w:tcW w:w="850" w:type="dxa"/>
            <w:tcBorders>
              <w:top w:val="single" w:sz="4" w:space="0" w:color="000000"/>
              <w:bottom w:val="single" w:sz="4" w:space="0" w:color="000000"/>
            </w:tcBorders>
            <w:vAlign w:val="bottom"/>
          </w:tcPr>
          <w:p w14:paraId="7C2D1576" w14:textId="617698AD" w:rsidR="00B449D0" w:rsidRDefault="003F18F0">
            <w:pPr>
              <w:pStyle w:val="Summarytabletextrightalignedbold"/>
            </w:pPr>
            <w:r>
              <w:t>8.8</w:t>
            </w:r>
          </w:p>
        </w:tc>
        <w:tc>
          <w:tcPr>
            <w:tcW w:w="850" w:type="dxa"/>
            <w:tcBorders>
              <w:top w:val="single" w:sz="4" w:space="0" w:color="000000"/>
              <w:bottom w:val="single" w:sz="4" w:space="0" w:color="000000"/>
            </w:tcBorders>
            <w:shd w:val="clear" w:color="auto" w:fill="E6F2FF"/>
            <w:vAlign w:val="bottom"/>
          </w:tcPr>
          <w:p w14:paraId="689D3FCF" w14:textId="77777777" w:rsidR="00B449D0" w:rsidRDefault="00175344">
            <w:pPr>
              <w:pStyle w:val="Summarytabletextrightalignedbold"/>
            </w:pPr>
            <w:r>
              <w:t>390.4</w:t>
            </w:r>
          </w:p>
        </w:tc>
        <w:tc>
          <w:tcPr>
            <w:tcW w:w="850" w:type="dxa"/>
            <w:tcBorders>
              <w:top w:val="single" w:sz="4" w:space="0" w:color="000000"/>
              <w:bottom w:val="single" w:sz="4" w:space="0" w:color="000000"/>
            </w:tcBorders>
            <w:vAlign w:val="bottom"/>
          </w:tcPr>
          <w:p w14:paraId="73A5D06C" w14:textId="77777777" w:rsidR="00B449D0" w:rsidRDefault="00175344">
            <w:pPr>
              <w:pStyle w:val="Summarytabletextrightalignedbold"/>
            </w:pPr>
            <w:r>
              <w:t>424.6</w:t>
            </w:r>
          </w:p>
        </w:tc>
        <w:tc>
          <w:tcPr>
            <w:tcW w:w="850" w:type="dxa"/>
            <w:tcBorders>
              <w:top w:val="single" w:sz="4" w:space="0" w:color="000000"/>
              <w:bottom w:val="single" w:sz="4" w:space="0" w:color="000000"/>
            </w:tcBorders>
            <w:vAlign w:val="bottom"/>
          </w:tcPr>
          <w:p w14:paraId="3B39B27A" w14:textId="77777777" w:rsidR="00B449D0" w:rsidRDefault="00175344">
            <w:pPr>
              <w:pStyle w:val="Summarytabletextrightalignedbold"/>
            </w:pPr>
            <w:r>
              <w:t>340.8</w:t>
            </w:r>
          </w:p>
        </w:tc>
        <w:tc>
          <w:tcPr>
            <w:tcW w:w="850" w:type="dxa"/>
            <w:tcBorders>
              <w:top w:val="single" w:sz="4" w:space="0" w:color="000000"/>
              <w:bottom w:val="single" w:sz="4" w:space="0" w:color="000000"/>
            </w:tcBorders>
            <w:vAlign w:val="bottom"/>
          </w:tcPr>
          <w:p w14:paraId="2F80B3E2" w14:textId="77777777" w:rsidR="00B449D0" w:rsidRDefault="00175344">
            <w:pPr>
              <w:pStyle w:val="Summarytabletextrightalignedbold"/>
            </w:pPr>
            <w:r>
              <w:t>485.3</w:t>
            </w:r>
          </w:p>
        </w:tc>
      </w:tr>
      <w:tr w:rsidR="00B449D0" w14:paraId="5E622EB1" w14:textId="77777777" w:rsidTr="00301E48">
        <w:tc>
          <w:tcPr>
            <w:tcW w:w="3471" w:type="dxa"/>
            <w:tcBorders>
              <w:bottom w:val="single" w:sz="4" w:space="0" w:color="000000"/>
            </w:tcBorders>
            <w:vAlign w:val="bottom"/>
          </w:tcPr>
          <w:p w14:paraId="4728197E" w14:textId="77777777" w:rsidR="00B449D0" w:rsidRDefault="00175344">
            <w:pPr>
              <w:pStyle w:val="Summarytabletextleftalignedbold"/>
            </w:pPr>
            <w:r>
              <w:t>Total impact of receipt measures(d)</w:t>
            </w:r>
          </w:p>
        </w:tc>
        <w:tc>
          <w:tcPr>
            <w:tcW w:w="850" w:type="dxa"/>
            <w:tcBorders>
              <w:top w:val="single" w:sz="4" w:space="0" w:color="000000"/>
              <w:bottom w:val="single" w:sz="4" w:space="0" w:color="000000"/>
            </w:tcBorders>
            <w:vAlign w:val="bottom"/>
          </w:tcPr>
          <w:p w14:paraId="6866BEC7" w14:textId="7E171D09" w:rsidR="00B449D0" w:rsidRDefault="003F18F0">
            <w:pPr>
              <w:pStyle w:val="Summarytabletextrightalignedbold"/>
            </w:pPr>
            <w:r>
              <w:t>8.8</w:t>
            </w:r>
          </w:p>
        </w:tc>
        <w:tc>
          <w:tcPr>
            <w:tcW w:w="850" w:type="dxa"/>
            <w:tcBorders>
              <w:top w:val="single" w:sz="4" w:space="0" w:color="000000"/>
              <w:bottom w:val="single" w:sz="4" w:space="0" w:color="000000"/>
            </w:tcBorders>
            <w:shd w:val="clear" w:color="auto" w:fill="E6F2FF"/>
            <w:vAlign w:val="bottom"/>
          </w:tcPr>
          <w:p w14:paraId="48B1C77D" w14:textId="77777777" w:rsidR="00B449D0" w:rsidRDefault="00175344">
            <w:pPr>
              <w:pStyle w:val="Summarytabletextrightalignedbold"/>
            </w:pPr>
            <w:r>
              <w:t>402.4</w:t>
            </w:r>
          </w:p>
        </w:tc>
        <w:tc>
          <w:tcPr>
            <w:tcW w:w="850" w:type="dxa"/>
            <w:tcBorders>
              <w:top w:val="single" w:sz="4" w:space="0" w:color="000000"/>
              <w:bottom w:val="single" w:sz="4" w:space="0" w:color="000000"/>
            </w:tcBorders>
            <w:vAlign w:val="bottom"/>
          </w:tcPr>
          <w:p w14:paraId="673ECF2A" w14:textId="77777777" w:rsidR="00B449D0" w:rsidRDefault="00175344">
            <w:pPr>
              <w:pStyle w:val="Summarytabletextrightalignedbold"/>
            </w:pPr>
            <w:r>
              <w:t>311.8</w:t>
            </w:r>
          </w:p>
        </w:tc>
        <w:tc>
          <w:tcPr>
            <w:tcW w:w="850" w:type="dxa"/>
            <w:tcBorders>
              <w:top w:val="single" w:sz="4" w:space="0" w:color="000000"/>
              <w:bottom w:val="single" w:sz="4" w:space="0" w:color="000000"/>
            </w:tcBorders>
            <w:vAlign w:val="bottom"/>
          </w:tcPr>
          <w:p w14:paraId="6F9E6668" w14:textId="77777777" w:rsidR="00B449D0" w:rsidRDefault="00175344">
            <w:pPr>
              <w:pStyle w:val="Summarytabletextrightalignedbold"/>
            </w:pPr>
            <w:r>
              <w:t>398.8</w:t>
            </w:r>
          </w:p>
        </w:tc>
        <w:tc>
          <w:tcPr>
            <w:tcW w:w="850" w:type="dxa"/>
            <w:tcBorders>
              <w:top w:val="single" w:sz="4" w:space="0" w:color="000000"/>
              <w:bottom w:val="single" w:sz="4" w:space="0" w:color="000000"/>
            </w:tcBorders>
            <w:vAlign w:val="bottom"/>
          </w:tcPr>
          <w:p w14:paraId="2ACB900E" w14:textId="77777777" w:rsidR="00B449D0" w:rsidRDefault="00175344">
            <w:pPr>
              <w:pStyle w:val="Summarytabletextrightalignedbold"/>
            </w:pPr>
            <w:r>
              <w:t>539.7</w:t>
            </w:r>
          </w:p>
        </w:tc>
      </w:tr>
    </w:tbl>
    <w:p w14:paraId="002DF6AB" w14:textId="77777777" w:rsidR="00BA7366" w:rsidRDefault="00BA7366" w:rsidP="00BA7366">
      <w:pPr>
        <w:pStyle w:val="ChartandTableFootnote"/>
      </w:pPr>
      <w:r>
        <w:t>*</w:t>
      </w:r>
      <w:r>
        <w:tab/>
        <w:t>The nature of the measure is such that a reliable estimate cannot be provided.</w:t>
      </w:r>
    </w:p>
    <w:p w14:paraId="7E5CB9C3" w14:textId="77777777" w:rsidR="00BA7366" w:rsidRDefault="00BA7366" w:rsidP="00BA7366">
      <w:pPr>
        <w:pStyle w:val="ChartandTableFootnote"/>
      </w:pPr>
      <w:r>
        <w:t>..</w:t>
      </w:r>
      <w:r>
        <w:tab/>
        <w:t>Not zero, but rounded to zero.</w:t>
      </w:r>
    </w:p>
    <w:p w14:paraId="464F5E29" w14:textId="2BE0260B" w:rsidR="00BA7366" w:rsidRDefault="00076D78" w:rsidP="00BA7366">
      <w:pPr>
        <w:pStyle w:val="ChartandTableFootnote"/>
      </w:pPr>
      <w:r>
        <w:noBreakHyphen/>
      </w:r>
      <w:r w:rsidR="00BA7366">
        <w:tab/>
        <w:t>Nil.</w:t>
      </w:r>
    </w:p>
    <w:p w14:paraId="6DDC178B" w14:textId="77777777" w:rsidR="00BA7366" w:rsidRDefault="00BA7366" w:rsidP="00BA7366">
      <w:pPr>
        <w:pStyle w:val="ChartandTableFootnote"/>
      </w:pPr>
      <w:r>
        <w:t>nfp</w:t>
      </w:r>
      <w:r>
        <w:tab/>
        <w:t>not for publication.</w:t>
      </w:r>
    </w:p>
    <w:p w14:paraId="2F8028BB" w14:textId="770A0594" w:rsidR="00BA7366" w:rsidRDefault="00BA7366" w:rsidP="00BA7366">
      <w:pPr>
        <w:pStyle w:val="ChartandTableFootnoteAlpha"/>
      </w:pPr>
      <w:r>
        <w:t>A minus sign before an estimate indicates a reduction in receipts, no sign before an estimate indicates a gain in receipts.</w:t>
      </w:r>
    </w:p>
    <w:p w14:paraId="62A763E0" w14:textId="5FE23CF6" w:rsidR="00BA7366" w:rsidRDefault="00BA7366" w:rsidP="00BA7366">
      <w:pPr>
        <w:pStyle w:val="ChartandTableFootnoteAlpha"/>
      </w:pPr>
      <w:r>
        <w:t>These measures can also be found in the payment measures summary table.</w:t>
      </w:r>
    </w:p>
    <w:p w14:paraId="4AAF6F53" w14:textId="3A5CA1E3" w:rsidR="00BA7366" w:rsidRDefault="00BA7366">
      <w:pPr>
        <w:pStyle w:val="ChartandTableFootnoteAlpha"/>
      </w:pPr>
      <w:r>
        <w:t>Includes the impact of measures that are not for publication (nfp).</w:t>
      </w:r>
    </w:p>
    <w:p w14:paraId="00DE4EED" w14:textId="64301731" w:rsidR="00B449D0" w:rsidRDefault="00BA7366" w:rsidP="00BA7366">
      <w:pPr>
        <w:pStyle w:val="ChartandTableFootnoteAlpha"/>
      </w:pPr>
      <w:r>
        <w:t>Measures may not add due to rounding.</w:t>
      </w:r>
    </w:p>
    <w:p w14:paraId="3D8D7F3C" w14:textId="77777777" w:rsidR="002A7AA5" w:rsidRPr="002A7AA5" w:rsidRDefault="002A7AA5" w:rsidP="002A7AA5">
      <w:pPr>
        <w:pBdr>
          <w:bottom w:val="single" w:sz="4" w:space="2" w:color="626A77"/>
        </w:pBdr>
        <w:autoSpaceDE/>
        <w:autoSpaceDN/>
        <w:adjustRightInd/>
        <w:spacing w:after="240"/>
        <w:rPr>
          <w:rFonts w:ascii="Book Antiqua" w:hAnsi="Book Antiqua" w:cs="Times New Roman"/>
          <w:noProof/>
          <w:sz w:val="4"/>
          <w:szCs w:val="4"/>
          <w:lang w:val="en-AU"/>
        </w:rPr>
      </w:pPr>
      <w:bookmarkStart w:id="0" w:name="_Hlk184918697"/>
    </w:p>
    <w:bookmarkEnd w:id="0"/>
    <w:p w14:paraId="6B868AB9" w14:textId="77777777" w:rsidR="00BA7366" w:rsidRDefault="00BA7366" w:rsidP="008E7C9C">
      <w:pPr>
        <w:pStyle w:val="SingleParagraph0"/>
        <w:sectPr w:rsidR="00BA7366" w:rsidSect="00301E48">
          <w:endnotePr>
            <w:numFmt w:val="lowerLetter"/>
            <w:numRestart w:val="eachSect"/>
          </w:endnotePr>
          <w:pgSz w:w="11906" w:h="16838" w:code="9"/>
          <w:pgMar w:top="2835" w:right="2098" w:bottom="2466" w:left="2098" w:header="1814" w:footer="1814" w:gutter="0"/>
          <w:cols w:space="720"/>
          <w:noEndnote/>
          <w:docGrid w:linePitch="272"/>
        </w:sectPr>
      </w:pPr>
    </w:p>
    <w:p w14:paraId="2384D6FE" w14:textId="77777777" w:rsidR="00B449D0" w:rsidRDefault="00175344" w:rsidP="000E76C0">
      <w:pPr>
        <w:pStyle w:val="PortfolioName"/>
      </w:pPr>
      <w:r w:rsidRPr="005B54CD">
        <w:lastRenderedPageBreak/>
        <w:t>Agriculture</w:t>
      </w:r>
      <w:r>
        <w:t xml:space="preserve">, </w:t>
      </w:r>
      <w:r w:rsidRPr="000E76C0">
        <w:t>Fisheries</w:t>
      </w:r>
      <w:r>
        <w:t xml:space="preserve"> and Forestry</w:t>
      </w:r>
    </w:p>
    <w:p w14:paraId="3A388FFC" w14:textId="6BA2C643" w:rsidR="00B449D0" w:rsidRDefault="00175344">
      <w:pPr>
        <w:pStyle w:val="MeasureTitle"/>
      </w:pPr>
      <w:r>
        <w:t xml:space="preserve">Primary </w:t>
      </w:r>
      <w:r w:rsidR="00F50ED0">
        <w:t>I</w:t>
      </w:r>
      <w:r>
        <w:t>ndustries – changes to agricultural production levies</w:t>
      </w:r>
    </w:p>
    <w:p w14:paraId="26F89BDA" w14:textId="77777777" w:rsidR="00B449D0" w:rsidRDefault="00175344">
      <w:pPr>
        <w:pStyle w:val="MeasureTableHeading"/>
      </w:pPr>
      <w:r>
        <w:t>Receipts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6837A7EF" w14:textId="77777777">
        <w:trPr>
          <w:cantSplit/>
        </w:trPr>
        <w:tc>
          <w:tcPr>
            <w:tcW w:w="2494" w:type="dxa"/>
            <w:tcBorders>
              <w:top w:val="single" w:sz="4" w:space="0" w:color="000000"/>
              <w:bottom w:val="single" w:sz="4" w:space="0" w:color="000000"/>
            </w:tcBorders>
          </w:tcPr>
          <w:p w14:paraId="2A7FC3DA" w14:textId="77777777" w:rsidR="00B449D0" w:rsidRDefault="00B449D0">
            <w:pPr>
              <w:pStyle w:val="MeasureTableYearHeadings"/>
              <w:keepNext/>
            </w:pPr>
          </w:p>
        </w:tc>
        <w:tc>
          <w:tcPr>
            <w:tcW w:w="1043" w:type="dxa"/>
            <w:tcBorders>
              <w:top w:val="single" w:sz="4" w:space="0" w:color="000000"/>
              <w:bottom w:val="single" w:sz="4" w:space="0" w:color="000000"/>
            </w:tcBorders>
          </w:tcPr>
          <w:p w14:paraId="02894AE1" w14:textId="5D82517E"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680A548E" w14:textId="3E68DFBB"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6F5ABBFA" w14:textId="55C7723E"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06EA6859" w14:textId="62ECCFB2"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69B1E1FD" w14:textId="4B407795" w:rsidR="00B449D0" w:rsidRDefault="00175344">
            <w:pPr>
              <w:pStyle w:val="MeasureTableYearHeadings"/>
              <w:keepNext/>
            </w:pPr>
            <w:r>
              <w:t>2027</w:t>
            </w:r>
            <w:r w:rsidR="00076D78">
              <w:noBreakHyphen/>
            </w:r>
            <w:r>
              <w:t>28</w:t>
            </w:r>
          </w:p>
        </w:tc>
      </w:tr>
      <w:tr w:rsidR="00B449D0" w14:paraId="003F43F1" w14:textId="77777777">
        <w:trPr>
          <w:cantSplit/>
        </w:trPr>
        <w:tc>
          <w:tcPr>
            <w:tcW w:w="2494" w:type="dxa"/>
            <w:tcBorders>
              <w:top w:val="single" w:sz="4" w:space="0" w:color="000000"/>
              <w:bottom w:val="single" w:sz="4" w:space="0" w:color="000000"/>
            </w:tcBorders>
          </w:tcPr>
          <w:p w14:paraId="3A3273C9" w14:textId="77777777" w:rsidR="00B449D0" w:rsidRDefault="00175344">
            <w:pPr>
              <w:pStyle w:val="MeasureTableHeadingleftalignedwith2ptsspacing"/>
              <w:keepNext/>
            </w:pPr>
            <w:r>
              <w:t>Department of Agriculture, Fisheries and Forestry</w:t>
            </w:r>
          </w:p>
        </w:tc>
        <w:tc>
          <w:tcPr>
            <w:tcW w:w="1043" w:type="dxa"/>
            <w:tcBorders>
              <w:top w:val="single" w:sz="4" w:space="0" w:color="000000"/>
              <w:bottom w:val="single" w:sz="4" w:space="0" w:color="000000"/>
            </w:tcBorders>
          </w:tcPr>
          <w:p w14:paraId="3C90B871" w14:textId="26D7BB7E"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7009966" w14:textId="77777777" w:rsidR="00B449D0" w:rsidRDefault="00175344">
            <w:pPr>
              <w:pStyle w:val="MeasureTableDataRightAlignedwith2ptsspacing"/>
              <w:keepNext/>
            </w:pPr>
            <w:r>
              <w:t>0.4</w:t>
            </w:r>
          </w:p>
        </w:tc>
        <w:tc>
          <w:tcPr>
            <w:tcW w:w="1043" w:type="dxa"/>
            <w:tcBorders>
              <w:top w:val="single" w:sz="4" w:space="0" w:color="000000"/>
              <w:bottom w:val="single" w:sz="4" w:space="0" w:color="000000"/>
            </w:tcBorders>
          </w:tcPr>
          <w:p w14:paraId="0D09A970" w14:textId="77777777" w:rsidR="00B449D0" w:rsidRDefault="00175344">
            <w:pPr>
              <w:pStyle w:val="MeasureTableDataRightAlignedwith2ptsspacing"/>
              <w:keepNext/>
            </w:pPr>
            <w:r>
              <w:t>0.7</w:t>
            </w:r>
          </w:p>
        </w:tc>
        <w:tc>
          <w:tcPr>
            <w:tcW w:w="1043" w:type="dxa"/>
            <w:tcBorders>
              <w:top w:val="single" w:sz="4" w:space="0" w:color="000000"/>
              <w:bottom w:val="single" w:sz="4" w:space="0" w:color="000000"/>
            </w:tcBorders>
          </w:tcPr>
          <w:p w14:paraId="46B5D6D3" w14:textId="77777777" w:rsidR="00B449D0" w:rsidRDefault="00175344">
            <w:pPr>
              <w:pStyle w:val="MeasureTableDataRightAlignedwith2ptsspacing"/>
              <w:keepNext/>
            </w:pPr>
            <w:r>
              <w:t>0.7</w:t>
            </w:r>
          </w:p>
        </w:tc>
        <w:tc>
          <w:tcPr>
            <w:tcW w:w="1043" w:type="dxa"/>
            <w:tcBorders>
              <w:top w:val="single" w:sz="4" w:space="0" w:color="000000"/>
              <w:bottom w:val="single" w:sz="4" w:space="0" w:color="000000"/>
            </w:tcBorders>
          </w:tcPr>
          <w:p w14:paraId="48FF2BC7" w14:textId="77777777" w:rsidR="00B449D0" w:rsidRDefault="00175344">
            <w:pPr>
              <w:pStyle w:val="MeasureTableDataRightAlignedwith2ptsspacing"/>
              <w:keepNext/>
            </w:pPr>
            <w:r>
              <w:t>0.7</w:t>
            </w:r>
          </w:p>
        </w:tc>
      </w:tr>
      <w:tr w:rsidR="00B449D0" w14:paraId="1C3F4181" w14:textId="77777777">
        <w:trPr>
          <w:cantSplit/>
        </w:trPr>
        <w:tc>
          <w:tcPr>
            <w:tcW w:w="2494" w:type="dxa"/>
          </w:tcPr>
          <w:p w14:paraId="161E3571" w14:textId="77777777" w:rsidR="00B449D0" w:rsidRDefault="00175344">
            <w:pPr>
              <w:pStyle w:val="AgencyName"/>
              <w:keepNext/>
            </w:pPr>
            <w:r>
              <w:t>Related payments ($m)</w:t>
            </w:r>
          </w:p>
        </w:tc>
        <w:tc>
          <w:tcPr>
            <w:tcW w:w="1043" w:type="dxa"/>
          </w:tcPr>
          <w:p w14:paraId="1FF4EF12" w14:textId="77777777" w:rsidR="00B449D0" w:rsidRDefault="00B449D0">
            <w:pPr>
              <w:pStyle w:val="AgencyName"/>
              <w:keepNext/>
            </w:pPr>
          </w:p>
        </w:tc>
        <w:tc>
          <w:tcPr>
            <w:tcW w:w="1043" w:type="dxa"/>
          </w:tcPr>
          <w:p w14:paraId="12843E2B" w14:textId="77777777" w:rsidR="00B449D0" w:rsidRDefault="00B449D0">
            <w:pPr>
              <w:pStyle w:val="AgencyName"/>
              <w:keepNext/>
            </w:pPr>
          </w:p>
        </w:tc>
        <w:tc>
          <w:tcPr>
            <w:tcW w:w="1043" w:type="dxa"/>
          </w:tcPr>
          <w:p w14:paraId="7651BF40" w14:textId="77777777" w:rsidR="00B449D0" w:rsidRDefault="00B449D0">
            <w:pPr>
              <w:pStyle w:val="AgencyName"/>
              <w:keepNext/>
            </w:pPr>
          </w:p>
        </w:tc>
        <w:tc>
          <w:tcPr>
            <w:tcW w:w="1043" w:type="dxa"/>
          </w:tcPr>
          <w:p w14:paraId="3922ECF7" w14:textId="77777777" w:rsidR="00B449D0" w:rsidRDefault="00B449D0">
            <w:pPr>
              <w:pStyle w:val="AgencyName"/>
              <w:keepNext/>
            </w:pPr>
          </w:p>
        </w:tc>
        <w:tc>
          <w:tcPr>
            <w:tcW w:w="1043" w:type="dxa"/>
          </w:tcPr>
          <w:p w14:paraId="0BE99D2B" w14:textId="77777777" w:rsidR="00B449D0" w:rsidRDefault="00B449D0">
            <w:pPr>
              <w:pStyle w:val="AgencyName"/>
              <w:keepNext/>
            </w:pPr>
          </w:p>
        </w:tc>
      </w:tr>
      <w:tr w:rsidR="00B449D0" w14:paraId="28B77F6A" w14:textId="77777777">
        <w:tc>
          <w:tcPr>
            <w:tcW w:w="2494" w:type="dxa"/>
          </w:tcPr>
          <w:p w14:paraId="41C0C542" w14:textId="77777777" w:rsidR="00B449D0" w:rsidRDefault="00175344">
            <w:pPr>
              <w:pStyle w:val="AgencyNamewith2ptsspacing"/>
              <w:keepNext/>
            </w:pPr>
            <w:r>
              <w:t>Department of Agriculture, Fisheries and Forestry</w:t>
            </w:r>
          </w:p>
        </w:tc>
        <w:tc>
          <w:tcPr>
            <w:tcW w:w="1043" w:type="dxa"/>
          </w:tcPr>
          <w:p w14:paraId="1B5C5530" w14:textId="6FC52C6C" w:rsidR="00B449D0" w:rsidRDefault="00076D78">
            <w:pPr>
              <w:pStyle w:val="Measuretabledatarightaligneditalics"/>
              <w:keepNext/>
            </w:pPr>
            <w:r>
              <w:noBreakHyphen/>
            </w:r>
          </w:p>
        </w:tc>
        <w:tc>
          <w:tcPr>
            <w:tcW w:w="1043" w:type="dxa"/>
          </w:tcPr>
          <w:p w14:paraId="403CCE9B" w14:textId="77777777" w:rsidR="00B449D0" w:rsidRDefault="00175344">
            <w:pPr>
              <w:pStyle w:val="Measuretabledatarightaligneditalics"/>
              <w:keepNext/>
            </w:pPr>
            <w:r>
              <w:t>0.4</w:t>
            </w:r>
          </w:p>
        </w:tc>
        <w:tc>
          <w:tcPr>
            <w:tcW w:w="1043" w:type="dxa"/>
          </w:tcPr>
          <w:p w14:paraId="77CEE4AD" w14:textId="77777777" w:rsidR="00B449D0" w:rsidRDefault="00175344">
            <w:pPr>
              <w:pStyle w:val="Measuretabledatarightaligneditalics"/>
              <w:keepNext/>
            </w:pPr>
            <w:r>
              <w:t>0.7</w:t>
            </w:r>
          </w:p>
        </w:tc>
        <w:tc>
          <w:tcPr>
            <w:tcW w:w="1043" w:type="dxa"/>
          </w:tcPr>
          <w:p w14:paraId="5727AEEB" w14:textId="77777777" w:rsidR="00B449D0" w:rsidRDefault="00175344">
            <w:pPr>
              <w:pStyle w:val="Measuretabledatarightaligneditalics"/>
              <w:keepNext/>
            </w:pPr>
            <w:r>
              <w:t>0.7</w:t>
            </w:r>
          </w:p>
        </w:tc>
        <w:tc>
          <w:tcPr>
            <w:tcW w:w="1043" w:type="dxa"/>
          </w:tcPr>
          <w:p w14:paraId="286E40C5" w14:textId="77777777" w:rsidR="00B449D0" w:rsidRDefault="00175344">
            <w:pPr>
              <w:pStyle w:val="Measuretabledatarightaligneditalics"/>
              <w:keepNext/>
            </w:pPr>
            <w:r>
              <w:t>0.7</w:t>
            </w:r>
          </w:p>
        </w:tc>
      </w:tr>
    </w:tbl>
    <w:p w14:paraId="229FC1AD" w14:textId="77777777" w:rsidR="00B449D0" w:rsidRPr="00BA7366" w:rsidRDefault="00B449D0" w:rsidP="00380A42">
      <w:pPr>
        <w:pStyle w:val="SingleParagraph0"/>
      </w:pPr>
    </w:p>
    <w:p w14:paraId="65D5DE37" w14:textId="77777777" w:rsidR="00B449D0" w:rsidRDefault="00175344">
      <w:pPr>
        <w:pStyle w:val="Normal2"/>
      </w:pPr>
      <w:r>
        <w:t>The Government is making changes to the following agricultural levies and associated charges at the request of industry to better reflect the current needs of the agricultural sector:</w:t>
      </w:r>
    </w:p>
    <w:p w14:paraId="58BAD20D" w14:textId="03239EAC" w:rsidR="00B449D0" w:rsidRDefault="00175344">
      <w:pPr>
        <w:pStyle w:val="Bullet"/>
      </w:pPr>
      <w:r>
        <w:t>Fresh lychee</w:t>
      </w:r>
      <w:r w:rsidR="00F50ED0">
        <w:t>s</w:t>
      </w:r>
      <w:r>
        <w:t xml:space="preserve"> levy: from 1 January 2025, the Government will decrease the marketing component of the fresh lychee</w:t>
      </w:r>
      <w:r w:rsidR="00D04CA5">
        <w:t>s</w:t>
      </w:r>
      <w:r>
        <w:t xml:space="preserve"> levy from 2.5 to 2.25 cents per kilogram of fresh lychees, decrease the research and development component from 5.5 to 5.25 cents per kilogram and introduce a biosecurity activity component of 0.5 cents per kilogram. These changes will maintain the overall levy rate at 8 cents per kilogram of fresh lychees.</w:t>
      </w:r>
    </w:p>
    <w:p w14:paraId="1219100C" w14:textId="42B66783" w:rsidR="00B449D0" w:rsidRDefault="00175344">
      <w:pPr>
        <w:pStyle w:val="Bullet"/>
      </w:pPr>
      <w:r>
        <w:t xml:space="preserve">Custard apples levy: from 1 January 2025, the Government will decrease the rate of the marketing component </w:t>
      </w:r>
      <w:r w:rsidR="0023484A">
        <w:t xml:space="preserve">of </w:t>
      </w:r>
      <w:r>
        <w:t>the custard apple</w:t>
      </w:r>
      <w:r w:rsidR="00FF2C0A">
        <w:t>s</w:t>
      </w:r>
      <w:r>
        <w:t xml:space="preserve"> levy to nil (previously 13 cents per box and tray and $16 per tonne of custard apples). The Government will increase the research and development component from 27 to 40 cents per box and tray; and from $34 to $</w:t>
      </w:r>
      <w:r w:rsidR="00D90BB6">
        <w:t>50 </w:t>
      </w:r>
      <w:r>
        <w:t xml:space="preserve">per tonne of custard apples. The changes will maintain the overall levy rate at </w:t>
      </w:r>
      <w:r w:rsidR="00D90BB6">
        <w:t>40 </w:t>
      </w:r>
      <w:r>
        <w:t>cents per box and tray; and $50 per tonne of custard apples.</w:t>
      </w:r>
    </w:p>
    <w:p w14:paraId="66894F3C" w14:textId="389DA68E" w:rsidR="00B449D0" w:rsidRDefault="00175344">
      <w:pPr>
        <w:pStyle w:val="Bullet"/>
      </w:pPr>
      <w:r>
        <w:t>Macadamia nut</w:t>
      </w:r>
      <w:r w:rsidR="002A6159">
        <w:t>s</w:t>
      </w:r>
      <w:r>
        <w:t xml:space="preserve"> levy: from 1 January 2025, the Government will activate a biosecurity response component of the macadamia nut</w:t>
      </w:r>
      <w:r w:rsidR="00813815">
        <w:t>s</w:t>
      </w:r>
      <w:r>
        <w:t xml:space="preserve"> levy of 0.79 cents per kilogram of macadamia nut kernels (or in‑shell equivalent). This change will increase the overall levy rate from 25.21 to 26 cents per kilogram of macadamia nut kernels (or in‑shell equivalent).</w:t>
      </w:r>
    </w:p>
    <w:p w14:paraId="3CB19773" w14:textId="2A9670D8" w:rsidR="00B449D0" w:rsidRDefault="00175344">
      <w:pPr>
        <w:pStyle w:val="Bullet"/>
      </w:pPr>
      <w:r>
        <w:t>Apple</w:t>
      </w:r>
      <w:r w:rsidR="00991205">
        <w:t>s levy</w:t>
      </w:r>
      <w:r>
        <w:t xml:space="preserve"> and pear</w:t>
      </w:r>
      <w:r w:rsidR="00991205">
        <w:t>s</w:t>
      </w:r>
      <w:r>
        <w:t xml:space="preserve"> lev</w:t>
      </w:r>
      <w:r w:rsidR="00991205">
        <w:t>y</w:t>
      </w:r>
      <w:r>
        <w:t>: from 1 January 2025, the Government will increase the biosecurity response component</w:t>
      </w:r>
      <w:r w:rsidR="00991205">
        <w:t>s</w:t>
      </w:r>
      <w:r>
        <w:t xml:space="preserve"> of the apple</w:t>
      </w:r>
      <w:r w:rsidR="00991205">
        <w:t>s levy</w:t>
      </w:r>
      <w:r>
        <w:t xml:space="preserve"> and pear</w:t>
      </w:r>
      <w:r w:rsidR="00371DE4">
        <w:t>s</w:t>
      </w:r>
      <w:r>
        <w:t xml:space="preserve"> levy from 0.05 to 0.</w:t>
      </w:r>
      <w:r w:rsidR="00D90BB6">
        <w:t>242 </w:t>
      </w:r>
      <w:r>
        <w:t>cents per kilogram of apples and pears (other than those sold for processing or that are processed). This change will increase the overall levy rate for those apples from 1.895 to 2.087 cents per kilogram; and the overall levy rate for those pears from 2.149 to 2.341 cents per kilogram.</w:t>
      </w:r>
    </w:p>
    <w:p w14:paraId="040BEAC7" w14:textId="204430FE" w:rsidR="00B449D0" w:rsidRDefault="00175344">
      <w:pPr>
        <w:pStyle w:val="Normal2"/>
      </w:pPr>
      <w:r>
        <w:t xml:space="preserve">This measure is estimated to increase receipts by $2.5 million and increase payments by $2.6 million over </w:t>
      </w:r>
      <w:r w:rsidR="000A4DBE">
        <w:t>five</w:t>
      </w:r>
      <w:r>
        <w:t> years from 2023–24.</w:t>
      </w:r>
    </w:p>
    <w:p w14:paraId="408C983B" w14:textId="77777777" w:rsidR="00B449D0" w:rsidRDefault="00B449D0">
      <w:pPr>
        <w:sectPr w:rsidR="00B449D0" w:rsidSect="00301E48">
          <w:headerReference w:type="even" r:id="rId12"/>
          <w:headerReference w:type="default" r:id="rId13"/>
          <w:footerReference w:type="even" r:id="rId14"/>
          <w:footerReference w:type="default" r:id="rId15"/>
          <w:headerReference w:type="first" r:id="rId16"/>
          <w:footerReference w:type="first" r:id="rId17"/>
          <w:pgSz w:w="11906" w:h="16838"/>
          <w:pgMar w:top="2835" w:right="2098" w:bottom="2466" w:left="2098" w:header="1814" w:footer="1814" w:gutter="0"/>
          <w:cols w:space="720"/>
          <w:docGrid w:linePitch="272"/>
        </w:sectPr>
      </w:pPr>
    </w:p>
    <w:p w14:paraId="6CB8E18D" w14:textId="77777777" w:rsidR="00B449D0" w:rsidRDefault="00175344" w:rsidP="000E76C0">
      <w:pPr>
        <w:pStyle w:val="PortfolioName"/>
      </w:pPr>
      <w:r w:rsidRPr="000E76C0">
        <w:lastRenderedPageBreak/>
        <w:t>Education</w:t>
      </w:r>
    </w:p>
    <w:p w14:paraId="0BB1E16D" w14:textId="0510D54B" w:rsidR="00B449D0" w:rsidRDefault="00175344">
      <w:pPr>
        <w:pStyle w:val="MeasureTitle"/>
      </w:pPr>
      <w:r>
        <w:t>Building Australia</w:t>
      </w:r>
      <w:r w:rsidR="00076D78">
        <w:t>’</w:t>
      </w:r>
      <w:r>
        <w:t>s Future – A fairer deal for students</w:t>
      </w:r>
    </w:p>
    <w:p w14:paraId="4221C82C" w14:textId="77777777" w:rsidR="00B449D0" w:rsidRDefault="00175344">
      <w:pPr>
        <w:pStyle w:val="MeasureTableHeading"/>
      </w:pPr>
      <w:r>
        <w:t>Receipts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7D0C4AD0" w14:textId="77777777">
        <w:trPr>
          <w:cantSplit/>
        </w:trPr>
        <w:tc>
          <w:tcPr>
            <w:tcW w:w="2494" w:type="dxa"/>
            <w:tcBorders>
              <w:top w:val="single" w:sz="4" w:space="0" w:color="000000"/>
              <w:bottom w:val="single" w:sz="4" w:space="0" w:color="000000"/>
            </w:tcBorders>
          </w:tcPr>
          <w:p w14:paraId="250914F4" w14:textId="77777777" w:rsidR="00B449D0" w:rsidRDefault="00B449D0">
            <w:pPr>
              <w:pStyle w:val="MeasureTableYearHeadings"/>
              <w:keepNext/>
            </w:pPr>
          </w:p>
        </w:tc>
        <w:tc>
          <w:tcPr>
            <w:tcW w:w="1043" w:type="dxa"/>
            <w:tcBorders>
              <w:top w:val="single" w:sz="4" w:space="0" w:color="000000"/>
              <w:bottom w:val="single" w:sz="4" w:space="0" w:color="000000"/>
            </w:tcBorders>
          </w:tcPr>
          <w:p w14:paraId="6875ADBA" w14:textId="6E3CF931"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0596B7A7" w14:textId="4D5286D6"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0210378C" w14:textId="434ECC72"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432F99FA" w14:textId="204C49E4"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1432D46E" w14:textId="16CBE2C4" w:rsidR="00B449D0" w:rsidRDefault="00175344">
            <w:pPr>
              <w:pStyle w:val="MeasureTableYearHeadings"/>
              <w:keepNext/>
            </w:pPr>
            <w:r>
              <w:t>2027</w:t>
            </w:r>
            <w:r w:rsidR="00076D78">
              <w:noBreakHyphen/>
            </w:r>
            <w:r>
              <w:t>28</w:t>
            </w:r>
          </w:p>
        </w:tc>
      </w:tr>
      <w:tr w:rsidR="00B449D0" w14:paraId="089645B7" w14:textId="77777777">
        <w:trPr>
          <w:cantSplit/>
        </w:trPr>
        <w:tc>
          <w:tcPr>
            <w:tcW w:w="2494" w:type="dxa"/>
            <w:tcBorders>
              <w:top w:val="single" w:sz="4" w:space="0" w:color="000000"/>
              <w:bottom w:val="single" w:sz="4" w:space="0" w:color="000000"/>
            </w:tcBorders>
          </w:tcPr>
          <w:p w14:paraId="5B9EF902" w14:textId="77777777" w:rsidR="00B449D0" w:rsidRDefault="00175344">
            <w:pPr>
              <w:pStyle w:val="MeasureTableHeadingleftalignedwith2ptsspacing"/>
              <w:keepNext/>
            </w:pPr>
            <w:r>
              <w:t>Department of Employment and Workplace Relations</w:t>
            </w:r>
          </w:p>
        </w:tc>
        <w:tc>
          <w:tcPr>
            <w:tcW w:w="1043" w:type="dxa"/>
            <w:tcBorders>
              <w:top w:val="single" w:sz="4" w:space="0" w:color="000000"/>
              <w:bottom w:val="single" w:sz="4" w:space="0" w:color="000000"/>
            </w:tcBorders>
          </w:tcPr>
          <w:p w14:paraId="7CC3ADD8" w14:textId="44FAFF00"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9F13BCA" w14:textId="0E7D2020" w:rsidR="00B449D0" w:rsidRDefault="00076D78">
            <w:pPr>
              <w:pStyle w:val="MeasureTableDataRightAlignedwith2ptsspacing"/>
              <w:keepNext/>
            </w:pPr>
            <w:r>
              <w:noBreakHyphen/>
            </w:r>
            <w:r w:rsidR="00175344">
              <w:t>19.9</w:t>
            </w:r>
          </w:p>
        </w:tc>
        <w:tc>
          <w:tcPr>
            <w:tcW w:w="1043" w:type="dxa"/>
            <w:tcBorders>
              <w:top w:val="single" w:sz="4" w:space="0" w:color="000000"/>
              <w:bottom w:val="single" w:sz="4" w:space="0" w:color="000000"/>
            </w:tcBorders>
          </w:tcPr>
          <w:p w14:paraId="368FAC32" w14:textId="2D825352" w:rsidR="00B449D0" w:rsidRDefault="00076D78">
            <w:pPr>
              <w:pStyle w:val="MeasureTableDataRightAlignedwith2ptsspacing"/>
              <w:keepNext/>
            </w:pPr>
            <w:r>
              <w:noBreakHyphen/>
            </w:r>
            <w:r w:rsidR="00175344">
              <w:t>40.5</w:t>
            </w:r>
          </w:p>
        </w:tc>
        <w:tc>
          <w:tcPr>
            <w:tcW w:w="1043" w:type="dxa"/>
            <w:tcBorders>
              <w:top w:val="single" w:sz="4" w:space="0" w:color="000000"/>
              <w:bottom w:val="single" w:sz="4" w:space="0" w:color="000000"/>
            </w:tcBorders>
          </w:tcPr>
          <w:p w14:paraId="40CDBEB9" w14:textId="0CB9E3AF" w:rsidR="00B449D0" w:rsidRDefault="00076D78">
            <w:pPr>
              <w:pStyle w:val="MeasureTableDataRightAlignedwith2ptsspacing"/>
              <w:keepNext/>
            </w:pPr>
            <w:r>
              <w:noBreakHyphen/>
            </w:r>
            <w:r w:rsidR="00175344">
              <w:t>40.4</w:t>
            </w:r>
          </w:p>
        </w:tc>
        <w:tc>
          <w:tcPr>
            <w:tcW w:w="1043" w:type="dxa"/>
            <w:tcBorders>
              <w:top w:val="single" w:sz="4" w:space="0" w:color="000000"/>
              <w:bottom w:val="single" w:sz="4" w:space="0" w:color="000000"/>
            </w:tcBorders>
          </w:tcPr>
          <w:p w14:paraId="301AA0C4" w14:textId="563EA027" w:rsidR="00B449D0" w:rsidRDefault="00076D78">
            <w:pPr>
              <w:pStyle w:val="MeasureTableDataRightAlignedwith2ptsspacing"/>
              <w:keepNext/>
            </w:pPr>
            <w:r>
              <w:noBreakHyphen/>
            </w:r>
            <w:r w:rsidR="00175344">
              <w:t>41.8</w:t>
            </w:r>
          </w:p>
        </w:tc>
      </w:tr>
      <w:tr w:rsidR="00B449D0" w14:paraId="16739A26" w14:textId="77777777">
        <w:trPr>
          <w:cantSplit/>
        </w:trPr>
        <w:tc>
          <w:tcPr>
            <w:tcW w:w="2494" w:type="dxa"/>
            <w:tcBorders>
              <w:top w:val="single" w:sz="4" w:space="0" w:color="000000"/>
              <w:bottom w:val="single" w:sz="4" w:space="0" w:color="000000"/>
            </w:tcBorders>
          </w:tcPr>
          <w:p w14:paraId="07FD2E0A" w14:textId="77777777" w:rsidR="00B449D0" w:rsidRDefault="00175344">
            <w:pPr>
              <w:pStyle w:val="MeasureTableHeadingleftalignedwith2ptsspacing"/>
              <w:keepNext/>
            </w:pPr>
            <w:r>
              <w:t>Department of Education</w:t>
            </w:r>
          </w:p>
        </w:tc>
        <w:tc>
          <w:tcPr>
            <w:tcW w:w="1043" w:type="dxa"/>
            <w:tcBorders>
              <w:top w:val="single" w:sz="4" w:space="0" w:color="000000"/>
              <w:bottom w:val="single" w:sz="4" w:space="0" w:color="000000"/>
            </w:tcBorders>
          </w:tcPr>
          <w:p w14:paraId="16DBDDB9" w14:textId="0D0D8BB1"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BD5BC81" w14:textId="3FF072A7" w:rsidR="00B449D0" w:rsidRDefault="00076D78">
            <w:pPr>
              <w:pStyle w:val="MeasureTableDataRightAlignedwith2ptsspacing"/>
              <w:keepNext/>
            </w:pPr>
            <w:r>
              <w:noBreakHyphen/>
            </w:r>
            <w:r w:rsidR="00175344">
              <w:t>152.6</w:t>
            </w:r>
          </w:p>
        </w:tc>
        <w:tc>
          <w:tcPr>
            <w:tcW w:w="1043" w:type="dxa"/>
            <w:tcBorders>
              <w:top w:val="single" w:sz="4" w:space="0" w:color="000000"/>
              <w:bottom w:val="single" w:sz="4" w:space="0" w:color="000000"/>
            </w:tcBorders>
          </w:tcPr>
          <w:p w14:paraId="21AD607B" w14:textId="5E8BDE16" w:rsidR="00B449D0" w:rsidRDefault="00076D78">
            <w:pPr>
              <w:pStyle w:val="MeasureTableDataRightAlignedwith2ptsspacing"/>
              <w:keepNext/>
            </w:pPr>
            <w:r>
              <w:noBreakHyphen/>
            </w:r>
            <w:r w:rsidR="00175344">
              <w:t>197.2</w:t>
            </w:r>
          </w:p>
        </w:tc>
        <w:tc>
          <w:tcPr>
            <w:tcW w:w="1043" w:type="dxa"/>
            <w:tcBorders>
              <w:top w:val="single" w:sz="4" w:space="0" w:color="000000"/>
              <w:bottom w:val="single" w:sz="4" w:space="0" w:color="000000"/>
            </w:tcBorders>
          </w:tcPr>
          <w:p w14:paraId="135B0A54" w14:textId="7661FA7F" w:rsidR="00B449D0" w:rsidRDefault="00076D78">
            <w:pPr>
              <w:pStyle w:val="MeasureTableDataRightAlignedwith2ptsspacing"/>
              <w:keepNext/>
            </w:pPr>
            <w:r>
              <w:noBreakHyphen/>
            </w:r>
            <w:r w:rsidR="00175344">
              <w:t>203.5</w:t>
            </w:r>
          </w:p>
        </w:tc>
        <w:tc>
          <w:tcPr>
            <w:tcW w:w="1043" w:type="dxa"/>
            <w:tcBorders>
              <w:top w:val="single" w:sz="4" w:space="0" w:color="000000"/>
              <w:bottom w:val="single" w:sz="4" w:space="0" w:color="000000"/>
            </w:tcBorders>
          </w:tcPr>
          <w:p w14:paraId="26A80279" w14:textId="03B16146" w:rsidR="00B449D0" w:rsidRDefault="00076D78">
            <w:pPr>
              <w:pStyle w:val="MeasureTableDataRightAlignedwith2ptsspacing"/>
              <w:keepNext/>
            </w:pPr>
            <w:r>
              <w:noBreakHyphen/>
            </w:r>
            <w:r w:rsidR="00175344">
              <w:t>215.1</w:t>
            </w:r>
          </w:p>
        </w:tc>
      </w:tr>
      <w:tr w:rsidR="00B449D0" w14:paraId="46EFCA84" w14:textId="77777777">
        <w:trPr>
          <w:cantSplit/>
        </w:trPr>
        <w:tc>
          <w:tcPr>
            <w:tcW w:w="2494" w:type="dxa"/>
            <w:tcBorders>
              <w:top w:val="single" w:sz="4" w:space="0" w:color="000000"/>
              <w:bottom w:val="single" w:sz="4" w:space="0" w:color="000000"/>
            </w:tcBorders>
          </w:tcPr>
          <w:p w14:paraId="6BED7480" w14:textId="77777777" w:rsidR="00B449D0" w:rsidRDefault="00175344">
            <w:pPr>
              <w:pStyle w:val="Totalrowleftaligned"/>
              <w:keepNext/>
            </w:pPr>
            <w:r>
              <w:t>Total – Receipts</w:t>
            </w:r>
          </w:p>
        </w:tc>
        <w:tc>
          <w:tcPr>
            <w:tcW w:w="1043" w:type="dxa"/>
            <w:tcBorders>
              <w:top w:val="single" w:sz="4" w:space="0" w:color="000000"/>
              <w:bottom w:val="single" w:sz="4" w:space="0" w:color="000000"/>
            </w:tcBorders>
          </w:tcPr>
          <w:p w14:paraId="0F9B4465" w14:textId="1BF7A1F7"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529B8DC3" w14:textId="48139353" w:rsidR="00B449D0" w:rsidRDefault="00076D78">
            <w:pPr>
              <w:pStyle w:val="Totaldatarowrightaligned"/>
              <w:keepNext/>
            </w:pPr>
            <w:r>
              <w:noBreakHyphen/>
            </w:r>
            <w:r w:rsidR="00175344">
              <w:t>172.5</w:t>
            </w:r>
          </w:p>
        </w:tc>
        <w:tc>
          <w:tcPr>
            <w:tcW w:w="1043" w:type="dxa"/>
            <w:tcBorders>
              <w:top w:val="single" w:sz="4" w:space="0" w:color="000000"/>
              <w:bottom w:val="single" w:sz="4" w:space="0" w:color="000000"/>
            </w:tcBorders>
          </w:tcPr>
          <w:p w14:paraId="349A5F16" w14:textId="6CD8A989" w:rsidR="00B449D0" w:rsidRDefault="00076D78">
            <w:pPr>
              <w:pStyle w:val="Totaldatarowrightaligned"/>
              <w:keepNext/>
            </w:pPr>
            <w:r>
              <w:noBreakHyphen/>
            </w:r>
            <w:r w:rsidR="00175344">
              <w:t>237.7</w:t>
            </w:r>
          </w:p>
        </w:tc>
        <w:tc>
          <w:tcPr>
            <w:tcW w:w="1043" w:type="dxa"/>
            <w:tcBorders>
              <w:top w:val="single" w:sz="4" w:space="0" w:color="000000"/>
              <w:bottom w:val="single" w:sz="4" w:space="0" w:color="000000"/>
            </w:tcBorders>
          </w:tcPr>
          <w:p w14:paraId="213EA264" w14:textId="72547DE3" w:rsidR="00B449D0" w:rsidRDefault="00076D78">
            <w:pPr>
              <w:pStyle w:val="Totaldatarowrightaligned"/>
              <w:keepNext/>
            </w:pPr>
            <w:r>
              <w:noBreakHyphen/>
            </w:r>
            <w:r w:rsidR="00175344">
              <w:t>243.9</w:t>
            </w:r>
          </w:p>
        </w:tc>
        <w:tc>
          <w:tcPr>
            <w:tcW w:w="1043" w:type="dxa"/>
            <w:tcBorders>
              <w:top w:val="single" w:sz="4" w:space="0" w:color="000000"/>
              <w:bottom w:val="single" w:sz="4" w:space="0" w:color="000000"/>
            </w:tcBorders>
          </w:tcPr>
          <w:p w14:paraId="7AE8902B" w14:textId="5D9D2900" w:rsidR="00B449D0" w:rsidRDefault="00076D78">
            <w:pPr>
              <w:pStyle w:val="Totaldatarowrightaligned"/>
              <w:keepNext/>
            </w:pPr>
            <w:r>
              <w:noBreakHyphen/>
            </w:r>
            <w:r w:rsidR="00175344">
              <w:t>256.9</w:t>
            </w:r>
          </w:p>
        </w:tc>
      </w:tr>
      <w:tr w:rsidR="00B449D0" w14:paraId="685EDA8E" w14:textId="77777777">
        <w:trPr>
          <w:cantSplit/>
        </w:trPr>
        <w:tc>
          <w:tcPr>
            <w:tcW w:w="2494" w:type="dxa"/>
          </w:tcPr>
          <w:p w14:paraId="7838FE65" w14:textId="77777777" w:rsidR="00B449D0" w:rsidRDefault="00175344">
            <w:pPr>
              <w:pStyle w:val="AgencyName"/>
              <w:keepNext/>
            </w:pPr>
            <w:r>
              <w:t>Related payments ($m)</w:t>
            </w:r>
          </w:p>
        </w:tc>
        <w:tc>
          <w:tcPr>
            <w:tcW w:w="1043" w:type="dxa"/>
          </w:tcPr>
          <w:p w14:paraId="3D845DBB" w14:textId="77777777" w:rsidR="00B449D0" w:rsidRDefault="00B449D0">
            <w:pPr>
              <w:pStyle w:val="AgencyName"/>
              <w:keepNext/>
            </w:pPr>
          </w:p>
        </w:tc>
        <w:tc>
          <w:tcPr>
            <w:tcW w:w="1043" w:type="dxa"/>
          </w:tcPr>
          <w:p w14:paraId="1A0C9E49" w14:textId="77777777" w:rsidR="00B449D0" w:rsidRDefault="00B449D0">
            <w:pPr>
              <w:pStyle w:val="AgencyName"/>
              <w:keepNext/>
            </w:pPr>
          </w:p>
        </w:tc>
        <w:tc>
          <w:tcPr>
            <w:tcW w:w="1043" w:type="dxa"/>
          </w:tcPr>
          <w:p w14:paraId="712117B4" w14:textId="77777777" w:rsidR="00B449D0" w:rsidRDefault="00B449D0">
            <w:pPr>
              <w:pStyle w:val="AgencyName"/>
              <w:keepNext/>
            </w:pPr>
          </w:p>
        </w:tc>
        <w:tc>
          <w:tcPr>
            <w:tcW w:w="1043" w:type="dxa"/>
          </w:tcPr>
          <w:p w14:paraId="1D9755A5" w14:textId="77777777" w:rsidR="00B449D0" w:rsidRDefault="00B449D0">
            <w:pPr>
              <w:pStyle w:val="AgencyName"/>
              <w:keepNext/>
            </w:pPr>
          </w:p>
        </w:tc>
        <w:tc>
          <w:tcPr>
            <w:tcW w:w="1043" w:type="dxa"/>
          </w:tcPr>
          <w:p w14:paraId="51BD5B27" w14:textId="77777777" w:rsidR="00B449D0" w:rsidRDefault="00B449D0">
            <w:pPr>
              <w:pStyle w:val="AgencyName"/>
              <w:keepNext/>
            </w:pPr>
          </w:p>
        </w:tc>
      </w:tr>
      <w:tr w:rsidR="00B449D0" w14:paraId="7626F758" w14:textId="77777777">
        <w:tc>
          <w:tcPr>
            <w:tcW w:w="2494" w:type="dxa"/>
          </w:tcPr>
          <w:p w14:paraId="19F36F4D" w14:textId="77777777" w:rsidR="00B449D0" w:rsidRDefault="00175344">
            <w:pPr>
              <w:pStyle w:val="AgencyNamewith2ptsspacing"/>
              <w:keepNext/>
            </w:pPr>
            <w:r>
              <w:t>Australian Taxation Office</w:t>
            </w:r>
          </w:p>
        </w:tc>
        <w:tc>
          <w:tcPr>
            <w:tcW w:w="1043" w:type="dxa"/>
          </w:tcPr>
          <w:p w14:paraId="2B019E29" w14:textId="79F97EC2" w:rsidR="00B449D0" w:rsidRDefault="00076D78">
            <w:pPr>
              <w:pStyle w:val="Measuretabledatarightaligneditalics"/>
              <w:keepNext/>
            </w:pPr>
            <w:r>
              <w:noBreakHyphen/>
            </w:r>
          </w:p>
        </w:tc>
        <w:tc>
          <w:tcPr>
            <w:tcW w:w="1043" w:type="dxa"/>
          </w:tcPr>
          <w:p w14:paraId="781D65C8" w14:textId="77777777" w:rsidR="00B449D0" w:rsidRDefault="00175344">
            <w:pPr>
              <w:pStyle w:val="Measuretabledatarightaligneditalics"/>
              <w:keepNext/>
            </w:pPr>
            <w:r>
              <w:t>1.9</w:t>
            </w:r>
          </w:p>
        </w:tc>
        <w:tc>
          <w:tcPr>
            <w:tcW w:w="1043" w:type="dxa"/>
          </w:tcPr>
          <w:p w14:paraId="1AD69029" w14:textId="77777777" w:rsidR="00B449D0" w:rsidRDefault="00175344">
            <w:pPr>
              <w:pStyle w:val="Measuretabledatarightaligneditalics"/>
              <w:keepNext/>
            </w:pPr>
            <w:r>
              <w:t>4.7</w:t>
            </w:r>
          </w:p>
        </w:tc>
        <w:tc>
          <w:tcPr>
            <w:tcW w:w="1043" w:type="dxa"/>
          </w:tcPr>
          <w:p w14:paraId="34653AF4" w14:textId="77777777" w:rsidR="00B449D0" w:rsidRDefault="00175344">
            <w:pPr>
              <w:pStyle w:val="Measuretabledatarightaligneditalics"/>
              <w:keepNext/>
            </w:pPr>
            <w:r>
              <w:t>0.2</w:t>
            </w:r>
          </w:p>
        </w:tc>
        <w:tc>
          <w:tcPr>
            <w:tcW w:w="1043" w:type="dxa"/>
          </w:tcPr>
          <w:p w14:paraId="2A93761D" w14:textId="77777777" w:rsidR="00B449D0" w:rsidRDefault="00175344">
            <w:pPr>
              <w:pStyle w:val="Measuretabledatarightaligneditalics"/>
              <w:keepNext/>
            </w:pPr>
            <w:r>
              <w:t>0.1</w:t>
            </w:r>
          </w:p>
        </w:tc>
      </w:tr>
      <w:tr w:rsidR="00B449D0" w14:paraId="3ABE890A" w14:textId="77777777">
        <w:trPr>
          <w:cantSplit/>
        </w:trPr>
        <w:tc>
          <w:tcPr>
            <w:tcW w:w="2494" w:type="dxa"/>
            <w:tcBorders>
              <w:top w:val="single" w:sz="4" w:space="0" w:color="000000"/>
              <w:bottom w:val="single" w:sz="4" w:space="0" w:color="000000"/>
            </w:tcBorders>
          </w:tcPr>
          <w:p w14:paraId="4FEBEFBE" w14:textId="77777777" w:rsidR="00B449D0" w:rsidRDefault="00175344">
            <w:pPr>
              <w:pStyle w:val="AgencyNamewith2ptsspacing"/>
              <w:keepNext/>
            </w:pPr>
            <w:r>
              <w:t>Services Australia</w:t>
            </w:r>
          </w:p>
        </w:tc>
        <w:tc>
          <w:tcPr>
            <w:tcW w:w="1043" w:type="dxa"/>
            <w:tcBorders>
              <w:top w:val="single" w:sz="4" w:space="0" w:color="000000"/>
              <w:bottom w:val="single" w:sz="4" w:space="0" w:color="000000"/>
            </w:tcBorders>
          </w:tcPr>
          <w:p w14:paraId="295920C5" w14:textId="329D8A98" w:rsidR="00B449D0" w:rsidRDefault="00076D78">
            <w:pPr>
              <w:pStyle w:val="Measuretabledatarightaligneditalics"/>
              <w:keepNext/>
            </w:pPr>
            <w:r>
              <w:noBreakHyphen/>
            </w:r>
          </w:p>
        </w:tc>
        <w:tc>
          <w:tcPr>
            <w:tcW w:w="1043" w:type="dxa"/>
            <w:tcBorders>
              <w:top w:val="single" w:sz="4" w:space="0" w:color="000000"/>
              <w:bottom w:val="single" w:sz="4" w:space="0" w:color="000000"/>
            </w:tcBorders>
          </w:tcPr>
          <w:p w14:paraId="5B4AE9C0" w14:textId="77777777" w:rsidR="00B449D0" w:rsidRDefault="00175344">
            <w:pPr>
              <w:pStyle w:val="Measuretabledatarightaligneditalics"/>
              <w:keepNext/>
            </w:pPr>
            <w:r>
              <w:t>1.3</w:t>
            </w:r>
          </w:p>
        </w:tc>
        <w:tc>
          <w:tcPr>
            <w:tcW w:w="1043" w:type="dxa"/>
            <w:tcBorders>
              <w:top w:val="single" w:sz="4" w:space="0" w:color="000000"/>
              <w:bottom w:val="single" w:sz="4" w:space="0" w:color="000000"/>
            </w:tcBorders>
          </w:tcPr>
          <w:p w14:paraId="63F64FD4" w14:textId="77777777" w:rsidR="00B449D0" w:rsidRDefault="00175344">
            <w:pPr>
              <w:pStyle w:val="Measuretabledatarightaligneditalics"/>
              <w:keepNext/>
            </w:pPr>
            <w:r>
              <w:t>0.3</w:t>
            </w:r>
          </w:p>
        </w:tc>
        <w:tc>
          <w:tcPr>
            <w:tcW w:w="1043" w:type="dxa"/>
            <w:tcBorders>
              <w:top w:val="single" w:sz="4" w:space="0" w:color="000000"/>
              <w:bottom w:val="single" w:sz="4" w:space="0" w:color="000000"/>
            </w:tcBorders>
          </w:tcPr>
          <w:p w14:paraId="7B615320" w14:textId="43012D8E" w:rsidR="00B449D0" w:rsidRDefault="00076D78">
            <w:pPr>
              <w:pStyle w:val="Measuretabledatarightaligneditalics"/>
              <w:keepNext/>
            </w:pPr>
            <w:r>
              <w:noBreakHyphen/>
            </w:r>
          </w:p>
        </w:tc>
        <w:tc>
          <w:tcPr>
            <w:tcW w:w="1043" w:type="dxa"/>
            <w:tcBorders>
              <w:top w:val="single" w:sz="4" w:space="0" w:color="000000"/>
              <w:bottom w:val="single" w:sz="4" w:space="0" w:color="000000"/>
            </w:tcBorders>
          </w:tcPr>
          <w:p w14:paraId="5FBEEE08" w14:textId="11AE9A61" w:rsidR="00B449D0" w:rsidRDefault="00076D78">
            <w:pPr>
              <w:pStyle w:val="Measuretabledatarightaligneditalics"/>
              <w:keepNext/>
            </w:pPr>
            <w:r>
              <w:noBreakHyphen/>
            </w:r>
          </w:p>
        </w:tc>
      </w:tr>
      <w:tr w:rsidR="00B449D0" w14:paraId="0D8E959E" w14:textId="77777777">
        <w:trPr>
          <w:cantSplit/>
        </w:trPr>
        <w:tc>
          <w:tcPr>
            <w:tcW w:w="2494" w:type="dxa"/>
            <w:tcBorders>
              <w:top w:val="single" w:sz="4" w:space="0" w:color="000000"/>
              <w:bottom w:val="single" w:sz="4" w:space="0" w:color="000000"/>
            </w:tcBorders>
          </w:tcPr>
          <w:p w14:paraId="3A9C2032" w14:textId="77777777" w:rsidR="00B449D0" w:rsidRDefault="00175344">
            <w:pPr>
              <w:pStyle w:val="AgencyNamewith2ptsspacing"/>
              <w:keepNext/>
            </w:pPr>
            <w:r>
              <w:t>Department of Education</w:t>
            </w:r>
          </w:p>
        </w:tc>
        <w:tc>
          <w:tcPr>
            <w:tcW w:w="1043" w:type="dxa"/>
            <w:tcBorders>
              <w:top w:val="single" w:sz="4" w:space="0" w:color="000000"/>
              <w:bottom w:val="single" w:sz="4" w:space="0" w:color="000000"/>
            </w:tcBorders>
          </w:tcPr>
          <w:p w14:paraId="128BF6A8" w14:textId="318C93D2" w:rsidR="00B449D0" w:rsidRDefault="00076D78">
            <w:pPr>
              <w:pStyle w:val="Measuretabledatarightaligneditalics"/>
              <w:keepNext/>
            </w:pPr>
            <w:r>
              <w:noBreakHyphen/>
            </w:r>
          </w:p>
        </w:tc>
        <w:tc>
          <w:tcPr>
            <w:tcW w:w="1043" w:type="dxa"/>
            <w:tcBorders>
              <w:top w:val="single" w:sz="4" w:space="0" w:color="000000"/>
              <w:bottom w:val="single" w:sz="4" w:space="0" w:color="000000"/>
            </w:tcBorders>
          </w:tcPr>
          <w:p w14:paraId="1E82525E" w14:textId="6C016FDD" w:rsidR="00B449D0" w:rsidRDefault="00076D78">
            <w:pPr>
              <w:pStyle w:val="Measuretabledatarightaligneditalics"/>
              <w:keepNext/>
            </w:pPr>
            <w:r>
              <w:noBreakHyphen/>
            </w:r>
          </w:p>
        </w:tc>
        <w:tc>
          <w:tcPr>
            <w:tcW w:w="1043" w:type="dxa"/>
            <w:tcBorders>
              <w:top w:val="single" w:sz="4" w:space="0" w:color="000000"/>
              <w:bottom w:val="single" w:sz="4" w:space="0" w:color="000000"/>
            </w:tcBorders>
          </w:tcPr>
          <w:p w14:paraId="089E90A1" w14:textId="77777777" w:rsidR="00B449D0" w:rsidRDefault="00175344">
            <w:pPr>
              <w:pStyle w:val="Measuretabledatarightaligneditalics"/>
              <w:keepNext/>
            </w:pPr>
            <w:r>
              <w:t>0.4</w:t>
            </w:r>
          </w:p>
        </w:tc>
        <w:tc>
          <w:tcPr>
            <w:tcW w:w="1043" w:type="dxa"/>
            <w:tcBorders>
              <w:top w:val="single" w:sz="4" w:space="0" w:color="000000"/>
              <w:bottom w:val="single" w:sz="4" w:space="0" w:color="000000"/>
            </w:tcBorders>
          </w:tcPr>
          <w:p w14:paraId="461F37F8" w14:textId="7E9BAED8" w:rsidR="00B449D0" w:rsidRDefault="00076D78">
            <w:pPr>
              <w:pStyle w:val="Measuretabledatarightaligneditalics"/>
              <w:keepNext/>
            </w:pPr>
            <w:r>
              <w:noBreakHyphen/>
            </w:r>
          </w:p>
        </w:tc>
        <w:tc>
          <w:tcPr>
            <w:tcW w:w="1043" w:type="dxa"/>
            <w:tcBorders>
              <w:top w:val="single" w:sz="4" w:space="0" w:color="000000"/>
              <w:bottom w:val="single" w:sz="4" w:space="0" w:color="000000"/>
            </w:tcBorders>
          </w:tcPr>
          <w:p w14:paraId="36B309E0" w14:textId="625564A3" w:rsidR="00B449D0" w:rsidRDefault="00076D78">
            <w:pPr>
              <w:pStyle w:val="Measuretabledatarightaligneditalics"/>
              <w:keepNext/>
            </w:pPr>
            <w:r>
              <w:noBreakHyphen/>
            </w:r>
          </w:p>
        </w:tc>
      </w:tr>
      <w:tr w:rsidR="00B449D0" w14:paraId="56151F6B" w14:textId="77777777">
        <w:trPr>
          <w:cantSplit/>
        </w:trPr>
        <w:tc>
          <w:tcPr>
            <w:tcW w:w="2494" w:type="dxa"/>
            <w:tcBorders>
              <w:top w:val="single" w:sz="4" w:space="0" w:color="000000"/>
              <w:bottom w:val="single" w:sz="4" w:space="0" w:color="000000"/>
            </w:tcBorders>
          </w:tcPr>
          <w:p w14:paraId="320E8D90" w14:textId="77777777" w:rsidR="00B449D0" w:rsidRDefault="00175344">
            <w:pPr>
              <w:pStyle w:val="AgencyNamewith2ptsspacing"/>
              <w:keepNext/>
            </w:pPr>
            <w:r>
              <w:t>Department of Employment and Workplace Relations</w:t>
            </w:r>
          </w:p>
        </w:tc>
        <w:tc>
          <w:tcPr>
            <w:tcW w:w="1043" w:type="dxa"/>
            <w:tcBorders>
              <w:top w:val="single" w:sz="4" w:space="0" w:color="000000"/>
              <w:bottom w:val="single" w:sz="4" w:space="0" w:color="000000"/>
            </w:tcBorders>
          </w:tcPr>
          <w:p w14:paraId="7359ABDF" w14:textId="5FFFABD8" w:rsidR="00B449D0" w:rsidRDefault="00076D78">
            <w:pPr>
              <w:pStyle w:val="Measuretabledatarightaligneditalics"/>
              <w:keepNext/>
            </w:pPr>
            <w:r>
              <w:noBreakHyphen/>
            </w:r>
          </w:p>
        </w:tc>
        <w:tc>
          <w:tcPr>
            <w:tcW w:w="1043" w:type="dxa"/>
            <w:tcBorders>
              <w:top w:val="single" w:sz="4" w:space="0" w:color="000000"/>
              <w:bottom w:val="single" w:sz="4" w:space="0" w:color="000000"/>
            </w:tcBorders>
          </w:tcPr>
          <w:p w14:paraId="52236CB1" w14:textId="6BBA7651" w:rsidR="00B449D0" w:rsidRDefault="00076D78">
            <w:pPr>
              <w:pStyle w:val="Measuretabledatarightaligneditalics"/>
              <w:keepNext/>
            </w:pPr>
            <w:r>
              <w:noBreakHyphen/>
            </w:r>
          </w:p>
        </w:tc>
        <w:tc>
          <w:tcPr>
            <w:tcW w:w="1043" w:type="dxa"/>
            <w:tcBorders>
              <w:top w:val="single" w:sz="4" w:space="0" w:color="000000"/>
              <w:bottom w:val="single" w:sz="4" w:space="0" w:color="000000"/>
            </w:tcBorders>
          </w:tcPr>
          <w:p w14:paraId="340DA4AF" w14:textId="760BDA18" w:rsidR="00B449D0" w:rsidRDefault="00076D78">
            <w:pPr>
              <w:pStyle w:val="Measuretabledatarightaligneditalics"/>
              <w:keepNext/>
            </w:pPr>
            <w:r>
              <w:noBreakHyphen/>
            </w:r>
          </w:p>
        </w:tc>
        <w:tc>
          <w:tcPr>
            <w:tcW w:w="1043" w:type="dxa"/>
            <w:tcBorders>
              <w:top w:val="single" w:sz="4" w:space="0" w:color="000000"/>
              <w:bottom w:val="single" w:sz="4" w:space="0" w:color="000000"/>
            </w:tcBorders>
          </w:tcPr>
          <w:p w14:paraId="0A739403" w14:textId="7D27048C" w:rsidR="00B449D0" w:rsidRDefault="00076D78">
            <w:pPr>
              <w:pStyle w:val="Measuretabledatarightaligneditalics"/>
              <w:keepNext/>
            </w:pPr>
            <w:r>
              <w:noBreakHyphen/>
            </w:r>
          </w:p>
        </w:tc>
        <w:tc>
          <w:tcPr>
            <w:tcW w:w="1043" w:type="dxa"/>
            <w:tcBorders>
              <w:top w:val="single" w:sz="4" w:space="0" w:color="000000"/>
              <w:bottom w:val="single" w:sz="4" w:space="0" w:color="000000"/>
            </w:tcBorders>
          </w:tcPr>
          <w:p w14:paraId="0F01E0AE" w14:textId="0BF55088" w:rsidR="00B449D0" w:rsidRDefault="00076D78">
            <w:pPr>
              <w:pStyle w:val="Measuretabledatarightaligneditalics"/>
              <w:keepNext/>
            </w:pPr>
            <w:r>
              <w:noBreakHyphen/>
            </w:r>
          </w:p>
        </w:tc>
      </w:tr>
      <w:tr w:rsidR="00B449D0" w14:paraId="6438F815" w14:textId="77777777">
        <w:trPr>
          <w:cantSplit/>
        </w:trPr>
        <w:tc>
          <w:tcPr>
            <w:tcW w:w="2494" w:type="dxa"/>
            <w:tcBorders>
              <w:top w:val="single" w:sz="4" w:space="0" w:color="000000"/>
              <w:bottom w:val="single" w:sz="4" w:space="0" w:color="000000"/>
            </w:tcBorders>
          </w:tcPr>
          <w:p w14:paraId="03632C28" w14:textId="77777777" w:rsidR="00B449D0" w:rsidRDefault="00175344">
            <w:pPr>
              <w:pStyle w:val="Totalrowitalicsleftaligned"/>
              <w:keepNext/>
            </w:pPr>
            <w:r>
              <w:t>Total – Payments</w:t>
            </w:r>
          </w:p>
        </w:tc>
        <w:tc>
          <w:tcPr>
            <w:tcW w:w="1043" w:type="dxa"/>
            <w:tcBorders>
              <w:top w:val="single" w:sz="4" w:space="0" w:color="000000"/>
              <w:bottom w:val="single" w:sz="4" w:space="0" w:color="000000"/>
            </w:tcBorders>
          </w:tcPr>
          <w:p w14:paraId="0EA1BDAC" w14:textId="0DD6EF49" w:rsidR="00B449D0" w:rsidRDefault="00076D78">
            <w:pPr>
              <w:pStyle w:val="Measuretabledatarightaligneditalics"/>
              <w:keepNext/>
            </w:pPr>
            <w:r>
              <w:noBreakHyphen/>
            </w:r>
          </w:p>
        </w:tc>
        <w:tc>
          <w:tcPr>
            <w:tcW w:w="1043" w:type="dxa"/>
            <w:tcBorders>
              <w:top w:val="single" w:sz="4" w:space="0" w:color="000000"/>
              <w:bottom w:val="single" w:sz="4" w:space="0" w:color="000000"/>
            </w:tcBorders>
          </w:tcPr>
          <w:p w14:paraId="6DF6195E" w14:textId="77777777" w:rsidR="00B449D0" w:rsidRDefault="00175344">
            <w:pPr>
              <w:pStyle w:val="Measuretabledatarightaligneditalics"/>
              <w:keepNext/>
            </w:pPr>
            <w:r>
              <w:t>3.2</w:t>
            </w:r>
          </w:p>
        </w:tc>
        <w:tc>
          <w:tcPr>
            <w:tcW w:w="1043" w:type="dxa"/>
            <w:tcBorders>
              <w:top w:val="single" w:sz="4" w:space="0" w:color="000000"/>
              <w:bottom w:val="single" w:sz="4" w:space="0" w:color="000000"/>
            </w:tcBorders>
          </w:tcPr>
          <w:p w14:paraId="15381998" w14:textId="77777777" w:rsidR="00B449D0" w:rsidRDefault="00175344">
            <w:pPr>
              <w:pStyle w:val="Measuretabledatarightaligneditalics"/>
              <w:keepNext/>
            </w:pPr>
            <w:r>
              <w:t>5.3</w:t>
            </w:r>
          </w:p>
        </w:tc>
        <w:tc>
          <w:tcPr>
            <w:tcW w:w="1043" w:type="dxa"/>
            <w:tcBorders>
              <w:top w:val="single" w:sz="4" w:space="0" w:color="000000"/>
              <w:bottom w:val="single" w:sz="4" w:space="0" w:color="000000"/>
            </w:tcBorders>
          </w:tcPr>
          <w:p w14:paraId="243AAC2B" w14:textId="77777777" w:rsidR="00B449D0" w:rsidRDefault="00175344">
            <w:pPr>
              <w:pStyle w:val="Measuretabledatarightaligneditalics"/>
              <w:keepNext/>
            </w:pPr>
            <w:r>
              <w:t>0.2</w:t>
            </w:r>
          </w:p>
        </w:tc>
        <w:tc>
          <w:tcPr>
            <w:tcW w:w="1043" w:type="dxa"/>
            <w:tcBorders>
              <w:top w:val="single" w:sz="4" w:space="0" w:color="000000"/>
              <w:bottom w:val="single" w:sz="4" w:space="0" w:color="000000"/>
            </w:tcBorders>
          </w:tcPr>
          <w:p w14:paraId="79EBC030" w14:textId="77777777" w:rsidR="00B449D0" w:rsidRDefault="00175344">
            <w:pPr>
              <w:pStyle w:val="Measuretabledatarightaligneditalics"/>
              <w:keepNext/>
            </w:pPr>
            <w:r>
              <w:t>0.1</w:t>
            </w:r>
          </w:p>
        </w:tc>
      </w:tr>
    </w:tbl>
    <w:p w14:paraId="78922733" w14:textId="77777777" w:rsidR="00B449D0" w:rsidRPr="00BA7366" w:rsidRDefault="00B449D0" w:rsidP="00380A42">
      <w:pPr>
        <w:pStyle w:val="SingleParagraph0"/>
      </w:pPr>
    </w:p>
    <w:p w14:paraId="19F6CD1C" w14:textId="6BC55242" w:rsidR="00B449D0" w:rsidRDefault="00175344">
      <w:pPr>
        <w:pStyle w:val="Normal2"/>
      </w:pPr>
      <w:r w:rsidRPr="7F762F0D">
        <w:rPr>
          <w:lang w:val="en-US"/>
        </w:rPr>
        <w:t>The Government will provide $919.9 million over four years from 2024–25 (and an additional $2.0</w:t>
      </w:r>
      <w:r w:rsidR="002A7001">
        <w:rPr>
          <w:lang w:val="en-US"/>
        </w:rPr>
        <w:t> billion</w:t>
      </w:r>
      <w:r w:rsidRPr="7F762F0D">
        <w:rPr>
          <w:lang w:val="en-US"/>
        </w:rPr>
        <w:t xml:space="preserve"> from 2028–29 to 2034–35) for initiatives to reduce the burden of student debts and ease cost‑of‑living pressures. Funding includes:</w:t>
      </w:r>
    </w:p>
    <w:p w14:paraId="2C276F22" w14:textId="77777777" w:rsidR="00B449D0" w:rsidRDefault="00175344">
      <w:pPr>
        <w:pStyle w:val="Bullet"/>
      </w:pPr>
      <w:r>
        <w:t>$737.7 million over four years from 2024–25 (and an additional $1.6 billion from 2028–29 to 2034–35) to provide a one‑off reduction of 20 per cent on the outstanding balance of debts for Higher Education Loan Program (HELP) loans and other income – contingent student loans. This is estimated to reduce existing student debt by around $16.0 billion, effective by 1 June 2025, subject to the passage of legislation</w:t>
      </w:r>
    </w:p>
    <w:p w14:paraId="7FDF3B85" w14:textId="77777777" w:rsidR="00B449D0" w:rsidRDefault="00175344">
      <w:pPr>
        <w:pStyle w:val="Bullet"/>
      </w:pPr>
      <w:r>
        <w:t>$182.2 million over four years from 2024–25 (and an additional $402.3 million from 2028–29 to 2034–35) to introduce a marginal repayment system for HELP and other income ‑contingent student loans, increase the minimum repayment threshold and index the repayments threshold to growth in average earnings, effective from 1 July 2025, subject to the passage of legislation.</w:t>
      </w:r>
    </w:p>
    <w:p w14:paraId="31FB6B28" w14:textId="77777777" w:rsidR="00B449D0" w:rsidRDefault="00175344">
      <w:pPr>
        <w:pStyle w:val="Normal2"/>
      </w:pPr>
      <w:r w:rsidRPr="7F762F0D">
        <w:rPr>
          <w:lang w:val="en-US"/>
        </w:rPr>
        <w:t>The cost of this measure will be partially met from within the existing resourcing of the Department of Education.</w:t>
      </w:r>
    </w:p>
    <w:p w14:paraId="55E365C6" w14:textId="77777777" w:rsidR="00B449D0" w:rsidRDefault="00B449D0">
      <w:pPr>
        <w:sectPr w:rsidR="00B449D0" w:rsidSect="00301E48">
          <w:headerReference w:type="even" r:id="rId18"/>
          <w:headerReference w:type="default" r:id="rId19"/>
          <w:footerReference w:type="even" r:id="rId20"/>
          <w:footerReference w:type="default" r:id="rId21"/>
          <w:headerReference w:type="first" r:id="rId22"/>
          <w:footerReference w:type="first" r:id="rId23"/>
          <w:pgSz w:w="11906" w:h="16838"/>
          <w:pgMar w:top="2835" w:right="2098" w:bottom="2466" w:left="2098" w:header="1814" w:footer="1814" w:gutter="0"/>
          <w:cols w:space="720"/>
          <w:docGrid w:linePitch="272"/>
        </w:sectPr>
      </w:pPr>
    </w:p>
    <w:p w14:paraId="0FC433DA" w14:textId="77777777" w:rsidR="00B449D0" w:rsidRDefault="00175344">
      <w:pPr>
        <w:pStyle w:val="PortfolioName"/>
      </w:pPr>
      <w:r>
        <w:lastRenderedPageBreak/>
        <w:t>Home Affairs</w:t>
      </w:r>
    </w:p>
    <w:p w14:paraId="7505DA47" w14:textId="77777777" w:rsidR="00B449D0" w:rsidRDefault="00175344">
      <w:pPr>
        <w:pStyle w:val="MeasureTitle"/>
      </w:pPr>
      <w:r>
        <w:t>Australia‑United Arab Emirates Comprehensive Economic Partnership Agreement</w:t>
      </w:r>
    </w:p>
    <w:p w14:paraId="7C93DCCF" w14:textId="77777777" w:rsidR="00B449D0" w:rsidRDefault="00175344">
      <w:pPr>
        <w:pStyle w:val="MeasureTableHeading"/>
      </w:pPr>
      <w:r>
        <w:t>Receipts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74BCA78A" w14:textId="77777777">
        <w:trPr>
          <w:cantSplit/>
        </w:trPr>
        <w:tc>
          <w:tcPr>
            <w:tcW w:w="2494" w:type="dxa"/>
            <w:tcBorders>
              <w:top w:val="single" w:sz="4" w:space="0" w:color="000000"/>
              <w:bottom w:val="single" w:sz="4" w:space="0" w:color="000000"/>
            </w:tcBorders>
          </w:tcPr>
          <w:p w14:paraId="4F8AFDB0" w14:textId="77777777" w:rsidR="00B449D0" w:rsidRDefault="00B449D0">
            <w:pPr>
              <w:pStyle w:val="MeasureTableYearHeadings"/>
              <w:keepNext/>
            </w:pPr>
          </w:p>
        </w:tc>
        <w:tc>
          <w:tcPr>
            <w:tcW w:w="1043" w:type="dxa"/>
            <w:tcBorders>
              <w:top w:val="single" w:sz="4" w:space="0" w:color="000000"/>
              <w:bottom w:val="single" w:sz="4" w:space="0" w:color="000000"/>
            </w:tcBorders>
          </w:tcPr>
          <w:p w14:paraId="223338F5" w14:textId="5557A1F8"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221CD7B0" w14:textId="3A55CF8F"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478B35C2" w14:textId="246CD3CA"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429A1D82" w14:textId="3E0570B7"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2D6AC963" w14:textId="3A8928A6" w:rsidR="00B449D0" w:rsidRDefault="00175344">
            <w:pPr>
              <w:pStyle w:val="MeasureTableYearHeadings"/>
              <w:keepNext/>
            </w:pPr>
            <w:r>
              <w:t>2027</w:t>
            </w:r>
            <w:r w:rsidR="00076D78">
              <w:noBreakHyphen/>
            </w:r>
            <w:r>
              <w:t>28</w:t>
            </w:r>
          </w:p>
        </w:tc>
      </w:tr>
      <w:tr w:rsidR="00B449D0" w14:paraId="5F0CB1B6" w14:textId="77777777">
        <w:trPr>
          <w:cantSplit/>
        </w:trPr>
        <w:tc>
          <w:tcPr>
            <w:tcW w:w="2494" w:type="dxa"/>
            <w:tcBorders>
              <w:top w:val="single" w:sz="4" w:space="0" w:color="000000"/>
              <w:bottom w:val="single" w:sz="4" w:space="0" w:color="000000"/>
            </w:tcBorders>
          </w:tcPr>
          <w:p w14:paraId="04744B67" w14:textId="77777777" w:rsidR="00B449D0" w:rsidRDefault="00175344">
            <w:pPr>
              <w:pStyle w:val="MeasureTableHeadingleftalignedwith2ptsspacing"/>
              <w:keepNext/>
            </w:pPr>
            <w:r>
              <w:t>Department of Home Affairs</w:t>
            </w:r>
          </w:p>
        </w:tc>
        <w:tc>
          <w:tcPr>
            <w:tcW w:w="1043" w:type="dxa"/>
            <w:tcBorders>
              <w:top w:val="single" w:sz="4" w:space="0" w:color="000000"/>
              <w:bottom w:val="single" w:sz="4" w:space="0" w:color="000000"/>
            </w:tcBorders>
          </w:tcPr>
          <w:p w14:paraId="7C7D620A" w14:textId="21BDD590"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1271F9A" w14:textId="207B30C2"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4F44E76" w14:textId="72D28022" w:rsidR="00B449D0" w:rsidRDefault="00076D78">
            <w:pPr>
              <w:pStyle w:val="MeasureTableDataRightAlignedwith2ptsspacing"/>
              <w:keepNext/>
            </w:pPr>
            <w:r>
              <w:noBreakHyphen/>
            </w:r>
            <w:r w:rsidR="00175344">
              <w:t>16.0</w:t>
            </w:r>
          </w:p>
        </w:tc>
        <w:tc>
          <w:tcPr>
            <w:tcW w:w="1043" w:type="dxa"/>
            <w:tcBorders>
              <w:top w:val="single" w:sz="4" w:space="0" w:color="000000"/>
              <w:bottom w:val="single" w:sz="4" w:space="0" w:color="000000"/>
            </w:tcBorders>
          </w:tcPr>
          <w:p w14:paraId="2B72AD8E" w14:textId="2EB82098" w:rsidR="00B449D0" w:rsidRDefault="00076D78">
            <w:pPr>
              <w:pStyle w:val="MeasureTableDataRightAlignedwith2ptsspacing"/>
              <w:keepNext/>
            </w:pPr>
            <w:r>
              <w:noBreakHyphen/>
            </w:r>
            <w:r w:rsidR="00175344">
              <w:t>18.0</w:t>
            </w:r>
          </w:p>
        </w:tc>
        <w:tc>
          <w:tcPr>
            <w:tcW w:w="1043" w:type="dxa"/>
            <w:tcBorders>
              <w:top w:val="single" w:sz="4" w:space="0" w:color="000000"/>
              <w:bottom w:val="single" w:sz="4" w:space="0" w:color="000000"/>
            </w:tcBorders>
          </w:tcPr>
          <w:p w14:paraId="6978EC43" w14:textId="3E349857" w:rsidR="00B449D0" w:rsidRDefault="00076D78">
            <w:pPr>
              <w:pStyle w:val="MeasureTableDataRightAlignedwith2ptsspacing"/>
              <w:keepNext/>
            </w:pPr>
            <w:r>
              <w:noBreakHyphen/>
            </w:r>
            <w:r w:rsidR="00175344">
              <w:t>20.0</w:t>
            </w:r>
          </w:p>
        </w:tc>
      </w:tr>
    </w:tbl>
    <w:p w14:paraId="050A7820" w14:textId="77777777" w:rsidR="00B449D0" w:rsidRPr="00380A42" w:rsidRDefault="00B449D0" w:rsidP="00380A42">
      <w:pPr>
        <w:pStyle w:val="SingleParagraph0"/>
      </w:pPr>
    </w:p>
    <w:p w14:paraId="7DAF1167" w14:textId="5BB578E0" w:rsidR="00B449D0" w:rsidRDefault="00175344">
      <w:pPr>
        <w:pStyle w:val="Normal2"/>
      </w:pPr>
      <w:r w:rsidRPr="7F762F0D">
        <w:rPr>
          <w:lang w:val="en-US"/>
        </w:rPr>
        <w:t xml:space="preserve">On 6 November 2024, the governments of Australia and the United Arab Emirates (UAE) signed the Australia‑UAE Comprehensive Economic Partnership Agreement (CEPA). </w:t>
      </w:r>
      <w:r w:rsidR="00B5363C">
        <w:rPr>
          <w:lang w:val="en-US"/>
        </w:rPr>
        <w:t>The Australia</w:t>
      </w:r>
      <w:r w:rsidR="00076D78">
        <w:rPr>
          <w:lang w:val="en-US"/>
        </w:rPr>
        <w:noBreakHyphen/>
      </w:r>
      <w:r w:rsidR="00B5363C">
        <w:rPr>
          <w:lang w:val="en-US"/>
        </w:rPr>
        <w:t>UAE CEPA</w:t>
      </w:r>
      <w:r w:rsidRPr="7F762F0D">
        <w:rPr>
          <w:lang w:val="en-US"/>
        </w:rPr>
        <w:t xml:space="preserve"> eliminates tariffs on over 99 per cent of Australian exports to the UAE, enabling an increase in Australian goods exports to the UAE once fully implemented, creating commercially significant benefits for Australian exporters.</w:t>
      </w:r>
    </w:p>
    <w:p w14:paraId="403B9BF2" w14:textId="77777777" w:rsidR="00B449D0" w:rsidRDefault="00175344">
      <w:pPr>
        <w:pStyle w:val="Normal2"/>
      </w:pPr>
      <w:r>
        <w:t>The Australia‑UAE CEPA:</w:t>
      </w:r>
    </w:p>
    <w:p w14:paraId="49DA72BF" w14:textId="6873D92C" w:rsidR="00B449D0" w:rsidRDefault="00175344">
      <w:pPr>
        <w:pStyle w:val="Bullet"/>
      </w:pPr>
      <w:r>
        <w:t>provides Australian exporters with greater market access to the UAE</w:t>
      </w:r>
    </w:p>
    <w:p w14:paraId="5C70EF70" w14:textId="3F5F4A7F" w:rsidR="00B449D0" w:rsidRDefault="00175344">
      <w:pPr>
        <w:pStyle w:val="Bullet"/>
      </w:pPr>
      <w:r>
        <w:t>facilitates two‑way investment, including in critical sectors of our economy</w:t>
      </w:r>
    </w:p>
    <w:p w14:paraId="739E84A9" w14:textId="45B9B7FD" w:rsidR="00B449D0" w:rsidRDefault="00175344">
      <w:pPr>
        <w:pStyle w:val="Bullet"/>
      </w:pPr>
      <w:r>
        <w:t>contains the first standalone chapter in an Australian trade agreement dedicated to First</w:t>
      </w:r>
      <w:r w:rsidR="00C51B5D">
        <w:t> </w:t>
      </w:r>
      <w:r>
        <w:t>Nations trade and investment economic cooperation</w:t>
      </w:r>
    </w:p>
    <w:p w14:paraId="23543398" w14:textId="77777777" w:rsidR="00B449D0" w:rsidRDefault="00175344">
      <w:pPr>
        <w:pStyle w:val="Bullet"/>
      </w:pPr>
      <w:r>
        <w:t>strengthens cooperation to address shared environmental challenges, including commitments to work together on transitioning to net zero.</w:t>
      </w:r>
    </w:p>
    <w:p w14:paraId="704C0CC8" w14:textId="0B8BFA3A" w:rsidR="00B449D0" w:rsidRDefault="00175344">
      <w:pPr>
        <w:pStyle w:val="Normal2"/>
      </w:pPr>
      <w:r>
        <w:t xml:space="preserve">This measure is estimated to decrease receipts by $54.0 million over </w:t>
      </w:r>
      <w:r w:rsidR="00471D8C">
        <w:t>five</w:t>
      </w:r>
      <w:r>
        <w:t> years from 2023–</w:t>
      </w:r>
      <w:r w:rsidR="00254342" w:rsidRPr="0022710B">
        <w:rPr>
          <w:w w:val="1"/>
        </w:rPr>
        <w:t> </w:t>
      </w:r>
      <w:r>
        <w:t>24.</w:t>
      </w:r>
    </w:p>
    <w:p w14:paraId="30934832" w14:textId="77777777" w:rsidR="00B449D0" w:rsidRDefault="00175344">
      <w:pPr>
        <w:pStyle w:val="Normal2"/>
      </w:pPr>
      <w:r>
        <w:t>Further information can be found in the media release of 6 November 2024 issued by the Minister for Trade and Tourism.</w:t>
      </w:r>
    </w:p>
    <w:p w14:paraId="1D45839A" w14:textId="77777777" w:rsidR="00B449D0" w:rsidRDefault="00175344">
      <w:pPr>
        <w:pStyle w:val="MeasureTitle"/>
      </w:pPr>
      <w:r>
        <w:t>Indexation of Citizenship Application Fees</w:t>
      </w:r>
    </w:p>
    <w:p w14:paraId="0ED671D5" w14:textId="77777777" w:rsidR="00B449D0" w:rsidRDefault="00175344">
      <w:pPr>
        <w:pStyle w:val="MeasureTableHeading"/>
      </w:pPr>
      <w:r>
        <w:t>Receipts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2B85335A" w14:textId="77777777">
        <w:trPr>
          <w:cantSplit/>
        </w:trPr>
        <w:tc>
          <w:tcPr>
            <w:tcW w:w="2494" w:type="dxa"/>
            <w:tcBorders>
              <w:top w:val="single" w:sz="4" w:space="0" w:color="000000"/>
              <w:bottom w:val="single" w:sz="4" w:space="0" w:color="000000"/>
            </w:tcBorders>
          </w:tcPr>
          <w:p w14:paraId="53D9A569" w14:textId="77777777" w:rsidR="00B449D0" w:rsidRDefault="00B449D0">
            <w:pPr>
              <w:pStyle w:val="MeasureTableYearHeadings"/>
              <w:keepNext/>
            </w:pPr>
          </w:p>
        </w:tc>
        <w:tc>
          <w:tcPr>
            <w:tcW w:w="1043" w:type="dxa"/>
            <w:tcBorders>
              <w:top w:val="single" w:sz="4" w:space="0" w:color="000000"/>
              <w:bottom w:val="single" w:sz="4" w:space="0" w:color="000000"/>
            </w:tcBorders>
          </w:tcPr>
          <w:p w14:paraId="5FAB8D5A" w14:textId="613DA549"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535A983A" w14:textId="7276C424"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558EBD70" w14:textId="75FD2DCC"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60065FC1" w14:textId="104168EB"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6F9468CB" w14:textId="3C51AD91" w:rsidR="00B449D0" w:rsidRDefault="00175344">
            <w:pPr>
              <w:pStyle w:val="MeasureTableYearHeadings"/>
              <w:keepNext/>
            </w:pPr>
            <w:r>
              <w:t>2027</w:t>
            </w:r>
            <w:r w:rsidR="00076D78">
              <w:noBreakHyphen/>
            </w:r>
            <w:r>
              <w:t>28</w:t>
            </w:r>
          </w:p>
        </w:tc>
      </w:tr>
      <w:tr w:rsidR="00B449D0" w14:paraId="0DFCC61D" w14:textId="77777777">
        <w:trPr>
          <w:cantSplit/>
        </w:trPr>
        <w:tc>
          <w:tcPr>
            <w:tcW w:w="2494" w:type="dxa"/>
            <w:tcBorders>
              <w:top w:val="single" w:sz="4" w:space="0" w:color="000000"/>
              <w:bottom w:val="single" w:sz="4" w:space="0" w:color="000000"/>
            </w:tcBorders>
          </w:tcPr>
          <w:p w14:paraId="300FC40F" w14:textId="77777777" w:rsidR="00B449D0" w:rsidRDefault="00175344">
            <w:pPr>
              <w:pStyle w:val="MeasureTableHeadingleftalignedwith2ptsspacing"/>
              <w:keepNext/>
            </w:pPr>
            <w:r>
              <w:t>Department of Home Affairs</w:t>
            </w:r>
          </w:p>
        </w:tc>
        <w:tc>
          <w:tcPr>
            <w:tcW w:w="1043" w:type="dxa"/>
            <w:tcBorders>
              <w:top w:val="single" w:sz="4" w:space="0" w:color="000000"/>
              <w:bottom w:val="single" w:sz="4" w:space="0" w:color="000000"/>
            </w:tcBorders>
          </w:tcPr>
          <w:p w14:paraId="67E14E69" w14:textId="53939D5C"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989FF9D" w14:textId="24387E5A"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E201256" w14:textId="7F8A96F8"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F6C4116" w14:textId="4DDBD4C4"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709CCA6" w14:textId="57DBCD74" w:rsidR="00B449D0" w:rsidRDefault="00076D78">
            <w:pPr>
              <w:pStyle w:val="MeasureTableDataRightAlignedwith2ptsspacing"/>
              <w:keepNext/>
            </w:pPr>
            <w:r>
              <w:noBreakHyphen/>
            </w:r>
          </w:p>
        </w:tc>
      </w:tr>
    </w:tbl>
    <w:p w14:paraId="3548F6CA" w14:textId="77777777" w:rsidR="00B449D0" w:rsidRPr="00BA7366" w:rsidRDefault="00B449D0" w:rsidP="00380A42">
      <w:pPr>
        <w:pStyle w:val="SingleParagraph0"/>
      </w:pPr>
    </w:p>
    <w:p w14:paraId="4B307C53" w14:textId="77777777" w:rsidR="00B449D0" w:rsidRDefault="00175344">
      <w:pPr>
        <w:pStyle w:val="Normal2"/>
      </w:pPr>
      <w:r>
        <w:t>The Government will index the Australian citizenship application fee on 1 July each year based on the Consumer Price Index to reflect the cost of processing applications. On 1 July 2023, indexation was applied to reflect the period since the last fee increase on 1 July 2021. The first ongoing increase occurred on 1 July 2024.</w:t>
      </w:r>
    </w:p>
    <w:p w14:paraId="1E1E46EF" w14:textId="77777777" w:rsidR="00B449D0" w:rsidRDefault="00175344">
      <w:pPr>
        <w:pStyle w:val="Normal2"/>
      </w:pPr>
      <w:r>
        <w:t>This measure is estimated to increase receipts by $73.3 million over five years from 2023–24. The increased revenue from this measure will support other Government policy priorities in the Department of Home Affairs.</w:t>
      </w:r>
    </w:p>
    <w:p w14:paraId="0A93FCF2" w14:textId="77777777" w:rsidR="00B449D0" w:rsidRDefault="00175344">
      <w:pPr>
        <w:pStyle w:val="Normal2"/>
      </w:pPr>
      <w:r w:rsidRPr="7F762F0D">
        <w:rPr>
          <w:lang w:val="en-US"/>
        </w:rPr>
        <w:t>The Government has already provisioned for this revenue increase.</w:t>
      </w:r>
    </w:p>
    <w:p w14:paraId="6A5B7347" w14:textId="77777777" w:rsidR="00B449D0" w:rsidRDefault="00175344">
      <w:pPr>
        <w:pStyle w:val="MeasureTitle"/>
      </w:pPr>
      <w:r>
        <w:lastRenderedPageBreak/>
        <w:t>Migration – uplift of Visa Application Charges</w:t>
      </w:r>
    </w:p>
    <w:p w14:paraId="516260CE" w14:textId="77777777" w:rsidR="00B449D0" w:rsidRDefault="00175344">
      <w:pPr>
        <w:pStyle w:val="MeasureTableHeading"/>
      </w:pPr>
      <w:r>
        <w:t>Receipts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5C398799" w14:textId="77777777">
        <w:trPr>
          <w:cantSplit/>
        </w:trPr>
        <w:tc>
          <w:tcPr>
            <w:tcW w:w="2494" w:type="dxa"/>
            <w:tcBorders>
              <w:top w:val="single" w:sz="4" w:space="0" w:color="000000"/>
              <w:bottom w:val="single" w:sz="4" w:space="0" w:color="000000"/>
            </w:tcBorders>
          </w:tcPr>
          <w:p w14:paraId="46289BE6" w14:textId="77777777" w:rsidR="00B449D0" w:rsidRDefault="00B449D0">
            <w:pPr>
              <w:pStyle w:val="MeasureTableYearHeadings"/>
              <w:keepNext/>
            </w:pPr>
          </w:p>
        </w:tc>
        <w:tc>
          <w:tcPr>
            <w:tcW w:w="1043" w:type="dxa"/>
            <w:tcBorders>
              <w:top w:val="single" w:sz="4" w:space="0" w:color="000000"/>
              <w:bottom w:val="single" w:sz="4" w:space="0" w:color="000000"/>
            </w:tcBorders>
          </w:tcPr>
          <w:p w14:paraId="1EF190F6" w14:textId="2863C145"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3452EF01" w14:textId="3AF97814"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6CA7D7B2" w14:textId="4E5A60A7"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7E0ABBCD" w14:textId="73F55889"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7CD3964A" w14:textId="440A5BF7" w:rsidR="00B449D0" w:rsidRDefault="00175344">
            <w:pPr>
              <w:pStyle w:val="MeasureTableYearHeadings"/>
              <w:keepNext/>
            </w:pPr>
            <w:r>
              <w:t>2027</w:t>
            </w:r>
            <w:r w:rsidR="00076D78">
              <w:noBreakHyphen/>
            </w:r>
            <w:r>
              <w:t>28</w:t>
            </w:r>
          </w:p>
        </w:tc>
      </w:tr>
      <w:tr w:rsidR="00B449D0" w14:paraId="74BA5C34" w14:textId="77777777">
        <w:trPr>
          <w:cantSplit/>
        </w:trPr>
        <w:tc>
          <w:tcPr>
            <w:tcW w:w="2494" w:type="dxa"/>
            <w:tcBorders>
              <w:top w:val="single" w:sz="4" w:space="0" w:color="000000"/>
              <w:bottom w:val="single" w:sz="4" w:space="0" w:color="000000"/>
            </w:tcBorders>
          </w:tcPr>
          <w:p w14:paraId="2613D605" w14:textId="77777777" w:rsidR="00B449D0" w:rsidRDefault="00175344">
            <w:pPr>
              <w:pStyle w:val="MeasureTableHeadingleftalignedwith2ptsspacing"/>
              <w:keepNext/>
            </w:pPr>
            <w:r>
              <w:t>Australian Taxation Office</w:t>
            </w:r>
          </w:p>
        </w:tc>
        <w:tc>
          <w:tcPr>
            <w:tcW w:w="1043" w:type="dxa"/>
            <w:tcBorders>
              <w:top w:val="single" w:sz="4" w:space="0" w:color="000000"/>
              <w:bottom w:val="single" w:sz="4" w:space="0" w:color="000000"/>
            </w:tcBorders>
          </w:tcPr>
          <w:p w14:paraId="620644B2" w14:textId="59CE89AA"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5865A6D" w14:textId="6248225C"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E47C172" w14:textId="32006185"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1D4EE96" w14:textId="3D15FB62"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0D19E80" w14:textId="00E8AE83" w:rsidR="00B449D0" w:rsidRDefault="00076D78">
            <w:pPr>
              <w:pStyle w:val="MeasureTableDataRightAlignedwith2ptsspacing"/>
              <w:keepNext/>
            </w:pPr>
            <w:r>
              <w:noBreakHyphen/>
            </w:r>
          </w:p>
        </w:tc>
      </w:tr>
      <w:tr w:rsidR="00B449D0" w14:paraId="1AF69C3B" w14:textId="77777777">
        <w:trPr>
          <w:cantSplit/>
        </w:trPr>
        <w:tc>
          <w:tcPr>
            <w:tcW w:w="2494" w:type="dxa"/>
            <w:tcBorders>
              <w:top w:val="single" w:sz="4" w:space="0" w:color="000000"/>
              <w:bottom w:val="single" w:sz="4" w:space="0" w:color="000000"/>
            </w:tcBorders>
          </w:tcPr>
          <w:p w14:paraId="2C703093" w14:textId="77777777" w:rsidR="00B449D0" w:rsidRDefault="00175344">
            <w:pPr>
              <w:pStyle w:val="MeasureTableHeadingleftalignedwith2ptsspacing"/>
              <w:keepNext/>
            </w:pPr>
            <w:r>
              <w:t>Department of Home Affairs</w:t>
            </w:r>
          </w:p>
        </w:tc>
        <w:tc>
          <w:tcPr>
            <w:tcW w:w="1043" w:type="dxa"/>
            <w:tcBorders>
              <w:top w:val="single" w:sz="4" w:space="0" w:color="000000"/>
              <w:bottom w:val="single" w:sz="4" w:space="0" w:color="000000"/>
            </w:tcBorders>
          </w:tcPr>
          <w:p w14:paraId="670450A4" w14:textId="10B5DDD5"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B968A3B" w14:textId="5DF8E32E"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941CD6E" w14:textId="46C21A07"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C72C030" w14:textId="43CA17E8"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943D95D" w14:textId="240B59D4" w:rsidR="00B449D0" w:rsidRDefault="00076D78">
            <w:pPr>
              <w:pStyle w:val="MeasureTableDataRightAlignedwith2ptsspacing"/>
              <w:keepNext/>
            </w:pPr>
            <w:r>
              <w:noBreakHyphen/>
            </w:r>
          </w:p>
        </w:tc>
      </w:tr>
      <w:tr w:rsidR="00B449D0" w14:paraId="2DAD213E" w14:textId="77777777">
        <w:trPr>
          <w:cantSplit/>
        </w:trPr>
        <w:tc>
          <w:tcPr>
            <w:tcW w:w="2494" w:type="dxa"/>
            <w:tcBorders>
              <w:top w:val="single" w:sz="4" w:space="0" w:color="000000"/>
              <w:bottom w:val="single" w:sz="4" w:space="0" w:color="000000"/>
            </w:tcBorders>
          </w:tcPr>
          <w:p w14:paraId="01D435F0" w14:textId="77777777" w:rsidR="00B449D0" w:rsidRDefault="00175344">
            <w:pPr>
              <w:pStyle w:val="Totalrowleftaligned"/>
              <w:keepNext/>
            </w:pPr>
            <w:r>
              <w:t>Total – Receipts</w:t>
            </w:r>
          </w:p>
        </w:tc>
        <w:tc>
          <w:tcPr>
            <w:tcW w:w="1043" w:type="dxa"/>
            <w:tcBorders>
              <w:top w:val="single" w:sz="4" w:space="0" w:color="000000"/>
              <w:bottom w:val="single" w:sz="4" w:space="0" w:color="000000"/>
            </w:tcBorders>
          </w:tcPr>
          <w:p w14:paraId="4525FBFF" w14:textId="2E2A2D98"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5D414E3D" w14:textId="34FAF19B"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2D635A85" w14:textId="7E36BF2E"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57946A6B" w14:textId="69C23371"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73C37D5C" w14:textId="5BF91423" w:rsidR="00B449D0" w:rsidRDefault="00076D78">
            <w:pPr>
              <w:pStyle w:val="Totaldatarowrightaligned"/>
              <w:keepNext/>
            </w:pPr>
            <w:r>
              <w:noBreakHyphen/>
            </w:r>
          </w:p>
        </w:tc>
      </w:tr>
      <w:tr w:rsidR="00B449D0" w14:paraId="70A4BE86" w14:textId="77777777">
        <w:trPr>
          <w:cantSplit/>
        </w:trPr>
        <w:tc>
          <w:tcPr>
            <w:tcW w:w="2494" w:type="dxa"/>
          </w:tcPr>
          <w:p w14:paraId="65E113E0" w14:textId="77777777" w:rsidR="00B449D0" w:rsidRDefault="00175344">
            <w:pPr>
              <w:pStyle w:val="AgencyName"/>
              <w:keepNext/>
            </w:pPr>
            <w:r>
              <w:t>Related payments ($m)</w:t>
            </w:r>
          </w:p>
        </w:tc>
        <w:tc>
          <w:tcPr>
            <w:tcW w:w="1043" w:type="dxa"/>
          </w:tcPr>
          <w:p w14:paraId="06C455BD" w14:textId="77777777" w:rsidR="00B449D0" w:rsidRDefault="00B449D0">
            <w:pPr>
              <w:pStyle w:val="AgencyName"/>
              <w:keepNext/>
            </w:pPr>
          </w:p>
        </w:tc>
        <w:tc>
          <w:tcPr>
            <w:tcW w:w="1043" w:type="dxa"/>
          </w:tcPr>
          <w:p w14:paraId="3519F393" w14:textId="77777777" w:rsidR="00B449D0" w:rsidRDefault="00B449D0">
            <w:pPr>
              <w:pStyle w:val="AgencyName"/>
              <w:keepNext/>
            </w:pPr>
          </w:p>
        </w:tc>
        <w:tc>
          <w:tcPr>
            <w:tcW w:w="1043" w:type="dxa"/>
          </w:tcPr>
          <w:p w14:paraId="3FA225EB" w14:textId="77777777" w:rsidR="00B449D0" w:rsidRDefault="00B449D0">
            <w:pPr>
              <w:pStyle w:val="AgencyName"/>
              <w:keepNext/>
            </w:pPr>
          </w:p>
        </w:tc>
        <w:tc>
          <w:tcPr>
            <w:tcW w:w="1043" w:type="dxa"/>
          </w:tcPr>
          <w:p w14:paraId="4A958834" w14:textId="77777777" w:rsidR="00B449D0" w:rsidRDefault="00B449D0">
            <w:pPr>
              <w:pStyle w:val="AgencyName"/>
              <w:keepNext/>
            </w:pPr>
          </w:p>
        </w:tc>
        <w:tc>
          <w:tcPr>
            <w:tcW w:w="1043" w:type="dxa"/>
          </w:tcPr>
          <w:p w14:paraId="659718F1" w14:textId="77777777" w:rsidR="00B449D0" w:rsidRDefault="00B449D0">
            <w:pPr>
              <w:pStyle w:val="AgencyName"/>
              <w:keepNext/>
            </w:pPr>
          </w:p>
        </w:tc>
      </w:tr>
      <w:tr w:rsidR="00B449D0" w14:paraId="6091B671" w14:textId="77777777">
        <w:tc>
          <w:tcPr>
            <w:tcW w:w="2494" w:type="dxa"/>
          </w:tcPr>
          <w:p w14:paraId="7B2E06DF" w14:textId="77777777" w:rsidR="00B449D0" w:rsidRDefault="00175344">
            <w:pPr>
              <w:pStyle w:val="AgencyNamewith2ptsspacing"/>
              <w:keepNext/>
            </w:pPr>
            <w:r>
              <w:t>Department of the Treasury</w:t>
            </w:r>
          </w:p>
        </w:tc>
        <w:tc>
          <w:tcPr>
            <w:tcW w:w="1043" w:type="dxa"/>
          </w:tcPr>
          <w:p w14:paraId="2FCAA44E" w14:textId="2A84B820" w:rsidR="00B449D0" w:rsidRDefault="00076D78">
            <w:pPr>
              <w:pStyle w:val="Measuretabledatarightaligneditalics"/>
              <w:keepNext/>
            </w:pPr>
            <w:r>
              <w:noBreakHyphen/>
            </w:r>
          </w:p>
        </w:tc>
        <w:tc>
          <w:tcPr>
            <w:tcW w:w="1043" w:type="dxa"/>
          </w:tcPr>
          <w:p w14:paraId="0C0E1197" w14:textId="32323103" w:rsidR="00B449D0" w:rsidRDefault="00076D78">
            <w:pPr>
              <w:pStyle w:val="Measuretabledatarightaligneditalics"/>
              <w:keepNext/>
            </w:pPr>
            <w:r>
              <w:noBreakHyphen/>
            </w:r>
          </w:p>
        </w:tc>
        <w:tc>
          <w:tcPr>
            <w:tcW w:w="1043" w:type="dxa"/>
          </w:tcPr>
          <w:p w14:paraId="12C58BC0" w14:textId="6BF17304" w:rsidR="00B449D0" w:rsidRDefault="00076D78">
            <w:pPr>
              <w:pStyle w:val="Measuretabledatarightaligneditalics"/>
              <w:keepNext/>
            </w:pPr>
            <w:r>
              <w:noBreakHyphen/>
            </w:r>
          </w:p>
        </w:tc>
        <w:tc>
          <w:tcPr>
            <w:tcW w:w="1043" w:type="dxa"/>
          </w:tcPr>
          <w:p w14:paraId="3F8EF993" w14:textId="3E4A9833" w:rsidR="00B449D0" w:rsidRDefault="00076D78">
            <w:pPr>
              <w:pStyle w:val="Measuretabledatarightaligneditalics"/>
              <w:keepNext/>
            </w:pPr>
            <w:r>
              <w:noBreakHyphen/>
            </w:r>
          </w:p>
        </w:tc>
        <w:tc>
          <w:tcPr>
            <w:tcW w:w="1043" w:type="dxa"/>
          </w:tcPr>
          <w:p w14:paraId="6B095869" w14:textId="5E43AEBE" w:rsidR="00B449D0" w:rsidRDefault="00076D78">
            <w:pPr>
              <w:pStyle w:val="Measuretabledatarightaligneditalics"/>
              <w:keepNext/>
            </w:pPr>
            <w:r>
              <w:noBreakHyphen/>
            </w:r>
          </w:p>
        </w:tc>
      </w:tr>
      <w:tr w:rsidR="00B449D0" w14:paraId="5AD719B5" w14:textId="77777777">
        <w:trPr>
          <w:cantSplit/>
        </w:trPr>
        <w:tc>
          <w:tcPr>
            <w:tcW w:w="2494" w:type="dxa"/>
            <w:tcBorders>
              <w:top w:val="single" w:sz="4" w:space="0" w:color="000000"/>
              <w:bottom w:val="single" w:sz="4" w:space="0" w:color="000000"/>
            </w:tcBorders>
          </w:tcPr>
          <w:p w14:paraId="51110875" w14:textId="77777777" w:rsidR="00B449D0" w:rsidRDefault="00175344">
            <w:pPr>
              <w:pStyle w:val="AgencyNamewith2ptsspacing"/>
              <w:keepNext/>
            </w:pPr>
            <w:r>
              <w:t>Department of Home Affairs</w:t>
            </w:r>
          </w:p>
        </w:tc>
        <w:tc>
          <w:tcPr>
            <w:tcW w:w="1043" w:type="dxa"/>
            <w:tcBorders>
              <w:top w:val="single" w:sz="4" w:space="0" w:color="000000"/>
              <w:bottom w:val="single" w:sz="4" w:space="0" w:color="000000"/>
            </w:tcBorders>
          </w:tcPr>
          <w:p w14:paraId="157E5091" w14:textId="6A439D71" w:rsidR="00B449D0" w:rsidRDefault="00076D78">
            <w:pPr>
              <w:pStyle w:val="Measuretabledatarightaligneditalics"/>
              <w:keepNext/>
            </w:pPr>
            <w:r>
              <w:noBreakHyphen/>
            </w:r>
          </w:p>
        </w:tc>
        <w:tc>
          <w:tcPr>
            <w:tcW w:w="1043" w:type="dxa"/>
            <w:tcBorders>
              <w:top w:val="single" w:sz="4" w:space="0" w:color="000000"/>
              <w:bottom w:val="single" w:sz="4" w:space="0" w:color="000000"/>
            </w:tcBorders>
          </w:tcPr>
          <w:p w14:paraId="29E578E9" w14:textId="633EC97B" w:rsidR="00B449D0" w:rsidRDefault="00076D78">
            <w:pPr>
              <w:pStyle w:val="Measuretabledatarightaligneditalics"/>
              <w:keepNext/>
            </w:pPr>
            <w:r>
              <w:noBreakHyphen/>
            </w:r>
          </w:p>
        </w:tc>
        <w:tc>
          <w:tcPr>
            <w:tcW w:w="1043" w:type="dxa"/>
            <w:tcBorders>
              <w:top w:val="single" w:sz="4" w:space="0" w:color="000000"/>
              <w:bottom w:val="single" w:sz="4" w:space="0" w:color="000000"/>
            </w:tcBorders>
          </w:tcPr>
          <w:p w14:paraId="635C38E4" w14:textId="5C8D896C" w:rsidR="00B449D0" w:rsidRDefault="00076D78">
            <w:pPr>
              <w:pStyle w:val="Measuretabledatarightaligneditalics"/>
              <w:keepNext/>
            </w:pPr>
            <w:r>
              <w:noBreakHyphen/>
            </w:r>
          </w:p>
        </w:tc>
        <w:tc>
          <w:tcPr>
            <w:tcW w:w="1043" w:type="dxa"/>
            <w:tcBorders>
              <w:top w:val="single" w:sz="4" w:space="0" w:color="000000"/>
              <w:bottom w:val="single" w:sz="4" w:space="0" w:color="000000"/>
            </w:tcBorders>
          </w:tcPr>
          <w:p w14:paraId="63FF7026" w14:textId="2556F3A5" w:rsidR="00B449D0" w:rsidRDefault="00076D78">
            <w:pPr>
              <w:pStyle w:val="Measuretabledatarightaligneditalics"/>
              <w:keepNext/>
            </w:pPr>
            <w:r>
              <w:noBreakHyphen/>
            </w:r>
          </w:p>
        </w:tc>
        <w:tc>
          <w:tcPr>
            <w:tcW w:w="1043" w:type="dxa"/>
            <w:tcBorders>
              <w:top w:val="single" w:sz="4" w:space="0" w:color="000000"/>
              <w:bottom w:val="single" w:sz="4" w:space="0" w:color="000000"/>
            </w:tcBorders>
          </w:tcPr>
          <w:p w14:paraId="597E3C2B" w14:textId="56F96E3F" w:rsidR="00B449D0" w:rsidRDefault="00076D78">
            <w:pPr>
              <w:pStyle w:val="Measuretabledatarightaligneditalics"/>
              <w:keepNext/>
            </w:pPr>
            <w:r>
              <w:noBreakHyphen/>
            </w:r>
          </w:p>
        </w:tc>
      </w:tr>
      <w:tr w:rsidR="00B449D0" w14:paraId="1AA8C7C8" w14:textId="77777777">
        <w:trPr>
          <w:cantSplit/>
        </w:trPr>
        <w:tc>
          <w:tcPr>
            <w:tcW w:w="2494" w:type="dxa"/>
            <w:tcBorders>
              <w:top w:val="single" w:sz="4" w:space="0" w:color="000000"/>
              <w:bottom w:val="single" w:sz="4" w:space="0" w:color="000000"/>
            </w:tcBorders>
          </w:tcPr>
          <w:p w14:paraId="090217AA" w14:textId="77777777" w:rsidR="00B449D0" w:rsidRDefault="00175344">
            <w:pPr>
              <w:pStyle w:val="Totalrowitalicsleftaligned"/>
              <w:keepNext/>
            </w:pPr>
            <w:r>
              <w:t>Total – Payments</w:t>
            </w:r>
          </w:p>
        </w:tc>
        <w:tc>
          <w:tcPr>
            <w:tcW w:w="1043" w:type="dxa"/>
            <w:tcBorders>
              <w:top w:val="single" w:sz="4" w:space="0" w:color="000000"/>
              <w:bottom w:val="single" w:sz="4" w:space="0" w:color="000000"/>
            </w:tcBorders>
          </w:tcPr>
          <w:p w14:paraId="30527F3E" w14:textId="45E5D33D" w:rsidR="00B449D0" w:rsidRDefault="00076D78">
            <w:pPr>
              <w:pStyle w:val="Measuretabledatarightaligneditalics"/>
              <w:keepNext/>
            </w:pPr>
            <w:r>
              <w:noBreakHyphen/>
            </w:r>
          </w:p>
        </w:tc>
        <w:tc>
          <w:tcPr>
            <w:tcW w:w="1043" w:type="dxa"/>
            <w:tcBorders>
              <w:top w:val="single" w:sz="4" w:space="0" w:color="000000"/>
              <w:bottom w:val="single" w:sz="4" w:space="0" w:color="000000"/>
            </w:tcBorders>
          </w:tcPr>
          <w:p w14:paraId="67E846FC" w14:textId="31597E47" w:rsidR="00B449D0" w:rsidRDefault="00076D78">
            <w:pPr>
              <w:pStyle w:val="Measuretabledatarightaligneditalics"/>
              <w:keepNext/>
            </w:pPr>
            <w:r>
              <w:noBreakHyphen/>
            </w:r>
          </w:p>
        </w:tc>
        <w:tc>
          <w:tcPr>
            <w:tcW w:w="1043" w:type="dxa"/>
            <w:tcBorders>
              <w:top w:val="single" w:sz="4" w:space="0" w:color="000000"/>
              <w:bottom w:val="single" w:sz="4" w:space="0" w:color="000000"/>
            </w:tcBorders>
          </w:tcPr>
          <w:p w14:paraId="54F82D1A" w14:textId="3EB41B7F" w:rsidR="00B449D0" w:rsidRDefault="00076D78">
            <w:pPr>
              <w:pStyle w:val="Measuretabledatarightaligneditalics"/>
              <w:keepNext/>
            </w:pPr>
            <w:r>
              <w:noBreakHyphen/>
            </w:r>
          </w:p>
        </w:tc>
        <w:tc>
          <w:tcPr>
            <w:tcW w:w="1043" w:type="dxa"/>
            <w:tcBorders>
              <w:top w:val="single" w:sz="4" w:space="0" w:color="000000"/>
              <w:bottom w:val="single" w:sz="4" w:space="0" w:color="000000"/>
            </w:tcBorders>
          </w:tcPr>
          <w:p w14:paraId="4FE72C70" w14:textId="06B698D4" w:rsidR="00B449D0" w:rsidRDefault="00076D78">
            <w:pPr>
              <w:pStyle w:val="Measuretabledatarightaligneditalics"/>
              <w:keepNext/>
            </w:pPr>
            <w:r>
              <w:noBreakHyphen/>
            </w:r>
          </w:p>
        </w:tc>
        <w:tc>
          <w:tcPr>
            <w:tcW w:w="1043" w:type="dxa"/>
            <w:tcBorders>
              <w:top w:val="single" w:sz="4" w:space="0" w:color="000000"/>
              <w:bottom w:val="single" w:sz="4" w:space="0" w:color="000000"/>
            </w:tcBorders>
          </w:tcPr>
          <w:p w14:paraId="72A0B766" w14:textId="0EC6ADCB" w:rsidR="00B449D0" w:rsidRDefault="00076D78">
            <w:pPr>
              <w:pStyle w:val="Measuretabledatarightaligneditalics"/>
              <w:keepNext/>
            </w:pPr>
            <w:r>
              <w:noBreakHyphen/>
            </w:r>
          </w:p>
        </w:tc>
      </w:tr>
    </w:tbl>
    <w:p w14:paraId="580503B8" w14:textId="77777777" w:rsidR="00B449D0" w:rsidRPr="00BA7366" w:rsidRDefault="00B449D0" w:rsidP="00380A42">
      <w:pPr>
        <w:pStyle w:val="SingleParagraph0"/>
      </w:pPr>
    </w:p>
    <w:p w14:paraId="536C8F4C" w14:textId="093011B9" w:rsidR="00B449D0" w:rsidRDefault="00175344">
      <w:pPr>
        <w:pStyle w:val="Normal2"/>
      </w:pPr>
      <w:r>
        <w:t xml:space="preserve">The Government increased the Visa Application Charge (VAC) for </w:t>
      </w:r>
      <w:r w:rsidR="001039CC">
        <w:t>s</w:t>
      </w:r>
      <w:r>
        <w:t xml:space="preserve">tudent and </w:t>
      </w:r>
      <w:r w:rsidR="001039CC">
        <w:t>s</w:t>
      </w:r>
      <w:r>
        <w:t xml:space="preserve">tudent </w:t>
      </w:r>
      <w:r w:rsidR="001039CC">
        <w:t>g</w:t>
      </w:r>
      <w:r>
        <w:t>uardian primary visa applicants to $1,600, which took effect on 1 July 2024.</w:t>
      </w:r>
    </w:p>
    <w:p w14:paraId="06C22E34" w14:textId="77777777" w:rsidR="00B449D0" w:rsidRDefault="00175344">
      <w:pPr>
        <w:pStyle w:val="Normal2"/>
      </w:pPr>
      <w:r>
        <w:t>Student visa applicants from the Pacific and Timor‑Leste are eligible for a partial VAC refund until a separate VAC for Pacific and Timor‑Leste students is introduced in 2025.</w:t>
      </w:r>
    </w:p>
    <w:p w14:paraId="62734154" w14:textId="401BF5D9" w:rsidR="00B449D0" w:rsidRDefault="00175344">
      <w:pPr>
        <w:pStyle w:val="Normal2"/>
      </w:pPr>
      <w:r>
        <w:t xml:space="preserve">The Government has provided $5.3 million over </w:t>
      </w:r>
      <w:r w:rsidR="00311909">
        <w:t>four </w:t>
      </w:r>
      <w:r>
        <w:t>years from 2024–25 to the Department</w:t>
      </w:r>
      <w:r w:rsidR="00C51B5D">
        <w:t> </w:t>
      </w:r>
      <w:r>
        <w:t>of Home Affairs to implement associated system changes.</w:t>
      </w:r>
    </w:p>
    <w:p w14:paraId="7A9E1572" w14:textId="7CC5EB81" w:rsidR="00B449D0" w:rsidRDefault="00175344">
      <w:pPr>
        <w:pStyle w:val="Normal2"/>
      </w:pPr>
      <w:r>
        <w:t xml:space="preserve">The Government will also increase the VAC for </w:t>
      </w:r>
      <w:r w:rsidR="00EA7A92">
        <w:t>t</w:t>
      </w:r>
      <w:r>
        <w:t xml:space="preserve">emporary </w:t>
      </w:r>
      <w:r w:rsidR="00EA7A92">
        <w:t>g</w:t>
      </w:r>
      <w:r>
        <w:t>raduate visa applicants by 14.75 per cent from 1 February 2025.</w:t>
      </w:r>
    </w:p>
    <w:p w14:paraId="1DA99FC4" w14:textId="77777777" w:rsidR="00B449D0" w:rsidRDefault="00175344">
      <w:pPr>
        <w:pStyle w:val="Normal2"/>
      </w:pPr>
      <w:r>
        <w:t>The measure will help fund costs associated with major reforms in the Education, Skills and Training and Home Affairs portfolios.</w:t>
      </w:r>
    </w:p>
    <w:p w14:paraId="0F62E4AB" w14:textId="79662B83" w:rsidR="00B449D0" w:rsidRDefault="00175344">
      <w:pPr>
        <w:pStyle w:val="Normal2"/>
      </w:pPr>
      <w:r w:rsidRPr="7F762F0D">
        <w:rPr>
          <w:lang w:val="en-US"/>
        </w:rPr>
        <w:t>This measure is estimated to increase receipts by $1.7</w:t>
      </w:r>
      <w:r w:rsidR="002A7001">
        <w:rPr>
          <w:lang w:val="en-US"/>
        </w:rPr>
        <w:t> billion</w:t>
      </w:r>
      <w:r w:rsidRPr="7F762F0D">
        <w:rPr>
          <w:lang w:val="en-US"/>
        </w:rPr>
        <w:t xml:space="preserve"> over </w:t>
      </w:r>
      <w:r w:rsidR="00CD389B">
        <w:rPr>
          <w:lang w:val="en-US"/>
        </w:rPr>
        <w:t>five</w:t>
      </w:r>
      <w:r w:rsidRPr="7F762F0D">
        <w:rPr>
          <w:lang w:val="en-US"/>
        </w:rPr>
        <w:t> years from 2023–24.</w:t>
      </w:r>
    </w:p>
    <w:p w14:paraId="5FEB2C04" w14:textId="66CF2982" w:rsidR="00B449D0" w:rsidRDefault="00B9613F">
      <w:pPr>
        <w:pStyle w:val="Normal2"/>
      </w:pPr>
      <w:r>
        <w:t>The Government has already provisioned for the</w:t>
      </w:r>
      <w:r w:rsidR="00175344">
        <w:t xml:space="preserve"> </w:t>
      </w:r>
      <w:r w:rsidR="00C64578">
        <w:t xml:space="preserve">revenue increase from the </w:t>
      </w:r>
      <w:r w:rsidR="00175344">
        <w:t>VAC uplift.</w:t>
      </w:r>
    </w:p>
    <w:p w14:paraId="5AC299CD" w14:textId="77777777" w:rsidR="00B449D0" w:rsidRDefault="00B449D0">
      <w:pPr>
        <w:sectPr w:rsidR="00B449D0" w:rsidSect="00301E48">
          <w:headerReference w:type="even" r:id="rId24"/>
          <w:headerReference w:type="default" r:id="rId25"/>
          <w:footerReference w:type="even" r:id="rId26"/>
          <w:footerReference w:type="default" r:id="rId27"/>
          <w:headerReference w:type="first" r:id="rId28"/>
          <w:footerReference w:type="first" r:id="rId29"/>
          <w:pgSz w:w="11906" w:h="16838"/>
          <w:pgMar w:top="2835" w:right="2098" w:bottom="2466" w:left="2098" w:header="1814" w:footer="1814" w:gutter="0"/>
          <w:cols w:space="720"/>
          <w:docGrid w:linePitch="272"/>
        </w:sectPr>
      </w:pPr>
    </w:p>
    <w:p w14:paraId="76932E21" w14:textId="77777777" w:rsidR="00B449D0" w:rsidRDefault="00175344">
      <w:pPr>
        <w:pStyle w:val="PortfolioName"/>
      </w:pPr>
      <w:r>
        <w:lastRenderedPageBreak/>
        <w:t>Treasury</w:t>
      </w:r>
    </w:p>
    <w:p w14:paraId="075D8DF8" w14:textId="77777777" w:rsidR="00B449D0" w:rsidRDefault="00175344">
      <w:pPr>
        <w:pStyle w:val="MeasureTitle"/>
      </w:pPr>
      <w:r w:rsidRPr="7F762F0D">
        <w:rPr>
          <w:lang w:val="en-US"/>
        </w:rPr>
        <w:t>Combatting Illegal Phoenixing – extending and enhancing the Phoenix Compliance Program</w:t>
      </w:r>
    </w:p>
    <w:p w14:paraId="2B1C1ED0" w14:textId="77777777" w:rsidR="00B449D0" w:rsidRDefault="00175344">
      <w:pPr>
        <w:pStyle w:val="MeasureTableHeading"/>
      </w:pPr>
      <w:r>
        <w:t>Receipts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7224F462" w14:textId="77777777">
        <w:trPr>
          <w:cantSplit/>
        </w:trPr>
        <w:tc>
          <w:tcPr>
            <w:tcW w:w="2494" w:type="dxa"/>
            <w:tcBorders>
              <w:top w:val="single" w:sz="4" w:space="0" w:color="000000"/>
              <w:bottom w:val="single" w:sz="4" w:space="0" w:color="000000"/>
            </w:tcBorders>
          </w:tcPr>
          <w:p w14:paraId="70D6E27B" w14:textId="77777777" w:rsidR="00B449D0" w:rsidRDefault="00B449D0">
            <w:pPr>
              <w:pStyle w:val="MeasureTableYearHeadings"/>
              <w:keepNext/>
            </w:pPr>
          </w:p>
        </w:tc>
        <w:tc>
          <w:tcPr>
            <w:tcW w:w="1043" w:type="dxa"/>
            <w:tcBorders>
              <w:top w:val="single" w:sz="4" w:space="0" w:color="000000"/>
              <w:bottom w:val="single" w:sz="4" w:space="0" w:color="000000"/>
            </w:tcBorders>
          </w:tcPr>
          <w:p w14:paraId="7EBB8F7A" w14:textId="3E690DD7"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7C7C32D4" w14:textId="6D07F923"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43B6E46E" w14:textId="66F47FF7"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5A661BB6" w14:textId="010CD610"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1A420776" w14:textId="221A3D8D" w:rsidR="00B449D0" w:rsidRDefault="00175344">
            <w:pPr>
              <w:pStyle w:val="MeasureTableYearHeadings"/>
              <w:keepNext/>
            </w:pPr>
            <w:r>
              <w:t>2027</w:t>
            </w:r>
            <w:r w:rsidR="00076D78">
              <w:noBreakHyphen/>
            </w:r>
            <w:r>
              <w:t>28</w:t>
            </w:r>
          </w:p>
        </w:tc>
      </w:tr>
      <w:tr w:rsidR="00B449D0" w14:paraId="2E6848D5" w14:textId="77777777">
        <w:trPr>
          <w:cantSplit/>
        </w:trPr>
        <w:tc>
          <w:tcPr>
            <w:tcW w:w="2494" w:type="dxa"/>
            <w:tcBorders>
              <w:top w:val="single" w:sz="4" w:space="0" w:color="000000"/>
              <w:bottom w:val="single" w:sz="4" w:space="0" w:color="000000"/>
            </w:tcBorders>
          </w:tcPr>
          <w:p w14:paraId="0EC04E7D" w14:textId="77777777" w:rsidR="00B449D0" w:rsidRDefault="00175344">
            <w:pPr>
              <w:pStyle w:val="MeasureTableHeadingleftalignedwith2ptsspacing"/>
              <w:keepNext/>
            </w:pPr>
            <w:r>
              <w:t>Australian Taxation Office</w:t>
            </w:r>
          </w:p>
        </w:tc>
        <w:tc>
          <w:tcPr>
            <w:tcW w:w="1043" w:type="dxa"/>
            <w:tcBorders>
              <w:top w:val="single" w:sz="4" w:space="0" w:color="000000"/>
              <w:bottom w:val="single" w:sz="4" w:space="0" w:color="000000"/>
            </w:tcBorders>
          </w:tcPr>
          <w:p w14:paraId="028FC0B2" w14:textId="299A1381"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FE01161" w14:textId="51A70357"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207903B" w14:textId="77777777" w:rsidR="00B449D0" w:rsidRDefault="00175344">
            <w:pPr>
              <w:pStyle w:val="MeasureTableDataRightAlignedwith2ptsspacing"/>
              <w:keepNext/>
            </w:pPr>
            <w:r>
              <w:t>42.6</w:t>
            </w:r>
          </w:p>
        </w:tc>
        <w:tc>
          <w:tcPr>
            <w:tcW w:w="1043" w:type="dxa"/>
            <w:tcBorders>
              <w:top w:val="single" w:sz="4" w:space="0" w:color="000000"/>
              <w:bottom w:val="single" w:sz="4" w:space="0" w:color="000000"/>
            </w:tcBorders>
          </w:tcPr>
          <w:p w14:paraId="6734F7AE" w14:textId="77777777" w:rsidR="00B449D0" w:rsidRDefault="00175344">
            <w:pPr>
              <w:pStyle w:val="MeasureTableDataRightAlignedwith2ptsspacing"/>
              <w:keepNext/>
            </w:pPr>
            <w:r>
              <w:t>114.4</w:t>
            </w:r>
          </w:p>
        </w:tc>
        <w:tc>
          <w:tcPr>
            <w:tcW w:w="1043" w:type="dxa"/>
            <w:tcBorders>
              <w:top w:val="single" w:sz="4" w:space="0" w:color="000000"/>
              <w:bottom w:val="single" w:sz="4" w:space="0" w:color="000000"/>
            </w:tcBorders>
          </w:tcPr>
          <w:p w14:paraId="760EBCA7" w14:textId="77777777" w:rsidR="00B449D0" w:rsidRDefault="00175344">
            <w:pPr>
              <w:pStyle w:val="MeasureTableDataRightAlignedwith2ptsspacing"/>
              <w:keepNext/>
            </w:pPr>
            <w:r>
              <w:t>120.1</w:t>
            </w:r>
          </w:p>
        </w:tc>
      </w:tr>
      <w:tr w:rsidR="00B449D0" w14:paraId="31720729" w14:textId="77777777">
        <w:trPr>
          <w:cantSplit/>
        </w:trPr>
        <w:tc>
          <w:tcPr>
            <w:tcW w:w="2494" w:type="dxa"/>
            <w:tcBorders>
              <w:top w:val="single" w:sz="4" w:space="0" w:color="000000"/>
              <w:bottom w:val="single" w:sz="4" w:space="0" w:color="000000"/>
            </w:tcBorders>
          </w:tcPr>
          <w:p w14:paraId="71BED816" w14:textId="77777777" w:rsidR="00B449D0" w:rsidRDefault="00175344">
            <w:pPr>
              <w:pStyle w:val="MeasureTableHeadingleftalignedwith2ptsspacing"/>
              <w:keepNext/>
            </w:pPr>
            <w:r>
              <w:t>Australian Securities and Investments Commission</w:t>
            </w:r>
          </w:p>
        </w:tc>
        <w:tc>
          <w:tcPr>
            <w:tcW w:w="1043" w:type="dxa"/>
            <w:tcBorders>
              <w:top w:val="single" w:sz="4" w:space="0" w:color="000000"/>
              <w:bottom w:val="single" w:sz="4" w:space="0" w:color="000000"/>
            </w:tcBorders>
          </w:tcPr>
          <w:p w14:paraId="4174B37C" w14:textId="736CE39D"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51680AD" w14:textId="45603190"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B534484" w14:textId="1C2C54E8"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478435D" w14:textId="77777777" w:rsidR="00B449D0" w:rsidRDefault="00175344">
            <w:pPr>
              <w:pStyle w:val="MeasureTableDataRightAlignedwith2ptsspacing"/>
              <w:keepNext/>
            </w:pPr>
            <w:r>
              <w:t>0.5</w:t>
            </w:r>
          </w:p>
        </w:tc>
        <w:tc>
          <w:tcPr>
            <w:tcW w:w="1043" w:type="dxa"/>
            <w:tcBorders>
              <w:top w:val="single" w:sz="4" w:space="0" w:color="000000"/>
              <w:bottom w:val="single" w:sz="4" w:space="0" w:color="000000"/>
            </w:tcBorders>
          </w:tcPr>
          <w:p w14:paraId="14BCFE3C" w14:textId="77777777" w:rsidR="00B449D0" w:rsidRDefault="00175344">
            <w:pPr>
              <w:pStyle w:val="MeasureTableDataRightAlignedwith2ptsspacing"/>
              <w:keepNext/>
            </w:pPr>
            <w:r>
              <w:t>0.6</w:t>
            </w:r>
          </w:p>
        </w:tc>
      </w:tr>
      <w:tr w:rsidR="00B449D0" w14:paraId="1F806B6C" w14:textId="77777777">
        <w:trPr>
          <w:cantSplit/>
        </w:trPr>
        <w:tc>
          <w:tcPr>
            <w:tcW w:w="2494" w:type="dxa"/>
            <w:tcBorders>
              <w:top w:val="single" w:sz="4" w:space="0" w:color="000000"/>
              <w:bottom w:val="single" w:sz="4" w:space="0" w:color="000000"/>
            </w:tcBorders>
          </w:tcPr>
          <w:p w14:paraId="7E896EAE" w14:textId="77777777" w:rsidR="00B449D0" w:rsidRDefault="00175344">
            <w:pPr>
              <w:pStyle w:val="Totalrowleftaligned"/>
              <w:keepNext/>
            </w:pPr>
            <w:r>
              <w:t>Total – Receipts</w:t>
            </w:r>
          </w:p>
        </w:tc>
        <w:tc>
          <w:tcPr>
            <w:tcW w:w="1043" w:type="dxa"/>
            <w:tcBorders>
              <w:top w:val="single" w:sz="4" w:space="0" w:color="000000"/>
              <w:bottom w:val="single" w:sz="4" w:space="0" w:color="000000"/>
            </w:tcBorders>
          </w:tcPr>
          <w:p w14:paraId="796811A7" w14:textId="0D9BDF5D"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287A2B08" w14:textId="0F2B8549"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71D19304" w14:textId="77777777" w:rsidR="00B449D0" w:rsidRDefault="00175344">
            <w:pPr>
              <w:pStyle w:val="Totaldatarowrightaligned"/>
              <w:keepNext/>
            </w:pPr>
            <w:r>
              <w:t>42.6</w:t>
            </w:r>
          </w:p>
        </w:tc>
        <w:tc>
          <w:tcPr>
            <w:tcW w:w="1043" w:type="dxa"/>
            <w:tcBorders>
              <w:top w:val="single" w:sz="4" w:space="0" w:color="000000"/>
              <w:bottom w:val="single" w:sz="4" w:space="0" w:color="000000"/>
            </w:tcBorders>
          </w:tcPr>
          <w:p w14:paraId="1001FABD" w14:textId="77777777" w:rsidR="00B449D0" w:rsidRDefault="00175344">
            <w:pPr>
              <w:pStyle w:val="Totaldatarowrightaligned"/>
              <w:keepNext/>
            </w:pPr>
            <w:r>
              <w:t>114.9</w:t>
            </w:r>
          </w:p>
        </w:tc>
        <w:tc>
          <w:tcPr>
            <w:tcW w:w="1043" w:type="dxa"/>
            <w:tcBorders>
              <w:top w:val="single" w:sz="4" w:space="0" w:color="000000"/>
              <w:bottom w:val="single" w:sz="4" w:space="0" w:color="000000"/>
            </w:tcBorders>
          </w:tcPr>
          <w:p w14:paraId="36FCE8EC" w14:textId="77777777" w:rsidR="00B449D0" w:rsidRDefault="00175344">
            <w:pPr>
              <w:pStyle w:val="Totaldatarowrightaligned"/>
              <w:keepNext/>
            </w:pPr>
            <w:r>
              <w:t>120.7</w:t>
            </w:r>
          </w:p>
        </w:tc>
      </w:tr>
      <w:tr w:rsidR="00B449D0" w14:paraId="0BE04D27" w14:textId="77777777">
        <w:trPr>
          <w:cantSplit/>
        </w:trPr>
        <w:tc>
          <w:tcPr>
            <w:tcW w:w="2494" w:type="dxa"/>
          </w:tcPr>
          <w:p w14:paraId="1CA5BEDE" w14:textId="77777777" w:rsidR="00B449D0" w:rsidRDefault="00175344">
            <w:pPr>
              <w:pStyle w:val="AgencyName"/>
              <w:keepNext/>
            </w:pPr>
            <w:r>
              <w:t>Related payments ($m)</w:t>
            </w:r>
          </w:p>
        </w:tc>
        <w:tc>
          <w:tcPr>
            <w:tcW w:w="1043" w:type="dxa"/>
          </w:tcPr>
          <w:p w14:paraId="1D97F9B5" w14:textId="77777777" w:rsidR="00B449D0" w:rsidRDefault="00B449D0">
            <w:pPr>
              <w:pStyle w:val="AgencyName"/>
              <w:keepNext/>
            </w:pPr>
          </w:p>
        </w:tc>
        <w:tc>
          <w:tcPr>
            <w:tcW w:w="1043" w:type="dxa"/>
          </w:tcPr>
          <w:p w14:paraId="6A534AED" w14:textId="77777777" w:rsidR="00B449D0" w:rsidRDefault="00B449D0">
            <w:pPr>
              <w:pStyle w:val="AgencyName"/>
              <w:keepNext/>
            </w:pPr>
          </w:p>
        </w:tc>
        <w:tc>
          <w:tcPr>
            <w:tcW w:w="1043" w:type="dxa"/>
          </w:tcPr>
          <w:p w14:paraId="186E4C74" w14:textId="77777777" w:rsidR="00B449D0" w:rsidRDefault="00B449D0">
            <w:pPr>
              <w:pStyle w:val="AgencyName"/>
              <w:keepNext/>
            </w:pPr>
          </w:p>
        </w:tc>
        <w:tc>
          <w:tcPr>
            <w:tcW w:w="1043" w:type="dxa"/>
          </w:tcPr>
          <w:p w14:paraId="5A77B643" w14:textId="77777777" w:rsidR="00B449D0" w:rsidRDefault="00B449D0">
            <w:pPr>
              <w:pStyle w:val="AgencyName"/>
              <w:keepNext/>
            </w:pPr>
          </w:p>
        </w:tc>
        <w:tc>
          <w:tcPr>
            <w:tcW w:w="1043" w:type="dxa"/>
          </w:tcPr>
          <w:p w14:paraId="3D98040D" w14:textId="77777777" w:rsidR="00B449D0" w:rsidRDefault="00B449D0">
            <w:pPr>
              <w:pStyle w:val="AgencyName"/>
              <w:keepNext/>
            </w:pPr>
          </w:p>
        </w:tc>
      </w:tr>
      <w:tr w:rsidR="00B449D0" w14:paraId="218B644E" w14:textId="77777777">
        <w:tc>
          <w:tcPr>
            <w:tcW w:w="2494" w:type="dxa"/>
          </w:tcPr>
          <w:p w14:paraId="36FC9042" w14:textId="77777777" w:rsidR="00B449D0" w:rsidRDefault="00175344">
            <w:pPr>
              <w:pStyle w:val="AgencyNamewith2ptsspacing"/>
              <w:keepNext/>
            </w:pPr>
            <w:r>
              <w:t>Australian Taxation Office</w:t>
            </w:r>
          </w:p>
        </w:tc>
        <w:tc>
          <w:tcPr>
            <w:tcW w:w="1043" w:type="dxa"/>
          </w:tcPr>
          <w:p w14:paraId="12370B92" w14:textId="3D1ACC7F" w:rsidR="00B449D0" w:rsidRDefault="00076D78">
            <w:pPr>
              <w:pStyle w:val="Measuretabledatarightaligneditalics"/>
              <w:keepNext/>
            </w:pPr>
            <w:r>
              <w:noBreakHyphen/>
            </w:r>
          </w:p>
        </w:tc>
        <w:tc>
          <w:tcPr>
            <w:tcW w:w="1043" w:type="dxa"/>
          </w:tcPr>
          <w:p w14:paraId="64C3A07A" w14:textId="254F4E77" w:rsidR="00B449D0" w:rsidRDefault="00076D78">
            <w:pPr>
              <w:pStyle w:val="Measuretabledatarightaligneditalics"/>
              <w:keepNext/>
            </w:pPr>
            <w:r>
              <w:noBreakHyphen/>
            </w:r>
          </w:p>
        </w:tc>
        <w:tc>
          <w:tcPr>
            <w:tcW w:w="1043" w:type="dxa"/>
          </w:tcPr>
          <w:p w14:paraId="3FF04A40" w14:textId="77777777" w:rsidR="00B449D0" w:rsidRDefault="00175344">
            <w:pPr>
              <w:pStyle w:val="Measuretabledatarightaligneditalics"/>
              <w:keepNext/>
            </w:pPr>
            <w:r>
              <w:t>33.2</w:t>
            </w:r>
          </w:p>
        </w:tc>
        <w:tc>
          <w:tcPr>
            <w:tcW w:w="1043" w:type="dxa"/>
          </w:tcPr>
          <w:p w14:paraId="005D629A" w14:textId="77777777" w:rsidR="00B449D0" w:rsidRDefault="00175344">
            <w:pPr>
              <w:pStyle w:val="Measuretabledatarightaligneditalics"/>
              <w:keepNext/>
            </w:pPr>
            <w:r>
              <w:t>34.7</w:t>
            </w:r>
          </w:p>
        </w:tc>
        <w:tc>
          <w:tcPr>
            <w:tcW w:w="1043" w:type="dxa"/>
          </w:tcPr>
          <w:p w14:paraId="199C7042" w14:textId="77777777" w:rsidR="00B449D0" w:rsidRDefault="00175344">
            <w:pPr>
              <w:pStyle w:val="Measuretabledatarightaligneditalics"/>
              <w:keepNext/>
            </w:pPr>
            <w:r>
              <w:t>1.0</w:t>
            </w:r>
          </w:p>
        </w:tc>
      </w:tr>
      <w:tr w:rsidR="00B449D0" w14:paraId="52CE96B2" w14:textId="77777777">
        <w:trPr>
          <w:cantSplit/>
        </w:trPr>
        <w:tc>
          <w:tcPr>
            <w:tcW w:w="2494" w:type="dxa"/>
            <w:tcBorders>
              <w:top w:val="single" w:sz="4" w:space="0" w:color="000000"/>
              <w:bottom w:val="single" w:sz="4" w:space="0" w:color="000000"/>
            </w:tcBorders>
          </w:tcPr>
          <w:p w14:paraId="7B93BB63" w14:textId="77777777" w:rsidR="00B449D0" w:rsidRDefault="00175344">
            <w:pPr>
              <w:pStyle w:val="AgencyNamewith2ptsspacing"/>
              <w:keepNext/>
            </w:pPr>
            <w:r>
              <w:t>Department of the Treasury</w:t>
            </w:r>
          </w:p>
        </w:tc>
        <w:tc>
          <w:tcPr>
            <w:tcW w:w="1043" w:type="dxa"/>
            <w:tcBorders>
              <w:top w:val="single" w:sz="4" w:space="0" w:color="000000"/>
              <w:bottom w:val="single" w:sz="4" w:space="0" w:color="000000"/>
            </w:tcBorders>
          </w:tcPr>
          <w:p w14:paraId="6D88BA13" w14:textId="07945411" w:rsidR="00B449D0" w:rsidRDefault="00076D78">
            <w:pPr>
              <w:pStyle w:val="Measuretabledatarightaligneditalics"/>
              <w:keepNext/>
            </w:pPr>
            <w:r>
              <w:noBreakHyphen/>
            </w:r>
          </w:p>
        </w:tc>
        <w:tc>
          <w:tcPr>
            <w:tcW w:w="1043" w:type="dxa"/>
            <w:tcBorders>
              <w:top w:val="single" w:sz="4" w:space="0" w:color="000000"/>
              <w:bottom w:val="single" w:sz="4" w:space="0" w:color="000000"/>
            </w:tcBorders>
          </w:tcPr>
          <w:p w14:paraId="31576782" w14:textId="55A32268" w:rsidR="00B449D0" w:rsidRDefault="00076D78">
            <w:pPr>
              <w:pStyle w:val="Measuretabledatarightaligneditalics"/>
              <w:keepNext/>
            </w:pPr>
            <w:r>
              <w:noBreakHyphen/>
            </w:r>
          </w:p>
        </w:tc>
        <w:tc>
          <w:tcPr>
            <w:tcW w:w="1043" w:type="dxa"/>
            <w:tcBorders>
              <w:top w:val="single" w:sz="4" w:space="0" w:color="000000"/>
              <w:bottom w:val="single" w:sz="4" w:space="0" w:color="000000"/>
            </w:tcBorders>
          </w:tcPr>
          <w:p w14:paraId="012AC2C4" w14:textId="77777777" w:rsidR="00B449D0" w:rsidRDefault="00175344">
            <w:pPr>
              <w:pStyle w:val="Measuretabledatarightaligneditalics"/>
              <w:keepNext/>
            </w:pPr>
            <w:r>
              <w:t>12.4</w:t>
            </w:r>
          </w:p>
        </w:tc>
        <w:tc>
          <w:tcPr>
            <w:tcW w:w="1043" w:type="dxa"/>
            <w:tcBorders>
              <w:top w:val="single" w:sz="4" w:space="0" w:color="000000"/>
              <w:bottom w:val="single" w:sz="4" w:space="0" w:color="000000"/>
            </w:tcBorders>
          </w:tcPr>
          <w:p w14:paraId="607E9931" w14:textId="77777777" w:rsidR="00B449D0" w:rsidRDefault="00175344">
            <w:pPr>
              <w:pStyle w:val="Measuretabledatarightaligneditalics"/>
              <w:keepNext/>
            </w:pPr>
            <w:r>
              <w:t>33.1</w:t>
            </w:r>
          </w:p>
        </w:tc>
        <w:tc>
          <w:tcPr>
            <w:tcW w:w="1043" w:type="dxa"/>
            <w:tcBorders>
              <w:top w:val="single" w:sz="4" w:space="0" w:color="000000"/>
              <w:bottom w:val="single" w:sz="4" w:space="0" w:color="000000"/>
            </w:tcBorders>
          </w:tcPr>
          <w:p w14:paraId="73C7CB49" w14:textId="77777777" w:rsidR="00B449D0" w:rsidRDefault="00175344">
            <w:pPr>
              <w:pStyle w:val="Measuretabledatarightaligneditalics"/>
              <w:keepNext/>
            </w:pPr>
            <w:r>
              <w:t>35.4</w:t>
            </w:r>
          </w:p>
        </w:tc>
      </w:tr>
      <w:tr w:rsidR="00B449D0" w14:paraId="7742B24A" w14:textId="77777777">
        <w:trPr>
          <w:cantSplit/>
        </w:trPr>
        <w:tc>
          <w:tcPr>
            <w:tcW w:w="2494" w:type="dxa"/>
            <w:tcBorders>
              <w:top w:val="single" w:sz="4" w:space="0" w:color="000000"/>
              <w:bottom w:val="single" w:sz="4" w:space="0" w:color="000000"/>
            </w:tcBorders>
          </w:tcPr>
          <w:p w14:paraId="5A780926" w14:textId="77777777" w:rsidR="00B449D0" w:rsidRDefault="00175344">
            <w:pPr>
              <w:pStyle w:val="AgencyNamewith2ptsspacing"/>
              <w:keepNext/>
            </w:pPr>
            <w:r>
              <w:t>Australian Securities and Investments Commission</w:t>
            </w:r>
          </w:p>
        </w:tc>
        <w:tc>
          <w:tcPr>
            <w:tcW w:w="1043" w:type="dxa"/>
            <w:tcBorders>
              <w:top w:val="single" w:sz="4" w:space="0" w:color="000000"/>
              <w:bottom w:val="single" w:sz="4" w:space="0" w:color="000000"/>
            </w:tcBorders>
          </w:tcPr>
          <w:p w14:paraId="4A03D284" w14:textId="398CDA24" w:rsidR="00B449D0" w:rsidRDefault="00076D78">
            <w:pPr>
              <w:pStyle w:val="Measuretabledatarightaligneditalics"/>
              <w:keepNext/>
            </w:pPr>
            <w:r>
              <w:noBreakHyphen/>
            </w:r>
          </w:p>
        </w:tc>
        <w:tc>
          <w:tcPr>
            <w:tcW w:w="1043" w:type="dxa"/>
            <w:tcBorders>
              <w:top w:val="single" w:sz="4" w:space="0" w:color="000000"/>
              <w:bottom w:val="single" w:sz="4" w:space="0" w:color="000000"/>
            </w:tcBorders>
          </w:tcPr>
          <w:p w14:paraId="0FAFF862" w14:textId="7568DD40" w:rsidR="00B449D0" w:rsidRDefault="00076D78">
            <w:pPr>
              <w:pStyle w:val="Measuretabledatarightaligneditalics"/>
              <w:keepNext/>
            </w:pPr>
            <w:r>
              <w:noBreakHyphen/>
            </w:r>
          </w:p>
        </w:tc>
        <w:tc>
          <w:tcPr>
            <w:tcW w:w="1043" w:type="dxa"/>
            <w:tcBorders>
              <w:top w:val="single" w:sz="4" w:space="0" w:color="000000"/>
              <w:bottom w:val="single" w:sz="4" w:space="0" w:color="000000"/>
            </w:tcBorders>
          </w:tcPr>
          <w:p w14:paraId="6CD886B0" w14:textId="77777777" w:rsidR="00B449D0" w:rsidRDefault="00175344">
            <w:pPr>
              <w:pStyle w:val="Measuretabledatarightaligneditalics"/>
              <w:keepNext/>
            </w:pPr>
            <w:r>
              <w:t>0.5</w:t>
            </w:r>
          </w:p>
        </w:tc>
        <w:tc>
          <w:tcPr>
            <w:tcW w:w="1043" w:type="dxa"/>
            <w:tcBorders>
              <w:top w:val="single" w:sz="4" w:space="0" w:color="000000"/>
              <w:bottom w:val="single" w:sz="4" w:space="0" w:color="000000"/>
            </w:tcBorders>
          </w:tcPr>
          <w:p w14:paraId="49B40BE4" w14:textId="77777777" w:rsidR="00B449D0" w:rsidRDefault="00175344">
            <w:pPr>
              <w:pStyle w:val="Measuretabledatarightaligneditalics"/>
              <w:keepNext/>
            </w:pPr>
            <w:r>
              <w:t>0.6</w:t>
            </w:r>
          </w:p>
        </w:tc>
        <w:tc>
          <w:tcPr>
            <w:tcW w:w="1043" w:type="dxa"/>
            <w:tcBorders>
              <w:top w:val="single" w:sz="4" w:space="0" w:color="000000"/>
              <w:bottom w:val="single" w:sz="4" w:space="0" w:color="000000"/>
            </w:tcBorders>
          </w:tcPr>
          <w:p w14:paraId="1B3910B5" w14:textId="4AA30F3B" w:rsidR="00B449D0" w:rsidRDefault="00076D78">
            <w:pPr>
              <w:pStyle w:val="Measuretabledatarightaligneditalics"/>
              <w:keepNext/>
            </w:pPr>
            <w:r>
              <w:noBreakHyphen/>
            </w:r>
          </w:p>
        </w:tc>
      </w:tr>
      <w:tr w:rsidR="00B449D0" w14:paraId="7AFBCEC4" w14:textId="77777777">
        <w:trPr>
          <w:cantSplit/>
        </w:trPr>
        <w:tc>
          <w:tcPr>
            <w:tcW w:w="2494" w:type="dxa"/>
            <w:tcBorders>
              <w:top w:val="single" w:sz="4" w:space="0" w:color="000000"/>
              <w:bottom w:val="single" w:sz="4" w:space="0" w:color="000000"/>
            </w:tcBorders>
          </w:tcPr>
          <w:p w14:paraId="54BEA61C" w14:textId="77777777" w:rsidR="00B449D0" w:rsidRDefault="00175344">
            <w:pPr>
              <w:pStyle w:val="Totalrowitalicsleftaligned"/>
              <w:keepNext/>
            </w:pPr>
            <w:r>
              <w:t>Total – Payments</w:t>
            </w:r>
          </w:p>
        </w:tc>
        <w:tc>
          <w:tcPr>
            <w:tcW w:w="1043" w:type="dxa"/>
            <w:tcBorders>
              <w:top w:val="single" w:sz="4" w:space="0" w:color="000000"/>
              <w:bottom w:val="single" w:sz="4" w:space="0" w:color="000000"/>
            </w:tcBorders>
          </w:tcPr>
          <w:p w14:paraId="30F7694C" w14:textId="5915EF0E" w:rsidR="00B449D0" w:rsidRDefault="00076D78">
            <w:pPr>
              <w:pStyle w:val="Measuretabledatarightaligneditalics"/>
              <w:keepNext/>
            </w:pPr>
            <w:r>
              <w:noBreakHyphen/>
            </w:r>
          </w:p>
        </w:tc>
        <w:tc>
          <w:tcPr>
            <w:tcW w:w="1043" w:type="dxa"/>
            <w:tcBorders>
              <w:top w:val="single" w:sz="4" w:space="0" w:color="000000"/>
              <w:bottom w:val="single" w:sz="4" w:space="0" w:color="000000"/>
            </w:tcBorders>
          </w:tcPr>
          <w:p w14:paraId="1E8F5C62" w14:textId="1E2A1045" w:rsidR="00B449D0" w:rsidRDefault="00076D78">
            <w:pPr>
              <w:pStyle w:val="Measuretabledatarightaligneditalics"/>
              <w:keepNext/>
            </w:pPr>
            <w:r>
              <w:noBreakHyphen/>
            </w:r>
          </w:p>
        </w:tc>
        <w:tc>
          <w:tcPr>
            <w:tcW w:w="1043" w:type="dxa"/>
            <w:tcBorders>
              <w:top w:val="single" w:sz="4" w:space="0" w:color="000000"/>
              <w:bottom w:val="single" w:sz="4" w:space="0" w:color="000000"/>
            </w:tcBorders>
          </w:tcPr>
          <w:p w14:paraId="7CD7D1EC" w14:textId="77777777" w:rsidR="00B449D0" w:rsidRDefault="00175344">
            <w:pPr>
              <w:pStyle w:val="Measuretabledatarightaligneditalics"/>
              <w:keepNext/>
            </w:pPr>
            <w:r>
              <w:t>46.2</w:t>
            </w:r>
          </w:p>
        </w:tc>
        <w:tc>
          <w:tcPr>
            <w:tcW w:w="1043" w:type="dxa"/>
            <w:tcBorders>
              <w:top w:val="single" w:sz="4" w:space="0" w:color="000000"/>
              <w:bottom w:val="single" w:sz="4" w:space="0" w:color="000000"/>
            </w:tcBorders>
          </w:tcPr>
          <w:p w14:paraId="7E9D3F05" w14:textId="77777777" w:rsidR="00B449D0" w:rsidRDefault="00175344">
            <w:pPr>
              <w:pStyle w:val="Measuretabledatarightaligneditalics"/>
              <w:keepNext/>
            </w:pPr>
            <w:r>
              <w:t>68.3</w:t>
            </w:r>
          </w:p>
        </w:tc>
        <w:tc>
          <w:tcPr>
            <w:tcW w:w="1043" w:type="dxa"/>
            <w:tcBorders>
              <w:top w:val="single" w:sz="4" w:space="0" w:color="000000"/>
              <w:bottom w:val="single" w:sz="4" w:space="0" w:color="000000"/>
            </w:tcBorders>
          </w:tcPr>
          <w:p w14:paraId="71879F6B" w14:textId="77777777" w:rsidR="00B449D0" w:rsidRDefault="00175344">
            <w:pPr>
              <w:pStyle w:val="Measuretabledatarightaligneditalics"/>
              <w:keepNext/>
            </w:pPr>
            <w:r>
              <w:t>36.4</w:t>
            </w:r>
          </w:p>
        </w:tc>
      </w:tr>
    </w:tbl>
    <w:p w14:paraId="293841FF" w14:textId="77777777" w:rsidR="00B449D0" w:rsidRPr="00BA7366" w:rsidRDefault="00B449D0" w:rsidP="00380A42">
      <w:pPr>
        <w:pStyle w:val="SingleParagraph0"/>
      </w:pPr>
    </w:p>
    <w:p w14:paraId="6E4892CC" w14:textId="1290543A" w:rsidR="00B449D0" w:rsidRDefault="00175344">
      <w:pPr>
        <w:pStyle w:val="Normal2"/>
      </w:pPr>
      <w:r>
        <w:t xml:space="preserve">The Government will provide $66.9 million to the </w:t>
      </w:r>
      <w:r w:rsidR="001972F0">
        <w:t>Australian Taxation Office (</w:t>
      </w:r>
      <w:r>
        <w:t>ATO</w:t>
      </w:r>
      <w:r w:rsidR="001972F0">
        <w:t>)</w:t>
      </w:r>
      <w:r>
        <w:t xml:space="preserve"> and $1.1 million to </w:t>
      </w:r>
      <w:r w:rsidR="001972F0">
        <w:t xml:space="preserve">the Australian Securities and Investments Commission </w:t>
      </w:r>
      <w:r>
        <w:t xml:space="preserve">to extend and enhance the </w:t>
      </w:r>
      <w:r w:rsidRPr="000C19AA">
        <w:rPr>
          <w:i/>
        </w:rPr>
        <w:t>Phoenix Compliance Program</w:t>
      </w:r>
      <w:r>
        <w:t xml:space="preserve"> for two years from 1 July 2025.</w:t>
      </w:r>
    </w:p>
    <w:p w14:paraId="7134A108" w14:textId="77777777" w:rsidR="00B449D0" w:rsidRDefault="00175344">
      <w:pPr>
        <w:pStyle w:val="Normal2"/>
      </w:pPr>
      <w:r w:rsidRPr="7F762F0D">
        <w:rPr>
          <w:lang w:val="en-US"/>
        </w:rPr>
        <w:t>This will enable the ATO to continue and build on its existing work to combat illegal phoenix activity. Illegal phoenix activity exploits workers, disrupts supply chains, impacts on the viability of the businesses that are not paid and creates unfair competition between those who comply with their obligations and those who do not.</w:t>
      </w:r>
    </w:p>
    <w:p w14:paraId="0B1292BD" w14:textId="34784AB3" w:rsidR="00B449D0" w:rsidRDefault="00175344">
      <w:pPr>
        <w:pStyle w:val="Normal2"/>
      </w:pPr>
      <w:r>
        <w:t xml:space="preserve">This measure is estimated to increase receipts by $278.2 million and increase payments by $150.9 million over </w:t>
      </w:r>
      <w:r w:rsidR="001972F0">
        <w:t>five</w:t>
      </w:r>
      <w:r>
        <w:t> years from 2023–24. This includes an increase in GST payments to the states and territories of $80.9 million.</w:t>
      </w:r>
    </w:p>
    <w:p w14:paraId="6294269D" w14:textId="05D69324" w:rsidR="00B449D0" w:rsidRDefault="00175344">
      <w:pPr>
        <w:pStyle w:val="MeasureTitle"/>
      </w:pPr>
      <w:r>
        <w:t xml:space="preserve">Corporations – </w:t>
      </w:r>
      <w:r w:rsidR="0047223A">
        <w:t>f</w:t>
      </w:r>
      <w:r>
        <w:t>ee for takeover transactions</w:t>
      </w:r>
    </w:p>
    <w:p w14:paraId="689A3996" w14:textId="77777777" w:rsidR="00B449D0" w:rsidRDefault="00175344">
      <w:pPr>
        <w:pStyle w:val="MeasureTableHeading"/>
      </w:pPr>
      <w:r>
        <w:t>Receipts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40CEBDC9" w14:textId="77777777">
        <w:trPr>
          <w:cantSplit/>
        </w:trPr>
        <w:tc>
          <w:tcPr>
            <w:tcW w:w="2494" w:type="dxa"/>
            <w:tcBorders>
              <w:top w:val="single" w:sz="4" w:space="0" w:color="000000"/>
              <w:bottom w:val="single" w:sz="4" w:space="0" w:color="000000"/>
            </w:tcBorders>
          </w:tcPr>
          <w:p w14:paraId="7FA0268D" w14:textId="77777777" w:rsidR="00B449D0" w:rsidRDefault="00B449D0">
            <w:pPr>
              <w:pStyle w:val="MeasureTableYearHeadings"/>
              <w:keepNext/>
            </w:pPr>
          </w:p>
        </w:tc>
        <w:tc>
          <w:tcPr>
            <w:tcW w:w="1043" w:type="dxa"/>
            <w:tcBorders>
              <w:top w:val="single" w:sz="4" w:space="0" w:color="000000"/>
              <w:bottom w:val="single" w:sz="4" w:space="0" w:color="000000"/>
            </w:tcBorders>
          </w:tcPr>
          <w:p w14:paraId="3DF3E11D" w14:textId="0C87C484"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500FF2F8" w14:textId="1484B723"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0EE90158" w14:textId="3EBC1578"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1BE53A01" w14:textId="4ED7AC1F"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43EEF235" w14:textId="7CCBFACE" w:rsidR="00B449D0" w:rsidRDefault="00175344">
            <w:pPr>
              <w:pStyle w:val="MeasureTableYearHeadings"/>
              <w:keepNext/>
            </w:pPr>
            <w:r>
              <w:t>2027</w:t>
            </w:r>
            <w:r w:rsidR="00076D78">
              <w:noBreakHyphen/>
            </w:r>
            <w:r>
              <w:t>28</w:t>
            </w:r>
          </w:p>
        </w:tc>
      </w:tr>
      <w:tr w:rsidR="00B449D0" w14:paraId="4A283558" w14:textId="77777777">
        <w:trPr>
          <w:cantSplit/>
        </w:trPr>
        <w:tc>
          <w:tcPr>
            <w:tcW w:w="2494" w:type="dxa"/>
            <w:tcBorders>
              <w:top w:val="single" w:sz="4" w:space="0" w:color="000000"/>
              <w:bottom w:val="single" w:sz="4" w:space="0" w:color="000000"/>
            </w:tcBorders>
          </w:tcPr>
          <w:p w14:paraId="56539C63" w14:textId="77777777" w:rsidR="00B449D0" w:rsidRDefault="00175344">
            <w:pPr>
              <w:pStyle w:val="MeasureTableHeadingleftalignedwith2ptsspacing"/>
              <w:keepNext/>
            </w:pPr>
            <w:r>
              <w:t>Australian Securities and Investments Commission</w:t>
            </w:r>
          </w:p>
        </w:tc>
        <w:tc>
          <w:tcPr>
            <w:tcW w:w="1043" w:type="dxa"/>
            <w:tcBorders>
              <w:top w:val="single" w:sz="4" w:space="0" w:color="000000"/>
              <w:bottom w:val="single" w:sz="4" w:space="0" w:color="000000"/>
            </w:tcBorders>
          </w:tcPr>
          <w:p w14:paraId="60A37008" w14:textId="17D452BE"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90DDC96" w14:textId="77777777" w:rsidR="00B449D0" w:rsidRDefault="00175344">
            <w:pPr>
              <w:pStyle w:val="MeasureTableDataRightAlignedwith2ptsspacing"/>
              <w:keepNext/>
            </w:pPr>
            <w:r>
              <w:t>2.8</w:t>
            </w:r>
          </w:p>
        </w:tc>
        <w:tc>
          <w:tcPr>
            <w:tcW w:w="1043" w:type="dxa"/>
            <w:tcBorders>
              <w:top w:val="single" w:sz="4" w:space="0" w:color="000000"/>
              <w:bottom w:val="single" w:sz="4" w:space="0" w:color="000000"/>
            </w:tcBorders>
          </w:tcPr>
          <w:p w14:paraId="23D46619" w14:textId="77777777" w:rsidR="00B449D0" w:rsidRDefault="00175344">
            <w:pPr>
              <w:pStyle w:val="MeasureTableDataRightAlignedwith2ptsspacing"/>
              <w:keepNext/>
            </w:pPr>
            <w:r>
              <w:t>5.7</w:t>
            </w:r>
          </w:p>
        </w:tc>
        <w:tc>
          <w:tcPr>
            <w:tcW w:w="1043" w:type="dxa"/>
            <w:tcBorders>
              <w:top w:val="single" w:sz="4" w:space="0" w:color="000000"/>
              <w:bottom w:val="single" w:sz="4" w:space="0" w:color="000000"/>
            </w:tcBorders>
          </w:tcPr>
          <w:p w14:paraId="265D8D73" w14:textId="77777777" w:rsidR="00B449D0" w:rsidRDefault="00175344">
            <w:pPr>
              <w:pStyle w:val="MeasureTableDataRightAlignedwith2ptsspacing"/>
              <w:keepNext/>
            </w:pPr>
            <w:r>
              <w:t>5.7</w:t>
            </w:r>
          </w:p>
        </w:tc>
        <w:tc>
          <w:tcPr>
            <w:tcW w:w="1043" w:type="dxa"/>
            <w:tcBorders>
              <w:top w:val="single" w:sz="4" w:space="0" w:color="000000"/>
              <w:bottom w:val="single" w:sz="4" w:space="0" w:color="000000"/>
            </w:tcBorders>
          </w:tcPr>
          <w:p w14:paraId="6E082960" w14:textId="77777777" w:rsidR="00B449D0" w:rsidRDefault="00175344">
            <w:pPr>
              <w:pStyle w:val="MeasureTableDataRightAlignedwith2ptsspacing"/>
              <w:keepNext/>
            </w:pPr>
            <w:r>
              <w:t>2.8</w:t>
            </w:r>
          </w:p>
        </w:tc>
      </w:tr>
      <w:tr w:rsidR="00B449D0" w14:paraId="4942246D" w14:textId="77777777">
        <w:trPr>
          <w:cantSplit/>
        </w:trPr>
        <w:tc>
          <w:tcPr>
            <w:tcW w:w="2494" w:type="dxa"/>
          </w:tcPr>
          <w:p w14:paraId="03935959" w14:textId="77777777" w:rsidR="00B449D0" w:rsidRDefault="00175344">
            <w:pPr>
              <w:pStyle w:val="AgencyName"/>
              <w:keepNext/>
            </w:pPr>
            <w:r>
              <w:t>Related payments ($m)</w:t>
            </w:r>
          </w:p>
        </w:tc>
        <w:tc>
          <w:tcPr>
            <w:tcW w:w="1043" w:type="dxa"/>
          </w:tcPr>
          <w:p w14:paraId="46D75FC8" w14:textId="77777777" w:rsidR="00B449D0" w:rsidRDefault="00B449D0">
            <w:pPr>
              <w:pStyle w:val="AgencyName"/>
              <w:keepNext/>
            </w:pPr>
          </w:p>
        </w:tc>
        <w:tc>
          <w:tcPr>
            <w:tcW w:w="1043" w:type="dxa"/>
          </w:tcPr>
          <w:p w14:paraId="4F825B30" w14:textId="77777777" w:rsidR="00B449D0" w:rsidRDefault="00B449D0">
            <w:pPr>
              <w:pStyle w:val="AgencyName"/>
              <w:keepNext/>
            </w:pPr>
          </w:p>
        </w:tc>
        <w:tc>
          <w:tcPr>
            <w:tcW w:w="1043" w:type="dxa"/>
          </w:tcPr>
          <w:p w14:paraId="56F130FB" w14:textId="77777777" w:rsidR="00B449D0" w:rsidRDefault="00B449D0">
            <w:pPr>
              <w:pStyle w:val="AgencyName"/>
              <w:keepNext/>
            </w:pPr>
          </w:p>
        </w:tc>
        <w:tc>
          <w:tcPr>
            <w:tcW w:w="1043" w:type="dxa"/>
          </w:tcPr>
          <w:p w14:paraId="7DF0E047" w14:textId="77777777" w:rsidR="00B449D0" w:rsidRDefault="00B449D0">
            <w:pPr>
              <w:pStyle w:val="AgencyName"/>
              <w:keepNext/>
            </w:pPr>
          </w:p>
        </w:tc>
        <w:tc>
          <w:tcPr>
            <w:tcW w:w="1043" w:type="dxa"/>
          </w:tcPr>
          <w:p w14:paraId="1CD8EE7E" w14:textId="77777777" w:rsidR="00B449D0" w:rsidRDefault="00B449D0">
            <w:pPr>
              <w:pStyle w:val="AgencyName"/>
              <w:keepNext/>
            </w:pPr>
          </w:p>
        </w:tc>
      </w:tr>
      <w:tr w:rsidR="00B449D0" w14:paraId="10AD39B6" w14:textId="77777777">
        <w:tc>
          <w:tcPr>
            <w:tcW w:w="2494" w:type="dxa"/>
          </w:tcPr>
          <w:p w14:paraId="097C3C79" w14:textId="77777777" w:rsidR="00B449D0" w:rsidRDefault="00175344">
            <w:pPr>
              <w:pStyle w:val="AgencyNamewith2ptsspacing"/>
              <w:keepNext/>
            </w:pPr>
            <w:r>
              <w:t>Australian Securities and Investments Commission</w:t>
            </w:r>
          </w:p>
        </w:tc>
        <w:tc>
          <w:tcPr>
            <w:tcW w:w="1043" w:type="dxa"/>
          </w:tcPr>
          <w:p w14:paraId="7E289D62" w14:textId="3CBE1CF0" w:rsidR="00B449D0" w:rsidRDefault="00076D78">
            <w:pPr>
              <w:pStyle w:val="Measuretabledatarightaligneditalics"/>
              <w:keepNext/>
            </w:pPr>
            <w:r>
              <w:noBreakHyphen/>
            </w:r>
          </w:p>
        </w:tc>
        <w:tc>
          <w:tcPr>
            <w:tcW w:w="1043" w:type="dxa"/>
          </w:tcPr>
          <w:p w14:paraId="772AB7FA" w14:textId="77777777" w:rsidR="00B449D0" w:rsidRDefault="00175344">
            <w:pPr>
              <w:pStyle w:val="Measuretabledatarightaligneditalics"/>
              <w:keepNext/>
            </w:pPr>
            <w:r>
              <w:t>0.3</w:t>
            </w:r>
          </w:p>
        </w:tc>
        <w:tc>
          <w:tcPr>
            <w:tcW w:w="1043" w:type="dxa"/>
          </w:tcPr>
          <w:p w14:paraId="3CE0E9EE" w14:textId="27309037" w:rsidR="00B449D0" w:rsidRDefault="00076D78">
            <w:pPr>
              <w:pStyle w:val="Measuretabledatarightaligneditalics"/>
              <w:keepNext/>
            </w:pPr>
            <w:r>
              <w:noBreakHyphen/>
            </w:r>
          </w:p>
        </w:tc>
        <w:tc>
          <w:tcPr>
            <w:tcW w:w="1043" w:type="dxa"/>
          </w:tcPr>
          <w:p w14:paraId="1B7B2FE5" w14:textId="1D2D5476" w:rsidR="00B449D0" w:rsidRDefault="00076D78">
            <w:pPr>
              <w:pStyle w:val="Measuretabledatarightaligneditalics"/>
              <w:keepNext/>
            </w:pPr>
            <w:r>
              <w:noBreakHyphen/>
            </w:r>
          </w:p>
        </w:tc>
        <w:tc>
          <w:tcPr>
            <w:tcW w:w="1043" w:type="dxa"/>
          </w:tcPr>
          <w:p w14:paraId="5FE93543" w14:textId="07807F26" w:rsidR="00B449D0" w:rsidRDefault="00076D78">
            <w:pPr>
              <w:pStyle w:val="Measuretabledatarightaligneditalics"/>
              <w:keepNext/>
            </w:pPr>
            <w:r>
              <w:noBreakHyphen/>
            </w:r>
          </w:p>
        </w:tc>
      </w:tr>
    </w:tbl>
    <w:p w14:paraId="608BC3F2" w14:textId="77777777" w:rsidR="00B449D0" w:rsidRPr="00BA7366" w:rsidRDefault="00B449D0" w:rsidP="00380A42">
      <w:pPr>
        <w:pStyle w:val="SingleParagraph0"/>
      </w:pPr>
    </w:p>
    <w:p w14:paraId="6CE90A08" w14:textId="29C832F3" w:rsidR="00B449D0" w:rsidRDefault="00175344">
      <w:pPr>
        <w:pStyle w:val="Normal2"/>
      </w:pPr>
      <w:r w:rsidRPr="7F762F0D">
        <w:rPr>
          <w:lang w:val="en-US"/>
        </w:rPr>
        <w:t>The Government will apply new A</w:t>
      </w:r>
      <w:r w:rsidR="0099499D">
        <w:rPr>
          <w:lang w:val="en-US"/>
        </w:rPr>
        <w:t xml:space="preserve">ustralian </w:t>
      </w:r>
      <w:r w:rsidRPr="7F762F0D">
        <w:rPr>
          <w:lang w:val="en-US"/>
        </w:rPr>
        <w:t>S</w:t>
      </w:r>
      <w:r w:rsidR="0099499D">
        <w:rPr>
          <w:lang w:val="en-US"/>
        </w:rPr>
        <w:t xml:space="preserve">ecurities and </w:t>
      </w:r>
      <w:r w:rsidRPr="7F762F0D">
        <w:rPr>
          <w:lang w:val="en-US"/>
        </w:rPr>
        <w:t>I</w:t>
      </w:r>
      <w:r w:rsidR="0099499D">
        <w:rPr>
          <w:lang w:val="en-US"/>
        </w:rPr>
        <w:t>nvestment</w:t>
      </w:r>
      <w:r w:rsidR="00BE6E74">
        <w:rPr>
          <w:lang w:val="en-US"/>
        </w:rPr>
        <w:t>s</w:t>
      </w:r>
      <w:r w:rsidR="0099499D">
        <w:rPr>
          <w:lang w:val="en-US"/>
        </w:rPr>
        <w:t xml:space="preserve"> </w:t>
      </w:r>
      <w:r w:rsidR="00240ADF" w:rsidRPr="7F762F0D">
        <w:rPr>
          <w:lang w:val="en-US"/>
        </w:rPr>
        <w:t>C</w:t>
      </w:r>
      <w:r w:rsidR="00240ADF">
        <w:rPr>
          <w:lang w:val="en-US"/>
        </w:rPr>
        <w:t>ommission</w:t>
      </w:r>
      <w:r w:rsidRPr="7F762F0D">
        <w:rPr>
          <w:lang w:val="en-US"/>
        </w:rPr>
        <w:t xml:space="preserve"> fees and increase existing fees on the lodgment of documents necessary to implement certain takeovers of Australian entities, including a public company or listed registered managed investment scheme.</w:t>
      </w:r>
    </w:p>
    <w:p w14:paraId="4332BD0F" w14:textId="77777777" w:rsidR="00B449D0" w:rsidRDefault="00175344">
      <w:pPr>
        <w:pStyle w:val="Normal2"/>
      </w:pPr>
      <w:r>
        <w:lastRenderedPageBreak/>
        <w:t>The new fees and increased fees will apply to documents lodged from 1 January 2025 to 31 December 2027.</w:t>
      </w:r>
    </w:p>
    <w:p w14:paraId="0C8BAE83" w14:textId="77777777" w:rsidR="00B449D0" w:rsidRDefault="00175344">
      <w:pPr>
        <w:pStyle w:val="Normal2"/>
      </w:pPr>
      <w:r>
        <w:t>As a result of the measure, the fees payable for a takeover will be:</w:t>
      </w:r>
    </w:p>
    <w:p w14:paraId="65B284B2" w14:textId="77777777" w:rsidR="00B449D0" w:rsidRDefault="00175344">
      <w:pPr>
        <w:pStyle w:val="Bullet"/>
      </w:pPr>
      <w:r>
        <w:t>$195,000 for transactions worth over $500 million</w:t>
      </w:r>
    </w:p>
    <w:p w14:paraId="0C9987D8" w14:textId="77777777" w:rsidR="00B449D0" w:rsidRDefault="00175344">
      <w:pPr>
        <w:pStyle w:val="Bullet"/>
      </w:pPr>
      <w:r>
        <w:t>$145,000 for transactions worth $100 million to $500 million</w:t>
      </w:r>
    </w:p>
    <w:p w14:paraId="78FD2183" w14:textId="77777777" w:rsidR="00B449D0" w:rsidRDefault="00175344">
      <w:pPr>
        <w:pStyle w:val="Bullet"/>
      </w:pPr>
      <w:r>
        <w:t>$50,000 for transactions worth $35 million to less than $100 million</w:t>
      </w:r>
    </w:p>
    <w:p w14:paraId="21FB99B3" w14:textId="77777777" w:rsidR="00B449D0" w:rsidRDefault="00175344">
      <w:pPr>
        <w:pStyle w:val="Bullet"/>
      </w:pPr>
      <w:r>
        <w:t>$10,000 for transactions worth $10 million to less than $35 million.</w:t>
      </w:r>
    </w:p>
    <w:p w14:paraId="4C442C49" w14:textId="77777777" w:rsidR="00B449D0" w:rsidRDefault="00175344">
      <w:pPr>
        <w:pStyle w:val="Normal2"/>
      </w:pPr>
      <w:r w:rsidRPr="7F762F0D">
        <w:rPr>
          <w:lang w:val="en-US"/>
        </w:rPr>
        <w:t>These changes ensure that the fees charged in connection with takeovers better reflect the cost to the Government for providing, and the value to the proponents of, the overall infrastructure for takeovers relative to the value of the transactions involved.</w:t>
      </w:r>
    </w:p>
    <w:p w14:paraId="6E63D890" w14:textId="4C8A37F9" w:rsidR="00B449D0" w:rsidRDefault="00175344">
      <w:pPr>
        <w:pStyle w:val="Normal2"/>
      </w:pPr>
      <w:r>
        <w:t xml:space="preserve">The measure is estimated to increase receipts by $17.1 million and increase payments by $0.3 million over </w:t>
      </w:r>
      <w:r w:rsidR="00A25427">
        <w:t>five</w:t>
      </w:r>
      <w:r>
        <w:t> years from 2023–24.</w:t>
      </w:r>
    </w:p>
    <w:p w14:paraId="077809AC" w14:textId="77777777" w:rsidR="00B449D0" w:rsidRDefault="00175344">
      <w:pPr>
        <w:pStyle w:val="MeasureTitle"/>
      </w:pPr>
      <w:r>
        <w:t>Housing – securing more affordable housing supply and better outcomes for renters</w:t>
      </w:r>
    </w:p>
    <w:p w14:paraId="2317BA9E" w14:textId="77777777" w:rsidR="00B449D0" w:rsidRDefault="00175344">
      <w:pPr>
        <w:pStyle w:val="MeasureTableHeading"/>
      </w:pPr>
      <w:r>
        <w:t>Receipts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6E43940B" w14:textId="77777777">
        <w:trPr>
          <w:cantSplit/>
        </w:trPr>
        <w:tc>
          <w:tcPr>
            <w:tcW w:w="2494" w:type="dxa"/>
            <w:tcBorders>
              <w:top w:val="single" w:sz="4" w:space="0" w:color="000000"/>
              <w:bottom w:val="single" w:sz="4" w:space="0" w:color="000000"/>
            </w:tcBorders>
          </w:tcPr>
          <w:p w14:paraId="605EFC8A" w14:textId="77777777" w:rsidR="00B449D0" w:rsidRDefault="00B449D0">
            <w:pPr>
              <w:pStyle w:val="MeasureTableYearHeadings"/>
              <w:keepNext/>
            </w:pPr>
          </w:p>
        </w:tc>
        <w:tc>
          <w:tcPr>
            <w:tcW w:w="1043" w:type="dxa"/>
            <w:tcBorders>
              <w:top w:val="single" w:sz="4" w:space="0" w:color="000000"/>
              <w:bottom w:val="single" w:sz="4" w:space="0" w:color="000000"/>
            </w:tcBorders>
          </w:tcPr>
          <w:p w14:paraId="370B1C5D" w14:textId="2CBBD73A"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404BFAA5" w14:textId="5B4B2697"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3DDB6422" w14:textId="4085CBB2"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249D3E2D" w14:textId="3A7C40D9"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3F670550" w14:textId="1BCBD086" w:rsidR="00B449D0" w:rsidRDefault="00175344">
            <w:pPr>
              <w:pStyle w:val="MeasureTableYearHeadings"/>
              <w:keepNext/>
            </w:pPr>
            <w:r>
              <w:t>2027</w:t>
            </w:r>
            <w:r w:rsidR="00076D78">
              <w:noBreakHyphen/>
            </w:r>
            <w:r>
              <w:t>28</w:t>
            </w:r>
          </w:p>
        </w:tc>
      </w:tr>
      <w:tr w:rsidR="00B449D0" w14:paraId="4DF97EB7" w14:textId="77777777">
        <w:trPr>
          <w:cantSplit/>
        </w:trPr>
        <w:tc>
          <w:tcPr>
            <w:tcW w:w="2494" w:type="dxa"/>
            <w:tcBorders>
              <w:top w:val="single" w:sz="4" w:space="0" w:color="000000"/>
              <w:bottom w:val="single" w:sz="4" w:space="0" w:color="000000"/>
            </w:tcBorders>
          </w:tcPr>
          <w:p w14:paraId="31935CDD" w14:textId="77777777" w:rsidR="00B449D0" w:rsidRDefault="00175344">
            <w:pPr>
              <w:pStyle w:val="MeasureTableHeadingleftalignedwith2ptsspacing"/>
              <w:keepNext/>
            </w:pPr>
            <w:r>
              <w:t>Australian Taxation Office</w:t>
            </w:r>
          </w:p>
        </w:tc>
        <w:tc>
          <w:tcPr>
            <w:tcW w:w="1043" w:type="dxa"/>
            <w:tcBorders>
              <w:top w:val="single" w:sz="4" w:space="0" w:color="000000"/>
              <w:bottom w:val="single" w:sz="4" w:space="0" w:color="000000"/>
            </w:tcBorders>
          </w:tcPr>
          <w:p w14:paraId="7D5E4F4A" w14:textId="50A6382A"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614D540" w14:textId="1E39CD45" w:rsidR="00B449D0" w:rsidRDefault="00076D78">
            <w:pPr>
              <w:pStyle w:val="MeasureTableDataRightAlignedwith2ptsspacing"/>
              <w:keepNext/>
            </w:pPr>
            <w:r>
              <w:noBreakHyphen/>
            </w:r>
            <w:r w:rsidR="00175344">
              <w:t>5.0</w:t>
            </w:r>
          </w:p>
        </w:tc>
        <w:tc>
          <w:tcPr>
            <w:tcW w:w="1043" w:type="dxa"/>
            <w:tcBorders>
              <w:top w:val="single" w:sz="4" w:space="0" w:color="000000"/>
              <w:bottom w:val="single" w:sz="4" w:space="0" w:color="000000"/>
            </w:tcBorders>
          </w:tcPr>
          <w:p w14:paraId="0845CC66" w14:textId="38EAFAD7" w:rsidR="00B449D0" w:rsidRDefault="00076D78">
            <w:pPr>
              <w:pStyle w:val="MeasureTableDataRightAlignedwith2ptsspacing"/>
              <w:keepNext/>
            </w:pPr>
            <w:r>
              <w:noBreakHyphen/>
            </w:r>
            <w:r w:rsidR="00175344">
              <w:t>10.0</w:t>
            </w:r>
          </w:p>
        </w:tc>
        <w:tc>
          <w:tcPr>
            <w:tcW w:w="1043" w:type="dxa"/>
            <w:tcBorders>
              <w:top w:val="single" w:sz="4" w:space="0" w:color="000000"/>
              <w:bottom w:val="single" w:sz="4" w:space="0" w:color="000000"/>
            </w:tcBorders>
          </w:tcPr>
          <w:p w14:paraId="78BF17DA" w14:textId="5C7708F7" w:rsidR="00B449D0" w:rsidRDefault="00076D78">
            <w:pPr>
              <w:pStyle w:val="MeasureTableDataRightAlignedwith2ptsspacing"/>
              <w:keepNext/>
            </w:pPr>
            <w:r>
              <w:noBreakHyphen/>
            </w:r>
            <w:r w:rsidR="00175344">
              <w:t>15.0</w:t>
            </w:r>
          </w:p>
        </w:tc>
        <w:tc>
          <w:tcPr>
            <w:tcW w:w="1043" w:type="dxa"/>
            <w:tcBorders>
              <w:top w:val="single" w:sz="4" w:space="0" w:color="000000"/>
              <w:bottom w:val="single" w:sz="4" w:space="0" w:color="000000"/>
            </w:tcBorders>
          </w:tcPr>
          <w:p w14:paraId="56030C3E" w14:textId="554E8501" w:rsidR="00B449D0" w:rsidRDefault="00076D78">
            <w:pPr>
              <w:pStyle w:val="MeasureTableDataRightAlignedwith2ptsspacing"/>
              <w:keepNext/>
            </w:pPr>
            <w:r>
              <w:noBreakHyphen/>
            </w:r>
            <w:r w:rsidR="00175344">
              <w:t>15.0</w:t>
            </w:r>
          </w:p>
        </w:tc>
      </w:tr>
    </w:tbl>
    <w:p w14:paraId="777F044D" w14:textId="77777777" w:rsidR="00B449D0" w:rsidRPr="00BA7366" w:rsidRDefault="00B449D0" w:rsidP="00380A42">
      <w:pPr>
        <w:pStyle w:val="SingleParagraph0"/>
      </w:pPr>
    </w:p>
    <w:p w14:paraId="5ED4E54C" w14:textId="1AD024BB" w:rsidR="00B449D0" w:rsidRDefault="00175344">
      <w:pPr>
        <w:pStyle w:val="Normal2"/>
      </w:pPr>
      <w:r>
        <w:t>The Government has updated the policy announced in the 2023–24 Budget</w:t>
      </w:r>
      <w:r w:rsidR="00681188">
        <w:t xml:space="preserve"> titled</w:t>
      </w:r>
      <w:r>
        <w:t xml:space="preserve"> </w:t>
      </w:r>
      <w:r w:rsidRPr="00175344">
        <w:rPr>
          <w:i/>
        </w:rPr>
        <w:t>Housing (Build‑</w:t>
      </w:r>
      <w:r w:rsidR="00A777D1">
        <w:rPr>
          <w:i/>
        </w:rPr>
        <w:t>T</w:t>
      </w:r>
      <w:r w:rsidRPr="00175344">
        <w:rPr>
          <w:i/>
        </w:rPr>
        <w:t>o‑Rent Developments) – accelerating tax deductions and reducing managed investment trust withholding tax rate</w:t>
      </w:r>
      <w:r>
        <w:t xml:space="preserve"> to secure more affordable tenancies and more protections for renters.</w:t>
      </w:r>
    </w:p>
    <w:p w14:paraId="286D8108" w14:textId="77777777" w:rsidR="00B449D0" w:rsidRDefault="00175344">
      <w:pPr>
        <w:pStyle w:val="Normal2"/>
      </w:pPr>
      <w:r w:rsidRPr="7F762F0D">
        <w:rPr>
          <w:lang w:val="en-US"/>
        </w:rPr>
        <w:t>The changes will improve outcomes for tenants including by requiring build‑to‑rent (BTR) operators to offer tenancies for a minimum of five years (instead of three years under the original measure), preventing BTR operators from using no‑fault evictions and requiring affordable tenancies to be managed in partnership with registered, not‑for‑profit community housing organisations.</w:t>
      </w:r>
    </w:p>
    <w:p w14:paraId="0BFBE361" w14:textId="77777777" w:rsidR="00B449D0" w:rsidRDefault="00175344">
      <w:pPr>
        <w:pStyle w:val="Normal2"/>
      </w:pPr>
      <w:r>
        <w:t>The Government has also extended eligibility for the reduced withholding tax rate to BTR developments constructed or under construction before 7.30 pm (AEST) on 9 May 2023, provided they meet all eligibility criteria, including providing affordable housing.</w:t>
      </w:r>
    </w:p>
    <w:p w14:paraId="594EC10D" w14:textId="3E1DE862" w:rsidR="00B449D0" w:rsidRDefault="00175344">
      <w:pPr>
        <w:pStyle w:val="Normal2"/>
      </w:pPr>
      <w:r w:rsidRPr="7F762F0D">
        <w:rPr>
          <w:lang w:val="en-US"/>
        </w:rPr>
        <w:t xml:space="preserve">Legislation to give effect to the revised policy will commence on 1 January 2025. This measure is estimated to decrease receipts by $45 million over </w:t>
      </w:r>
      <w:r w:rsidR="006B219D">
        <w:rPr>
          <w:lang w:val="en-US"/>
        </w:rPr>
        <w:t>five</w:t>
      </w:r>
      <w:r w:rsidRPr="7F762F0D">
        <w:rPr>
          <w:lang w:val="en-US"/>
        </w:rPr>
        <w:t> years from 2023–24.</w:t>
      </w:r>
    </w:p>
    <w:p w14:paraId="3D50EE22" w14:textId="77777777" w:rsidR="00B449D0" w:rsidRDefault="00175344">
      <w:pPr>
        <w:pStyle w:val="MeasureTitle"/>
      </w:pPr>
      <w:r>
        <w:lastRenderedPageBreak/>
        <w:t>Indirect Tax Concession Scheme – diplomatic and consular concessions</w:t>
      </w:r>
    </w:p>
    <w:p w14:paraId="64CC6318" w14:textId="77777777" w:rsidR="00B449D0" w:rsidRDefault="00175344">
      <w:pPr>
        <w:pStyle w:val="MeasureTableHeading"/>
      </w:pPr>
      <w:r>
        <w:t>Receipts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3431E9A8" w14:textId="77777777">
        <w:trPr>
          <w:cantSplit/>
        </w:trPr>
        <w:tc>
          <w:tcPr>
            <w:tcW w:w="2494" w:type="dxa"/>
            <w:tcBorders>
              <w:top w:val="single" w:sz="4" w:space="0" w:color="000000"/>
              <w:bottom w:val="single" w:sz="4" w:space="0" w:color="000000"/>
            </w:tcBorders>
          </w:tcPr>
          <w:p w14:paraId="10027A45" w14:textId="77777777" w:rsidR="00B449D0" w:rsidRDefault="00B449D0">
            <w:pPr>
              <w:pStyle w:val="MeasureTableYearHeadings"/>
              <w:keepNext/>
            </w:pPr>
          </w:p>
        </w:tc>
        <w:tc>
          <w:tcPr>
            <w:tcW w:w="1043" w:type="dxa"/>
            <w:tcBorders>
              <w:top w:val="single" w:sz="4" w:space="0" w:color="000000"/>
              <w:bottom w:val="single" w:sz="4" w:space="0" w:color="000000"/>
            </w:tcBorders>
          </w:tcPr>
          <w:p w14:paraId="4A1967C8" w14:textId="0B01056D"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4BAF3EC5" w14:textId="669A781A"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1D07E09D" w14:textId="1266AF28"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5240A0BB" w14:textId="08A08037"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1462FA88" w14:textId="51BF6A47" w:rsidR="00B449D0" w:rsidRDefault="00175344">
            <w:pPr>
              <w:pStyle w:val="MeasureTableYearHeadings"/>
              <w:keepNext/>
            </w:pPr>
            <w:r>
              <w:t>2027</w:t>
            </w:r>
            <w:r w:rsidR="00076D78">
              <w:noBreakHyphen/>
            </w:r>
            <w:r>
              <w:t>28</w:t>
            </w:r>
          </w:p>
        </w:tc>
      </w:tr>
      <w:tr w:rsidR="00B449D0" w14:paraId="11CD88D7" w14:textId="77777777">
        <w:trPr>
          <w:cantSplit/>
        </w:trPr>
        <w:tc>
          <w:tcPr>
            <w:tcW w:w="2494" w:type="dxa"/>
            <w:tcBorders>
              <w:top w:val="single" w:sz="4" w:space="0" w:color="000000"/>
              <w:bottom w:val="single" w:sz="4" w:space="0" w:color="000000"/>
            </w:tcBorders>
          </w:tcPr>
          <w:p w14:paraId="79DD98FC" w14:textId="77777777" w:rsidR="00B449D0" w:rsidRDefault="00175344">
            <w:pPr>
              <w:pStyle w:val="MeasureTableHeadingleftalignedwith2ptsspacing"/>
              <w:keepNext/>
            </w:pPr>
            <w:r>
              <w:t>Australian Taxation Office</w:t>
            </w:r>
          </w:p>
        </w:tc>
        <w:tc>
          <w:tcPr>
            <w:tcW w:w="1043" w:type="dxa"/>
            <w:tcBorders>
              <w:top w:val="single" w:sz="4" w:space="0" w:color="000000"/>
              <w:bottom w:val="single" w:sz="4" w:space="0" w:color="000000"/>
            </w:tcBorders>
          </w:tcPr>
          <w:p w14:paraId="4542FC46" w14:textId="09095606"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5D4E5AB" w14:textId="19ADA492" w:rsidR="00B449D0" w:rsidRDefault="00076D78">
            <w:pPr>
              <w:pStyle w:val="MeasureTableDataRightAlignedwith2ptsspacing"/>
              <w:keepNext/>
            </w:pPr>
            <w:r>
              <w:noBreakHyphen/>
            </w:r>
            <w:r w:rsidR="00175344">
              <w:t>1.4</w:t>
            </w:r>
          </w:p>
        </w:tc>
        <w:tc>
          <w:tcPr>
            <w:tcW w:w="1043" w:type="dxa"/>
            <w:tcBorders>
              <w:top w:val="single" w:sz="4" w:space="0" w:color="000000"/>
              <w:bottom w:val="single" w:sz="4" w:space="0" w:color="000000"/>
            </w:tcBorders>
          </w:tcPr>
          <w:p w14:paraId="437B9B9A" w14:textId="502360D9" w:rsidR="00B449D0" w:rsidRDefault="00076D78">
            <w:pPr>
              <w:pStyle w:val="MeasureTableDataRightAlignedwith2ptsspacing"/>
              <w:keepNext/>
            </w:pPr>
            <w:r>
              <w:noBreakHyphen/>
            </w:r>
            <w:r w:rsidR="00175344">
              <w:t>0.7</w:t>
            </w:r>
          </w:p>
        </w:tc>
        <w:tc>
          <w:tcPr>
            <w:tcW w:w="1043" w:type="dxa"/>
            <w:tcBorders>
              <w:top w:val="single" w:sz="4" w:space="0" w:color="000000"/>
              <w:bottom w:val="single" w:sz="4" w:space="0" w:color="000000"/>
            </w:tcBorders>
          </w:tcPr>
          <w:p w14:paraId="780D2B8C" w14:textId="62360765" w:rsidR="00B449D0" w:rsidRDefault="00076D78">
            <w:pPr>
              <w:pStyle w:val="MeasureTableDataRightAlignedwith2ptsspacing"/>
              <w:keepNext/>
            </w:pPr>
            <w:r>
              <w:noBreakHyphen/>
            </w:r>
            <w:r w:rsidR="00175344">
              <w:t>0.2</w:t>
            </w:r>
          </w:p>
        </w:tc>
        <w:tc>
          <w:tcPr>
            <w:tcW w:w="1043" w:type="dxa"/>
            <w:tcBorders>
              <w:top w:val="single" w:sz="4" w:space="0" w:color="000000"/>
              <w:bottom w:val="single" w:sz="4" w:space="0" w:color="000000"/>
            </w:tcBorders>
          </w:tcPr>
          <w:p w14:paraId="2C4C9A70" w14:textId="1DD70A65" w:rsidR="00B449D0" w:rsidRDefault="00D45BF5">
            <w:pPr>
              <w:pStyle w:val="MeasureTableDataRightAlignedwith2ptsspacing"/>
              <w:keepNext/>
            </w:pPr>
            <w:r>
              <w:t>..</w:t>
            </w:r>
          </w:p>
        </w:tc>
      </w:tr>
      <w:tr w:rsidR="00B449D0" w14:paraId="6595A58D" w14:textId="77777777">
        <w:trPr>
          <w:cantSplit/>
        </w:trPr>
        <w:tc>
          <w:tcPr>
            <w:tcW w:w="2494" w:type="dxa"/>
          </w:tcPr>
          <w:p w14:paraId="150764E5" w14:textId="77777777" w:rsidR="00B449D0" w:rsidRDefault="00175344">
            <w:pPr>
              <w:pStyle w:val="AgencyName"/>
              <w:keepNext/>
            </w:pPr>
            <w:r>
              <w:t>Related payments ($m)</w:t>
            </w:r>
          </w:p>
        </w:tc>
        <w:tc>
          <w:tcPr>
            <w:tcW w:w="1043" w:type="dxa"/>
          </w:tcPr>
          <w:p w14:paraId="57B64EED" w14:textId="77777777" w:rsidR="00B449D0" w:rsidRDefault="00B449D0">
            <w:pPr>
              <w:pStyle w:val="AgencyName"/>
              <w:keepNext/>
            </w:pPr>
          </w:p>
        </w:tc>
        <w:tc>
          <w:tcPr>
            <w:tcW w:w="1043" w:type="dxa"/>
          </w:tcPr>
          <w:p w14:paraId="07FEBA9C" w14:textId="77777777" w:rsidR="00B449D0" w:rsidRDefault="00B449D0">
            <w:pPr>
              <w:pStyle w:val="AgencyName"/>
              <w:keepNext/>
            </w:pPr>
          </w:p>
        </w:tc>
        <w:tc>
          <w:tcPr>
            <w:tcW w:w="1043" w:type="dxa"/>
          </w:tcPr>
          <w:p w14:paraId="5249A459" w14:textId="77777777" w:rsidR="00B449D0" w:rsidRDefault="00B449D0">
            <w:pPr>
              <w:pStyle w:val="AgencyName"/>
              <w:keepNext/>
            </w:pPr>
          </w:p>
        </w:tc>
        <w:tc>
          <w:tcPr>
            <w:tcW w:w="1043" w:type="dxa"/>
          </w:tcPr>
          <w:p w14:paraId="6E32D494" w14:textId="77777777" w:rsidR="00B449D0" w:rsidRDefault="00B449D0">
            <w:pPr>
              <w:pStyle w:val="AgencyName"/>
              <w:keepNext/>
            </w:pPr>
          </w:p>
        </w:tc>
        <w:tc>
          <w:tcPr>
            <w:tcW w:w="1043" w:type="dxa"/>
          </w:tcPr>
          <w:p w14:paraId="2F122156" w14:textId="77777777" w:rsidR="00B449D0" w:rsidRDefault="00B449D0">
            <w:pPr>
              <w:pStyle w:val="AgencyName"/>
              <w:keepNext/>
            </w:pPr>
          </w:p>
        </w:tc>
      </w:tr>
      <w:tr w:rsidR="00B449D0" w14:paraId="745DD732" w14:textId="77777777">
        <w:tc>
          <w:tcPr>
            <w:tcW w:w="2494" w:type="dxa"/>
          </w:tcPr>
          <w:p w14:paraId="38FCECBD" w14:textId="77777777" w:rsidR="00B449D0" w:rsidRDefault="00175344">
            <w:pPr>
              <w:pStyle w:val="AgencyNamewith2ptsspacing"/>
              <w:keepNext/>
            </w:pPr>
            <w:r>
              <w:t>Department of the Treasury</w:t>
            </w:r>
          </w:p>
        </w:tc>
        <w:tc>
          <w:tcPr>
            <w:tcW w:w="1043" w:type="dxa"/>
          </w:tcPr>
          <w:p w14:paraId="5A12D252" w14:textId="54C8B863" w:rsidR="00B449D0" w:rsidRDefault="00076D78">
            <w:pPr>
              <w:pStyle w:val="Measuretabledatarightaligneditalics"/>
              <w:keepNext/>
            </w:pPr>
            <w:r>
              <w:noBreakHyphen/>
            </w:r>
          </w:p>
        </w:tc>
        <w:tc>
          <w:tcPr>
            <w:tcW w:w="1043" w:type="dxa"/>
          </w:tcPr>
          <w:p w14:paraId="1F1B6E74" w14:textId="1B25EA2E" w:rsidR="00B449D0" w:rsidRDefault="00076D78">
            <w:pPr>
              <w:pStyle w:val="Measuretabledatarightaligneditalics"/>
              <w:keepNext/>
            </w:pPr>
            <w:r>
              <w:noBreakHyphen/>
            </w:r>
            <w:r w:rsidR="00175344">
              <w:t>1.4</w:t>
            </w:r>
          </w:p>
        </w:tc>
        <w:tc>
          <w:tcPr>
            <w:tcW w:w="1043" w:type="dxa"/>
          </w:tcPr>
          <w:p w14:paraId="7A6929BC" w14:textId="41B2CDCB" w:rsidR="00B449D0" w:rsidRDefault="00076D78">
            <w:pPr>
              <w:pStyle w:val="Measuretabledatarightaligneditalics"/>
              <w:keepNext/>
            </w:pPr>
            <w:r>
              <w:noBreakHyphen/>
            </w:r>
            <w:r w:rsidR="00175344">
              <w:t>0.7</w:t>
            </w:r>
          </w:p>
        </w:tc>
        <w:tc>
          <w:tcPr>
            <w:tcW w:w="1043" w:type="dxa"/>
          </w:tcPr>
          <w:p w14:paraId="2F730A15" w14:textId="71BDFC2D" w:rsidR="00B449D0" w:rsidRDefault="00076D78">
            <w:pPr>
              <w:pStyle w:val="Measuretabledatarightaligneditalics"/>
              <w:keepNext/>
            </w:pPr>
            <w:r>
              <w:noBreakHyphen/>
            </w:r>
            <w:r w:rsidR="00175344">
              <w:t>0.2</w:t>
            </w:r>
          </w:p>
        </w:tc>
        <w:tc>
          <w:tcPr>
            <w:tcW w:w="1043" w:type="dxa"/>
          </w:tcPr>
          <w:p w14:paraId="6B5699F9" w14:textId="1C68D843" w:rsidR="00B449D0" w:rsidRDefault="00237DFE">
            <w:pPr>
              <w:pStyle w:val="Measuretabledatarightaligneditalics"/>
              <w:keepNext/>
            </w:pPr>
            <w:r>
              <w:t>..</w:t>
            </w:r>
          </w:p>
        </w:tc>
      </w:tr>
    </w:tbl>
    <w:p w14:paraId="4F158F2D" w14:textId="77777777" w:rsidR="00B449D0" w:rsidRPr="00BA7366" w:rsidRDefault="00B449D0" w:rsidP="00380A42">
      <w:pPr>
        <w:pStyle w:val="SingleParagraph0"/>
      </w:pPr>
    </w:p>
    <w:p w14:paraId="09228E7D" w14:textId="77777777" w:rsidR="00B449D0" w:rsidRDefault="00175344">
      <w:pPr>
        <w:pStyle w:val="Normal2"/>
      </w:pPr>
      <w:r w:rsidRPr="7F762F0D">
        <w:rPr>
          <w:lang w:val="en-US"/>
        </w:rPr>
        <w:t>The Government has extended refunds of indirect tax (including GST, fuel and alcohol taxes) under the Indirect Tax Concession Scheme (ITCS). New access to refunds has been provided to France and Bangladesh relating to the construction and renovation of their current and future diplomatic missions and consular posts. Oman will also have ITCS access extended for its Embassy and applicable accredited staff.</w:t>
      </w:r>
    </w:p>
    <w:p w14:paraId="0DC0FC6C" w14:textId="7D3D41F3" w:rsidR="00B449D0" w:rsidRDefault="00175344">
      <w:pPr>
        <w:pStyle w:val="Normal2"/>
      </w:pPr>
      <w:r>
        <w:t xml:space="preserve">This measure is estimated to decrease receipts by $2.3 million and decrease GST payments to the states and territories by $2.3 million over </w:t>
      </w:r>
      <w:r w:rsidR="0055212A">
        <w:t>five</w:t>
      </w:r>
      <w:r>
        <w:t> years from 2023–24.</w:t>
      </w:r>
    </w:p>
    <w:p w14:paraId="3FA078C0" w14:textId="77777777" w:rsidR="00B449D0" w:rsidRDefault="00175344">
      <w:pPr>
        <w:pStyle w:val="MeasureTitle"/>
      </w:pPr>
      <w:r>
        <w:t>International Tax – signing of the Australia‑Slovenia Tax Treaty</w:t>
      </w:r>
    </w:p>
    <w:p w14:paraId="0A453C77" w14:textId="77777777" w:rsidR="00B449D0" w:rsidRDefault="00175344">
      <w:pPr>
        <w:pStyle w:val="MeasureTableHeading"/>
      </w:pPr>
      <w:r>
        <w:t>Receipts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1A8C8E00" w14:textId="77777777">
        <w:trPr>
          <w:cantSplit/>
        </w:trPr>
        <w:tc>
          <w:tcPr>
            <w:tcW w:w="2494" w:type="dxa"/>
            <w:tcBorders>
              <w:top w:val="single" w:sz="4" w:space="0" w:color="000000"/>
              <w:bottom w:val="single" w:sz="4" w:space="0" w:color="000000"/>
            </w:tcBorders>
          </w:tcPr>
          <w:p w14:paraId="1D2D4520" w14:textId="77777777" w:rsidR="00B449D0" w:rsidRDefault="00B449D0">
            <w:pPr>
              <w:pStyle w:val="MeasureTableYearHeadings"/>
              <w:keepNext/>
            </w:pPr>
          </w:p>
        </w:tc>
        <w:tc>
          <w:tcPr>
            <w:tcW w:w="1043" w:type="dxa"/>
            <w:tcBorders>
              <w:top w:val="single" w:sz="4" w:space="0" w:color="000000"/>
              <w:bottom w:val="single" w:sz="4" w:space="0" w:color="000000"/>
            </w:tcBorders>
          </w:tcPr>
          <w:p w14:paraId="6CC19053" w14:textId="73266712"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58CAA6BA" w14:textId="61AE6601"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716B2108" w14:textId="6EF799C9"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35DF2C96" w14:textId="72BE8B93"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4DBE59EC" w14:textId="1FBAC12B" w:rsidR="00B449D0" w:rsidRDefault="00175344">
            <w:pPr>
              <w:pStyle w:val="MeasureTableYearHeadings"/>
              <w:keepNext/>
            </w:pPr>
            <w:r>
              <w:t>2027</w:t>
            </w:r>
            <w:r w:rsidR="00076D78">
              <w:noBreakHyphen/>
            </w:r>
            <w:r>
              <w:t>28</w:t>
            </w:r>
          </w:p>
        </w:tc>
      </w:tr>
      <w:tr w:rsidR="00B449D0" w14:paraId="4D85C7E0" w14:textId="77777777">
        <w:trPr>
          <w:cantSplit/>
        </w:trPr>
        <w:tc>
          <w:tcPr>
            <w:tcW w:w="2494" w:type="dxa"/>
            <w:tcBorders>
              <w:top w:val="single" w:sz="4" w:space="0" w:color="000000"/>
              <w:bottom w:val="single" w:sz="4" w:space="0" w:color="000000"/>
            </w:tcBorders>
          </w:tcPr>
          <w:p w14:paraId="1D30529F" w14:textId="77777777" w:rsidR="00B449D0" w:rsidRDefault="00175344">
            <w:pPr>
              <w:pStyle w:val="MeasureTableHeadingleftalignedwith2ptsspacing"/>
              <w:keepNext/>
            </w:pPr>
            <w:r>
              <w:t>Australian Taxation Office</w:t>
            </w:r>
          </w:p>
        </w:tc>
        <w:tc>
          <w:tcPr>
            <w:tcW w:w="1043" w:type="dxa"/>
            <w:tcBorders>
              <w:top w:val="single" w:sz="4" w:space="0" w:color="000000"/>
              <w:bottom w:val="single" w:sz="4" w:space="0" w:color="000000"/>
            </w:tcBorders>
          </w:tcPr>
          <w:p w14:paraId="61DE4F36" w14:textId="14B80731"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891C653" w14:textId="483C35D9"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B7233B8" w14:textId="07E6879A" w:rsidR="00B449D0" w:rsidRDefault="003E2AEA">
            <w:pPr>
              <w:pStyle w:val="MeasureTableDataRightAlignedwith2ptsspacing"/>
              <w:keepNext/>
            </w:pPr>
            <w:r>
              <w:t>..</w:t>
            </w:r>
          </w:p>
        </w:tc>
        <w:tc>
          <w:tcPr>
            <w:tcW w:w="1043" w:type="dxa"/>
            <w:tcBorders>
              <w:top w:val="single" w:sz="4" w:space="0" w:color="000000"/>
              <w:bottom w:val="single" w:sz="4" w:space="0" w:color="000000"/>
            </w:tcBorders>
          </w:tcPr>
          <w:p w14:paraId="67370451" w14:textId="67B86F3A" w:rsidR="00B449D0" w:rsidRDefault="003E2AEA">
            <w:pPr>
              <w:pStyle w:val="MeasureTableDataRightAlignedwith2ptsspacing"/>
              <w:keepNext/>
            </w:pPr>
            <w:r>
              <w:t>..</w:t>
            </w:r>
          </w:p>
        </w:tc>
        <w:tc>
          <w:tcPr>
            <w:tcW w:w="1043" w:type="dxa"/>
            <w:tcBorders>
              <w:top w:val="single" w:sz="4" w:space="0" w:color="000000"/>
              <w:bottom w:val="single" w:sz="4" w:space="0" w:color="000000"/>
            </w:tcBorders>
          </w:tcPr>
          <w:p w14:paraId="44AD759C" w14:textId="1500C31B" w:rsidR="00B449D0" w:rsidRDefault="003E2AEA">
            <w:pPr>
              <w:pStyle w:val="MeasureTableDataRightAlignedwith2ptsspacing"/>
              <w:keepNext/>
            </w:pPr>
            <w:r>
              <w:t>..</w:t>
            </w:r>
          </w:p>
        </w:tc>
      </w:tr>
    </w:tbl>
    <w:p w14:paraId="2051ACED" w14:textId="77777777" w:rsidR="00B449D0" w:rsidRPr="00BA7366" w:rsidRDefault="00B449D0" w:rsidP="00380A42">
      <w:pPr>
        <w:pStyle w:val="SingleParagraph0"/>
      </w:pPr>
    </w:p>
    <w:p w14:paraId="7863BDB0" w14:textId="77777777" w:rsidR="00B449D0" w:rsidRDefault="00175344">
      <w:pPr>
        <w:pStyle w:val="Normal2"/>
      </w:pPr>
      <w:r>
        <w:t xml:space="preserve">The Government signed the </w:t>
      </w:r>
      <w:r w:rsidRPr="00175344">
        <w:rPr>
          <w:i/>
        </w:rPr>
        <w:t>Convention between Australia and the Republic of Slovenia for the Elimination of Double Taxation with respect to Taxes on Income and the Prevention of Tax Evasion and Avoidance</w:t>
      </w:r>
      <w:r>
        <w:t xml:space="preserve"> on 9 September 2024. The Convention will enter into force after both Australia and Slovenia have completed their domestic processes for ratification.</w:t>
      </w:r>
    </w:p>
    <w:p w14:paraId="2570EE9E" w14:textId="50525624" w:rsidR="00B449D0" w:rsidRDefault="00175344">
      <w:pPr>
        <w:pStyle w:val="Normal2"/>
      </w:pPr>
      <w:r w:rsidRPr="7F762F0D">
        <w:rPr>
          <w:lang w:val="en-US"/>
        </w:rPr>
        <w:t>The Convention facilitates trade and investment between Australia and Slovenia by reducing double taxation, lowering withholding tax rates and improving certainty for taxpayers in both countries. It is also in line with the G20/OECD Base Erosion and Profit Shifting recommendations, in accordance with the Government</w:t>
      </w:r>
      <w:r w:rsidR="00076D78">
        <w:rPr>
          <w:lang w:val="en-US"/>
        </w:rPr>
        <w:t>’</w:t>
      </w:r>
      <w:r w:rsidRPr="7F762F0D">
        <w:rPr>
          <w:lang w:val="en-US"/>
        </w:rPr>
        <w:t>s commitment to tax integrity.</w:t>
      </w:r>
    </w:p>
    <w:p w14:paraId="787EE99A" w14:textId="32180FA6" w:rsidR="00B449D0" w:rsidRDefault="00175344">
      <w:pPr>
        <w:pStyle w:val="Normal2"/>
      </w:pPr>
      <w:r>
        <w:t xml:space="preserve">This measure is estimated to result in a negligible decrease in receipts over </w:t>
      </w:r>
      <w:r w:rsidR="00B251E7">
        <w:t>five</w:t>
      </w:r>
      <w:r>
        <w:t> years from 2023–24.</w:t>
      </w:r>
    </w:p>
    <w:p w14:paraId="37D4C0B7" w14:textId="073DB2AE" w:rsidR="00B449D0" w:rsidRDefault="00175344">
      <w:pPr>
        <w:pStyle w:val="MeasureTitle"/>
      </w:pPr>
      <w:r>
        <w:lastRenderedPageBreak/>
        <w:t xml:space="preserve">Legacy </w:t>
      </w:r>
      <w:r w:rsidR="009717EF">
        <w:t>S</w:t>
      </w:r>
      <w:r>
        <w:t xml:space="preserve">uperannuation </w:t>
      </w:r>
      <w:r w:rsidR="009717EF">
        <w:t>R</w:t>
      </w:r>
      <w:r>
        <w:t xml:space="preserve">etirement </w:t>
      </w:r>
      <w:r w:rsidR="009717EF">
        <w:t>P</w:t>
      </w:r>
      <w:r>
        <w:t xml:space="preserve">roduct </w:t>
      </w:r>
      <w:r w:rsidR="009717EF">
        <w:t>C</w:t>
      </w:r>
      <w:r>
        <w:t xml:space="preserve">onversions and </w:t>
      </w:r>
      <w:r w:rsidR="009717EF">
        <w:t>R</w:t>
      </w:r>
      <w:r>
        <w:t>eserves</w:t>
      </w:r>
    </w:p>
    <w:p w14:paraId="77F20B69" w14:textId="77777777" w:rsidR="00B449D0" w:rsidRDefault="00175344">
      <w:pPr>
        <w:pStyle w:val="MeasureTableHeading"/>
      </w:pPr>
      <w:r>
        <w:t>Receipts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2CB474B8" w14:textId="77777777">
        <w:trPr>
          <w:cantSplit/>
        </w:trPr>
        <w:tc>
          <w:tcPr>
            <w:tcW w:w="2494" w:type="dxa"/>
            <w:tcBorders>
              <w:top w:val="single" w:sz="4" w:space="0" w:color="000000"/>
              <w:bottom w:val="single" w:sz="4" w:space="0" w:color="000000"/>
            </w:tcBorders>
          </w:tcPr>
          <w:p w14:paraId="1BACC0AB" w14:textId="77777777" w:rsidR="00B449D0" w:rsidRDefault="00B449D0">
            <w:pPr>
              <w:pStyle w:val="MeasureTableYearHeadings"/>
              <w:keepNext/>
            </w:pPr>
          </w:p>
        </w:tc>
        <w:tc>
          <w:tcPr>
            <w:tcW w:w="1043" w:type="dxa"/>
            <w:tcBorders>
              <w:top w:val="single" w:sz="4" w:space="0" w:color="000000"/>
              <w:bottom w:val="single" w:sz="4" w:space="0" w:color="000000"/>
            </w:tcBorders>
          </w:tcPr>
          <w:p w14:paraId="4D682DF9" w14:textId="6E3B414A"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30B878BC" w14:textId="4DE36296"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2FFC7E84" w14:textId="5CE9A649"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048E6CF7" w14:textId="4CA19AB5"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66F6FF7E" w14:textId="48132DCE" w:rsidR="00B449D0" w:rsidRDefault="00175344">
            <w:pPr>
              <w:pStyle w:val="MeasureTableYearHeadings"/>
              <w:keepNext/>
            </w:pPr>
            <w:r>
              <w:t>2027</w:t>
            </w:r>
            <w:r w:rsidR="00076D78">
              <w:noBreakHyphen/>
            </w:r>
            <w:r>
              <w:t>28</w:t>
            </w:r>
          </w:p>
        </w:tc>
      </w:tr>
      <w:tr w:rsidR="00B449D0" w14:paraId="207EA79A" w14:textId="77777777">
        <w:trPr>
          <w:cantSplit/>
        </w:trPr>
        <w:tc>
          <w:tcPr>
            <w:tcW w:w="2494" w:type="dxa"/>
            <w:tcBorders>
              <w:top w:val="single" w:sz="4" w:space="0" w:color="000000"/>
              <w:bottom w:val="single" w:sz="4" w:space="0" w:color="000000"/>
            </w:tcBorders>
          </w:tcPr>
          <w:p w14:paraId="21EE788F" w14:textId="77777777" w:rsidR="00B449D0" w:rsidRDefault="00175344">
            <w:pPr>
              <w:pStyle w:val="MeasureTableHeadingleftalignedwith2ptsspacing"/>
              <w:keepNext/>
            </w:pPr>
            <w:r>
              <w:t>Australian Taxation Office</w:t>
            </w:r>
          </w:p>
        </w:tc>
        <w:tc>
          <w:tcPr>
            <w:tcW w:w="1043" w:type="dxa"/>
            <w:tcBorders>
              <w:top w:val="single" w:sz="4" w:space="0" w:color="000000"/>
              <w:bottom w:val="single" w:sz="4" w:space="0" w:color="000000"/>
            </w:tcBorders>
          </w:tcPr>
          <w:p w14:paraId="5493C4E3" w14:textId="47610562"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3F5287C" w14:textId="77777777" w:rsidR="00B449D0" w:rsidRDefault="00175344">
            <w:pPr>
              <w:pStyle w:val="MeasureTableDataRightAlignedwith2ptsspacing"/>
              <w:keepNext/>
            </w:pPr>
            <w:r>
              <w:t>*</w:t>
            </w:r>
          </w:p>
        </w:tc>
        <w:tc>
          <w:tcPr>
            <w:tcW w:w="1043" w:type="dxa"/>
            <w:tcBorders>
              <w:top w:val="single" w:sz="4" w:space="0" w:color="000000"/>
              <w:bottom w:val="single" w:sz="4" w:space="0" w:color="000000"/>
            </w:tcBorders>
          </w:tcPr>
          <w:p w14:paraId="2F1EE5BB" w14:textId="77777777" w:rsidR="00B449D0" w:rsidRDefault="00175344">
            <w:pPr>
              <w:pStyle w:val="MeasureTableDataRightAlignedwith2ptsspacing"/>
              <w:keepNext/>
            </w:pPr>
            <w:r>
              <w:t>*</w:t>
            </w:r>
          </w:p>
        </w:tc>
        <w:tc>
          <w:tcPr>
            <w:tcW w:w="1043" w:type="dxa"/>
            <w:tcBorders>
              <w:top w:val="single" w:sz="4" w:space="0" w:color="000000"/>
              <w:bottom w:val="single" w:sz="4" w:space="0" w:color="000000"/>
            </w:tcBorders>
          </w:tcPr>
          <w:p w14:paraId="4F5FF1C0" w14:textId="77777777" w:rsidR="00B449D0" w:rsidRDefault="00175344">
            <w:pPr>
              <w:pStyle w:val="MeasureTableDataRightAlignedwith2ptsspacing"/>
              <w:keepNext/>
            </w:pPr>
            <w:r>
              <w:t>*</w:t>
            </w:r>
          </w:p>
        </w:tc>
        <w:tc>
          <w:tcPr>
            <w:tcW w:w="1043" w:type="dxa"/>
            <w:tcBorders>
              <w:top w:val="single" w:sz="4" w:space="0" w:color="000000"/>
              <w:bottom w:val="single" w:sz="4" w:space="0" w:color="000000"/>
            </w:tcBorders>
          </w:tcPr>
          <w:p w14:paraId="2ECA4325" w14:textId="77777777" w:rsidR="00B449D0" w:rsidRDefault="00175344">
            <w:pPr>
              <w:pStyle w:val="MeasureTableDataRightAlignedwith2ptsspacing"/>
              <w:keepNext/>
            </w:pPr>
            <w:r>
              <w:t>*</w:t>
            </w:r>
          </w:p>
        </w:tc>
      </w:tr>
      <w:tr w:rsidR="00B449D0" w14:paraId="4DD2B24C" w14:textId="77777777">
        <w:trPr>
          <w:cantSplit/>
        </w:trPr>
        <w:tc>
          <w:tcPr>
            <w:tcW w:w="2494" w:type="dxa"/>
          </w:tcPr>
          <w:p w14:paraId="35F08B86" w14:textId="77777777" w:rsidR="00B449D0" w:rsidRDefault="00175344">
            <w:pPr>
              <w:pStyle w:val="AgencyName"/>
              <w:keepNext/>
            </w:pPr>
            <w:r>
              <w:t>Related payments ($m)</w:t>
            </w:r>
          </w:p>
        </w:tc>
        <w:tc>
          <w:tcPr>
            <w:tcW w:w="1043" w:type="dxa"/>
          </w:tcPr>
          <w:p w14:paraId="68255F94" w14:textId="77777777" w:rsidR="00B449D0" w:rsidRDefault="00B449D0">
            <w:pPr>
              <w:pStyle w:val="AgencyName"/>
              <w:keepNext/>
            </w:pPr>
          </w:p>
        </w:tc>
        <w:tc>
          <w:tcPr>
            <w:tcW w:w="1043" w:type="dxa"/>
          </w:tcPr>
          <w:p w14:paraId="7CD0B10A" w14:textId="77777777" w:rsidR="00B449D0" w:rsidRDefault="00B449D0">
            <w:pPr>
              <w:pStyle w:val="AgencyName"/>
              <w:keepNext/>
            </w:pPr>
          </w:p>
        </w:tc>
        <w:tc>
          <w:tcPr>
            <w:tcW w:w="1043" w:type="dxa"/>
          </w:tcPr>
          <w:p w14:paraId="6D24CBA2" w14:textId="77777777" w:rsidR="00B449D0" w:rsidRDefault="00B449D0">
            <w:pPr>
              <w:pStyle w:val="AgencyName"/>
              <w:keepNext/>
            </w:pPr>
          </w:p>
        </w:tc>
        <w:tc>
          <w:tcPr>
            <w:tcW w:w="1043" w:type="dxa"/>
          </w:tcPr>
          <w:p w14:paraId="37A5018F" w14:textId="77777777" w:rsidR="00B449D0" w:rsidRDefault="00B449D0">
            <w:pPr>
              <w:pStyle w:val="AgencyName"/>
              <w:keepNext/>
            </w:pPr>
          </w:p>
        </w:tc>
        <w:tc>
          <w:tcPr>
            <w:tcW w:w="1043" w:type="dxa"/>
          </w:tcPr>
          <w:p w14:paraId="5039A097" w14:textId="77777777" w:rsidR="00B449D0" w:rsidRDefault="00B449D0">
            <w:pPr>
              <w:pStyle w:val="AgencyName"/>
              <w:keepNext/>
            </w:pPr>
          </w:p>
        </w:tc>
      </w:tr>
      <w:tr w:rsidR="00B449D0" w14:paraId="2FAE8F4B" w14:textId="77777777">
        <w:tc>
          <w:tcPr>
            <w:tcW w:w="2494" w:type="dxa"/>
          </w:tcPr>
          <w:p w14:paraId="270EE79A" w14:textId="77777777" w:rsidR="00B449D0" w:rsidRDefault="00175344">
            <w:pPr>
              <w:pStyle w:val="AgencyNamewith2ptsspacing"/>
              <w:keepNext/>
            </w:pPr>
            <w:r>
              <w:t>Services Australia</w:t>
            </w:r>
          </w:p>
        </w:tc>
        <w:tc>
          <w:tcPr>
            <w:tcW w:w="1043" w:type="dxa"/>
          </w:tcPr>
          <w:p w14:paraId="01D7B832" w14:textId="740A136C" w:rsidR="00B449D0" w:rsidRDefault="00076D78">
            <w:pPr>
              <w:pStyle w:val="Measuretabledatarightaligneditalics"/>
              <w:keepNext/>
            </w:pPr>
            <w:r>
              <w:noBreakHyphen/>
            </w:r>
          </w:p>
        </w:tc>
        <w:tc>
          <w:tcPr>
            <w:tcW w:w="1043" w:type="dxa"/>
          </w:tcPr>
          <w:p w14:paraId="4BC200F3" w14:textId="77777777" w:rsidR="00B449D0" w:rsidRDefault="00175344">
            <w:pPr>
              <w:pStyle w:val="Measuretabledatarightaligneditalics"/>
              <w:keepNext/>
            </w:pPr>
            <w:r>
              <w:t>2.6</w:t>
            </w:r>
          </w:p>
        </w:tc>
        <w:tc>
          <w:tcPr>
            <w:tcW w:w="1043" w:type="dxa"/>
          </w:tcPr>
          <w:p w14:paraId="6CAB3940" w14:textId="77777777" w:rsidR="00B449D0" w:rsidRDefault="00175344">
            <w:pPr>
              <w:pStyle w:val="Measuretabledatarightaligneditalics"/>
              <w:keepNext/>
            </w:pPr>
            <w:r>
              <w:t>1.0</w:t>
            </w:r>
          </w:p>
        </w:tc>
        <w:tc>
          <w:tcPr>
            <w:tcW w:w="1043" w:type="dxa"/>
          </w:tcPr>
          <w:p w14:paraId="7FC04E52" w14:textId="77777777" w:rsidR="00B449D0" w:rsidRDefault="00175344">
            <w:pPr>
              <w:pStyle w:val="Measuretabledatarightaligneditalics"/>
              <w:keepNext/>
            </w:pPr>
            <w:r>
              <w:t>1.0</w:t>
            </w:r>
          </w:p>
        </w:tc>
        <w:tc>
          <w:tcPr>
            <w:tcW w:w="1043" w:type="dxa"/>
          </w:tcPr>
          <w:p w14:paraId="0F89AC95" w14:textId="77777777" w:rsidR="00B449D0" w:rsidRDefault="00175344">
            <w:pPr>
              <w:pStyle w:val="Measuretabledatarightaligneditalics"/>
              <w:keepNext/>
            </w:pPr>
            <w:r>
              <w:t>1.0</w:t>
            </w:r>
          </w:p>
        </w:tc>
      </w:tr>
      <w:tr w:rsidR="00B449D0" w14:paraId="7BEB2E1F" w14:textId="77777777">
        <w:trPr>
          <w:cantSplit/>
        </w:trPr>
        <w:tc>
          <w:tcPr>
            <w:tcW w:w="2494" w:type="dxa"/>
            <w:tcBorders>
              <w:top w:val="single" w:sz="4" w:space="0" w:color="000000"/>
              <w:bottom w:val="single" w:sz="4" w:space="0" w:color="000000"/>
            </w:tcBorders>
          </w:tcPr>
          <w:p w14:paraId="56BC0ECE" w14:textId="77777777" w:rsidR="00B449D0" w:rsidRDefault="00175344">
            <w:pPr>
              <w:pStyle w:val="AgencyNamewith2ptsspacing"/>
              <w:keepNext/>
            </w:pPr>
            <w:r>
              <w:t>Department of Social Services</w:t>
            </w:r>
          </w:p>
        </w:tc>
        <w:tc>
          <w:tcPr>
            <w:tcW w:w="1043" w:type="dxa"/>
            <w:tcBorders>
              <w:top w:val="single" w:sz="4" w:space="0" w:color="000000"/>
              <w:bottom w:val="single" w:sz="4" w:space="0" w:color="000000"/>
            </w:tcBorders>
          </w:tcPr>
          <w:p w14:paraId="0790D785" w14:textId="029618F5" w:rsidR="00B449D0" w:rsidRDefault="00076D78">
            <w:pPr>
              <w:pStyle w:val="Measuretabledatarightaligneditalics"/>
              <w:keepNext/>
            </w:pPr>
            <w:r>
              <w:noBreakHyphen/>
            </w:r>
          </w:p>
        </w:tc>
        <w:tc>
          <w:tcPr>
            <w:tcW w:w="1043" w:type="dxa"/>
            <w:tcBorders>
              <w:top w:val="single" w:sz="4" w:space="0" w:color="000000"/>
              <w:bottom w:val="single" w:sz="4" w:space="0" w:color="000000"/>
            </w:tcBorders>
          </w:tcPr>
          <w:p w14:paraId="5AA8C542" w14:textId="77777777" w:rsidR="00B449D0" w:rsidRDefault="00175344">
            <w:pPr>
              <w:pStyle w:val="Measuretabledatarightaligneditalics"/>
              <w:keepNext/>
            </w:pPr>
            <w:r>
              <w:t>0.4</w:t>
            </w:r>
          </w:p>
        </w:tc>
        <w:tc>
          <w:tcPr>
            <w:tcW w:w="1043" w:type="dxa"/>
            <w:tcBorders>
              <w:top w:val="single" w:sz="4" w:space="0" w:color="000000"/>
              <w:bottom w:val="single" w:sz="4" w:space="0" w:color="000000"/>
            </w:tcBorders>
          </w:tcPr>
          <w:p w14:paraId="17A45ACF" w14:textId="77777777" w:rsidR="00B449D0" w:rsidRDefault="00175344">
            <w:pPr>
              <w:pStyle w:val="Measuretabledatarightaligneditalics"/>
              <w:keepNext/>
            </w:pPr>
            <w:r>
              <w:t>2.4</w:t>
            </w:r>
          </w:p>
        </w:tc>
        <w:tc>
          <w:tcPr>
            <w:tcW w:w="1043" w:type="dxa"/>
            <w:tcBorders>
              <w:top w:val="single" w:sz="4" w:space="0" w:color="000000"/>
              <w:bottom w:val="single" w:sz="4" w:space="0" w:color="000000"/>
            </w:tcBorders>
          </w:tcPr>
          <w:p w14:paraId="173C64E9" w14:textId="77777777" w:rsidR="00B449D0" w:rsidRDefault="00175344">
            <w:pPr>
              <w:pStyle w:val="Measuretabledatarightaligneditalics"/>
              <w:keepNext/>
            </w:pPr>
            <w:r>
              <w:t>4.7</w:t>
            </w:r>
          </w:p>
        </w:tc>
        <w:tc>
          <w:tcPr>
            <w:tcW w:w="1043" w:type="dxa"/>
            <w:tcBorders>
              <w:top w:val="single" w:sz="4" w:space="0" w:color="000000"/>
              <w:bottom w:val="single" w:sz="4" w:space="0" w:color="000000"/>
            </w:tcBorders>
          </w:tcPr>
          <w:p w14:paraId="02F7EA7B" w14:textId="77777777" w:rsidR="00B449D0" w:rsidRDefault="00175344">
            <w:pPr>
              <w:pStyle w:val="Measuretabledatarightaligneditalics"/>
              <w:keepNext/>
            </w:pPr>
            <w:r>
              <w:t>7.1</w:t>
            </w:r>
          </w:p>
        </w:tc>
      </w:tr>
      <w:tr w:rsidR="00B449D0" w14:paraId="0BA9DED3" w14:textId="77777777">
        <w:trPr>
          <w:cantSplit/>
        </w:trPr>
        <w:tc>
          <w:tcPr>
            <w:tcW w:w="2494" w:type="dxa"/>
            <w:tcBorders>
              <w:top w:val="single" w:sz="4" w:space="0" w:color="000000"/>
              <w:bottom w:val="single" w:sz="4" w:space="0" w:color="000000"/>
            </w:tcBorders>
          </w:tcPr>
          <w:p w14:paraId="0855595F" w14:textId="2AE00CC5" w:rsidR="00B449D0" w:rsidRDefault="00175344">
            <w:pPr>
              <w:pStyle w:val="AgencyNamewith2ptsspacing"/>
              <w:keepNext/>
            </w:pPr>
            <w:r>
              <w:t>Department of Veterans</w:t>
            </w:r>
            <w:r w:rsidR="00076D78">
              <w:t>’</w:t>
            </w:r>
            <w:r>
              <w:t xml:space="preserve"> Affairs</w:t>
            </w:r>
          </w:p>
        </w:tc>
        <w:tc>
          <w:tcPr>
            <w:tcW w:w="1043" w:type="dxa"/>
            <w:tcBorders>
              <w:top w:val="single" w:sz="4" w:space="0" w:color="000000"/>
              <w:bottom w:val="single" w:sz="4" w:space="0" w:color="000000"/>
            </w:tcBorders>
          </w:tcPr>
          <w:p w14:paraId="4D525087" w14:textId="0F1254DF" w:rsidR="00B449D0" w:rsidRDefault="00076D78">
            <w:pPr>
              <w:pStyle w:val="Measuretabledatarightaligneditalics"/>
              <w:keepNext/>
            </w:pPr>
            <w:r>
              <w:noBreakHyphen/>
            </w:r>
          </w:p>
        </w:tc>
        <w:tc>
          <w:tcPr>
            <w:tcW w:w="1043" w:type="dxa"/>
            <w:tcBorders>
              <w:top w:val="single" w:sz="4" w:space="0" w:color="000000"/>
              <w:bottom w:val="single" w:sz="4" w:space="0" w:color="000000"/>
            </w:tcBorders>
          </w:tcPr>
          <w:p w14:paraId="69E81BAA" w14:textId="77777777" w:rsidR="00B449D0" w:rsidRDefault="00175344">
            <w:pPr>
              <w:pStyle w:val="Measuretabledatarightaligneditalics"/>
              <w:keepNext/>
            </w:pPr>
            <w:r>
              <w:t>0.2</w:t>
            </w:r>
          </w:p>
        </w:tc>
        <w:tc>
          <w:tcPr>
            <w:tcW w:w="1043" w:type="dxa"/>
            <w:tcBorders>
              <w:top w:val="single" w:sz="4" w:space="0" w:color="000000"/>
              <w:bottom w:val="single" w:sz="4" w:space="0" w:color="000000"/>
            </w:tcBorders>
          </w:tcPr>
          <w:p w14:paraId="087A33AF" w14:textId="77777777" w:rsidR="00B449D0" w:rsidRDefault="00175344">
            <w:pPr>
              <w:pStyle w:val="Measuretabledatarightaligneditalics"/>
              <w:keepNext/>
            </w:pPr>
            <w:r>
              <w:t>0.4</w:t>
            </w:r>
          </w:p>
        </w:tc>
        <w:tc>
          <w:tcPr>
            <w:tcW w:w="1043" w:type="dxa"/>
            <w:tcBorders>
              <w:top w:val="single" w:sz="4" w:space="0" w:color="000000"/>
              <w:bottom w:val="single" w:sz="4" w:space="0" w:color="000000"/>
            </w:tcBorders>
          </w:tcPr>
          <w:p w14:paraId="531D7BC4" w14:textId="77777777" w:rsidR="00B449D0" w:rsidRDefault="00175344">
            <w:pPr>
              <w:pStyle w:val="Measuretabledatarightaligneditalics"/>
              <w:keepNext/>
            </w:pPr>
            <w:r>
              <w:t>0.4</w:t>
            </w:r>
          </w:p>
        </w:tc>
        <w:tc>
          <w:tcPr>
            <w:tcW w:w="1043" w:type="dxa"/>
            <w:tcBorders>
              <w:top w:val="single" w:sz="4" w:space="0" w:color="000000"/>
              <w:bottom w:val="single" w:sz="4" w:space="0" w:color="000000"/>
            </w:tcBorders>
          </w:tcPr>
          <w:p w14:paraId="2D21FB13" w14:textId="77777777" w:rsidR="00B449D0" w:rsidRDefault="00175344">
            <w:pPr>
              <w:pStyle w:val="Measuretabledatarightaligneditalics"/>
              <w:keepNext/>
            </w:pPr>
            <w:r>
              <w:t>0.4</w:t>
            </w:r>
          </w:p>
        </w:tc>
      </w:tr>
      <w:tr w:rsidR="00B449D0" w14:paraId="1925FBFE" w14:textId="77777777">
        <w:trPr>
          <w:cantSplit/>
        </w:trPr>
        <w:tc>
          <w:tcPr>
            <w:tcW w:w="2494" w:type="dxa"/>
            <w:tcBorders>
              <w:top w:val="single" w:sz="4" w:space="0" w:color="000000"/>
              <w:bottom w:val="single" w:sz="4" w:space="0" w:color="000000"/>
            </w:tcBorders>
          </w:tcPr>
          <w:p w14:paraId="0ED5ECBE" w14:textId="77777777" w:rsidR="00B449D0" w:rsidRDefault="00175344">
            <w:pPr>
              <w:pStyle w:val="Totalrowitalicsleftaligned"/>
              <w:keepNext/>
            </w:pPr>
            <w:r>
              <w:t>Total – Payments</w:t>
            </w:r>
          </w:p>
        </w:tc>
        <w:tc>
          <w:tcPr>
            <w:tcW w:w="1043" w:type="dxa"/>
            <w:tcBorders>
              <w:top w:val="single" w:sz="4" w:space="0" w:color="000000"/>
              <w:bottom w:val="single" w:sz="4" w:space="0" w:color="000000"/>
            </w:tcBorders>
          </w:tcPr>
          <w:p w14:paraId="3FE7EF51" w14:textId="603D3EBB" w:rsidR="00B449D0" w:rsidRDefault="00076D78">
            <w:pPr>
              <w:pStyle w:val="Measuretabledatarightaligneditalics"/>
              <w:keepNext/>
            </w:pPr>
            <w:r>
              <w:noBreakHyphen/>
            </w:r>
          </w:p>
        </w:tc>
        <w:tc>
          <w:tcPr>
            <w:tcW w:w="1043" w:type="dxa"/>
            <w:tcBorders>
              <w:top w:val="single" w:sz="4" w:space="0" w:color="000000"/>
              <w:bottom w:val="single" w:sz="4" w:space="0" w:color="000000"/>
            </w:tcBorders>
          </w:tcPr>
          <w:p w14:paraId="3FD4DC67" w14:textId="77777777" w:rsidR="00B449D0" w:rsidRDefault="00175344">
            <w:pPr>
              <w:pStyle w:val="Measuretabledatarightaligneditalics"/>
              <w:keepNext/>
            </w:pPr>
            <w:r>
              <w:t>3.2</w:t>
            </w:r>
          </w:p>
        </w:tc>
        <w:tc>
          <w:tcPr>
            <w:tcW w:w="1043" w:type="dxa"/>
            <w:tcBorders>
              <w:top w:val="single" w:sz="4" w:space="0" w:color="000000"/>
              <w:bottom w:val="single" w:sz="4" w:space="0" w:color="000000"/>
            </w:tcBorders>
          </w:tcPr>
          <w:p w14:paraId="64183D6C" w14:textId="77777777" w:rsidR="00B449D0" w:rsidRDefault="00175344">
            <w:pPr>
              <w:pStyle w:val="Measuretabledatarightaligneditalics"/>
              <w:keepNext/>
            </w:pPr>
            <w:r>
              <w:t>3.9</w:t>
            </w:r>
          </w:p>
        </w:tc>
        <w:tc>
          <w:tcPr>
            <w:tcW w:w="1043" w:type="dxa"/>
            <w:tcBorders>
              <w:top w:val="single" w:sz="4" w:space="0" w:color="000000"/>
              <w:bottom w:val="single" w:sz="4" w:space="0" w:color="000000"/>
            </w:tcBorders>
          </w:tcPr>
          <w:p w14:paraId="10F9488E" w14:textId="77777777" w:rsidR="00B449D0" w:rsidRDefault="00175344">
            <w:pPr>
              <w:pStyle w:val="Measuretabledatarightaligneditalics"/>
              <w:keepNext/>
            </w:pPr>
            <w:r>
              <w:t>6.1</w:t>
            </w:r>
          </w:p>
        </w:tc>
        <w:tc>
          <w:tcPr>
            <w:tcW w:w="1043" w:type="dxa"/>
            <w:tcBorders>
              <w:top w:val="single" w:sz="4" w:space="0" w:color="000000"/>
              <w:bottom w:val="single" w:sz="4" w:space="0" w:color="000000"/>
            </w:tcBorders>
          </w:tcPr>
          <w:p w14:paraId="46612DC7" w14:textId="77777777" w:rsidR="00B449D0" w:rsidRDefault="00175344">
            <w:pPr>
              <w:pStyle w:val="Measuretabledatarightaligneditalics"/>
              <w:keepNext/>
            </w:pPr>
            <w:r>
              <w:t>8.5</w:t>
            </w:r>
          </w:p>
        </w:tc>
      </w:tr>
    </w:tbl>
    <w:p w14:paraId="61410ACD" w14:textId="77777777" w:rsidR="00B449D0" w:rsidRPr="00BA7366" w:rsidRDefault="00B449D0" w:rsidP="00380A42">
      <w:pPr>
        <w:pStyle w:val="SingleParagraph0"/>
      </w:pPr>
    </w:p>
    <w:p w14:paraId="174837E9" w14:textId="77777777" w:rsidR="00B449D0" w:rsidRDefault="00175344">
      <w:pPr>
        <w:pStyle w:val="Normal2"/>
      </w:pPr>
      <w:r>
        <w:t>The Government will enable individuals to exit certain legacy retirement products, together with any associated reserves – making it easier for individuals to shift to more contemporary retirement products.</w:t>
      </w:r>
    </w:p>
    <w:p w14:paraId="4895AC87" w14:textId="77777777" w:rsidR="00B449D0" w:rsidRDefault="00175344">
      <w:pPr>
        <w:pStyle w:val="Normal2"/>
      </w:pPr>
      <w:r>
        <w:t>Specifically, the Government is making amendments to:</w:t>
      </w:r>
    </w:p>
    <w:p w14:paraId="31088A70" w14:textId="77777777" w:rsidR="00B449D0" w:rsidRDefault="00175344">
      <w:pPr>
        <w:pStyle w:val="Bullet"/>
      </w:pPr>
      <w:r>
        <w:t>extend the take up period to five years</w:t>
      </w:r>
    </w:p>
    <w:p w14:paraId="2FB3CAE6" w14:textId="77777777" w:rsidR="00B449D0" w:rsidRDefault="00175344">
      <w:pPr>
        <w:pStyle w:val="Bullet"/>
      </w:pPr>
      <w:r>
        <w:t>broaden eligibility to also allow the exit of products converted from a previous pension that commenced prior to 2007 and was one of the specified legacy retirement products</w:t>
      </w:r>
    </w:p>
    <w:p w14:paraId="1F7B95B9" w14:textId="77777777" w:rsidR="00B449D0" w:rsidRDefault="00175344">
      <w:pPr>
        <w:pStyle w:val="Bullet"/>
      </w:pPr>
      <w:r>
        <w:t>expand the flexible reserves treatment to all superannuation reserves</w:t>
      </w:r>
    </w:p>
    <w:p w14:paraId="632BAE93" w14:textId="77777777" w:rsidR="00B449D0" w:rsidRDefault="00175344">
      <w:pPr>
        <w:pStyle w:val="Bullet"/>
      </w:pPr>
      <w:r>
        <w:t>no longer apply a flat 15 per cent tax to allocations.</w:t>
      </w:r>
    </w:p>
    <w:p w14:paraId="1DD52B79" w14:textId="77777777" w:rsidR="00B449D0" w:rsidRDefault="00175344">
      <w:pPr>
        <w:pStyle w:val="Normal2"/>
      </w:pPr>
      <w:r>
        <w:t>Allocations of a reserve from participating pension exits will be exempt from contribution caps when they are made back to the pension recipient. All other allocations will count towards the non‑concessional contributions cap.</w:t>
      </w:r>
    </w:p>
    <w:p w14:paraId="15F19448" w14:textId="77777777" w:rsidR="00B449D0" w:rsidRDefault="00175344">
      <w:pPr>
        <w:pStyle w:val="Normal2"/>
      </w:pPr>
      <w:r w:rsidRPr="7F762F0D">
        <w:rPr>
          <w:lang w:val="en-US"/>
        </w:rPr>
        <w:t xml:space="preserve">As announced in the 2021–22 Budget measure titled </w:t>
      </w:r>
      <w:r w:rsidRPr="7F762F0D">
        <w:rPr>
          <w:i/>
          <w:iCs/>
          <w:lang w:val="en-US"/>
        </w:rPr>
        <w:t>Self‑managed Superannuation Funds – legacy retirement product conversions</w:t>
      </w:r>
      <w:r w:rsidRPr="7F762F0D">
        <w:rPr>
          <w:lang w:val="en-US"/>
        </w:rPr>
        <w:t>, social security treatment will not be preserved for those who elect to take advantage of the conversion. However, conversions will not be subject to re‑assessment of social security treatment for the period before conversion.</w:t>
      </w:r>
    </w:p>
    <w:p w14:paraId="6FD24108" w14:textId="77777777" w:rsidR="00B449D0" w:rsidRDefault="00175344">
      <w:pPr>
        <w:pStyle w:val="Normal2"/>
      </w:pPr>
      <w:r w:rsidRPr="7F762F0D">
        <w:rPr>
          <w:lang w:val="en-US"/>
        </w:rPr>
        <w:t>The measure will have effect from the financial year in which enabling regulations are registered.</w:t>
      </w:r>
    </w:p>
    <w:p w14:paraId="7015B68E" w14:textId="64FC8417" w:rsidR="00B449D0" w:rsidRDefault="00175344">
      <w:pPr>
        <w:pStyle w:val="Normal2"/>
      </w:pPr>
      <w:r>
        <w:t xml:space="preserve">This measure is estimated to result in an unquantifiable increase in receipts and an increase in payments of $21.7 million over </w:t>
      </w:r>
      <w:r w:rsidR="007D6742">
        <w:t>five</w:t>
      </w:r>
      <w:r>
        <w:t> years from 2023–24.</w:t>
      </w:r>
    </w:p>
    <w:p w14:paraId="3E708CE7" w14:textId="77777777" w:rsidR="009245D1" w:rsidRDefault="009245D1">
      <w:pPr>
        <w:pStyle w:val="MeasureTitle"/>
        <w:rPr>
          <w:lang w:val="en-US"/>
        </w:rPr>
      </w:pPr>
      <w:r>
        <w:rPr>
          <w:lang w:val="en-US"/>
        </w:rPr>
        <w:br w:type="page"/>
      </w:r>
    </w:p>
    <w:p w14:paraId="0C096019" w14:textId="6790F0BE" w:rsidR="00B449D0" w:rsidRDefault="00175344">
      <w:pPr>
        <w:pStyle w:val="MeasureTitle"/>
      </w:pPr>
      <w:r w:rsidRPr="7F762F0D">
        <w:rPr>
          <w:lang w:val="en-US"/>
        </w:rPr>
        <w:lastRenderedPageBreak/>
        <w:t xml:space="preserve">Modernising </w:t>
      </w:r>
      <w:r w:rsidR="00396E7C">
        <w:rPr>
          <w:lang w:val="en-US"/>
        </w:rPr>
        <w:t>T</w:t>
      </w:r>
      <w:r w:rsidRPr="7F762F0D">
        <w:rPr>
          <w:lang w:val="en-US"/>
        </w:rPr>
        <w:t xml:space="preserve">ax </w:t>
      </w:r>
      <w:r w:rsidR="00396E7C">
        <w:rPr>
          <w:lang w:val="en-US"/>
        </w:rPr>
        <w:t>A</w:t>
      </w:r>
      <w:r w:rsidRPr="7F762F0D">
        <w:rPr>
          <w:lang w:val="en-US"/>
        </w:rPr>
        <w:t xml:space="preserve">dministration </w:t>
      </w:r>
      <w:r w:rsidR="00396E7C">
        <w:rPr>
          <w:lang w:val="en-US"/>
        </w:rPr>
        <w:t>S</w:t>
      </w:r>
      <w:r w:rsidRPr="7F762F0D">
        <w:rPr>
          <w:lang w:val="en-US"/>
        </w:rPr>
        <w:t>ystems</w:t>
      </w:r>
    </w:p>
    <w:p w14:paraId="5EB851F5" w14:textId="77777777" w:rsidR="00B449D0" w:rsidRDefault="00175344">
      <w:pPr>
        <w:pStyle w:val="MeasureTableHeading"/>
      </w:pPr>
      <w:r>
        <w:t>Receipts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568BACC0" w14:textId="77777777">
        <w:trPr>
          <w:cantSplit/>
        </w:trPr>
        <w:tc>
          <w:tcPr>
            <w:tcW w:w="2494" w:type="dxa"/>
            <w:tcBorders>
              <w:top w:val="single" w:sz="4" w:space="0" w:color="000000"/>
              <w:bottom w:val="single" w:sz="4" w:space="0" w:color="000000"/>
            </w:tcBorders>
          </w:tcPr>
          <w:p w14:paraId="602D0AA7" w14:textId="77777777" w:rsidR="00B449D0" w:rsidRDefault="00B449D0">
            <w:pPr>
              <w:pStyle w:val="MeasureTableYearHeadings"/>
              <w:keepNext/>
            </w:pPr>
          </w:p>
        </w:tc>
        <w:tc>
          <w:tcPr>
            <w:tcW w:w="1043" w:type="dxa"/>
            <w:tcBorders>
              <w:top w:val="single" w:sz="4" w:space="0" w:color="000000"/>
              <w:bottom w:val="single" w:sz="4" w:space="0" w:color="000000"/>
            </w:tcBorders>
          </w:tcPr>
          <w:p w14:paraId="3AFEA307" w14:textId="15B0CF4F"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55C10EC5" w14:textId="1913B98A"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6A60837D" w14:textId="3422D4AB"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13A15025" w14:textId="7FFE1809"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2E8C46FA" w14:textId="0EB2E17C" w:rsidR="00B449D0" w:rsidRDefault="00175344">
            <w:pPr>
              <w:pStyle w:val="MeasureTableYearHeadings"/>
              <w:keepNext/>
            </w:pPr>
            <w:r>
              <w:t>2027</w:t>
            </w:r>
            <w:r w:rsidR="00076D78">
              <w:noBreakHyphen/>
            </w:r>
            <w:r>
              <w:t>28</w:t>
            </w:r>
          </w:p>
        </w:tc>
      </w:tr>
      <w:tr w:rsidR="00B449D0" w14:paraId="651A87A5" w14:textId="77777777">
        <w:trPr>
          <w:cantSplit/>
        </w:trPr>
        <w:tc>
          <w:tcPr>
            <w:tcW w:w="2494" w:type="dxa"/>
            <w:tcBorders>
              <w:top w:val="single" w:sz="4" w:space="0" w:color="000000"/>
              <w:bottom w:val="single" w:sz="4" w:space="0" w:color="000000"/>
            </w:tcBorders>
          </w:tcPr>
          <w:p w14:paraId="476F29FA" w14:textId="77777777" w:rsidR="00B449D0" w:rsidRDefault="00175344">
            <w:pPr>
              <w:pStyle w:val="MeasureTableHeadingleftalignedwith2ptsspacing"/>
              <w:keepNext/>
            </w:pPr>
            <w:r>
              <w:t>Australian Taxation Office</w:t>
            </w:r>
          </w:p>
        </w:tc>
        <w:tc>
          <w:tcPr>
            <w:tcW w:w="1043" w:type="dxa"/>
            <w:tcBorders>
              <w:top w:val="single" w:sz="4" w:space="0" w:color="000000"/>
              <w:bottom w:val="single" w:sz="4" w:space="0" w:color="000000"/>
            </w:tcBorders>
          </w:tcPr>
          <w:p w14:paraId="0EAA28B3" w14:textId="12ACA3A4"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0E81C71" w14:textId="3C2623D3"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397E47B" w14:textId="1449F627"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5251CD4" w14:textId="77777777" w:rsidR="00B449D0" w:rsidRDefault="00175344">
            <w:pPr>
              <w:pStyle w:val="MeasureTableDataRightAlignedwith2ptsspacing"/>
              <w:keepNext/>
            </w:pPr>
            <w:r>
              <w:t>17.4</w:t>
            </w:r>
          </w:p>
        </w:tc>
        <w:tc>
          <w:tcPr>
            <w:tcW w:w="1043" w:type="dxa"/>
            <w:tcBorders>
              <w:top w:val="single" w:sz="4" w:space="0" w:color="000000"/>
              <w:bottom w:val="single" w:sz="4" w:space="0" w:color="000000"/>
            </w:tcBorders>
          </w:tcPr>
          <w:p w14:paraId="7BCF91D5" w14:textId="77777777" w:rsidR="00B449D0" w:rsidRDefault="00175344">
            <w:pPr>
              <w:pStyle w:val="MeasureTableDataRightAlignedwith2ptsspacing"/>
              <w:keepNext/>
            </w:pPr>
            <w:r>
              <w:t>64.2</w:t>
            </w:r>
          </w:p>
        </w:tc>
      </w:tr>
      <w:tr w:rsidR="00B449D0" w14:paraId="38F2C42A" w14:textId="77777777">
        <w:trPr>
          <w:cantSplit/>
        </w:trPr>
        <w:tc>
          <w:tcPr>
            <w:tcW w:w="2494" w:type="dxa"/>
          </w:tcPr>
          <w:p w14:paraId="45D2BB1A" w14:textId="77777777" w:rsidR="00B449D0" w:rsidRDefault="00175344">
            <w:pPr>
              <w:pStyle w:val="AgencyName"/>
              <w:keepNext/>
            </w:pPr>
            <w:r>
              <w:t>Related payments ($m)</w:t>
            </w:r>
          </w:p>
        </w:tc>
        <w:tc>
          <w:tcPr>
            <w:tcW w:w="1043" w:type="dxa"/>
          </w:tcPr>
          <w:p w14:paraId="4060BF71" w14:textId="77777777" w:rsidR="00B449D0" w:rsidRDefault="00B449D0">
            <w:pPr>
              <w:pStyle w:val="AgencyName"/>
              <w:keepNext/>
            </w:pPr>
          </w:p>
        </w:tc>
        <w:tc>
          <w:tcPr>
            <w:tcW w:w="1043" w:type="dxa"/>
          </w:tcPr>
          <w:p w14:paraId="5A9D3A93" w14:textId="77777777" w:rsidR="00B449D0" w:rsidRDefault="00B449D0">
            <w:pPr>
              <w:pStyle w:val="AgencyName"/>
              <w:keepNext/>
            </w:pPr>
          </w:p>
        </w:tc>
        <w:tc>
          <w:tcPr>
            <w:tcW w:w="1043" w:type="dxa"/>
          </w:tcPr>
          <w:p w14:paraId="5CDD0227" w14:textId="77777777" w:rsidR="00B449D0" w:rsidRDefault="00B449D0">
            <w:pPr>
              <w:pStyle w:val="AgencyName"/>
              <w:keepNext/>
            </w:pPr>
          </w:p>
        </w:tc>
        <w:tc>
          <w:tcPr>
            <w:tcW w:w="1043" w:type="dxa"/>
          </w:tcPr>
          <w:p w14:paraId="25A86976" w14:textId="77777777" w:rsidR="00B449D0" w:rsidRDefault="00B449D0">
            <w:pPr>
              <w:pStyle w:val="AgencyName"/>
              <w:keepNext/>
            </w:pPr>
          </w:p>
        </w:tc>
        <w:tc>
          <w:tcPr>
            <w:tcW w:w="1043" w:type="dxa"/>
          </w:tcPr>
          <w:p w14:paraId="48E29ECC" w14:textId="77777777" w:rsidR="00B449D0" w:rsidRDefault="00B449D0">
            <w:pPr>
              <w:pStyle w:val="AgencyName"/>
              <w:keepNext/>
            </w:pPr>
          </w:p>
        </w:tc>
      </w:tr>
      <w:tr w:rsidR="00B449D0" w14:paraId="65E1197D" w14:textId="77777777">
        <w:tc>
          <w:tcPr>
            <w:tcW w:w="2494" w:type="dxa"/>
          </w:tcPr>
          <w:p w14:paraId="545C40BF" w14:textId="77777777" w:rsidR="00B449D0" w:rsidRDefault="00175344">
            <w:pPr>
              <w:pStyle w:val="AgencyNamewith2ptsspacing"/>
              <w:keepNext/>
            </w:pPr>
            <w:r>
              <w:t>Australian Taxation Office</w:t>
            </w:r>
          </w:p>
        </w:tc>
        <w:tc>
          <w:tcPr>
            <w:tcW w:w="1043" w:type="dxa"/>
          </w:tcPr>
          <w:p w14:paraId="722CAFC8" w14:textId="46CF129C" w:rsidR="00B449D0" w:rsidRDefault="00076D78">
            <w:pPr>
              <w:pStyle w:val="Measuretabledatarightaligneditalics"/>
              <w:keepNext/>
            </w:pPr>
            <w:r>
              <w:noBreakHyphen/>
            </w:r>
          </w:p>
        </w:tc>
        <w:tc>
          <w:tcPr>
            <w:tcW w:w="1043" w:type="dxa"/>
          </w:tcPr>
          <w:p w14:paraId="3760880A" w14:textId="77777777" w:rsidR="00B449D0" w:rsidRDefault="00175344">
            <w:pPr>
              <w:pStyle w:val="Measuretabledatarightaligneditalics"/>
              <w:keepNext/>
            </w:pPr>
            <w:r>
              <w:t>11.8</w:t>
            </w:r>
          </w:p>
        </w:tc>
        <w:tc>
          <w:tcPr>
            <w:tcW w:w="1043" w:type="dxa"/>
          </w:tcPr>
          <w:p w14:paraId="0D4FAF31" w14:textId="77777777" w:rsidR="00B449D0" w:rsidRDefault="00175344">
            <w:pPr>
              <w:pStyle w:val="Measuretabledatarightaligneditalics"/>
              <w:keepNext/>
            </w:pPr>
            <w:r>
              <w:t>34.6</w:t>
            </w:r>
          </w:p>
        </w:tc>
        <w:tc>
          <w:tcPr>
            <w:tcW w:w="1043" w:type="dxa"/>
          </w:tcPr>
          <w:p w14:paraId="4500B02F" w14:textId="77777777" w:rsidR="00B449D0" w:rsidRDefault="00175344">
            <w:pPr>
              <w:pStyle w:val="Measuretabledatarightaligneditalics"/>
              <w:keepNext/>
            </w:pPr>
            <w:r>
              <w:t>22.6</w:t>
            </w:r>
          </w:p>
        </w:tc>
        <w:tc>
          <w:tcPr>
            <w:tcW w:w="1043" w:type="dxa"/>
          </w:tcPr>
          <w:p w14:paraId="4673DC8E" w14:textId="77777777" w:rsidR="00B449D0" w:rsidRDefault="00175344">
            <w:pPr>
              <w:pStyle w:val="Measuretabledatarightaligneditalics"/>
              <w:keepNext/>
            </w:pPr>
            <w:r>
              <w:t>6.9</w:t>
            </w:r>
          </w:p>
        </w:tc>
      </w:tr>
    </w:tbl>
    <w:p w14:paraId="079BAB74" w14:textId="77777777" w:rsidR="00B449D0" w:rsidRPr="00BA7366" w:rsidRDefault="00B449D0" w:rsidP="00380A42">
      <w:pPr>
        <w:pStyle w:val="SingleParagraph0"/>
      </w:pPr>
    </w:p>
    <w:p w14:paraId="7A0D28D9" w14:textId="0E76D6E0" w:rsidR="00B449D0" w:rsidRDefault="00175344">
      <w:pPr>
        <w:pStyle w:val="Normal2"/>
      </w:pPr>
      <w:r w:rsidRPr="7F762F0D">
        <w:rPr>
          <w:lang w:val="en-US"/>
        </w:rPr>
        <w:t>The Government will provide $76.0 million over four years from 2024–25 to the A</w:t>
      </w:r>
      <w:r w:rsidR="00F53FDE">
        <w:rPr>
          <w:lang w:val="en-US"/>
        </w:rPr>
        <w:t xml:space="preserve">ustralian </w:t>
      </w:r>
      <w:r w:rsidRPr="7F762F0D">
        <w:rPr>
          <w:lang w:val="en-US"/>
        </w:rPr>
        <w:t>T</w:t>
      </w:r>
      <w:r w:rsidR="00F53FDE">
        <w:rPr>
          <w:lang w:val="en-US"/>
        </w:rPr>
        <w:t xml:space="preserve">axation </w:t>
      </w:r>
      <w:r w:rsidRPr="7F762F0D">
        <w:rPr>
          <w:lang w:val="en-US"/>
        </w:rPr>
        <w:t>O</w:t>
      </w:r>
      <w:r w:rsidR="00F53FDE">
        <w:rPr>
          <w:lang w:val="en-US"/>
        </w:rPr>
        <w:t>ffice (ATO)</w:t>
      </w:r>
      <w:r w:rsidRPr="7F762F0D">
        <w:rPr>
          <w:lang w:val="en-US"/>
        </w:rPr>
        <w:t xml:space="preserve"> to modernise income tax reporting systems from 1 July 2026.</w:t>
      </w:r>
    </w:p>
    <w:p w14:paraId="65E5175F" w14:textId="77777777" w:rsidR="00B449D0" w:rsidRDefault="00175344">
      <w:pPr>
        <w:pStyle w:val="Normal2"/>
      </w:pPr>
      <w:r w:rsidRPr="7F762F0D">
        <w:rPr>
          <w:lang w:val="en-US"/>
        </w:rPr>
        <w:t>Improvements to ATO systems will reduce compliance costs on an ongoing basis for trustees, beneficiaries and tax agents, making lodgement easier and enabling the vast majority of trust tax returns to be lodged electronically. The improvements will also enable prefill of trust income for beneficiaries, in the same way salary and wages, bank interest and other types of income are currently prefilled.</w:t>
      </w:r>
    </w:p>
    <w:p w14:paraId="20BE922C" w14:textId="4547682C" w:rsidR="00B449D0" w:rsidRDefault="00175344">
      <w:pPr>
        <w:pStyle w:val="Normal2"/>
      </w:pPr>
      <w:r w:rsidRPr="7F762F0D">
        <w:rPr>
          <w:lang w:val="en-US"/>
        </w:rPr>
        <w:t>Prefill capability will be enhanced by amending the law to require trustees to report the Tax File Numbers of beneficiaries on the trust income tax return</w:t>
      </w:r>
      <w:r w:rsidR="00076D78">
        <w:rPr>
          <w:lang w:val="en-US"/>
        </w:rPr>
        <w:t>’</w:t>
      </w:r>
      <w:r w:rsidRPr="7F762F0D">
        <w:rPr>
          <w:lang w:val="en-US"/>
        </w:rPr>
        <w:t>s Statement of Distribution when they have an entitlement. This amendment will commence on the first day of the next quarter after Royal Assent.</w:t>
      </w:r>
    </w:p>
    <w:p w14:paraId="49FA62B9" w14:textId="407E485B" w:rsidR="00B449D0" w:rsidRDefault="00175344">
      <w:pPr>
        <w:pStyle w:val="Normal2"/>
        <w:rPr>
          <w:lang w:val="en-US"/>
        </w:rPr>
      </w:pPr>
      <w:r w:rsidRPr="7F762F0D">
        <w:rPr>
          <w:lang w:val="en-US"/>
        </w:rPr>
        <w:t xml:space="preserve">This measure is expected to increase receipts by $81.6 million over </w:t>
      </w:r>
      <w:r w:rsidR="00847D7D">
        <w:rPr>
          <w:lang w:val="en-US"/>
        </w:rPr>
        <w:t>five</w:t>
      </w:r>
      <w:r w:rsidR="00847D7D" w:rsidRPr="7F762F0D">
        <w:rPr>
          <w:lang w:val="en-US"/>
        </w:rPr>
        <w:t> </w:t>
      </w:r>
      <w:r w:rsidRPr="7F762F0D">
        <w:rPr>
          <w:lang w:val="en-US"/>
        </w:rPr>
        <w:t>years from 2023–24.</w:t>
      </w:r>
    </w:p>
    <w:p w14:paraId="5AD10D2E" w14:textId="1E6E75FF" w:rsidR="00847D7D" w:rsidRDefault="00847D7D">
      <w:pPr>
        <w:pStyle w:val="Normal2"/>
      </w:pPr>
      <w:r>
        <w:rPr>
          <w:lang w:val="en-US"/>
        </w:rPr>
        <w:t xml:space="preserve">This measure </w:t>
      </w:r>
      <w:r w:rsidRPr="7F762F0D">
        <w:rPr>
          <w:lang w:val="en-US"/>
        </w:rPr>
        <w:t>finalises the details of the 2022–23 </w:t>
      </w:r>
      <w:r>
        <w:rPr>
          <w:lang w:val="en-US"/>
        </w:rPr>
        <w:t xml:space="preserve">March </w:t>
      </w:r>
      <w:r w:rsidRPr="7F762F0D">
        <w:rPr>
          <w:lang w:val="en-US"/>
        </w:rPr>
        <w:t xml:space="preserve">Budget measure titled </w:t>
      </w:r>
      <w:r w:rsidRPr="7F762F0D">
        <w:rPr>
          <w:i/>
          <w:iCs/>
          <w:lang w:val="en-US"/>
        </w:rPr>
        <w:t>Digitalising</w:t>
      </w:r>
      <w:r w:rsidR="000920F9">
        <w:rPr>
          <w:i/>
          <w:iCs/>
          <w:lang w:val="en-US"/>
        </w:rPr>
        <w:t> </w:t>
      </w:r>
      <w:r w:rsidRPr="7F762F0D">
        <w:rPr>
          <w:i/>
          <w:iCs/>
          <w:lang w:val="en-US"/>
        </w:rPr>
        <w:t>Trust Income Reporting and Processing</w:t>
      </w:r>
      <w:r w:rsidR="000920F9">
        <w:rPr>
          <w:lang w:val="en-US"/>
        </w:rPr>
        <w:t>.</w:t>
      </w:r>
    </w:p>
    <w:p w14:paraId="25AA2AA6" w14:textId="47AA8F51" w:rsidR="00B449D0" w:rsidRDefault="00175344">
      <w:pPr>
        <w:pStyle w:val="MeasureTitle"/>
      </w:pPr>
      <w:r>
        <w:t xml:space="preserve">Penalties – </w:t>
      </w:r>
      <w:r w:rsidR="00AD1161">
        <w:t>a</w:t>
      </w:r>
      <w:r>
        <w:t>ddressing gaps in the current tax penalty regime</w:t>
      </w:r>
    </w:p>
    <w:p w14:paraId="0C32FB2C" w14:textId="77777777" w:rsidR="00B449D0" w:rsidRDefault="00175344">
      <w:pPr>
        <w:pStyle w:val="MeasureTableHeading"/>
      </w:pPr>
      <w:r>
        <w:t>Receipts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45A27F71" w14:textId="77777777">
        <w:trPr>
          <w:cantSplit/>
        </w:trPr>
        <w:tc>
          <w:tcPr>
            <w:tcW w:w="2494" w:type="dxa"/>
            <w:tcBorders>
              <w:top w:val="single" w:sz="4" w:space="0" w:color="000000"/>
              <w:bottom w:val="single" w:sz="4" w:space="0" w:color="000000"/>
            </w:tcBorders>
          </w:tcPr>
          <w:p w14:paraId="1ADA8ACC" w14:textId="77777777" w:rsidR="00B449D0" w:rsidRDefault="00B449D0">
            <w:pPr>
              <w:pStyle w:val="MeasureTableYearHeadings"/>
              <w:keepNext/>
            </w:pPr>
          </w:p>
        </w:tc>
        <w:tc>
          <w:tcPr>
            <w:tcW w:w="1043" w:type="dxa"/>
            <w:tcBorders>
              <w:top w:val="single" w:sz="4" w:space="0" w:color="000000"/>
              <w:bottom w:val="single" w:sz="4" w:space="0" w:color="000000"/>
            </w:tcBorders>
          </w:tcPr>
          <w:p w14:paraId="4D0B7658" w14:textId="3F2C229B"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4BC7FDB0" w14:textId="5F98B175"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525C1C1B" w14:textId="52227EEA"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32AF297A" w14:textId="0E1BCA21"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04D6F5DB" w14:textId="5CF37229" w:rsidR="00B449D0" w:rsidRDefault="00175344">
            <w:pPr>
              <w:pStyle w:val="MeasureTableYearHeadings"/>
              <w:keepNext/>
            </w:pPr>
            <w:r>
              <w:t>2027</w:t>
            </w:r>
            <w:r w:rsidR="00076D78">
              <w:noBreakHyphen/>
            </w:r>
            <w:r>
              <w:t>28</w:t>
            </w:r>
          </w:p>
        </w:tc>
      </w:tr>
      <w:tr w:rsidR="00B449D0" w14:paraId="4E04EBCD" w14:textId="77777777">
        <w:trPr>
          <w:cantSplit/>
        </w:trPr>
        <w:tc>
          <w:tcPr>
            <w:tcW w:w="2494" w:type="dxa"/>
            <w:tcBorders>
              <w:top w:val="single" w:sz="4" w:space="0" w:color="000000"/>
              <w:bottom w:val="single" w:sz="4" w:space="0" w:color="000000"/>
            </w:tcBorders>
          </w:tcPr>
          <w:p w14:paraId="05FFE453" w14:textId="77777777" w:rsidR="00B449D0" w:rsidRDefault="00175344">
            <w:pPr>
              <w:pStyle w:val="MeasureTableHeadingleftalignedwith2ptsspacing"/>
              <w:keepNext/>
            </w:pPr>
            <w:r>
              <w:t>Australian Taxation Office</w:t>
            </w:r>
          </w:p>
        </w:tc>
        <w:tc>
          <w:tcPr>
            <w:tcW w:w="1043" w:type="dxa"/>
            <w:tcBorders>
              <w:top w:val="single" w:sz="4" w:space="0" w:color="000000"/>
              <w:bottom w:val="single" w:sz="4" w:space="0" w:color="000000"/>
            </w:tcBorders>
          </w:tcPr>
          <w:p w14:paraId="44E70890" w14:textId="083CB886"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6E404FEE" w14:textId="6621D35A"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4475293" w14:textId="4AA65131" w:rsidR="00B449D0" w:rsidRDefault="00130668">
            <w:pPr>
              <w:pStyle w:val="MeasureTableDataRightAlignedwith2ptsspacing"/>
              <w:keepNext/>
            </w:pPr>
            <w:r>
              <w:t>..</w:t>
            </w:r>
          </w:p>
        </w:tc>
        <w:tc>
          <w:tcPr>
            <w:tcW w:w="1043" w:type="dxa"/>
            <w:tcBorders>
              <w:top w:val="single" w:sz="4" w:space="0" w:color="000000"/>
              <w:bottom w:val="single" w:sz="4" w:space="0" w:color="000000"/>
            </w:tcBorders>
          </w:tcPr>
          <w:p w14:paraId="2F37A7A5" w14:textId="77777777" w:rsidR="00B449D0" w:rsidRDefault="00175344">
            <w:pPr>
              <w:pStyle w:val="MeasureTableDataRightAlignedwith2ptsspacing"/>
              <w:keepNext/>
            </w:pPr>
            <w:r>
              <w:t>*</w:t>
            </w:r>
          </w:p>
        </w:tc>
        <w:tc>
          <w:tcPr>
            <w:tcW w:w="1043" w:type="dxa"/>
            <w:tcBorders>
              <w:top w:val="single" w:sz="4" w:space="0" w:color="000000"/>
              <w:bottom w:val="single" w:sz="4" w:space="0" w:color="000000"/>
            </w:tcBorders>
          </w:tcPr>
          <w:p w14:paraId="05274168" w14:textId="77777777" w:rsidR="00B449D0" w:rsidRDefault="00175344">
            <w:pPr>
              <w:pStyle w:val="MeasureTableDataRightAlignedwith2ptsspacing"/>
              <w:keepNext/>
            </w:pPr>
            <w:r>
              <w:t>*</w:t>
            </w:r>
          </w:p>
        </w:tc>
      </w:tr>
    </w:tbl>
    <w:p w14:paraId="2DD6FA14" w14:textId="77777777" w:rsidR="00B449D0" w:rsidRPr="00BA7366" w:rsidRDefault="00B449D0" w:rsidP="00380A42">
      <w:pPr>
        <w:pStyle w:val="SingleParagraph0"/>
      </w:pPr>
    </w:p>
    <w:p w14:paraId="2B44AC9B" w14:textId="061DC4E2" w:rsidR="00B449D0" w:rsidRDefault="00175344">
      <w:pPr>
        <w:pStyle w:val="Normal2"/>
      </w:pPr>
      <w:r>
        <w:t>The Government will amend the tax law to strengthen Australia</w:t>
      </w:r>
      <w:r w:rsidR="00076D78">
        <w:t>’</w:t>
      </w:r>
      <w:r>
        <w:t>s current tax penalty regime by:</w:t>
      </w:r>
    </w:p>
    <w:p w14:paraId="049E79E6" w14:textId="77777777" w:rsidR="00B449D0" w:rsidRDefault="00175344">
      <w:pPr>
        <w:pStyle w:val="Bullet"/>
      </w:pPr>
      <w:r>
        <w:t>ensuring tax scheme penalties apply where taxpayers are in a loss position, from 1 July 2026</w:t>
      </w:r>
    </w:p>
    <w:p w14:paraId="4EB719E3" w14:textId="0CF0B2F4" w:rsidR="00B449D0" w:rsidRDefault="00175344">
      <w:pPr>
        <w:pStyle w:val="Bullet"/>
      </w:pPr>
      <w:r>
        <w:t>penalising large taxpayers that mischaracterise or undervalue interest or dividend payments, to which withholding tax would otherwise apply, starting from 1 July 2026</w:t>
      </w:r>
    </w:p>
    <w:p w14:paraId="6168EF2E" w14:textId="77777777" w:rsidR="00B449D0" w:rsidRDefault="00175344">
      <w:pPr>
        <w:pStyle w:val="Bullet"/>
      </w:pPr>
      <w:r>
        <w:t xml:space="preserve">extending the application of the Shortfall Interest Charge to repayments of overclaimed refundable offsets to disincentivise overclaiming, starting from the first 1 January, 1 April, 1 July or 1 October after Royal Assent of the </w:t>
      </w:r>
      <w:r w:rsidRPr="00175344">
        <w:rPr>
          <w:i/>
        </w:rPr>
        <w:t>Future Made in Australia (Production Tax Credit and Other Measures) Bill 2024</w:t>
      </w:r>
      <w:r>
        <w:t>.</w:t>
      </w:r>
    </w:p>
    <w:p w14:paraId="11ACB020" w14:textId="77777777" w:rsidR="00B449D0" w:rsidRDefault="00175344">
      <w:pPr>
        <w:pStyle w:val="Normal2"/>
      </w:pPr>
      <w:r>
        <w:t>This measure will target several gaps within the current tax penalty regime to improve tax compliance and integrity of the tax system, and to strengthen the disincentives for tax avoidance.</w:t>
      </w:r>
    </w:p>
    <w:p w14:paraId="28ED6B22" w14:textId="090DE9C6" w:rsidR="00B449D0" w:rsidRDefault="00175344">
      <w:pPr>
        <w:pStyle w:val="Normal2"/>
      </w:pPr>
      <w:r>
        <w:lastRenderedPageBreak/>
        <w:t xml:space="preserve">This measure is estimated to result in an unquantifiable increase in receipts over </w:t>
      </w:r>
      <w:r w:rsidR="00D87A0D">
        <w:t>five</w:t>
      </w:r>
      <w:r>
        <w:t> years from 2023–24.</w:t>
      </w:r>
    </w:p>
    <w:p w14:paraId="3733B0F9" w14:textId="77777777" w:rsidR="00B449D0" w:rsidRDefault="00175344">
      <w:pPr>
        <w:pStyle w:val="MeasureTitle"/>
      </w:pPr>
      <w:r>
        <w:t>Philanthropy – updates to the list of specifically listed deductible gift recipients</w:t>
      </w:r>
    </w:p>
    <w:p w14:paraId="55190E15" w14:textId="77777777" w:rsidR="00B449D0" w:rsidRDefault="00175344">
      <w:pPr>
        <w:pStyle w:val="MeasureTableHeading"/>
      </w:pPr>
      <w:r>
        <w:t>Receipts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1B21AF2D" w14:textId="77777777">
        <w:trPr>
          <w:cantSplit/>
        </w:trPr>
        <w:tc>
          <w:tcPr>
            <w:tcW w:w="2494" w:type="dxa"/>
            <w:tcBorders>
              <w:top w:val="single" w:sz="4" w:space="0" w:color="000000"/>
              <w:bottom w:val="single" w:sz="4" w:space="0" w:color="000000"/>
            </w:tcBorders>
          </w:tcPr>
          <w:p w14:paraId="3D3E1C5D" w14:textId="77777777" w:rsidR="00B449D0" w:rsidRDefault="00B449D0">
            <w:pPr>
              <w:pStyle w:val="MeasureTableYearHeadings"/>
              <w:keepNext/>
            </w:pPr>
          </w:p>
        </w:tc>
        <w:tc>
          <w:tcPr>
            <w:tcW w:w="1043" w:type="dxa"/>
            <w:tcBorders>
              <w:top w:val="single" w:sz="4" w:space="0" w:color="000000"/>
              <w:bottom w:val="single" w:sz="4" w:space="0" w:color="000000"/>
            </w:tcBorders>
          </w:tcPr>
          <w:p w14:paraId="12D2E25F" w14:textId="7565B489"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3F430E09" w14:textId="005EF33E"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0A7E399A" w14:textId="64369F41"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2774839E" w14:textId="709B3EF5"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3BEA007E" w14:textId="21EA3AC4" w:rsidR="00B449D0" w:rsidRDefault="00175344">
            <w:pPr>
              <w:pStyle w:val="MeasureTableYearHeadings"/>
              <w:keepNext/>
            </w:pPr>
            <w:r>
              <w:t>2027</w:t>
            </w:r>
            <w:r w:rsidR="00076D78">
              <w:noBreakHyphen/>
            </w:r>
            <w:r>
              <w:t>28</w:t>
            </w:r>
          </w:p>
        </w:tc>
      </w:tr>
      <w:tr w:rsidR="00B449D0" w14:paraId="4A90BA6B" w14:textId="77777777">
        <w:trPr>
          <w:cantSplit/>
        </w:trPr>
        <w:tc>
          <w:tcPr>
            <w:tcW w:w="2494" w:type="dxa"/>
            <w:tcBorders>
              <w:top w:val="single" w:sz="4" w:space="0" w:color="000000"/>
              <w:bottom w:val="single" w:sz="4" w:space="0" w:color="000000"/>
            </w:tcBorders>
          </w:tcPr>
          <w:p w14:paraId="764A1D2C" w14:textId="77777777" w:rsidR="00B449D0" w:rsidRDefault="00175344">
            <w:pPr>
              <w:pStyle w:val="MeasureTableHeadingleftalignedwith2ptsspacing"/>
              <w:keepNext/>
            </w:pPr>
            <w:r>
              <w:t>Australian Taxation Office</w:t>
            </w:r>
          </w:p>
        </w:tc>
        <w:tc>
          <w:tcPr>
            <w:tcW w:w="1043" w:type="dxa"/>
            <w:tcBorders>
              <w:top w:val="single" w:sz="4" w:space="0" w:color="000000"/>
              <w:bottom w:val="single" w:sz="4" w:space="0" w:color="000000"/>
            </w:tcBorders>
          </w:tcPr>
          <w:p w14:paraId="144E1A4C" w14:textId="0C959039"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3538C16" w14:textId="5489E095"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731DD7F" w14:textId="7D0E34D2" w:rsidR="00B449D0" w:rsidRDefault="00076D78">
            <w:pPr>
              <w:pStyle w:val="MeasureTableDataRightAlignedwith2ptsspacing"/>
              <w:keepNext/>
            </w:pPr>
            <w:r>
              <w:noBreakHyphen/>
            </w:r>
            <w:r w:rsidR="00175344">
              <w:t>0.6</w:t>
            </w:r>
          </w:p>
        </w:tc>
        <w:tc>
          <w:tcPr>
            <w:tcW w:w="1043" w:type="dxa"/>
            <w:tcBorders>
              <w:top w:val="single" w:sz="4" w:space="0" w:color="000000"/>
              <w:bottom w:val="single" w:sz="4" w:space="0" w:color="000000"/>
            </w:tcBorders>
          </w:tcPr>
          <w:p w14:paraId="1F0AF8C7" w14:textId="09802388" w:rsidR="00B449D0" w:rsidRDefault="00076D78">
            <w:pPr>
              <w:pStyle w:val="MeasureTableDataRightAlignedwith2ptsspacing"/>
              <w:keepNext/>
            </w:pPr>
            <w:r>
              <w:noBreakHyphen/>
            </w:r>
            <w:r w:rsidR="00175344">
              <w:t>0.2</w:t>
            </w:r>
          </w:p>
        </w:tc>
        <w:tc>
          <w:tcPr>
            <w:tcW w:w="1043" w:type="dxa"/>
            <w:tcBorders>
              <w:top w:val="single" w:sz="4" w:space="0" w:color="000000"/>
              <w:bottom w:val="single" w:sz="4" w:space="0" w:color="000000"/>
            </w:tcBorders>
          </w:tcPr>
          <w:p w14:paraId="02F6A125" w14:textId="75CE0E11" w:rsidR="00B449D0" w:rsidRDefault="003248E2">
            <w:pPr>
              <w:pStyle w:val="MeasureTableDataRightAlignedwith2ptsspacing"/>
              <w:keepNext/>
            </w:pPr>
            <w:r>
              <w:t>..</w:t>
            </w:r>
          </w:p>
        </w:tc>
      </w:tr>
    </w:tbl>
    <w:p w14:paraId="2D4C7AA2" w14:textId="77777777" w:rsidR="00B449D0" w:rsidRPr="00BA7366" w:rsidRDefault="00B449D0" w:rsidP="00380A42">
      <w:pPr>
        <w:pStyle w:val="SingleParagraph0"/>
      </w:pPr>
    </w:p>
    <w:p w14:paraId="6A096893" w14:textId="77777777" w:rsidR="00B449D0" w:rsidRDefault="00175344">
      <w:pPr>
        <w:pStyle w:val="Normal2"/>
      </w:pPr>
      <w:r w:rsidRPr="7F762F0D">
        <w:rPr>
          <w:lang w:val="en-US"/>
        </w:rPr>
        <w:t>The Government will amend the tax law to specifically list the following organisations as deductible gift recipients (DGRs) for gifts received from 1 July 2025 to 30 June 2030:</w:t>
      </w:r>
    </w:p>
    <w:p w14:paraId="05FDB36F" w14:textId="77777777" w:rsidR="00B449D0" w:rsidRDefault="00175344">
      <w:pPr>
        <w:pStyle w:val="Bullet"/>
      </w:pPr>
      <w:r>
        <w:t>Coaxial Foundation Ltd (Coaxial)</w:t>
      </w:r>
    </w:p>
    <w:p w14:paraId="70D96F9B" w14:textId="77777777" w:rsidR="00B449D0" w:rsidRDefault="00175344">
      <w:pPr>
        <w:pStyle w:val="Bullet"/>
      </w:pPr>
      <w:r>
        <w:t>Partnerships for Local Action and Community Empowerment Ltd (PLACE)</w:t>
      </w:r>
    </w:p>
    <w:p w14:paraId="609B75AF" w14:textId="77777777" w:rsidR="00B449D0" w:rsidRDefault="00175344">
      <w:pPr>
        <w:pStyle w:val="Bullet"/>
      </w:pPr>
      <w:r>
        <w:t>Paul Ramsay Foundation Limited (PRFL)</w:t>
      </w:r>
    </w:p>
    <w:p w14:paraId="46FE9576" w14:textId="77777777" w:rsidR="00B449D0" w:rsidRDefault="00175344">
      <w:pPr>
        <w:pStyle w:val="Bullet"/>
      </w:pPr>
      <w:r>
        <w:t>The Great Synagogue Foundation</w:t>
      </w:r>
    </w:p>
    <w:p w14:paraId="2FB8B65F" w14:textId="77777777" w:rsidR="00B449D0" w:rsidRDefault="00175344">
      <w:pPr>
        <w:pStyle w:val="Bullet"/>
      </w:pPr>
      <w:r>
        <w:t>The Parenthood Project Limited.</w:t>
      </w:r>
    </w:p>
    <w:p w14:paraId="5C392091" w14:textId="77777777" w:rsidR="00B449D0" w:rsidRDefault="00175344" w:rsidP="7F762F0D">
      <w:pPr>
        <w:pStyle w:val="Normal2"/>
        <w:rPr>
          <w:lang w:val="en-US"/>
        </w:rPr>
      </w:pPr>
      <w:r w:rsidRPr="7F762F0D">
        <w:rPr>
          <w:lang w:val="en-US"/>
        </w:rPr>
        <w:t>The listing of Coaxial is subject to the condition that DGR funds can only be used for purposes consistent with existing DGR categories in the tax law, for early childhood education and care (ECEC), or advancing gender equality in Australia. Coaxial must maintain minimum annual distributions consistent with the ancillary fund requirements and must not apply any deductible gifts received from the public towards the purpose of providing access to ECEC.</w:t>
      </w:r>
    </w:p>
    <w:p w14:paraId="16A35483" w14:textId="77777777" w:rsidR="00B449D0" w:rsidRDefault="00175344">
      <w:pPr>
        <w:pStyle w:val="Normal2"/>
      </w:pPr>
      <w:r>
        <w:t>The listing of PLACE is subject to charity registration with the Australian Charities and Not‑for‑profits Commission.</w:t>
      </w:r>
    </w:p>
    <w:p w14:paraId="12EDE668" w14:textId="77777777" w:rsidR="00B449D0" w:rsidRDefault="00175344">
      <w:pPr>
        <w:pStyle w:val="Normal2"/>
      </w:pPr>
      <w:r w:rsidRPr="7F762F0D">
        <w:rPr>
          <w:lang w:val="en-US"/>
        </w:rPr>
        <w:t>The listing of PRFL is subject to the condition that it maintains minimum annual distributions consistent with the ancillary fund requirements.</w:t>
      </w:r>
    </w:p>
    <w:p w14:paraId="4BACDBD4" w14:textId="77777777" w:rsidR="00B449D0" w:rsidRDefault="00175344">
      <w:pPr>
        <w:pStyle w:val="Normal2"/>
      </w:pPr>
      <w:r w:rsidRPr="7F762F0D">
        <w:rPr>
          <w:lang w:val="en-US"/>
        </w:rPr>
        <w:t>The Government will also remove the following specifically listed DGRs which have either voluntarily requested removal or no longer operate for the purpose for which they were originally provided DGR status:</w:t>
      </w:r>
    </w:p>
    <w:p w14:paraId="417A28C2" w14:textId="77777777" w:rsidR="00B449D0" w:rsidRDefault="00175344">
      <w:pPr>
        <w:pStyle w:val="Bullet"/>
      </w:pPr>
      <w:r>
        <w:t>Bradman Memorial Fund</w:t>
      </w:r>
    </w:p>
    <w:p w14:paraId="067A8507" w14:textId="77777777" w:rsidR="00B449D0" w:rsidRDefault="00175344">
      <w:pPr>
        <w:pStyle w:val="Bullet"/>
      </w:pPr>
      <w:r>
        <w:t>Clontarf Foundation</w:t>
      </w:r>
    </w:p>
    <w:p w14:paraId="254E1C43" w14:textId="77777777" w:rsidR="00B449D0" w:rsidRDefault="00175344">
      <w:pPr>
        <w:pStyle w:val="Bullet"/>
      </w:pPr>
      <w:r>
        <w:t>NSCA Foundation Ltd</w:t>
      </w:r>
    </w:p>
    <w:p w14:paraId="409EEB17" w14:textId="77777777" w:rsidR="00B449D0" w:rsidRDefault="00175344">
      <w:pPr>
        <w:pStyle w:val="Bullet"/>
      </w:pPr>
      <w:r>
        <w:t>Sydney Talmudical College Association Refugees Overseas Aid Fund</w:t>
      </w:r>
    </w:p>
    <w:p w14:paraId="2BADA667" w14:textId="77777777" w:rsidR="00B449D0" w:rsidRDefault="00175344">
      <w:pPr>
        <w:pStyle w:val="Bullet"/>
      </w:pPr>
      <w:r>
        <w:t>The Australian Future Leaders Foundation Limited</w:t>
      </w:r>
    </w:p>
    <w:p w14:paraId="3FD5771D" w14:textId="77777777" w:rsidR="00B449D0" w:rsidRDefault="00175344">
      <w:pPr>
        <w:pStyle w:val="Bullet"/>
      </w:pPr>
      <w:r>
        <w:t>The Ranfurly Library Service Inc</w:t>
      </w:r>
    </w:p>
    <w:p w14:paraId="7B476820" w14:textId="77777777" w:rsidR="00B449D0" w:rsidRDefault="00175344">
      <w:pPr>
        <w:pStyle w:val="Bullet"/>
      </w:pPr>
      <w:r>
        <w:t>The Roberta Sykes Indigenous Education Foundation</w:t>
      </w:r>
    </w:p>
    <w:p w14:paraId="7D729699" w14:textId="77777777" w:rsidR="00B449D0" w:rsidRDefault="00175344">
      <w:pPr>
        <w:pStyle w:val="Bullet"/>
      </w:pPr>
      <w:r>
        <w:t>WA National Parks and Reserves Association Inc.</w:t>
      </w:r>
    </w:p>
    <w:p w14:paraId="300858E7" w14:textId="77777777" w:rsidR="00B449D0" w:rsidRDefault="00175344">
      <w:pPr>
        <w:pStyle w:val="Normal2"/>
      </w:pPr>
      <w:r w:rsidRPr="7F762F0D">
        <w:rPr>
          <w:lang w:val="en-US"/>
        </w:rPr>
        <w:lastRenderedPageBreak/>
        <w:t>Since the 2024–25 Budget, the Government has agreed to modify the start date for the specific listings for Combatting Antisemitism Fund Limited and Skip Foundation Ltd to apply to gifts received from 1 July 2024 to 30 June 2029. The Government has also agreed to a modified condition for the specific listing of Skip Foundation Ltd, which may now use DGR funds to advance gender equality and philanthropic activity in Australia.</w:t>
      </w:r>
    </w:p>
    <w:p w14:paraId="4B47705B" w14:textId="7CFEAAC4" w:rsidR="00B449D0" w:rsidRDefault="00175344">
      <w:pPr>
        <w:pStyle w:val="Normal2"/>
      </w:pPr>
      <w:r>
        <w:t xml:space="preserve">This measure is estimated to decrease receipts by $0.8 million over </w:t>
      </w:r>
      <w:r w:rsidR="0062348C">
        <w:t>five</w:t>
      </w:r>
      <w:r>
        <w:t> years from 2023–24.</w:t>
      </w:r>
    </w:p>
    <w:p w14:paraId="0EAE361E" w14:textId="77777777" w:rsidR="00B449D0" w:rsidRDefault="00175344">
      <w:pPr>
        <w:pStyle w:val="MeasureTitle"/>
      </w:pPr>
      <w:r>
        <w:t>Philanthropy – support to double philanthropic giving by 2030</w:t>
      </w:r>
    </w:p>
    <w:p w14:paraId="4C5ED552" w14:textId="77777777" w:rsidR="00B449D0" w:rsidRDefault="00175344">
      <w:pPr>
        <w:pStyle w:val="MeasureTableHeading"/>
      </w:pPr>
      <w:r>
        <w:t>Receipts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2D3D255C" w14:textId="77777777">
        <w:trPr>
          <w:cantSplit/>
        </w:trPr>
        <w:tc>
          <w:tcPr>
            <w:tcW w:w="2494" w:type="dxa"/>
            <w:tcBorders>
              <w:top w:val="single" w:sz="4" w:space="0" w:color="000000"/>
              <w:bottom w:val="single" w:sz="4" w:space="0" w:color="000000"/>
            </w:tcBorders>
          </w:tcPr>
          <w:p w14:paraId="6D2A7C02" w14:textId="77777777" w:rsidR="00B449D0" w:rsidRDefault="00B449D0">
            <w:pPr>
              <w:pStyle w:val="MeasureTableYearHeadings"/>
              <w:keepNext/>
            </w:pPr>
          </w:p>
        </w:tc>
        <w:tc>
          <w:tcPr>
            <w:tcW w:w="1043" w:type="dxa"/>
            <w:tcBorders>
              <w:top w:val="single" w:sz="4" w:space="0" w:color="000000"/>
              <w:bottom w:val="single" w:sz="4" w:space="0" w:color="000000"/>
            </w:tcBorders>
          </w:tcPr>
          <w:p w14:paraId="11E45509" w14:textId="0B61117E"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7F9EFAEE" w14:textId="6ED832C1"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110D734D" w14:textId="227E3059"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4C0D07BF" w14:textId="627D2936"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2AEEFBC3" w14:textId="612F4AFC" w:rsidR="00B449D0" w:rsidRDefault="00175344">
            <w:pPr>
              <w:pStyle w:val="MeasureTableYearHeadings"/>
              <w:keepNext/>
            </w:pPr>
            <w:r>
              <w:t>2027</w:t>
            </w:r>
            <w:r w:rsidR="00076D78">
              <w:noBreakHyphen/>
            </w:r>
            <w:r>
              <w:t>28</w:t>
            </w:r>
          </w:p>
        </w:tc>
      </w:tr>
      <w:tr w:rsidR="00B449D0" w:rsidRPr="003179C1" w14:paraId="455C57A3" w14:textId="77777777">
        <w:trPr>
          <w:cantSplit/>
        </w:trPr>
        <w:tc>
          <w:tcPr>
            <w:tcW w:w="2494" w:type="dxa"/>
            <w:tcBorders>
              <w:top w:val="single" w:sz="4" w:space="0" w:color="000000"/>
              <w:bottom w:val="single" w:sz="4" w:space="0" w:color="000000"/>
            </w:tcBorders>
          </w:tcPr>
          <w:p w14:paraId="1DCEF2C5" w14:textId="77777777" w:rsidR="00B449D0" w:rsidRDefault="00175344">
            <w:pPr>
              <w:pStyle w:val="MeasureTableHeadingleftalignedwith2ptsspacing"/>
              <w:keepNext/>
            </w:pPr>
            <w:r>
              <w:t>Australian Taxation Office</w:t>
            </w:r>
          </w:p>
        </w:tc>
        <w:tc>
          <w:tcPr>
            <w:tcW w:w="1043" w:type="dxa"/>
            <w:tcBorders>
              <w:top w:val="single" w:sz="4" w:space="0" w:color="000000"/>
              <w:bottom w:val="single" w:sz="4" w:space="0" w:color="000000"/>
            </w:tcBorders>
          </w:tcPr>
          <w:p w14:paraId="274439D2" w14:textId="6DBDC891"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F6B0759" w14:textId="18E4D399"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805EE46" w14:textId="50EA2680" w:rsidR="00B449D0" w:rsidRPr="003179C1" w:rsidRDefault="00994DDF">
            <w:pPr>
              <w:pStyle w:val="MeasureTableDataRightAlignedwith2ptsspacing"/>
              <w:keepNext/>
            </w:pPr>
            <w:r w:rsidRPr="003179C1">
              <w:t>..</w:t>
            </w:r>
          </w:p>
        </w:tc>
        <w:tc>
          <w:tcPr>
            <w:tcW w:w="1043" w:type="dxa"/>
            <w:tcBorders>
              <w:top w:val="single" w:sz="4" w:space="0" w:color="000000"/>
              <w:bottom w:val="single" w:sz="4" w:space="0" w:color="000000"/>
            </w:tcBorders>
          </w:tcPr>
          <w:p w14:paraId="2692C088" w14:textId="41D3DBBC" w:rsidR="00B449D0" w:rsidRPr="003179C1" w:rsidRDefault="00994DDF">
            <w:pPr>
              <w:pStyle w:val="MeasureTableDataRightAlignedwith2ptsspacing"/>
              <w:keepNext/>
            </w:pPr>
            <w:r w:rsidRPr="003179C1">
              <w:t>..</w:t>
            </w:r>
          </w:p>
        </w:tc>
        <w:tc>
          <w:tcPr>
            <w:tcW w:w="1043" w:type="dxa"/>
            <w:tcBorders>
              <w:top w:val="single" w:sz="4" w:space="0" w:color="000000"/>
              <w:bottom w:val="single" w:sz="4" w:space="0" w:color="000000"/>
            </w:tcBorders>
          </w:tcPr>
          <w:p w14:paraId="66F0F7B9" w14:textId="77A18FF6" w:rsidR="00B449D0" w:rsidRPr="003179C1" w:rsidRDefault="00994DDF">
            <w:pPr>
              <w:pStyle w:val="MeasureTableDataRightAlignedwith2ptsspacing"/>
              <w:keepNext/>
            </w:pPr>
            <w:r w:rsidRPr="003179C1">
              <w:t>..</w:t>
            </w:r>
          </w:p>
        </w:tc>
      </w:tr>
    </w:tbl>
    <w:p w14:paraId="029AE37B" w14:textId="77777777" w:rsidR="00B449D0" w:rsidRPr="00BA7366" w:rsidRDefault="00B449D0" w:rsidP="00380A42">
      <w:pPr>
        <w:pStyle w:val="SingleParagraph0"/>
      </w:pPr>
    </w:p>
    <w:p w14:paraId="0B15A24E" w14:textId="77777777" w:rsidR="00B449D0" w:rsidRDefault="00175344">
      <w:pPr>
        <w:pStyle w:val="Normal2"/>
      </w:pPr>
      <w:r>
        <w:t>The Government will implement further reforms as part of its commitment to double philanthropic giving by 2030 by:</w:t>
      </w:r>
    </w:p>
    <w:p w14:paraId="58003BCA" w14:textId="6E319338" w:rsidR="00B449D0" w:rsidRDefault="00175344">
      <w:pPr>
        <w:pStyle w:val="Bullet"/>
      </w:pPr>
      <w:r>
        <w:t>removing the condition that a gift to a deductible gift recipient be valued at $2 or more before the donor may claim a tax deduction. This will apply to gifts made from 1 July 2024</w:t>
      </w:r>
    </w:p>
    <w:p w14:paraId="1C02A0B9" w14:textId="77777777" w:rsidR="00B449D0" w:rsidRDefault="00175344">
      <w:pPr>
        <w:pStyle w:val="Bullet"/>
      </w:pPr>
      <w:r>
        <w:t>aligning and increasing the minimum annual distribution rate for public and private ancillary funds and allow ancillary funds to smooth distributions over three years. This will apply from the first financial year after registration of amending ministerial guidelines. The distribution rate will be subject to consultation, and a five‑year grace period will apply to any increase in the minimum distribution rate.</w:t>
      </w:r>
    </w:p>
    <w:p w14:paraId="2BDC966D" w14:textId="755EAC2C" w:rsidR="00B449D0" w:rsidRDefault="00175344">
      <w:pPr>
        <w:pStyle w:val="Normal2"/>
      </w:pPr>
      <w:r>
        <w:t>This measure implements two key recommendations of the Productivity Commission</w:t>
      </w:r>
      <w:r w:rsidR="00076D78">
        <w:t>’</w:t>
      </w:r>
      <w:r>
        <w:t xml:space="preserve">s </w:t>
      </w:r>
      <w:r w:rsidRPr="00175344">
        <w:rPr>
          <w:i/>
        </w:rPr>
        <w:t>Future foundations for giving</w:t>
      </w:r>
      <w:r>
        <w:t xml:space="preserve"> report. The Government continues to consider its response to the Commission report</w:t>
      </w:r>
      <w:r w:rsidR="00076D78">
        <w:t>’</w:t>
      </w:r>
      <w:r>
        <w:t>s other recommendations.</w:t>
      </w:r>
    </w:p>
    <w:p w14:paraId="4883966F" w14:textId="0C1CDA50" w:rsidR="00B449D0" w:rsidRDefault="00175344">
      <w:pPr>
        <w:pStyle w:val="Normal2"/>
      </w:pPr>
      <w:r>
        <w:t xml:space="preserve">This measure is estimated to result in a negligible decrease in receipts over </w:t>
      </w:r>
      <w:r w:rsidR="00A2344F">
        <w:t>five</w:t>
      </w:r>
      <w:r>
        <w:t> years from 2023–24.</w:t>
      </w:r>
    </w:p>
    <w:p w14:paraId="7B2EFB0F" w14:textId="77777777" w:rsidR="00B449D0" w:rsidRDefault="00175344">
      <w:pPr>
        <w:pStyle w:val="MeasureTitle"/>
      </w:pPr>
      <w:r>
        <w:t>Research and Development Tax Incentive – excluding activities relating to gambling and tobacco</w:t>
      </w:r>
    </w:p>
    <w:p w14:paraId="54626D60" w14:textId="77777777" w:rsidR="00B449D0" w:rsidRDefault="00175344">
      <w:pPr>
        <w:pStyle w:val="MeasureTableHeading"/>
      </w:pPr>
      <w:r>
        <w:t>Receipts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32C7CEB9" w14:textId="77777777">
        <w:trPr>
          <w:cantSplit/>
        </w:trPr>
        <w:tc>
          <w:tcPr>
            <w:tcW w:w="2494" w:type="dxa"/>
            <w:tcBorders>
              <w:top w:val="single" w:sz="4" w:space="0" w:color="000000"/>
              <w:bottom w:val="single" w:sz="4" w:space="0" w:color="000000"/>
            </w:tcBorders>
          </w:tcPr>
          <w:p w14:paraId="5F0AF0B0" w14:textId="77777777" w:rsidR="00B449D0" w:rsidRDefault="00B449D0">
            <w:pPr>
              <w:pStyle w:val="MeasureTableYearHeadings"/>
              <w:keepNext/>
            </w:pPr>
          </w:p>
        </w:tc>
        <w:tc>
          <w:tcPr>
            <w:tcW w:w="1043" w:type="dxa"/>
            <w:tcBorders>
              <w:top w:val="single" w:sz="4" w:space="0" w:color="000000"/>
              <w:bottom w:val="single" w:sz="4" w:space="0" w:color="000000"/>
            </w:tcBorders>
          </w:tcPr>
          <w:p w14:paraId="41C07098" w14:textId="2A17D075"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0EAC5D33" w14:textId="47BE597A"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0580292D" w14:textId="5A60117E"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20B846F1" w14:textId="3E6D096E"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588649BD" w14:textId="07B2D32B" w:rsidR="00B449D0" w:rsidRDefault="00175344">
            <w:pPr>
              <w:pStyle w:val="MeasureTableYearHeadings"/>
              <w:keepNext/>
            </w:pPr>
            <w:r>
              <w:t>2027</w:t>
            </w:r>
            <w:r w:rsidR="00076D78">
              <w:noBreakHyphen/>
            </w:r>
            <w:r>
              <w:t>28</w:t>
            </w:r>
          </w:p>
        </w:tc>
      </w:tr>
      <w:tr w:rsidR="00B449D0" w14:paraId="3DF9ACFE" w14:textId="77777777">
        <w:trPr>
          <w:cantSplit/>
        </w:trPr>
        <w:tc>
          <w:tcPr>
            <w:tcW w:w="2494" w:type="dxa"/>
            <w:tcBorders>
              <w:top w:val="single" w:sz="4" w:space="0" w:color="000000"/>
              <w:bottom w:val="single" w:sz="4" w:space="0" w:color="000000"/>
            </w:tcBorders>
          </w:tcPr>
          <w:p w14:paraId="36525ABC" w14:textId="77777777" w:rsidR="00B449D0" w:rsidRDefault="00175344">
            <w:pPr>
              <w:pStyle w:val="MeasureTableHeadingleftalignedwith2ptsspacing"/>
              <w:keepNext/>
            </w:pPr>
            <w:r>
              <w:t>Australian Taxation Office</w:t>
            </w:r>
          </w:p>
        </w:tc>
        <w:tc>
          <w:tcPr>
            <w:tcW w:w="1043" w:type="dxa"/>
            <w:tcBorders>
              <w:top w:val="single" w:sz="4" w:space="0" w:color="000000"/>
              <w:bottom w:val="single" w:sz="4" w:space="0" w:color="000000"/>
            </w:tcBorders>
          </w:tcPr>
          <w:p w14:paraId="106FBBBC" w14:textId="4752A583"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981E22E" w14:textId="66BE0B2F"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6CED21A" w14:textId="152F8751"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75F3603" w14:textId="77777777" w:rsidR="00B449D0" w:rsidRDefault="00175344">
            <w:pPr>
              <w:pStyle w:val="MeasureTableDataRightAlignedwith2ptsspacing"/>
              <w:keepNext/>
            </w:pPr>
            <w:r>
              <w:t>6.0</w:t>
            </w:r>
          </w:p>
        </w:tc>
        <w:tc>
          <w:tcPr>
            <w:tcW w:w="1043" w:type="dxa"/>
            <w:tcBorders>
              <w:top w:val="single" w:sz="4" w:space="0" w:color="000000"/>
              <w:bottom w:val="single" w:sz="4" w:space="0" w:color="000000"/>
            </w:tcBorders>
          </w:tcPr>
          <w:p w14:paraId="1AA819FD" w14:textId="77777777" w:rsidR="00B449D0" w:rsidRDefault="00175344">
            <w:pPr>
              <w:pStyle w:val="MeasureTableDataRightAlignedwith2ptsspacing"/>
              <w:keepNext/>
            </w:pPr>
            <w:r>
              <w:t>6.0</w:t>
            </w:r>
          </w:p>
        </w:tc>
      </w:tr>
      <w:tr w:rsidR="00B449D0" w14:paraId="6D8FBA10" w14:textId="77777777">
        <w:trPr>
          <w:cantSplit/>
        </w:trPr>
        <w:tc>
          <w:tcPr>
            <w:tcW w:w="2494" w:type="dxa"/>
          </w:tcPr>
          <w:p w14:paraId="2E6E5AF3" w14:textId="77777777" w:rsidR="00B449D0" w:rsidRDefault="00175344">
            <w:pPr>
              <w:pStyle w:val="AgencyName"/>
              <w:keepNext/>
            </w:pPr>
            <w:r>
              <w:t>Related payments ($m)</w:t>
            </w:r>
          </w:p>
        </w:tc>
        <w:tc>
          <w:tcPr>
            <w:tcW w:w="1043" w:type="dxa"/>
          </w:tcPr>
          <w:p w14:paraId="5AA3EB7A" w14:textId="77777777" w:rsidR="00B449D0" w:rsidRDefault="00B449D0">
            <w:pPr>
              <w:pStyle w:val="AgencyName"/>
              <w:keepNext/>
            </w:pPr>
          </w:p>
        </w:tc>
        <w:tc>
          <w:tcPr>
            <w:tcW w:w="1043" w:type="dxa"/>
          </w:tcPr>
          <w:p w14:paraId="5D8D80EF" w14:textId="77777777" w:rsidR="00B449D0" w:rsidRDefault="00B449D0">
            <w:pPr>
              <w:pStyle w:val="AgencyName"/>
              <w:keepNext/>
            </w:pPr>
          </w:p>
        </w:tc>
        <w:tc>
          <w:tcPr>
            <w:tcW w:w="1043" w:type="dxa"/>
          </w:tcPr>
          <w:p w14:paraId="189833F5" w14:textId="77777777" w:rsidR="00B449D0" w:rsidRDefault="00B449D0">
            <w:pPr>
              <w:pStyle w:val="AgencyName"/>
              <w:keepNext/>
            </w:pPr>
          </w:p>
        </w:tc>
        <w:tc>
          <w:tcPr>
            <w:tcW w:w="1043" w:type="dxa"/>
          </w:tcPr>
          <w:p w14:paraId="220DFD65" w14:textId="77777777" w:rsidR="00B449D0" w:rsidRDefault="00B449D0">
            <w:pPr>
              <w:pStyle w:val="AgencyName"/>
              <w:keepNext/>
            </w:pPr>
          </w:p>
        </w:tc>
        <w:tc>
          <w:tcPr>
            <w:tcW w:w="1043" w:type="dxa"/>
          </w:tcPr>
          <w:p w14:paraId="0DBED8CC" w14:textId="77777777" w:rsidR="00B449D0" w:rsidRDefault="00B449D0">
            <w:pPr>
              <w:pStyle w:val="AgencyName"/>
              <w:keepNext/>
            </w:pPr>
          </w:p>
        </w:tc>
      </w:tr>
      <w:tr w:rsidR="00B449D0" w14:paraId="7207F21E" w14:textId="77777777">
        <w:tc>
          <w:tcPr>
            <w:tcW w:w="2494" w:type="dxa"/>
          </w:tcPr>
          <w:p w14:paraId="3DE1DB3E" w14:textId="77777777" w:rsidR="00B449D0" w:rsidRDefault="00175344">
            <w:pPr>
              <w:pStyle w:val="AgencyNamewith2ptsspacing"/>
              <w:keepNext/>
            </w:pPr>
            <w:r>
              <w:t>Australian Taxation Office</w:t>
            </w:r>
          </w:p>
        </w:tc>
        <w:tc>
          <w:tcPr>
            <w:tcW w:w="1043" w:type="dxa"/>
          </w:tcPr>
          <w:p w14:paraId="1CA4B4DD" w14:textId="192DFBF7" w:rsidR="00B449D0" w:rsidRDefault="00076D78">
            <w:pPr>
              <w:pStyle w:val="Measuretabledatarightaligneditalics"/>
              <w:keepNext/>
            </w:pPr>
            <w:r>
              <w:noBreakHyphen/>
            </w:r>
          </w:p>
        </w:tc>
        <w:tc>
          <w:tcPr>
            <w:tcW w:w="1043" w:type="dxa"/>
          </w:tcPr>
          <w:p w14:paraId="75BB45DE" w14:textId="5D26E95A" w:rsidR="00B449D0" w:rsidRDefault="00076D78">
            <w:pPr>
              <w:pStyle w:val="Measuretabledatarightaligneditalics"/>
              <w:keepNext/>
            </w:pPr>
            <w:r>
              <w:noBreakHyphen/>
            </w:r>
          </w:p>
        </w:tc>
        <w:tc>
          <w:tcPr>
            <w:tcW w:w="1043" w:type="dxa"/>
          </w:tcPr>
          <w:p w14:paraId="2C744FB5" w14:textId="11B500AF" w:rsidR="00B449D0" w:rsidRDefault="00076D78">
            <w:pPr>
              <w:pStyle w:val="Measuretabledatarightaligneditalics"/>
              <w:keepNext/>
            </w:pPr>
            <w:r>
              <w:noBreakHyphen/>
            </w:r>
          </w:p>
        </w:tc>
        <w:tc>
          <w:tcPr>
            <w:tcW w:w="1043" w:type="dxa"/>
          </w:tcPr>
          <w:p w14:paraId="0522A88D" w14:textId="4A9CF971" w:rsidR="00B449D0" w:rsidRDefault="00076D78">
            <w:pPr>
              <w:pStyle w:val="Measuretabledatarightaligneditalics"/>
              <w:keepNext/>
            </w:pPr>
            <w:r>
              <w:noBreakHyphen/>
            </w:r>
            <w:r w:rsidR="00175344">
              <w:t>4.0</w:t>
            </w:r>
          </w:p>
        </w:tc>
        <w:tc>
          <w:tcPr>
            <w:tcW w:w="1043" w:type="dxa"/>
          </w:tcPr>
          <w:p w14:paraId="1DA8DBE0" w14:textId="217D1D3A" w:rsidR="00B449D0" w:rsidRDefault="00076D78">
            <w:pPr>
              <w:pStyle w:val="Measuretabledatarightaligneditalics"/>
              <w:keepNext/>
            </w:pPr>
            <w:r>
              <w:noBreakHyphen/>
            </w:r>
            <w:r w:rsidR="00175344">
              <w:t>4.0</w:t>
            </w:r>
          </w:p>
        </w:tc>
      </w:tr>
    </w:tbl>
    <w:p w14:paraId="35E06F9F" w14:textId="77777777" w:rsidR="00B449D0" w:rsidRPr="00BA7366" w:rsidRDefault="00B449D0" w:rsidP="00380A42">
      <w:pPr>
        <w:pStyle w:val="SingleParagraph0"/>
      </w:pPr>
    </w:p>
    <w:p w14:paraId="7E26F103" w14:textId="77777777" w:rsidR="00B449D0" w:rsidRDefault="00175344">
      <w:pPr>
        <w:pStyle w:val="Normal2"/>
      </w:pPr>
      <w:r>
        <w:t>The Government will exclude activities related to gambling and tobacco from Research and Development Tax Incentive eligibility for income years starting on or after 1 July 2025.</w:t>
      </w:r>
    </w:p>
    <w:p w14:paraId="36F90085" w14:textId="77777777" w:rsidR="00B449D0" w:rsidRDefault="00175344" w:rsidP="7F762F0D">
      <w:pPr>
        <w:pStyle w:val="Normal2"/>
        <w:rPr>
          <w:lang w:val="en-US"/>
        </w:rPr>
      </w:pPr>
      <w:r w:rsidRPr="7F762F0D">
        <w:rPr>
          <w:lang w:val="en-US"/>
        </w:rPr>
        <w:t xml:space="preserve">Research and development activities related to gambling can exacerbate addiction and associated harms, while activities related to tobacco can increase health risks. Excluding these activities will ensure that the Government is not subsidising this type of research and </w:t>
      </w:r>
      <w:r w:rsidRPr="7F762F0D">
        <w:rPr>
          <w:lang w:val="en-US"/>
        </w:rPr>
        <w:lastRenderedPageBreak/>
        <w:t>development. Activities that are solely for the purpose of harm reduction, such as reducing addiction, will remain eligible to receive support.</w:t>
      </w:r>
    </w:p>
    <w:p w14:paraId="0995AEAF" w14:textId="49EFF1F9" w:rsidR="00B449D0" w:rsidRDefault="00175344">
      <w:pPr>
        <w:pStyle w:val="Normal2"/>
      </w:pPr>
      <w:r>
        <w:t xml:space="preserve">This measure is estimated to increase receipts by $12.0 million and decrease payments by $8.0 million over </w:t>
      </w:r>
      <w:r w:rsidR="00B56E1E">
        <w:t>five</w:t>
      </w:r>
      <w:r>
        <w:t> years from 2023–24.</w:t>
      </w:r>
    </w:p>
    <w:p w14:paraId="4E5B242C" w14:textId="77777777" w:rsidR="00B449D0" w:rsidRDefault="00175344" w:rsidP="0022710B">
      <w:pPr>
        <w:pStyle w:val="MeasureTitle"/>
        <w:spacing w:before="320"/>
      </w:pPr>
      <w:r>
        <w:t>Strengthening Tax Compliance – boosting the Shadow Economy Compliance Program</w:t>
      </w:r>
    </w:p>
    <w:p w14:paraId="19879975" w14:textId="77777777" w:rsidR="00B449D0" w:rsidRDefault="00175344">
      <w:pPr>
        <w:pStyle w:val="MeasureTableHeading"/>
      </w:pPr>
      <w:r>
        <w:t>Receipts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3F696CD1" w14:textId="77777777">
        <w:trPr>
          <w:cantSplit/>
        </w:trPr>
        <w:tc>
          <w:tcPr>
            <w:tcW w:w="2494" w:type="dxa"/>
            <w:tcBorders>
              <w:top w:val="single" w:sz="4" w:space="0" w:color="000000"/>
              <w:bottom w:val="single" w:sz="4" w:space="0" w:color="000000"/>
            </w:tcBorders>
          </w:tcPr>
          <w:p w14:paraId="0216DF72" w14:textId="77777777" w:rsidR="00B449D0" w:rsidRDefault="00B449D0">
            <w:pPr>
              <w:pStyle w:val="MeasureTableYearHeadings"/>
              <w:keepNext/>
            </w:pPr>
          </w:p>
        </w:tc>
        <w:tc>
          <w:tcPr>
            <w:tcW w:w="1043" w:type="dxa"/>
            <w:tcBorders>
              <w:top w:val="single" w:sz="4" w:space="0" w:color="000000"/>
              <w:bottom w:val="single" w:sz="4" w:space="0" w:color="000000"/>
            </w:tcBorders>
          </w:tcPr>
          <w:p w14:paraId="4286C5E5" w14:textId="6C0AB508"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4762C5D9" w14:textId="4F1467AE"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334CF6A4" w14:textId="3D8DD21F"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2A9EBF21" w14:textId="3FDD79CA"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27172EC1" w14:textId="4EE31CC2" w:rsidR="00B449D0" w:rsidRDefault="00175344">
            <w:pPr>
              <w:pStyle w:val="MeasureTableYearHeadings"/>
              <w:keepNext/>
            </w:pPr>
            <w:r>
              <w:t>2027</w:t>
            </w:r>
            <w:r w:rsidR="00076D78">
              <w:noBreakHyphen/>
            </w:r>
            <w:r>
              <w:t>28</w:t>
            </w:r>
          </w:p>
        </w:tc>
      </w:tr>
      <w:tr w:rsidR="00B449D0" w14:paraId="5CC27BB7" w14:textId="77777777">
        <w:trPr>
          <w:cantSplit/>
        </w:trPr>
        <w:tc>
          <w:tcPr>
            <w:tcW w:w="2494" w:type="dxa"/>
            <w:tcBorders>
              <w:top w:val="single" w:sz="4" w:space="0" w:color="000000"/>
              <w:bottom w:val="single" w:sz="4" w:space="0" w:color="000000"/>
            </w:tcBorders>
          </w:tcPr>
          <w:p w14:paraId="4A806B70" w14:textId="77777777" w:rsidR="00B449D0" w:rsidRDefault="00175344">
            <w:pPr>
              <w:pStyle w:val="MeasureTableHeadingleftalignedwith2ptsspacing"/>
              <w:keepNext/>
            </w:pPr>
            <w:r>
              <w:t>Australian Taxation Office</w:t>
            </w:r>
          </w:p>
        </w:tc>
        <w:tc>
          <w:tcPr>
            <w:tcW w:w="1043" w:type="dxa"/>
            <w:tcBorders>
              <w:top w:val="single" w:sz="4" w:space="0" w:color="000000"/>
              <w:bottom w:val="single" w:sz="4" w:space="0" w:color="000000"/>
            </w:tcBorders>
          </w:tcPr>
          <w:p w14:paraId="3BA6758A" w14:textId="323BEE64"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BF7FE67" w14:textId="77777777" w:rsidR="00B449D0" w:rsidRDefault="00175344">
            <w:pPr>
              <w:pStyle w:val="MeasureTableDataRightAlignedwith2ptsspacing"/>
              <w:keepNext/>
            </w:pPr>
            <w:r>
              <w:t>13.3</w:t>
            </w:r>
          </w:p>
        </w:tc>
        <w:tc>
          <w:tcPr>
            <w:tcW w:w="1043" w:type="dxa"/>
            <w:tcBorders>
              <w:top w:val="single" w:sz="4" w:space="0" w:color="000000"/>
              <w:bottom w:val="single" w:sz="4" w:space="0" w:color="000000"/>
            </w:tcBorders>
          </w:tcPr>
          <w:p w14:paraId="73E7BC5C" w14:textId="77777777" w:rsidR="00B449D0" w:rsidRDefault="00175344">
            <w:pPr>
              <w:pStyle w:val="MeasureTableDataRightAlignedwith2ptsspacing"/>
              <w:keepNext/>
            </w:pPr>
            <w:r>
              <w:t>68.1</w:t>
            </w:r>
          </w:p>
        </w:tc>
        <w:tc>
          <w:tcPr>
            <w:tcW w:w="1043" w:type="dxa"/>
            <w:tcBorders>
              <w:top w:val="single" w:sz="4" w:space="0" w:color="000000"/>
              <w:bottom w:val="single" w:sz="4" w:space="0" w:color="000000"/>
            </w:tcBorders>
          </w:tcPr>
          <w:p w14:paraId="1C321ADF" w14:textId="77777777" w:rsidR="00B449D0" w:rsidRDefault="00175344">
            <w:pPr>
              <w:pStyle w:val="MeasureTableDataRightAlignedwith2ptsspacing"/>
              <w:keepNext/>
            </w:pPr>
            <w:r>
              <w:t>122.6</w:t>
            </w:r>
          </w:p>
        </w:tc>
        <w:tc>
          <w:tcPr>
            <w:tcW w:w="1043" w:type="dxa"/>
            <w:tcBorders>
              <w:top w:val="single" w:sz="4" w:space="0" w:color="000000"/>
              <w:bottom w:val="single" w:sz="4" w:space="0" w:color="000000"/>
            </w:tcBorders>
          </w:tcPr>
          <w:p w14:paraId="493DA3D2" w14:textId="77777777" w:rsidR="00B449D0" w:rsidRDefault="00175344">
            <w:pPr>
              <w:pStyle w:val="MeasureTableDataRightAlignedwith2ptsspacing"/>
              <w:keepNext/>
            </w:pPr>
            <w:r>
              <w:t>162.1</w:t>
            </w:r>
          </w:p>
        </w:tc>
      </w:tr>
      <w:tr w:rsidR="00B449D0" w14:paraId="5BC0B2E0" w14:textId="77777777">
        <w:trPr>
          <w:cantSplit/>
        </w:trPr>
        <w:tc>
          <w:tcPr>
            <w:tcW w:w="2494" w:type="dxa"/>
          </w:tcPr>
          <w:p w14:paraId="2C10FFD0" w14:textId="77777777" w:rsidR="00B449D0" w:rsidRDefault="00175344">
            <w:pPr>
              <w:pStyle w:val="AgencyName"/>
              <w:keepNext/>
            </w:pPr>
            <w:r>
              <w:t>Related payments ($m)</w:t>
            </w:r>
          </w:p>
        </w:tc>
        <w:tc>
          <w:tcPr>
            <w:tcW w:w="1043" w:type="dxa"/>
          </w:tcPr>
          <w:p w14:paraId="23328A5B" w14:textId="77777777" w:rsidR="00B449D0" w:rsidRDefault="00B449D0">
            <w:pPr>
              <w:pStyle w:val="AgencyName"/>
              <w:keepNext/>
            </w:pPr>
          </w:p>
        </w:tc>
        <w:tc>
          <w:tcPr>
            <w:tcW w:w="1043" w:type="dxa"/>
          </w:tcPr>
          <w:p w14:paraId="64F29CF3" w14:textId="77777777" w:rsidR="00B449D0" w:rsidRDefault="00B449D0">
            <w:pPr>
              <w:pStyle w:val="AgencyName"/>
              <w:keepNext/>
            </w:pPr>
          </w:p>
        </w:tc>
        <w:tc>
          <w:tcPr>
            <w:tcW w:w="1043" w:type="dxa"/>
          </w:tcPr>
          <w:p w14:paraId="4A7BF297" w14:textId="77777777" w:rsidR="00B449D0" w:rsidRDefault="00B449D0">
            <w:pPr>
              <w:pStyle w:val="AgencyName"/>
              <w:keepNext/>
            </w:pPr>
          </w:p>
        </w:tc>
        <w:tc>
          <w:tcPr>
            <w:tcW w:w="1043" w:type="dxa"/>
          </w:tcPr>
          <w:p w14:paraId="10165C4E" w14:textId="77777777" w:rsidR="00B449D0" w:rsidRDefault="00B449D0">
            <w:pPr>
              <w:pStyle w:val="AgencyName"/>
              <w:keepNext/>
            </w:pPr>
          </w:p>
        </w:tc>
        <w:tc>
          <w:tcPr>
            <w:tcW w:w="1043" w:type="dxa"/>
          </w:tcPr>
          <w:p w14:paraId="44DFE0D2" w14:textId="77777777" w:rsidR="00B449D0" w:rsidRDefault="00B449D0">
            <w:pPr>
              <w:pStyle w:val="AgencyName"/>
              <w:keepNext/>
            </w:pPr>
          </w:p>
        </w:tc>
      </w:tr>
      <w:tr w:rsidR="00B449D0" w14:paraId="266C5AC0" w14:textId="77777777">
        <w:tc>
          <w:tcPr>
            <w:tcW w:w="2494" w:type="dxa"/>
          </w:tcPr>
          <w:p w14:paraId="0A9B2C5F" w14:textId="77777777" w:rsidR="00B449D0" w:rsidRDefault="00175344">
            <w:pPr>
              <w:pStyle w:val="AgencyNamewith2ptsspacing"/>
              <w:keepNext/>
            </w:pPr>
            <w:r>
              <w:t>Australian Taxation Office</w:t>
            </w:r>
          </w:p>
        </w:tc>
        <w:tc>
          <w:tcPr>
            <w:tcW w:w="1043" w:type="dxa"/>
          </w:tcPr>
          <w:p w14:paraId="7E01E8B0" w14:textId="5813DB27" w:rsidR="00B449D0" w:rsidRDefault="00076D78">
            <w:pPr>
              <w:pStyle w:val="Measuretabledatarightaligneditalics"/>
              <w:keepNext/>
            </w:pPr>
            <w:r>
              <w:noBreakHyphen/>
            </w:r>
          </w:p>
        </w:tc>
        <w:tc>
          <w:tcPr>
            <w:tcW w:w="1043" w:type="dxa"/>
          </w:tcPr>
          <w:p w14:paraId="2A48A046" w14:textId="77777777" w:rsidR="00B449D0" w:rsidRDefault="00175344">
            <w:pPr>
              <w:pStyle w:val="Measuretabledatarightaligneditalics"/>
              <w:keepNext/>
            </w:pPr>
            <w:r>
              <w:t>7.0</w:t>
            </w:r>
          </w:p>
        </w:tc>
        <w:tc>
          <w:tcPr>
            <w:tcW w:w="1043" w:type="dxa"/>
          </w:tcPr>
          <w:p w14:paraId="3F396C7B" w14:textId="77777777" w:rsidR="00B449D0" w:rsidRDefault="00175344">
            <w:pPr>
              <w:pStyle w:val="Measuretabledatarightaligneditalics"/>
              <w:keepNext/>
            </w:pPr>
            <w:r>
              <w:t>13.9</w:t>
            </w:r>
          </w:p>
        </w:tc>
        <w:tc>
          <w:tcPr>
            <w:tcW w:w="1043" w:type="dxa"/>
          </w:tcPr>
          <w:p w14:paraId="1903765D" w14:textId="77777777" w:rsidR="00B449D0" w:rsidRDefault="00175344">
            <w:pPr>
              <w:pStyle w:val="Measuretabledatarightaligneditalics"/>
              <w:keepNext/>
            </w:pPr>
            <w:r>
              <w:t>14.1</w:t>
            </w:r>
          </w:p>
        </w:tc>
        <w:tc>
          <w:tcPr>
            <w:tcW w:w="1043" w:type="dxa"/>
          </w:tcPr>
          <w:p w14:paraId="34E092CC" w14:textId="77777777" w:rsidR="00B449D0" w:rsidRDefault="00175344">
            <w:pPr>
              <w:pStyle w:val="Measuretabledatarightaligneditalics"/>
              <w:keepNext/>
            </w:pPr>
            <w:r>
              <w:t>14.2</w:t>
            </w:r>
          </w:p>
        </w:tc>
      </w:tr>
      <w:tr w:rsidR="00B449D0" w14:paraId="71CDF474" w14:textId="77777777">
        <w:trPr>
          <w:cantSplit/>
        </w:trPr>
        <w:tc>
          <w:tcPr>
            <w:tcW w:w="2494" w:type="dxa"/>
            <w:tcBorders>
              <w:top w:val="single" w:sz="4" w:space="0" w:color="000000"/>
              <w:bottom w:val="single" w:sz="4" w:space="0" w:color="000000"/>
            </w:tcBorders>
          </w:tcPr>
          <w:p w14:paraId="25E24BE5" w14:textId="77777777" w:rsidR="00B449D0" w:rsidRDefault="00175344">
            <w:pPr>
              <w:pStyle w:val="AgencyNamewith2ptsspacing"/>
              <w:keepNext/>
            </w:pPr>
            <w:r>
              <w:t>Department of the Treasury</w:t>
            </w:r>
          </w:p>
        </w:tc>
        <w:tc>
          <w:tcPr>
            <w:tcW w:w="1043" w:type="dxa"/>
            <w:tcBorders>
              <w:top w:val="single" w:sz="4" w:space="0" w:color="000000"/>
              <w:bottom w:val="single" w:sz="4" w:space="0" w:color="000000"/>
            </w:tcBorders>
          </w:tcPr>
          <w:p w14:paraId="7586695A" w14:textId="6FB456ED" w:rsidR="00B449D0" w:rsidRDefault="00076D78">
            <w:pPr>
              <w:pStyle w:val="Measuretabledatarightaligneditalics"/>
              <w:keepNext/>
            </w:pPr>
            <w:r>
              <w:noBreakHyphen/>
            </w:r>
          </w:p>
        </w:tc>
        <w:tc>
          <w:tcPr>
            <w:tcW w:w="1043" w:type="dxa"/>
            <w:tcBorders>
              <w:top w:val="single" w:sz="4" w:space="0" w:color="000000"/>
              <w:bottom w:val="single" w:sz="4" w:space="0" w:color="000000"/>
            </w:tcBorders>
          </w:tcPr>
          <w:p w14:paraId="4084A7BE" w14:textId="77777777" w:rsidR="00B449D0" w:rsidRDefault="00175344">
            <w:pPr>
              <w:pStyle w:val="Measuretabledatarightaligneditalics"/>
              <w:keepNext/>
            </w:pPr>
            <w:r>
              <w:t>3.3</w:t>
            </w:r>
          </w:p>
        </w:tc>
        <w:tc>
          <w:tcPr>
            <w:tcW w:w="1043" w:type="dxa"/>
            <w:tcBorders>
              <w:top w:val="single" w:sz="4" w:space="0" w:color="000000"/>
              <w:bottom w:val="single" w:sz="4" w:space="0" w:color="000000"/>
            </w:tcBorders>
          </w:tcPr>
          <w:p w14:paraId="3C23FC37" w14:textId="77777777" w:rsidR="00B449D0" w:rsidRDefault="00175344">
            <w:pPr>
              <w:pStyle w:val="Measuretabledatarightaligneditalics"/>
              <w:keepNext/>
            </w:pPr>
            <w:r>
              <w:t>16.5</w:t>
            </w:r>
          </w:p>
        </w:tc>
        <w:tc>
          <w:tcPr>
            <w:tcW w:w="1043" w:type="dxa"/>
            <w:tcBorders>
              <w:top w:val="single" w:sz="4" w:space="0" w:color="000000"/>
              <w:bottom w:val="single" w:sz="4" w:space="0" w:color="000000"/>
            </w:tcBorders>
          </w:tcPr>
          <w:p w14:paraId="4B8F9BCD" w14:textId="77777777" w:rsidR="00B449D0" w:rsidRDefault="00175344">
            <w:pPr>
              <w:pStyle w:val="Measuretabledatarightaligneditalics"/>
              <w:keepNext/>
            </w:pPr>
            <w:r>
              <w:t>29.6</w:t>
            </w:r>
          </w:p>
        </w:tc>
        <w:tc>
          <w:tcPr>
            <w:tcW w:w="1043" w:type="dxa"/>
            <w:tcBorders>
              <w:top w:val="single" w:sz="4" w:space="0" w:color="000000"/>
              <w:bottom w:val="single" w:sz="4" w:space="0" w:color="000000"/>
            </w:tcBorders>
          </w:tcPr>
          <w:p w14:paraId="5F58EECC" w14:textId="77777777" w:rsidR="00B449D0" w:rsidRDefault="00175344">
            <w:pPr>
              <w:pStyle w:val="Measuretabledatarightaligneditalics"/>
              <w:keepNext/>
            </w:pPr>
            <w:r>
              <w:t>39.2</w:t>
            </w:r>
          </w:p>
        </w:tc>
      </w:tr>
      <w:tr w:rsidR="00B449D0" w14:paraId="5193CE40" w14:textId="77777777">
        <w:trPr>
          <w:cantSplit/>
        </w:trPr>
        <w:tc>
          <w:tcPr>
            <w:tcW w:w="2494" w:type="dxa"/>
            <w:tcBorders>
              <w:top w:val="single" w:sz="4" w:space="0" w:color="000000"/>
              <w:bottom w:val="single" w:sz="4" w:space="0" w:color="000000"/>
            </w:tcBorders>
          </w:tcPr>
          <w:p w14:paraId="0527F902" w14:textId="77777777" w:rsidR="00B449D0" w:rsidRDefault="00175344">
            <w:pPr>
              <w:pStyle w:val="Totalrowitalicsleftaligned"/>
              <w:keepNext/>
            </w:pPr>
            <w:r>
              <w:t>Total – Payments</w:t>
            </w:r>
          </w:p>
        </w:tc>
        <w:tc>
          <w:tcPr>
            <w:tcW w:w="1043" w:type="dxa"/>
            <w:tcBorders>
              <w:top w:val="single" w:sz="4" w:space="0" w:color="000000"/>
              <w:bottom w:val="single" w:sz="4" w:space="0" w:color="000000"/>
            </w:tcBorders>
          </w:tcPr>
          <w:p w14:paraId="698886BC" w14:textId="2FA569E5" w:rsidR="00B449D0" w:rsidRDefault="00076D78">
            <w:pPr>
              <w:pStyle w:val="Measuretabledatarightaligneditalics"/>
              <w:keepNext/>
            </w:pPr>
            <w:r>
              <w:noBreakHyphen/>
            </w:r>
          </w:p>
        </w:tc>
        <w:tc>
          <w:tcPr>
            <w:tcW w:w="1043" w:type="dxa"/>
            <w:tcBorders>
              <w:top w:val="single" w:sz="4" w:space="0" w:color="000000"/>
              <w:bottom w:val="single" w:sz="4" w:space="0" w:color="000000"/>
            </w:tcBorders>
          </w:tcPr>
          <w:p w14:paraId="35A5BF4D" w14:textId="77777777" w:rsidR="00B449D0" w:rsidRDefault="00175344">
            <w:pPr>
              <w:pStyle w:val="Measuretabledatarightaligneditalics"/>
              <w:keepNext/>
            </w:pPr>
            <w:r>
              <w:t>10.3</w:t>
            </w:r>
          </w:p>
        </w:tc>
        <w:tc>
          <w:tcPr>
            <w:tcW w:w="1043" w:type="dxa"/>
            <w:tcBorders>
              <w:top w:val="single" w:sz="4" w:space="0" w:color="000000"/>
              <w:bottom w:val="single" w:sz="4" w:space="0" w:color="000000"/>
            </w:tcBorders>
          </w:tcPr>
          <w:p w14:paraId="32A8C11E" w14:textId="77777777" w:rsidR="00B449D0" w:rsidRDefault="00175344">
            <w:pPr>
              <w:pStyle w:val="Measuretabledatarightaligneditalics"/>
              <w:keepNext/>
            </w:pPr>
            <w:r>
              <w:t>30.4</w:t>
            </w:r>
          </w:p>
        </w:tc>
        <w:tc>
          <w:tcPr>
            <w:tcW w:w="1043" w:type="dxa"/>
            <w:tcBorders>
              <w:top w:val="single" w:sz="4" w:space="0" w:color="000000"/>
              <w:bottom w:val="single" w:sz="4" w:space="0" w:color="000000"/>
            </w:tcBorders>
          </w:tcPr>
          <w:p w14:paraId="0F057511" w14:textId="77777777" w:rsidR="00B449D0" w:rsidRDefault="00175344">
            <w:pPr>
              <w:pStyle w:val="Measuretabledatarightaligneditalics"/>
              <w:keepNext/>
            </w:pPr>
            <w:r>
              <w:t>43.7</w:t>
            </w:r>
          </w:p>
        </w:tc>
        <w:tc>
          <w:tcPr>
            <w:tcW w:w="1043" w:type="dxa"/>
            <w:tcBorders>
              <w:top w:val="single" w:sz="4" w:space="0" w:color="000000"/>
              <w:bottom w:val="single" w:sz="4" w:space="0" w:color="000000"/>
            </w:tcBorders>
          </w:tcPr>
          <w:p w14:paraId="5F68C67F" w14:textId="77777777" w:rsidR="00B449D0" w:rsidRDefault="00175344">
            <w:pPr>
              <w:pStyle w:val="Measuretabledatarightaligneditalics"/>
              <w:keepNext/>
            </w:pPr>
            <w:r>
              <w:t>53.4</w:t>
            </w:r>
          </w:p>
        </w:tc>
      </w:tr>
    </w:tbl>
    <w:p w14:paraId="2E5C5E78" w14:textId="77777777" w:rsidR="00B449D0" w:rsidRPr="00BA7366" w:rsidRDefault="00B449D0" w:rsidP="00380A42">
      <w:pPr>
        <w:pStyle w:val="SingleParagraph0"/>
      </w:pPr>
    </w:p>
    <w:p w14:paraId="28A0E6AE" w14:textId="77777777" w:rsidR="00B449D0" w:rsidRDefault="00175344">
      <w:pPr>
        <w:pStyle w:val="Normal2"/>
      </w:pPr>
      <w:r>
        <w:t>The Government will boost the Shadow Economy Compliance Program from 1 January 2025 to 30 June 2028.</w:t>
      </w:r>
    </w:p>
    <w:p w14:paraId="3FBE66D2" w14:textId="598F993C" w:rsidR="00B449D0" w:rsidRDefault="00175344">
      <w:pPr>
        <w:pStyle w:val="Normal2"/>
      </w:pPr>
      <w:r w:rsidRPr="7F762F0D">
        <w:rPr>
          <w:lang w:val="en-US"/>
        </w:rPr>
        <w:t>These additional resources will enable the A</w:t>
      </w:r>
      <w:r w:rsidR="00AC58DD">
        <w:rPr>
          <w:lang w:val="en-US"/>
        </w:rPr>
        <w:t xml:space="preserve">ustralian </w:t>
      </w:r>
      <w:r w:rsidRPr="7F762F0D">
        <w:rPr>
          <w:lang w:val="en-US"/>
        </w:rPr>
        <w:t>T</w:t>
      </w:r>
      <w:r w:rsidR="00AC58DD">
        <w:rPr>
          <w:lang w:val="en-US"/>
        </w:rPr>
        <w:t xml:space="preserve">axation </w:t>
      </w:r>
      <w:r w:rsidRPr="7F762F0D">
        <w:rPr>
          <w:lang w:val="en-US"/>
        </w:rPr>
        <w:t>O</w:t>
      </w:r>
      <w:r w:rsidR="00AC58DD">
        <w:rPr>
          <w:lang w:val="en-US"/>
        </w:rPr>
        <w:t>ffice</w:t>
      </w:r>
      <w:r w:rsidRPr="7F762F0D">
        <w:rPr>
          <w:lang w:val="en-US"/>
        </w:rPr>
        <w:t xml:space="preserve"> to intensify its focus on high‑risk shadow economy behaviour such as worker exploitation, under</w:t>
      </w:r>
      <w:r w:rsidR="00076D78">
        <w:rPr>
          <w:lang w:val="en-US"/>
        </w:rPr>
        <w:noBreakHyphen/>
      </w:r>
      <w:r w:rsidRPr="7F762F0D">
        <w:rPr>
          <w:lang w:val="en-US"/>
        </w:rPr>
        <w:t>reporting of taxable income, illicit tobacco, and illegal shadow economy activity that creates an unlevel playing field for law abiding businesses.</w:t>
      </w:r>
    </w:p>
    <w:p w14:paraId="067B5651" w14:textId="5CFF1586" w:rsidR="00B449D0" w:rsidRDefault="00175344">
      <w:pPr>
        <w:pStyle w:val="Normal2"/>
      </w:pPr>
      <w:r>
        <w:t xml:space="preserve">This measure is estimated to increase receipts by $366.1 million and increase payments by $137.8 million over </w:t>
      </w:r>
      <w:r w:rsidR="00761C1C">
        <w:t>five</w:t>
      </w:r>
      <w:r>
        <w:t> years from 2023–24. This includes an increase in GST payments to the states and territories of $88.6 million.</w:t>
      </w:r>
    </w:p>
    <w:p w14:paraId="44AB149A" w14:textId="77777777" w:rsidR="00B449D0" w:rsidRDefault="00175344">
      <w:pPr>
        <w:pStyle w:val="Normal2"/>
      </w:pPr>
      <w:r>
        <w:t xml:space="preserve">This measure builds on the 2024–25 Budget measure titled </w:t>
      </w:r>
      <w:r w:rsidRPr="00175344">
        <w:rPr>
          <w:i/>
        </w:rPr>
        <w:t>Strengthening Tax Compliance – extending the Shadow Economy Compliance Program</w:t>
      </w:r>
      <w:r>
        <w:t>.</w:t>
      </w:r>
    </w:p>
    <w:p w14:paraId="7242341B" w14:textId="40E99D3B" w:rsidR="00B449D0" w:rsidRDefault="00175344" w:rsidP="0022710B">
      <w:pPr>
        <w:pStyle w:val="MeasureTitle"/>
        <w:spacing w:before="320"/>
      </w:pPr>
      <w:r>
        <w:t xml:space="preserve">Taxation – </w:t>
      </w:r>
      <w:r w:rsidR="003F64A2">
        <w:t>a</w:t>
      </w:r>
      <w:r>
        <w:t>llow tax deductions for interest payments on foreign bail‑in bonds</w:t>
      </w:r>
    </w:p>
    <w:p w14:paraId="70D5D9AE" w14:textId="77777777" w:rsidR="00B449D0" w:rsidRDefault="00175344">
      <w:pPr>
        <w:pStyle w:val="MeasureTableHeading"/>
      </w:pPr>
      <w:r>
        <w:t>Receipts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004982A2" w14:textId="77777777">
        <w:trPr>
          <w:cantSplit/>
        </w:trPr>
        <w:tc>
          <w:tcPr>
            <w:tcW w:w="2494" w:type="dxa"/>
            <w:tcBorders>
              <w:top w:val="single" w:sz="4" w:space="0" w:color="000000"/>
              <w:bottom w:val="single" w:sz="4" w:space="0" w:color="000000"/>
            </w:tcBorders>
          </w:tcPr>
          <w:p w14:paraId="570CDB60" w14:textId="77777777" w:rsidR="00B449D0" w:rsidRDefault="00B449D0">
            <w:pPr>
              <w:pStyle w:val="MeasureTableYearHeadings"/>
              <w:keepNext/>
            </w:pPr>
          </w:p>
        </w:tc>
        <w:tc>
          <w:tcPr>
            <w:tcW w:w="1043" w:type="dxa"/>
            <w:tcBorders>
              <w:top w:val="single" w:sz="4" w:space="0" w:color="000000"/>
              <w:bottom w:val="single" w:sz="4" w:space="0" w:color="000000"/>
            </w:tcBorders>
          </w:tcPr>
          <w:p w14:paraId="2348D2C2" w14:textId="2BE38433"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3BCA30FF" w14:textId="64C4E3ED"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56C67C47" w14:textId="00E60B0E"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179AA13D" w14:textId="5E914720"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222854CA" w14:textId="0D3A3C12" w:rsidR="00B449D0" w:rsidRDefault="00175344">
            <w:pPr>
              <w:pStyle w:val="MeasureTableYearHeadings"/>
              <w:keepNext/>
            </w:pPr>
            <w:r>
              <w:t>2027</w:t>
            </w:r>
            <w:r w:rsidR="00076D78">
              <w:noBreakHyphen/>
            </w:r>
            <w:r>
              <w:t>28</w:t>
            </w:r>
          </w:p>
        </w:tc>
      </w:tr>
      <w:tr w:rsidR="00B449D0" w14:paraId="356A9379" w14:textId="77777777">
        <w:trPr>
          <w:cantSplit/>
        </w:trPr>
        <w:tc>
          <w:tcPr>
            <w:tcW w:w="2494" w:type="dxa"/>
            <w:tcBorders>
              <w:top w:val="single" w:sz="4" w:space="0" w:color="000000"/>
              <w:bottom w:val="single" w:sz="4" w:space="0" w:color="000000"/>
            </w:tcBorders>
          </w:tcPr>
          <w:p w14:paraId="1F252BA3" w14:textId="77777777" w:rsidR="00B449D0" w:rsidRDefault="00175344">
            <w:pPr>
              <w:pStyle w:val="MeasureTableHeadingleftalignedwith2ptsspacing"/>
              <w:keepNext/>
            </w:pPr>
            <w:r>
              <w:t>Australian Taxation Office</w:t>
            </w:r>
          </w:p>
        </w:tc>
        <w:tc>
          <w:tcPr>
            <w:tcW w:w="1043" w:type="dxa"/>
            <w:tcBorders>
              <w:top w:val="single" w:sz="4" w:space="0" w:color="000000"/>
              <w:bottom w:val="single" w:sz="4" w:space="0" w:color="000000"/>
            </w:tcBorders>
          </w:tcPr>
          <w:p w14:paraId="7007DB30" w14:textId="60807616"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870B9E5" w14:textId="7CB38657"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79870F8" w14:textId="3B8EEC54"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E32876D" w14:textId="15E70B2C"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3823652" w14:textId="4AEB89F7" w:rsidR="00B449D0" w:rsidRDefault="00076D78">
            <w:pPr>
              <w:pStyle w:val="MeasureTableDataRightAlignedwith2ptsspacing"/>
              <w:keepNext/>
            </w:pPr>
            <w:r>
              <w:noBreakHyphen/>
            </w:r>
          </w:p>
        </w:tc>
      </w:tr>
    </w:tbl>
    <w:p w14:paraId="54A85ED3" w14:textId="77777777" w:rsidR="00B449D0" w:rsidRPr="00BA7366" w:rsidRDefault="00B449D0" w:rsidP="00380A42">
      <w:pPr>
        <w:pStyle w:val="SingleParagraph0"/>
      </w:pPr>
    </w:p>
    <w:p w14:paraId="5A4AA4A2" w14:textId="28BD2C49" w:rsidR="00B449D0" w:rsidRDefault="00175344">
      <w:pPr>
        <w:pStyle w:val="Normal2"/>
      </w:pPr>
      <w:r>
        <w:t>The Government will clarify the law to ensure continuity of established A</w:t>
      </w:r>
      <w:r w:rsidR="00AC58DD">
        <w:t xml:space="preserve">ustralian </w:t>
      </w:r>
      <w:r>
        <w:t>T</w:t>
      </w:r>
      <w:r w:rsidR="00AC58DD">
        <w:t xml:space="preserve">axation </w:t>
      </w:r>
      <w:r>
        <w:t>O</w:t>
      </w:r>
      <w:r w:rsidR="00AC58DD">
        <w:t>ffice</w:t>
      </w:r>
      <w:r>
        <w:t xml:space="preserve"> administrative treatment on foreign bail‑in bonds. This will allow bail‑in bonds for Australian branches of foreign banks to continue to be treated as debt for tax purposes, enabling deductibility of interest payments. This will align with the treatment currently applying to bail‑in bonds issued domestically by Australian banks. This measure will apply retrospectively.</w:t>
      </w:r>
    </w:p>
    <w:p w14:paraId="7C9ACED6" w14:textId="77777777" w:rsidR="00B449D0" w:rsidRDefault="00175344">
      <w:pPr>
        <w:pStyle w:val="Normal2"/>
      </w:pPr>
      <w:r>
        <w:t>Bail‑in bonds are financial instruments that are subject to conditions imposed by a prudential regulator that allow the regulator to convert the instrument into equity in a period of financial distress.</w:t>
      </w:r>
    </w:p>
    <w:p w14:paraId="05B39D94" w14:textId="441E56D4" w:rsidR="003B0DB8" w:rsidRDefault="00175344">
      <w:pPr>
        <w:pStyle w:val="Normal2"/>
      </w:pPr>
      <w:r>
        <w:t xml:space="preserve">This measure is estimated to have no impact on </w:t>
      </w:r>
      <w:r w:rsidR="003F64A2">
        <w:t>receipts over five years from 2023–24</w:t>
      </w:r>
      <w:r>
        <w:t>.</w:t>
      </w:r>
    </w:p>
    <w:p w14:paraId="10BFE827" w14:textId="77777777" w:rsidR="00B449D0" w:rsidRDefault="00B449D0">
      <w:pPr>
        <w:sectPr w:rsidR="00B449D0" w:rsidSect="00301E48">
          <w:headerReference w:type="even" r:id="rId30"/>
          <w:headerReference w:type="default" r:id="rId31"/>
          <w:footerReference w:type="even" r:id="rId32"/>
          <w:footerReference w:type="default" r:id="rId33"/>
          <w:headerReference w:type="first" r:id="rId34"/>
          <w:footerReference w:type="first" r:id="rId35"/>
          <w:pgSz w:w="11906" w:h="16838"/>
          <w:pgMar w:top="2835" w:right="2098" w:bottom="2466" w:left="2098" w:header="1814" w:footer="1814" w:gutter="0"/>
          <w:cols w:space="720"/>
          <w:docGrid w:linePitch="272"/>
        </w:sectPr>
      </w:pPr>
    </w:p>
    <w:p w14:paraId="2D39E182" w14:textId="1CB24BAB" w:rsidR="00B449D0" w:rsidRPr="006E66B8" w:rsidRDefault="00175344" w:rsidP="00B17FD9">
      <w:pPr>
        <w:pStyle w:val="Heading2"/>
      </w:pPr>
      <w:r w:rsidRPr="006E66B8">
        <w:lastRenderedPageBreak/>
        <w:t xml:space="preserve">Payment </w:t>
      </w:r>
      <w:r w:rsidRPr="00B17FD9" w:rsidDel="00086BC0">
        <w:t>Measures</w:t>
      </w:r>
    </w:p>
    <w:p w14:paraId="5B7A1032" w14:textId="3ABC8DA2" w:rsidR="00B449D0" w:rsidRDefault="00175344" w:rsidP="007F55BE">
      <w:pPr>
        <w:pStyle w:val="TableHeading"/>
      </w:pPr>
      <w:r>
        <w:t xml:space="preserve">Table </w:t>
      </w:r>
      <w:r w:rsidR="006E0A94">
        <w:t>A.</w:t>
      </w:r>
      <w:r>
        <w:t>2: Payment measures since the 2024–25 Budget</w:t>
      </w:r>
      <w:r>
        <w:rPr>
          <w:rFonts w:ascii="Cambria Math" w:hAnsi="Cambria Math" w:cs="Cambria Math"/>
        </w:rPr>
        <w:t>⁽</w:t>
      </w:r>
      <w:r>
        <w:rPr>
          <w:rFonts w:cs="Arial"/>
        </w:rPr>
        <w:t>ª</w:t>
      </w:r>
      <w:r>
        <w:rPr>
          <w:rFonts w:ascii="Cambria Math" w:hAnsi="Cambria Math" w:cs="Cambria Math"/>
        </w:rPr>
        <w:t>⁾</w:t>
      </w:r>
    </w:p>
    <w:tbl>
      <w:tblPr>
        <w:tblOverlap w:val="never"/>
        <w:tblW w:w="7721" w:type="dxa"/>
        <w:tblBorders>
          <w:top w:val="single" w:sz="4" w:space="0" w:color="000000"/>
          <w:bottom w:val="single" w:sz="4" w:space="0" w:color="000000"/>
        </w:tblBorders>
        <w:tblLayout w:type="fixed"/>
        <w:tblCellMar>
          <w:left w:w="0" w:type="dxa"/>
          <w:right w:w="56" w:type="dxa"/>
        </w:tblCellMar>
        <w:tblLook w:val="04A0" w:firstRow="1" w:lastRow="0" w:firstColumn="1" w:lastColumn="0" w:noHBand="0" w:noVBand="1"/>
      </w:tblPr>
      <w:tblGrid>
        <w:gridCol w:w="3471"/>
        <w:gridCol w:w="850"/>
        <w:gridCol w:w="850"/>
        <w:gridCol w:w="850"/>
        <w:gridCol w:w="850"/>
        <w:gridCol w:w="850"/>
      </w:tblGrid>
      <w:tr w:rsidR="00B449D0" w14:paraId="13B54811" w14:textId="77777777" w:rsidTr="00301E48">
        <w:tc>
          <w:tcPr>
            <w:tcW w:w="3471" w:type="dxa"/>
            <w:tcBorders>
              <w:top w:val="single" w:sz="4" w:space="0" w:color="000000"/>
            </w:tcBorders>
          </w:tcPr>
          <w:p w14:paraId="74CC3B55" w14:textId="77777777" w:rsidR="00B449D0" w:rsidRDefault="00B449D0">
            <w:pPr>
              <w:pStyle w:val="Summarytabletextrightaligned"/>
            </w:pPr>
          </w:p>
        </w:tc>
        <w:tc>
          <w:tcPr>
            <w:tcW w:w="850" w:type="dxa"/>
            <w:tcBorders>
              <w:top w:val="single" w:sz="4" w:space="0" w:color="000000"/>
            </w:tcBorders>
          </w:tcPr>
          <w:p w14:paraId="5A0D1EAB" w14:textId="5474666E" w:rsidR="00B449D0" w:rsidRDefault="00175344">
            <w:pPr>
              <w:pStyle w:val="Summarytabletextrightaligned"/>
            </w:pPr>
            <w:r>
              <w:t>2023</w:t>
            </w:r>
            <w:r w:rsidR="00076D78">
              <w:noBreakHyphen/>
            </w:r>
            <w:r>
              <w:t>24</w:t>
            </w:r>
          </w:p>
        </w:tc>
        <w:tc>
          <w:tcPr>
            <w:tcW w:w="850" w:type="dxa"/>
            <w:tcBorders>
              <w:top w:val="single" w:sz="4" w:space="0" w:color="000000"/>
            </w:tcBorders>
            <w:shd w:val="clear" w:color="auto" w:fill="E6F2FF"/>
          </w:tcPr>
          <w:p w14:paraId="445E6A73" w14:textId="293D3479" w:rsidR="00B449D0" w:rsidRDefault="00175344">
            <w:pPr>
              <w:pStyle w:val="Summarytabletextrightaligned"/>
            </w:pPr>
            <w:r>
              <w:t>2024</w:t>
            </w:r>
            <w:r w:rsidR="00076D78">
              <w:noBreakHyphen/>
            </w:r>
            <w:r>
              <w:t>25</w:t>
            </w:r>
          </w:p>
        </w:tc>
        <w:tc>
          <w:tcPr>
            <w:tcW w:w="850" w:type="dxa"/>
            <w:tcBorders>
              <w:top w:val="single" w:sz="4" w:space="0" w:color="000000"/>
            </w:tcBorders>
          </w:tcPr>
          <w:p w14:paraId="75269FEE" w14:textId="68070A79" w:rsidR="00B449D0" w:rsidRDefault="00175344">
            <w:pPr>
              <w:pStyle w:val="Summarytabletextrightaligned"/>
            </w:pPr>
            <w:r>
              <w:t>2025</w:t>
            </w:r>
            <w:r w:rsidR="00076D78">
              <w:noBreakHyphen/>
            </w:r>
            <w:r>
              <w:t>26</w:t>
            </w:r>
          </w:p>
        </w:tc>
        <w:tc>
          <w:tcPr>
            <w:tcW w:w="850" w:type="dxa"/>
            <w:tcBorders>
              <w:top w:val="single" w:sz="4" w:space="0" w:color="000000"/>
            </w:tcBorders>
          </w:tcPr>
          <w:p w14:paraId="65D26BB7" w14:textId="6840829E" w:rsidR="00B449D0" w:rsidRDefault="00175344">
            <w:pPr>
              <w:pStyle w:val="Summarytabletextrightaligned"/>
            </w:pPr>
            <w:r>
              <w:t>2026</w:t>
            </w:r>
            <w:r w:rsidR="00076D78">
              <w:noBreakHyphen/>
            </w:r>
            <w:r>
              <w:t>27</w:t>
            </w:r>
          </w:p>
        </w:tc>
        <w:tc>
          <w:tcPr>
            <w:tcW w:w="850" w:type="dxa"/>
            <w:tcBorders>
              <w:top w:val="single" w:sz="4" w:space="0" w:color="000000"/>
            </w:tcBorders>
          </w:tcPr>
          <w:p w14:paraId="547B27DE" w14:textId="6196D2AF" w:rsidR="00B449D0" w:rsidRDefault="00175344">
            <w:pPr>
              <w:pStyle w:val="Summarytabletextrightaligned"/>
            </w:pPr>
            <w:r>
              <w:t>2027</w:t>
            </w:r>
            <w:r w:rsidR="00076D78">
              <w:noBreakHyphen/>
            </w:r>
            <w:r>
              <w:t>28</w:t>
            </w:r>
          </w:p>
        </w:tc>
      </w:tr>
      <w:tr w:rsidR="00B449D0" w14:paraId="1AD2F220" w14:textId="77777777" w:rsidTr="00301E48">
        <w:tc>
          <w:tcPr>
            <w:tcW w:w="3471" w:type="dxa"/>
          </w:tcPr>
          <w:p w14:paraId="2C9A748A" w14:textId="77777777" w:rsidR="00B449D0" w:rsidRDefault="00B449D0">
            <w:pPr>
              <w:pStyle w:val="Summarytabletextrightaligned"/>
            </w:pPr>
          </w:p>
        </w:tc>
        <w:tc>
          <w:tcPr>
            <w:tcW w:w="850" w:type="dxa"/>
            <w:tcBorders>
              <w:bottom w:val="single" w:sz="4" w:space="0" w:color="000000"/>
            </w:tcBorders>
          </w:tcPr>
          <w:p w14:paraId="3C75AD19" w14:textId="77777777" w:rsidR="00B449D0" w:rsidRDefault="00175344">
            <w:pPr>
              <w:pStyle w:val="Summarytabletextrightaligned"/>
            </w:pPr>
            <w:r>
              <w:t>$m</w:t>
            </w:r>
          </w:p>
        </w:tc>
        <w:tc>
          <w:tcPr>
            <w:tcW w:w="850" w:type="dxa"/>
            <w:tcBorders>
              <w:bottom w:val="single" w:sz="4" w:space="0" w:color="000000"/>
            </w:tcBorders>
            <w:shd w:val="clear" w:color="auto" w:fill="E6F2FF"/>
          </w:tcPr>
          <w:p w14:paraId="097E5F31" w14:textId="77777777" w:rsidR="00B449D0" w:rsidRDefault="00175344">
            <w:pPr>
              <w:pStyle w:val="Summarytabletextrightaligned"/>
            </w:pPr>
            <w:r>
              <w:t>$m</w:t>
            </w:r>
          </w:p>
        </w:tc>
        <w:tc>
          <w:tcPr>
            <w:tcW w:w="850" w:type="dxa"/>
            <w:tcBorders>
              <w:bottom w:val="single" w:sz="4" w:space="0" w:color="000000"/>
            </w:tcBorders>
          </w:tcPr>
          <w:p w14:paraId="50169CBD" w14:textId="77777777" w:rsidR="00B449D0" w:rsidRDefault="00175344">
            <w:pPr>
              <w:pStyle w:val="Summarytabletextrightaligned"/>
            </w:pPr>
            <w:r>
              <w:t>$m</w:t>
            </w:r>
          </w:p>
        </w:tc>
        <w:tc>
          <w:tcPr>
            <w:tcW w:w="850" w:type="dxa"/>
            <w:tcBorders>
              <w:bottom w:val="single" w:sz="4" w:space="0" w:color="000000"/>
            </w:tcBorders>
          </w:tcPr>
          <w:p w14:paraId="0E87D282" w14:textId="77777777" w:rsidR="00B449D0" w:rsidRDefault="00175344">
            <w:pPr>
              <w:pStyle w:val="Summarytabletextrightaligned"/>
            </w:pPr>
            <w:r>
              <w:t>$m</w:t>
            </w:r>
          </w:p>
        </w:tc>
        <w:tc>
          <w:tcPr>
            <w:tcW w:w="850" w:type="dxa"/>
            <w:tcBorders>
              <w:bottom w:val="single" w:sz="4" w:space="0" w:color="000000"/>
            </w:tcBorders>
          </w:tcPr>
          <w:p w14:paraId="0BA38285" w14:textId="77777777" w:rsidR="00B449D0" w:rsidRDefault="00175344">
            <w:pPr>
              <w:pStyle w:val="Summarytabletextrightaligned"/>
            </w:pPr>
            <w:r>
              <w:t>$m</w:t>
            </w:r>
          </w:p>
        </w:tc>
      </w:tr>
      <w:tr w:rsidR="00B449D0" w14:paraId="67CF2524" w14:textId="77777777" w:rsidTr="00301E48">
        <w:tc>
          <w:tcPr>
            <w:tcW w:w="3471" w:type="dxa"/>
            <w:vAlign w:val="bottom"/>
          </w:tcPr>
          <w:p w14:paraId="299F65E1" w14:textId="77777777" w:rsidR="00B449D0" w:rsidRDefault="00175344">
            <w:pPr>
              <w:pStyle w:val="SummaryPortfolioTitle-BP2"/>
            </w:pPr>
            <w:r>
              <w:t>AGRICULTURE, FISHERIES AND FORESTRY</w:t>
            </w:r>
          </w:p>
        </w:tc>
        <w:tc>
          <w:tcPr>
            <w:tcW w:w="850" w:type="dxa"/>
          </w:tcPr>
          <w:p w14:paraId="631441AD" w14:textId="77777777" w:rsidR="00B449D0" w:rsidRDefault="00B449D0">
            <w:pPr>
              <w:pStyle w:val="MeasureTableTextRightAlignedBefore6ptAfter1pt"/>
            </w:pPr>
          </w:p>
        </w:tc>
        <w:tc>
          <w:tcPr>
            <w:tcW w:w="850" w:type="dxa"/>
            <w:shd w:val="clear" w:color="auto" w:fill="E6F2FF"/>
          </w:tcPr>
          <w:p w14:paraId="1B287AFE" w14:textId="77777777" w:rsidR="00B449D0" w:rsidRDefault="00B449D0">
            <w:pPr>
              <w:pStyle w:val="MeasureTableTextRightAlignedBefore6ptAfter1pt"/>
            </w:pPr>
          </w:p>
        </w:tc>
        <w:tc>
          <w:tcPr>
            <w:tcW w:w="850" w:type="dxa"/>
          </w:tcPr>
          <w:p w14:paraId="7B032063" w14:textId="77777777" w:rsidR="00B449D0" w:rsidRDefault="00B449D0">
            <w:pPr>
              <w:pStyle w:val="MeasureTableTextRightAlignedBefore6ptAfter1pt"/>
            </w:pPr>
          </w:p>
        </w:tc>
        <w:tc>
          <w:tcPr>
            <w:tcW w:w="850" w:type="dxa"/>
          </w:tcPr>
          <w:p w14:paraId="41FE660F" w14:textId="77777777" w:rsidR="00B449D0" w:rsidRDefault="00B449D0">
            <w:pPr>
              <w:pStyle w:val="MeasureTableTextRightAlignedBefore6ptAfter1pt"/>
            </w:pPr>
          </w:p>
        </w:tc>
        <w:tc>
          <w:tcPr>
            <w:tcW w:w="850" w:type="dxa"/>
          </w:tcPr>
          <w:p w14:paraId="579E1D19" w14:textId="77777777" w:rsidR="00B449D0" w:rsidRDefault="00B449D0">
            <w:pPr>
              <w:pStyle w:val="MeasureTableTextRightAlignedBefore6ptAfter1pt"/>
            </w:pPr>
          </w:p>
        </w:tc>
      </w:tr>
      <w:tr w:rsidR="00B449D0" w14:paraId="2707D576" w14:textId="77777777" w:rsidTr="00301E48">
        <w:tc>
          <w:tcPr>
            <w:tcW w:w="3471" w:type="dxa"/>
            <w:vAlign w:val="bottom"/>
          </w:tcPr>
          <w:p w14:paraId="10D0C6D9" w14:textId="77777777" w:rsidR="00B449D0" w:rsidRDefault="00175344">
            <w:pPr>
              <w:pStyle w:val="SummaryAgencyTitle-BP2"/>
            </w:pPr>
            <w:r>
              <w:t>Australian Pesticides and Veterinary Medicines Authority</w:t>
            </w:r>
          </w:p>
        </w:tc>
        <w:tc>
          <w:tcPr>
            <w:tcW w:w="850" w:type="dxa"/>
          </w:tcPr>
          <w:p w14:paraId="34693478" w14:textId="77777777" w:rsidR="00B449D0" w:rsidRDefault="00B449D0">
            <w:pPr>
              <w:pStyle w:val="SummaryAgencyTitle-BP2"/>
            </w:pPr>
          </w:p>
        </w:tc>
        <w:tc>
          <w:tcPr>
            <w:tcW w:w="850" w:type="dxa"/>
            <w:shd w:val="clear" w:color="auto" w:fill="E6F2FF"/>
          </w:tcPr>
          <w:p w14:paraId="430EBDEE" w14:textId="77777777" w:rsidR="00B449D0" w:rsidRDefault="00B449D0">
            <w:pPr>
              <w:pStyle w:val="SummaryAgencyTitle-BP2"/>
            </w:pPr>
          </w:p>
        </w:tc>
        <w:tc>
          <w:tcPr>
            <w:tcW w:w="850" w:type="dxa"/>
          </w:tcPr>
          <w:p w14:paraId="2799213D" w14:textId="77777777" w:rsidR="00B449D0" w:rsidRDefault="00B449D0">
            <w:pPr>
              <w:pStyle w:val="SummaryAgencyTitle-BP2"/>
            </w:pPr>
          </w:p>
        </w:tc>
        <w:tc>
          <w:tcPr>
            <w:tcW w:w="850" w:type="dxa"/>
          </w:tcPr>
          <w:p w14:paraId="389CE977" w14:textId="77777777" w:rsidR="00B449D0" w:rsidRDefault="00B449D0">
            <w:pPr>
              <w:pStyle w:val="SummaryAgencyTitle-BP2"/>
            </w:pPr>
          </w:p>
        </w:tc>
        <w:tc>
          <w:tcPr>
            <w:tcW w:w="850" w:type="dxa"/>
          </w:tcPr>
          <w:p w14:paraId="76B55EEE" w14:textId="77777777" w:rsidR="00B449D0" w:rsidRDefault="00B449D0">
            <w:pPr>
              <w:pStyle w:val="SummaryAgencyTitle-BP2"/>
            </w:pPr>
          </w:p>
        </w:tc>
      </w:tr>
      <w:tr w:rsidR="00B449D0" w14:paraId="523A6B52" w14:textId="77777777" w:rsidTr="00301E48">
        <w:tc>
          <w:tcPr>
            <w:tcW w:w="3471" w:type="dxa"/>
            <w:vAlign w:val="bottom"/>
          </w:tcPr>
          <w:p w14:paraId="7294D33A" w14:textId="77777777" w:rsidR="00B449D0" w:rsidRDefault="00175344">
            <w:pPr>
              <w:pStyle w:val="SummaryMeasureTitlewithTheme"/>
            </w:pPr>
            <w:r>
              <w:t>Supporting Agriculture Priorities</w:t>
            </w:r>
          </w:p>
        </w:tc>
        <w:tc>
          <w:tcPr>
            <w:tcW w:w="850" w:type="dxa"/>
            <w:vAlign w:val="bottom"/>
          </w:tcPr>
          <w:p w14:paraId="52783D39" w14:textId="6FA60E5C" w:rsidR="00B449D0" w:rsidRDefault="00076D78">
            <w:pPr>
              <w:pStyle w:val="Summarytabletextrightaligned"/>
            </w:pPr>
            <w:r>
              <w:noBreakHyphen/>
            </w:r>
          </w:p>
        </w:tc>
        <w:tc>
          <w:tcPr>
            <w:tcW w:w="850" w:type="dxa"/>
            <w:shd w:val="clear" w:color="auto" w:fill="E6F2FF"/>
            <w:vAlign w:val="bottom"/>
          </w:tcPr>
          <w:p w14:paraId="69D195F0" w14:textId="22024826" w:rsidR="00B449D0" w:rsidRDefault="00076D78">
            <w:pPr>
              <w:pStyle w:val="Summarytabletextrightaligned"/>
            </w:pPr>
            <w:r>
              <w:noBreakHyphen/>
            </w:r>
          </w:p>
        </w:tc>
        <w:tc>
          <w:tcPr>
            <w:tcW w:w="850" w:type="dxa"/>
            <w:vAlign w:val="bottom"/>
          </w:tcPr>
          <w:p w14:paraId="2871F70C" w14:textId="77777777" w:rsidR="00B449D0" w:rsidRDefault="00175344">
            <w:pPr>
              <w:pStyle w:val="Summarytabletextrightaligned"/>
            </w:pPr>
            <w:r>
              <w:t>5.2</w:t>
            </w:r>
          </w:p>
        </w:tc>
        <w:tc>
          <w:tcPr>
            <w:tcW w:w="850" w:type="dxa"/>
            <w:vAlign w:val="bottom"/>
          </w:tcPr>
          <w:p w14:paraId="371F5F8D" w14:textId="4A124E29" w:rsidR="00B449D0" w:rsidRDefault="00076D78">
            <w:pPr>
              <w:pStyle w:val="Summarytabletextrightaligned"/>
            </w:pPr>
            <w:r>
              <w:noBreakHyphen/>
            </w:r>
          </w:p>
        </w:tc>
        <w:tc>
          <w:tcPr>
            <w:tcW w:w="850" w:type="dxa"/>
            <w:vAlign w:val="bottom"/>
          </w:tcPr>
          <w:p w14:paraId="49A1760B" w14:textId="1FF7EAA3" w:rsidR="00B449D0" w:rsidRDefault="00076D78">
            <w:pPr>
              <w:pStyle w:val="Summarytabletextrightaligned"/>
            </w:pPr>
            <w:r>
              <w:noBreakHyphen/>
            </w:r>
          </w:p>
        </w:tc>
      </w:tr>
      <w:tr w:rsidR="00B449D0" w14:paraId="13B4801F" w14:textId="77777777" w:rsidTr="00301E48">
        <w:tc>
          <w:tcPr>
            <w:tcW w:w="3471" w:type="dxa"/>
            <w:vAlign w:val="bottom"/>
          </w:tcPr>
          <w:p w14:paraId="26341523" w14:textId="77777777" w:rsidR="00B449D0" w:rsidRDefault="00175344">
            <w:pPr>
              <w:pStyle w:val="SummaryAgencyTitle-BP2"/>
            </w:pPr>
            <w:r>
              <w:t>Department of Agriculture, Fisheries and Forestry</w:t>
            </w:r>
          </w:p>
        </w:tc>
        <w:tc>
          <w:tcPr>
            <w:tcW w:w="850" w:type="dxa"/>
          </w:tcPr>
          <w:p w14:paraId="371BAC38" w14:textId="77777777" w:rsidR="00B449D0" w:rsidRDefault="00B449D0">
            <w:pPr>
              <w:pStyle w:val="SummaryAgencyTitle-BP2"/>
            </w:pPr>
          </w:p>
        </w:tc>
        <w:tc>
          <w:tcPr>
            <w:tcW w:w="850" w:type="dxa"/>
            <w:shd w:val="clear" w:color="auto" w:fill="E6F2FF"/>
          </w:tcPr>
          <w:p w14:paraId="3BAAA547" w14:textId="77777777" w:rsidR="00B449D0" w:rsidRDefault="00B449D0">
            <w:pPr>
              <w:pStyle w:val="SummaryAgencyTitle-BP2"/>
            </w:pPr>
          </w:p>
        </w:tc>
        <w:tc>
          <w:tcPr>
            <w:tcW w:w="850" w:type="dxa"/>
          </w:tcPr>
          <w:p w14:paraId="1C9372D5" w14:textId="77777777" w:rsidR="00B449D0" w:rsidRDefault="00B449D0">
            <w:pPr>
              <w:pStyle w:val="SummaryAgencyTitle-BP2"/>
            </w:pPr>
          </w:p>
        </w:tc>
        <w:tc>
          <w:tcPr>
            <w:tcW w:w="850" w:type="dxa"/>
          </w:tcPr>
          <w:p w14:paraId="5FA90748" w14:textId="77777777" w:rsidR="00B449D0" w:rsidRDefault="00B449D0">
            <w:pPr>
              <w:pStyle w:val="SummaryAgencyTitle-BP2"/>
            </w:pPr>
          </w:p>
        </w:tc>
        <w:tc>
          <w:tcPr>
            <w:tcW w:w="850" w:type="dxa"/>
          </w:tcPr>
          <w:p w14:paraId="72892DF2" w14:textId="77777777" w:rsidR="00B449D0" w:rsidRDefault="00B449D0">
            <w:pPr>
              <w:pStyle w:val="SummaryAgencyTitle-BP2"/>
            </w:pPr>
          </w:p>
        </w:tc>
      </w:tr>
      <w:tr w:rsidR="00B449D0" w14:paraId="188AE9A1" w14:textId="77777777" w:rsidTr="00301E48">
        <w:tc>
          <w:tcPr>
            <w:tcW w:w="3471" w:type="dxa"/>
            <w:vAlign w:val="bottom"/>
          </w:tcPr>
          <w:p w14:paraId="0EA3EB9F" w14:textId="77777777" w:rsidR="00B449D0" w:rsidRDefault="00175344">
            <w:pPr>
              <w:pStyle w:val="SummaryMeasureTitlewithTheme"/>
            </w:pPr>
            <w:r>
              <w:t>Phase Out of Live Sheep Exports by Sea – additional transition support</w:t>
            </w:r>
          </w:p>
        </w:tc>
        <w:tc>
          <w:tcPr>
            <w:tcW w:w="850" w:type="dxa"/>
            <w:vAlign w:val="bottom"/>
          </w:tcPr>
          <w:p w14:paraId="4192FBBE" w14:textId="32DDC5B0" w:rsidR="00B449D0" w:rsidRDefault="00076D78">
            <w:pPr>
              <w:pStyle w:val="Summarytabletextrightaligned"/>
            </w:pPr>
            <w:r>
              <w:noBreakHyphen/>
            </w:r>
          </w:p>
        </w:tc>
        <w:tc>
          <w:tcPr>
            <w:tcW w:w="850" w:type="dxa"/>
            <w:shd w:val="clear" w:color="auto" w:fill="E6F2FF"/>
            <w:vAlign w:val="bottom"/>
          </w:tcPr>
          <w:p w14:paraId="3ED07EB7" w14:textId="6F31F451" w:rsidR="00B449D0" w:rsidRDefault="00076D78">
            <w:pPr>
              <w:pStyle w:val="Summarytabletextrightaligned"/>
            </w:pPr>
            <w:r>
              <w:noBreakHyphen/>
            </w:r>
          </w:p>
        </w:tc>
        <w:tc>
          <w:tcPr>
            <w:tcW w:w="850" w:type="dxa"/>
            <w:vAlign w:val="bottom"/>
          </w:tcPr>
          <w:p w14:paraId="5F9A1263" w14:textId="6953EE84" w:rsidR="00B449D0" w:rsidRDefault="00076D78">
            <w:pPr>
              <w:pStyle w:val="Summarytabletextrightaligned"/>
            </w:pPr>
            <w:r>
              <w:noBreakHyphen/>
            </w:r>
          </w:p>
        </w:tc>
        <w:tc>
          <w:tcPr>
            <w:tcW w:w="850" w:type="dxa"/>
            <w:vAlign w:val="bottom"/>
          </w:tcPr>
          <w:p w14:paraId="34C04CFD" w14:textId="0E1983C9" w:rsidR="00B449D0" w:rsidRDefault="00076D78">
            <w:pPr>
              <w:pStyle w:val="Summarytabletextrightaligned"/>
            </w:pPr>
            <w:r>
              <w:noBreakHyphen/>
            </w:r>
          </w:p>
        </w:tc>
        <w:tc>
          <w:tcPr>
            <w:tcW w:w="850" w:type="dxa"/>
            <w:vAlign w:val="bottom"/>
          </w:tcPr>
          <w:p w14:paraId="50564466" w14:textId="7B22CD16" w:rsidR="00B449D0" w:rsidRDefault="00076D78">
            <w:pPr>
              <w:pStyle w:val="Summarytabletextrightaligned"/>
            </w:pPr>
            <w:r>
              <w:noBreakHyphen/>
            </w:r>
          </w:p>
        </w:tc>
      </w:tr>
      <w:tr w:rsidR="00B449D0" w14:paraId="2273580B" w14:textId="77777777" w:rsidTr="00301E48">
        <w:tc>
          <w:tcPr>
            <w:tcW w:w="3471" w:type="dxa"/>
            <w:vAlign w:val="bottom"/>
          </w:tcPr>
          <w:p w14:paraId="24318089" w14:textId="3DBC1F4B" w:rsidR="00B449D0" w:rsidRDefault="00175344">
            <w:pPr>
              <w:pStyle w:val="SummaryMeasureTitlewithTheme"/>
            </w:pPr>
            <w:r>
              <w:t xml:space="preserve">Primary </w:t>
            </w:r>
            <w:r w:rsidR="004C4C4F">
              <w:t>I</w:t>
            </w:r>
            <w:r>
              <w:t>ndustries – changes to agricultural production levies(b)</w:t>
            </w:r>
          </w:p>
        </w:tc>
        <w:tc>
          <w:tcPr>
            <w:tcW w:w="850" w:type="dxa"/>
            <w:vAlign w:val="bottom"/>
          </w:tcPr>
          <w:p w14:paraId="1A1CC058" w14:textId="2F836F03" w:rsidR="00B449D0" w:rsidRDefault="00076D78">
            <w:pPr>
              <w:pStyle w:val="Summarytabletextrightaligned"/>
            </w:pPr>
            <w:r>
              <w:noBreakHyphen/>
            </w:r>
          </w:p>
        </w:tc>
        <w:tc>
          <w:tcPr>
            <w:tcW w:w="850" w:type="dxa"/>
            <w:shd w:val="clear" w:color="auto" w:fill="E6F2FF"/>
            <w:vAlign w:val="bottom"/>
          </w:tcPr>
          <w:p w14:paraId="5C0BA8C3" w14:textId="77777777" w:rsidR="00B449D0" w:rsidRDefault="00175344">
            <w:pPr>
              <w:pStyle w:val="Summarytabletextrightaligned"/>
            </w:pPr>
            <w:r>
              <w:t>0.4</w:t>
            </w:r>
          </w:p>
        </w:tc>
        <w:tc>
          <w:tcPr>
            <w:tcW w:w="850" w:type="dxa"/>
            <w:vAlign w:val="bottom"/>
          </w:tcPr>
          <w:p w14:paraId="465634E7" w14:textId="77777777" w:rsidR="00B449D0" w:rsidRDefault="00175344">
            <w:pPr>
              <w:pStyle w:val="Summarytabletextrightaligned"/>
            </w:pPr>
            <w:r>
              <w:t>0.7</w:t>
            </w:r>
          </w:p>
        </w:tc>
        <w:tc>
          <w:tcPr>
            <w:tcW w:w="850" w:type="dxa"/>
            <w:vAlign w:val="bottom"/>
          </w:tcPr>
          <w:p w14:paraId="7438699E" w14:textId="77777777" w:rsidR="00B449D0" w:rsidRDefault="00175344">
            <w:pPr>
              <w:pStyle w:val="Summarytabletextrightaligned"/>
            </w:pPr>
            <w:r>
              <w:t>0.7</w:t>
            </w:r>
          </w:p>
        </w:tc>
        <w:tc>
          <w:tcPr>
            <w:tcW w:w="850" w:type="dxa"/>
            <w:vAlign w:val="bottom"/>
          </w:tcPr>
          <w:p w14:paraId="3338BB39" w14:textId="77777777" w:rsidR="00B449D0" w:rsidRDefault="00175344">
            <w:pPr>
              <w:pStyle w:val="Summarytabletextrightaligned"/>
            </w:pPr>
            <w:r>
              <w:t>0.7</w:t>
            </w:r>
          </w:p>
        </w:tc>
      </w:tr>
      <w:tr w:rsidR="00B449D0" w14:paraId="0DDAC348" w14:textId="77777777" w:rsidTr="00301E48">
        <w:tc>
          <w:tcPr>
            <w:tcW w:w="3471" w:type="dxa"/>
            <w:vAlign w:val="bottom"/>
          </w:tcPr>
          <w:p w14:paraId="3E056BC6" w14:textId="77777777" w:rsidR="00B449D0" w:rsidRDefault="00175344">
            <w:pPr>
              <w:pStyle w:val="SummaryMeasureTitlewithTheme"/>
            </w:pPr>
            <w:r>
              <w:t>Supporting Agriculture Priorities</w:t>
            </w:r>
          </w:p>
        </w:tc>
        <w:tc>
          <w:tcPr>
            <w:tcW w:w="850" w:type="dxa"/>
            <w:vAlign w:val="bottom"/>
          </w:tcPr>
          <w:p w14:paraId="7104533C" w14:textId="0D1C910C" w:rsidR="00B449D0" w:rsidRDefault="00076D78">
            <w:pPr>
              <w:pStyle w:val="Summarytabletextrightaligned"/>
            </w:pPr>
            <w:r>
              <w:noBreakHyphen/>
            </w:r>
          </w:p>
        </w:tc>
        <w:tc>
          <w:tcPr>
            <w:tcW w:w="850" w:type="dxa"/>
            <w:shd w:val="clear" w:color="auto" w:fill="E6F2FF"/>
            <w:vAlign w:val="bottom"/>
          </w:tcPr>
          <w:p w14:paraId="4DFA0980" w14:textId="295B2D2E" w:rsidR="00B449D0" w:rsidRDefault="00076D78">
            <w:pPr>
              <w:pStyle w:val="Summarytabletextrightaligned"/>
            </w:pPr>
            <w:r>
              <w:noBreakHyphen/>
            </w:r>
            <w:r w:rsidR="00175344">
              <w:t>0.7</w:t>
            </w:r>
          </w:p>
        </w:tc>
        <w:tc>
          <w:tcPr>
            <w:tcW w:w="850" w:type="dxa"/>
            <w:vAlign w:val="bottom"/>
          </w:tcPr>
          <w:p w14:paraId="0C4B5223" w14:textId="77777777" w:rsidR="00B449D0" w:rsidRDefault="00175344">
            <w:pPr>
              <w:pStyle w:val="Summarytabletextrightaligned"/>
            </w:pPr>
            <w:r>
              <w:t>52.3</w:t>
            </w:r>
          </w:p>
        </w:tc>
        <w:tc>
          <w:tcPr>
            <w:tcW w:w="850" w:type="dxa"/>
            <w:vAlign w:val="bottom"/>
          </w:tcPr>
          <w:p w14:paraId="409ACC00" w14:textId="77777777" w:rsidR="00B449D0" w:rsidRDefault="00175344">
            <w:pPr>
              <w:pStyle w:val="Summarytabletextrightaligned"/>
            </w:pPr>
            <w:r>
              <w:t>0.3</w:t>
            </w:r>
          </w:p>
        </w:tc>
        <w:tc>
          <w:tcPr>
            <w:tcW w:w="850" w:type="dxa"/>
            <w:vAlign w:val="bottom"/>
          </w:tcPr>
          <w:p w14:paraId="0D90FA30" w14:textId="77777777" w:rsidR="00B449D0" w:rsidRDefault="00175344">
            <w:pPr>
              <w:pStyle w:val="Summarytabletextrightaligned"/>
            </w:pPr>
            <w:r>
              <w:t>4.2</w:t>
            </w:r>
          </w:p>
        </w:tc>
      </w:tr>
      <w:tr w:rsidR="00B449D0" w14:paraId="4B70B8C9" w14:textId="77777777" w:rsidTr="00301E48">
        <w:tc>
          <w:tcPr>
            <w:tcW w:w="3471" w:type="dxa"/>
            <w:vAlign w:val="bottom"/>
          </w:tcPr>
          <w:p w14:paraId="1C824B58" w14:textId="35E5F74B" w:rsidR="00B449D0" w:rsidRDefault="00175344">
            <w:pPr>
              <w:pStyle w:val="SummaryMeasureTitlewithTheme"/>
            </w:pPr>
            <w:r>
              <w:t>Supporting Australia</w:t>
            </w:r>
            <w:r w:rsidR="00076D78">
              <w:t>’</w:t>
            </w:r>
            <w:r>
              <w:t>s Avian Influenza Preparedness and Response</w:t>
            </w:r>
          </w:p>
        </w:tc>
        <w:tc>
          <w:tcPr>
            <w:tcW w:w="850" w:type="dxa"/>
            <w:vAlign w:val="bottom"/>
          </w:tcPr>
          <w:p w14:paraId="4D912C8F" w14:textId="3A68785F" w:rsidR="00B449D0" w:rsidRDefault="00076D78">
            <w:pPr>
              <w:pStyle w:val="Summarytabletextrightaligned"/>
            </w:pPr>
            <w:r>
              <w:noBreakHyphen/>
            </w:r>
          </w:p>
        </w:tc>
        <w:tc>
          <w:tcPr>
            <w:tcW w:w="850" w:type="dxa"/>
            <w:shd w:val="clear" w:color="auto" w:fill="E6F2FF"/>
            <w:vAlign w:val="bottom"/>
          </w:tcPr>
          <w:p w14:paraId="55674FA0" w14:textId="77777777" w:rsidR="00B449D0" w:rsidRDefault="00175344">
            <w:pPr>
              <w:pStyle w:val="Summarytabletextrightaligned"/>
            </w:pPr>
            <w:r>
              <w:t>21.7</w:t>
            </w:r>
          </w:p>
        </w:tc>
        <w:tc>
          <w:tcPr>
            <w:tcW w:w="850" w:type="dxa"/>
            <w:vAlign w:val="bottom"/>
          </w:tcPr>
          <w:p w14:paraId="7766999E" w14:textId="77777777" w:rsidR="00B449D0" w:rsidRDefault="00175344">
            <w:pPr>
              <w:pStyle w:val="Summarytabletextrightaligned"/>
            </w:pPr>
            <w:r>
              <w:t>2.9</w:t>
            </w:r>
          </w:p>
        </w:tc>
        <w:tc>
          <w:tcPr>
            <w:tcW w:w="850" w:type="dxa"/>
            <w:vAlign w:val="bottom"/>
          </w:tcPr>
          <w:p w14:paraId="36204333" w14:textId="7C0A78ED" w:rsidR="00B449D0" w:rsidRDefault="00076D78">
            <w:pPr>
              <w:pStyle w:val="Summarytabletextrightaligned"/>
            </w:pPr>
            <w:r>
              <w:noBreakHyphen/>
            </w:r>
          </w:p>
        </w:tc>
        <w:tc>
          <w:tcPr>
            <w:tcW w:w="850" w:type="dxa"/>
            <w:vAlign w:val="bottom"/>
          </w:tcPr>
          <w:p w14:paraId="0EBEDEA9" w14:textId="56852344" w:rsidR="00B449D0" w:rsidRDefault="00076D78">
            <w:pPr>
              <w:pStyle w:val="Summarytabletextrightaligned"/>
            </w:pPr>
            <w:r>
              <w:noBreakHyphen/>
            </w:r>
          </w:p>
        </w:tc>
      </w:tr>
      <w:tr w:rsidR="00B449D0" w14:paraId="14C3937A" w14:textId="77777777" w:rsidTr="00301E48">
        <w:tc>
          <w:tcPr>
            <w:tcW w:w="3471" w:type="dxa"/>
            <w:vAlign w:val="bottom"/>
          </w:tcPr>
          <w:p w14:paraId="3E6DC41F" w14:textId="77777777" w:rsidR="00B449D0" w:rsidRDefault="00175344">
            <w:pPr>
              <w:pStyle w:val="Summarytabletextleftalignedbold"/>
            </w:pPr>
            <w:r>
              <w:t>Portfolio total</w:t>
            </w:r>
          </w:p>
        </w:tc>
        <w:tc>
          <w:tcPr>
            <w:tcW w:w="850" w:type="dxa"/>
            <w:tcBorders>
              <w:top w:val="single" w:sz="4" w:space="0" w:color="000000"/>
              <w:bottom w:val="single" w:sz="4" w:space="0" w:color="000000"/>
            </w:tcBorders>
            <w:vAlign w:val="bottom"/>
          </w:tcPr>
          <w:p w14:paraId="1409AF95" w14:textId="37C2BBFC" w:rsidR="00B449D0" w:rsidRDefault="00076D78">
            <w:pPr>
              <w:pStyle w:val="Summarytabletextrightalignedbold"/>
            </w:pPr>
            <w:r>
              <w:noBreakHyphen/>
            </w:r>
          </w:p>
        </w:tc>
        <w:tc>
          <w:tcPr>
            <w:tcW w:w="850" w:type="dxa"/>
            <w:tcBorders>
              <w:top w:val="single" w:sz="4" w:space="0" w:color="000000"/>
              <w:bottom w:val="single" w:sz="4" w:space="0" w:color="000000"/>
            </w:tcBorders>
            <w:shd w:val="clear" w:color="auto" w:fill="E6F2FF"/>
            <w:vAlign w:val="bottom"/>
          </w:tcPr>
          <w:p w14:paraId="52A1A432" w14:textId="77777777" w:rsidR="00B449D0" w:rsidRDefault="00175344">
            <w:pPr>
              <w:pStyle w:val="Summarytabletextrightalignedbold"/>
            </w:pPr>
            <w:r>
              <w:t>21.4</w:t>
            </w:r>
          </w:p>
        </w:tc>
        <w:tc>
          <w:tcPr>
            <w:tcW w:w="850" w:type="dxa"/>
            <w:tcBorders>
              <w:top w:val="single" w:sz="4" w:space="0" w:color="000000"/>
              <w:bottom w:val="single" w:sz="4" w:space="0" w:color="000000"/>
            </w:tcBorders>
            <w:vAlign w:val="bottom"/>
          </w:tcPr>
          <w:p w14:paraId="1E24ED6E" w14:textId="77777777" w:rsidR="00B449D0" w:rsidRDefault="00175344">
            <w:pPr>
              <w:pStyle w:val="Summarytabletextrightalignedbold"/>
            </w:pPr>
            <w:r>
              <w:t>61.1</w:t>
            </w:r>
          </w:p>
        </w:tc>
        <w:tc>
          <w:tcPr>
            <w:tcW w:w="850" w:type="dxa"/>
            <w:tcBorders>
              <w:top w:val="single" w:sz="4" w:space="0" w:color="000000"/>
              <w:bottom w:val="single" w:sz="4" w:space="0" w:color="000000"/>
            </w:tcBorders>
            <w:vAlign w:val="bottom"/>
          </w:tcPr>
          <w:p w14:paraId="09B55195" w14:textId="77777777" w:rsidR="00B449D0" w:rsidRDefault="00175344">
            <w:pPr>
              <w:pStyle w:val="Summarytabletextrightalignedbold"/>
            </w:pPr>
            <w:r>
              <w:t>1.1</w:t>
            </w:r>
          </w:p>
        </w:tc>
        <w:tc>
          <w:tcPr>
            <w:tcW w:w="850" w:type="dxa"/>
            <w:tcBorders>
              <w:top w:val="single" w:sz="4" w:space="0" w:color="000000"/>
              <w:bottom w:val="single" w:sz="4" w:space="0" w:color="000000"/>
            </w:tcBorders>
            <w:vAlign w:val="bottom"/>
          </w:tcPr>
          <w:p w14:paraId="0C077296" w14:textId="77777777" w:rsidR="00B449D0" w:rsidRDefault="00175344">
            <w:pPr>
              <w:pStyle w:val="Summarytabletextrightalignedbold"/>
            </w:pPr>
            <w:r>
              <w:t>4.9</w:t>
            </w:r>
          </w:p>
        </w:tc>
      </w:tr>
      <w:tr w:rsidR="00B449D0" w14:paraId="063A651C" w14:textId="77777777" w:rsidTr="00301E48">
        <w:tc>
          <w:tcPr>
            <w:tcW w:w="3471" w:type="dxa"/>
            <w:vAlign w:val="bottom"/>
          </w:tcPr>
          <w:p w14:paraId="2DFD5E87" w14:textId="68E4FEFF" w:rsidR="00B449D0" w:rsidRDefault="00175344">
            <w:pPr>
              <w:pStyle w:val="SummaryPortfolioTitle-BP2"/>
            </w:pPr>
            <w:r>
              <w:t>ATTORNEY</w:t>
            </w:r>
            <w:r w:rsidR="00076D78">
              <w:noBreakHyphen/>
            </w:r>
            <w:r>
              <w:t>GENERAL</w:t>
            </w:r>
            <w:r w:rsidR="00076D78">
              <w:t>’</w:t>
            </w:r>
            <w:r>
              <w:t>S</w:t>
            </w:r>
          </w:p>
        </w:tc>
        <w:tc>
          <w:tcPr>
            <w:tcW w:w="850" w:type="dxa"/>
          </w:tcPr>
          <w:p w14:paraId="6C202527" w14:textId="77777777" w:rsidR="00B449D0" w:rsidRDefault="00B449D0">
            <w:pPr>
              <w:pStyle w:val="MeasureTableTextRightAlignedBefore6ptAfter1pt"/>
            </w:pPr>
          </w:p>
        </w:tc>
        <w:tc>
          <w:tcPr>
            <w:tcW w:w="850" w:type="dxa"/>
            <w:shd w:val="clear" w:color="auto" w:fill="E6F2FF"/>
          </w:tcPr>
          <w:p w14:paraId="283E2748" w14:textId="77777777" w:rsidR="00B449D0" w:rsidRDefault="00B449D0">
            <w:pPr>
              <w:pStyle w:val="MeasureTableTextRightAlignedBefore6ptAfter1pt"/>
            </w:pPr>
          </w:p>
        </w:tc>
        <w:tc>
          <w:tcPr>
            <w:tcW w:w="850" w:type="dxa"/>
          </w:tcPr>
          <w:p w14:paraId="7375AE06" w14:textId="77777777" w:rsidR="00B449D0" w:rsidRDefault="00B449D0">
            <w:pPr>
              <w:pStyle w:val="MeasureTableTextRightAlignedBefore6ptAfter1pt"/>
            </w:pPr>
          </w:p>
        </w:tc>
        <w:tc>
          <w:tcPr>
            <w:tcW w:w="850" w:type="dxa"/>
          </w:tcPr>
          <w:p w14:paraId="04A21737" w14:textId="77777777" w:rsidR="00B449D0" w:rsidRDefault="00B449D0">
            <w:pPr>
              <w:pStyle w:val="MeasureTableTextRightAlignedBefore6ptAfter1pt"/>
            </w:pPr>
          </w:p>
        </w:tc>
        <w:tc>
          <w:tcPr>
            <w:tcW w:w="850" w:type="dxa"/>
          </w:tcPr>
          <w:p w14:paraId="59615658" w14:textId="77777777" w:rsidR="00B449D0" w:rsidRDefault="00B449D0">
            <w:pPr>
              <w:pStyle w:val="MeasureTableTextRightAlignedBefore6ptAfter1pt"/>
            </w:pPr>
          </w:p>
        </w:tc>
      </w:tr>
      <w:tr w:rsidR="00B449D0" w14:paraId="0C520F53" w14:textId="77777777" w:rsidTr="00301E48">
        <w:tc>
          <w:tcPr>
            <w:tcW w:w="3471" w:type="dxa"/>
            <w:vAlign w:val="bottom"/>
          </w:tcPr>
          <w:p w14:paraId="09458F4F" w14:textId="02E9839F" w:rsidR="00B449D0" w:rsidRDefault="00175344">
            <w:pPr>
              <w:pStyle w:val="SummaryAgencyTitle-BP2"/>
            </w:pPr>
            <w:r>
              <w:t>Attorney</w:t>
            </w:r>
            <w:r w:rsidR="00076D78">
              <w:noBreakHyphen/>
            </w:r>
            <w:r>
              <w:t>General</w:t>
            </w:r>
            <w:r w:rsidR="00076D78">
              <w:t>’</w:t>
            </w:r>
            <w:r>
              <w:t>s Department</w:t>
            </w:r>
          </w:p>
        </w:tc>
        <w:tc>
          <w:tcPr>
            <w:tcW w:w="850" w:type="dxa"/>
          </w:tcPr>
          <w:p w14:paraId="4C977CA6" w14:textId="77777777" w:rsidR="00B449D0" w:rsidRDefault="00B449D0">
            <w:pPr>
              <w:pStyle w:val="SummaryAgencyTitle-BP2"/>
            </w:pPr>
          </w:p>
        </w:tc>
        <w:tc>
          <w:tcPr>
            <w:tcW w:w="850" w:type="dxa"/>
            <w:shd w:val="clear" w:color="auto" w:fill="E6F2FF"/>
          </w:tcPr>
          <w:p w14:paraId="6A95D9EC" w14:textId="77777777" w:rsidR="00B449D0" w:rsidRDefault="00B449D0">
            <w:pPr>
              <w:pStyle w:val="SummaryAgencyTitle-BP2"/>
            </w:pPr>
          </w:p>
        </w:tc>
        <w:tc>
          <w:tcPr>
            <w:tcW w:w="850" w:type="dxa"/>
          </w:tcPr>
          <w:p w14:paraId="11D628F9" w14:textId="77777777" w:rsidR="00B449D0" w:rsidRDefault="00B449D0">
            <w:pPr>
              <w:pStyle w:val="SummaryAgencyTitle-BP2"/>
            </w:pPr>
          </w:p>
        </w:tc>
        <w:tc>
          <w:tcPr>
            <w:tcW w:w="850" w:type="dxa"/>
          </w:tcPr>
          <w:p w14:paraId="5FEEA40F" w14:textId="77777777" w:rsidR="00B449D0" w:rsidRDefault="00B449D0">
            <w:pPr>
              <w:pStyle w:val="SummaryAgencyTitle-BP2"/>
            </w:pPr>
          </w:p>
        </w:tc>
        <w:tc>
          <w:tcPr>
            <w:tcW w:w="850" w:type="dxa"/>
          </w:tcPr>
          <w:p w14:paraId="6118B7DA" w14:textId="77777777" w:rsidR="00B449D0" w:rsidRDefault="00B449D0">
            <w:pPr>
              <w:pStyle w:val="SummaryAgencyTitle-BP2"/>
            </w:pPr>
          </w:p>
        </w:tc>
      </w:tr>
      <w:tr w:rsidR="00B449D0" w14:paraId="70AAC188" w14:textId="77777777" w:rsidTr="00301E48">
        <w:tc>
          <w:tcPr>
            <w:tcW w:w="3471" w:type="dxa"/>
            <w:vAlign w:val="bottom"/>
          </w:tcPr>
          <w:p w14:paraId="4322908F" w14:textId="4C7A1E1B" w:rsidR="00B449D0" w:rsidRDefault="00175344">
            <w:pPr>
              <w:pStyle w:val="SummaryMeasureTitlewithTheme"/>
            </w:pPr>
            <w:r>
              <w:t>Attorney‑General</w:t>
            </w:r>
            <w:r w:rsidR="00076D78">
              <w:t>’</w:t>
            </w:r>
            <w:r>
              <w:t>s Portfolio – additional resourcing</w:t>
            </w:r>
          </w:p>
        </w:tc>
        <w:tc>
          <w:tcPr>
            <w:tcW w:w="850" w:type="dxa"/>
            <w:vAlign w:val="bottom"/>
          </w:tcPr>
          <w:p w14:paraId="20109AA3" w14:textId="79659E81" w:rsidR="00B449D0" w:rsidRDefault="00076D78">
            <w:pPr>
              <w:pStyle w:val="Summarytabletextrightaligned"/>
            </w:pPr>
            <w:r>
              <w:noBreakHyphen/>
            </w:r>
          </w:p>
        </w:tc>
        <w:tc>
          <w:tcPr>
            <w:tcW w:w="850" w:type="dxa"/>
            <w:shd w:val="clear" w:color="auto" w:fill="E6F2FF"/>
            <w:vAlign w:val="bottom"/>
          </w:tcPr>
          <w:p w14:paraId="38092D24" w14:textId="7BD561BE" w:rsidR="00B449D0" w:rsidRDefault="00076D78">
            <w:pPr>
              <w:pStyle w:val="Summarytabletextrightaligned"/>
            </w:pPr>
            <w:r>
              <w:noBreakHyphen/>
            </w:r>
          </w:p>
        </w:tc>
        <w:tc>
          <w:tcPr>
            <w:tcW w:w="850" w:type="dxa"/>
            <w:vAlign w:val="bottom"/>
          </w:tcPr>
          <w:p w14:paraId="53159452" w14:textId="77777777" w:rsidR="00B449D0" w:rsidRDefault="00175344">
            <w:pPr>
              <w:pStyle w:val="Summarytabletextrightaligned"/>
            </w:pPr>
            <w:r>
              <w:t>1.8</w:t>
            </w:r>
          </w:p>
        </w:tc>
        <w:tc>
          <w:tcPr>
            <w:tcW w:w="850" w:type="dxa"/>
            <w:vAlign w:val="bottom"/>
          </w:tcPr>
          <w:p w14:paraId="7DE7EA3F" w14:textId="434B4081" w:rsidR="00B449D0" w:rsidRDefault="00076D78">
            <w:pPr>
              <w:pStyle w:val="Summarytabletextrightaligned"/>
            </w:pPr>
            <w:r>
              <w:noBreakHyphen/>
            </w:r>
          </w:p>
        </w:tc>
        <w:tc>
          <w:tcPr>
            <w:tcW w:w="850" w:type="dxa"/>
            <w:vAlign w:val="bottom"/>
          </w:tcPr>
          <w:p w14:paraId="451278A2" w14:textId="612CDF1F" w:rsidR="00B449D0" w:rsidRDefault="00076D78">
            <w:pPr>
              <w:pStyle w:val="Summarytabletextrightaligned"/>
            </w:pPr>
            <w:r>
              <w:noBreakHyphen/>
            </w:r>
          </w:p>
        </w:tc>
      </w:tr>
      <w:tr w:rsidR="00B449D0" w14:paraId="0688B227" w14:textId="77777777" w:rsidTr="00301E48">
        <w:tc>
          <w:tcPr>
            <w:tcW w:w="3471" w:type="dxa"/>
            <w:vAlign w:val="bottom"/>
          </w:tcPr>
          <w:p w14:paraId="61CF60B6" w14:textId="77777777" w:rsidR="00B449D0" w:rsidRDefault="00175344">
            <w:pPr>
              <w:pStyle w:val="SummaryMeasureTitlewithTheme"/>
            </w:pPr>
            <w:r>
              <w:t>Ending Gender‑Based Violence – National Cabinet</w:t>
            </w:r>
          </w:p>
        </w:tc>
        <w:tc>
          <w:tcPr>
            <w:tcW w:w="850" w:type="dxa"/>
            <w:vAlign w:val="bottom"/>
          </w:tcPr>
          <w:p w14:paraId="6BBE0BF1" w14:textId="594EB828" w:rsidR="00B449D0" w:rsidRDefault="00076D78">
            <w:pPr>
              <w:pStyle w:val="Summarytabletextrightaligned"/>
            </w:pPr>
            <w:r>
              <w:noBreakHyphen/>
            </w:r>
          </w:p>
        </w:tc>
        <w:tc>
          <w:tcPr>
            <w:tcW w:w="850" w:type="dxa"/>
            <w:shd w:val="clear" w:color="auto" w:fill="E6F2FF"/>
            <w:vAlign w:val="bottom"/>
          </w:tcPr>
          <w:p w14:paraId="74DD16FB" w14:textId="77777777" w:rsidR="00B449D0" w:rsidRDefault="00175344">
            <w:pPr>
              <w:pStyle w:val="Summarytabletextrightaligned"/>
            </w:pPr>
            <w:r>
              <w:t>0.6</w:t>
            </w:r>
          </w:p>
        </w:tc>
        <w:tc>
          <w:tcPr>
            <w:tcW w:w="850" w:type="dxa"/>
            <w:vAlign w:val="bottom"/>
          </w:tcPr>
          <w:p w14:paraId="60C793E4" w14:textId="77777777" w:rsidR="00B449D0" w:rsidRDefault="00175344">
            <w:pPr>
              <w:pStyle w:val="Summarytabletextrightaligned"/>
            </w:pPr>
            <w:r>
              <w:t>9.1</w:t>
            </w:r>
          </w:p>
        </w:tc>
        <w:tc>
          <w:tcPr>
            <w:tcW w:w="850" w:type="dxa"/>
            <w:vAlign w:val="bottom"/>
          </w:tcPr>
          <w:p w14:paraId="638183A4" w14:textId="77777777" w:rsidR="00B449D0" w:rsidRDefault="00175344">
            <w:pPr>
              <w:pStyle w:val="Summarytabletextrightaligned"/>
            </w:pPr>
            <w:r>
              <w:t>7.7</w:t>
            </w:r>
          </w:p>
        </w:tc>
        <w:tc>
          <w:tcPr>
            <w:tcW w:w="850" w:type="dxa"/>
            <w:vAlign w:val="bottom"/>
          </w:tcPr>
          <w:p w14:paraId="7AA42768" w14:textId="77777777" w:rsidR="00B449D0" w:rsidRDefault="00175344">
            <w:pPr>
              <w:pStyle w:val="Summarytabletextrightaligned"/>
            </w:pPr>
            <w:r>
              <w:t>5.2</w:t>
            </w:r>
          </w:p>
        </w:tc>
      </w:tr>
      <w:tr w:rsidR="00B449D0" w14:paraId="5DAAC775" w14:textId="77777777" w:rsidTr="00301E48">
        <w:tc>
          <w:tcPr>
            <w:tcW w:w="3471" w:type="dxa"/>
            <w:vAlign w:val="bottom"/>
          </w:tcPr>
          <w:p w14:paraId="45272EE6" w14:textId="77777777" w:rsidR="00B449D0" w:rsidRDefault="00175344">
            <w:pPr>
              <w:pStyle w:val="SummaryMeasureTitlewithTheme"/>
            </w:pPr>
            <w:r>
              <w:t>Malaysia Airlines Flight MH17 – ongoing efforts</w:t>
            </w:r>
          </w:p>
        </w:tc>
        <w:tc>
          <w:tcPr>
            <w:tcW w:w="850" w:type="dxa"/>
            <w:vAlign w:val="bottom"/>
          </w:tcPr>
          <w:p w14:paraId="0B3F1842" w14:textId="43228D3E" w:rsidR="00B449D0" w:rsidRDefault="00076D78">
            <w:pPr>
              <w:pStyle w:val="Summarytabletextrightaligned"/>
            </w:pPr>
            <w:r>
              <w:noBreakHyphen/>
            </w:r>
          </w:p>
        </w:tc>
        <w:tc>
          <w:tcPr>
            <w:tcW w:w="850" w:type="dxa"/>
            <w:shd w:val="clear" w:color="auto" w:fill="E6F2FF"/>
            <w:vAlign w:val="bottom"/>
          </w:tcPr>
          <w:p w14:paraId="0E924245" w14:textId="263BF005" w:rsidR="00B449D0" w:rsidRDefault="00076D78">
            <w:pPr>
              <w:pStyle w:val="Summarytabletextrightaligned"/>
            </w:pPr>
            <w:r>
              <w:noBreakHyphen/>
            </w:r>
          </w:p>
        </w:tc>
        <w:tc>
          <w:tcPr>
            <w:tcW w:w="850" w:type="dxa"/>
            <w:vAlign w:val="bottom"/>
          </w:tcPr>
          <w:p w14:paraId="1C04FD94" w14:textId="77777777" w:rsidR="00B449D0" w:rsidRDefault="00175344">
            <w:pPr>
              <w:pStyle w:val="Summarytabletextrightaligned"/>
            </w:pPr>
            <w:r>
              <w:t>2.2</w:t>
            </w:r>
          </w:p>
        </w:tc>
        <w:tc>
          <w:tcPr>
            <w:tcW w:w="850" w:type="dxa"/>
            <w:vAlign w:val="bottom"/>
          </w:tcPr>
          <w:p w14:paraId="0680C633" w14:textId="46CA3DB3" w:rsidR="00B449D0" w:rsidRDefault="00076D78">
            <w:pPr>
              <w:pStyle w:val="Summarytabletextrightaligned"/>
            </w:pPr>
            <w:r>
              <w:noBreakHyphen/>
            </w:r>
          </w:p>
        </w:tc>
        <w:tc>
          <w:tcPr>
            <w:tcW w:w="850" w:type="dxa"/>
            <w:vAlign w:val="bottom"/>
          </w:tcPr>
          <w:p w14:paraId="1540452F" w14:textId="40887320" w:rsidR="00B449D0" w:rsidRDefault="00076D78">
            <w:pPr>
              <w:pStyle w:val="Summarytabletextrightaligned"/>
            </w:pPr>
            <w:r>
              <w:noBreakHyphen/>
            </w:r>
          </w:p>
        </w:tc>
      </w:tr>
      <w:tr w:rsidR="00B449D0" w14:paraId="76867A84" w14:textId="77777777" w:rsidTr="00301E48">
        <w:tc>
          <w:tcPr>
            <w:tcW w:w="3471" w:type="dxa"/>
            <w:vAlign w:val="bottom"/>
          </w:tcPr>
          <w:p w14:paraId="7BB2B3DC" w14:textId="77777777" w:rsidR="00B449D0" w:rsidRDefault="00175344">
            <w:pPr>
              <w:pStyle w:val="SummaryMeasureTitlewithTheme"/>
            </w:pPr>
            <w:r>
              <w:t>National Access to Justice Partnership</w:t>
            </w:r>
          </w:p>
        </w:tc>
        <w:tc>
          <w:tcPr>
            <w:tcW w:w="850" w:type="dxa"/>
            <w:vAlign w:val="bottom"/>
          </w:tcPr>
          <w:p w14:paraId="11AAEF64" w14:textId="448A7D57" w:rsidR="00B449D0" w:rsidRDefault="00076D78">
            <w:pPr>
              <w:pStyle w:val="Summarytabletextrightaligned"/>
            </w:pPr>
            <w:r>
              <w:noBreakHyphen/>
            </w:r>
          </w:p>
        </w:tc>
        <w:tc>
          <w:tcPr>
            <w:tcW w:w="850" w:type="dxa"/>
            <w:shd w:val="clear" w:color="auto" w:fill="E6F2FF"/>
            <w:vAlign w:val="bottom"/>
          </w:tcPr>
          <w:p w14:paraId="65AE9B87" w14:textId="1F5BCAA5" w:rsidR="00B449D0" w:rsidRDefault="00076D78">
            <w:pPr>
              <w:pStyle w:val="Summarytabletextrightaligned"/>
            </w:pPr>
            <w:r>
              <w:noBreakHyphen/>
            </w:r>
          </w:p>
        </w:tc>
        <w:tc>
          <w:tcPr>
            <w:tcW w:w="850" w:type="dxa"/>
            <w:vAlign w:val="bottom"/>
          </w:tcPr>
          <w:p w14:paraId="76917FD4" w14:textId="77777777" w:rsidR="00B449D0" w:rsidRDefault="00175344">
            <w:pPr>
              <w:pStyle w:val="Summarytabletextrightaligned"/>
            </w:pPr>
            <w:r>
              <w:t>5.9</w:t>
            </w:r>
          </w:p>
        </w:tc>
        <w:tc>
          <w:tcPr>
            <w:tcW w:w="850" w:type="dxa"/>
            <w:vAlign w:val="bottom"/>
          </w:tcPr>
          <w:p w14:paraId="46E1D689" w14:textId="77777777" w:rsidR="00B449D0" w:rsidRDefault="00175344">
            <w:pPr>
              <w:pStyle w:val="Summarytabletextrightaligned"/>
            </w:pPr>
            <w:r>
              <w:t>7.1</w:t>
            </w:r>
          </w:p>
        </w:tc>
        <w:tc>
          <w:tcPr>
            <w:tcW w:w="850" w:type="dxa"/>
            <w:vAlign w:val="bottom"/>
          </w:tcPr>
          <w:p w14:paraId="60F01C9C" w14:textId="77777777" w:rsidR="00B449D0" w:rsidRDefault="00175344">
            <w:pPr>
              <w:pStyle w:val="Summarytabletextrightaligned"/>
            </w:pPr>
            <w:r>
              <w:t>7.7</w:t>
            </w:r>
          </w:p>
        </w:tc>
      </w:tr>
      <w:tr w:rsidR="00B449D0" w14:paraId="5AD8A087" w14:textId="77777777" w:rsidTr="00301E48">
        <w:tc>
          <w:tcPr>
            <w:tcW w:w="3471" w:type="dxa"/>
            <w:vAlign w:val="bottom"/>
          </w:tcPr>
          <w:p w14:paraId="2016FEBC" w14:textId="089EED5C" w:rsidR="00B449D0" w:rsidRDefault="00175344">
            <w:pPr>
              <w:pStyle w:val="SummaryMeasureTitlewithTheme"/>
            </w:pPr>
            <w:r>
              <w:t>Strengthening Australia</w:t>
            </w:r>
            <w:r w:rsidR="00076D78">
              <w:t>’</w:t>
            </w:r>
            <w:r>
              <w:t>s Arrangements for High Risk Terrorist Offenders – continuation</w:t>
            </w:r>
          </w:p>
        </w:tc>
        <w:tc>
          <w:tcPr>
            <w:tcW w:w="850" w:type="dxa"/>
            <w:vAlign w:val="bottom"/>
          </w:tcPr>
          <w:p w14:paraId="2D37319D" w14:textId="23080027" w:rsidR="00B449D0" w:rsidRDefault="00076D78">
            <w:pPr>
              <w:pStyle w:val="Summarytabletextrightaligned"/>
            </w:pPr>
            <w:r>
              <w:noBreakHyphen/>
            </w:r>
          </w:p>
        </w:tc>
        <w:tc>
          <w:tcPr>
            <w:tcW w:w="850" w:type="dxa"/>
            <w:shd w:val="clear" w:color="auto" w:fill="E6F2FF"/>
            <w:vAlign w:val="bottom"/>
          </w:tcPr>
          <w:p w14:paraId="39771A2B" w14:textId="1C6CD7DD" w:rsidR="00B449D0" w:rsidRDefault="00076D78">
            <w:pPr>
              <w:pStyle w:val="Summarytabletextrightaligned"/>
            </w:pPr>
            <w:r>
              <w:noBreakHyphen/>
            </w:r>
          </w:p>
        </w:tc>
        <w:tc>
          <w:tcPr>
            <w:tcW w:w="850" w:type="dxa"/>
            <w:vAlign w:val="bottom"/>
          </w:tcPr>
          <w:p w14:paraId="2933BE10" w14:textId="77777777" w:rsidR="00B449D0" w:rsidRDefault="00175344">
            <w:pPr>
              <w:pStyle w:val="Summarytabletextrightaligned"/>
            </w:pPr>
            <w:r>
              <w:t>6.0</w:t>
            </w:r>
          </w:p>
        </w:tc>
        <w:tc>
          <w:tcPr>
            <w:tcW w:w="850" w:type="dxa"/>
            <w:vAlign w:val="bottom"/>
          </w:tcPr>
          <w:p w14:paraId="410F2881" w14:textId="5F634B39" w:rsidR="00B449D0" w:rsidRDefault="00076D78">
            <w:pPr>
              <w:pStyle w:val="Summarytabletextrightaligned"/>
            </w:pPr>
            <w:r>
              <w:noBreakHyphen/>
            </w:r>
          </w:p>
        </w:tc>
        <w:tc>
          <w:tcPr>
            <w:tcW w:w="850" w:type="dxa"/>
            <w:vAlign w:val="bottom"/>
          </w:tcPr>
          <w:p w14:paraId="7D91BBA5" w14:textId="48EE4E31" w:rsidR="00B449D0" w:rsidRDefault="00076D78">
            <w:pPr>
              <w:pStyle w:val="Summarytabletextrightaligned"/>
            </w:pPr>
            <w:r>
              <w:noBreakHyphen/>
            </w:r>
          </w:p>
        </w:tc>
      </w:tr>
      <w:tr w:rsidR="00B449D0" w14:paraId="10964877" w14:textId="77777777" w:rsidTr="00301E48">
        <w:tc>
          <w:tcPr>
            <w:tcW w:w="3471" w:type="dxa"/>
            <w:vAlign w:val="bottom"/>
          </w:tcPr>
          <w:p w14:paraId="439330FC" w14:textId="77777777" w:rsidR="00B449D0" w:rsidRDefault="00175344">
            <w:pPr>
              <w:pStyle w:val="SummaryMeasureTitlewithTheme"/>
            </w:pPr>
            <w:r>
              <w:t>Supporting Aviation Priorities(b)</w:t>
            </w:r>
          </w:p>
        </w:tc>
        <w:tc>
          <w:tcPr>
            <w:tcW w:w="850" w:type="dxa"/>
            <w:vAlign w:val="bottom"/>
          </w:tcPr>
          <w:p w14:paraId="00CB1A81" w14:textId="56F95EA9" w:rsidR="00B449D0" w:rsidRDefault="00076D78">
            <w:pPr>
              <w:pStyle w:val="Summarytabletextrightaligned"/>
            </w:pPr>
            <w:r>
              <w:noBreakHyphen/>
            </w:r>
          </w:p>
        </w:tc>
        <w:tc>
          <w:tcPr>
            <w:tcW w:w="850" w:type="dxa"/>
            <w:shd w:val="clear" w:color="auto" w:fill="E6F2FF"/>
            <w:vAlign w:val="bottom"/>
          </w:tcPr>
          <w:p w14:paraId="0AC46A02" w14:textId="2B065D1F" w:rsidR="00B449D0" w:rsidRDefault="00076D78">
            <w:pPr>
              <w:pStyle w:val="Summarytabletextrightaligned"/>
            </w:pPr>
            <w:r>
              <w:noBreakHyphen/>
            </w:r>
          </w:p>
        </w:tc>
        <w:tc>
          <w:tcPr>
            <w:tcW w:w="850" w:type="dxa"/>
            <w:vAlign w:val="bottom"/>
          </w:tcPr>
          <w:p w14:paraId="2C238979" w14:textId="668C2383" w:rsidR="00B449D0" w:rsidRDefault="00076D78">
            <w:pPr>
              <w:pStyle w:val="Summarytabletextrightaligned"/>
            </w:pPr>
            <w:r>
              <w:noBreakHyphen/>
            </w:r>
          </w:p>
        </w:tc>
        <w:tc>
          <w:tcPr>
            <w:tcW w:w="850" w:type="dxa"/>
            <w:vAlign w:val="bottom"/>
          </w:tcPr>
          <w:p w14:paraId="6A5DB584" w14:textId="62B94D36" w:rsidR="00B449D0" w:rsidRDefault="00076D78">
            <w:pPr>
              <w:pStyle w:val="Summarytabletextrightaligned"/>
            </w:pPr>
            <w:r>
              <w:noBreakHyphen/>
            </w:r>
          </w:p>
        </w:tc>
        <w:tc>
          <w:tcPr>
            <w:tcW w:w="850" w:type="dxa"/>
            <w:vAlign w:val="bottom"/>
          </w:tcPr>
          <w:p w14:paraId="2809873F" w14:textId="562BEA41" w:rsidR="00B449D0" w:rsidRDefault="00076D78">
            <w:pPr>
              <w:pStyle w:val="Summarytabletextrightaligned"/>
            </w:pPr>
            <w:r>
              <w:noBreakHyphen/>
            </w:r>
          </w:p>
        </w:tc>
      </w:tr>
      <w:tr w:rsidR="00B449D0" w14:paraId="5BE30C46" w14:textId="77777777" w:rsidTr="00301E48">
        <w:tc>
          <w:tcPr>
            <w:tcW w:w="3471" w:type="dxa"/>
            <w:vAlign w:val="bottom"/>
          </w:tcPr>
          <w:p w14:paraId="7066C921" w14:textId="77777777" w:rsidR="00B449D0" w:rsidRDefault="00175344">
            <w:pPr>
              <w:pStyle w:val="SummaryAgencyTitle-BP2"/>
            </w:pPr>
            <w:r>
              <w:t>Australian Criminal Intelligence Commission</w:t>
            </w:r>
          </w:p>
        </w:tc>
        <w:tc>
          <w:tcPr>
            <w:tcW w:w="850" w:type="dxa"/>
          </w:tcPr>
          <w:p w14:paraId="323EF744" w14:textId="77777777" w:rsidR="00B449D0" w:rsidRDefault="00B449D0">
            <w:pPr>
              <w:pStyle w:val="SummaryAgencyTitle-BP2"/>
            </w:pPr>
          </w:p>
        </w:tc>
        <w:tc>
          <w:tcPr>
            <w:tcW w:w="850" w:type="dxa"/>
            <w:shd w:val="clear" w:color="auto" w:fill="E6F2FF"/>
          </w:tcPr>
          <w:p w14:paraId="34A0C458" w14:textId="77777777" w:rsidR="00B449D0" w:rsidRDefault="00B449D0">
            <w:pPr>
              <w:pStyle w:val="SummaryAgencyTitle-BP2"/>
            </w:pPr>
          </w:p>
        </w:tc>
        <w:tc>
          <w:tcPr>
            <w:tcW w:w="850" w:type="dxa"/>
          </w:tcPr>
          <w:p w14:paraId="1699393D" w14:textId="77777777" w:rsidR="00B449D0" w:rsidRDefault="00B449D0">
            <w:pPr>
              <w:pStyle w:val="SummaryAgencyTitle-BP2"/>
            </w:pPr>
          </w:p>
        </w:tc>
        <w:tc>
          <w:tcPr>
            <w:tcW w:w="850" w:type="dxa"/>
          </w:tcPr>
          <w:p w14:paraId="0F35A7C3" w14:textId="77777777" w:rsidR="00B449D0" w:rsidRDefault="00B449D0">
            <w:pPr>
              <w:pStyle w:val="SummaryAgencyTitle-BP2"/>
            </w:pPr>
          </w:p>
        </w:tc>
        <w:tc>
          <w:tcPr>
            <w:tcW w:w="850" w:type="dxa"/>
          </w:tcPr>
          <w:p w14:paraId="1871AC13" w14:textId="77777777" w:rsidR="00B449D0" w:rsidRDefault="00B449D0">
            <w:pPr>
              <w:pStyle w:val="SummaryAgencyTitle-BP2"/>
            </w:pPr>
          </w:p>
        </w:tc>
      </w:tr>
      <w:tr w:rsidR="00B449D0" w14:paraId="6BD4EC5D" w14:textId="77777777" w:rsidTr="00301E48">
        <w:tc>
          <w:tcPr>
            <w:tcW w:w="3471" w:type="dxa"/>
            <w:vAlign w:val="bottom"/>
          </w:tcPr>
          <w:p w14:paraId="305ABC30" w14:textId="77777777" w:rsidR="00B449D0" w:rsidRDefault="00175344">
            <w:pPr>
              <w:pStyle w:val="SummaryMeasureTitlewithTheme"/>
            </w:pPr>
            <w:r>
              <w:t>Ending Gender‑Based Violence – National Cabinet</w:t>
            </w:r>
          </w:p>
        </w:tc>
        <w:tc>
          <w:tcPr>
            <w:tcW w:w="850" w:type="dxa"/>
            <w:vAlign w:val="bottom"/>
          </w:tcPr>
          <w:p w14:paraId="23F2405A" w14:textId="79FC2626" w:rsidR="00B449D0" w:rsidRDefault="00076D78">
            <w:pPr>
              <w:pStyle w:val="Summarytabletextrightaligned"/>
            </w:pPr>
            <w:r>
              <w:noBreakHyphen/>
            </w:r>
          </w:p>
        </w:tc>
        <w:tc>
          <w:tcPr>
            <w:tcW w:w="850" w:type="dxa"/>
            <w:shd w:val="clear" w:color="auto" w:fill="E6F2FF"/>
            <w:vAlign w:val="bottom"/>
          </w:tcPr>
          <w:p w14:paraId="1F9B780A" w14:textId="01769107" w:rsidR="00B449D0" w:rsidRDefault="00076D78">
            <w:pPr>
              <w:pStyle w:val="Summarytabletextrightaligned"/>
            </w:pPr>
            <w:r>
              <w:noBreakHyphen/>
            </w:r>
          </w:p>
        </w:tc>
        <w:tc>
          <w:tcPr>
            <w:tcW w:w="850" w:type="dxa"/>
            <w:vAlign w:val="bottom"/>
          </w:tcPr>
          <w:p w14:paraId="2A58EC14" w14:textId="57AE4A9E" w:rsidR="00B449D0" w:rsidRDefault="00076D78">
            <w:pPr>
              <w:pStyle w:val="Summarytabletextrightaligned"/>
            </w:pPr>
            <w:r>
              <w:noBreakHyphen/>
            </w:r>
          </w:p>
        </w:tc>
        <w:tc>
          <w:tcPr>
            <w:tcW w:w="850" w:type="dxa"/>
            <w:vAlign w:val="bottom"/>
          </w:tcPr>
          <w:p w14:paraId="306589F1" w14:textId="2023C0B6" w:rsidR="00B449D0" w:rsidRDefault="00076D78">
            <w:pPr>
              <w:pStyle w:val="Summarytabletextrightaligned"/>
            </w:pPr>
            <w:r>
              <w:noBreakHyphen/>
            </w:r>
          </w:p>
        </w:tc>
        <w:tc>
          <w:tcPr>
            <w:tcW w:w="850" w:type="dxa"/>
            <w:vAlign w:val="bottom"/>
          </w:tcPr>
          <w:p w14:paraId="4269B1C0" w14:textId="4A1A3AC0" w:rsidR="00B449D0" w:rsidRDefault="00076D78">
            <w:pPr>
              <w:pStyle w:val="Summarytabletextrightaligned"/>
            </w:pPr>
            <w:r>
              <w:noBreakHyphen/>
            </w:r>
          </w:p>
        </w:tc>
      </w:tr>
      <w:tr w:rsidR="00B449D0" w14:paraId="49216AEE" w14:textId="77777777" w:rsidTr="00301E48">
        <w:tc>
          <w:tcPr>
            <w:tcW w:w="3471" w:type="dxa"/>
            <w:vAlign w:val="bottom"/>
          </w:tcPr>
          <w:p w14:paraId="627C8EEA" w14:textId="77777777" w:rsidR="00B449D0" w:rsidRDefault="00175344">
            <w:pPr>
              <w:pStyle w:val="SummaryAgencyTitle-BP2"/>
            </w:pPr>
            <w:r>
              <w:t>Australian Federal Police</w:t>
            </w:r>
          </w:p>
        </w:tc>
        <w:tc>
          <w:tcPr>
            <w:tcW w:w="850" w:type="dxa"/>
          </w:tcPr>
          <w:p w14:paraId="5F838CD5" w14:textId="77777777" w:rsidR="00B449D0" w:rsidRDefault="00B449D0">
            <w:pPr>
              <w:pStyle w:val="SummaryAgencyTitle-BP2"/>
            </w:pPr>
          </w:p>
        </w:tc>
        <w:tc>
          <w:tcPr>
            <w:tcW w:w="850" w:type="dxa"/>
            <w:shd w:val="clear" w:color="auto" w:fill="E6F2FF"/>
          </w:tcPr>
          <w:p w14:paraId="54BEC1D0" w14:textId="77777777" w:rsidR="00B449D0" w:rsidRDefault="00B449D0">
            <w:pPr>
              <w:pStyle w:val="SummaryAgencyTitle-BP2"/>
            </w:pPr>
          </w:p>
        </w:tc>
        <w:tc>
          <w:tcPr>
            <w:tcW w:w="850" w:type="dxa"/>
          </w:tcPr>
          <w:p w14:paraId="351E1AC3" w14:textId="77777777" w:rsidR="00B449D0" w:rsidRDefault="00B449D0">
            <w:pPr>
              <w:pStyle w:val="SummaryAgencyTitle-BP2"/>
            </w:pPr>
          </w:p>
        </w:tc>
        <w:tc>
          <w:tcPr>
            <w:tcW w:w="850" w:type="dxa"/>
          </w:tcPr>
          <w:p w14:paraId="5EF56848" w14:textId="77777777" w:rsidR="00B449D0" w:rsidRDefault="00B449D0">
            <w:pPr>
              <w:pStyle w:val="SummaryAgencyTitle-BP2"/>
            </w:pPr>
          </w:p>
        </w:tc>
        <w:tc>
          <w:tcPr>
            <w:tcW w:w="850" w:type="dxa"/>
          </w:tcPr>
          <w:p w14:paraId="07AE69E7" w14:textId="77777777" w:rsidR="00B449D0" w:rsidRDefault="00B449D0">
            <w:pPr>
              <w:pStyle w:val="SummaryAgencyTitle-BP2"/>
            </w:pPr>
          </w:p>
        </w:tc>
      </w:tr>
      <w:tr w:rsidR="00B449D0" w14:paraId="3059B575" w14:textId="77777777" w:rsidTr="00301E48">
        <w:tc>
          <w:tcPr>
            <w:tcW w:w="3471" w:type="dxa"/>
            <w:vAlign w:val="bottom"/>
          </w:tcPr>
          <w:p w14:paraId="22100627" w14:textId="4EDAAB85" w:rsidR="00B449D0" w:rsidRDefault="00175344">
            <w:pPr>
              <w:pStyle w:val="SummaryMeasureTitlewithTheme"/>
            </w:pPr>
            <w:r>
              <w:t>Attorney‑General</w:t>
            </w:r>
            <w:r w:rsidR="00076D78">
              <w:t>’</w:t>
            </w:r>
            <w:r>
              <w:t>s Portfolio – additional resourcing</w:t>
            </w:r>
          </w:p>
        </w:tc>
        <w:tc>
          <w:tcPr>
            <w:tcW w:w="850" w:type="dxa"/>
            <w:vAlign w:val="bottom"/>
          </w:tcPr>
          <w:p w14:paraId="5BC8C9E7" w14:textId="78C9F993" w:rsidR="00B449D0" w:rsidRDefault="00076D78">
            <w:pPr>
              <w:pStyle w:val="Summarytabletextrightaligned"/>
            </w:pPr>
            <w:r>
              <w:noBreakHyphen/>
            </w:r>
          </w:p>
        </w:tc>
        <w:tc>
          <w:tcPr>
            <w:tcW w:w="850" w:type="dxa"/>
            <w:shd w:val="clear" w:color="auto" w:fill="E6F2FF"/>
            <w:vAlign w:val="bottom"/>
          </w:tcPr>
          <w:p w14:paraId="40F6848D" w14:textId="77777777" w:rsidR="00B449D0" w:rsidRDefault="00175344">
            <w:pPr>
              <w:pStyle w:val="Summarytabletextrightaligned"/>
            </w:pPr>
            <w:r>
              <w:t>15.1</w:t>
            </w:r>
          </w:p>
        </w:tc>
        <w:tc>
          <w:tcPr>
            <w:tcW w:w="850" w:type="dxa"/>
            <w:vAlign w:val="bottom"/>
          </w:tcPr>
          <w:p w14:paraId="4C47E2B3" w14:textId="77777777" w:rsidR="00B449D0" w:rsidRDefault="00175344">
            <w:pPr>
              <w:pStyle w:val="Summarytabletextrightaligned"/>
            </w:pPr>
            <w:r>
              <w:t>14.5</w:t>
            </w:r>
          </w:p>
        </w:tc>
        <w:tc>
          <w:tcPr>
            <w:tcW w:w="850" w:type="dxa"/>
            <w:vAlign w:val="bottom"/>
          </w:tcPr>
          <w:p w14:paraId="7CD0BFD2" w14:textId="649614F3" w:rsidR="00B449D0" w:rsidRDefault="00076D78">
            <w:pPr>
              <w:pStyle w:val="Summarytabletextrightaligned"/>
            </w:pPr>
            <w:r>
              <w:noBreakHyphen/>
            </w:r>
          </w:p>
        </w:tc>
        <w:tc>
          <w:tcPr>
            <w:tcW w:w="850" w:type="dxa"/>
            <w:vAlign w:val="bottom"/>
          </w:tcPr>
          <w:p w14:paraId="6F5BD079" w14:textId="02129142" w:rsidR="00B449D0" w:rsidRDefault="00076D78">
            <w:pPr>
              <w:pStyle w:val="Summarytabletextrightaligned"/>
            </w:pPr>
            <w:r>
              <w:noBreakHyphen/>
            </w:r>
          </w:p>
        </w:tc>
      </w:tr>
      <w:tr w:rsidR="00B449D0" w14:paraId="13CE9948" w14:textId="77777777" w:rsidTr="00301E48">
        <w:tc>
          <w:tcPr>
            <w:tcW w:w="3471" w:type="dxa"/>
            <w:vAlign w:val="bottom"/>
          </w:tcPr>
          <w:p w14:paraId="7C931AF3" w14:textId="77777777" w:rsidR="00B449D0" w:rsidRDefault="00175344">
            <w:pPr>
              <w:pStyle w:val="SummaryMeasureTitlewithTheme"/>
            </w:pPr>
            <w:r>
              <w:t>Nuclear‑Powered Submarine Program – security and industry growth</w:t>
            </w:r>
          </w:p>
        </w:tc>
        <w:tc>
          <w:tcPr>
            <w:tcW w:w="850" w:type="dxa"/>
            <w:vAlign w:val="bottom"/>
          </w:tcPr>
          <w:p w14:paraId="327DC720" w14:textId="534C5192" w:rsidR="00B449D0" w:rsidRDefault="00076D78">
            <w:pPr>
              <w:pStyle w:val="Summarytabletextrightaligned"/>
            </w:pPr>
            <w:r>
              <w:noBreakHyphen/>
            </w:r>
          </w:p>
        </w:tc>
        <w:tc>
          <w:tcPr>
            <w:tcW w:w="850" w:type="dxa"/>
            <w:shd w:val="clear" w:color="auto" w:fill="E6F2FF"/>
            <w:vAlign w:val="bottom"/>
          </w:tcPr>
          <w:p w14:paraId="1E4CF15E" w14:textId="4CC48D0A" w:rsidR="00B449D0" w:rsidRDefault="00076D78">
            <w:pPr>
              <w:pStyle w:val="Summarytabletextrightaligned"/>
            </w:pPr>
            <w:r>
              <w:noBreakHyphen/>
            </w:r>
          </w:p>
        </w:tc>
        <w:tc>
          <w:tcPr>
            <w:tcW w:w="850" w:type="dxa"/>
            <w:vAlign w:val="bottom"/>
          </w:tcPr>
          <w:p w14:paraId="08D4555B" w14:textId="77777777" w:rsidR="00B449D0" w:rsidRDefault="00175344">
            <w:pPr>
              <w:pStyle w:val="Summarytabletextrightaligned"/>
            </w:pPr>
            <w:r>
              <w:t>5.5</w:t>
            </w:r>
          </w:p>
        </w:tc>
        <w:tc>
          <w:tcPr>
            <w:tcW w:w="850" w:type="dxa"/>
            <w:vAlign w:val="bottom"/>
          </w:tcPr>
          <w:p w14:paraId="54DB2BFF" w14:textId="2530A68E" w:rsidR="00B449D0" w:rsidRDefault="00076D78">
            <w:pPr>
              <w:pStyle w:val="Summarytabletextrightaligned"/>
            </w:pPr>
            <w:r>
              <w:noBreakHyphen/>
            </w:r>
          </w:p>
        </w:tc>
        <w:tc>
          <w:tcPr>
            <w:tcW w:w="850" w:type="dxa"/>
            <w:vAlign w:val="bottom"/>
          </w:tcPr>
          <w:p w14:paraId="7733A85B" w14:textId="7BB701F8" w:rsidR="00B449D0" w:rsidRDefault="00076D78">
            <w:pPr>
              <w:pStyle w:val="Summarytabletextrightaligned"/>
            </w:pPr>
            <w:r>
              <w:noBreakHyphen/>
            </w:r>
          </w:p>
        </w:tc>
      </w:tr>
      <w:tr w:rsidR="00B449D0" w14:paraId="46E23840" w14:textId="77777777" w:rsidTr="00301E48">
        <w:tc>
          <w:tcPr>
            <w:tcW w:w="3471" w:type="dxa"/>
            <w:vAlign w:val="bottom"/>
          </w:tcPr>
          <w:p w14:paraId="77DB1A1F" w14:textId="77777777" w:rsidR="00B449D0" w:rsidRDefault="00175344">
            <w:pPr>
              <w:pStyle w:val="SummaryMeasureTitlewithTheme"/>
            </w:pPr>
            <w:r>
              <w:t>Pacific Policing Initiative – Centres of Excellence</w:t>
            </w:r>
          </w:p>
        </w:tc>
        <w:tc>
          <w:tcPr>
            <w:tcW w:w="850" w:type="dxa"/>
            <w:vAlign w:val="bottom"/>
          </w:tcPr>
          <w:p w14:paraId="2B861598" w14:textId="6BC962A1" w:rsidR="00B449D0" w:rsidRDefault="00076D78">
            <w:pPr>
              <w:pStyle w:val="Summarytabletextrightaligned"/>
            </w:pPr>
            <w:r>
              <w:noBreakHyphen/>
            </w:r>
          </w:p>
        </w:tc>
        <w:tc>
          <w:tcPr>
            <w:tcW w:w="850" w:type="dxa"/>
            <w:shd w:val="clear" w:color="auto" w:fill="E6F2FF"/>
            <w:vAlign w:val="bottom"/>
          </w:tcPr>
          <w:p w14:paraId="51F72549" w14:textId="6221C091" w:rsidR="00B449D0" w:rsidRDefault="00076D78">
            <w:pPr>
              <w:pStyle w:val="Summarytabletextrightaligned"/>
            </w:pPr>
            <w:r>
              <w:noBreakHyphen/>
            </w:r>
          </w:p>
        </w:tc>
        <w:tc>
          <w:tcPr>
            <w:tcW w:w="850" w:type="dxa"/>
            <w:vAlign w:val="bottom"/>
          </w:tcPr>
          <w:p w14:paraId="115E3CC9" w14:textId="53381779" w:rsidR="00B449D0" w:rsidRDefault="00076D78">
            <w:pPr>
              <w:pStyle w:val="Summarytabletextrightaligned"/>
            </w:pPr>
            <w:r>
              <w:noBreakHyphen/>
            </w:r>
          </w:p>
        </w:tc>
        <w:tc>
          <w:tcPr>
            <w:tcW w:w="850" w:type="dxa"/>
            <w:vAlign w:val="bottom"/>
          </w:tcPr>
          <w:p w14:paraId="674EA7A2" w14:textId="796B6DFE" w:rsidR="00B449D0" w:rsidRDefault="00076D78">
            <w:pPr>
              <w:pStyle w:val="Summarytabletextrightaligned"/>
            </w:pPr>
            <w:r>
              <w:noBreakHyphen/>
            </w:r>
          </w:p>
        </w:tc>
        <w:tc>
          <w:tcPr>
            <w:tcW w:w="850" w:type="dxa"/>
            <w:vAlign w:val="bottom"/>
          </w:tcPr>
          <w:p w14:paraId="4F81F008" w14:textId="064B3CC3" w:rsidR="00B449D0" w:rsidRDefault="00076D78">
            <w:pPr>
              <w:pStyle w:val="Summarytabletextrightaligned"/>
            </w:pPr>
            <w:r>
              <w:noBreakHyphen/>
            </w:r>
          </w:p>
        </w:tc>
      </w:tr>
      <w:tr w:rsidR="00B449D0" w14:paraId="60B26A0E" w14:textId="77777777" w:rsidTr="00301E48">
        <w:tc>
          <w:tcPr>
            <w:tcW w:w="3471" w:type="dxa"/>
            <w:vAlign w:val="bottom"/>
          </w:tcPr>
          <w:p w14:paraId="6F94C4D1" w14:textId="42F6B711" w:rsidR="00B449D0" w:rsidRDefault="00175344">
            <w:pPr>
              <w:pStyle w:val="SummaryMeasureTitlewithTheme"/>
            </w:pPr>
            <w:r>
              <w:t>Strengthening Australia</w:t>
            </w:r>
            <w:r w:rsidR="00076D78">
              <w:t>’</w:t>
            </w:r>
            <w:r>
              <w:t>s Arrangements for High Risk Terrorist Offenders – continuation</w:t>
            </w:r>
          </w:p>
        </w:tc>
        <w:tc>
          <w:tcPr>
            <w:tcW w:w="850" w:type="dxa"/>
            <w:vAlign w:val="bottom"/>
          </w:tcPr>
          <w:p w14:paraId="394F7066" w14:textId="7271F054" w:rsidR="00B449D0" w:rsidRDefault="00076D78">
            <w:pPr>
              <w:pStyle w:val="Summarytabletextrightaligned"/>
            </w:pPr>
            <w:r>
              <w:noBreakHyphen/>
            </w:r>
          </w:p>
        </w:tc>
        <w:tc>
          <w:tcPr>
            <w:tcW w:w="850" w:type="dxa"/>
            <w:shd w:val="clear" w:color="auto" w:fill="E6F2FF"/>
            <w:vAlign w:val="bottom"/>
          </w:tcPr>
          <w:p w14:paraId="3797D73E" w14:textId="477D481D" w:rsidR="00B449D0" w:rsidRDefault="00076D78">
            <w:pPr>
              <w:pStyle w:val="Summarytabletextrightaligned"/>
            </w:pPr>
            <w:r>
              <w:noBreakHyphen/>
            </w:r>
          </w:p>
        </w:tc>
        <w:tc>
          <w:tcPr>
            <w:tcW w:w="850" w:type="dxa"/>
            <w:vAlign w:val="bottom"/>
          </w:tcPr>
          <w:p w14:paraId="5729255C" w14:textId="77777777" w:rsidR="00B449D0" w:rsidRDefault="00175344">
            <w:pPr>
              <w:pStyle w:val="Summarytabletextrightaligned"/>
            </w:pPr>
            <w:r>
              <w:t>8.1</w:t>
            </w:r>
          </w:p>
        </w:tc>
        <w:tc>
          <w:tcPr>
            <w:tcW w:w="850" w:type="dxa"/>
            <w:vAlign w:val="bottom"/>
          </w:tcPr>
          <w:p w14:paraId="608B3155" w14:textId="54E18B55" w:rsidR="00B449D0" w:rsidRDefault="00076D78">
            <w:pPr>
              <w:pStyle w:val="Summarytabletextrightaligned"/>
            </w:pPr>
            <w:r>
              <w:noBreakHyphen/>
            </w:r>
          </w:p>
        </w:tc>
        <w:tc>
          <w:tcPr>
            <w:tcW w:w="850" w:type="dxa"/>
            <w:vAlign w:val="bottom"/>
          </w:tcPr>
          <w:p w14:paraId="56F06DD5" w14:textId="1D3667FA" w:rsidR="00B449D0" w:rsidRDefault="00076D78">
            <w:pPr>
              <w:pStyle w:val="Summarytabletextrightaligned"/>
            </w:pPr>
            <w:r>
              <w:noBreakHyphen/>
            </w:r>
          </w:p>
        </w:tc>
      </w:tr>
    </w:tbl>
    <w:p w14:paraId="678B901E" w14:textId="77777777" w:rsidR="00301E48" w:rsidRDefault="00301E48" w:rsidP="000D55F7">
      <w:pPr>
        <w:pStyle w:val="SingleParagraph0"/>
        <w:sectPr w:rsidR="00301E48" w:rsidSect="00BA0CF8">
          <w:headerReference w:type="even" r:id="rId36"/>
          <w:headerReference w:type="default" r:id="rId37"/>
          <w:footerReference w:type="even" r:id="rId38"/>
          <w:footerReference w:type="default" r:id="rId39"/>
          <w:headerReference w:type="first" r:id="rId40"/>
          <w:footerReference w:type="first" r:id="rId41"/>
          <w:pgSz w:w="11906" w:h="16838"/>
          <w:pgMar w:top="2835" w:right="2098" w:bottom="2466" w:left="2098" w:header="1814" w:footer="1814" w:gutter="0"/>
          <w:cols w:space="720"/>
          <w:docGrid w:linePitch="272"/>
        </w:sectPr>
      </w:pPr>
    </w:p>
    <w:p w14:paraId="7024B89F" w14:textId="2E5785E6" w:rsidR="00301E48" w:rsidRDefault="00301E48" w:rsidP="00301E48">
      <w:pPr>
        <w:pStyle w:val="TableHeadingcontinued"/>
      </w:pPr>
      <w:r>
        <w:lastRenderedPageBreak/>
        <w:t xml:space="preserve">Table </w:t>
      </w:r>
      <w:r w:rsidR="006E0A94">
        <w:t>A.</w:t>
      </w:r>
      <w:r>
        <w:t>2: Payment measures since the 2024–25 Budget</w:t>
      </w:r>
      <w:r>
        <w:rPr>
          <w:rFonts w:ascii="Cambria Math" w:hAnsi="Cambria Math" w:cs="Cambria Math"/>
        </w:rPr>
        <w:t>⁽</w:t>
      </w:r>
      <w:r>
        <w:rPr>
          <w:rFonts w:cs="Arial"/>
        </w:rPr>
        <w:t>ª</w:t>
      </w:r>
      <w:r>
        <w:rPr>
          <w:rFonts w:ascii="Cambria Math" w:hAnsi="Cambria Math" w:cs="Cambria Math"/>
        </w:rPr>
        <w:t>⁾</w:t>
      </w:r>
      <w:r>
        <w:t xml:space="preserve"> (continued)</w:t>
      </w:r>
    </w:p>
    <w:tbl>
      <w:tblPr>
        <w:tblOverlap w:val="never"/>
        <w:tblW w:w="7721" w:type="dxa"/>
        <w:tblBorders>
          <w:top w:val="single" w:sz="4" w:space="0" w:color="000000"/>
          <w:bottom w:val="single" w:sz="4" w:space="0" w:color="000000"/>
        </w:tblBorders>
        <w:tblLayout w:type="fixed"/>
        <w:tblCellMar>
          <w:left w:w="0" w:type="dxa"/>
          <w:right w:w="56" w:type="dxa"/>
        </w:tblCellMar>
        <w:tblLook w:val="04A0" w:firstRow="1" w:lastRow="0" w:firstColumn="1" w:lastColumn="0" w:noHBand="0" w:noVBand="1"/>
      </w:tblPr>
      <w:tblGrid>
        <w:gridCol w:w="3471"/>
        <w:gridCol w:w="850"/>
        <w:gridCol w:w="850"/>
        <w:gridCol w:w="850"/>
        <w:gridCol w:w="850"/>
        <w:gridCol w:w="850"/>
      </w:tblGrid>
      <w:tr w:rsidR="00301E48" w14:paraId="3A4C116C" w14:textId="77777777" w:rsidTr="00301E48">
        <w:tc>
          <w:tcPr>
            <w:tcW w:w="3471" w:type="dxa"/>
            <w:vAlign w:val="bottom"/>
          </w:tcPr>
          <w:p w14:paraId="4BCB90EA" w14:textId="77777777" w:rsidR="00301E48" w:rsidRDefault="00301E48" w:rsidP="00301E48"/>
        </w:tc>
        <w:tc>
          <w:tcPr>
            <w:tcW w:w="850" w:type="dxa"/>
            <w:tcBorders>
              <w:bottom w:val="nil"/>
            </w:tcBorders>
          </w:tcPr>
          <w:p w14:paraId="5B83433D" w14:textId="617D5436" w:rsidR="00301E48" w:rsidRDefault="00301E48" w:rsidP="00301E48">
            <w:pPr>
              <w:pStyle w:val="Summarytabletextrightaligned"/>
            </w:pPr>
            <w:r>
              <w:t>2023</w:t>
            </w:r>
            <w:r w:rsidR="00076D78">
              <w:noBreakHyphen/>
            </w:r>
            <w:r>
              <w:t>24</w:t>
            </w:r>
          </w:p>
        </w:tc>
        <w:tc>
          <w:tcPr>
            <w:tcW w:w="850" w:type="dxa"/>
            <w:tcBorders>
              <w:bottom w:val="nil"/>
            </w:tcBorders>
            <w:shd w:val="clear" w:color="auto" w:fill="E6F2FF"/>
          </w:tcPr>
          <w:p w14:paraId="55B75A05" w14:textId="4D778954" w:rsidR="00301E48" w:rsidRDefault="00301E48" w:rsidP="00301E48">
            <w:pPr>
              <w:pStyle w:val="Summarytabletextrightaligned"/>
            </w:pPr>
            <w:r>
              <w:t>2024</w:t>
            </w:r>
            <w:r w:rsidR="00076D78">
              <w:noBreakHyphen/>
            </w:r>
            <w:r>
              <w:t>25</w:t>
            </w:r>
          </w:p>
        </w:tc>
        <w:tc>
          <w:tcPr>
            <w:tcW w:w="850" w:type="dxa"/>
            <w:tcBorders>
              <w:bottom w:val="nil"/>
            </w:tcBorders>
          </w:tcPr>
          <w:p w14:paraId="76054A01" w14:textId="04E92ADF" w:rsidR="00301E48" w:rsidRDefault="00301E48" w:rsidP="00301E48">
            <w:pPr>
              <w:pStyle w:val="Summarytabletextrightaligned"/>
            </w:pPr>
            <w:r>
              <w:t>2025</w:t>
            </w:r>
            <w:r w:rsidR="00076D78">
              <w:noBreakHyphen/>
            </w:r>
            <w:r>
              <w:t>26</w:t>
            </w:r>
          </w:p>
        </w:tc>
        <w:tc>
          <w:tcPr>
            <w:tcW w:w="850" w:type="dxa"/>
            <w:tcBorders>
              <w:bottom w:val="nil"/>
            </w:tcBorders>
          </w:tcPr>
          <w:p w14:paraId="43F5008C" w14:textId="283A6F27" w:rsidR="00301E48" w:rsidRDefault="00301E48" w:rsidP="00301E48">
            <w:pPr>
              <w:pStyle w:val="Summarytabletextrightaligned"/>
            </w:pPr>
            <w:r>
              <w:t>2026</w:t>
            </w:r>
            <w:r w:rsidR="00076D78">
              <w:noBreakHyphen/>
            </w:r>
            <w:r>
              <w:t>27</w:t>
            </w:r>
          </w:p>
        </w:tc>
        <w:tc>
          <w:tcPr>
            <w:tcW w:w="850" w:type="dxa"/>
            <w:tcBorders>
              <w:bottom w:val="nil"/>
            </w:tcBorders>
          </w:tcPr>
          <w:p w14:paraId="2922E230" w14:textId="4068D12F" w:rsidR="00301E48" w:rsidRDefault="00301E48" w:rsidP="00301E48">
            <w:pPr>
              <w:pStyle w:val="Summarytabletextrightaligned"/>
            </w:pPr>
            <w:r>
              <w:t>2027</w:t>
            </w:r>
            <w:r w:rsidR="00076D78">
              <w:noBreakHyphen/>
            </w:r>
            <w:r>
              <w:t>28</w:t>
            </w:r>
          </w:p>
        </w:tc>
      </w:tr>
      <w:tr w:rsidR="00301E48" w14:paraId="70F9047A" w14:textId="77777777" w:rsidTr="00301E48">
        <w:tc>
          <w:tcPr>
            <w:tcW w:w="3471" w:type="dxa"/>
            <w:vAlign w:val="bottom"/>
          </w:tcPr>
          <w:p w14:paraId="134528BD" w14:textId="77777777" w:rsidR="00301E48" w:rsidRDefault="00301E48" w:rsidP="00301E48"/>
        </w:tc>
        <w:tc>
          <w:tcPr>
            <w:tcW w:w="850" w:type="dxa"/>
            <w:tcBorders>
              <w:top w:val="nil"/>
              <w:bottom w:val="single" w:sz="4" w:space="0" w:color="auto"/>
            </w:tcBorders>
            <w:shd w:val="clear" w:color="auto" w:fill="auto"/>
          </w:tcPr>
          <w:p w14:paraId="5F389F98" w14:textId="77777777" w:rsidR="00301E48" w:rsidRDefault="00301E48" w:rsidP="00301E48">
            <w:pPr>
              <w:pStyle w:val="Summarytabletextrightaligned"/>
            </w:pPr>
            <w:r>
              <w:t>$m</w:t>
            </w:r>
          </w:p>
        </w:tc>
        <w:tc>
          <w:tcPr>
            <w:tcW w:w="850" w:type="dxa"/>
            <w:tcBorders>
              <w:top w:val="nil"/>
              <w:bottom w:val="single" w:sz="4" w:space="0" w:color="auto"/>
            </w:tcBorders>
            <w:shd w:val="clear" w:color="auto" w:fill="E6F2FF"/>
          </w:tcPr>
          <w:p w14:paraId="1A4F6842" w14:textId="77777777" w:rsidR="00301E48" w:rsidRDefault="00301E48" w:rsidP="00301E48">
            <w:pPr>
              <w:pStyle w:val="Summarytabletextrightaligned"/>
            </w:pPr>
            <w:r>
              <w:t>$m</w:t>
            </w:r>
          </w:p>
        </w:tc>
        <w:tc>
          <w:tcPr>
            <w:tcW w:w="850" w:type="dxa"/>
            <w:tcBorders>
              <w:top w:val="nil"/>
              <w:bottom w:val="single" w:sz="4" w:space="0" w:color="auto"/>
            </w:tcBorders>
            <w:shd w:val="clear" w:color="auto" w:fill="auto"/>
          </w:tcPr>
          <w:p w14:paraId="735F5DE0" w14:textId="77777777" w:rsidR="00301E48" w:rsidRDefault="00301E48" w:rsidP="00301E48">
            <w:pPr>
              <w:pStyle w:val="Summarytabletextrightaligned"/>
            </w:pPr>
            <w:r>
              <w:t>$m</w:t>
            </w:r>
          </w:p>
        </w:tc>
        <w:tc>
          <w:tcPr>
            <w:tcW w:w="850" w:type="dxa"/>
            <w:tcBorders>
              <w:top w:val="nil"/>
              <w:bottom w:val="single" w:sz="4" w:space="0" w:color="auto"/>
            </w:tcBorders>
            <w:shd w:val="clear" w:color="auto" w:fill="auto"/>
          </w:tcPr>
          <w:p w14:paraId="2CA15988" w14:textId="77777777" w:rsidR="00301E48" w:rsidRDefault="00301E48" w:rsidP="00301E48">
            <w:pPr>
              <w:pStyle w:val="Summarytabletextrightaligned"/>
            </w:pPr>
            <w:r>
              <w:t>$m</w:t>
            </w:r>
          </w:p>
        </w:tc>
        <w:tc>
          <w:tcPr>
            <w:tcW w:w="850" w:type="dxa"/>
            <w:tcBorders>
              <w:top w:val="nil"/>
              <w:bottom w:val="single" w:sz="4" w:space="0" w:color="auto"/>
            </w:tcBorders>
            <w:shd w:val="clear" w:color="auto" w:fill="auto"/>
          </w:tcPr>
          <w:p w14:paraId="44F47353" w14:textId="77777777" w:rsidR="00301E48" w:rsidRDefault="00301E48" w:rsidP="00301E48">
            <w:pPr>
              <w:pStyle w:val="Summarytabletextrightaligned"/>
            </w:pPr>
            <w:r>
              <w:t>$m</w:t>
            </w:r>
          </w:p>
        </w:tc>
      </w:tr>
      <w:tr w:rsidR="00301E48" w14:paraId="78C968FD" w14:textId="77777777" w:rsidTr="00301E48">
        <w:tc>
          <w:tcPr>
            <w:tcW w:w="3471" w:type="dxa"/>
            <w:tcBorders>
              <w:bottom w:val="nil"/>
            </w:tcBorders>
            <w:vAlign w:val="bottom"/>
          </w:tcPr>
          <w:p w14:paraId="1C2DA78C" w14:textId="780505DE" w:rsidR="00301E48" w:rsidRPr="00301E48" w:rsidRDefault="00301E48" w:rsidP="00301E48">
            <w:pPr>
              <w:pStyle w:val="SummaryMeasureTitlewithTheme"/>
              <w:rPr>
                <w:b/>
              </w:rPr>
            </w:pPr>
            <w:r w:rsidRPr="00301E48">
              <w:rPr>
                <w:b/>
              </w:rPr>
              <w:t>ATTORNEY</w:t>
            </w:r>
            <w:r w:rsidR="00076D78">
              <w:rPr>
                <w:b/>
              </w:rPr>
              <w:noBreakHyphen/>
            </w:r>
            <w:r w:rsidRPr="00301E48">
              <w:rPr>
                <w:b/>
              </w:rPr>
              <w:t>GENERAL</w:t>
            </w:r>
            <w:r w:rsidR="00076D78">
              <w:rPr>
                <w:b/>
              </w:rPr>
              <w:t>’</w:t>
            </w:r>
            <w:r w:rsidRPr="00301E48">
              <w:rPr>
                <w:b/>
              </w:rPr>
              <w:t>S (continued)</w:t>
            </w:r>
          </w:p>
        </w:tc>
        <w:tc>
          <w:tcPr>
            <w:tcW w:w="850" w:type="dxa"/>
            <w:tcBorders>
              <w:top w:val="single" w:sz="4" w:space="0" w:color="auto"/>
              <w:bottom w:val="nil"/>
            </w:tcBorders>
          </w:tcPr>
          <w:p w14:paraId="1E8156A4" w14:textId="77777777" w:rsidR="00301E48" w:rsidRDefault="00301E48">
            <w:pPr>
              <w:pStyle w:val="SummaryAgencyTitle-BP2"/>
            </w:pPr>
          </w:p>
        </w:tc>
        <w:tc>
          <w:tcPr>
            <w:tcW w:w="850" w:type="dxa"/>
            <w:tcBorders>
              <w:top w:val="single" w:sz="4" w:space="0" w:color="auto"/>
              <w:bottom w:val="nil"/>
            </w:tcBorders>
            <w:shd w:val="clear" w:color="auto" w:fill="E6F2FF"/>
          </w:tcPr>
          <w:p w14:paraId="62E58E91" w14:textId="77777777" w:rsidR="00301E48" w:rsidRDefault="00301E48">
            <w:pPr>
              <w:pStyle w:val="SummaryAgencyTitle-BP2"/>
            </w:pPr>
          </w:p>
        </w:tc>
        <w:tc>
          <w:tcPr>
            <w:tcW w:w="850" w:type="dxa"/>
            <w:tcBorders>
              <w:top w:val="single" w:sz="4" w:space="0" w:color="auto"/>
              <w:bottom w:val="nil"/>
            </w:tcBorders>
          </w:tcPr>
          <w:p w14:paraId="1B9B4B56" w14:textId="77777777" w:rsidR="00301E48" w:rsidRDefault="00301E48">
            <w:pPr>
              <w:pStyle w:val="SummaryAgencyTitle-BP2"/>
            </w:pPr>
          </w:p>
        </w:tc>
        <w:tc>
          <w:tcPr>
            <w:tcW w:w="850" w:type="dxa"/>
            <w:tcBorders>
              <w:top w:val="single" w:sz="4" w:space="0" w:color="auto"/>
              <w:bottom w:val="nil"/>
            </w:tcBorders>
          </w:tcPr>
          <w:p w14:paraId="2FA5E2FB" w14:textId="77777777" w:rsidR="00301E48" w:rsidRDefault="00301E48">
            <w:pPr>
              <w:pStyle w:val="SummaryAgencyTitle-BP2"/>
            </w:pPr>
          </w:p>
        </w:tc>
        <w:tc>
          <w:tcPr>
            <w:tcW w:w="850" w:type="dxa"/>
            <w:tcBorders>
              <w:top w:val="single" w:sz="4" w:space="0" w:color="auto"/>
              <w:bottom w:val="nil"/>
            </w:tcBorders>
          </w:tcPr>
          <w:p w14:paraId="0A018EA1" w14:textId="77777777" w:rsidR="00301E48" w:rsidRDefault="00301E48">
            <w:pPr>
              <w:pStyle w:val="SummaryAgencyTitle-BP2"/>
            </w:pPr>
          </w:p>
        </w:tc>
      </w:tr>
      <w:tr w:rsidR="00B449D0" w14:paraId="6D439292" w14:textId="77777777" w:rsidTr="00301E48">
        <w:tc>
          <w:tcPr>
            <w:tcW w:w="3471" w:type="dxa"/>
            <w:tcBorders>
              <w:top w:val="nil"/>
            </w:tcBorders>
            <w:vAlign w:val="bottom"/>
          </w:tcPr>
          <w:p w14:paraId="61CD9C15" w14:textId="77777777" w:rsidR="00B449D0" w:rsidRDefault="00175344">
            <w:pPr>
              <w:pStyle w:val="SummaryAgencyTitle-BP2"/>
            </w:pPr>
            <w:r>
              <w:t>Australian Security Intelligence Organisation</w:t>
            </w:r>
          </w:p>
        </w:tc>
        <w:tc>
          <w:tcPr>
            <w:tcW w:w="850" w:type="dxa"/>
            <w:tcBorders>
              <w:top w:val="nil"/>
            </w:tcBorders>
          </w:tcPr>
          <w:p w14:paraId="27E9BA4E" w14:textId="77777777" w:rsidR="00B449D0" w:rsidRDefault="00B449D0">
            <w:pPr>
              <w:pStyle w:val="SummaryAgencyTitle-BP2"/>
            </w:pPr>
          </w:p>
        </w:tc>
        <w:tc>
          <w:tcPr>
            <w:tcW w:w="850" w:type="dxa"/>
            <w:tcBorders>
              <w:top w:val="nil"/>
            </w:tcBorders>
            <w:shd w:val="clear" w:color="auto" w:fill="E6F2FF"/>
          </w:tcPr>
          <w:p w14:paraId="4C9D12A9" w14:textId="77777777" w:rsidR="00B449D0" w:rsidRDefault="00B449D0">
            <w:pPr>
              <w:pStyle w:val="SummaryAgencyTitle-BP2"/>
            </w:pPr>
          </w:p>
        </w:tc>
        <w:tc>
          <w:tcPr>
            <w:tcW w:w="850" w:type="dxa"/>
            <w:tcBorders>
              <w:top w:val="nil"/>
            </w:tcBorders>
          </w:tcPr>
          <w:p w14:paraId="40E1AC72" w14:textId="77777777" w:rsidR="00B449D0" w:rsidRDefault="00B449D0">
            <w:pPr>
              <w:pStyle w:val="SummaryAgencyTitle-BP2"/>
            </w:pPr>
          </w:p>
        </w:tc>
        <w:tc>
          <w:tcPr>
            <w:tcW w:w="850" w:type="dxa"/>
            <w:tcBorders>
              <w:top w:val="nil"/>
            </w:tcBorders>
          </w:tcPr>
          <w:p w14:paraId="2CA15D18" w14:textId="77777777" w:rsidR="00B449D0" w:rsidRDefault="00B449D0">
            <w:pPr>
              <w:pStyle w:val="SummaryAgencyTitle-BP2"/>
            </w:pPr>
          </w:p>
        </w:tc>
        <w:tc>
          <w:tcPr>
            <w:tcW w:w="850" w:type="dxa"/>
            <w:tcBorders>
              <w:top w:val="nil"/>
            </w:tcBorders>
          </w:tcPr>
          <w:p w14:paraId="457D26BA" w14:textId="77777777" w:rsidR="00B449D0" w:rsidRDefault="00B449D0">
            <w:pPr>
              <w:pStyle w:val="SummaryAgencyTitle-BP2"/>
            </w:pPr>
          </w:p>
        </w:tc>
      </w:tr>
      <w:tr w:rsidR="00B449D0" w14:paraId="2549988B" w14:textId="77777777" w:rsidTr="00301E48">
        <w:tc>
          <w:tcPr>
            <w:tcW w:w="3471" w:type="dxa"/>
            <w:vAlign w:val="bottom"/>
          </w:tcPr>
          <w:p w14:paraId="545AE58C" w14:textId="02F5B21F" w:rsidR="00B449D0" w:rsidRDefault="00175344">
            <w:pPr>
              <w:pStyle w:val="SummaryMeasureTitlewithTheme"/>
            </w:pPr>
            <w:r>
              <w:t>Attorney‑General</w:t>
            </w:r>
            <w:r w:rsidR="00076D78">
              <w:t>’</w:t>
            </w:r>
            <w:r>
              <w:t>s Portfolio – additional resourcing</w:t>
            </w:r>
          </w:p>
        </w:tc>
        <w:tc>
          <w:tcPr>
            <w:tcW w:w="850" w:type="dxa"/>
            <w:vAlign w:val="bottom"/>
          </w:tcPr>
          <w:p w14:paraId="3E250519" w14:textId="475B62BD" w:rsidR="00B449D0" w:rsidRDefault="00076D78">
            <w:pPr>
              <w:pStyle w:val="Summarytabletextrightaligned"/>
            </w:pPr>
            <w:r>
              <w:noBreakHyphen/>
            </w:r>
          </w:p>
        </w:tc>
        <w:tc>
          <w:tcPr>
            <w:tcW w:w="850" w:type="dxa"/>
            <w:shd w:val="clear" w:color="auto" w:fill="E6F2FF"/>
            <w:vAlign w:val="bottom"/>
          </w:tcPr>
          <w:p w14:paraId="2D4176BC" w14:textId="302FFFC3" w:rsidR="00B449D0" w:rsidRDefault="00076D78">
            <w:pPr>
              <w:pStyle w:val="Summarytabletextrightaligned"/>
            </w:pPr>
            <w:r>
              <w:noBreakHyphen/>
            </w:r>
          </w:p>
        </w:tc>
        <w:tc>
          <w:tcPr>
            <w:tcW w:w="850" w:type="dxa"/>
            <w:vAlign w:val="bottom"/>
          </w:tcPr>
          <w:p w14:paraId="4374DE4B" w14:textId="77777777" w:rsidR="00B449D0" w:rsidRDefault="00175344">
            <w:pPr>
              <w:pStyle w:val="Summarytabletextrightaligned"/>
            </w:pPr>
            <w:r>
              <w:t>3.9</w:t>
            </w:r>
          </w:p>
        </w:tc>
        <w:tc>
          <w:tcPr>
            <w:tcW w:w="850" w:type="dxa"/>
            <w:vAlign w:val="bottom"/>
          </w:tcPr>
          <w:p w14:paraId="7580AE79" w14:textId="3BBD8086" w:rsidR="00B449D0" w:rsidRDefault="00076D78">
            <w:pPr>
              <w:pStyle w:val="Summarytabletextrightaligned"/>
            </w:pPr>
            <w:r>
              <w:noBreakHyphen/>
            </w:r>
          </w:p>
        </w:tc>
        <w:tc>
          <w:tcPr>
            <w:tcW w:w="850" w:type="dxa"/>
            <w:vAlign w:val="bottom"/>
          </w:tcPr>
          <w:p w14:paraId="64B23FE1" w14:textId="29612E3B" w:rsidR="00B449D0" w:rsidRDefault="00076D78">
            <w:pPr>
              <w:pStyle w:val="Summarytabletextrightaligned"/>
            </w:pPr>
            <w:r>
              <w:noBreakHyphen/>
            </w:r>
          </w:p>
        </w:tc>
      </w:tr>
      <w:tr w:rsidR="00B449D0" w14:paraId="4F54A4A3" w14:textId="77777777" w:rsidTr="00301E48">
        <w:tc>
          <w:tcPr>
            <w:tcW w:w="3471" w:type="dxa"/>
            <w:vAlign w:val="bottom"/>
          </w:tcPr>
          <w:p w14:paraId="136DE55D" w14:textId="087162FE" w:rsidR="00B449D0" w:rsidRDefault="00175344">
            <w:pPr>
              <w:pStyle w:val="SummaryMeasureTitlewithTheme"/>
            </w:pPr>
            <w:r>
              <w:t>Strengthening Australia</w:t>
            </w:r>
            <w:r w:rsidR="00076D78">
              <w:t>’</w:t>
            </w:r>
            <w:r>
              <w:t>s Arrangements for High Risk Terrorist Offenders – continuation</w:t>
            </w:r>
          </w:p>
        </w:tc>
        <w:tc>
          <w:tcPr>
            <w:tcW w:w="850" w:type="dxa"/>
            <w:vAlign w:val="bottom"/>
          </w:tcPr>
          <w:p w14:paraId="7A04E498" w14:textId="35E6D81B" w:rsidR="00B449D0" w:rsidRDefault="00076D78">
            <w:pPr>
              <w:pStyle w:val="Summarytabletextrightaligned"/>
            </w:pPr>
            <w:r>
              <w:noBreakHyphen/>
            </w:r>
          </w:p>
        </w:tc>
        <w:tc>
          <w:tcPr>
            <w:tcW w:w="850" w:type="dxa"/>
            <w:shd w:val="clear" w:color="auto" w:fill="E6F2FF"/>
            <w:vAlign w:val="bottom"/>
          </w:tcPr>
          <w:p w14:paraId="28C283D2" w14:textId="597A40ED" w:rsidR="00B449D0" w:rsidRDefault="00076D78">
            <w:pPr>
              <w:pStyle w:val="Summarytabletextrightaligned"/>
            </w:pPr>
            <w:r>
              <w:noBreakHyphen/>
            </w:r>
          </w:p>
        </w:tc>
        <w:tc>
          <w:tcPr>
            <w:tcW w:w="850" w:type="dxa"/>
            <w:vAlign w:val="bottom"/>
          </w:tcPr>
          <w:p w14:paraId="4947D8A5" w14:textId="77777777" w:rsidR="00B449D0" w:rsidRDefault="00175344">
            <w:pPr>
              <w:pStyle w:val="Summarytabletextrightaligned"/>
            </w:pPr>
            <w:r>
              <w:t>0.7</w:t>
            </w:r>
          </w:p>
        </w:tc>
        <w:tc>
          <w:tcPr>
            <w:tcW w:w="850" w:type="dxa"/>
            <w:vAlign w:val="bottom"/>
          </w:tcPr>
          <w:p w14:paraId="644F051C" w14:textId="6B655683" w:rsidR="00B449D0" w:rsidRDefault="00076D78">
            <w:pPr>
              <w:pStyle w:val="Summarytabletextrightaligned"/>
            </w:pPr>
            <w:r>
              <w:noBreakHyphen/>
            </w:r>
          </w:p>
        </w:tc>
        <w:tc>
          <w:tcPr>
            <w:tcW w:w="850" w:type="dxa"/>
            <w:vAlign w:val="bottom"/>
          </w:tcPr>
          <w:p w14:paraId="4683F4D7" w14:textId="1A258A11" w:rsidR="00B449D0" w:rsidRDefault="00076D78">
            <w:pPr>
              <w:pStyle w:val="Summarytabletextrightaligned"/>
            </w:pPr>
            <w:r>
              <w:noBreakHyphen/>
            </w:r>
          </w:p>
        </w:tc>
      </w:tr>
      <w:tr w:rsidR="00B449D0" w14:paraId="0D256DC3" w14:textId="77777777" w:rsidTr="00301E48">
        <w:tc>
          <w:tcPr>
            <w:tcW w:w="3471" w:type="dxa"/>
            <w:vAlign w:val="bottom"/>
          </w:tcPr>
          <w:p w14:paraId="7D3CD475" w14:textId="77777777" w:rsidR="00B449D0" w:rsidRDefault="00175344">
            <w:pPr>
              <w:pStyle w:val="SummaryAgencyTitle-BP2"/>
            </w:pPr>
            <w:r>
              <w:t>Federal Court of Australia</w:t>
            </w:r>
          </w:p>
        </w:tc>
        <w:tc>
          <w:tcPr>
            <w:tcW w:w="850" w:type="dxa"/>
          </w:tcPr>
          <w:p w14:paraId="21AF8524" w14:textId="77777777" w:rsidR="00B449D0" w:rsidRDefault="00B449D0">
            <w:pPr>
              <w:pStyle w:val="SummaryAgencyTitle-BP2"/>
            </w:pPr>
          </w:p>
        </w:tc>
        <w:tc>
          <w:tcPr>
            <w:tcW w:w="850" w:type="dxa"/>
            <w:shd w:val="clear" w:color="auto" w:fill="E6F2FF"/>
          </w:tcPr>
          <w:p w14:paraId="65937AA3" w14:textId="77777777" w:rsidR="00B449D0" w:rsidRDefault="00B449D0">
            <w:pPr>
              <w:pStyle w:val="SummaryAgencyTitle-BP2"/>
            </w:pPr>
          </w:p>
        </w:tc>
        <w:tc>
          <w:tcPr>
            <w:tcW w:w="850" w:type="dxa"/>
          </w:tcPr>
          <w:p w14:paraId="65D4A0C5" w14:textId="77777777" w:rsidR="00B449D0" w:rsidRDefault="00B449D0">
            <w:pPr>
              <w:pStyle w:val="SummaryAgencyTitle-BP2"/>
            </w:pPr>
          </w:p>
        </w:tc>
        <w:tc>
          <w:tcPr>
            <w:tcW w:w="850" w:type="dxa"/>
          </w:tcPr>
          <w:p w14:paraId="29289270" w14:textId="77777777" w:rsidR="00B449D0" w:rsidRDefault="00B449D0">
            <w:pPr>
              <w:pStyle w:val="SummaryAgencyTitle-BP2"/>
            </w:pPr>
          </w:p>
        </w:tc>
        <w:tc>
          <w:tcPr>
            <w:tcW w:w="850" w:type="dxa"/>
          </w:tcPr>
          <w:p w14:paraId="1486A99B" w14:textId="77777777" w:rsidR="00B449D0" w:rsidRDefault="00B449D0">
            <w:pPr>
              <w:pStyle w:val="SummaryAgencyTitle-BP2"/>
            </w:pPr>
          </w:p>
        </w:tc>
      </w:tr>
      <w:tr w:rsidR="00B449D0" w14:paraId="200452DC" w14:textId="77777777" w:rsidTr="00301E48">
        <w:tc>
          <w:tcPr>
            <w:tcW w:w="3471" w:type="dxa"/>
            <w:vAlign w:val="bottom"/>
          </w:tcPr>
          <w:p w14:paraId="6FF08C22" w14:textId="77777777" w:rsidR="00B449D0" w:rsidRDefault="00175344">
            <w:pPr>
              <w:pStyle w:val="SummaryMeasureTitlewithTheme"/>
            </w:pPr>
            <w:r>
              <w:t>Ending Gender‑Based Violence – National Cabinet</w:t>
            </w:r>
          </w:p>
        </w:tc>
        <w:tc>
          <w:tcPr>
            <w:tcW w:w="850" w:type="dxa"/>
            <w:vAlign w:val="bottom"/>
          </w:tcPr>
          <w:p w14:paraId="7A3CDA53" w14:textId="68146D73" w:rsidR="00B449D0" w:rsidRDefault="00076D78">
            <w:pPr>
              <w:pStyle w:val="Summarytabletextrightaligned"/>
            </w:pPr>
            <w:r>
              <w:noBreakHyphen/>
            </w:r>
          </w:p>
        </w:tc>
        <w:tc>
          <w:tcPr>
            <w:tcW w:w="850" w:type="dxa"/>
            <w:shd w:val="clear" w:color="auto" w:fill="E6F2FF"/>
            <w:vAlign w:val="bottom"/>
          </w:tcPr>
          <w:p w14:paraId="0B90AA9A" w14:textId="77777777" w:rsidR="00B449D0" w:rsidRDefault="00175344">
            <w:pPr>
              <w:pStyle w:val="Summarytabletextrightaligned"/>
            </w:pPr>
            <w:r>
              <w:t>0.4</w:t>
            </w:r>
          </w:p>
        </w:tc>
        <w:tc>
          <w:tcPr>
            <w:tcW w:w="850" w:type="dxa"/>
            <w:vAlign w:val="bottom"/>
          </w:tcPr>
          <w:p w14:paraId="47ED8094" w14:textId="77777777" w:rsidR="00B449D0" w:rsidRDefault="00175344">
            <w:pPr>
              <w:pStyle w:val="Summarytabletextrightaligned"/>
            </w:pPr>
            <w:r>
              <w:t>3.5</w:t>
            </w:r>
          </w:p>
        </w:tc>
        <w:tc>
          <w:tcPr>
            <w:tcW w:w="850" w:type="dxa"/>
            <w:vAlign w:val="bottom"/>
          </w:tcPr>
          <w:p w14:paraId="7D6A952A" w14:textId="77777777" w:rsidR="00B449D0" w:rsidRDefault="00175344">
            <w:pPr>
              <w:pStyle w:val="Summarytabletextrightaligned"/>
            </w:pPr>
            <w:r>
              <w:t>3.3</w:t>
            </w:r>
          </w:p>
        </w:tc>
        <w:tc>
          <w:tcPr>
            <w:tcW w:w="850" w:type="dxa"/>
            <w:vAlign w:val="bottom"/>
          </w:tcPr>
          <w:p w14:paraId="7CE95F92" w14:textId="77777777" w:rsidR="00B449D0" w:rsidRDefault="00175344">
            <w:pPr>
              <w:pStyle w:val="Summarytabletextrightaligned"/>
            </w:pPr>
            <w:r>
              <w:t>3.4</w:t>
            </w:r>
          </w:p>
        </w:tc>
      </w:tr>
      <w:tr w:rsidR="00B449D0" w14:paraId="571B9DFB" w14:textId="77777777" w:rsidTr="00301E48">
        <w:tc>
          <w:tcPr>
            <w:tcW w:w="3471" w:type="dxa"/>
            <w:vAlign w:val="bottom"/>
          </w:tcPr>
          <w:p w14:paraId="60EB8E46" w14:textId="77777777" w:rsidR="00B449D0" w:rsidRDefault="00175344">
            <w:pPr>
              <w:pStyle w:val="SummaryMeasureTitlewithTheme"/>
            </w:pPr>
            <w:r>
              <w:t>Family Law System – improving access</w:t>
            </w:r>
          </w:p>
        </w:tc>
        <w:tc>
          <w:tcPr>
            <w:tcW w:w="850" w:type="dxa"/>
            <w:vAlign w:val="bottom"/>
          </w:tcPr>
          <w:p w14:paraId="47BDF0CA" w14:textId="0E33B83C" w:rsidR="00B449D0" w:rsidRDefault="00076D78">
            <w:pPr>
              <w:pStyle w:val="Summarytabletextrightaligned"/>
            </w:pPr>
            <w:r>
              <w:noBreakHyphen/>
            </w:r>
          </w:p>
        </w:tc>
        <w:tc>
          <w:tcPr>
            <w:tcW w:w="850" w:type="dxa"/>
            <w:shd w:val="clear" w:color="auto" w:fill="E6F2FF"/>
            <w:vAlign w:val="bottom"/>
          </w:tcPr>
          <w:p w14:paraId="5CCB5BA9" w14:textId="47E5D1C6" w:rsidR="00B449D0" w:rsidRDefault="00076D78">
            <w:pPr>
              <w:pStyle w:val="Summarytabletextrightaligned"/>
            </w:pPr>
            <w:r>
              <w:noBreakHyphen/>
            </w:r>
          </w:p>
        </w:tc>
        <w:tc>
          <w:tcPr>
            <w:tcW w:w="850" w:type="dxa"/>
            <w:vAlign w:val="bottom"/>
          </w:tcPr>
          <w:p w14:paraId="008839EA" w14:textId="77777777" w:rsidR="00B449D0" w:rsidRDefault="00175344">
            <w:pPr>
              <w:pStyle w:val="Summarytabletextrightaligned"/>
            </w:pPr>
            <w:r>
              <w:t>14.7</w:t>
            </w:r>
          </w:p>
        </w:tc>
        <w:tc>
          <w:tcPr>
            <w:tcW w:w="850" w:type="dxa"/>
            <w:vAlign w:val="bottom"/>
          </w:tcPr>
          <w:p w14:paraId="05227F7B" w14:textId="77777777" w:rsidR="00B449D0" w:rsidRDefault="00175344">
            <w:pPr>
              <w:pStyle w:val="Summarytabletextrightaligned"/>
            </w:pPr>
            <w:r>
              <w:t>14.9</w:t>
            </w:r>
          </w:p>
        </w:tc>
        <w:tc>
          <w:tcPr>
            <w:tcW w:w="850" w:type="dxa"/>
            <w:vAlign w:val="bottom"/>
          </w:tcPr>
          <w:p w14:paraId="17815160" w14:textId="77777777" w:rsidR="00B449D0" w:rsidRDefault="00175344">
            <w:pPr>
              <w:pStyle w:val="Summarytabletextrightaligned"/>
            </w:pPr>
            <w:r>
              <w:t>15.0</w:t>
            </w:r>
          </w:p>
        </w:tc>
      </w:tr>
      <w:tr w:rsidR="00B449D0" w14:paraId="4D193DE1" w14:textId="77777777" w:rsidTr="00301E48">
        <w:tc>
          <w:tcPr>
            <w:tcW w:w="3471" w:type="dxa"/>
            <w:vAlign w:val="bottom"/>
          </w:tcPr>
          <w:p w14:paraId="59889967" w14:textId="77777777" w:rsidR="00B449D0" w:rsidRDefault="00175344">
            <w:pPr>
              <w:pStyle w:val="SummaryAgencyTitle-BP2"/>
            </w:pPr>
            <w:r>
              <w:t>Office of the Australian Information Commissioner</w:t>
            </w:r>
          </w:p>
        </w:tc>
        <w:tc>
          <w:tcPr>
            <w:tcW w:w="850" w:type="dxa"/>
          </w:tcPr>
          <w:p w14:paraId="6871F40F" w14:textId="77777777" w:rsidR="00B449D0" w:rsidRDefault="00B449D0">
            <w:pPr>
              <w:pStyle w:val="SummaryAgencyTitle-BP2"/>
            </w:pPr>
          </w:p>
        </w:tc>
        <w:tc>
          <w:tcPr>
            <w:tcW w:w="850" w:type="dxa"/>
            <w:shd w:val="clear" w:color="auto" w:fill="E6F2FF"/>
          </w:tcPr>
          <w:p w14:paraId="76ACD603" w14:textId="77777777" w:rsidR="00B449D0" w:rsidRDefault="00B449D0">
            <w:pPr>
              <w:pStyle w:val="SummaryAgencyTitle-BP2"/>
            </w:pPr>
          </w:p>
        </w:tc>
        <w:tc>
          <w:tcPr>
            <w:tcW w:w="850" w:type="dxa"/>
          </w:tcPr>
          <w:p w14:paraId="5F9B26E0" w14:textId="77777777" w:rsidR="00B449D0" w:rsidRDefault="00B449D0">
            <w:pPr>
              <w:pStyle w:val="SummaryAgencyTitle-BP2"/>
            </w:pPr>
          </w:p>
        </w:tc>
        <w:tc>
          <w:tcPr>
            <w:tcW w:w="850" w:type="dxa"/>
          </w:tcPr>
          <w:p w14:paraId="5E2F4DE5" w14:textId="77777777" w:rsidR="00B449D0" w:rsidRDefault="00B449D0">
            <w:pPr>
              <w:pStyle w:val="SummaryAgencyTitle-BP2"/>
            </w:pPr>
          </w:p>
        </w:tc>
        <w:tc>
          <w:tcPr>
            <w:tcW w:w="850" w:type="dxa"/>
          </w:tcPr>
          <w:p w14:paraId="57CC20F5" w14:textId="77777777" w:rsidR="00B449D0" w:rsidRDefault="00B449D0">
            <w:pPr>
              <w:pStyle w:val="SummaryAgencyTitle-BP2"/>
            </w:pPr>
          </w:p>
        </w:tc>
      </w:tr>
      <w:tr w:rsidR="00B449D0" w14:paraId="7BBB5FD1" w14:textId="77777777" w:rsidTr="00301E48">
        <w:tc>
          <w:tcPr>
            <w:tcW w:w="3471" w:type="dxa"/>
            <w:vAlign w:val="bottom"/>
          </w:tcPr>
          <w:p w14:paraId="5C67C9A3" w14:textId="7C8A2249" w:rsidR="00B449D0" w:rsidRDefault="00175344">
            <w:pPr>
              <w:pStyle w:val="SummaryMeasureTitlewithTheme"/>
            </w:pPr>
            <w:r>
              <w:t>Attorney‑General</w:t>
            </w:r>
            <w:r w:rsidR="00076D78">
              <w:t>’</w:t>
            </w:r>
            <w:r>
              <w:t>s Portfolio – additional resourcing</w:t>
            </w:r>
          </w:p>
        </w:tc>
        <w:tc>
          <w:tcPr>
            <w:tcW w:w="850" w:type="dxa"/>
            <w:vAlign w:val="bottom"/>
          </w:tcPr>
          <w:p w14:paraId="14AF5772" w14:textId="57693D9E" w:rsidR="00B449D0" w:rsidRDefault="00076D78">
            <w:pPr>
              <w:pStyle w:val="Summarytabletextrightaligned"/>
            </w:pPr>
            <w:r>
              <w:noBreakHyphen/>
            </w:r>
          </w:p>
        </w:tc>
        <w:tc>
          <w:tcPr>
            <w:tcW w:w="850" w:type="dxa"/>
            <w:shd w:val="clear" w:color="auto" w:fill="E6F2FF"/>
            <w:vAlign w:val="bottom"/>
          </w:tcPr>
          <w:p w14:paraId="25BA731A" w14:textId="77777777" w:rsidR="00B449D0" w:rsidRDefault="00175344">
            <w:pPr>
              <w:pStyle w:val="Summarytabletextrightaligned"/>
            </w:pPr>
            <w:r>
              <w:t>0.5</w:t>
            </w:r>
          </w:p>
        </w:tc>
        <w:tc>
          <w:tcPr>
            <w:tcW w:w="850" w:type="dxa"/>
            <w:vAlign w:val="bottom"/>
          </w:tcPr>
          <w:p w14:paraId="7CDE793E" w14:textId="77777777" w:rsidR="00B449D0" w:rsidRDefault="00175344">
            <w:pPr>
              <w:pStyle w:val="Summarytabletextrightaligned"/>
            </w:pPr>
            <w:r>
              <w:t>1.2</w:t>
            </w:r>
          </w:p>
        </w:tc>
        <w:tc>
          <w:tcPr>
            <w:tcW w:w="850" w:type="dxa"/>
            <w:vAlign w:val="bottom"/>
          </w:tcPr>
          <w:p w14:paraId="7DDE46B1" w14:textId="77777777" w:rsidR="00B449D0" w:rsidRDefault="00175344">
            <w:pPr>
              <w:pStyle w:val="Summarytabletextrightaligned"/>
            </w:pPr>
            <w:r>
              <w:t>1.3</w:t>
            </w:r>
          </w:p>
        </w:tc>
        <w:tc>
          <w:tcPr>
            <w:tcW w:w="850" w:type="dxa"/>
            <w:vAlign w:val="bottom"/>
          </w:tcPr>
          <w:p w14:paraId="534AE837" w14:textId="39F22720" w:rsidR="00B449D0" w:rsidRDefault="00076D78">
            <w:pPr>
              <w:pStyle w:val="Summarytabletextrightaligned"/>
            </w:pPr>
            <w:r>
              <w:noBreakHyphen/>
            </w:r>
          </w:p>
        </w:tc>
      </w:tr>
      <w:tr w:rsidR="00B449D0" w14:paraId="5CF6A748" w14:textId="77777777" w:rsidTr="00301E48">
        <w:tc>
          <w:tcPr>
            <w:tcW w:w="3471" w:type="dxa"/>
            <w:vAlign w:val="bottom"/>
          </w:tcPr>
          <w:p w14:paraId="5E57CCF6" w14:textId="77777777" w:rsidR="00B449D0" w:rsidRDefault="00175344">
            <w:pPr>
              <w:pStyle w:val="SummaryMeasureTitlewithTheme"/>
            </w:pPr>
            <w:r>
              <w:t>Social Media Age Limits</w:t>
            </w:r>
          </w:p>
        </w:tc>
        <w:tc>
          <w:tcPr>
            <w:tcW w:w="850" w:type="dxa"/>
            <w:vAlign w:val="bottom"/>
          </w:tcPr>
          <w:p w14:paraId="695ED2E8" w14:textId="6E4D32C3" w:rsidR="00B449D0" w:rsidRDefault="00076D78">
            <w:pPr>
              <w:pStyle w:val="Summarytabletextrightaligned"/>
            </w:pPr>
            <w:r>
              <w:noBreakHyphen/>
            </w:r>
          </w:p>
        </w:tc>
        <w:tc>
          <w:tcPr>
            <w:tcW w:w="850" w:type="dxa"/>
            <w:shd w:val="clear" w:color="auto" w:fill="E6F2FF"/>
            <w:vAlign w:val="bottom"/>
          </w:tcPr>
          <w:p w14:paraId="75CDEA71" w14:textId="77777777" w:rsidR="00B449D0" w:rsidRDefault="00175344">
            <w:pPr>
              <w:pStyle w:val="Summarytabletextrightaligned"/>
            </w:pPr>
            <w:r>
              <w:t>0.6</w:t>
            </w:r>
          </w:p>
        </w:tc>
        <w:tc>
          <w:tcPr>
            <w:tcW w:w="850" w:type="dxa"/>
            <w:vAlign w:val="bottom"/>
          </w:tcPr>
          <w:p w14:paraId="77A7DAEC" w14:textId="77777777" w:rsidR="00B449D0" w:rsidRDefault="00175344">
            <w:pPr>
              <w:pStyle w:val="Summarytabletextrightaligned"/>
            </w:pPr>
            <w:r>
              <w:t>2.2</w:t>
            </w:r>
          </w:p>
        </w:tc>
        <w:tc>
          <w:tcPr>
            <w:tcW w:w="850" w:type="dxa"/>
            <w:vAlign w:val="bottom"/>
          </w:tcPr>
          <w:p w14:paraId="7D8682E5" w14:textId="77777777" w:rsidR="00B449D0" w:rsidRDefault="00175344">
            <w:pPr>
              <w:pStyle w:val="Summarytabletextrightaligned"/>
            </w:pPr>
            <w:r>
              <w:t>1.1</w:t>
            </w:r>
          </w:p>
        </w:tc>
        <w:tc>
          <w:tcPr>
            <w:tcW w:w="850" w:type="dxa"/>
            <w:vAlign w:val="bottom"/>
          </w:tcPr>
          <w:p w14:paraId="2C589270" w14:textId="77777777" w:rsidR="00B449D0" w:rsidRDefault="00175344">
            <w:pPr>
              <w:pStyle w:val="Summarytabletextrightaligned"/>
            </w:pPr>
            <w:r>
              <w:t>1.1</w:t>
            </w:r>
          </w:p>
        </w:tc>
      </w:tr>
      <w:tr w:rsidR="00B449D0" w14:paraId="58D13FE2" w14:textId="77777777" w:rsidTr="00301E48">
        <w:tc>
          <w:tcPr>
            <w:tcW w:w="3471" w:type="dxa"/>
            <w:vAlign w:val="bottom"/>
          </w:tcPr>
          <w:p w14:paraId="7D7C51C4" w14:textId="77777777" w:rsidR="00B449D0" w:rsidRDefault="00175344">
            <w:pPr>
              <w:pStyle w:val="SummaryAgencyTitle-BP2"/>
            </w:pPr>
            <w:r>
              <w:t>Office of the Director of Public Prosecutions</w:t>
            </w:r>
          </w:p>
        </w:tc>
        <w:tc>
          <w:tcPr>
            <w:tcW w:w="850" w:type="dxa"/>
          </w:tcPr>
          <w:p w14:paraId="2559B987" w14:textId="77777777" w:rsidR="00B449D0" w:rsidRDefault="00B449D0">
            <w:pPr>
              <w:pStyle w:val="SummaryAgencyTitle-BP2"/>
            </w:pPr>
          </w:p>
        </w:tc>
        <w:tc>
          <w:tcPr>
            <w:tcW w:w="850" w:type="dxa"/>
            <w:shd w:val="clear" w:color="auto" w:fill="E6F2FF"/>
          </w:tcPr>
          <w:p w14:paraId="7E2F241D" w14:textId="77777777" w:rsidR="00B449D0" w:rsidRDefault="00B449D0">
            <w:pPr>
              <w:pStyle w:val="SummaryAgencyTitle-BP2"/>
            </w:pPr>
          </w:p>
        </w:tc>
        <w:tc>
          <w:tcPr>
            <w:tcW w:w="850" w:type="dxa"/>
          </w:tcPr>
          <w:p w14:paraId="718975F3" w14:textId="77777777" w:rsidR="00B449D0" w:rsidRDefault="00B449D0">
            <w:pPr>
              <w:pStyle w:val="SummaryAgencyTitle-BP2"/>
            </w:pPr>
          </w:p>
        </w:tc>
        <w:tc>
          <w:tcPr>
            <w:tcW w:w="850" w:type="dxa"/>
          </w:tcPr>
          <w:p w14:paraId="417EF093" w14:textId="77777777" w:rsidR="00B449D0" w:rsidRDefault="00B449D0">
            <w:pPr>
              <w:pStyle w:val="SummaryAgencyTitle-BP2"/>
            </w:pPr>
          </w:p>
        </w:tc>
        <w:tc>
          <w:tcPr>
            <w:tcW w:w="850" w:type="dxa"/>
          </w:tcPr>
          <w:p w14:paraId="3DE016A3" w14:textId="77777777" w:rsidR="00B449D0" w:rsidRDefault="00B449D0">
            <w:pPr>
              <w:pStyle w:val="SummaryAgencyTitle-BP2"/>
            </w:pPr>
          </w:p>
        </w:tc>
      </w:tr>
      <w:tr w:rsidR="00B449D0" w14:paraId="41308DDC" w14:textId="77777777" w:rsidTr="00301E48">
        <w:tc>
          <w:tcPr>
            <w:tcW w:w="3471" w:type="dxa"/>
            <w:vAlign w:val="bottom"/>
          </w:tcPr>
          <w:p w14:paraId="6E8CA4AE" w14:textId="21CD1B23" w:rsidR="00B449D0" w:rsidRDefault="00175344">
            <w:pPr>
              <w:pStyle w:val="SummaryMeasureTitlewithTheme"/>
            </w:pPr>
            <w:r>
              <w:t>Strengthening Australia</w:t>
            </w:r>
            <w:r w:rsidR="00076D78">
              <w:t>’</w:t>
            </w:r>
            <w:r>
              <w:t>s Arrangements for High Risk Terrorist Offenders – continuation</w:t>
            </w:r>
          </w:p>
        </w:tc>
        <w:tc>
          <w:tcPr>
            <w:tcW w:w="850" w:type="dxa"/>
            <w:vAlign w:val="bottom"/>
          </w:tcPr>
          <w:p w14:paraId="2496906A" w14:textId="21CC4C7D" w:rsidR="00B449D0" w:rsidRDefault="00076D78">
            <w:pPr>
              <w:pStyle w:val="Summarytabletextrightaligned"/>
            </w:pPr>
            <w:r>
              <w:noBreakHyphen/>
            </w:r>
          </w:p>
        </w:tc>
        <w:tc>
          <w:tcPr>
            <w:tcW w:w="850" w:type="dxa"/>
            <w:shd w:val="clear" w:color="auto" w:fill="E6F2FF"/>
            <w:vAlign w:val="bottom"/>
          </w:tcPr>
          <w:p w14:paraId="3F2EE6E2" w14:textId="367C1E12" w:rsidR="00B449D0" w:rsidRDefault="00076D78">
            <w:pPr>
              <w:pStyle w:val="Summarytabletextrightaligned"/>
            </w:pPr>
            <w:r>
              <w:noBreakHyphen/>
            </w:r>
          </w:p>
        </w:tc>
        <w:tc>
          <w:tcPr>
            <w:tcW w:w="850" w:type="dxa"/>
            <w:vAlign w:val="bottom"/>
          </w:tcPr>
          <w:p w14:paraId="055C44AC" w14:textId="77777777" w:rsidR="00B449D0" w:rsidRDefault="00175344">
            <w:pPr>
              <w:pStyle w:val="Summarytabletextrightaligned"/>
            </w:pPr>
            <w:r>
              <w:t>0.1</w:t>
            </w:r>
          </w:p>
        </w:tc>
        <w:tc>
          <w:tcPr>
            <w:tcW w:w="850" w:type="dxa"/>
            <w:vAlign w:val="bottom"/>
          </w:tcPr>
          <w:p w14:paraId="3FC3226C" w14:textId="08BB7514" w:rsidR="00B449D0" w:rsidRDefault="00076D78">
            <w:pPr>
              <w:pStyle w:val="Summarytabletextrightaligned"/>
            </w:pPr>
            <w:r>
              <w:noBreakHyphen/>
            </w:r>
          </w:p>
        </w:tc>
        <w:tc>
          <w:tcPr>
            <w:tcW w:w="850" w:type="dxa"/>
            <w:vAlign w:val="bottom"/>
          </w:tcPr>
          <w:p w14:paraId="3C0C5BF5" w14:textId="523D1626" w:rsidR="00B449D0" w:rsidRDefault="00076D78">
            <w:pPr>
              <w:pStyle w:val="Summarytabletextrightaligned"/>
            </w:pPr>
            <w:r>
              <w:noBreakHyphen/>
            </w:r>
          </w:p>
        </w:tc>
      </w:tr>
      <w:tr w:rsidR="00B449D0" w14:paraId="1EA0A876" w14:textId="77777777" w:rsidTr="00301E48">
        <w:tc>
          <w:tcPr>
            <w:tcW w:w="3471" w:type="dxa"/>
            <w:vAlign w:val="bottom"/>
          </w:tcPr>
          <w:p w14:paraId="7EBF122D" w14:textId="77777777" w:rsidR="00B449D0" w:rsidRDefault="00175344">
            <w:pPr>
              <w:pStyle w:val="SummaryMeasureTitlewithTheme"/>
            </w:pPr>
            <w:r>
              <w:t>Vaping Regulation Reform Package</w:t>
            </w:r>
          </w:p>
        </w:tc>
        <w:tc>
          <w:tcPr>
            <w:tcW w:w="850" w:type="dxa"/>
            <w:vAlign w:val="bottom"/>
          </w:tcPr>
          <w:p w14:paraId="03293FB6" w14:textId="47566980" w:rsidR="00B449D0" w:rsidRDefault="00076D78">
            <w:pPr>
              <w:pStyle w:val="Summarytabletextrightaligned"/>
            </w:pPr>
            <w:r>
              <w:noBreakHyphen/>
            </w:r>
          </w:p>
        </w:tc>
        <w:tc>
          <w:tcPr>
            <w:tcW w:w="850" w:type="dxa"/>
            <w:shd w:val="clear" w:color="auto" w:fill="E6F2FF"/>
            <w:vAlign w:val="bottom"/>
          </w:tcPr>
          <w:p w14:paraId="607DEA3A" w14:textId="5CC00EF9" w:rsidR="00B449D0" w:rsidRDefault="00076D78">
            <w:pPr>
              <w:pStyle w:val="Summarytabletextrightaligned"/>
            </w:pPr>
            <w:r>
              <w:noBreakHyphen/>
            </w:r>
          </w:p>
        </w:tc>
        <w:tc>
          <w:tcPr>
            <w:tcW w:w="850" w:type="dxa"/>
            <w:vAlign w:val="bottom"/>
          </w:tcPr>
          <w:p w14:paraId="598FAD5B" w14:textId="77777777" w:rsidR="00B449D0" w:rsidRDefault="00175344">
            <w:pPr>
              <w:pStyle w:val="Summarytabletextrightaligned"/>
            </w:pPr>
            <w:r>
              <w:t>1.1</w:t>
            </w:r>
          </w:p>
        </w:tc>
        <w:tc>
          <w:tcPr>
            <w:tcW w:w="850" w:type="dxa"/>
            <w:vAlign w:val="bottom"/>
          </w:tcPr>
          <w:p w14:paraId="77FA5751" w14:textId="77777777" w:rsidR="00B449D0" w:rsidRDefault="00175344">
            <w:pPr>
              <w:pStyle w:val="Summarytabletextrightaligned"/>
            </w:pPr>
            <w:r>
              <w:t>1.4</w:t>
            </w:r>
          </w:p>
        </w:tc>
        <w:tc>
          <w:tcPr>
            <w:tcW w:w="850" w:type="dxa"/>
            <w:vAlign w:val="bottom"/>
          </w:tcPr>
          <w:p w14:paraId="59F4C7C5" w14:textId="0109EE9E" w:rsidR="00B449D0" w:rsidRDefault="00076D78">
            <w:pPr>
              <w:pStyle w:val="Summarytabletextrightaligned"/>
            </w:pPr>
            <w:r>
              <w:noBreakHyphen/>
            </w:r>
          </w:p>
        </w:tc>
      </w:tr>
      <w:tr w:rsidR="00B449D0" w14:paraId="22FBBA3C" w14:textId="77777777" w:rsidTr="00301E48">
        <w:tc>
          <w:tcPr>
            <w:tcW w:w="3471" w:type="dxa"/>
            <w:vAlign w:val="bottom"/>
          </w:tcPr>
          <w:p w14:paraId="146B6CD2" w14:textId="77777777" w:rsidR="00B449D0" w:rsidRDefault="00175344">
            <w:pPr>
              <w:pStyle w:val="SummaryAgencyTitle-BP2"/>
            </w:pPr>
            <w:r>
              <w:t>Various Agencies</w:t>
            </w:r>
          </w:p>
        </w:tc>
        <w:tc>
          <w:tcPr>
            <w:tcW w:w="850" w:type="dxa"/>
          </w:tcPr>
          <w:p w14:paraId="783A5F5F" w14:textId="77777777" w:rsidR="00B449D0" w:rsidRDefault="00B449D0">
            <w:pPr>
              <w:pStyle w:val="SummaryAgencyTitle-BP2"/>
            </w:pPr>
          </w:p>
        </w:tc>
        <w:tc>
          <w:tcPr>
            <w:tcW w:w="850" w:type="dxa"/>
            <w:shd w:val="clear" w:color="auto" w:fill="E6F2FF"/>
          </w:tcPr>
          <w:p w14:paraId="7269AA5B" w14:textId="77777777" w:rsidR="00B449D0" w:rsidRDefault="00B449D0">
            <w:pPr>
              <w:pStyle w:val="SummaryAgencyTitle-BP2"/>
            </w:pPr>
          </w:p>
        </w:tc>
        <w:tc>
          <w:tcPr>
            <w:tcW w:w="850" w:type="dxa"/>
          </w:tcPr>
          <w:p w14:paraId="5AB96629" w14:textId="77777777" w:rsidR="00B449D0" w:rsidRDefault="00B449D0">
            <w:pPr>
              <w:pStyle w:val="SummaryAgencyTitle-BP2"/>
            </w:pPr>
          </w:p>
        </w:tc>
        <w:tc>
          <w:tcPr>
            <w:tcW w:w="850" w:type="dxa"/>
          </w:tcPr>
          <w:p w14:paraId="15910B8A" w14:textId="77777777" w:rsidR="00B449D0" w:rsidRDefault="00B449D0">
            <w:pPr>
              <w:pStyle w:val="SummaryAgencyTitle-BP2"/>
            </w:pPr>
          </w:p>
        </w:tc>
        <w:tc>
          <w:tcPr>
            <w:tcW w:w="850" w:type="dxa"/>
          </w:tcPr>
          <w:p w14:paraId="78745C09" w14:textId="77777777" w:rsidR="00B449D0" w:rsidRDefault="00B449D0">
            <w:pPr>
              <w:pStyle w:val="SummaryAgencyTitle-BP2"/>
            </w:pPr>
          </w:p>
        </w:tc>
      </w:tr>
      <w:tr w:rsidR="00B449D0" w14:paraId="07ED2506" w14:textId="77777777" w:rsidTr="00301E48">
        <w:tc>
          <w:tcPr>
            <w:tcW w:w="3471" w:type="dxa"/>
            <w:vAlign w:val="bottom"/>
          </w:tcPr>
          <w:p w14:paraId="2E24581B" w14:textId="37BD581E" w:rsidR="00B449D0" w:rsidRDefault="00175344">
            <w:pPr>
              <w:pStyle w:val="SummaryMeasureTitlewithTheme"/>
            </w:pPr>
            <w:r>
              <w:t>Attorney‑General</w:t>
            </w:r>
            <w:r w:rsidR="00076D78">
              <w:t>’</w:t>
            </w:r>
            <w:r>
              <w:t>s Portfolio – additional resourcing</w:t>
            </w:r>
          </w:p>
        </w:tc>
        <w:tc>
          <w:tcPr>
            <w:tcW w:w="850" w:type="dxa"/>
            <w:vAlign w:val="bottom"/>
          </w:tcPr>
          <w:p w14:paraId="4354C226" w14:textId="146689B7" w:rsidR="00B449D0" w:rsidRDefault="00076D78">
            <w:pPr>
              <w:pStyle w:val="Summarytabletextrightaligned"/>
            </w:pPr>
            <w:r>
              <w:noBreakHyphen/>
            </w:r>
          </w:p>
        </w:tc>
        <w:tc>
          <w:tcPr>
            <w:tcW w:w="850" w:type="dxa"/>
            <w:shd w:val="clear" w:color="auto" w:fill="E6F2FF"/>
            <w:vAlign w:val="bottom"/>
          </w:tcPr>
          <w:p w14:paraId="25A90A71" w14:textId="5ED3FC58" w:rsidR="00B449D0" w:rsidRDefault="00076D78">
            <w:pPr>
              <w:pStyle w:val="Summarytabletextrightaligned"/>
            </w:pPr>
            <w:r>
              <w:noBreakHyphen/>
            </w:r>
          </w:p>
        </w:tc>
        <w:tc>
          <w:tcPr>
            <w:tcW w:w="850" w:type="dxa"/>
            <w:vAlign w:val="bottom"/>
          </w:tcPr>
          <w:p w14:paraId="61025456" w14:textId="4B376F14" w:rsidR="00B449D0" w:rsidRDefault="00076D78">
            <w:pPr>
              <w:pStyle w:val="Summarytabletextrightaligned"/>
            </w:pPr>
            <w:r>
              <w:noBreakHyphen/>
            </w:r>
          </w:p>
        </w:tc>
        <w:tc>
          <w:tcPr>
            <w:tcW w:w="850" w:type="dxa"/>
            <w:vAlign w:val="bottom"/>
          </w:tcPr>
          <w:p w14:paraId="316A456E" w14:textId="14B02E6F" w:rsidR="00B449D0" w:rsidRDefault="00076D78">
            <w:pPr>
              <w:pStyle w:val="Summarytabletextrightaligned"/>
            </w:pPr>
            <w:r>
              <w:noBreakHyphen/>
            </w:r>
          </w:p>
        </w:tc>
        <w:tc>
          <w:tcPr>
            <w:tcW w:w="850" w:type="dxa"/>
            <w:vAlign w:val="bottom"/>
          </w:tcPr>
          <w:p w14:paraId="54F64CCD" w14:textId="73FA6F47" w:rsidR="00B449D0" w:rsidRDefault="00076D78">
            <w:pPr>
              <w:pStyle w:val="Summarytabletextrightaligned"/>
            </w:pPr>
            <w:r>
              <w:noBreakHyphen/>
            </w:r>
          </w:p>
        </w:tc>
      </w:tr>
      <w:tr w:rsidR="00B449D0" w14:paraId="4E17E781" w14:textId="77777777" w:rsidTr="00301E48">
        <w:tc>
          <w:tcPr>
            <w:tcW w:w="3471" w:type="dxa"/>
            <w:vAlign w:val="bottom"/>
          </w:tcPr>
          <w:p w14:paraId="2FB214C6" w14:textId="77777777" w:rsidR="00B449D0" w:rsidRDefault="00175344">
            <w:pPr>
              <w:pStyle w:val="Summarytabletextleftalignedbold"/>
            </w:pPr>
            <w:r>
              <w:t>Portfolio total</w:t>
            </w:r>
          </w:p>
        </w:tc>
        <w:tc>
          <w:tcPr>
            <w:tcW w:w="850" w:type="dxa"/>
            <w:tcBorders>
              <w:top w:val="single" w:sz="4" w:space="0" w:color="000000"/>
              <w:bottom w:val="single" w:sz="4" w:space="0" w:color="000000"/>
            </w:tcBorders>
            <w:vAlign w:val="bottom"/>
          </w:tcPr>
          <w:p w14:paraId="5DD3AF3E" w14:textId="36B5473C" w:rsidR="00B449D0" w:rsidRDefault="00076D78">
            <w:pPr>
              <w:pStyle w:val="Summarytabletextrightalignedbold"/>
            </w:pPr>
            <w:r>
              <w:noBreakHyphen/>
            </w:r>
          </w:p>
        </w:tc>
        <w:tc>
          <w:tcPr>
            <w:tcW w:w="850" w:type="dxa"/>
            <w:tcBorders>
              <w:top w:val="single" w:sz="4" w:space="0" w:color="000000"/>
              <w:bottom w:val="single" w:sz="4" w:space="0" w:color="000000"/>
            </w:tcBorders>
            <w:shd w:val="clear" w:color="auto" w:fill="E6F2FF"/>
            <w:vAlign w:val="bottom"/>
          </w:tcPr>
          <w:p w14:paraId="1CF6CA06" w14:textId="77777777" w:rsidR="00B449D0" w:rsidRDefault="00175344">
            <w:pPr>
              <w:pStyle w:val="Summarytabletextrightalignedbold"/>
            </w:pPr>
            <w:r>
              <w:t>17.2</w:t>
            </w:r>
          </w:p>
        </w:tc>
        <w:tc>
          <w:tcPr>
            <w:tcW w:w="850" w:type="dxa"/>
            <w:tcBorders>
              <w:top w:val="single" w:sz="4" w:space="0" w:color="000000"/>
              <w:bottom w:val="single" w:sz="4" w:space="0" w:color="000000"/>
            </w:tcBorders>
            <w:vAlign w:val="bottom"/>
          </w:tcPr>
          <w:p w14:paraId="42B0FC41" w14:textId="77777777" w:rsidR="00B449D0" w:rsidRDefault="00175344">
            <w:pPr>
              <w:pStyle w:val="Summarytabletextrightalignedbold"/>
            </w:pPr>
            <w:r>
              <w:t>80.3</w:t>
            </w:r>
          </w:p>
        </w:tc>
        <w:tc>
          <w:tcPr>
            <w:tcW w:w="850" w:type="dxa"/>
            <w:tcBorders>
              <w:top w:val="single" w:sz="4" w:space="0" w:color="000000"/>
              <w:bottom w:val="single" w:sz="4" w:space="0" w:color="000000"/>
            </w:tcBorders>
            <w:vAlign w:val="bottom"/>
          </w:tcPr>
          <w:p w14:paraId="1ACA2CAC" w14:textId="77777777" w:rsidR="00B449D0" w:rsidRDefault="00175344">
            <w:pPr>
              <w:pStyle w:val="Summarytabletextrightalignedbold"/>
            </w:pPr>
            <w:r>
              <w:t>36.7</w:t>
            </w:r>
          </w:p>
        </w:tc>
        <w:tc>
          <w:tcPr>
            <w:tcW w:w="850" w:type="dxa"/>
            <w:tcBorders>
              <w:top w:val="single" w:sz="4" w:space="0" w:color="000000"/>
              <w:bottom w:val="single" w:sz="4" w:space="0" w:color="000000"/>
            </w:tcBorders>
            <w:vAlign w:val="bottom"/>
          </w:tcPr>
          <w:p w14:paraId="59207AE7" w14:textId="77777777" w:rsidR="00B449D0" w:rsidRDefault="00175344">
            <w:pPr>
              <w:pStyle w:val="Summarytabletextrightalignedbold"/>
            </w:pPr>
            <w:r>
              <w:t>32.3</w:t>
            </w:r>
          </w:p>
        </w:tc>
      </w:tr>
      <w:tr w:rsidR="00B449D0" w14:paraId="7375C2CA" w14:textId="77777777" w:rsidTr="00301E48">
        <w:tc>
          <w:tcPr>
            <w:tcW w:w="3471" w:type="dxa"/>
            <w:vAlign w:val="bottom"/>
          </w:tcPr>
          <w:p w14:paraId="061915CF" w14:textId="77777777" w:rsidR="00B449D0" w:rsidRDefault="00175344">
            <w:pPr>
              <w:pStyle w:val="SummaryPortfolioTitle-BP2"/>
            </w:pPr>
            <w:r>
              <w:t>CLIMATE CHANGE, ENERGY, THE ENVIRONMENT AND WATER</w:t>
            </w:r>
          </w:p>
        </w:tc>
        <w:tc>
          <w:tcPr>
            <w:tcW w:w="850" w:type="dxa"/>
          </w:tcPr>
          <w:p w14:paraId="0B6666CA" w14:textId="77777777" w:rsidR="00B449D0" w:rsidRDefault="00B449D0">
            <w:pPr>
              <w:pStyle w:val="MeasureTableTextRightAlignedBefore6ptAfter1pt"/>
            </w:pPr>
          </w:p>
        </w:tc>
        <w:tc>
          <w:tcPr>
            <w:tcW w:w="850" w:type="dxa"/>
            <w:shd w:val="clear" w:color="auto" w:fill="E6F2FF"/>
          </w:tcPr>
          <w:p w14:paraId="72821CE2" w14:textId="77777777" w:rsidR="00B449D0" w:rsidRDefault="00B449D0">
            <w:pPr>
              <w:pStyle w:val="MeasureTableTextRightAlignedBefore6ptAfter1pt"/>
            </w:pPr>
          </w:p>
        </w:tc>
        <w:tc>
          <w:tcPr>
            <w:tcW w:w="850" w:type="dxa"/>
          </w:tcPr>
          <w:p w14:paraId="049B1193" w14:textId="77777777" w:rsidR="00B449D0" w:rsidRDefault="00B449D0">
            <w:pPr>
              <w:pStyle w:val="MeasureTableTextRightAlignedBefore6ptAfter1pt"/>
            </w:pPr>
          </w:p>
        </w:tc>
        <w:tc>
          <w:tcPr>
            <w:tcW w:w="850" w:type="dxa"/>
          </w:tcPr>
          <w:p w14:paraId="4BFDF776" w14:textId="77777777" w:rsidR="00B449D0" w:rsidRDefault="00B449D0">
            <w:pPr>
              <w:pStyle w:val="MeasureTableTextRightAlignedBefore6ptAfter1pt"/>
            </w:pPr>
          </w:p>
        </w:tc>
        <w:tc>
          <w:tcPr>
            <w:tcW w:w="850" w:type="dxa"/>
          </w:tcPr>
          <w:p w14:paraId="690B5982" w14:textId="77777777" w:rsidR="00B449D0" w:rsidRDefault="00B449D0">
            <w:pPr>
              <w:pStyle w:val="MeasureTableTextRightAlignedBefore6ptAfter1pt"/>
            </w:pPr>
          </w:p>
        </w:tc>
      </w:tr>
      <w:tr w:rsidR="00B449D0" w14:paraId="25C7486D" w14:textId="77777777" w:rsidTr="00301E48">
        <w:tc>
          <w:tcPr>
            <w:tcW w:w="3471" w:type="dxa"/>
            <w:vAlign w:val="bottom"/>
          </w:tcPr>
          <w:p w14:paraId="07BEB52D" w14:textId="77777777" w:rsidR="00B449D0" w:rsidRDefault="00175344">
            <w:pPr>
              <w:pStyle w:val="SummaryAgencyTitle-BP2"/>
            </w:pPr>
            <w:r>
              <w:t>Australian Renewable Energy Agency</w:t>
            </w:r>
          </w:p>
        </w:tc>
        <w:tc>
          <w:tcPr>
            <w:tcW w:w="850" w:type="dxa"/>
          </w:tcPr>
          <w:p w14:paraId="3A392124" w14:textId="77777777" w:rsidR="00B449D0" w:rsidRDefault="00B449D0">
            <w:pPr>
              <w:pStyle w:val="SummaryAgencyTitle-BP2"/>
            </w:pPr>
          </w:p>
        </w:tc>
        <w:tc>
          <w:tcPr>
            <w:tcW w:w="850" w:type="dxa"/>
            <w:shd w:val="clear" w:color="auto" w:fill="E6F2FF"/>
          </w:tcPr>
          <w:p w14:paraId="3CB938D8" w14:textId="77777777" w:rsidR="00B449D0" w:rsidRDefault="00B449D0">
            <w:pPr>
              <w:pStyle w:val="SummaryAgencyTitle-BP2"/>
            </w:pPr>
          </w:p>
        </w:tc>
        <w:tc>
          <w:tcPr>
            <w:tcW w:w="850" w:type="dxa"/>
          </w:tcPr>
          <w:p w14:paraId="28C69D59" w14:textId="77777777" w:rsidR="00B449D0" w:rsidRDefault="00B449D0">
            <w:pPr>
              <w:pStyle w:val="SummaryAgencyTitle-BP2"/>
            </w:pPr>
          </w:p>
        </w:tc>
        <w:tc>
          <w:tcPr>
            <w:tcW w:w="850" w:type="dxa"/>
          </w:tcPr>
          <w:p w14:paraId="668F21DE" w14:textId="77777777" w:rsidR="00B449D0" w:rsidRDefault="00B449D0">
            <w:pPr>
              <w:pStyle w:val="SummaryAgencyTitle-BP2"/>
            </w:pPr>
          </w:p>
        </w:tc>
        <w:tc>
          <w:tcPr>
            <w:tcW w:w="850" w:type="dxa"/>
          </w:tcPr>
          <w:p w14:paraId="1C1326E1" w14:textId="77777777" w:rsidR="00B449D0" w:rsidRDefault="00B449D0">
            <w:pPr>
              <w:pStyle w:val="SummaryAgencyTitle-BP2"/>
            </w:pPr>
          </w:p>
        </w:tc>
      </w:tr>
      <w:tr w:rsidR="00B449D0" w14:paraId="5DDDF74E" w14:textId="77777777" w:rsidTr="00301E48">
        <w:tc>
          <w:tcPr>
            <w:tcW w:w="3471" w:type="dxa"/>
            <w:vAlign w:val="bottom"/>
          </w:tcPr>
          <w:p w14:paraId="69324A66" w14:textId="77777777" w:rsidR="00B449D0" w:rsidRDefault="00175344">
            <w:pPr>
              <w:pStyle w:val="SummaryMeasureTitlewithTheme"/>
            </w:pPr>
            <w:r>
              <w:t>Future Made in Australia – accelerating investment in Australian industries</w:t>
            </w:r>
          </w:p>
        </w:tc>
        <w:tc>
          <w:tcPr>
            <w:tcW w:w="850" w:type="dxa"/>
            <w:vAlign w:val="bottom"/>
          </w:tcPr>
          <w:p w14:paraId="495D0BDD" w14:textId="6F9C1CF7" w:rsidR="00B449D0" w:rsidRDefault="00076D78">
            <w:pPr>
              <w:pStyle w:val="Summarytabletextrightaligned"/>
            </w:pPr>
            <w:r>
              <w:noBreakHyphen/>
            </w:r>
          </w:p>
        </w:tc>
        <w:tc>
          <w:tcPr>
            <w:tcW w:w="850" w:type="dxa"/>
            <w:shd w:val="clear" w:color="auto" w:fill="E6F2FF"/>
            <w:vAlign w:val="bottom"/>
          </w:tcPr>
          <w:p w14:paraId="119CEAD7" w14:textId="77777777" w:rsidR="00B449D0" w:rsidRDefault="00175344">
            <w:pPr>
              <w:pStyle w:val="Summarytabletextrightaligned"/>
            </w:pPr>
            <w:r>
              <w:t>1.5</w:t>
            </w:r>
          </w:p>
        </w:tc>
        <w:tc>
          <w:tcPr>
            <w:tcW w:w="850" w:type="dxa"/>
            <w:vAlign w:val="bottom"/>
          </w:tcPr>
          <w:p w14:paraId="4BE9ED82" w14:textId="77777777" w:rsidR="00B449D0" w:rsidRDefault="00175344">
            <w:pPr>
              <w:pStyle w:val="Summarytabletextrightaligned"/>
            </w:pPr>
            <w:r>
              <w:t>2.0</w:t>
            </w:r>
          </w:p>
        </w:tc>
        <w:tc>
          <w:tcPr>
            <w:tcW w:w="850" w:type="dxa"/>
            <w:vAlign w:val="bottom"/>
          </w:tcPr>
          <w:p w14:paraId="68495EEE" w14:textId="77777777" w:rsidR="00B449D0" w:rsidRDefault="00175344">
            <w:pPr>
              <w:pStyle w:val="Summarytabletextrightaligned"/>
            </w:pPr>
            <w:r>
              <w:t>3.0</w:t>
            </w:r>
          </w:p>
        </w:tc>
        <w:tc>
          <w:tcPr>
            <w:tcW w:w="850" w:type="dxa"/>
            <w:vAlign w:val="bottom"/>
          </w:tcPr>
          <w:p w14:paraId="61CBADF8" w14:textId="77777777" w:rsidR="00B449D0" w:rsidRDefault="00175344">
            <w:pPr>
              <w:pStyle w:val="Summarytabletextrightaligned"/>
            </w:pPr>
            <w:r>
              <w:t>2.2</w:t>
            </w:r>
          </w:p>
        </w:tc>
      </w:tr>
      <w:tr w:rsidR="00B449D0" w14:paraId="785ED2F1" w14:textId="77777777" w:rsidTr="00301E48">
        <w:tc>
          <w:tcPr>
            <w:tcW w:w="3471" w:type="dxa"/>
            <w:vAlign w:val="bottom"/>
          </w:tcPr>
          <w:p w14:paraId="276560FA" w14:textId="77777777" w:rsidR="00B449D0" w:rsidRDefault="00175344">
            <w:pPr>
              <w:pStyle w:val="SummaryAgencyTitle-BP2"/>
            </w:pPr>
            <w:r>
              <w:t>Bureau of Meteorology</w:t>
            </w:r>
          </w:p>
        </w:tc>
        <w:tc>
          <w:tcPr>
            <w:tcW w:w="850" w:type="dxa"/>
          </w:tcPr>
          <w:p w14:paraId="77461109" w14:textId="77777777" w:rsidR="00B449D0" w:rsidRDefault="00B449D0">
            <w:pPr>
              <w:pStyle w:val="SummaryAgencyTitle-BP2"/>
            </w:pPr>
          </w:p>
        </w:tc>
        <w:tc>
          <w:tcPr>
            <w:tcW w:w="850" w:type="dxa"/>
            <w:shd w:val="clear" w:color="auto" w:fill="E6F2FF"/>
          </w:tcPr>
          <w:p w14:paraId="56088BA4" w14:textId="77777777" w:rsidR="00B449D0" w:rsidRDefault="00B449D0">
            <w:pPr>
              <w:pStyle w:val="SummaryAgencyTitle-BP2"/>
            </w:pPr>
          </w:p>
        </w:tc>
        <w:tc>
          <w:tcPr>
            <w:tcW w:w="850" w:type="dxa"/>
          </w:tcPr>
          <w:p w14:paraId="20E1F8B5" w14:textId="77777777" w:rsidR="00B449D0" w:rsidRDefault="00B449D0">
            <w:pPr>
              <w:pStyle w:val="SummaryAgencyTitle-BP2"/>
            </w:pPr>
          </w:p>
        </w:tc>
        <w:tc>
          <w:tcPr>
            <w:tcW w:w="850" w:type="dxa"/>
          </w:tcPr>
          <w:p w14:paraId="180F0156" w14:textId="77777777" w:rsidR="00B449D0" w:rsidRDefault="00B449D0">
            <w:pPr>
              <w:pStyle w:val="SummaryAgencyTitle-BP2"/>
            </w:pPr>
          </w:p>
        </w:tc>
        <w:tc>
          <w:tcPr>
            <w:tcW w:w="850" w:type="dxa"/>
          </w:tcPr>
          <w:p w14:paraId="12B301F5" w14:textId="77777777" w:rsidR="00B449D0" w:rsidRDefault="00B449D0">
            <w:pPr>
              <w:pStyle w:val="SummaryAgencyTitle-BP2"/>
            </w:pPr>
          </w:p>
        </w:tc>
      </w:tr>
      <w:tr w:rsidR="00B449D0" w14:paraId="1522BC0C" w14:textId="77777777" w:rsidTr="00301E48">
        <w:tc>
          <w:tcPr>
            <w:tcW w:w="3471" w:type="dxa"/>
            <w:vAlign w:val="bottom"/>
          </w:tcPr>
          <w:p w14:paraId="68CF5791" w14:textId="77777777" w:rsidR="00B449D0" w:rsidRDefault="00175344">
            <w:pPr>
              <w:pStyle w:val="SummaryMeasureTitlewithTheme"/>
            </w:pPr>
            <w:r>
              <w:t>Rewiring the Nation – recapitalisation(b)</w:t>
            </w:r>
          </w:p>
        </w:tc>
        <w:tc>
          <w:tcPr>
            <w:tcW w:w="850" w:type="dxa"/>
            <w:vAlign w:val="bottom"/>
          </w:tcPr>
          <w:p w14:paraId="755F44CB" w14:textId="2ECF585D" w:rsidR="00B449D0" w:rsidRDefault="00076D78">
            <w:pPr>
              <w:pStyle w:val="Summarytabletextrightaligned"/>
            </w:pPr>
            <w:r>
              <w:noBreakHyphen/>
            </w:r>
          </w:p>
        </w:tc>
        <w:tc>
          <w:tcPr>
            <w:tcW w:w="850" w:type="dxa"/>
            <w:shd w:val="clear" w:color="auto" w:fill="E6F2FF"/>
            <w:vAlign w:val="bottom"/>
          </w:tcPr>
          <w:p w14:paraId="62DF07E5" w14:textId="77777777" w:rsidR="00B449D0" w:rsidRDefault="00175344">
            <w:pPr>
              <w:pStyle w:val="Summarytabletextrightaligned"/>
            </w:pPr>
            <w:r>
              <w:t>0.8</w:t>
            </w:r>
          </w:p>
        </w:tc>
        <w:tc>
          <w:tcPr>
            <w:tcW w:w="850" w:type="dxa"/>
            <w:vAlign w:val="bottom"/>
          </w:tcPr>
          <w:p w14:paraId="213EC89D" w14:textId="683822CA" w:rsidR="00B449D0" w:rsidRDefault="00076D78">
            <w:pPr>
              <w:pStyle w:val="Summarytabletextrightaligned"/>
            </w:pPr>
            <w:r>
              <w:noBreakHyphen/>
            </w:r>
          </w:p>
        </w:tc>
        <w:tc>
          <w:tcPr>
            <w:tcW w:w="850" w:type="dxa"/>
            <w:vAlign w:val="bottom"/>
          </w:tcPr>
          <w:p w14:paraId="00A30282" w14:textId="06DC0AF9" w:rsidR="00B449D0" w:rsidRDefault="00076D78">
            <w:pPr>
              <w:pStyle w:val="Summarytabletextrightaligned"/>
            </w:pPr>
            <w:r>
              <w:noBreakHyphen/>
            </w:r>
          </w:p>
        </w:tc>
        <w:tc>
          <w:tcPr>
            <w:tcW w:w="850" w:type="dxa"/>
            <w:vAlign w:val="bottom"/>
          </w:tcPr>
          <w:p w14:paraId="08A3F60B" w14:textId="356F2DF0" w:rsidR="00B449D0" w:rsidRDefault="00076D78">
            <w:pPr>
              <w:pStyle w:val="Summarytabletextrightaligned"/>
            </w:pPr>
            <w:r>
              <w:noBreakHyphen/>
            </w:r>
          </w:p>
        </w:tc>
      </w:tr>
      <w:tr w:rsidR="00B449D0" w14:paraId="1CE56909" w14:textId="77777777" w:rsidTr="00301E48">
        <w:tc>
          <w:tcPr>
            <w:tcW w:w="3471" w:type="dxa"/>
            <w:vAlign w:val="bottom"/>
          </w:tcPr>
          <w:p w14:paraId="7094D23D" w14:textId="39871011" w:rsidR="00B449D0" w:rsidRDefault="00175344">
            <w:pPr>
              <w:pStyle w:val="SummaryMeasureTitlewithTheme"/>
            </w:pPr>
            <w:r>
              <w:t>Strengthening Australia</w:t>
            </w:r>
            <w:r w:rsidR="00076D78">
              <w:t>’</w:t>
            </w:r>
            <w:r>
              <w:t>s Climate Information and Reporting</w:t>
            </w:r>
          </w:p>
        </w:tc>
        <w:tc>
          <w:tcPr>
            <w:tcW w:w="850" w:type="dxa"/>
            <w:vAlign w:val="bottom"/>
          </w:tcPr>
          <w:p w14:paraId="1852675C" w14:textId="52B2A9FC" w:rsidR="00B449D0" w:rsidRDefault="00076D78">
            <w:pPr>
              <w:pStyle w:val="Summarytabletextrightaligned"/>
            </w:pPr>
            <w:r>
              <w:noBreakHyphen/>
            </w:r>
          </w:p>
        </w:tc>
        <w:tc>
          <w:tcPr>
            <w:tcW w:w="850" w:type="dxa"/>
            <w:shd w:val="clear" w:color="auto" w:fill="E6F2FF"/>
            <w:vAlign w:val="bottom"/>
          </w:tcPr>
          <w:p w14:paraId="2C53F397" w14:textId="6FC9543E" w:rsidR="00B449D0" w:rsidRDefault="00076D78">
            <w:pPr>
              <w:pStyle w:val="Summarytabletextrightaligned"/>
            </w:pPr>
            <w:r>
              <w:noBreakHyphen/>
            </w:r>
          </w:p>
        </w:tc>
        <w:tc>
          <w:tcPr>
            <w:tcW w:w="850" w:type="dxa"/>
            <w:vAlign w:val="bottom"/>
          </w:tcPr>
          <w:p w14:paraId="2BB4A00E" w14:textId="513596B4" w:rsidR="00B449D0" w:rsidRDefault="00076D78">
            <w:pPr>
              <w:pStyle w:val="Summarytabletextrightaligned"/>
            </w:pPr>
            <w:r>
              <w:noBreakHyphen/>
            </w:r>
          </w:p>
        </w:tc>
        <w:tc>
          <w:tcPr>
            <w:tcW w:w="850" w:type="dxa"/>
            <w:vAlign w:val="bottom"/>
          </w:tcPr>
          <w:p w14:paraId="4B6CF567" w14:textId="210E9AD2" w:rsidR="00B449D0" w:rsidRDefault="00076D78">
            <w:pPr>
              <w:pStyle w:val="Summarytabletextrightaligned"/>
            </w:pPr>
            <w:r>
              <w:noBreakHyphen/>
            </w:r>
          </w:p>
        </w:tc>
        <w:tc>
          <w:tcPr>
            <w:tcW w:w="850" w:type="dxa"/>
            <w:vAlign w:val="bottom"/>
          </w:tcPr>
          <w:p w14:paraId="2E0F52BA" w14:textId="2C9B048A" w:rsidR="00B449D0" w:rsidRDefault="00076D78">
            <w:pPr>
              <w:pStyle w:val="Summarytabletextrightaligned"/>
            </w:pPr>
            <w:r>
              <w:noBreakHyphen/>
            </w:r>
          </w:p>
        </w:tc>
      </w:tr>
      <w:tr w:rsidR="00B449D0" w14:paraId="5C4956D4" w14:textId="77777777" w:rsidTr="00301E48">
        <w:tc>
          <w:tcPr>
            <w:tcW w:w="3471" w:type="dxa"/>
            <w:vAlign w:val="bottom"/>
          </w:tcPr>
          <w:p w14:paraId="27FB5257" w14:textId="77777777" w:rsidR="00B449D0" w:rsidRDefault="00175344">
            <w:pPr>
              <w:pStyle w:val="SummaryAgencyTitle-BP2"/>
            </w:pPr>
            <w:r>
              <w:t>Clean Energy Finance Corporation</w:t>
            </w:r>
          </w:p>
        </w:tc>
        <w:tc>
          <w:tcPr>
            <w:tcW w:w="850" w:type="dxa"/>
          </w:tcPr>
          <w:p w14:paraId="6F92A5CD" w14:textId="77777777" w:rsidR="00B449D0" w:rsidRDefault="00B449D0">
            <w:pPr>
              <w:pStyle w:val="SummaryAgencyTitle-BP2"/>
            </w:pPr>
          </w:p>
        </w:tc>
        <w:tc>
          <w:tcPr>
            <w:tcW w:w="850" w:type="dxa"/>
            <w:shd w:val="clear" w:color="auto" w:fill="E6F2FF"/>
          </w:tcPr>
          <w:p w14:paraId="67EF8D46" w14:textId="77777777" w:rsidR="00B449D0" w:rsidRDefault="00B449D0">
            <w:pPr>
              <w:pStyle w:val="SummaryAgencyTitle-BP2"/>
            </w:pPr>
          </w:p>
        </w:tc>
        <w:tc>
          <w:tcPr>
            <w:tcW w:w="850" w:type="dxa"/>
          </w:tcPr>
          <w:p w14:paraId="6C0BB488" w14:textId="77777777" w:rsidR="00B449D0" w:rsidRDefault="00B449D0">
            <w:pPr>
              <w:pStyle w:val="SummaryAgencyTitle-BP2"/>
            </w:pPr>
          </w:p>
        </w:tc>
        <w:tc>
          <w:tcPr>
            <w:tcW w:w="850" w:type="dxa"/>
          </w:tcPr>
          <w:p w14:paraId="1819BA26" w14:textId="77777777" w:rsidR="00B449D0" w:rsidRDefault="00B449D0">
            <w:pPr>
              <w:pStyle w:val="SummaryAgencyTitle-BP2"/>
            </w:pPr>
          </w:p>
        </w:tc>
        <w:tc>
          <w:tcPr>
            <w:tcW w:w="850" w:type="dxa"/>
          </w:tcPr>
          <w:p w14:paraId="2E06F748" w14:textId="77777777" w:rsidR="00B449D0" w:rsidRDefault="00B449D0">
            <w:pPr>
              <w:pStyle w:val="SummaryAgencyTitle-BP2"/>
            </w:pPr>
          </w:p>
        </w:tc>
      </w:tr>
      <w:tr w:rsidR="00B449D0" w14:paraId="711BE893" w14:textId="77777777" w:rsidTr="00301E48">
        <w:tc>
          <w:tcPr>
            <w:tcW w:w="3471" w:type="dxa"/>
            <w:vAlign w:val="bottom"/>
          </w:tcPr>
          <w:p w14:paraId="0494DC69" w14:textId="77777777" w:rsidR="00B449D0" w:rsidRDefault="00175344">
            <w:pPr>
              <w:pStyle w:val="SummaryMeasureTitlewithTheme"/>
            </w:pPr>
            <w:r>
              <w:t>Rewiring the Nation – recapitalisation(b)</w:t>
            </w:r>
          </w:p>
        </w:tc>
        <w:tc>
          <w:tcPr>
            <w:tcW w:w="850" w:type="dxa"/>
            <w:vAlign w:val="bottom"/>
          </w:tcPr>
          <w:p w14:paraId="5DD85001" w14:textId="5FD8A1E2" w:rsidR="00B449D0" w:rsidRDefault="00076D78">
            <w:pPr>
              <w:pStyle w:val="Summarytabletextrightaligned"/>
            </w:pPr>
            <w:r>
              <w:noBreakHyphen/>
            </w:r>
          </w:p>
        </w:tc>
        <w:tc>
          <w:tcPr>
            <w:tcW w:w="850" w:type="dxa"/>
            <w:shd w:val="clear" w:color="auto" w:fill="E6F2FF"/>
            <w:vAlign w:val="bottom"/>
          </w:tcPr>
          <w:p w14:paraId="4E82287A" w14:textId="3C129305" w:rsidR="00B449D0" w:rsidRDefault="00076D78">
            <w:pPr>
              <w:pStyle w:val="Summarytabletextrightaligned"/>
            </w:pPr>
            <w:r>
              <w:noBreakHyphen/>
            </w:r>
          </w:p>
        </w:tc>
        <w:tc>
          <w:tcPr>
            <w:tcW w:w="850" w:type="dxa"/>
            <w:vAlign w:val="bottom"/>
          </w:tcPr>
          <w:p w14:paraId="7257C2A8" w14:textId="034A8ECD" w:rsidR="00B449D0" w:rsidRDefault="00076D78">
            <w:pPr>
              <w:pStyle w:val="Summarytabletextrightaligned"/>
            </w:pPr>
            <w:r>
              <w:noBreakHyphen/>
            </w:r>
          </w:p>
        </w:tc>
        <w:tc>
          <w:tcPr>
            <w:tcW w:w="850" w:type="dxa"/>
            <w:vAlign w:val="bottom"/>
          </w:tcPr>
          <w:p w14:paraId="2BD3AE47" w14:textId="7CEE07D2" w:rsidR="00B449D0" w:rsidRDefault="00076D78">
            <w:pPr>
              <w:pStyle w:val="Summarytabletextrightaligned"/>
            </w:pPr>
            <w:r>
              <w:noBreakHyphen/>
            </w:r>
          </w:p>
        </w:tc>
        <w:tc>
          <w:tcPr>
            <w:tcW w:w="850" w:type="dxa"/>
            <w:vAlign w:val="bottom"/>
          </w:tcPr>
          <w:p w14:paraId="72D1AE62" w14:textId="1ECF8E67" w:rsidR="00B449D0" w:rsidRDefault="00076D78">
            <w:pPr>
              <w:pStyle w:val="Summarytabletextrightaligned"/>
            </w:pPr>
            <w:r>
              <w:noBreakHyphen/>
            </w:r>
          </w:p>
        </w:tc>
      </w:tr>
      <w:tr w:rsidR="00B449D0" w14:paraId="43CEDA5E" w14:textId="77777777" w:rsidTr="00301E48">
        <w:tc>
          <w:tcPr>
            <w:tcW w:w="3471" w:type="dxa"/>
            <w:vAlign w:val="bottom"/>
          </w:tcPr>
          <w:p w14:paraId="56B63CB9" w14:textId="77777777" w:rsidR="00B449D0" w:rsidRDefault="00175344">
            <w:pPr>
              <w:pStyle w:val="SummaryAgencyTitle-BP2"/>
            </w:pPr>
            <w:r>
              <w:t>Clean Energy Regulator</w:t>
            </w:r>
          </w:p>
        </w:tc>
        <w:tc>
          <w:tcPr>
            <w:tcW w:w="850" w:type="dxa"/>
          </w:tcPr>
          <w:p w14:paraId="28445FA6" w14:textId="77777777" w:rsidR="00B449D0" w:rsidRDefault="00B449D0">
            <w:pPr>
              <w:pStyle w:val="SummaryAgencyTitle-BP2"/>
            </w:pPr>
          </w:p>
        </w:tc>
        <w:tc>
          <w:tcPr>
            <w:tcW w:w="850" w:type="dxa"/>
            <w:shd w:val="clear" w:color="auto" w:fill="E6F2FF"/>
          </w:tcPr>
          <w:p w14:paraId="62161FFF" w14:textId="77777777" w:rsidR="00B449D0" w:rsidRDefault="00B449D0">
            <w:pPr>
              <w:pStyle w:val="SummaryAgencyTitle-BP2"/>
            </w:pPr>
          </w:p>
        </w:tc>
        <w:tc>
          <w:tcPr>
            <w:tcW w:w="850" w:type="dxa"/>
          </w:tcPr>
          <w:p w14:paraId="05D6586D" w14:textId="77777777" w:rsidR="00B449D0" w:rsidRDefault="00B449D0">
            <w:pPr>
              <w:pStyle w:val="SummaryAgencyTitle-BP2"/>
            </w:pPr>
          </w:p>
        </w:tc>
        <w:tc>
          <w:tcPr>
            <w:tcW w:w="850" w:type="dxa"/>
          </w:tcPr>
          <w:p w14:paraId="0B0AF876" w14:textId="77777777" w:rsidR="00B449D0" w:rsidRDefault="00B449D0">
            <w:pPr>
              <w:pStyle w:val="SummaryAgencyTitle-BP2"/>
            </w:pPr>
          </w:p>
        </w:tc>
        <w:tc>
          <w:tcPr>
            <w:tcW w:w="850" w:type="dxa"/>
          </w:tcPr>
          <w:p w14:paraId="3EEA7672" w14:textId="77777777" w:rsidR="00B449D0" w:rsidRDefault="00B449D0">
            <w:pPr>
              <w:pStyle w:val="SummaryAgencyTitle-BP2"/>
            </w:pPr>
          </w:p>
        </w:tc>
      </w:tr>
      <w:tr w:rsidR="00B449D0" w14:paraId="14754849" w14:textId="77777777" w:rsidTr="00301E48">
        <w:tc>
          <w:tcPr>
            <w:tcW w:w="3471" w:type="dxa"/>
            <w:vAlign w:val="bottom"/>
          </w:tcPr>
          <w:p w14:paraId="719C11A7" w14:textId="77777777" w:rsidR="00B449D0" w:rsidRDefault="00175344">
            <w:pPr>
              <w:pStyle w:val="SummaryMeasureTitlewithTheme"/>
            </w:pPr>
            <w:r>
              <w:t>Future Made in Australia – accelerating investment in Australian industries</w:t>
            </w:r>
          </w:p>
        </w:tc>
        <w:tc>
          <w:tcPr>
            <w:tcW w:w="850" w:type="dxa"/>
            <w:vAlign w:val="bottom"/>
          </w:tcPr>
          <w:p w14:paraId="0B5E14C7" w14:textId="0281C0DF" w:rsidR="00B449D0" w:rsidRDefault="00076D78">
            <w:pPr>
              <w:pStyle w:val="Summarytabletextrightaligned"/>
            </w:pPr>
            <w:r>
              <w:noBreakHyphen/>
            </w:r>
          </w:p>
        </w:tc>
        <w:tc>
          <w:tcPr>
            <w:tcW w:w="850" w:type="dxa"/>
            <w:shd w:val="clear" w:color="auto" w:fill="E6F2FF"/>
            <w:vAlign w:val="bottom"/>
          </w:tcPr>
          <w:p w14:paraId="334FD95B" w14:textId="583BB8D4" w:rsidR="00B449D0" w:rsidRDefault="00076D78">
            <w:pPr>
              <w:pStyle w:val="Summarytabletextrightaligned"/>
            </w:pPr>
            <w:r>
              <w:noBreakHyphen/>
            </w:r>
          </w:p>
        </w:tc>
        <w:tc>
          <w:tcPr>
            <w:tcW w:w="850" w:type="dxa"/>
            <w:vAlign w:val="bottom"/>
          </w:tcPr>
          <w:p w14:paraId="19524157" w14:textId="77777777" w:rsidR="00B449D0" w:rsidRDefault="00175344">
            <w:pPr>
              <w:pStyle w:val="Summarytabletextrightaligned"/>
            </w:pPr>
            <w:r>
              <w:t>3.2</w:t>
            </w:r>
          </w:p>
        </w:tc>
        <w:tc>
          <w:tcPr>
            <w:tcW w:w="850" w:type="dxa"/>
            <w:vAlign w:val="bottom"/>
          </w:tcPr>
          <w:p w14:paraId="03A172D0" w14:textId="77777777" w:rsidR="00B449D0" w:rsidRDefault="00175344">
            <w:pPr>
              <w:pStyle w:val="Summarytabletextrightaligned"/>
            </w:pPr>
            <w:r>
              <w:t>4.5</w:t>
            </w:r>
          </w:p>
        </w:tc>
        <w:tc>
          <w:tcPr>
            <w:tcW w:w="850" w:type="dxa"/>
            <w:vAlign w:val="bottom"/>
          </w:tcPr>
          <w:p w14:paraId="63BE3E9F" w14:textId="77777777" w:rsidR="00B449D0" w:rsidRDefault="00175344">
            <w:pPr>
              <w:pStyle w:val="Summarytabletextrightaligned"/>
            </w:pPr>
            <w:r>
              <w:t>2.4</w:t>
            </w:r>
          </w:p>
        </w:tc>
      </w:tr>
      <w:tr w:rsidR="00B449D0" w14:paraId="1D013530" w14:textId="77777777" w:rsidTr="00301E48">
        <w:tc>
          <w:tcPr>
            <w:tcW w:w="3471" w:type="dxa"/>
            <w:vAlign w:val="bottom"/>
          </w:tcPr>
          <w:p w14:paraId="7262C8EC" w14:textId="77777777" w:rsidR="00B449D0" w:rsidRDefault="00175344">
            <w:pPr>
              <w:pStyle w:val="SummaryAgencyTitle-BP2"/>
            </w:pPr>
            <w:r>
              <w:t>Department of Climate Change, Energy, the Environment and Water</w:t>
            </w:r>
          </w:p>
        </w:tc>
        <w:tc>
          <w:tcPr>
            <w:tcW w:w="850" w:type="dxa"/>
          </w:tcPr>
          <w:p w14:paraId="52C2EC9C" w14:textId="77777777" w:rsidR="00B449D0" w:rsidRDefault="00B449D0">
            <w:pPr>
              <w:pStyle w:val="SummaryAgencyTitle-BP2"/>
            </w:pPr>
          </w:p>
        </w:tc>
        <w:tc>
          <w:tcPr>
            <w:tcW w:w="850" w:type="dxa"/>
            <w:shd w:val="clear" w:color="auto" w:fill="E6F2FF"/>
          </w:tcPr>
          <w:p w14:paraId="1AFC05A6" w14:textId="77777777" w:rsidR="00B449D0" w:rsidRDefault="00B449D0">
            <w:pPr>
              <w:pStyle w:val="SummaryAgencyTitle-BP2"/>
            </w:pPr>
          </w:p>
        </w:tc>
        <w:tc>
          <w:tcPr>
            <w:tcW w:w="850" w:type="dxa"/>
          </w:tcPr>
          <w:p w14:paraId="51717723" w14:textId="77777777" w:rsidR="00B449D0" w:rsidRDefault="00B449D0">
            <w:pPr>
              <w:pStyle w:val="SummaryAgencyTitle-BP2"/>
            </w:pPr>
          </w:p>
        </w:tc>
        <w:tc>
          <w:tcPr>
            <w:tcW w:w="850" w:type="dxa"/>
          </w:tcPr>
          <w:p w14:paraId="08F45EA6" w14:textId="77777777" w:rsidR="00B449D0" w:rsidRDefault="00B449D0">
            <w:pPr>
              <w:pStyle w:val="SummaryAgencyTitle-BP2"/>
            </w:pPr>
          </w:p>
        </w:tc>
        <w:tc>
          <w:tcPr>
            <w:tcW w:w="850" w:type="dxa"/>
          </w:tcPr>
          <w:p w14:paraId="21DFAD1F" w14:textId="77777777" w:rsidR="00B449D0" w:rsidRDefault="00B449D0">
            <w:pPr>
              <w:pStyle w:val="SummaryAgencyTitle-BP2"/>
            </w:pPr>
          </w:p>
        </w:tc>
      </w:tr>
      <w:tr w:rsidR="00B449D0" w14:paraId="39B3A760" w14:textId="77777777" w:rsidTr="00301E48">
        <w:tc>
          <w:tcPr>
            <w:tcW w:w="3471" w:type="dxa"/>
            <w:vAlign w:val="bottom"/>
          </w:tcPr>
          <w:p w14:paraId="52622B62" w14:textId="77777777" w:rsidR="00B449D0" w:rsidRDefault="00175344">
            <w:pPr>
              <w:pStyle w:val="SummaryMeasureTitlewithTheme"/>
            </w:pPr>
            <w:r>
              <w:t>Additional Support for Seamless</w:t>
            </w:r>
          </w:p>
        </w:tc>
        <w:tc>
          <w:tcPr>
            <w:tcW w:w="850" w:type="dxa"/>
            <w:vAlign w:val="bottom"/>
          </w:tcPr>
          <w:p w14:paraId="1B272A3E" w14:textId="44104D80" w:rsidR="00B449D0" w:rsidRDefault="00076D78">
            <w:pPr>
              <w:pStyle w:val="Summarytabletextrightaligned"/>
            </w:pPr>
            <w:r>
              <w:noBreakHyphen/>
            </w:r>
          </w:p>
        </w:tc>
        <w:tc>
          <w:tcPr>
            <w:tcW w:w="850" w:type="dxa"/>
            <w:shd w:val="clear" w:color="auto" w:fill="E6F2FF"/>
            <w:vAlign w:val="bottom"/>
          </w:tcPr>
          <w:p w14:paraId="488C459E" w14:textId="77777777" w:rsidR="00B449D0" w:rsidRDefault="00175344">
            <w:pPr>
              <w:pStyle w:val="Summarytabletextrightaligned"/>
            </w:pPr>
            <w:r>
              <w:t>0.5</w:t>
            </w:r>
          </w:p>
        </w:tc>
        <w:tc>
          <w:tcPr>
            <w:tcW w:w="850" w:type="dxa"/>
            <w:vAlign w:val="bottom"/>
          </w:tcPr>
          <w:p w14:paraId="4857A7F9" w14:textId="77777777" w:rsidR="00B449D0" w:rsidRDefault="00175344">
            <w:pPr>
              <w:pStyle w:val="Summarytabletextrightaligned"/>
            </w:pPr>
            <w:r>
              <w:t>0.5</w:t>
            </w:r>
          </w:p>
        </w:tc>
        <w:tc>
          <w:tcPr>
            <w:tcW w:w="850" w:type="dxa"/>
            <w:vAlign w:val="bottom"/>
          </w:tcPr>
          <w:p w14:paraId="65D3D2AC" w14:textId="23AEF6FC" w:rsidR="00B449D0" w:rsidRDefault="00076D78">
            <w:pPr>
              <w:pStyle w:val="Summarytabletextrightaligned"/>
            </w:pPr>
            <w:r>
              <w:noBreakHyphen/>
            </w:r>
          </w:p>
        </w:tc>
        <w:tc>
          <w:tcPr>
            <w:tcW w:w="850" w:type="dxa"/>
            <w:vAlign w:val="bottom"/>
          </w:tcPr>
          <w:p w14:paraId="0A45FAD0" w14:textId="394B5C54" w:rsidR="00B449D0" w:rsidRDefault="00076D78">
            <w:pPr>
              <w:pStyle w:val="Summarytabletextrightaligned"/>
            </w:pPr>
            <w:r>
              <w:noBreakHyphen/>
            </w:r>
          </w:p>
        </w:tc>
      </w:tr>
      <w:tr w:rsidR="00B449D0" w14:paraId="5569A625" w14:textId="77777777" w:rsidTr="00301E48">
        <w:tc>
          <w:tcPr>
            <w:tcW w:w="3471" w:type="dxa"/>
            <w:vAlign w:val="bottom"/>
          </w:tcPr>
          <w:p w14:paraId="3C28CEFD" w14:textId="77777777" w:rsidR="00B449D0" w:rsidRDefault="00175344">
            <w:pPr>
              <w:pStyle w:val="SummaryMeasureTitlewithTheme"/>
            </w:pPr>
            <w:r>
              <w:t>Enabling a Reliable and Secure Energy Transition</w:t>
            </w:r>
          </w:p>
        </w:tc>
        <w:tc>
          <w:tcPr>
            <w:tcW w:w="850" w:type="dxa"/>
            <w:vAlign w:val="bottom"/>
          </w:tcPr>
          <w:p w14:paraId="049993D5" w14:textId="7B6BB39C" w:rsidR="00B449D0" w:rsidRDefault="00076D78">
            <w:pPr>
              <w:pStyle w:val="Summarytabletextrightaligned"/>
            </w:pPr>
            <w:r>
              <w:noBreakHyphen/>
            </w:r>
          </w:p>
        </w:tc>
        <w:tc>
          <w:tcPr>
            <w:tcW w:w="850" w:type="dxa"/>
            <w:shd w:val="clear" w:color="auto" w:fill="E6F2FF"/>
            <w:vAlign w:val="bottom"/>
          </w:tcPr>
          <w:p w14:paraId="12C916A4" w14:textId="77777777" w:rsidR="00B449D0" w:rsidRDefault="00175344">
            <w:pPr>
              <w:pStyle w:val="Summarytabletextrightaligned"/>
            </w:pPr>
            <w:r>
              <w:t>31.3</w:t>
            </w:r>
          </w:p>
        </w:tc>
        <w:tc>
          <w:tcPr>
            <w:tcW w:w="850" w:type="dxa"/>
            <w:vAlign w:val="bottom"/>
          </w:tcPr>
          <w:p w14:paraId="47765743" w14:textId="77777777" w:rsidR="00B449D0" w:rsidRDefault="00175344">
            <w:pPr>
              <w:pStyle w:val="Summarytabletextrightaligned"/>
            </w:pPr>
            <w:r>
              <w:t>296.7</w:t>
            </w:r>
          </w:p>
        </w:tc>
        <w:tc>
          <w:tcPr>
            <w:tcW w:w="850" w:type="dxa"/>
            <w:vAlign w:val="bottom"/>
          </w:tcPr>
          <w:p w14:paraId="21FE7C55" w14:textId="77777777" w:rsidR="00B449D0" w:rsidRDefault="00175344">
            <w:pPr>
              <w:pStyle w:val="Summarytabletextrightaligned"/>
            </w:pPr>
            <w:r>
              <w:t>303.0</w:t>
            </w:r>
          </w:p>
        </w:tc>
        <w:tc>
          <w:tcPr>
            <w:tcW w:w="850" w:type="dxa"/>
            <w:vAlign w:val="bottom"/>
          </w:tcPr>
          <w:p w14:paraId="3AF49E4C" w14:textId="77777777" w:rsidR="00B449D0" w:rsidRDefault="00175344">
            <w:pPr>
              <w:pStyle w:val="Summarytabletextrightaligned"/>
            </w:pPr>
            <w:r>
              <w:t>132.9</w:t>
            </w:r>
          </w:p>
        </w:tc>
      </w:tr>
      <w:tr w:rsidR="00B449D0" w14:paraId="27BF6426" w14:textId="77777777" w:rsidTr="00301E48">
        <w:tc>
          <w:tcPr>
            <w:tcW w:w="3471" w:type="dxa"/>
            <w:vAlign w:val="bottom"/>
          </w:tcPr>
          <w:p w14:paraId="5117BFCB" w14:textId="77777777" w:rsidR="00B449D0" w:rsidRDefault="00175344">
            <w:pPr>
              <w:pStyle w:val="SummaryMeasureTitlewithTheme"/>
            </w:pPr>
            <w:r>
              <w:t>Expansion of the Social Housing Energy Performance Initiative</w:t>
            </w:r>
          </w:p>
        </w:tc>
        <w:tc>
          <w:tcPr>
            <w:tcW w:w="850" w:type="dxa"/>
            <w:vAlign w:val="bottom"/>
          </w:tcPr>
          <w:p w14:paraId="1725AD3C" w14:textId="5378E3D9" w:rsidR="00B449D0" w:rsidRDefault="00076D78">
            <w:pPr>
              <w:pStyle w:val="Summarytabletextrightaligned"/>
            </w:pPr>
            <w:r>
              <w:noBreakHyphen/>
            </w:r>
          </w:p>
        </w:tc>
        <w:tc>
          <w:tcPr>
            <w:tcW w:w="850" w:type="dxa"/>
            <w:shd w:val="clear" w:color="auto" w:fill="E6F2FF"/>
            <w:vAlign w:val="bottom"/>
          </w:tcPr>
          <w:p w14:paraId="1B738C26" w14:textId="5E58EAAC" w:rsidR="00B449D0" w:rsidRDefault="00076D78">
            <w:pPr>
              <w:pStyle w:val="Summarytabletextrightaligned"/>
            </w:pPr>
            <w:r>
              <w:noBreakHyphen/>
            </w:r>
          </w:p>
        </w:tc>
        <w:tc>
          <w:tcPr>
            <w:tcW w:w="850" w:type="dxa"/>
            <w:vAlign w:val="bottom"/>
          </w:tcPr>
          <w:p w14:paraId="3AD44DDE" w14:textId="77777777" w:rsidR="00B449D0" w:rsidRDefault="00175344">
            <w:pPr>
              <w:pStyle w:val="Summarytabletextrightaligned"/>
            </w:pPr>
            <w:r>
              <w:t>1.4</w:t>
            </w:r>
          </w:p>
        </w:tc>
        <w:tc>
          <w:tcPr>
            <w:tcW w:w="850" w:type="dxa"/>
            <w:vAlign w:val="bottom"/>
          </w:tcPr>
          <w:p w14:paraId="7DBC2319" w14:textId="77777777" w:rsidR="00B449D0" w:rsidRDefault="00175344">
            <w:pPr>
              <w:pStyle w:val="Summarytabletextrightaligned"/>
            </w:pPr>
            <w:r>
              <w:t>2.6</w:t>
            </w:r>
          </w:p>
        </w:tc>
        <w:tc>
          <w:tcPr>
            <w:tcW w:w="850" w:type="dxa"/>
            <w:vAlign w:val="bottom"/>
          </w:tcPr>
          <w:p w14:paraId="359B740A" w14:textId="77777777" w:rsidR="00B449D0" w:rsidRDefault="00175344">
            <w:pPr>
              <w:pStyle w:val="Summarytabletextrightaligned"/>
            </w:pPr>
            <w:r>
              <w:t>2.3</w:t>
            </w:r>
          </w:p>
        </w:tc>
      </w:tr>
      <w:tr w:rsidR="00B449D0" w14:paraId="1A592A7A" w14:textId="77777777" w:rsidTr="00301E48">
        <w:tc>
          <w:tcPr>
            <w:tcW w:w="3471" w:type="dxa"/>
            <w:vAlign w:val="bottom"/>
          </w:tcPr>
          <w:p w14:paraId="7471C857" w14:textId="77777777" w:rsidR="00B449D0" w:rsidRDefault="00175344">
            <w:pPr>
              <w:pStyle w:val="SummaryMeasureTitlewithTheme"/>
            </w:pPr>
            <w:r>
              <w:t>Future Made in Australia – accelerating investment in Australian industries</w:t>
            </w:r>
          </w:p>
        </w:tc>
        <w:tc>
          <w:tcPr>
            <w:tcW w:w="850" w:type="dxa"/>
            <w:vAlign w:val="bottom"/>
          </w:tcPr>
          <w:p w14:paraId="4C1F96D5" w14:textId="0233DEAC" w:rsidR="00B449D0" w:rsidRDefault="00076D78">
            <w:pPr>
              <w:pStyle w:val="Summarytabletextrightaligned"/>
            </w:pPr>
            <w:r>
              <w:noBreakHyphen/>
            </w:r>
          </w:p>
        </w:tc>
        <w:tc>
          <w:tcPr>
            <w:tcW w:w="850" w:type="dxa"/>
            <w:shd w:val="clear" w:color="auto" w:fill="E6F2FF"/>
            <w:vAlign w:val="bottom"/>
          </w:tcPr>
          <w:p w14:paraId="72EA5280" w14:textId="57C65AC3" w:rsidR="00B449D0" w:rsidRDefault="00076D78">
            <w:pPr>
              <w:pStyle w:val="Summarytabletextrightaligned"/>
            </w:pPr>
            <w:r>
              <w:noBreakHyphen/>
            </w:r>
            <w:r w:rsidR="00175344">
              <w:t>23.0</w:t>
            </w:r>
          </w:p>
        </w:tc>
        <w:tc>
          <w:tcPr>
            <w:tcW w:w="850" w:type="dxa"/>
            <w:vAlign w:val="bottom"/>
          </w:tcPr>
          <w:p w14:paraId="226BF2A3" w14:textId="77777777" w:rsidR="00B449D0" w:rsidRDefault="00175344">
            <w:pPr>
              <w:pStyle w:val="Summarytabletextrightaligned"/>
            </w:pPr>
            <w:r>
              <w:t>9.5</w:t>
            </w:r>
          </w:p>
        </w:tc>
        <w:tc>
          <w:tcPr>
            <w:tcW w:w="850" w:type="dxa"/>
            <w:vAlign w:val="bottom"/>
          </w:tcPr>
          <w:p w14:paraId="22480DB1" w14:textId="77777777" w:rsidR="00B449D0" w:rsidRDefault="00175344">
            <w:pPr>
              <w:pStyle w:val="Summarytabletextrightaligned"/>
            </w:pPr>
            <w:r>
              <w:t>29.9</w:t>
            </w:r>
          </w:p>
        </w:tc>
        <w:tc>
          <w:tcPr>
            <w:tcW w:w="850" w:type="dxa"/>
            <w:vAlign w:val="bottom"/>
          </w:tcPr>
          <w:p w14:paraId="4141F4CD" w14:textId="77777777" w:rsidR="00B449D0" w:rsidRDefault="00175344">
            <w:pPr>
              <w:pStyle w:val="Summarytabletextrightaligned"/>
            </w:pPr>
            <w:r>
              <w:t>25.1</w:t>
            </w:r>
          </w:p>
        </w:tc>
      </w:tr>
    </w:tbl>
    <w:p w14:paraId="69BF412A" w14:textId="77777777" w:rsidR="00301E48" w:rsidRDefault="00301E48" w:rsidP="000D55F7">
      <w:pPr>
        <w:pStyle w:val="SingleParagraph0"/>
        <w:sectPr w:rsidR="00301E48" w:rsidSect="00301E48">
          <w:pgSz w:w="11906" w:h="16838"/>
          <w:pgMar w:top="2835" w:right="2098" w:bottom="2466" w:left="2098" w:header="1814" w:footer="1814" w:gutter="0"/>
          <w:cols w:space="720"/>
          <w:docGrid w:linePitch="272"/>
        </w:sectPr>
      </w:pPr>
    </w:p>
    <w:p w14:paraId="6933E6F6" w14:textId="0EF8E04D" w:rsidR="00301E48" w:rsidRDefault="00301E48" w:rsidP="00301E48">
      <w:pPr>
        <w:pStyle w:val="TableHeadingcontinued"/>
      </w:pPr>
      <w:r>
        <w:lastRenderedPageBreak/>
        <w:t xml:space="preserve">Table </w:t>
      </w:r>
      <w:r w:rsidR="006E0A94">
        <w:t>A.</w:t>
      </w:r>
      <w:r>
        <w:t>2: Payment measures since the 2024–25 Budget</w:t>
      </w:r>
      <w:r>
        <w:rPr>
          <w:rFonts w:ascii="Cambria Math" w:hAnsi="Cambria Math" w:cs="Cambria Math"/>
        </w:rPr>
        <w:t>⁽</w:t>
      </w:r>
      <w:r>
        <w:rPr>
          <w:rFonts w:cs="Arial"/>
        </w:rPr>
        <w:t>ª</w:t>
      </w:r>
      <w:r>
        <w:rPr>
          <w:rFonts w:ascii="Cambria Math" w:hAnsi="Cambria Math" w:cs="Cambria Math"/>
        </w:rPr>
        <w:t>⁾</w:t>
      </w:r>
      <w:r>
        <w:t xml:space="preserve"> (continued)</w:t>
      </w:r>
    </w:p>
    <w:tbl>
      <w:tblPr>
        <w:tblOverlap w:val="never"/>
        <w:tblW w:w="7721" w:type="dxa"/>
        <w:tblBorders>
          <w:top w:val="single" w:sz="4" w:space="0" w:color="000000"/>
          <w:bottom w:val="single" w:sz="4" w:space="0" w:color="000000"/>
        </w:tblBorders>
        <w:tblLayout w:type="fixed"/>
        <w:tblCellMar>
          <w:left w:w="0" w:type="dxa"/>
          <w:right w:w="56" w:type="dxa"/>
        </w:tblCellMar>
        <w:tblLook w:val="04A0" w:firstRow="1" w:lastRow="0" w:firstColumn="1" w:lastColumn="0" w:noHBand="0" w:noVBand="1"/>
      </w:tblPr>
      <w:tblGrid>
        <w:gridCol w:w="3471"/>
        <w:gridCol w:w="850"/>
        <w:gridCol w:w="850"/>
        <w:gridCol w:w="850"/>
        <w:gridCol w:w="850"/>
        <w:gridCol w:w="850"/>
      </w:tblGrid>
      <w:tr w:rsidR="00301E48" w14:paraId="43B526A0" w14:textId="77777777" w:rsidTr="7F762F0D">
        <w:tc>
          <w:tcPr>
            <w:tcW w:w="3471" w:type="dxa"/>
            <w:vAlign w:val="bottom"/>
          </w:tcPr>
          <w:p w14:paraId="07304B21" w14:textId="77777777" w:rsidR="00301E48" w:rsidRDefault="00301E48" w:rsidP="00301E48"/>
        </w:tc>
        <w:tc>
          <w:tcPr>
            <w:tcW w:w="850" w:type="dxa"/>
            <w:tcBorders>
              <w:bottom w:val="nil"/>
            </w:tcBorders>
            <w:vAlign w:val="bottom"/>
          </w:tcPr>
          <w:p w14:paraId="62BEE9B5" w14:textId="3ABCE833" w:rsidR="00301E48" w:rsidRDefault="00301E48" w:rsidP="00301E48">
            <w:pPr>
              <w:pStyle w:val="Summarytabletextrightaligned"/>
            </w:pPr>
            <w:r>
              <w:t>2023</w:t>
            </w:r>
            <w:r w:rsidR="00076D78">
              <w:noBreakHyphen/>
            </w:r>
            <w:r>
              <w:t>24</w:t>
            </w:r>
          </w:p>
        </w:tc>
        <w:tc>
          <w:tcPr>
            <w:tcW w:w="850" w:type="dxa"/>
            <w:tcBorders>
              <w:bottom w:val="nil"/>
            </w:tcBorders>
            <w:shd w:val="clear" w:color="auto" w:fill="E6F2FF"/>
            <w:vAlign w:val="bottom"/>
          </w:tcPr>
          <w:p w14:paraId="5118B1D9" w14:textId="2A9E4D07" w:rsidR="00301E48" w:rsidRDefault="00301E48" w:rsidP="00301E48">
            <w:pPr>
              <w:pStyle w:val="Summarytabletextrightaligned"/>
            </w:pPr>
            <w:r>
              <w:t>2024</w:t>
            </w:r>
            <w:r w:rsidR="00076D78">
              <w:noBreakHyphen/>
            </w:r>
            <w:r>
              <w:t>25</w:t>
            </w:r>
          </w:p>
        </w:tc>
        <w:tc>
          <w:tcPr>
            <w:tcW w:w="850" w:type="dxa"/>
            <w:tcBorders>
              <w:bottom w:val="nil"/>
            </w:tcBorders>
            <w:vAlign w:val="bottom"/>
          </w:tcPr>
          <w:p w14:paraId="3B6BBDA8" w14:textId="45A398F7" w:rsidR="00301E48" w:rsidRDefault="00301E48" w:rsidP="00301E48">
            <w:pPr>
              <w:pStyle w:val="Summarytabletextrightaligned"/>
            </w:pPr>
            <w:r>
              <w:t>2025</w:t>
            </w:r>
            <w:r w:rsidR="00076D78">
              <w:noBreakHyphen/>
            </w:r>
            <w:r>
              <w:t>26</w:t>
            </w:r>
          </w:p>
        </w:tc>
        <w:tc>
          <w:tcPr>
            <w:tcW w:w="850" w:type="dxa"/>
            <w:tcBorders>
              <w:bottom w:val="nil"/>
            </w:tcBorders>
            <w:vAlign w:val="bottom"/>
          </w:tcPr>
          <w:p w14:paraId="2F57981F" w14:textId="40BB0812" w:rsidR="00301E48" w:rsidRDefault="00301E48" w:rsidP="00301E48">
            <w:pPr>
              <w:pStyle w:val="Summarytabletextrightaligned"/>
            </w:pPr>
            <w:r>
              <w:t>2026</w:t>
            </w:r>
            <w:r w:rsidR="00076D78">
              <w:noBreakHyphen/>
            </w:r>
            <w:r>
              <w:t>27</w:t>
            </w:r>
          </w:p>
        </w:tc>
        <w:tc>
          <w:tcPr>
            <w:tcW w:w="850" w:type="dxa"/>
            <w:tcBorders>
              <w:bottom w:val="nil"/>
            </w:tcBorders>
            <w:vAlign w:val="bottom"/>
          </w:tcPr>
          <w:p w14:paraId="4E7398AE" w14:textId="2021E9B4" w:rsidR="00301E48" w:rsidRDefault="00301E48" w:rsidP="00301E48">
            <w:pPr>
              <w:pStyle w:val="Summarytabletextrightaligned"/>
            </w:pPr>
            <w:r>
              <w:t>2027</w:t>
            </w:r>
            <w:r w:rsidR="00076D78">
              <w:noBreakHyphen/>
            </w:r>
            <w:r>
              <w:t>28</w:t>
            </w:r>
          </w:p>
        </w:tc>
      </w:tr>
      <w:tr w:rsidR="00301E48" w14:paraId="12046A03" w14:textId="77777777" w:rsidTr="7F762F0D">
        <w:tc>
          <w:tcPr>
            <w:tcW w:w="3471" w:type="dxa"/>
            <w:vAlign w:val="bottom"/>
          </w:tcPr>
          <w:p w14:paraId="179792AE" w14:textId="77777777" w:rsidR="00301E48" w:rsidRDefault="00301E48" w:rsidP="00301E48"/>
        </w:tc>
        <w:tc>
          <w:tcPr>
            <w:tcW w:w="850" w:type="dxa"/>
            <w:tcBorders>
              <w:top w:val="nil"/>
              <w:bottom w:val="single" w:sz="4" w:space="0" w:color="auto"/>
            </w:tcBorders>
            <w:shd w:val="clear" w:color="auto" w:fill="auto"/>
            <w:vAlign w:val="bottom"/>
          </w:tcPr>
          <w:p w14:paraId="2CE2ECC9" w14:textId="77777777" w:rsidR="00301E48" w:rsidRDefault="00301E48" w:rsidP="00301E48">
            <w:pPr>
              <w:pStyle w:val="Summarytabletextrightaligned"/>
            </w:pPr>
            <w:r>
              <w:t>$m</w:t>
            </w:r>
          </w:p>
        </w:tc>
        <w:tc>
          <w:tcPr>
            <w:tcW w:w="850" w:type="dxa"/>
            <w:tcBorders>
              <w:top w:val="nil"/>
              <w:bottom w:val="single" w:sz="4" w:space="0" w:color="auto"/>
            </w:tcBorders>
            <w:shd w:val="clear" w:color="auto" w:fill="E6F2FF"/>
            <w:vAlign w:val="bottom"/>
          </w:tcPr>
          <w:p w14:paraId="18A2B11D" w14:textId="77777777" w:rsidR="00301E48" w:rsidRDefault="00301E48" w:rsidP="00301E48">
            <w:pPr>
              <w:pStyle w:val="Summarytabletextrightaligned"/>
            </w:pPr>
            <w:r>
              <w:t>$m</w:t>
            </w:r>
          </w:p>
        </w:tc>
        <w:tc>
          <w:tcPr>
            <w:tcW w:w="850" w:type="dxa"/>
            <w:tcBorders>
              <w:top w:val="nil"/>
              <w:bottom w:val="single" w:sz="4" w:space="0" w:color="auto"/>
            </w:tcBorders>
            <w:shd w:val="clear" w:color="auto" w:fill="auto"/>
            <w:vAlign w:val="bottom"/>
          </w:tcPr>
          <w:p w14:paraId="34717410" w14:textId="77777777" w:rsidR="00301E48" w:rsidRDefault="00301E48" w:rsidP="00301E48">
            <w:pPr>
              <w:pStyle w:val="Summarytabletextrightaligned"/>
            </w:pPr>
            <w:r>
              <w:t>$m</w:t>
            </w:r>
          </w:p>
        </w:tc>
        <w:tc>
          <w:tcPr>
            <w:tcW w:w="850" w:type="dxa"/>
            <w:tcBorders>
              <w:top w:val="nil"/>
              <w:bottom w:val="single" w:sz="4" w:space="0" w:color="auto"/>
            </w:tcBorders>
            <w:shd w:val="clear" w:color="auto" w:fill="auto"/>
            <w:vAlign w:val="bottom"/>
          </w:tcPr>
          <w:p w14:paraId="7F7E4B12" w14:textId="77777777" w:rsidR="00301E48" w:rsidRDefault="00301E48" w:rsidP="00301E48">
            <w:pPr>
              <w:pStyle w:val="Summarytabletextrightaligned"/>
            </w:pPr>
            <w:r>
              <w:t>$m</w:t>
            </w:r>
          </w:p>
        </w:tc>
        <w:tc>
          <w:tcPr>
            <w:tcW w:w="850" w:type="dxa"/>
            <w:tcBorders>
              <w:top w:val="nil"/>
              <w:bottom w:val="single" w:sz="4" w:space="0" w:color="auto"/>
            </w:tcBorders>
            <w:shd w:val="clear" w:color="auto" w:fill="auto"/>
            <w:vAlign w:val="bottom"/>
          </w:tcPr>
          <w:p w14:paraId="2B12F9C3" w14:textId="77777777" w:rsidR="00301E48" w:rsidRDefault="00301E48" w:rsidP="00301E48">
            <w:pPr>
              <w:pStyle w:val="Summarytabletextrightaligned"/>
            </w:pPr>
            <w:r>
              <w:t>$m</w:t>
            </w:r>
          </w:p>
        </w:tc>
      </w:tr>
      <w:tr w:rsidR="00301E48" w14:paraId="52EE8321" w14:textId="77777777" w:rsidTr="7F762F0D">
        <w:tc>
          <w:tcPr>
            <w:tcW w:w="3471" w:type="dxa"/>
            <w:tcBorders>
              <w:bottom w:val="nil"/>
            </w:tcBorders>
            <w:vAlign w:val="bottom"/>
          </w:tcPr>
          <w:p w14:paraId="4E63A318" w14:textId="77777777" w:rsidR="00301E48" w:rsidRPr="00301E48" w:rsidRDefault="00301E48" w:rsidP="00301E48">
            <w:pPr>
              <w:pStyle w:val="SummaryMeasureTitlewithTheme"/>
              <w:rPr>
                <w:b/>
              </w:rPr>
            </w:pPr>
            <w:r w:rsidRPr="00301E48">
              <w:rPr>
                <w:b/>
              </w:rPr>
              <w:t>CLIMATE CHANGE, ENERGY, THE ENVIRONMENT AND WATER (continued)</w:t>
            </w:r>
          </w:p>
        </w:tc>
        <w:tc>
          <w:tcPr>
            <w:tcW w:w="850" w:type="dxa"/>
            <w:tcBorders>
              <w:top w:val="single" w:sz="4" w:space="0" w:color="auto"/>
              <w:bottom w:val="nil"/>
            </w:tcBorders>
            <w:vAlign w:val="bottom"/>
          </w:tcPr>
          <w:p w14:paraId="5F74BDC9" w14:textId="77777777" w:rsidR="00301E48" w:rsidRDefault="00301E48">
            <w:pPr>
              <w:pStyle w:val="Summarytabletextrightaligned"/>
            </w:pPr>
          </w:p>
        </w:tc>
        <w:tc>
          <w:tcPr>
            <w:tcW w:w="850" w:type="dxa"/>
            <w:tcBorders>
              <w:top w:val="single" w:sz="4" w:space="0" w:color="auto"/>
              <w:bottom w:val="nil"/>
            </w:tcBorders>
            <w:shd w:val="clear" w:color="auto" w:fill="E6F2FF"/>
            <w:vAlign w:val="bottom"/>
          </w:tcPr>
          <w:p w14:paraId="1CA1C1B5" w14:textId="77777777" w:rsidR="00301E48" w:rsidRDefault="00301E48">
            <w:pPr>
              <w:pStyle w:val="Summarytabletextrightaligned"/>
            </w:pPr>
          </w:p>
        </w:tc>
        <w:tc>
          <w:tcPr>
            <w:tcW w:w="850" w:type="dxa"/>
            <w:tcBorders>
              <w:top w:val="single" w:sz="4" w:space="0" w:color="auto"/>
              <w:bottom w:val="nil"/>
            </w:tcBorders>
            <w:vAlign w:val="bottom"/>
          </w:tcPr>
          <w:p w14:paraId="0490EFA2" w14:textId="77777777" w:rsidR="00301E48" w:rsidRDefault="00301E48">
            <w:pPr>
              <w:pStyle w:val="Summarytabletextrightaligned"/>
            </w:pPr>
          </w:p>
        </w:tc>
        <w:tc>
          <w:tcPr>
            <w:tcW w:w="850" w:type="dxa"/>
            <w:tcBorders>
              <w:top w:val="single" w:sz="4" w:space="0" w:color="auto"/>
              <w:bottom w:val="nil"/>
            </w:tcBorders>
            <w:vAlign w:val="bottom"/>
          </w:tcPr>
          <w:p w14:paraId="4745DA24" w14:textId="77777777" w:rsidR="00301E48" w:rsidRDefault="00301E48">
            <w:pPr>
              <w:pStyle w:val="Summarytabletextrightaligned"/>
            </w:pPr>
          </w:p>
        </w:tc>
        <w:tc>
          <w:tcPr>
            <w:tcW w:w="850" w:type="dxa"/>
            <w:tcBorders>
              <w:top w:val="single" w:sz="4" w:space="0" w:color="auto"/>
              <w:bottom w:val="nil"/>
            </w:tcBorders>
            <w:vAlign w:val="bottom"/>
          </w:tcPr>
          <w:p w14:paraId="5DCE6B12" w14:textId="77777777" w:rsidR="00301E48" w:rsidRDefault="00301E48">
            <w:pPr>
              <w:pStyle w:val="Summarytabletextrightaligned"/>
            </w:pPr>
          </w:p>
        </w:tc>
      </w:tr>
      <w:tr w:rsidR="00B449D0" w14:paraId="668B0C22" w14:textId="77777777" w:rsidTr="7F762F0D">
        <w:tc>
          <w:tcPr>
            <w:tcW w:w="3471" w:type="dxa"/>
            <w:tcBorders>
              <w:top w:val="nil"/>
            </w:tcBorders>
            <w:vAlign w:val="bottom"/>
          </w:tcPr>
          <w:p w14:paraId="232970EA" w14:textId="77777777" w:rsidR="00B449D0" w:rsidRDefault="00175344">
            <w:pPr>
              <w:pStyle w:val="SummaryMeasureTitlewithTheme"/>
            </w:pPr>
            <w:r>
              <w:t>Murray‑Darling Basin Plan – additional funding</w:t>
            </w:r>
          </w:p>
        </w:tc>
        <w:tc>
          <w:tcPr>
            <w:tcW w:w="850" w:type="dxa"/>
            <w:tcBorders>
              <w:top w:val="nil"/>
            </w:tcBorders>
            <w:vAlign w:val="bottom"/>
          </w:tcPr>
          <w:p w14:paraId="07DD9861" w14:textId="78E6AABF" w:rsidR="00B449D0" w:rsidRDefault="00076D78">
            <w:pPr>
              <w:pStyle w:val="Summarytabletextrightaligned"/>
            </w:pPr>
            <w:r>
              <w:noBreakHyphen/>
            </w:r>
          </w:p>
        </w:tc>
        <w:tc>
          <w:tcPr>
            <w:tcW w:w="850" w:type="dxa"/>
            <w:tcBorders>
              <w:top w:val="nil"/>
            </w:tcBorders>
            <w:shd w:val="clear" w:color="auto" w:fill="E6F2FF"/>
            <w:vAlign w:val="bottom"/>
          </w:tcPr>
          <w:p w14:paraId="5B2B6CC5" w14:textId="77777777" w:rsidR="00B449D0" w:rsidRDefault="00175344">
            <w:pPr>
              <w:pStyle w:val="Summarytabletextrightaligned"/>
            </w:pPr>
            <w:r w:rsidRPr="7F762F0D">
              <w:rPr>
                <w:lang w:val="en-US"/>
              </w:rPr>
              <w:t>nfp</w:t>
            </w:r>
          </w:p>
        </w:tc>
        <w:tc>
          <w:tcPr>
            <w:tcW w:w="850" w:type="dxa"/>
            <w:tcBorders>
              <w:top w:val="nil"/>
            </w:tcBorders>
            <w:vAlign w:val="bottom"/>
          </w:tcPr>
          <w:p w14:paraId="2BF8AFDD" w14:textId="77777777" w:rsidR="00B449D0" w:rsidRDefault="00175344">
            <w:pPr>
              <w:pStyle w:val="Summarytabletextrightaligned"/>
            </w:pPr>
            <w:r w:rsidRPr="7F762F0D">
              <w:rPr>
                <w:lang w:val="en-US"/>
              </w:rPr>
              <w:t>nfp</w:t>
            </w:r>
          </w:p>
        </w:tc>
        <w:tc>
          <w:tcPr>
            <w:tcW w:w="850" w:type="dxa"/>
            <w:tcBorders>
              <w:top w:val="nil"/>
            </w:tcBorders>
            <w:vAlign w:val="bottom"/>
          </w:tcPr>
          <w:p w14:paraId="7E7F7325" w14:textId="77777777" w:rsidR="00B449D0" w:rsidRDefault="00175344">
            <w:pPr>
              <w:pStyle w:val="Summarytabletextrightaligned"/>
            </w:pPr>
            <w:r w:rsidRPr="7F762F0D">
              <w:rPr>
                <w:lang w:val="en-US"/>
              </w:rPr>
              <w:t>nfp</w:t>
            </w:r>
          </w:p>
        </w:tc>
        <w:tc>
          <w:tcPr>
            <w:tcW w:w="850" w:type="dxa"/>
            <w:tcBorders>
              <w:top w:val="nil"/>
            </w:tcBorders>
            <w:vAlign w:val="bottom"/>
          </w:tcPr>
          <w:p w14:paraId="7A7145AE" w14:textId="77777777" w:rsidR="00B449D0" w:rsidRDefault="00175344">
            <w:pPr>
              <w:pStyle w:val="Summarytabletextrightaligned"/>
            </w:pPr>
            <w:r w:rsidRPr="7F762F0D">
              <w:rPr>
                <w:lang w:val="en-US"/>
              </w:rPr>
              <w:t>nfp</w:t>
            </w:r>
          </w:p>
        </w:tc>
      </w:tr>
      <w:tr w:rsidR="00B449D0" w14:paraId="6B1673E8" w14:textId="77777777" w:rsidTr="7F762F0D">
        <w:tc>
          <w:tcPr>
            <w:tcW w:w="3471" w:type="dxa"/>
            <w:vAlign w:val="bottom"/>
          </w:tcPr>
          <w:p w14:paraId="7F5D7227" w14:textId="77777777" w:rsidR="00B449D0" w:rsidRDefault="00175344">
            <w:pPr>
              <w:pStyle w:val="SummaryMeasureTitlewithTheme"/>
            </w:pPr>
            <w:r>
              <w:t>National Water Grid Fund – continuing delivery</w:t>
            </w:r>
          </w:p>
        </w:tc>
        <w:tc>
          <w:tcPr>
            <w:tcW w:w="850" w:type="dxa"/>
            <w:vAlign w:val="bottom"/>
          </w:tcPr>
          <w:p w14:paraId="3EF14166" w14:textId="330CCB8A" w:rsidR="00B449D0" w:rsidRDefault="00076D78">
            <w:pPr>
              <w:pStyle w:val="Summarytabletextrightaligned"/>
            </w:pPr>
            <w:r>
              <w:noBreakHyphen/>
            </w:r>
          </w:p>
        </w:tc>
        <w:tc>
          <w:tcPr>
            <w:tcW w:w="850" w:type="dxa"/>
            <w:shd w:val="clear" w:color="auto" w:fill="E6F2FF"/>
            <w:vAlign w:val="bottom"/>
          </w:tcPr>
          <w:p w14:paraId="4866AA04" w14:textId="68B9D9A4" w:rsidR="00B449D0" w:rsidRDefault="00076D78">
            <w:pPr>
              <w:pStyle w:val="Summarytabletextrightaligned"/>
            </w:pPr>
            <w:r>
              <w:noBreakHyphen/>
            </w:r>
          </w:p>
        </w:tc>
        <w:tc>
          <w:tcPr>
            <w:tcW w:w="850" w:type="dxa"/>
            <w:vAlign w:val="bottom"/>
          </w:tcPr>
          <w:p w14:paraId="25952BA1" w14:textId="5EB89560" w:rsidR="00B449D0" w:rsidRDefault="00076D78">
            <w:pPr>
              <w:pStyle w:val="Summarytabletextrightaligned"/>
            </w:pPr>
            <w:r>
              <w:noBreakHyphen/>
            </w:r>
          </w:p>
        </w:tc>
        <w:tc>
          <w:tcPr>
            <w:tcW w:w="850" w:type="dxa"/>
            <w:vAlign w:val="bottom"/>
          </w:tcPr>
          <w:p w14:paraId="66B78099" w14:textId="4F75A08E" w:rsidR="00B449D0" w:rsidRDefault="00076D78">
            <w:pPr>
              <w:pStyle w:val="Summarytabletextrightaligned"/>
            </w:pPr>
            <w:r>
              <w:noBreakHyphen/>
            </w:r>
          </w:p>
        </w:tc>
        <w:tc>
          <w:tcPr>
            <w:tcW w:w="850" w:type="dxa"/>
            <w:vAlign w:val="bottom"/>
          </w:tcPr>
          <w:p w14:paraId="28CD67DE" w14:textId="24D20284" w:rsidR="00B449D0" w:rsidRDefault="00076D78">
            <w:pPr>
              <w:pStyle w:val="Summarytabletextrightaligned"/>
            </w:pPr>
            <w:r>
              <w:noBreakHyphen/>
            </w:r>
          </w:p>
        </w:tc>
      </w:tr>
      <w:tr w:rsidR="00B449D0" w14:paraId="7B9A3FCD" w14:textId="77777777" w:rsidTr="7F762F0D">
        <w:tc>
          <w:tcPr>
            <w:tcW w:w="3471" w:type="dxa"/>
            <w:vAlign w:val="bottom"/>
          </w:tcPr>
          <w:p w14:paraId="57697754" w14:textId="77777777" w:rsidR="00B449D0" w:rsidRDefault="00175344">
            <w:pPr>
              <w:pStyle w:val="SummaryMeasureTitlewithTheme"/>
            </w:pPr>
            <w:r>
              <w:t>Priority Conservation and Recovery Actions for the Maugean Skate</w:t>
            </w:r>
          </w:p>
        </w:tc>
        <w:tc>
          <w:tcPr>
            <w:tcW w:w="850" w:type="dxa"/>
            <w:vAlign w:val="bottom"/>
          </w:tcPr>
          <w:p w14:paraId="0413A8A9" w14:textId="40044F86" w:rsidR="00B449D0" w:rsidRDefault="00076D78">
            <w:pPr>
              <w:pStyle w:val="Summarytabletextrightaligned"/>
            </w:pPr>
            <w:r>
              <w:noBreakHyphen/>
            </w:r>
          </w:p>
        </w:tc>
        <w:tc>
          <w:tcPr>
            <w:tcW w:w="850" w:type="dxa"/>
            <w:shd w:val="clear" w:color="auto" w:fill="E6F2FF"/>
            <w:vAlign w:val="bottom"/>
          </w:tcPr>
          <w:p w14:paraId="013A1864" w14:textId="77777777" w:rsidR="00B449D0" w:rsidRDefault="00175344">
            <w:pPr>
              <w:pStyle w:val="Summarytabletextrightaligned"/>
            </w:pPr>
            <w:r>
              <w:t>5.9</w:t>
            </w:r>
          </w:p>
        </w:tc>
        <w:tc>
          <w:tcPr>
            <w:tcW w:w="850" w:type="dxa"/>
            <w:vAlign w:val="bottom"/>
          </w:tcPr>
          <w:p w14:paraId="2CC66243" w14:textId="77777777" w:rsidR="00B449D0" w:rsidRDefault="00175344">
            <w:pPr>
              <w:pStyle w:val="Summarytabletextrightaligned"/>
            </w:pPr>
            <w:r>
              <w:t>15.1</w:t>
            </w:r>
          </w:p>
        </w:tc>
        <w:tc>
          <w:tcPr>
            <w:tcW w:w="850" w:type="dxa"/>
            <w:vAlign w:val="bottom"/>
          </w:tcPr>
          <w:p w14:paraId="51B46514" w14:textId="77777777" w:rsidR="00B449D0" w:rsidRDefault="00175344">
            <w:pPr>
              <w:pStyle w:val="Summarytabletextrightaligned"/>
            </w:pPr>
            <w:r>
              <w:t>7.6</w:t>
            </w:r>
          </w:p>
        </w:tc>
        <w:tc>
          <w:tcPr>
            <w:tcW w:w="850" w:type="dxa"/>
            <w:vAlign w:val="bottom"/>
          </w:tcPr>
          <w:p w14:paraId="10969336" w14:textId="39A219B3" w:rsidR="00B449D0" w:rsidRDefault="00076D78">
            <w:pPr>
              <w:pStyle w:val="Summarytabletextrightaligned"/>
            </w:pPr>
            <w:r>
              <w:noBreakHyphen/>
            </w:r>
          </w:p>
        </w:tc>
      </w:tr>
      <w:tr w:rsidR="00B449D0" w14:paraId="55ECFB40" w14:textId="77777777" w:rsidTr="7F762F0D">
        <w:tc>
          <w:tcPr>
            <w:tcW w:w="3471" w:type="dxa"/>
            <w:vAlign w:val="bottom"/>
          </w:tcPr>
          <w:p w14:paraId="678E9CB9" w14:textId="0774ADDB" w:rsidR="00B449D0" w:rsidRDefault="00175344">
            <w:pPr>
              <w:pStyle w:val="SummaryMeasureTitlewithTheme"/>
            </w:pPr>
            <w:r>
              <w:t>Protecting Australia</w:t>
            </w:r>
            <w:r w:rsidR="00076D78">
              <w:t>’</w:t>
            </w:r>
            <w:r>
              <w:t>s Iconic National Parks – additional funding</w:t>
            </w:r>
          </w:p>
        </w:tc>
        <w:tc>
          <w:tcPr>
            <w:tcW w:w="850" w:type="dxa"/>
            <w:vAlign w:val="bottom"/>
          </w:tcPr>
          <w:p w14:paraId="651F4BC8" w14:textId="6EE8C9A5" w:rsidR="00B449D0" w:rsidRDefault="00076D78">
            <w:pPr>
              <w:pStyle w:val="Summarytabletextrightaligned"/>
            </w:pPr>
            <w:r>
              <w:noBreakHyphen/>
            </w:r>
          </w:p>
        </w:tc>
        <w:tc>
          <w:tcPr>
            <w:tcW w:w="850" w:type="dxa"/>
            <w:shd w:val="clear" w:color="auto" w:fill="E6F2FF"/>
            <w:vAlign w:val="bottom"/>
          </w:tcPr>
          <w:p w14:paraId="7CAB2B0B" w14:textId="77777777" w:rsidR="00B449D0" w:rsidRDefault="00175344">
            <w:pPr>
              <w:pStyle w:val="Summarytabletextrightaligned"/>
            </w:pPr>
            <w:r>
              <w:t>2.5</w:t>
            </w:r>
          </w:p>
        </w:tc>
        <w:tc>
          <w:tcPr>
            <w:tcW w:w="850" w:type="dxa"/>
            <w:vAlign w:val="bottom"/>
          </w:tcPr>
          <w:p w14:paraId="4D9F3AB5" w14:textId="77777777" w:rsidR="00B449D0" w:rsidRDefault="00175344">
            <w:pPr>
              <w:pStyle w:val="Summarytabletextrightaligned"/>
            </w:pPr>
            <w:r>
              <w:t>4.9</w:t>
            </w:r>
          </w:p>
        </w:tc>
        <w:tc>
          <w:tcPr>
            <w:tcW w:w="850" w:type="dxa"/>
            <w:vAlign w:val="bottom"/>
          </w:tcPr>
          <w:p w14:paraId="709C1961" w14:textId="77777777" w:rsidR="00B449D0" w:rsidRDefault="00175344">
            <w:pPr>
              <w:pStyle w:val="Summarytabletextrightaligned"/>
            </w:pPr>
            <w:r>
              <w:t>5.0</w:t>
            </w:r>
          </w:p>
        </w:tc>
        <w:tc>
          <w:tcPr>
            <w:tcW w:w="850" w:type="dxa"/>
            <w:vAlign w:val="bottom"/>
          </w:tcPr>
          <w:p w14:paraId="2F868019" w14:textId="77777777" w:rsidR="00B449D0" w:rsidRDefault="00175344">
            <w:pPr>
              <w:pStyle w:val="Summarytabletextrightaligned"/>
            </w:pPr>
            <w:r>
              <w:t>5.1</w:t>
            </w:r>
          </w:p>
        </w:tc>
      </w:tr>
      <w:tr w:rsidR="00B449D0" w14:paraId="40C1B6CA" w14:textId="77777777" w:rsidTr="7F762F0D">
        <w:tc>
          <w:tcPr>
            <w:tcW w:w="3471" w:type="dxa"/>
            <w:vAlign w:val="bottom"/>
          </w:tcPr>
          <w:p w14:paraId="7F6F9A9E" w14:textId="77777777" w:rsidR="00B449D0" w:rsidRDefault="00175344">
            <w:pPr>
              <w:pStyle w:val="SummaryMeasureTitlewithTheme"/>
            </w:pPr>
            <w:r>
              <w:t>Rewiring the Nation – recapitalisation(b)</w:t>
            </w:r>
          </w:p>
        </w:tc>
        <w:tc>
          <w:tcPr>
            <w:tcW w:w="850" w:type="dxa"/>
            <w:vAlign w:val="bottom"/>
          </w:tcPr>
          <w:p w14:paraId="778B8D77" w14:textId="786B6D52" w:rsidR="00B449D0" w:rsidRDefault="00076D78">
            <w:pPr>
              <w:pStyle w:val="Summarytabletextrightaligned"/>
            </w:pPr>
            <w:r>
              <w:noBreakHyphen/>
            </w:r>
          </w:p>
        </w:tc>
        <w:tc>
          <w:tcPr>
            <w:tcW w:w="850" w:type="dxa"/>
            <w:shd w:val="clear" w:color="auto" w:fill="E6F2FF"/>
            <w:vAlign w:val="bottom"/>
          </w:tcPr>
          <w:p w14:paraId="3FBF07FD" w14:textId="77777777" w:rsidR="00B449D0" w:rsidRDefault="00175344">
            <w:pPr>
              <w:pStyle w:val="Summarytabletextrightaligned"/>
            </w:pPr>
            <w:r>
              <w:t>1.6</w:t>
            </w:r>
          </w:p>
        </w:tc>
        <w:tc>
          <w:tcPr>
            <w:tcW w:w="850" w:type="dxa"/>
            <w:vAlign w:val="bottom"/>
          </w:tcPr>
          <w:p w14:paraId="1EA25532" w14:textId="77777777" w:rsidR="00B449D0" w:rsidRDefault="00175344">
            <w:pPr>
              <w:pStyle w:val="Summarytabletextrightaligned"/>
            </w:pPr>
            <w:r>
              <w:t>23.4</w:t>
            </w:r>
          </w:p>
        </w:tc>
        <w:tc>
          <w:tcPr>
            <w:tcW w:w="850" w:type="dxa"/>
            <w:vAlign w:val="bottom"/>
          </w:tcPr>
          <w:p w14:paraId="54AB224D" w14:textId="77777777" w:rsidR="00B449D0" w:rsidRDefault="00175344">
            <w:pPr>
              <w:pStyle w:val="Summarytabletextrightaligned"/>
            </w:pPr>
            <w:r>
              <w:t>11.7</w:t>
            </w:r>
          </w:p>
        </w:tc>
        <w:tc>
          <w:tcPr>
            <w:tcW w:w="850" w:type="dxa"/>
            <w:vAlign w:val="bottom"/>
          </w:tcPr>
          <w:p w14:paraId="444FB439" w14:textId="77777777" w:rsidR="00B449D0" w:rsidRDefault="00175344">
            <w:pPr>
              <w:pStyle w:val="Summarytabletextrightaligned"/>
            </w:pPr>
            <w:r>
              <w:t>9.1</w:t>
            </w:r>
          </w:p>
        </w:tc>
      </w:tr>
      <w:tr w:rsidR="00B449D0" w14:paraId="2B35BE1E" w14:textId="77777777" w:rsidTr="7F762F0D">
        <w:tc>
          <w:tcPr>
            <w:tcW w:w="3471" w:type="dxa"/>
            <w:vAlign w:val="bottom"/>
          </w:tcPr>
          <w:p w14:paraId="628E332E" w14:textId="77777777" w:rsidR="00B449D0" w:rsidRDefault="00175344">
            <w:pPr>
              <w:pStyle w:val="SummaryMeasureTitlewithTheme"/>
            </w:pPr>
            <w:r>
              <w:t>Securing the Future of Antarctic Operations</w:t>
            </w:r>
          </w:p>
        </w:tc>
        <w:tc>
          <w:tcPr>
            <w:tcW w:w="850" w:type="dxa"/>
            <w:vAlign w:val="bottom"/>
          </w:tcPr>
          <w:p w14:paraId="044E56B6" w14:textId="6434EE92" w:rsidR="00B449D0" w:rsidRDefault="00076D78">
            <w:pPr>
              <w:pStyle w:val="Summarytabletextrightaligned"/>
            </w:pPr>
            <w:r>
              <w:noBreakHyphen/>
            </w:r>
          </w:p>
        </w:tc>
        <w:tc>
          <w:tcPr>
            <w:tcW w:w="850" w:type="dxa"/>
            <w:shd w:val="clear" w:color="auto" w:fill="E6F2FF"/>
            <w:vAlign w:val="bottom"/>
          </w:tcPr>
          <w:p w14:paraId="4C614647" w14:textId="77777777" w:rsidR="00B449D0" w:rsidRDefault="00175344">
            <w:pPr>
              <w:pStyle w:val="Summarytabletextrightaligned"/>
            </w:pPr>
            <w:r>
              <w:t>0.1</w:t>
            </w:r>
          </w:p>
        </w:tc>
        <w:tc>
          <w:tcPr>
            <w:tcW w:w="850" w:type="dxa"/>
            <w:vAlign w:val="bottom"/>
          </w:tcPr>
          <w:p w14:paraId="4AD1FA8B" w14:textId="77777777" w:rsidR="00B449D0" w:rsidRDefault="00175344">
            <w:pPr>
              <w:pStyle w:val="Summarytabletextrightaligned"/>
            </w:pPr>
            <w:r>
              <w:t>0.1</w:t>
            </w:r>
          </w:p>
        </w:tc>
        <w:tc>
          <w:tcPr>
            <w:tcW w:w="850" w:type="dxa"/>
            <w:vAlign w:val="bottom"/>
          </w:tcPr>
          <w:p w14:paraId="74857DC9" w14:textId="71AA1989" w:rsidR="00B449D0" w:rsidRDefault="00076D78">
            <w:pPr>
              <w:pStyle w:val="Summarytabletextrightaligned"/>
            </w:pPr>
            <w:r>
              <w:noBreakHyphen/>
            </w:r>
          </w:p>
        </w:tc>
        <w:tc>
          <w:tcPr>
            <w:tcW w:w="850" w:type="dxa"/>
            <w:vAlign w:val="bottom"/>
          </w:tcPr>
          <w:p w14:paraId="40377950" w14:textId="6AF9A7CA" w:rsidR="00B449D0" w:rsidRDefault="00076D78">
            <w:pPr>
              <w:pStyle w:val="Summarytabletextrightaligned"/>
            </w:pPr>
            <w:r>
              <w:noBreakHyphen/>
            </w:r>
          </w:p>
        </w:tc>
      </w:tr>
      <w:tr w:rsidR="00B449D0" w14:paraId="7E81E680" w14:textId="77777777" w:rsidTr="7F762F0D">
        <w:tc>
          <w:tcPr>
            <w:tcW w:w="3471" w:type="dxa"/>
            <w:vAlign w:val="bottom"/>
          </w:tcPr>
          <w:p w14:paraId="47CB4663" w14:textId="50847018" w:rsidR="00B449D0" w:rsidRDefault="00175344">
            <w:pPr>
              <w:pStyle w:val="SummaryMeasureTitlewithTheme"/>
            </w:pPr>
            <w:r>
              <w:t>Strengthening Australia</w:t>
            </w:r>
            <w:r w:rsidR="00076D78">
              <w:t>’</w:t>
            </w:r>
            <w:r>
              <w:t>s Climate Information and Reporting</w:t>
            </w:r>
          </w:p>
        </w:tc>
        <w:tc>
          <w:tcPr>
            <w:tcW w:w="850" w:type="dxa"/>
            <w:vAlign w:val="bottom"/>
          </w:tcPr>
          <w:p w14:paraId="5C58145D" w14:textId="4BD32E8C" w:rsidR="00B449D0" w:rsidRDefault="00076D78">
            <w:pPr>
              <w:pStyle w:val="Summarytabletextrightaligned"/>
            </w:pPr>
            <w:r>
              <w:noBreakHyphen/>
            </w:r>
          </w:p>
        </w:tc>
        <w:tc>
          <w:tcPr>
            <w:tcW w:w="850" w:type="dxa"/>
            <w:shd w:val="clear" w:color="auto" w:fill="E6F2FF"/>
            <w:vAlign w:val="bottom"/>
          </w:tcPr>
          <w:p w14:paraId="3A1209CE" w14:textId="77777777" w:rsidR="00B449D0" w:rsidRDefault="00175344">
            <w:pPr>
              <w:pStyle w:val="Summarytabletextrightaligned"/>
            </w:pPr>
            <w:r>
              <w:t>4.0</w:t>
            </w:r>
          </w:p>
        </w:tc>
        <w:tc>
          <w:tcPr>
            <w:tcW w:w="850" w:type="dxa"/>
            <w:vAlign w:val="bottom"/>
          </w:tcPr>
          <w:p w14:paraId="610EEB64" w14:textId="77777777" w:rsidR="00B449D0" w:rsidRDefault="00175344">
            <w:pPr>
              <w:pStyle w:val="Summarytabletextrightaligned"/>
            </w:pPr>
            <w:r>
              <w:t>5.5</w:t>
            </w:r>
          </w:p>
        </w:tc>
        <w:tc>
          <w:tcPr>
            <w:tcW w:w="850" w:type="dxa"/>
            <w:vAlign w:val="bottom"/>
          </w:tcPr>
          <w:p w14:paraId="14694714" w14:textId="77777777" w:rsidR="00B449D0" w:rsidRDefault="00175344">
            <w:pPr>
              <w:pStyle w:val="Summarytabletextrightaligned"/>
            </w:pPr>
            <w:r>
              <w:t>0.8</w:t>
            </w:r>
          </w:p>
        </w:tc>
        <w:tc>
          <w:tcPr>
            <w:tcW w:w="850" w:type="dxa"/>
            <w:vAlign w:val="bottom"/>
          </w:tcPr>
          <w:p w14:paraId="25D88563" w14:textId="428BC5B9" w:rsidR="00B449D0" w:rsidRDefault="00076D78">
            <w:pPr>
              <w:pStyle w:val="Summarytabletextrightaligned"/>
            </w:pPr>
            <w:r>
              <w:noBreakHyphen/>
            </w:r>
          </w:p>
        </w:tc>
      </w:tr>
      <w:tr w:rsidR="00B449D0" w14:paraId="1BC1FB34" w14:textId="77777777" w:rsidTr="7F762F0D">
        <w:tc>
          <w:tcPr>
            <w:tcW w:w="3471" w:type="dxa"/>
            <w:vAlign w:val="bottom"/>
          </w:tcPr>
          <w:p w14:paraId="5874BDE6" w14:textId="6DFEAD47" w:rsidR="00B449D0" w:rsidRDefault="00175344">
            <w:pPr>
              <w:pStyle w:val="SummaryMeasureTitlewithTheme"/>
            </w:pPr>
            <w:r>
              <w:t>Supporting Australia</w:t>
            </w:r>
            <w:r w:rsidR="00076D78">
              <w:t>’</w:t>
            </w:r>
            <w:r>
              <w:t>s Avian Influenza Preparedness and Response</w:t>
            </w:r>
          </w:p>
        </w:tc>
        <w:tc>
          <w:tcPr>
            <w:tcW w:w="850" w:type="dxa"/>
            <w:vAlign w:val="bottom"/>
          </w:tcPr>
          <w:p w14:paraId="11A61512" w14:textId="677C8CAC" w:rsidR="00B449D0" w:rsidRDefault="00076D78">
            <w:pPr>
              <w:pStyle w:val="Summarytabletextrightaligned"/>
            </w:pPr>
            <w:r>
              <w:noBreakHyphen/>
            </w:r>
          </w:p>
        </w:tc>
        <w:tc>
          <w:tcPr>
            <w:tcW w:w="850" w:type="dxa"/>
            <w:shd w:val="clear" w:color="auto" w:fill="E6F2FF"/>
            <w:vAlign w:val="bottom"/>
          </w:tcPr>
          <w:p w14:paraId="2B831853" w14:textId="77777777" w:rsidR="00B449D0" w:rsidRDefault="00175344">
            <w:pPr>
              <w:pStyle w:val="Summarytabletextrightaligned"/>
            </w:pPr>
            <w:r>
              <w:t>10.5</w:t>
            </w:r>
          </w:p>
        </w:tc>
        <w:tc>
          <w:tcPr>
            <w:tcW w:w="850" w:type="dxa"/>
            <w:vAlign w:val="bottom"/>
          </w:tcPr>
          <w:p w14:paraId="5F48F840" w14:textId="77777777" w:rsidR="00B449D0" w:rsidRDefault="00175344">
            <w:pPr>
              <w:pStyle w:val="Summarytabletextrightaligned"/>
            </w:pPr>
            <w:r>
              <w:t>25.4</w:t>
            </w:r>
          </w:p>
        </w:tc>
        <w:tc>
          <w:tcPr>
            <w:tcW w:w="850" w:type="dxa"/>
            <w:vAlign w:val="bottom"/>
          </w:tcPr>
          <w:p w14:paraId="0D688FC3" w14:textId="5CB3C610" w:rsidR="00B449D0" w:rsidRDefault="00076D78">
            <w:pPr>
              <w:pStyle w:val="Summarytabletextrightaligned"/>
            </w:pPr>
            <w:r>
              <w:noBreakHyphen/>
            </w:r>
          </w:p>
        </w:tc>
        <w:tc>
          <w:tcPr>
            <w:tcW w:w="850" w:type="dxa"/>
            <w:vAlign w:val="bottom"/>
          </w:tcPr>
          <w:p w14:paraId="7F5FDD84" w14:textId="727D4D62" w:rsidR="00B449D0" w:rsidRDefault="00076D78">
            <w:pPr>
              <w:pStyle w:val="Summarytabletextrightaligned"/>
            </w:pPr>
            <w:r>
              <w:noBreakHyphen/>
            </w:r>
          </w:p>
        </w:tc>
      </w:tr>
      <w:tr w:rsidR="00B449D0" w14:paraId="1AA13244" w14:textId="77777777" w:rsidTr="7F762F0D">
        <w:tc>
          <w:tcPr>
            <w:tcW w:w="3471" w:type="dxa"/>
            <w:vAlign w:val="bottom"/>
          </w:tcPr>
          <w:p w14:paraId="7BCEC33E" w14:textId="77777777" w:rsidR="00B449D0" w:rsidRDefault="00175344">
            <w:pPr>
              <w:pStyle w:val="SummaryMeasureTitlewithTheme"/>
            </w:pPr>
            <w:r>
              <w:t>Supporting Timely Environmental Approvals</w:t>
            </w:r>
          </w:p>
        </w:tc>
        <w:tc>
          <w:tcPr>
            <w:tcW w:w="850" w:type="dxa"/>
            <w:vAlign w:val="bottom"/>
          </w:tcPr>
          <w:p w14:paraId="46251B0F" w14:textId="6A26B04E" w:rsidR="00B449D0" w:rsidRDefault="00076D78">
            <w:pPr>
              <w:pStyle w:val="Summarytabletextrightaligned"/>
            </w:pPr>
            <w:r>
              <w:noBreakHyphen/>
            </w:r>
          </w:p>
        </w:tc>
        <w:tc>
          <w:tcPr>
            <w:tcW w:w="850" w:type="dxa"/>
            <w:shd w:val="clear" w:color="auto" w:fill="E6F2FF"/>
            <w:vAlign w:val="bottom"/>
          </w:tcPr>
          <w:p w14:paraId="188BD9E8" w14:textId="517BEE7E" w:rsidR="00B449D0" w:rsidRDefault="00076D78">
            <w:pPr>
              <w:pStyle w:val="Summarytabletextrightaligned"/>
            </w:pPr>
            <w:r>
              <w:noBreakHyphen/>
            </w:r>
          </w:p>
        </w:tc>
        <w:tc>
          <w:tcPr>
            <w:tcW w:w="850" w:type="dxa"/>
            <w:vAlign w:val="bottom"/>
          </w:tcPr>
          <w:p w14:paraId="48334963" w14:textId="77777777" w:rsidR="00B449D0" w:rsidRDefault="00175344">
            <w:pPr>
              <w:pStyle w:val="Summarytabletextrightaligned"/>
            </w:pPr>
            <w:r>
              <w:t>68.5</w:t>
            </w:r>
          </w:p>
        </w:tc>
        <w:tc>
          <w:tcPr>
            <w:tcW w:w="850" w:type="dxa"/>
            <w:vAlign w:val="bottom"/>
          </w:tcPr>
          <w:p w14:paraId="729325F7" w14:textId="351B1519" w:rsidR="00B449D0" w:rsidRDefault="00076D78">
            <w:pPr>
              <w:pStyle w:val="Summarytabletextrightaligned"/>
            </w:pPr>
            <w:r>
              <w:noBreakHyphen/>
            </w:r>
          </w:p>
        </w:tc>
        <w:tc>
          <w:tcPr>
            <w:tcW w:w="850" w:type="dxa"/>
            <w:vAlign w:val="bottom"/>
          </w:tcPr>
          <w:p w14:paraId="12246E1E" w14:textId="413B938A" w:rsidR="00B449D0" w:rsidRDefault="00076D78">
            <w:pPr>
              <w:pStyle w:val="Summarytabletextrightaligned"/>
            </w:pPr>
            <w:r>
              <w:noBreakHyphen/>
            </w:r>
          </w:p>
        </w:tc>
      </w:tr>
      <w:tr w:rsidR="00B449D0" w14:paraId="08B34722" w14:textId="77777777" w:rsidTr="7F762F0D">
        <w:tc>
          <w:tcPr>
            <w:tcW w:w="3471" w:type="dxa"/>
            <w:vAlign w:val="bottom"/>
          </w:tcPr>
          <w:p w14:paraId="35122B7A" w14:textId="77777777" w:rsidR="00B449D0" w:rsidRDefault="00175344">
            <w:pPr>
              <w:pStyle w:val="SummaryAgencyTitle-BP2"/>
            </w:pPr>
            <w:r>
              <w:t>Director of National Parks</w:t>
            </w:r>
          </w:p>
        </w:tc>
        <w:tc>
          <w:tcPr>
            <w:tcW w:w="850" w:type="dxa"/>
          </w:tcPr>
          <w:p w14:paraId="151AB9D2" w14:textId="77777777" w:rsidR="00B449D0" w:rsidRDefault="00B449D0">
            <w:pPr>
              <w:pStyle w:val="SummaryAgencyTitle-BP2"/>
            </w:pPr>
          </w:p>
        </w:tc>
        <w:tc>
          <w:tcPr>
            <w:tcW w:w="850" w:type="dxa"/>
            <w:shd w:val="clear" w:color="auto" w:fill="E6F2FF"/>
          </w:tcPr>
          <w:p w14:paraId="3D57603E" w14:textId="77777777" w:rsidR="00B449D0" w:rsidRDefault="00B449D0">
            <w:pPr>
              <w:pStyle w:val="SummaryAgencyTitle-BP2"/>
            </w:pPr>
          </w:p>
        </w:tc>
        <w:tc>
          <w:tcPr>
            <w:tcW w:w="850" w:type="dxa"/>
          </w:tcPr>
          <w:p w14:paraId="5C13F1C7" w14:textId="77777777" w:rsidR="00B449D0" w:rsidRDefault="00B449D0">
            <w:pPr>
              <w:pStyle w:val="SummaryAgencyTitle-BP2"/>
            </w:pPr>
          </w:p>
        </w:tc>
        <w:tc>
          <w:tcPr>
            <w:tcW w:w="850" w:type="dxa"/>
          </w:tcPr>
          <w:p w14:paraId="042F5589" w14:textId="77777777" w:rsidR="00B449D0" w:rsidRDefault="00B449D0">
            <w:pPr>
              <w:pStyle w:val="SummaryAgencyTitle-BP2"/>
            </w:pPr>
          </w:p>
        </w:tc>
        <w:tc>
          <w:tcPr>
            <w:tcW w:w="850" w:type="dxa"/>
          </w:tcPr>
          <w:p w14:paraId="26F10E03" w14:textId="77777777" w:rsidR="00B449D0" w:rsidRDefault="00B449D0">
            <w:pPr>
              <w:pStyle w:val="SummaryAgencyTitle-BP2"/>
            </w:pPr>
          </w:p>
        </w:tc>
      </w:tr>
      <w:tr w:rsidR="00B449D0" w14:paraId="397A0254" w14:textId="77777777" w:rsidTr="7F762F0D">
        <w:tc>
          <w:tcPr>
            <w:tcW w:w="3471" w:type="dxa"/>
            <w:vAlign w:val="bottom"/>
          </w:tcPr>
          <w:p w14:paraId="60BCA61C" w14:textId="66BC01A5" w:rsidR="00B449D0" w:rsidRDefault="00175344">
            <w:pPr>
              <w:pStyle w:val="SummaryMeasureTitlewithTheme"/>
            </w:pPr>
            <w:r>
              <w:t>Protecting Australia</w:t>
            </w:r>
            <w:r w:rsidR="00076D78">
              <w:t>’</w:t>
            </w:r>
            <w:r>
              <w:t>s Iconic National Parks – additional funding</w:t>
            </w:r>
          </w:p>
        </w:tc>
        <w:tc>
          <w:tcPr>
            <w:tcW w:w="850" w:type="dxa"/>
            <w:vAlign w:val="bottom"/>
          </w:tcPr>
          <w:p w14:paraId="403D7A4E" w14:textId="4E2DF55B" w:rsidR="00B449D0" w:rsidRDefault="00076D78">
            <w:pPr>
              <w:pStyle w:val="Summarytabletextrightaligned"/>
            </w:pPr>
            <w:r>
              <w:noBreakHyphen/>
            </w:r>
          </w:p>
        </w:tc>
        <w:tc>
          <w:tcPr>
            <w:tcW w:w="850" w:type="dxa"/>
            <w:shd w:val="clear" w:color="auto" w:fill="E6F2FF"/>
            <w:vAlign w:val="bottom"/>
          </w:tcPr>
          <w:p w14:paraId="1189DF07" w14:textId="77777777" w:rsidR="00B449D0" w:rsidRDefault="00175344">
            <w:pPr>
              <w:pStyle w:val="Summarytabletextrightaligned"/>
            </w:pPr>
            <w:r>
              <w:t>1.7</w:t>
            </w:r>
          </w:p>
        </w:tc>
        <w:tc>
          <w:tcPr>
            <w:tcW w:w="850" w:type="dxa"/>
            <w:vAlign w:val="bottom"/>
          </w:tcPr>
          <w:p w14:paraId="713DB71A" w14:textId="77777777" w:rsidR="00B449D0" w:rsidRDefault="00175344">
            <w:pPr>
              <w:pStyle w:val="Summarytabletextrightaligned"/>
            </w:pPr>
            <w:r>
              <w:t>10.5</w:t>
            </w:r>
          </w:p>
        </w:tc>
        <w:tc>
          <w:tcPr>
            <w:tcW w:w="850" w:type="dxa"/>
            <w:vAlign w:val="bottom"/>
          </w:tcPr>
          <w:p w14:paraId="67A65D0D" w14:textId="7EB3A0A2" w:rsidR="00B449D0" w:rsidRDefault="00076D78">
            <w:pPr>
              <w:pStyle w:val="Summarytabletextrightaligned"/>
            </w:pPr>
            <w:r>
              <w:noBreakHyphen/>
            </w:r>
          </w:p>
        </w:tc>
        <w:tc>
          <w:tcPr>
            <w:tcW w:w="850" w:type="dxa"/>
            <w:vAlign w:val="bottom"/>
          </w:tcPr>
          <w:p w14:paraId="744C9842" w14:textId="7A79FCBE" w:rsidR="00B449D0" w:rsidRDefault="00076D78">
            <w:pPr>
              <w:pStyle w:val="Summarytabletextrightaligned"/>
            </w:pPr>
            <w:r>
              <w:noBreakHyphen/>
            </w:r>
          </w:p>
        </w:tc>
      </w:tr>
      <w:tr w:rsidR="00B449D0" w14:paraId="05FC7539" w14:textId="77777777" w:rsidTr="7F762F0D">
        <w:tc>
          <w:tcPr>
            <w:tcW w:w="3471" w:type="dxa"/>
            <w:vAlign w:val="bottom"/>
          </w:tcPr>
          <w:p w14:paraId="18B82F27" w14:textId="77777777" w:rsidR="00B449D0" w:rsidRDefault="00175344">
            <w:pPr>
              <w:pStyle w:val="SummaryMeasureTitlewithTheme"/>
            </w:pPr>
            <w:r>
              <w:t>South‑east Marine Parks – adjustment assistance</w:t>
            </w:r>
          </w:p>
        </w:tc>
        <w:tc>
          <w:tcPr>
            <w:tcW w:w="850" w:type="dxa"/>
            <w:vAlign w:val="bottom"/>
          </w:tcPr>
          <w:p w14:paraId="6CF5AE73" w14:textId="5A15601A" w:rsidR="00B449D0" w:rsidRDefault="00076D78">
            <w:pPr>
              <w:pStyle w:val="Summarytabletextrightaligned"/>
            </w:pPr>
            <w:r>
              <w:noBreakHyphen/>
            </w:r>
          </w:p>
        </w:tc>
        <w:tc>
          <w:tcPr>
            <w:tcW w:w="850" w:type="dxa"/>
            <w:shd w:val="clear" w:color="auto" w:fill="E6F2FF"/>
            <w:vAlign w:val="bottom"/>
          </w:tcPr>
          <w:p w14:paraId="28327654" w14:textId="77777777" w:rsidR="00B449D0" w:rsidRDefault="00175344" w:rsidP="7F762F0D">
            <w:pPr>
              <w:pStyle w:val="Summarytabletextrightaligned"/>
              <w:rPr>
                <w:lang w:val="en-US"/>
              </w:rPr>
            </w:pPr>
            <w:r w:rsidRPr="7F762F0D">
              <w:rPr>
                <w:lang w:val="en-US"/>
              </w:rPr>
              <w:t>nfp</w:t>
            </w:r>
          </w:p>
        </w:tc>
        <w:tc>
          <w:tcPr>
            <w:tcW w:w="850" w:type="dxa"/>
            <w:vAlign w:val="bottom"/>
          </w:tcPr>
          <w:p w14:paraId="32F2346E" w14:textId="77777777" w:rsidR="00B449D0" w:rsidRDefault="00175344" w:rsidP="7F762F0D">
            <w:pPr>
              <w:pStyle w:val="Summarytabletextrightaligned"/>
              <w:rPr>
                <w:lang w:val="en-US"/>
              </w:rPr>
            </w:pPr>
            <w:r w:rsidRPr="7F762F0D">
              <w:rPr>
                <w:lang w:val="en-US"/>
              </w:rPr>
              <w:t>nfp</w:t>
            </w:r>
          </w:p>
        </w:tc>
        <w:tc>
          <w:tcPr>
            <w:tcW w:w="850" w:type="dxa"/>
            <w:vAlign w:val="bottom"/>
          </w:tcPr>
          <w:p w14:paraId="10D2377B" w14:textId="0E3B3030" w:rsidR="00B449D0" w:rsidRDefault="00076D78">
            <w:pPr>
              <w:pStyle w:val="Summarytabletextrightaligned"/>
            </w:pPr>
            <w:r>
              <w:noBreakHyphen/>
            </w:r>
          </w:p>
        </w:tc>
        <w:tc>
          <w:tcPr>
            <w:tcW w:w="850" w:type="dxa"/>
            <w:vAlign w:val="bottom"/>
          </w:tcPr>
          <w:p w14:paraId="6BA72327" w14:textId="14D9CA4C" w:rsidR="00B449D0" w:rsidRDefault="00076D78">
            <w:pPr>
              <w:pStyle w:val="Summarytabletextrightaligned"/>
            </w:pPr>
            <w:r>
              <w:noBreakHyphen/>
            </w:r>
          </w:p>
        </w:tc>
      </w:tr>
      <w:tr w:rsidR="00B449D0" w14:paraId="537D538C" w14:textId="77777777" w:rsidTr="7F762F0D">
        <w:tc>
          <w:tcPr>
            <w:tcW w:w="3471" w:type="dxa"/>
            <w:vAlign w:val="bottom"/>
          </w:tcPr>
          <w:p w14:paraId="4129CE78" w14:textId="77777777" w:rsidR="00B449D0" w:rsidRDefault="00175344">
            <w:pPr>
              <w:pStyle w:val="SummaryAgencyTitle-BP2"/>
            </w:pPr>
            <w:r>
              <w:t>Great Barrier Reef Marine Park Authority</w:t>
            </w:r>
          </w:p>
        </w:tc>
        <w:tc>
          <w:tcPr>
            <w:tcW w:w="850" w:type="dxa"/>
          </w:tcPr>
          <w:p w14:paraId="7BE2A55C" w14:textId="77777777" w:rsidR="00B449D0" w:rsidRDefault="00B449D0">
            <w:pPr>
              <w:pStyle w:val="SummaryAgencyTitle-BP2"/>
            </w:pPr>
          </w:p>
        </w:tc>
        <w:tc>
          <w:tcPr>
            <w:tcW w:w="850" w:type="dxa"/>
            <w:shd w:val="clear" w:color="auto" w:fill="E6F2FF"/>
          </w:tcPr>
          <w:p w14:paraId="40EEBD79" w14:textId="77777777" w:rsidR="00B449D0" w:rsidRDefault="00B449D0">
            <w:pPr>
              <w:pStyle w:val="SummaryAgencyTitle-BP2"/>
            </w:pPr>
          </w:p>
        </w:tc>
        <w:tc>
          <w:tcPr>
            <w:tcW w:w="850" w:type="dxa"/>
          </w:tcPr>
          <w:p w14:paraId="21E798F6" w14:textId="77777777" w:rsidR="00B449D0" w:rsidRDefault="00B449D0">
            <w:pPr>
              <w:pStyle w:val="SummaryAgencyTitle-BP2"/>
            </w:pPr>
          </w:p>
        </w:tc>
        <w:tc>
          <w:tcPr>
            <w:tcW w:w="850" w:type="dxa"/>
          </w:tcPr>
          <w:p w14:paraId="4CE3CC37" w14:textId="77777777" w:rsidR="00B449D0" w:rsidRDefault="00B449D0">
            <w:pPr>
              <w:pStyle w:val="SummaryAgencyTitle-BP2"/>
            </w:pPr>
          </w:p>
        </w:tc>
        <w:tc>
          <w:tcPr>
            <w:tcW w:w="850" w:type="dxa"/>
          </w:tcPr>
          <w:p w14:paraId="5A1E3252" w14:textId="77777777" w:rsidR="00B449D0" w:rsidRDefault="00B449D0">
            <w:pPr>
              <w:pStyle w:val="SummaryAgencyTitle-BP2"/>
            </w:pPr>
          </w:p>
        </w:tc>
      </w:tr>
      <w:tr w:rsidR="00B449D0" w14:paraId="24CEE7BE" w14:textId="77777777" w:rsidTr="7F762F0D">
        <w:tc>
          <w:tcPr>
            <w:tcW w:w="3471" w:type="dxa"/>
            <w:vAlign w:val="bottom"/>
          </w:tcPr>
          <w:p w14:paraId="09FB00F2" w14:textId="77777777" w:rsidR="00B449D0" w:rsidRDefault="00175344">
            <w:pPr>
              <w:pStyle w:val="SummaryMeasureTitlewithTheme"/>
            </w:pPr>
            <w:r>
              <w:t>Rebuilding the Great Barrier Reef Aquarium</w:t>
            </w:r>
          </w:p>
        </w:tc>
        <w:tc>
          <w:tcPr>
            <w:tcW w:w="850" w:type="dxa"/>
            <w:vAlign w:val="bottom"/>
          </w:tcPr>
          <w:p w14:paraId="7D600AA5" w14:textId="644F4EC1" w:rsidR="00B449D0" w:rsidRDefault="00076D78">
            <w:pPr>
              <w:pStyle w:val="Summarytabletextrightaligned"/>
            </w:pPr>
            <w:r>
              <w:noBreakHyphen/>
            </w:r>
          </w:p>
        </w:tc>
        <w:tc>
          <w:tcPr>
            <w:tcW w:w="850" w:type="dxa"/>
            <w:shd w:val="clear" w:color="auto" w:fill="E6F2FF"/>
            <w:vAlign w:val="bottom"/>
          </w:tcPr>
          <w:p w14:paraId="688547C3" w14:textId="3085950A" w:rsidR="00B449D0" w:rsidRDefault="00076D78">
            <w:pPr>
              <w:pStyle w:val="Summarytabletextrightaligned"/>
            </w:pPr>
            <w:r>
              <w:noBreakHyphen/>
            </w:r>
            <w:r w:rsidR="00175344">
              <w:t>39.0</w:t>
            </w:r>
          </w:p>
        </w:tc>
        <w:tc>
          <w:tcPr>
            <w:tcW w:w="850" w:type="dxa"/>
            <w:vAlign w:val="bottom"/>
          </w:tcPr>
          <w:p w14:paraId="5C1EEC5D" w14:textId="77777777" w:rsidR="00B449D0" w:rsidRDefault="00175344">
            <w:pPr>
              <w:pStyle w:val="Summarytabletextrightaligned"/>
            </w:pPr>
            <w:r>
              <w:t>12.2</w:t>
            </w:r>
          </w:p>
        </w:tc>
        <w:tc>
          <w:tcPr>
            <w:tcW w:w="850" w:type="dxa"/>
            <w:vAlign w:val="bottom"/>
          </w:tcPr>
          <w:p w14:paraId="295E9489" w14:textId="77777777" w:rsidR="00B449D0" w:rsidRDefault="00175344">
            <w:pPr>
              <w:pStyle w:val="Summarytabletextrightaligned"/>
            </w:pPr>
            <w:r>
              <w:t>46.6</w:t>
            </w:r>
          </w:p>
        </w:tc>
        <w:tc>
          <w:tcPr>
            <w:tcW w:w="850" w:type="dxa"/>
            <w:vAlign w:val="bottom"/>
          </w:tcPr>
          <w:p w14:paraId="2C752310" w14:textId="77777777" w:rsidR="00B449D0" w:rsidRDefault="00175344">
            <w:pPr>
              <w:pStyle w:val="Summarytabletextrightaligned"/>
            </w:pPr>
            <w:r>
              <w:t>80.4</w:t>
            </w:r>
          </w:p>
        </w:tc>
      </w:tr>
      <w:tr w:rsidR="00B449D0" w14:paraId="76588668" w14:textId="77777777" w:rsidTr="7F762F0D">
        <w:tc>
          <w:tcPr>
            <w:tcW w:w="3471" w:type="dxa"/>
            <w:vAlign w:val="bottom"/>
          </w:tcPr>
          <w:p w14:paraId="309D3014" w14:textId="77777777" w:rsidR="00B449D0" w:rsidRDefault="00175344">
            <w:pPr>
              <w:pStyle w:val="Summarytabletextleftalignedbold"/>
            </w:pPr>
            <w:r>
              <w:t>Portfolio total</w:t>
            </w:r>
          </w:p>
        </w:tc>
        <w:tc>
          <w:tcPr>
            <w:tcW w:w="850" w:type="dxa"/>
            <w:tcBorders>
              <w:top w:val="single" w:sz="4" w:space="0" w:color="000000" w:themeColor="text1"/>
              <w:bottom w:val="single" w:sz="4" w:space="0" w:color="000000" w:themeColor="text1"/>
            </w:tcBorders>
            <w:vAlign w:val="bottom"/>
          </w:tcPr>
          <w:p w14:paraId="194A30C1" w14:textId="6FEA8E1B" w:rsidR="00B449D0" w:rsidRDefault="00076D78">
            <w:pPr>
              <w:pStyle w:val="Summarytabletextrightalignedbold"/>
            </w:pPr>
            <w:r>
              <w:noBreakHyphen/>
            </w:r>
          </w:p>
        </w:tc>
        <w:tc>
          <w:tcPr>
            <w:tcW w:w="850" w:type="dxa"/>
            <w:tcBorders>
              <w:top w:val="single" w:sz="4" w:space="0" w:color="000000" w:themeColor="text1"/>
              <w:bottom w:val="single" w:sz="4" w:space="0" w:color="000000" w:themeColor="text1"/>
            </w:tcBorders>
            <w:shd w:val="clear" w:color="auto" w:fill="E6F2FF"/>
            <w:vAlign w:val="bottom"/>
          </w:tcPr>
          <w:p w14:paraId="4E3D2C83" w14:textId="71CA187F" w:rsidR="00B449D0" w:rsidRDefault="00076D78">
            <w:pPr>
              <w:pStyle w:val="Summarytabletextrightalignedbold"/>
            </w:pPr>
            <w:r>
              <w:noBreakHyphen/>
            </w:r>
            <w:r w:rsidR="00175344">
              <w:t>1.8</w:t>
            </w:r>
          </w:p>
        </w:tc>
        <w:tc>
          <w:tcPr>
            <w:tcW w:w="850" w:type="dxa"/>
            <w:tcBorders>
              <w:top w:val="single" w:sz="4" w:space="0" w:color="000000" w:themeColor="text1"/>
              <w:bottom w:val="single" w:sz="4" w:space="0" w:color="000000" w:themeColor="text1"/>
            </w:tcBorders>
            <w:vAlign w:val="bottom"/>
          </w:tcPr>
          <w:p w14:paraId="1BE1739C" w14:textId="77777777" w:rsidR="00B449D0" w:rsidRDefault="00175344">
            <w:pPr>
              <w:pStyle w:val="Summarytabletextrightalignedbold"/>
            </w:pPr>
            <w:r>
              <w:t>479.0</w:t>
            </w:r>
          </w:p>
        </w:tc>
        <w:tc>
          <w:tcPr>
            <w:tcW w:w="850" w:type="dxa"/>
            <w:tcBorders>
              <w:top w:val="single" w:sz="4" w:space="0" w:color="000000" w:themeColor="text1"/>
              <w:bottom w:val="single" w:sz="4" w:space="0" w:color="000000" w:themeColor="text1"/>
            </w:tcBorders>
            <w:vAlign w:val="bottom"/>
          </w:tcPr>
          <w:p w14:paraId="331CEF3B" w14:textId="77777777" w:rsidR="00B449D0" w:rsidRDefault="00175344">
            <w:pPr>
              <w:pStyle w:val="Summarytabletextrightalignedbold"/>
            </w:pPr>
            <w:r>
              <w:t>414.7</w:t>
            </w:r>
          </w:p>
        </w:tc>
        <w:tc>
          <w:tcPr>
            <w:tcW w:w="850" w:type="dxa"/>
            <w:tcBorders>
              <w:top w:val="single" w:sz="4" w:space="0" w:color="000000" w:themeColor="text1"/>
              <w:bottom w:val="single" w:sz="4" w:space="0" w:color="000000" w:themeColor="text1"/>
            </w:tcBorders>
            <w:vAlign w:val="bottom"/>
          </w:tcPr>
          <w:p w14:paraId="78126FD0" w14:textId="77777777" w:rsidR="00B449D0" w:rsidRDefault="00175344">
            <w:pPr>
              <w:pStyle w:val="Summarytabletextrightalignedbold"/>
            </w:pPr>
            <w:r>
              <w:t>259.6</w:t>
            </w:r>
          </w:p>
        </w:tc>
      </w:tr>
      <w:tr w:rsidR="00B449D0" w14:paraId="6FB9625C" w14:textId="77777777" w:rsidTr="7F762F0D">
        <w:tc>
          <w:tcPr>
            <w:tcW w:w="3471" w:type="dxa"/>
            <w:vAlign w:val="bottom"/>
          </w:tcPr>
          <w:p w14:paraId="125BD283" w14:textId="77777777" w:rsidR="00B449D0" w:rsidRDefault="00175344">
            <w:pPr>
              <w:pStyle w:val="SummaryPortfolioTitle-BP2"/>
            </w:pPr>
            <w:r>
              <w:t>DEFENCE</w:t>
            </w:r>
          </w:p>
        </w:tc>
        <w:tc>
          <w:tcPr>
            <w:tcW w:w="850" w:type="dxa"/>
          </w:tcPr>
          <w:p w14:paraId="67A79CF7" w14:textId="77777777" w:rsidR="00B449D0" w:rsidRDefault="00B449D0">
            <w:pPr>
              <w:pStyle w:val="MeasureTableTextRightAlignedBefore6ptAfter1pt"/>
            </w:pPr>
          </w:p>
        </w:tc>
        <w:tc>
          <w:tcPr>
            <w:tcW w:w="850" w:type="dxa"/>
            <w:shd w:val="clear" w:color="auto" w:fill="E6F2FF"/>
          </w:tcPr>
          <w:p w14:paraId="243DA479" w14:textId="77777777" w:rsidR="00B449D0" w:rsidRDefault="00B449D0">
            <w:pPr>
              <w:pStyle w:val="MeasureTableTextRightAlignedBefore6ptAfter1pt"/>
            </w:pPr>
          </w:p>
        </w:tc>
        <w:tc>
          <w:tcPr>
            <w:tcW w:w="850" w:type="dxa"/>
          </w:tcPr>
          <w:p w14:paraId="6BDB6948" w14:textId="77777777" w:rsidR="00B449D0" w:rsidRDefault="00B449D0">
            <w:pPr>
              <w:pStyle w:val="MeasureTableTextRightAlignedBefore6ptAfter1pt"/>
            </w:pPr>
          </w:p>
        </w:tc>
        <w:tc>
          <w:tcPr>
            <w:tcW w:w="850" w:type="dxa"/>
          </w:tcPr>
          <w:p w14:paraId="5B62D941" w14:textId="77777777" w:rsidR="00B449D0" w:rsidRDefault="00B449D0">
            <w:pPr>
              <w:pStyle w:val="MeasureTableTextRightAlignedBefore6ptAfter1pt"/>
            </w:pPr>
          </w:p>
        </w:tc>
        <w:tc>
          <w:tcPr>
            <w:tcW w:w="850" w:type="dxa"/>
          </w:tcPr>
          <w:p w14:paraId="7A35743E" w14:textId="77777777" w:rsidR="00B449D0" w:rsidRDefault="00B449D0">
            <w:pPr>
              <w:pStyle w:val="MeasureTableTextRightAlignedBefore6ptAfter1pt"/>
            </w:pPr>
          </w:p>
        </w:tc>
      </w:tr>
      <w:tr w:rsidR="00B449D0" w14:paraId="41C6F791" w14:textId="77777777" w:rsidTr="7F762F0D">
        <w:tc>
          <w:tcPr>
            <w:tcW w:w="3471" w:type="dxa"/>
            <w:vAlign w:val="bottom"/>
          </w:tcPr>
          <w:p w14:paraId="35FF5CBB" w14:textId="77777777" w:rsidR="00B449D0" w:rsidRDefault="00175344">
            <w:pPr>
              <w:pStyle w:val="SummaryAgencyTitle-BP2"/>
            </w:pPr>
            <w:r>
              <w:t>Australian Submarine Agency</w:t>
            </w:r>
          </w:p>
        </w:tc>
        <w:tc>
          <w:tcPr>
            <w:tcW w:w="850" w:type="dxa"/>
          </w:tcPr>
          <w:p w14:paraId="20954EC6" w14:textId="77777777" w:rsidR="00B449D0" w:rsidRDefault="00B449D0">
            <w:pPr>
              <w:pStyle w:val="SummaryAgencyTitle-BP2"/>
            </w:pPr>
          </w:p>
        </w:tc>
        <w:tc>
          <w:tcPr>
            <w:tcW w:w="850" w:type="dxa"/>
            <w:shd w:val="clear" w:color="auto" w:fill="E6F2FF"/>
          </w:tcPr>
          <w:p w14:paraId="1AFBB76E" w14:textId="77777777" w:rsidR="00B449D0" w:rsidRDefault="00B449D0">
            <w:pPr>
              <w:pStyle w:val="SummaryAgencyTitle-BP2"/>
            </w:pPr>
          </w:p>
        </w:tc>
        <w:tc>
          <w:tcPr>
            <w:tcW w:w="850" w:type="dxa"/>
          </w:tcPr>
          <w:p w14:paraId="45B8C4F6" w14:textId="77777777" w:rsidR="00B449D0" w:rsidRDefault="00B449D0">
            <w:pPr>
              <w:pStyle w:val="SummaryAgencyTitle-BP2"/>
            </w:pPr>
          </w:p>
        </w:tc>
        <w:tc>
          <w:tcPr>
            <w:tcW w:w="850" w:type="dxa"/>
          </w:tcPr>
          <w:p w14:paraId="5C68EE94" w14:textId="77777777" w:rsidR="00B449D0" w:rsidRDefault="00B449D0">
            <w:pPr>
              <w:pStyle w:val="SummaryAgencyTitle-BP2"/>
            </w:pPr>
          </w:p>
        </w:tc>
        <w:tc>
          <w:tcPr>
            <w:tcW w:w="850" w:type="dxa"/>
          </w:tcPr>
          <w:p w14:paraId="40957C1B" w14:textId="77777777" w:rsidR="00B449D0" w:rsidRDefault="00B449D0">
            <w:pPr>
              <w:pStyle w:val="SummaryAgencyTitle-BP2"/>
            </w:pPr>
          </w:p>
        </w:tc>
      </w:tr>
      <w:tr w:rsidR="00B449D0" w14:paraId="39F6FE28" w14:textId="77777777" w:rsidTr="7F762F0D">
        <w:tc>
          <w:tcPr>
            <w:tcW w:w="3471" w:type="dxa"/>
            <w:vAlign w:val="bottom"/>
          </w:tcPr>
          <w:p w14:paraId="091454C3" w14:textId="77777777" w:rsidR="00B449D0" w:rsidRDefault="00175344">
            <w:pPr>
              <w:pStyle w:val="SummaryMeasureTitlewithTheme"/>
            </w:pPr>
            <w:r>
              <w:t>Nuclear‑Powered Submarine Program – security and industry growth</w:t>
            </w:r>
          </w:p>
        </w:tc>
        <w:tc>
          <w:tcPr>
            <w:tcW w:w="850" w:type="dxa"/>
            <w:vAlign w:val="bottom"/>
          </w:tcPr>
          <w:p w14:paraId="6C048392" w14:textId="26AB6576" w:rsidR="00B449D0" w:rsidRDefault="00076D78">
            <w:pPr>
              <w:pStyle w:val="Summarytabletextrightaligned"/>
            </w:pPr>
            <w:r>
              <w:noBreakHyphen/>
            </w:r>
          </w:p>
        </w:tc>
        <w:tc>
          <w:tcPr>
            <w:tcW w:w="850" w:type="dxa"/>
            <w:shd w:val="clear" w:color="auto" w:fill="E6F2FF"/>
            <w:vAlign w:val="bottom"/>
          </w:tcPr>
          <w:p w14:paraId="043863DD" w14:textId="3A59D70E" w:rsidR="00B449D0" w:rsidRDefault="00076D78">
            <w:pPr>
              <w:pStyle w:val="Summarytabletextrightaligned"/>
            </w:pPr>
            <w:r>
              <w:noBreakHyphen/>
            </w:r>
          </w:p>
        </w:tc>
        <w:tc>
          <w:tcPr>
            <w:tcW w:w="850" w:type="dxa"/>
            <w:vAlign w:val="bottom"/>
          </w:tcPr>
          <w:p w14:paraId="025BD773" w14:textId="313CF7E5" w:rsidR="00B449D0" w:rsidRDefault="00076D78">
            <w:pPr>
              <w:pStyle w:val="Summarytabletextrightaligned"/>
            </w:pPr>
            <w:r>
              <w:noBreakHyphen/>
            </w:r>
            <w:r w:rsidR="00175344">
              <w:t>20.0</w:t>
            </w:r>
          </w:p>
        </w:tc>
        <w:tc>
          <w:tcPr>
            <w:tcW w:w="850" w:type="dxa"/>
            <w:vAlign w:val="bottom"/>
          </w:tcPr>
          <w:p w14:paraId="1865192B" w14:textId="70A608BF" w:rsidR="00B449D0" w:rsidRDefault="00076D78">
            <w:pPr>
              <w:pStyle w:val="Summarytabletextrightaligned"/>
            </w:pPr>
            <w:r>
              <w:noBreakHyphen/>
            </w:r>
          </w:p>
        </w:tc>
        <w:tc>
          <w:tcPr>
            <w:tcW w:w="850" w:type="dxa"/>
            <w:vAlign w:val="bottom"/>
          </w:tcPr>
          <w:p w14:paraId="7983378C" w14:textId="241DC93E" w:rsidR="00B449D0" w:rsidRDefault="00076D78">
            <w:pPr>
              <w:pStyle w:val="Summarytabletextrightaligned"/>
            </w:pPr>
            <w:r>
              <w:noBreakHyphen/>
            </w:r>
          </w:p>
        </w:tc>
      </w:tr>
      <w:tr w:rsidR="00B449D0" w14:paraId="0ED30092" w14:textId="77777777" w:rsidTr="7F762F0D">
        <w:tc>
          <w:tcPr>
            <w:tcW w:w="3471" w:type="dxa"/>
            <w:vAlign w:val="bottom"/>
          </w:tcPr>
          <w:p w14:paraId="53810797" w14:textId="77777777" w:rsidR="00B449D0" w:rsidRDefault="00175344">
            <w:pPr>
              <w:pStyle w:val="SummaryAgencyTitle-BP2"/>
            </w:pPr>
            <w:r>
              <w:t>Australian War Memorial</w:t>
            </w:r>
          </w:p>
        </w:tc>
        <w:tc>
          <w:tcPr>
            <w:tcW w:w="850" w:type="dxa"/>
          </w:tcPr>
          <w:p w14:paraId="180D1B80" w14:textId="77777777" w:rsidR="00B449D0" w:rsidRDefault="00B449D0">
            <w:pPr>
              <w:pStyle w:val="SummaryAgencyTitle-BP2"/>
            </w:pPr>
          </w:p>
        </w:tc>
        <w:tc>
          <w:tcPr>
            <w:tcW w:w="850" w:type="dxa"/>
            <w:shd w:val="clear" w:color="auto" w:fill="E6F2FF"/>
          </w:tcPr>
          <w:p w14:paraId="49E4C9B4" w14:textId="77777777" w:rsidR="00B449D0" w:rsidRDefault="00B449D0">
            <w:pPr>
              <w:pStyle w:val="SummaryAgencyTitle-BP2"/>
            </w:pPr>
          </w:p>
        </w:tc>
        <w:tc>
          <w:tcPr>
            <w:tcW w:w="850" w:type="dxa"/>
          </w:tcPr>
          <w:p w14:paraId="691ACDD0" w14:textId="77777777" w:rsidR="00B449D0" w:rsidRDefault="00B449D0">
            <w:pPr>
              <w:pStyle w:val="SummaryAgencyTitle-BP2"/>
            </w:pPr>
          </w:p>
        </w:tc>
        <w:tc>
          <w:tcPr>
            <w:tcW w:w="850" w:type="dxa"/>
          </w:tcPr>
          <w:p w14:paraId="44569315" w14:textId="77777777" w:rsidR="00B449D0" w:rsidRDefault="00B449D0">
            <w:pPr>
              <w:pStyle w:val="SummaryAgencyTitle-BP2"/>
            </w:pPr>
          </w:p>
        </w:tc>
        <w:tc>
          <w:tcPr>
            <w:tcW w:w="850" w:type="dxa"/>
          </w:tcPr>
          <w:p w14:paraId="48556365" w14:textId="77777777" w:rsidR="00B449D0" w:rsidRDefault="00B449D0">
            <w:pPr>
              <w:pStyle w:val="SummaryAgencyTitle-BP2"/>
            </w:pPr>
          </w:p>
        </w:tc>
      </w:tr>
      <w:tr w:rsidR="00B449D0" w14:paraId="3B0CA82F" w14:textId="77777777" w:rsidTr="7F762F0D">
        <w:tc>
          <w:tcPr>
            <w:tcW w:w="3471" w:type="dxa"/>
            <w:vAlign w:val="bottom"/>
          </w:tcPr>
          <w:p w14:paraId="4FC9A393" w14:textId="77777777" w:rsidR="00B449D0" w:rsidRDefault="00175344">
            <w:pPr>
              <w:pStyle w:val="SummaryMeasureTitlewithTheme"/>
            </w:pPr>
            <w:r>
              <w:t>Australian War Memorial – financial sustainability</w:t>
            </w:r>
          </w:p>
        </w:tc>
        <w:tc>
          <w:tcPr>
            <w:tcW w:w="850" w:type="dxa"/>
            <w:vAlign w:val="bottom"/>
          </w:tcPr>
          <w:p w14:paraId="059523A2" w14:textId="0A571132" w:rsidR="00B449D0" w:rsidRDefault="00076D78">
            <w:pPr>
              <w:pStyle w:val="Summarytabletextrightaligned"/>
            </w:pPr>
            <w:r>
              <w:noBreakHyphen/>
            </w:r>
          </w:p>
        </w:tc>
        <w:tc>
          <w:tcPr>
            <w:tcW w:w="850" w:type="dxa"/>
            <w:shd w:val="clear" w:color="auto" w:fill="E6F2FF"/>
            <w:vAlign w:val="bottom"/>
          </w:tcPr>
          <w:p w14:paraId="4584C08A" w14:textId="051DB197" w:rsidR="00B449D0" w:rsidRDefault="00076D78">
            <w:pPr>
              <w:pStyle w:val="Summarytabletextrightaligned"/>
            </w:pPr>
            <w:r>
              <w:noBreakHyphen/>
            </w:r>
          </w:p>
        </w:tc>
        <w:tc>
          <w:tcPr>
            <w:tcW w:w="850" w:type="dxa"/>
            <w:vAlign w:val="bottom"/>
          </w:tcPr>
          <w:p w14:paraId="10DB3AF0" w14:textId="77777777" w:rsidR="00B449D0" w:rsidRDefault="00175344">
            <w:pPr>
              <w:pStyle w:val="Summarytabletextrightaligned"/>
            </w:pPr>
            <w:r>
              <w:t>0.3</w:t>
            </w:r>
          </w:p>
        </w:tc>
        <w:tc>
          <w:tcPr>
            <w:tcW w:w="850" w:type="dxa"/>
            <w:vAlign w:val="bottom"/>
          </w:tcPr>
          <w:p w14:paraId="4570C3A2" w14:textId="35D6DADE" w:rsidR="00B449D0" w:rsidRDefault="00076D78">
            <w:pPr>
              <w:pStyle w:val="Summarytabletextrightaligned"/>
            </w:pPr>
            <w:r>
              <w:noBreakHyphen/>
            </w:r>
          </w:p>
        </w:tc>
        <w:tc>
          <w:tcPr>
            <w:tcW w:w="850" w:type="dxa"/>
            <w:vAlign w:val="bottom"/>
          </w:tcPr>
          <w:p w14:paraId="120DEB68" w14:textId="5EB8346A" w:rsidR="00B449D0" w:rsidRDefault="00076D78">
            <w:pPr>
              <w:pStyle w:val="Summarytabletextrightaligned"/>
            </w:pPr>
            <w:r>
              <w:noBreakHyphen/>
            </w:r>
          </w:p>
        </w:tc>
      </w:tr>
      <w:tr w:rsidR="00B449D0" w14:paraId="0522FC1A" w14:textId="77777777" w:rsidTr="7F762F0D">
        <w:tc>
          <w:tcPr>
            <w:tcW w:w="3471" w:type="dxa"/>
            <w:vAlign w:val="bottom"/>
          </w:tcPr>
          <w:p w14:paraId="6F9CDDC6" w14:textId="77777777" w:rsidR="00B449D0" w:rsidRDefault="00175344">
            <w:pPr>
              <w:pStyle w:val="SummaryAgencyTitle-BP2"/>
            </w:pPr>
            <w:r>
              <w:t>Department of Defence</w:t>
            </w:r>
          </w:p>
        </w:tc>
        <w:tc>
          <w:tcPr>
            <w:tcW w:w="850" w:type="dxa"/>
          </w:tcPr>
          <w:p w14:paraId="6FF4F8CD" w14:textId="77777777" w:rsidR="00B449D0" w:rsidRDefault="00B449D0">
            <w:pPr>
              <w:pStyle w:val="SummaryAgencyTitle-BP2"/>
            </w:pPr>
          </w:p>
        </w:tc>
        <w:tc>
          <w:tcPr>
            <w:tcW w:w="850" w:type="dxa"/>
            <w:shd w:val="clear" w:color="auto" w:fill="E6F2FF"/>
          </w:tcPr>
          <w:p w14:paraId="23F9C4B0" w14:textId="77777777" w:rsidR="00B449D0" w:rsidRDefault="00B449D0">
            <w:pPr>
              <w:pStyle w:val="SummaryAgencyTitle-BP2"/>
            </w:pPr>
          </w:p>
        </w:tc>
        <w:tc>
          <w:tcPr>
            <w:tcW w:w="850" w:type="dxa"/>
          </w:tcPr>
          <w:p w14:paraId="3FFB6349" w14:textId="77777777" w:rsidR="00B449D0" w:rsidRDefault="00B449D0">
            <w:pPr>
              <w:pStyle w:val="SummaryAgencyTitle-BP2"/>
            </w:pPr>
          </w:p>
        </w:tc>
        <w:tc>
          <w:tcPr>
            <w:tcW w:w="850" w:type="dxa"/>
          </w:tcPr>
          <w:p w14:paraId="2A1CCF12" w14:textId="77777777" w:rsidR="00B449D0" w:rsidRDefault="00B449D0">
            <w:pPr>
              <w:pStyle w:val="SummaryAgencyTitle-BP2"/>
            </w:pPr>
          </w:p>
        </w:tc>
        <w:tc>
          <w:tcPr>
            <w:tcW w:w="850" w:type="dxa"/>
          </w:tcPr>
          <w:p w14:paraId="2E40C06E" w14:textId="77777777" w:rsidR="00B449D0" w:rsidRDefault="00B449D0">
            <w:pPr>
              <w:pStyle w:val="SummaryAgencyTitle-BP2"/>
            </w:pPr>
          </w:p>
        </w:tc>
      </w:tr>
      <w:tr w:rsidR="00B449D0" w14:paraId="44C255D0" w14:textId="77777777" w:rsidTr="7F762F0D">
        <w:tc>
          <w:tcPr>
            <w:tcW w:w="3471" w:type="dxa"/>
            <w:vAlign w:val="bottom"/>
          </w:tcPr>
          <w:p w14:paraId="2A2E3781" w14:textId="77777777" w:rsidR="00B449D0" w:rsidRDefault="00175344">
            <w:pPr>
              <w:pStyle w:val="SummaryMeasureTitlewithTheme"/>
            </w:pPr>
            <w:r>
              <w:t>Additional Support for Australian Defence Force Members and Veterans</w:t>
            </w:r>
          </w:p>
        </w:tc>
        <w:tc>
          <w:tcPr>
            <w:tcW w:w="850" w:type="dxa"/>
            <w:vAlign w:val="bottom"/>
          </w:tcPr>
          <w:p w14:paraId="4A142355" w14:textId="660373A0" w:rsidR="00B449D0" w:rsidRDefault="00076D78">
            <w:pPr>
              <w:pStyle w:val="Summarytabletextrightaligned"/>
            </w:pPr>
            <w:r>
              <w:noBreakHyphen/>
            </w:r>
          </w:p>
        </w:tc>
        <w:tc>
          <w:tcPr>
            <w:tcW w:w="850" w:type="dxa"/>
            <w:shd w:val="clear" w:color="auto" w:fill="E6F2FF"/>
            <w:vAlign w:val="bottom"/>
          </w:tcPr>
          <w:p w14:paraId="019C5B0F" w14:textId="6346C775" w:rsidR="00B449D0" w:rsidRDefault="00076D78">
            <w:pPr>
              <w:pStyle w:val="Summarytabletextrightaligned"/>
            </w:pPr>
            <w:r>
              <w:noBreakHyphen/>
            </w:r>
          </w:p>
        </w:tc>
        <w:tc>
          <w:tcPr>
            <w:tcW w:w="850" w:type="dxa"/>
            <w:vAlign w:val="bottom"/>
          </w:tcPr>
          <w:p w14:paraId="665E067E" w14:textId="26CA9C82" w:rsidR="00B449D0" w:rsidRDefault="00076D78">
            <w:pPr>
              <w:pStyle w:val="Summarytabletextrightaligned"/>
            </w:pPr>
            <w:r>
              <w:noBreakHyphen/>
            </w:r>
          </w:p>
        </w:tc>
        <w:tc>
          <w:tcPr>
            <w:tcW w:w="850" w:type="dxa"/>
            <w:vAlign w:val="bottom"/>
          </w:tcPr>
          <w:p w14:paraId="402C0AE2" w14:textId="30705D91" w:rsidR="00B449D0" w:rsidRDefault="00076D78">
            <w:pPr>
              <w:pStyle w:val="Summarytabletextrightaligned"/>
            </w:pPr>
            <w:r>
              <w:noBreakHyphen/>
            </w:r>
          </w:p>
        </w:tc>
        <w:tc>
          <w:tcPr>
            <w:tcW w:w="850" w:type="dxa"/>
            <w:vAlign w:val="bottom"/>
          </w:tcPr>
          <w:p w14:paraId="74AA4FBF" w14:textId="7431F4AC" w:rsidR="00B449D0" w:rsidRDefault="00076D78">
            <w:pPr>
              <w:pStyle w:val="Summarytabletextrightaligned"/>
            </w:pPr>
            <w:r>
              <w:noBreakHyphen/>
            </w:r>
          </w:p>
        </w:tc>
      </w:tr>
      <w:tr w:rsidR="00B449D0" w14:paraId="0EEAC789" w14:textId="77777777" w:rsidTr="7F762F0D">
        <w:tc>
          <w:tcPr>
            <w:tcW w:w="3471" w:type="dxa"/>
            <w:vAlign w:val="bottom"/>
          </w:tcPr>
          <w:p w14:paraId="6E62D71D" w14:textId="77777777" w:rsidR="00B449D0" w:rsidRDefault="00175344">
            <w:pPr>
              <w:pStyle w:val="SummaryMeasureTitlewithTheme"/>
            </w:pPr>
            <w:r>
              <w:t>Civil Maritime Security Capabilities</w:t>
            </w:r>
          </w:p>
        </w:tc>
        <w:tc>
          <w:tcPr>
            <w:tcW w:w="850" w:type="dxa"/>
            <w:vAlign w:val="bottom"/>
          </w:tcPr>
          <w:p w14:paraId="60E36978" w14:textId="5F76F0DB" w:rsidR="00B449D0" w:rsidRDefault="00076D78">
            <w:pPr>
              <w:pStyle w:val="Summarytabletextrightaligned"/>
            </w:pPr>
            <w:r>
              <w:noBreakHyphen/>
            </w:r>
          </w:p>
        </w:tc>
        <w:tc>
          <w:tcPr>
            <w:tcW w:w="850" w:type="dxa"/>
            <w:shd w:val="clear" w:color="auto" w:fill="E6F2FF"/>
            <w:vAlign w:val="bottom"/>
          </w:tcPr>
          <w:p w14:paraId="0F521D34" w14:textId="77777777" w:rsidR="00B449D0" w:rsidRDefault="00175344">
            <w:pPr>
              <w:pStyle w:val="Summarytabletextrightaligned"/>
            </w:pPr>
            <w:r w:rsidRPr="7F762F0D">
              <w:rPr>
                <w:lang w:val="en-US"/>
              </w:rPr>
              <w:t>nfp</w:t>
            </w:r>
          </w:p>
        </w:tc>
        <w:tc>
          <w:tcPr>
            <w:tcW w:w="850" w:type="dxa"/>
            <w:vAlign w:val="bottom"/>
          </w:tcPr>
          <w:p w14:paraId="5C3709FD" w14:textId="77777777" w:rsidR="00B449D0" w:rsidRDefault="00175344">
            <w:pPr>
              <w:pStyle w:val="Summarytabletextrightaligned"/>
            </w:pPr>
            <w:r w:rsidRPr="7F762F0D">
              <w:rPr>
                <w:lang w:val="en-US"/>
              </w:rPr>
              <w:t>nfp</w:t>
            </w:r>
          </w:p>
        </w:tc>
        <w:tc>
          <w:tcPr>
            <w:tcW w:w="850" w:type="dxa"/>
            <w:vAlign w:val="bottom"/>
          </w:tcPr>
          <w:p w14:paraId="46870E4B" w14:textId="77777777" w:rsidR="00B449D0" w:rsidRDefault="00175344">
            <w:pPr>
              <w:pStyle w:val="Summarytabletextrightaligned"/>
            </w:pPr>
            <w:r w:rsidRPr="7F762F0D">
              <w:rPr>
                <w:lang w:val="en-US"/>
              </w:rPr>
              <w:t>nfp</w:t>
            </w:r>
          </w:p>
        </w:tc>
        <w:tc>
          <w:tcPr>
            <w:tcW w:w="850" w:type="dxa"/>
            <w:vAlign w:val="bottom"/>
          </w:tcPr>
          <w:p w14:paraId="463C35DA" w14:textId="18A72733" w:rsidR="00B449D0" w:rsidRDefault="00076D78">
            <w:pPr>
              <w:pStyle w:val="Summarytabletextrightaligned"/>
            </w:pPr>
            <w:r>
              <w:noBreakHyphen/>
            </w:r>
          </w:p>
        </w:tc>
      </w:tr>
      <w:tr w:rsidR="00B449D0" w14:paraId="474F1F7F" w14:textId="77777777" w:rsidTr="7F762F0D">
        <w:tc>
          <w:tcPr>
            <w:tcW w:w="3471" w:type="dxa"/>
            <w:vAlign w:val="bottom"/>
          </w:tcPr>
          <w:p w14:paraId="5FF5965A" w14:textId="77777777" w:rsidR="00B449D0" w:rsidRDefault="00175344">
            <w:pPr>
              <w:pStyle w:val="SummaryMeasureTitlewithTheme"/>
            </w:pPr>
            <w:r>
              <w:t>Defence Support to the Pacific and the Middle East(b)</w:t>
            </w:r>
          </w:p>
        </w:tc>
        <w:tc>
          <w:tcPr>
            <w:tcW w:w="850" w:type="dxa"/>
            <w:vAlign w:val="bottom"/>
          </w:tcPr>
          <w:p w14:paraId="6B95F4C0" w14:textId="544FBA9A" w:rsidR="00B449D0" w:rsidRDefault="00076D78">
            <w:pPr>
              <w:pStyle w:val="Summarytabletextrightaligned"/>
            </w:pPr>
            <w:r>
              <w:noBreakHyphen/>
            </w:r>
          </w:p>
        </w:tc>
        <w:tc>
          <w:tcPr>
            <w:tcW w:w="850" w:type="dxa"/>
            <w:shd w:val="clear" w:color="auto" w:fill="E6F2FF"/>
            <w:vAlign w:val="bottom"/>
          </w:tcPr>
          <w:p w14:paraId="72DB65D4" w14:textId="77777777" w:rsidR="00B449D0" w:rsidRDefault="00175344">
            <w:pPr>
              <w:pStyle w:val="Summarytabletextrightaligned"/>
            </w:pPr>
            <w:r>
              <w:t>18.3</w:t>
            </w:r>
          </w:p>
        </w:tc>
        <w:tc>
          <w:tcPr>
            <w:tcW w:w="850" w:type="dxa"/>
            <w:vAlign w:val="bottom"/>
          </w:tcPr>
          <w:p w14:paraId="65DE6E6C" w14:textId="216812A9" w:rsidR="00B449D0" w:rsidRDefault="00076D78">
            <w:pPr>
              <w:pStyle w:val="Summarytabletextrightaligned"/>
            </w:pPr>
            <w:r>
              <w:noBreakHyphen/>
            </w:r>
          </w:p>
        </w:tc>
        <w:tc>
          <w:tcPr>
            <w:tcW w:w="850" w:type="dxa"/>
            <w:vAlign w:val="bottom"/>
          </w:tcPr>
          <w:p w14:paraId="213F218B" w14:textId="1BA04427" w:rsidR="00B449D0" w:rsidRDefault="00076D78">
            <w:pPr>
              <w:pStyle w:val="Summarytabletextrightaligned"/>
            </w:pPr>
            <w:r>
              <w:noBreakHyphen/>
            </w:r>
          </w:p>
        </w:tc>
        <w:tc>
          <w:tcPr>
            <w:tcW w:w="850" w:type="dxa"/>
            <w:vAlign w:val="bottom"/>
          </w:tcPr>
          <w:p w14:paraId="0DF69216" w14:textId="6FF7F556" w:rsidR="00B449D0" w:rsidRDefault="00076D78">
            <w:pPr>
              <w:pStyle w:val="Summarytabletextrightaligned"/>
            </w:pPr>
            <w:r>
              <w:noBreakHyphen/>
            </w:r>
          </w:p>
        </w:tc>
      </w:tr>
      <w:tr w:rsidR="00B449D0" w14:paraId="3F5893B8" w14:textId="77777777" w:rsidTr="7F762F0D">
        <w:tc>
          <w:tcPr>
            <w:tcW w:w="3471" w:type="dxa"/>
            <w:vAlign w:val="bottom"/>
          </w:tcPr>
          <w:p w14:paraId="41782C3E" w14:textId="4566A781" w:rsidR="00B449D0" w:rsidRDefault="00175344">
            <w:pPr>
              <w:pStyle w:val="SummaryMeasureTitlewithTheme"/>
            </w:pPr>
            <w:r>
              <w:t>Defence Workforce Plan – investing in Defence</w:t>
            </w:r>
            <w:r w:rsidR="00076D78">
              <w:t>’</w:t>
            </w:r>
            <w:r>
              <w:t>s people(b)</w:t>
            </w:r>
          </w:p>
        </w:tc>
        <w:tc>
          <w:tcPr>
            <w:tcW w:w="850" w:type="dxa"/>
            <w:vAlign w:val="bottom"/>
          </w:tcPr>
          <w:p w14:paraId="3A462FF3" w14:textId="0D5AD719" w:rsidR="00B449D0" w:rsidRDefault="00076D78">
            <w:pPr>
              <w:pStyle w:val="Summarytabletextrightaligned"/>
            </w:pPr>
            <w:r>
              <w:noBreakHyphen/>
            </w:r>
          </w:p>
        </w:tc>
        <w:tc>
          <w:tcPr>
            <w:tcW w:w="850" w:type="dxa"/>
            <w:shd w:val="clear" w:color="auto" w:fill="E6F2FF"/>
            <w:vAlign w:val="bottom"/>
          </w:tcPr>
          <w:p w14:paraId="31AA468F" w14:textId="593A7FEB" w:rsidR="00B449D0" w:rsidRDefault="00076D78">
            <w:pPr>
              <w:pStyle w:val="Summarytabletextrightaligned"/>
            </w:pPr>
            <w:r>
              <w:noBreakHyphen/>
            </w:r>
          </w:p>
        </w:tc>
        <w:tc>
          <w:tcPr>
            <w:tcW w:w="850" w:type="dxa"/>
            <w:vAlign w:val="bottom"/>
          </w:tcPr>
          <w:p w14:paraId="6C61A826" w14:textId="20796DFF" w:rsidR="00B449D0" w:rsidRDefault="00076D78">
            <w:pPr>
              <w:pStyle w:val="Summarytabletextrightaligned"/>
            </w:pPr>
            <w:r>
              <w:noBreakHyphen/>
            </w:r>
          </w:p>
        </w:tc>
        <w:tc>
          <w:tcPr>
            <w:tcW w:w="850" w:type="dxa"/>
            <w:vAlign w:val="bottom"/>
          </w:tcPr>
          <w:p w14:paraId="797CAF97" w14:textId="031041BA" w:rsidR="00B449D0" w:rsidRDefault="00076D78">
            <w:pPr>
              <w:pStyle w:val="Summarytabletextrightaligned"/>
            </w:pPr>
            <w:r>
              <w:noBreakHyphen/>
            </w:r>
          </w:p>
        </w:tc>
        <w:tc>
          <w:tcPr>
            <w:tcW w:w="850" w:type="dxa"/>
            <w:vAlign w:val="bottom"/>
          </w:tcPr>
          <w:p w14:paraId="3F692260" w14:textId="67CAF219" w:rsidR="00B449D0" w:rsidRDefault="00076D78">
            <w:pPr>
              <w:pStyle w:val="Summarytabletextrightaligned"/>
            </w:pPr>
            <w:r>
              <w:noBreakHyphen/>
            </w:r>
          </w:p>
        </w:tc>
      </w:tr>
      <w:tr w:rsidR="00B449D0" w14:paraId="52C3FE7E" w14:textId="77777777" w:rsidTr="7F762F0D">
        <w:tc>
          <w:tcPr>
            <w:tcW w:w="3471" w:type="dxa"/>
            <w:vAlign w:val="bottom"/>
          </w:tcPr>
          <w:p w14:paraId="4427C153" w14:textId="77777777" w:rsidR="00B449D0" w:rsidRDefault="00175344">
            <w:pPr>
              <w:pStyle w:val="SummaryMeasureTitlewithTheme"/>
            </w:pPr>
            <w:r>
              <w:t>Further Defence Support to Ukraine</w:t>
            </w:r>
          </w:p>
        </w:tc>
        <w:tc>
          <w:tcPr>
            <w:tcW w:w="850" w:type="dxa"/>
            <w:vAlign w:val="bottom"/>
          </w:tcPr>
          <w:p w14:paraId="443071EE" w14:textId="49FFAFEE" w:rsidR="00B449D0" w:rsidRDefault="00076D78">
            <w:pPr>
              <w:pStyle w:val="Summarytabletextrightaligned"/>
            </w:pPr>
            <w:r>
              <w:noBreakHyphen/>
            </w:r>
          </w:p>
        </w:tc>
        <w:tc>
          <w:tcPr>
            <w:tcW w:w="850" w:type="dxa"/>
            <w:shd w:val="clear" w:color="auto" w:fill="E6F2FF"/>
            <w:vAlign w:val="bottom"/>
          </w:tcPr>
          <w:p w14:paraId="118F9D11" w14:textId="77777777" w:rsidR="00B449D0" w:rsidRDefault="00175344">
            <w:pPr>
              <w:pStyle w:val="Summarytabletextrightaligned"/>
            </w:pPr>
            <w:r>
              <w:t>24.2</w:t>
            </w:r>
          </w:p>
        </w:tc>
        <w:tc>
          <w:tcPr>
            <w:tcW w:w="850" w:type="dxa"/>
            <w:vAlign w:val="bottom"/>
          </w:tcPr>
          <w:p w14:paraId="4D895457" w14:textId="1D46C207" w:rsidR="00B449D0" w:rsidRDefault="00076D78">
            <w:pPr>
              <w:pStyle w:val="Summarytabletextrightaligned"/>
            </w:pPr>
            <w:r>
              <w:noBreakHyphen/>
            </w:r>
          </w:p>
        </w:tc>
        <w:tc>
          <w:tcPr>
            <w:tcW w:w="850" w:type="dxa"/>
            <w:vAlign w:val="bottom"/>
          </w:tcPr>
          <w:p w14:paraId="28756C2B" w14:textId="73E40600" w:rsidR="00B449D0" w:rsidRDefault="00076D78">
            <w:pPr>
              <w:pStyle w:val="Summarytabletextrightaligned"/>
            </w:pPr>
            <w:r>
              <w:noBreakHyphen/>
            </w:r>
          </w:p>
        </w:tc>
        <w:tc>
          <w:tcPr>
            <w:tcW w:w="850" w:type="dxa"/>
            <w:vAlign w:val="bottom"/>
          </w:tcPr>
          <w:p w14:paraId="3BC369F0" w14:textId="2A5EB401" w:rsidR="00B449D0" w:rsidRDefault="00076D78">
            <w:pPr>
              <w:pStyle w:val="Summarytabletextrightaligned"/>
            </w:pPr>
            <w:r>
              <w:noBreakHyphen/>
            </w:r>
          </w:p>
        </w:tc>
      </w:tr>
    </w:tbl>
    <w:p w14:paraId="44070D9A" w14:textId="77777777" w:rsidR="00301E48" w:rsidRDefault="00301E48" w:rsidP="000D55F7">
      <w:pPr>
        <w:pStyle w:val="SingleParagraph0"/>
        <w:sectPr w:rsidR="00301E48" w:rsidSect="00301E48">
          <w:pgSz w:w="11906" w:h="16838"/>
          <w:pgMar w:top="2835" w:right="2098" w:bottom="2466" w:left="2098" w:header="1814" w:footer="1814" w:gutter="0"/>
          <w:cols w:space="720"/>
          <w:docGrid w:linePitch="272"/>
        </w:sectPr>
      </w:pPr>
    </w:p>
    <w:p w14:paraId="5DA1A103" w14:textId="0D6772AA" w:rsidR="00301E48" w:rsidRDefault="00301E48" w:rsidP="00301E48">
      <w:pPr>
        <w:pStyle w:val="TableHeadingcontinued"/>
      </w:pPr>
      <w:r>
        <w:lastRenderedPageBreak/>
        <w:t xml:space="preserve">Table </w:t>
      </w:r>
      <w:r w:rsidR="006E0A94">
        <w:t>A.</w:t>
      </w:r>
      <w:r>
        <w:t>2: Payment measures since the 2024–25 Budget</w:t>
      </w:r>
      <w:r>
        <w:rPr>
          <w:rFonts w:ascii="Cambria Math" w:hAnsi="Cambria Math" w:cs="Cambria Math"/>
        </w:rPr>
        <w:t>⁽</w:t>
      </w:r>
      <w:r>
        <w:rPr>
          <w:rFonts w:cs="Arial"/>
        </w:rPr>
        <w:t>ª</w:t>
      </w:r>
      <w:r>
        <w:rPr>
          <w:rFonts w:ascii="Cambria Math" w:hAnsi="Cambria Math" w:cs="Cambria Math"/>
        </w:rPr>
        <w:t>⁾</w:t>
      </w:r>
      <w:r>
        <w:t xml:space="preserve"> (continued)</w:t>
      </w:r>
    </w:p>
    <w:tbl>
      <w:tblPr>
        <w:tblOverlap w:val="never"/>
        <w:tblW w:w="7721" w:type="dxa"/>
        <w:tblBorders>
          <w:top w:val="single" w:sz="4" w:space="0" w:color="000000"/>
          <w:bottom w:val="single" w:sz="4" w:space="0" w:color="000000"/>
        </w:tblBorders>
        <w:tblLayout w:type="fixed"/>
        <w:tblCellMar>
          <w:left w:w="0" w:type="dxa"/>
          <w:right w:w="56" w:type="dxa"/>
        </w:tblCellMar>
        <w:tblLook w:val="04A0" w:firstRow="1" w:lastRow="0" w:firstColumn="1" w:lastColumn="0" w:noHBand="0" w:noVBand="1"/>
      </w:tblPr>
      <w:tblGrid>
        <w:gridCol w:w="3471"/>
        <w:gridCol w:w="850"/>
        <w:gridCol w:w="850"/>
        <w:gridCol w:w="850"/>
        <w:gridCol w:w="850"/>
        <w:gridCol w:w="850"/>
      </w:tblGrid>
      <w:tr w:rsidR="00301E48" w14:paraId="6C73DFD0" w14:textId="77777777" w:rsidTr="7F762F0D">
        <w:tc>
          <w:tcPr>
            <w:tcW w:w="3471" w:type="dxa"/>
            <w:vAlign w:val="bottom"/>
          </w:tcPr>
          <w:p w14:paraId="1CAAE8A7" w14:textId="77777777" w:rsidR="00301E48" w:rsidRDefault="00301E48" w:rsidP="00301E48"/>
        </w:tc>
        <w:tc>
          <w:tcPr>
            <w:tcW w:w="850" w:type="dxa"/>
            <w:tcBorders>
              <w:bottom w:val="nil"/>
            </w:tcBorders>
            <w:vAlign w:val="bottom"/>
          </w:tcPr>
          <w:p w14:paraId="63AC0C1B" w14:textId="57635831" w:rsidR="00301E48" w:rsidRDefault="00301E48" w:rsidP="00301E48">
            <w:pPr>
              <w:pStyle w:val="Summarytabletextrightaligned"/>
            </w:pPr>
            <w:r>
              <w:t>2023</w:t>
            </w:r>
            <w:r w:rsidR="00076D78">
              <w:noBreakHyphen/>
            </w:r>
            <w:r>
              <w:t>24</w:t>
            </w:r>
          </w:p>
        </w:tc>
        <w:tc>
          <w:tcPr>
            <w:tcW w:w="850" w:type="dxa"/>
            <w:tcBorders>
              <w:bottom w:val="nil"/>
            </w:tcBorders>
            <w:shd w:val="clear" w:color="auto" w:fill="E6F2FF"/>
            <w:vAlign w:val="bottom"/>
          </w:tcPr>
          <w:p w14:paraId="5A5965E9" w14:textId="0F9954A8" w:rsidR="00301E48" w:rsidRDefault="00301E48" w:rsidP="00301E48">
            <w:pPr>
              <w:pStyle w:val="Summarytabletextrightaligned"/>
            </w:pPr>
            <w:r>
              <w:t>2024</w:t>
            </w:r>
            <w:r w:rsidR="00076D78">
              <w:noBreakHyphen/>
            </w:r>
            <w:r>
              <w:t>25</w:t>
            </w:r>
          </w:p>
        </w:tc>
        <w:tc>
          <w:tcPr>
            <w:tcW w:w="850" w:type="dxa"/>
            <w:tcBorders>
              <w:bottom w:val="nil"/>
            </w:tcBorders>
            <w:vAlign w:val="bottom"/>
          </w:tcPr>
          <w:p w14:paraId="32A79062" w14:textId="35D17DAB" w:rsidR="00301E48" w:rsidRDefault="00301E48" w:rsidP="00301E48">
            <w:pPr>
              <w:pStyle w:val="Summarytabletextrightaligned"/>
            </w:pPr>
            <w:r>
              <w:t>2025</w:t>
            </w:r>
            <w:r w:rsidR="00076D78">
              <w:noBreakHyphen/>
            </w:r>
            <w:r>
              <w:t>26</w:t>
            </w:r>
          </w:p>
        </w:tc>
        <w:tc>
          <w:tcPr>
            <w:tcW w:w="850" w:type="dxa"/>
            <w:tcBorders>
              <w:bottom w:val="nil"/>
            </w:tcBorders>
            <w:vAlign w:val="bottom"/>
          </w:tcPr>
          <w:p w14:paraId="615AD94A" w14:textId="57E39735" w:rsidR="00301E48" w:rsidRDefault="00301E48" w:rsidP="00301E48">
            <w:pPr>
              <w:pStyle w:val="Summarytabletextrightaligned"/>
            </w:pPr>
            <w:r>
              <w:t>2026</w:t>
            </w:r>
            <w:r w:rsidR="00076D78">
              <w:noBreakHyphen/>
            </w:r>
            <w:r>
              <w:t>27</w:t>
            </w:r>
          </w:p>
        </w:tc>
        <w:tc>
          <w:tcPr>
            <w:tcW w:w="850" w:type="dxa"/>
            <w:tcBorders>
              <w:bottom w:val="nil"/>
            </w:tcBorders>
            <w:vAlign w:val="bottom"/>
          </w:tcPr>
          <w:p w14:paraId="754ED5FA" w14:textId="3ADE0205" w:rsidR="00301E48" w:rsidRDefault="00301E48" w:rsidP="00301E48">
            <w:pPr>
              <w:pStyle w:val="Summarytabletextrightaligned"/>
            </w:pPr>
            <w:r>
              <w:t>2027</w:t>
            </w:r>
            <w:r w:rsidR="00076D78">
              <w:noBreakHyphen/>
            </w:r>
            <w:r>
              <w:t>28</w:t>
            </w:r>
          </w:p>
        </w:tc>
      </w:tr>
      <w:tr w:rsidR="00301E48" w14:paraId="39F402F6" w14:textId="77777777" w:rsidTr="7F762F0D">
        <w:tc>
          <w:tcPr>
            <w:tcW w:w="3471" w:type="dxa"/>
            <w:vAlign w:val="bottom"/>
          </w:tcPr>
          <w:p w14:paraId="345E227A" w14:textId="77777777" w:rsidR="00301E48" w:rsidRDefault="00301E48" w:rsidP="00301E48"/>
        </w:tc>
        <w:tc>
          <w:tcPr>
            <w:tcW w:w="850" w:type="dxa"/>
            <w:tcBorders>
              <w:top w:val="nil"/>
              <w:bottom w:val="single" w:sz="4" w:space="0" w:color="auto"/>
            </w:tcBorders>
            <w:shd w:val="clear" w:color="auto" w:fill="auto"/>
            <w:vAlign w:val="bottom"/>
          </w:tcPr>
          <w:p w14:paraId="1A5D7C29" w14:textId="77777777" w:rsidR="00301E48" w:rsidRDefault="00301E48" w:rsidP="00301E48">
            <w:pPr>
              <w:pStyle w:val="Summarytabletextrightaligned"/>
            </w:pPr>
            <w:r>
              <w:t>$m</w:t>
            </w:r>
          </w:p>
        </w:tc>
        <w:tc>
          <w:tcPr>
            <w:tcW w:w="850" w:type="dxa"/>
            <w:tcBorders>
              <w:top w:val="nil"/>
              <w:bottom w:val="single" w:sz="4" w:space="0" w:color="auto"/>
            </w:tcBorders>
            <w:shd w:val="clear" w:color="auto" w:fill="E6F2FF"/>
            <w:vAlign w:val="bottom"/>
          </w:tcPr>
          <w:p w14:paraId="0F710292" w14:textId="77777777" w:rsidR="00301E48" w:rsidRDefault="00301E48" w:rsidP="00301E48">
            <w:pPr>
              <w:pStyle w:val="Summarytabletextrightaligned"/>
            </w:pPr>
            <w:r>
              <w:t>$m</w:t>
            </w:r>
          </w:p>
        </w:tc>
        <w:tc>
          <w:tcPr>
            <w:tcW w:w="850" w:type="dxa"/>
            <w:tcBorders>
              <w:top w:val="nil"/>
              <w:bottom w:val="single" w:sz="4" w:space="0" w:color="auto"/>
            </w:tcBorders>
            <w:shd w:val="clear" w:color="auto" w:fill="auto"/>
            <w:vAlign w:val="bottom"/>
          </w:tcPr>
          <w:p w14:paraId="7D7C4E10" w14:textId="77777777" w:rsidR="00301E48" w:rsidRDefault="00301E48" w:rsidP="00301E48">
            <w:pPr>
              <w:pStyle w:val="Summarytabletextrightaligned"/>
            </w:pPr>
            <w:r>
              <w:t>$m</w:t>
            </w:r>
          </w:p>
        </w:tc>
        <w:tc>
          <w:tcPr>
            <w:tcW w:w="850" w:type="dxa"/>
            <w:tcBorders>
              <w:top w:val="nil"/>
              <w:bottom w:val="single" w:sz="4" w:space="0" w:color="auto"/>
            </w:tcBorders>
            <w:shd w:val="clear" w:color="auto" w:fill="auto"/>
            <w:vAlign w:val="bottom"/>
          </w:tcPr>
          <w:p w14:paraId="24CBB067" w14:textId="77777777" w:rsidR="00301E48" w:rsidRDefault="00301E48" w:rsidP="00301E48">
            <w:pPr>
              <w:pStyle w:val="Summarytabletextrightaligned"/>
            </w:pPr>
            <w:r>
              <w:t>$m</w:t>
            </w:r>
          </w:p>
        </w:tc>
        <w:tc>
          <w:tcPr>
            <w:tcW w:w="850" w:type="dxa"/>
            <w:tcBorders>
              <w:top w:val="nil"/>
              <w:bottom w:val="single" w:sz="4" w:space="0" w:color="auto"/>
            </w:tcBorders>
            <w:shd w:val="clear" w:color="auto" w:fill="auto"/>
            <w:vAlign w:val="bottom"/>
          </w:tcPr>
          <w:p w14:paraId="353B2B2C" w14:textId="77777777" w:rsidR="00301E48" w:rsidRDefault="00301E48" w:rsidP="00301E48">
            <w:pPr>
              <w:pStyle w:val="Summarytabletextrightaligned"/>
            </w:pPr>
            <w:r>
              <w:t>$m</w:t>
            </w:r>
          </w:p>
        </w:tc>
      </w:tr>
      <w:tr w:rsidR="00301E48" w14:paraId="12FB4029" w14:textId="77777777" w:rsidTr="7F762F0D">
        <w:tc>
          <w:tcPr>
            <w:tcW w:w="3471" w:type="dxa"/>
            <w:tcBorders>
              <w:bottom w:val="nil"/>
            </w:tcBorders>
            <w:vAlign w:val="bottom"/>
          </w:tcPr>
          <w:p w14:paraId="6122783F" w14:textId="77777777" w:rsidR="00301E48" w:rsidRPr="00301E48" w:rsidRDefault="00301E48" w:rsidP="00301E48">
            <w:pPr>
              <w:pStyle w:val="SummaryMeasureTitlewithTheme"/>
              <w:rPr>
                <w:b/>
              </w:rPr>
            </w:pPr>
            <w:r w:rsidRPr="00301E48">
              <w:rPr>
                <w:b/>
              </w:rPr>
              <w:t>DEFENCE (continued)</w:t>
            </w:r>
          </w:p>
        </w:tc>
        <w:tc>
          <w:tcPr>
            <w:tcW w:w="850" w:type="dxa"/>
            <w:tcBorders>
              <w:top w:val="single" w:sz="4" w:space="0" w:color="auto"/>
              <w:bottom w:val="nil"/>
            </w:tcBorders>
            <w:vAlign w:val="bottom"/>
          </w:tcPr>
          <w:p w14:paraId="026C03C6" w14:textId="77777777" w:rsidR="00301E48" w:rsidRDefault="00301E48">
            <w:pPr>
              <w:pStyle w:val="Summarytabletextrightaligned"/>
            </w:pPr>
          </w:p>
        </w:tc>
        <w:tc>
          <w:tcPr>
            <w:tcW w:w="850" w:type="dxa"/>
            <w:tcBorders>
              <w:top w:val="single" w:sz="4" w:space="0" w:color="auto"/>
              <w:bottom w:val="nil"/>
            </w:tcBorders>
            <w:shd w:val="clear" w:color="auto" w:fill="E6F2FF"/>
            <w:vAlign w:val="bottom"/>
          </w:tcPr>
          <w:p w14:paraId="04D97237" w14:textId="77777777" w:rsidR="00301E48" w:rsidRDefault="00301E48">
            <w:pPr>
              <w:pStyle w:val="Summarytabletextrightaligned"/>
            </w:pPr>
          </w:p>
        </w:tc>
        <w:tc>
          <w:tcPr>
            <w:tcW w:w="850" w:type="dxa"/>
            <w:tcBorders>
              <w:top w:val="single" w:sz="4" w:space="0" w:color="auto"/>
              <w:bottom w:val="nil"/>
            </w:tcBorders>
            <w:vAlign w:val="bottom"/>
          </w:tcPr>
          <w:p w14:paraId="24FF4CB3" w14:textId="77777777" w:rsidR="00301E48" w:rsidRDefault="00301E48">
            <w:pPr>
              <w:pStyle w:val="Summarytabletextrightaligned"/>
            </w:pPr>
          </w:p>
        </w:tc>
        <w:tc>
          <w:tcPr>
            <w:tcW w:w="850" w:type="dxa"/>
            <w:tcBorders>
              <w:top w:val="single" w:sz="4" w:space="0" w:color="auto"/>
              <w:bottom w:val="nil"/>
            </w:tcBorders>
            <w:vAlign w:val="bottom"/>
          </w:tcPr>
          <w:p w14:paraId="712E39A5" w14:textId="77777777" w:rsidR="00301E48" w:rsidRDefault="00301E48">
            <w:pPr>
              <w:pStyle w:val="Summarytabletextrightaligned"/>
            </w:pPr>
          </w:p>
        </w:tc>
        <w:tc>
          <w:tcPr>
            <w:tcW w:w="850" w:type="dxa"/>
            <w:tcBorders>
              <w:top w:val="single" w:sz="4" w:space="0" w:color="auto"/>
              <w:bottom w:val="nil"/>
            </w:tcBorders>
            <w:vAlign w:val="bottom"/>
          </w:tcPr>
          <w:p w14:paraId="15665C9A" w14:textId="77777777" w:rsidR="00301E48" w:rsidRDefault="00301E48">
            <w:pPr>
              <w:pStyle w:val="Summarytabletextrightaligned"/>
            </w:pPr>
          </w:p>
        </w:tc>
      </w:tr>
      <w:tr w:rsidR="00B449D0" w14:paraId="47D28E31" w14:textId="77777777" w:rsidTr="7F762F0D">
        <w:tc>
          <w:tcPr>
            <w:tcW w:w="3471" w:type="dxa"/>
            <w:tcBorders>
              <w:top w:val="nil"/>
            </w:tcBorders>
            <w:vAlign w:val="bottom"/>
          </w:tcPr>
          <w:p w14:paraId="4BD931EC" w14:textId="77777777" w:rsidR="00B449D0" w:rsidRDefault="00175344">
            <w:pPr>
              <w:pStyle w:val="SummaryMeasureTitlewithTheme"/>
            </w:pPr>
            <w:r>
              <w:t>Investing in Defence Naval Shipbuilding in Australia</w:t>
            </w:r>
          </w:p>
        </w:tc>
        <w:tc>
          <w:tcPr>
            <w:tcW w:w="850" w:type="dxa"/>
            <w:tcBorders>
              <w:top w:val="nil"/>
            </w:tcBorders>
            <w:vAlign w:val="bottom"/>
          </w:tcPr>
          <w:p w14:paraId="665CFA15" w14:textId="0E296D27" w:rsidR="00B449D0" w:rsidRDefault="00076D78">
            <w:pPr>
              <w:pStyle w:val="Summarytabletextrightaligned"/>
            </w:pPr>
            <w:r>
              <w:noBreakHyphen/>
            </w:r>
          </w:p>
        </w:tc>
        <w:tc>
          <w:tcPr>
            <w:tcW w:w="850" w:type="dxa"/>
            <w:tcBorders>
              <w:top w:val="nil"/>
            </w:tcBorders>
            <w:shd w:val="clear" w:color="auto" w:fill="E6F2FF"/>
            <w:vAlign w:val="bottom"/>
          </w:tcPr>
          <w:p w14:paraId="17F2DF2F" w14:textId="37196FE9" w:rsidR="00B449D0" w:rsidRDefault="00076D78">
            <w:pPr>
              <w:pStyle w:val="Summarytabletextrightaligned"/>
            </w:pPr>
            <w:r>
              <w:noBreakHyphen/>
            </w:r>
          </w:p>
        </w:tc>
        <w:tc>
          <w:tcPr>
            <w:tcW w:w="850" w:type="dxa"/>
            <w:tcBorders>
              <w:top w:val="nil"/>
            </w:tcBorders>
            <w:vAlign w:val="bottom"/>
          </w:tcPr>
          <w:p w14:paraId="5B68C299" w14:textId="6ABF6146" w:rsidR="00B449D0" w:rsidRDefault="00076D78">
            <w:pPr>
              <w:pStyle w:val="Summarytabletextrightaligned"/>
            </w:pPr>
            <w:r>
              <w:noBreakHyphen/>
            </w:r>
          </w:p>
        </w:tc>
        <w:tc>
          <w:tcPr>
            <w:tcW w:w="850" w:type="dxa"/>
            <w:tcBorders>
              <w:top w:val="nil"/>
            </w:tcBorders>
            <w:vAlign w:val="bottom"/>
          </w:tcPr>
          <w:p w14:paraId="5CFE4E15" w14:textId="64811F8C" w:rsidR="00B449D0" w:rsidRDefault="00076D78">
            <w:pPr>
              <w:pStyle w:val="Summarytabletextrightaligned"/>
            </w:pPr>
            <w:r>
              <w:noBreakHyphen/>
            </w:r>
          </w:p>
        </w:tc>
        <w:tc>
          <w:tcPr>
            <w:tcW w:w="850" w:type="dxa"/>
            <w:tcBorders>
              <w:top w:val="nil"/>
            </w:tcBorders>
            <w:vAlign w:val="bottom"/>
          </w:tcPr>
          <w:p w14:paraId="2306680D" w14:textId="5A5BFDA1" w:rsidR="00B449D0" w:rsidRDefault="00076D78">
            <w:pPr>
              <w:pStyle w:val="Summarytabletextrightaligned"/>
            </w:pPr>
            <w:r>
              <w:noBreakHyphen/>
            </w:r>
          </w:p>
        </w:tc>
      </w:tr>
      <w:tr w:rsidR="00B449D0" w14:paraId="25DA62C2" w14:textId="77777777" w:rsidTr="7F762F0D">
        <w:tc>
          <w:tcPr>
            <w:tcW w:w="3471" w:type="dxa"/>
            <w:vAlign w:val="bottom"/>
          </w:tcPr>
          <w:p w14:paraId="73A5D4F9" w14:textId="77777777" w:rsidR="00B449D0" w:rsidRDefault="00175344">
            <w:pPr>
              <w:pStyle w:val="SummaryMeasureTitlewithTheme"/>
            </w:pPr>
            <w:r>
              <w:t>Nuclear‑Powered Submarine Program – infrastructure and capacity investment</w:t>
            </w:r>
          </w:p>
        </w:tc>
        <w:tc>
          <w:tcPr>
            <w:tcW w:w="850" w:type="dxa"/>
            <w:vAlign w:val="bottom"/>
          </w:tcPr>
          <w:p w14:paraId="3BE8593B" w14:textId="15338D58" w:rsidR="00B449D0" w:rsidRDefault="00076D78">
            <w:pPr>
              <w:pStyle w:val="Summarytabletextrightaligned"/>
            </w:pPr>
            <w:r>
              <w:noBreakHyphen/>
            </w:r>
          </w:p>
        </w:tc>
        <w:tc>
          <w:tcPr>
            <w:tcW w:w="850" w:type="dxa"/>
            <w:shd w:val="clear" w:color="auto" w:fill="E6F2FF"/>
            <w:vAlign w:val="bottom"/>
          </w:tcPr>
          <w:p w14:paraId="5BB4012D" w14:textId="77777777" w:rsidR="00B449D0" w:rsidRDefault="00175344">
            <w:pPr>
              <w:pStyle w:val="Summarytabletextrightaligned"/>
            </w:pPr>
            <w:r w:rsidRPr="7F762F0D">
              <w:rPr>
                <w:lang w:val="en-US"/>
              </w:rPr>
              <w:t>nfp</w:t>
            </w:r>
          </w:p>
        </w:tc>
        <w:tc>
          <w:tcPr>
            <w:tcW w:w="850" w:type="dxa"/>
            <w:vAlign w:val="bottom"/>
          </w:tcPr>
          <w:p w14:paraId="239E05E6" w14:textId="77777777" w:rsidR="00B449D0" w:rsidRDefault="00175344">
            <w:pPr>
              <w:pStyle w:val="Summarytabletextrightaligned"/>
            </w:pPr>
            <w:r w:rsidRPr="7F762F0D">
              <w:rPr>
                <w:lang w:val="en-US"/>
              </w:rPr>
              <w:t>nfp</w:t>
            </w:r>
          </w:p>
        </w:tc>
        <w:tc>
          <w:tcPr>
            <w:tcW w:w="850" w:type="dxa"/>
            <w:vAlign w:val="bottom"/>
          </w:tcPr>
          <w:p w14:paraId="00550746" w14:textId="77777777" w:rsidR="00B449D0" w:rsidRDefault="00175344">
            <w:pPr>
              <w:pStyle w:val="Summarytabletextrightaligned"/>
            </w:pPr>
            <w:r w:rsidRPr="7F762F0D">
              <w:rPr>
                <w:lang w:val="en-US"/>
              </w:rPr>
              <w:t>nfp</w:t>
            </w:r>
          </w:p>
        </w:tc>
        <w:tc>
          <w:tcPr>
            <w:tcW w:w="850" w:type="dxa"/>
            <w:vAlign w:val="bottom"/>
          </w:tcPr>
          <w:p w14:paraId="5904BD2E" w14:textId="77777777" w:rsidR="00B449D0" w:rsidRDefault="00175344">
            <w:pPr>
              <w:pStyle w:val="Summarytabletextrightaligned"/>
            </w:pPr>
            <w:r w:rsidRPr="7F762F0D">
              <w:rPr>
                <w:lang w:val="en-US"/>
              </w:rPr>
              <w:t>nfp</w:t>
            </w:r>
          </w:p>
        </w:tc>
      </w:tr>
      <w:tr w:rsidR="00B449D0" w14:paraId="41F4118D" w14:textId="77777777" w:rsidTr="7F762F0D">
        <w:tc>
          <w:tcPr>
            <w:tcW w:w="3471" w:type="dxa"/>
            <w:vAlign w:val="bottom"/>
          </w:tcPr>
          <w:p w14:paraId="460B748F" w14:textId="77777777" w:rsidR="00B449D0" w:rsidRDefault="00175344">
            <w:pPr>
              <w:pStyle w:val="SummaryMeasureTitlewithTheme"/>
            </w:pPr>
            <w:r>
              <w:t>Nuclear‑Powered Submarine Program – security and industry growth</w:t>
            </w:r>
          </w:p>
        </w:tc>
        <w:tc>
          <w:tcPr>
            <w:tcW w:w="850" w:type="dxa"/>
            <w:vAlign w:val="bottom"/>
          </w:tcPr>
          <w:p w14:paraId="408361C0" w14:textId="33BB8839" w:rsidR="00B449D0" w:rsidRDefault="00076D78">
            <w:pPr>
              <w:pStyle w:val="Summarytabletextrightaligned"/>
            </w:pPr>
            <w:r>
              <w:noBreakHyphen/>
            </w:r>
          </w:p>
        </w:tc>
        <w:tc>
          <w:tcPr>
            <w:tcW w:w="850" w:type="dxa"/>
            <w:shd w:val="clear" w:color="auto" w:fill="E6F2FF"/>
            <w:vAlign w:val="bottom"/>
          </w:tcPr>
          <w:p w14:paraId="0B49C763" w14:textId="2836EA9A" w:rsidR="00B449D0" w:rsidRDefault="00076D78">
            <w:pPr>
              <w:pStyle w:val="Summarytabletextrightaligned"/>
            </w:pPr>
            <w:r>
              <w:noBreakHyphen/>
            </w:r>
          </w:p>
        </w:tc>
        <w:tc>
          <w:tcPr>
            <w:tcW w:w="850" w:type="dxa"/>
            <w:vAlign w:val="bottom"/>
          </w:tcPr>
          <w:p w14:paraId="2872E321" w14:textId="77777777" w:rsidR="00B449D0" w:rsidRDefault="00175344">
            <w:pPr>
              <w:pStyle w:val="Summarytabletextrightaligned"/>
            </w:pPr>
            <w:r>
              <w:t>14.5</w:t>
            </w:r>
          </w:p>
        </w:tc>
        <w:tc>
          <w:tcPr>
            <w:tcW w:w="850" w:type="dxa"/>
            <w:vAlign w:val="bottom"/>
          </w:tcPr>
          <w:p w14:paraId="5A802B60" w14:textId="7E969716" w:rsidR="00B449D0" w:rsidRDefault="00076D78">
            <w:pPr>
              <w:pStyle w:val="Summarytabletextrightaligned"/>
            </w:pPr>
            <w:r>
              <w:noBreakHyphen/>
            </w:r>
          </w:p>
        </w:tc>
        <w:tc>
          <w:tcPr>
            <w:tcW w:w="850" w:type="dxa"/>
            <w:vAlign w:val="bottom"/>
          </w:tcPr>
          <w:p w14:paraId="020CD92C" w14:textId="1694F430" w:rsidR="00B449D0" w:rsidRDefault="00076D78">
            <w:pPr>
              <w:pStyle w:val="Summarytabletextrightaligned"/>
            </w:pPr>
            <w:r>
              <w:noBreakHyphen/>
            </w:r>
          </w:p>
        </w:tc>
      </w:tr>
      <w:tr w:rsidR="00B449D0" w14:paraId="336E11AB" w14:textId="77777777" w:rsidTr="7F762F0D">
        <w:tc>
          <w:tcPr>
            <w:tcW w:w="3471" w:type="dxa"/>
            <w:vAlign w:val="bottom"/>
          </w:tcPr>
          <w:p w14:paraId="4B521A47" w14:textId="77777777" w:rsidR="00B449D0" w:rsidRDefault="00175344">
            <w:pPr>
              <w:pStyle w:val="SummaryMeasureTitlewithTheme"/>
            </w:pPr>
            <w:r>
              <w:t>Parliamentary Joint Committee on Defence – reversal</w:t>
            </w:r>
          </w:p>
        </w:tc>
        <w:tc>
          <w:tcPr>
            <w:tcW w:w="850" w:type="dxa"/>
            <w:vAlign w:val="bottom"/>
          </w:tcPr>
          <w:p w14:paraId="27C6EE49" w14:textId="27B7A3E2" w:rsidR="00B449D0" w:rsidRDefault="00076D78">
            <w:pPr>
              <w:pStyle w:val="Summarytabletextrightaligned"/>
            </w:pPr>
            <w:r>
              <w:noBreakHyphen/>
            </w:r>
          </w:p>
        </w:tc>
        <w:tc>
          <w:tcPr>
            <w:tcW w:w="850" w:type="dxa"/>
            <w:shd w:val="clear" w:color="auto" w:fill="E6F2FF"/>
            <w:vAlign w:val="bottom"/>
          </w:tcPr>
          <w:p w14:paraId="15B02DDB" w14:textId="488074BE" w:rsidR="00B449D0" w:rsidRDefault="00076D78">
            <w:pPr>
              <w:pStyle w:val="Summarytabletextrightaligned"/>
            </w:pPr>
            <w:r>
              <w:noBreakHyphen/>
            </w:r>
            <w:r w:rsidR="00175344">
              <w:t>1.9</w:t>
            </w:r>
          </w:p>
        </w:tc>
        <w:tc>
          <w:tcPr>
            <w:tcW w:w="850" w:type="dxa"/>
            <w:vAlign w:val="bottom"/>
          </w:tcPr>
          <w:p w14:paraId="22DBDB0A" w14:textId="692995F9" w:rsidR="00B449D0" w:rsidRDefault="00076D78">
            <w:pPr>
              <w:pStyle w:val="Summarytabletextrightaligned"/>
            </w:pPr>
            <w:r>
              <w:noBreakHyphen/>
            </w:r>
            <w:r w:rsidR="00175344">
              <w:t>1.6</w:t>
            </w:r>
          </w:p>
        </w:tc>
        <w:tc>
          <w:tcPr>
            <w:tcW w:w="850" w:type="dxa"/>
            <w:vAlign w:val="bottom"/>
          </w:tcPr>
          <w:p w14:paraId="676ED61D" w14:textId="61EEE059" w:rsidR="00B449D0" w:rsidRDefault="00076D78">
            <w:pPr>
              <w:pStyle w:val="Summarytabletextrightaligned"/>
            </w:pPr>
            <w:r>
              <w:noBreakHyphen/>
            </w:r>
            <w:r w:rsidR="00175344">
              <w:t>1.6</w:t>
            </w:r>
          </w:p>
        </w:tc>
        <w:tc>
          <w:tcPr>
            <w:tcW w:w="850" w:type="dxa"/>
            <w:vAlign w:val="bottom"/>
          </w:tcPr>
          <w:p w14:paraId="2218FB51" w14:textId="3728F3B5" w:rsidR="00B449D0" w:rsidRDefault="00076D78">
            <w:pPr>
              <w:pStyle w:val="Summarytabletextrightaligned"/>
            </w:pPr>
            <w:r>
              <w:noBreakHyphen/>
            </w:r>
            <w:r w:rsidR="00175344">
              <w:t>1.7</w:t>
            </w:r>
          </w:p>
        </w:tc>
      </w:tr>
      <w:tr w:rsidR="00B449D0" w14:paraId="07A4C7C9" w14:textId="77777777" w:rsidTr="7F762F0D">
        <w:tc>
          <w:tcPr>
            <w:tcW w:w="3471" w:type="dxa"/>
            <w:vAlign w:val="bottom"/>
          </w:tcPr>
          <w:p w14:paraId="20A88C4A" w14:textId="77777777" w:rsidR="00B449D0" w:rsidRDefault="00175344">
            <w:pPr>
              <w:pStyle w:val="SummaryMeasureTitlewithTheme"/>
            </w:pPr>
            <w:r>
              <w:t>Royal Commission into Defence and Veteran Suicide – initial steps</w:t>
            </w:r>
          </w:p>
        </w:tc>
        <w:tc>
          <w:tcPr>
            <w:tcW w:w="850" w:type="dxa"/>
            <w:vAlign w:val="bottom"/>
          </w:tcPr>
          <w:p w14:paraId="7D1AAB13" w14:textId="3F71D5CA" w:rsidR="00B449D0" w:rsidRDefault="00076D78">
            <w:pPr>
              <w:pStyle w:val="Summarytabletextrightaligned"/>
            </w:pPr>
            <w:r>
              <w:noBreakHyphen/>
            </w:r>
          </w:p>
        </w:tc>
        <w:tc>
          <w:tcPr>
            <w:tcW w:w="850" w:type="dxa"/>
            <w:shd w:val="clear" w:color="auto" w:fill="E6F2FF"/>
            <w:vAlign w:val="bottom"/>
          </w:tcPr>
          <w:p w14:paraId="032200F3" w14:textId="2296C370" w:rsidR="00B449D0" w:rsidRDefault="00076D78">
            <w:pPr>
              <w:pStyle w:val="Summarytabletextrightaligned"/>
            </w:pPr>
            <w:r>
              <w:noBreakHyphen/>
            </w:r>
            <w:r w:rsidR="00175344">
              <w:t>7.0</w:t>
            </w:r>
          </w:p>
        </w:tc>
        <w:tc>
          <w:tcPr>
            <w:tcW w:w="850" w:type="dxa"/>
            <w:vAlign w:val="bottom"/>
          </w:tcPr>
          <w:p w14:paraId="4A8B264B" w14:textId="4AFFA77A" w:rsidR="00B449D0" w:rsidRDefault="00076D78">
            <w:pPr>
              <w:pStyle w:val="Summarytabletextrightaligned"/>
            </w:pPr>
            <w:r>
              <w:noBreakHyphen/>
            </w:r>
            <w:r w:rsidR="00175344">
              <w:t>2.5</w:t>
            </w:r>
          </w:p>
        </w:tc>
        <w:tc>
          <w:tcPr>
            <w:tcW w:w="850" w:type="dxa"/>
            <w:vAlign w:val="bottom"/>
          </w:tcPr>
          <w:p w14:paraId="5748F80B" w14:textId="507E9807" w:rsidR="00B449D0" w:rsidRDefault="00076D78">
            <w:pPr>
              <w:pStyle w:val="Summarytabletextrightaligned"/>
            </w:pPr>
            <w:r>
              <w:noBreakHyphen/>
            </w:r>
          </w:p>
        </w:tc>
        <w:tc>
          <w:tcPr>
            <w:tcW w:w="850" w:type="dxa"/>
            <w:vAlign w:val="bottom"/>
          </w:tcPr>
          <w:p w14:paraId="2560A4F3" w14:textId="136D4A4F" w:rsidR="00B449D0" w:rsidRDefault="00076D78">
            <w:pPr>
              <w:pStyle w:val="Summarytabletextrightaligned"/>
            </w:pPr>
            <w:r>
              <w:noBreakHyphen/>
            </w:r>
          </w:p>
        </w:tc>
      </w:tr>
      <w:tr w:rsidR="00B449D0" w14:paraId="3FAFD2CC" w14:textId="77777777" w:rsidTr="7F762F0D">
        <w:tc>
          <w:tcPr>
            <w:tcW w:w="3471" w:type="dxa"/>
            <w:vAlign w:val="bottom"/>
          </w:tcPr>
          <w:p w14:paraId="579124C3" w14:textId="77777777" w:rsidR="00B449D0" w:rsidRDefault="00175344">
            <w:pPr>
              <w:pStyle w:val="SummaryMeasureTitlewithTheme"/>
            </w:pPr>
            <w:r>
              <w:t>Supporting Education and Training for Defence Industry</w:t>
            </w:r>
          </w:p>
        </w:tc>
        <w:tc>
          <w:tcPr>
            <w:tcW w:w="850" w:type="dxa"/>
            <w:vAlign w:val="bottom"/>
          </w:tcPr>
          <w:p w14:paraId="763C3643" w14:textId="3D7D90EF" w:rsidR="00B449D0" w:rsidRDefault="00076D78">
            <w:pPr>
              <w:pStyle w:val="Summarytabletextrightaligned"/>
            </w:pPr>
            <w:r>
              <w:noBreakHyphen/>
            </w:r>
          </w:p>
        </w:tc>
        <w:tc>
          <w:tcPr>
            <w:tcW w:w="850" w:type="dxa"/>
            <w:shd w:val="clear" w:color="auto" w:fill="E6F2FF"/>
            <w:vAlign w:val="bottom"/>
          </w:tcPr>
          <w:p w14:paraId="7EFA97FB" w14:textId="205D98C7" w:rsidR="00B449D0" w:rsidRDefault="00076D78">
            <w:pPr>
              <w:pStyle w:val="Summarytabletextrightaligned"/>
            </w:pPr>
            <w:r>
              <w:noBreakHyphen/>
            </w:r>
            <w:r w:rsidR="00175344">
              <w:t>1.0</w:t>
            </w:r>
          </w:p>
        </w:tc>
        <w:tc>
          <w:tcPr>
            <w:tcW w:w="850" w:type="dxa"/>
            <w:vAlign w:val="bottom"/>
          </w:tcPr>
          <w:p w14:paraId="6EA56AE5" w14:textId="34C13839" w:rsidR="00B449D0" w:rsidRDefault="00076D78">
            <w:pPr>
              <w:pStyle w:val="Summarytabletextrightaligned"/>
            </w:pPr>
            <w:r>
              <w:noBreakHyphen/>
            </w:r>
          </w:p>
        </w:tc>
        <w:tc>
          <w:tcPr>
            <w:tcW w:w="850" w:type="dxa"/>
            <w:vAlign w:val="bottom"/>
          </w:tcPr>
          <w:p w14:paraId="5B02D6FD" w14:textId="74EF4504" w:rsidR="00B449D0" w:rsidRDefault="00076D78">
            <w:pPr>
              <w:pStyle w:val="Summarytabletextrightaligned"/>
            </w:pPr>
            <w:r>
              <w:noBreakHyphen/>
            </w:r>
          </w:p>
        </w:tc>
        <w:tc>
          <w:tcPr>
            <w:tcW w:w="850" w:type="dxa"/>
            <w:vAlign w:val="bottom"/>
          </w:tcPr>
          <w:p w14:paraId="16FE953C" w14:textId="644A4466" w:rsidR="00B449D0" w:rsidRDefault="00076D78">
            <w:pPr>
              <w:pStyle w:val="Summarytabletextrightaligned"/>
            </w:pPr>
            <w:r>
              <w:noBreakHyphen/>
            </w:r>
          </w:p>
        </w:tc>
      </w:tr>
      <w:tr w:rsidR="00B449D0" w14:paraId="3BADC19C" w14:textId="77777777" w:rsidTr="7F762F0D">
        <w:tc>
          <w:tcPr>
            <w:tcW w:w="3471" w:type="dxa"/>
            <w:vAlign w:val="bottom"/>
          </w:tcPr>
          <w:p w14:paraId="5736B832" w14:textId="660F087A" w:rsidR="00B449D0" w:rsidRDefault="00175344">
            <w:pPr>
              <w:pStyle w:val="SummaryAgencyTitle-BP2"/>
            </w:pPr>
            <w:r>
              <w:t>Department of Veterans</w:t>
            </w:r>
            <w:r w:rsidR="00076D78">
              <w:t>’</w:t>
            </w:r>
            <w:r>
              <w:t xml:space="preserve"> Affairs</w:t>
            </w:r>
          </w:p>
        </w:tc>
        <w:tc>
          <w:tcPr>
            <w:tcW w:w="850" w:type="dxa"/>
          </w:tcPr>
          <w:p w14:paraId="69453911" w14:textId="77777777" w:rsidR="00B449D0" w:rsidRDefault="00B449D0">
            <w:pPr>
              <w:pStyle w:val="SummaryAgencyTitle-BP2"/>
            </w:pPr>
          </w:p>
        </w:tc>
        <w:tc>
          <w:tcPr>
            <w:tcW w:w="850" w:type="dxa"/>
            <w:shd w:val="clear" w:color="auto" w:fill="E6F2FF"/>
          </w:tcPr>
          <w:p w14:paraId="1FAB3864" w14:textId="77777777" w:rsidR="00B449D0" w:rsidRDefault="00B449D0">
            <w:pPr>
              <w:pStyle w:val="SummaryAgencyTitle-BP2"/>
            </w:pPr>
          </w:p>
        </w:tc>
        <w:tc>
          <w:tcPr>
            <w:tcW w:w="850" w:type="dxa"/>
          </w:tcPr>
          <w:p w14:paraId="069F076F" w14:textId="77777777" w:rsidR="00B449D0" w:rsidRDefault="00B449D0">
            <w:pPr>
              <w:pStyle w:val="SummaryAgencyTitle-BP2"/>
            </w:pPr>
          </w:p>
        </w:tc>
        <w:tc>
          <w:tcPr>
            <w:tcW w:w="850" w:type="dxa"/>
          </w:tcPr>
          <w:p w14:paraId="1DECDC28" w14:textId="77777777" w:rsidR="00B449D0" w:rsidRDefault="00B449D0">
            <w:pPr>
              <w:pStyle w:val="SummaryAgencyTitle-BP2"/>
            </w:pPr>
          </w:p>
        </w:tc>
        <w:tc>
          <w:tcPr>
            <w:tcW w:w="850" w:type="dxa"/>
          </w:tcPr>
          <w:p w14:paraId="22C6B22A" w14:textId="77777777" w:rsidR="00B449D0" w:rsidRDefault="00B449D0">
            <w:pPr>
              <w:pStyle w:val="SummaryAgencyTitle-BP2"/>
            </w:pPr>
          </w:p>
        </w:tc>
      </w:tr>
      <w:tr w:rsidR="00B449D0" w14:paraId="28954B60" w14:textId="77777777" w:rsidTr="7F762F0D">
        <w:tc>
          <w:tcPr>
            <w:tcW w:w="3471" w:type="dxa"/>
            <w:vAlign w:val="bottom"/>
          </w:tcPr>
          <w:p w14:paraId="13E95B09" w14:textId="77777777" w:rsidR="00B449D0" w:rsidRDefault="00175344">
            <w:pPr>
              <w:pStyle w:val="SummaryMeasureTitlewithTheme"/>
            </w:pPr>
            <w:r>
              <w:t>Additional Support for Australian Defence Force Members and Veterans</w:t>
            </w:r>
          </w:p>
        </w:tc>
        <w:tc>
          <w:tcPr>
            <w:tcW w:w="850" w:type="dxa"/>
            <w:vAlign w:val="bottom"/>
          </w:tcPr>
          <w:p w14:paraId="7A56282E" w14:textId="70FC7518" w:rsidR="00B449D0" w:rsidRDefault="00076D78">
            <w:pPr>
              <w:pStyle w:val="Summarytabletextrightaligned"/>
            </w:pPr>
            <w:r>
              <w:noBreakHyphen/>
            </w:r>
          </w:p>
        </w:tc>
        <w:tc>
          <w:tcPr>
            <w:tcW w:w="850" w:type="dxa"/>
            <w:shd w:val="clear" w:color="auto" w:fill="E6F2FF"/>
            <w:vAlign w:val="bottom"/>
          </w:tcPr>
          <w:p w14:paraId="56506A97" w14:textId="45D9D886" w:rsidR="00B449D0" w:rsidRDefault="00076D78">
            <w:pPr>
              <w:pStyle w:val="Summarytabletextrightaligned"/>
            </w:pPr>
            <w:r>
              <w:noBreakHyphen/>
            </w:r>
          </w:p>
        </w:tc>
        <w:tc>
          <w:tcPr>
            <w:tcW w:w="850" w:type="dxa"/>
            <w:vAlign w:val="bottom"/>
          </w:tcPr>
          <w:p w14:paraId="661602B0" w14:textId="2F88DB7F" w:rsidR="00B449D0" w:rsidRDefault="00076D78">
            <w:pPr>
              <w:pStyle w:val="Summarytabletextrightaligned"/>
            </w:pPr>
            <w:r>
              <w:noBreakHyphen/>
            </w:r>
          </w:p>
        </w:tc>
        <w:tc>
          <w:tcPr>
            <w:tcW w:w="850" w:type="dxa"/>
            <w:vAlign w:val="bottom"/>
          </w:tcPr>
          <w:p w14:paraId="7571FFFD" w14:textId="77777777" w:rsidR="00B449D0" w:rsidRDefault="00175344">
            <w:pPr>
              <w:pStyle w:val="Summarytabletextrightaligned"/>
            </w:pPr>
            <w:r>
              <w:t>..</w:t>
            </w:r>
          </w:p>
        </w:tc>
        <w:tc>
          <w:tcPr>
            <w:tcW w:w="850" w:type="dxa"/>
            <w:vAlign w:val="bottom"/>
          </w:tcPr>
          <w:p w14:paraId="317675E3" w14:textId="77777777" w:rsidR="00B449D0" w:rsidRDefault="00175344">
            <w:pPr>
              <w:pStyle w:val="Summarytabletextrightaligned"/>
            </w:pPr>
            <w:r>
              <w:t>..</w:t>
            </w:r>
          </w:p>
        </w:tc>
      </w:tr>
      <w:tr w:rsidR="00B449D0" w14:paraId="1F3264C9" w14:textId="77777777" w:rsidTr="7F762F0D">
        <w:tc>
          <w:tcPr>
            <w:tcW w:w="3471" w:type="dxa"/>
            <w:vAlign w:val="bottom"/>
          </w:tcPr>
          <w:p w14:paraId="0279676A" w14:textId="77777777" w:rsidR="00B449D0" w:rsidRDefault="00175344">
            <w:pPr>
              <w:pStyle w:val="SummaryMeasureTitlewithTheme"/>
            </w:pPr>
            <w:r>
              <w:t>An Effective and Clinically Appropriate Medicare Benefits Schedule</w:t>
            </w:r>
          </w:p>
        </w:tc>
        <w:tc>
          <w:tcPr>
            <w:tcW w:w="850" w:type="dxa"/>
            <w:vAlign w:val="bottom"/>
          </w:tcPr>
          <w:p w14:paraId="0680F034" w14:textId="702AF131" w:rsidR="00B449D0" w:rsidRDefault="00076D78">
            <w:pPr>
              <w:pStyle w:val="Summarytabletextrightaligned"/>
            </w:pPr>
            <w:r>
              <w:noBreakHyphen/>
            </w:r>
          </w:p>
        </w:tc>
        <w:tc>
          <w:tcPr>
            <w:tcW w:w="850" w:type="dxa"/>
            <w:shd w:val="clear" w:color="auto" w:fill="E6F2FF"/>
            <w:vAlign w:val="bottom"/>
          </w:tcPr>
          <w:p w14:paraId="1B8BB231" w14:textId="77777777" w:rsidR="00B449D0" w:rsidRDefault="00175344">
            <w:pPr>
              <w:pStyle w:val="Summarytabletextrightaligned"/>
            </w:pPr>
            <w:r>
              <w:t>0.8</w:t>
            </w:r>
          </w:p>
        </w:tc>
        <w:tc>
          <w:tcPr>
            <w:tcW w:w="850" w:type="dxa"/>
            <w:vAlign w:val="bottom"/>
          </w:tcPr>
          <w:p w14:paraId="593FCE38" w14:textId="77777777" w:rsidR="00B449D0" w:rsidRDefault="00175344">
            <w:pPr>
              <w:pStyle w:val="Summarytabletextrightaligned"/>
            </w:pPr>
            <w:r>
              <w:t>0.6</w:t>
            </w:r>
          </w:p>
        </w:tc>
        <w:tc>
          <w:tcPr>
            <w:tcW w:w="850" w:type="dxa"/>
            <w:vAlign w:val="bottom"/>
          </w:tcPr>
          <w:p w14:paraId="7FD70F6C" w14:textId="77777777" w:rsidR="00B449D0" w:rsidRDefault="00175344">
            <w:pPr>
              <w:pStyle w:val="Summarytabletextrightaligned"/>
            </w:pPr>
            <w:r>
              <w:t>0.8</w:t>
            </w:r>
          </w:p>
        </w:tc>
        <w:tc>
          <w:tcPr>
            <w:tcW w:w="850" w:type="dxa"/>
            <w:vAlign w:val="bottom"/>
          </w:tcPr>
          <w:p w14:paraId="787798EB" w14:textId="77777777" w:rsidR="00B449D0" w:rsidRDefault="00175344">
            <w:pPr>
              <w:pStyle w:val="Summarytabletextrightaligned"/>
            </w:pPr>
            <w:r>
              <w:t>0.9</w:t>
            </w:r>
          </w:p>
        </w:tc>
      </w:tr>
      <w:tr w:rsidR="00B449D0" w14:paraId="1D86DB6F" w14:textId="77777777" w:rsidTr="7F762F0D">
        <w:tc>
          <w:tcPr>
            <w:tcW w:w="3471" w:type="dxa"/>
            <w:vAlign w:val="bottom"/>
          </w:tcPr>
          <w:p w14:paraId="6B513EC5" w14:textId="49E6B8C0" w:rsidR="00B449D0" w:rsidRDefault="00175344">
            <w:pPr>
              <w:pStyle w:val="SummaryMeasureTitlewithTheme"/>
            </w:pPr>
            <w:r>
              <w:t>Department of Veterans</w:t>
            </w:r>
            <w:r w:rsidR="00076D78">
              <w:t>’</w:t>
            </w:r>
            <w:r>
              <w:t xml:space="preserve"> Affairs – additional resourcing to support service delivery</w:t>
            </w:r>
          </w:p>
        </w:tc>
        <w:tc>
          <w:tcPr>
            <w:tcW w:w="850" w:type="dxa"/>
            <w:vAlign w:val="bottom"/>
          </w:tcPr>
          <w:p w14:paraId="26E1FDE9" w14:textId="084DE9E8" w:rsidR="00B449D0" w:rsidRDefault="00076D78">
            <w:pPr>
              <w:pStyle w:val="Summarytabletextrightaligned"/>
            </w:pPr>
            <w:r>
              <w:noBreakHyphen/>
            </w:r>
          </w:p>
        </w:tc>
        <w:tc>
          <w:tcPr>
            <w:tcW w:w="850" w:type="dxa"/>
            <w:shd w:val="clear" w:color="auto" w:fill="E6F2FF"/>
            <w:vAlign w:val="bottom"/>
          </w:tcPr>
          <w:p w14:paraId="46D68E50" w14:textId="77777777" w:rsidR="00B449D0" w:rsidRDefault="00175344">
            <w:pPr>
              <w:pStyle w:val="Summarytabletextrightaligned"/>
            </w:pPr>
            <w:r>
              <w:t>30.4</w:t>
            </w:r>
          </w:p>
        </w:tc>
        <w:tc>
          <w:tcPr>
            <w:tcW w:w="850" w:type="dxa"/>
            <w:vAlign w:val="bottom"/>
          </w:tcPr>
          <w:p w14:paraId="301E7585" w14:textId="6B4E0D19" w:rsidR="00B449D0" w:rsidRDefault="00076D78">
            <w:pPr>
              <w:pStyle w:val="Summarytabletextrightaligned"/>
            </w:pPr>
            <w:r>
              <w:noBreakHyphen/>
            </w:r>
          </w:p>
        </w:tc>
        <w:tc>
          <w:tcPr>
            <w:tcW w:w="850" w:type="dxa"/>
            <w:vAlign w:val="bottom"/>
          </w:tcPr>
          <w:p w14:paraId="1B8F3CB8" w14:textId="7EB34256" w:rsidR="00B449D0" w:rsidRDefault="00076D78">
            <w:pPr>
              <w:pStyle w:val="Summarytabletextrightaligned"/>
            </w:pPr>
            <w:r>
              <w:noBreakHyphen/>
            </w:r>
          </w:p>
        </w:tc>
        <w:tc>
          <w:tcPr>
            <w:tcW w:w="850" w:type="dxa"/>
            <w:vAlign w:val="bottom"/>
          </w:tcPr>
          <w:p w14:paraId="61192AAB" w14:textId="5A48E066" w:rsidR="00B449D0" w:rsidRDefault="00076D78">
            <w:pPr>
              <w:pStyle w:val="Summarytabletextrightaligned"/>
            </w:pPr>
            <w:r>
              <w:noBreakHyphen/>
            </w:r>
          </w:p>
        </w:tc>
      </w:tr>
      <w:tr w:rsidR="00B449D0" w14:paraId="60B6364A" w14:textId="77777777" w:rsidTr="7F762F0D">
        <w:tc>
          <w:tcPr>
            <w:tcW w:w="3471" w:type="dxa"/>
            <w:vAlign w:val="bottom"/>
          </w:tcPr>
          <w:p w14:paraId="599CE7B9" w14:textId="77777777" w:rsidR="00B449D0" w:rsidRDefault="00175344">
            <w:pPr>
              <w:pStyle w:val="SummaryMeasureTitlewithTheme"/>
            </w:pPr>
            <w:r>
              <w:t>Eighth Community Pharmacy Agreement</w:t>
            </w:r>
          </w:p>
        </w:tc>
        <w:tc>
          <w:tcPr>
            <w:tcW w:w="850" w:type="dxa"/>
            <w:vAlign w:val="bottom"/>
          </w:tcPr>
          <w:p w14:paraId="73727919" w14:textId="76864942" w:rsidR="00B449D0" w:rsidRDefault="00076D78">
            <w:pPr>
              <w:pStyle w:val="Summarytabletextrightaligned"/>
            </w:pPr>
            <w:r>
              <w:noBreakHyphen/>
            </w:r>
          </w:p>
        </w:tc>
        <w:tc>
          <w:tcPr>
            <w:tcW w:w="850" w:type="dxa"/>
            <w:shd w:val="clear" w:color="auto" w:fill="E6F2FF"/>
            <w:vAlign w:val="bottom"/>
          </w:tcPr>
          <w:p w14:paraId="099CAC92" w14:textId="034BB2FB" w:rsidR="00B449D0" w:rsidRDefault="00076D78">
            <w:pPr>
              <w:pStyle w:val="Summarytabletextrightaligned"/>
            </w:pPr>
            <w:r>
              <w:noBreakHyphen/>
            </w:r>
          </w:p>
        </w:tc>
        <w:tc>
          <w:tcPr>
            <w:tcW w:w="850" w:type="dxa"/>
            <w:vAlign w:val="bottom"/>
          </w:tcPr>
          <w:p w14:paraId="5A951383" w14:textId="3B2E96AE" w:rsidR="00B449D0" w:rsidRDefault="00076D78">
            <w:pPr>
              <w:pStyle w:val="Summarytabletextrightaligned"/>
            </w:pPr>
            <w:r>
              <w:noBreakHyphen/>
            </w:r>
          </w:p>
        </w:tc>
        <w:tc>
          <w:tcPr>
            <w:tcW w:w="850" w:type="dxa"/>
            <w:vAlign w:val="bottom"/>
          </w:tcPr>
          <w:p w14:paraId="241A6474" w14:textId="073935CC" w:rsidR="00B449D0" w:rsidRDefault="00076D78">
            <w:pPr>
              <w:pStyle w:val="Summarytabletextrightaligned"/>
            </w:pPr>
            <w:r>
              <w:noBreakHyphen/>
            </w:r>
          </w:p>
        </w:tc>
        <w:tc>
          <w:tcPr>
            <w:tcW w:w="850" w:type="dxa"/>
            <w:vAlign w:val="bottom"/>
          </w:tcPr>
          <w:p w14:paraId="238C8425" w14:textId="5B0224B2" w:rsidR="00B449D0" w:rsidRDefault="00076D78">
            <w:pPr>
              <w:pStyle w:val="Summarytabletextrightaligned"/>
            </w:pPr>
            <w:r>
              <w:noBreakHyphen/>
            </w:r>
          </w:p>
        </w:tc>
      </w:tr>
      <w:tr w:rsidR="00B449D0" w14:paraId="4CDA4539" w14:textId="77777777" w:rsidTr="7F762F0D">
        <w:tc>
          <w:tcPr>
            <w:tcW w:w="3471" w:type="dxa"/>
            <w:vAlign w:val="bottom"/>
          </w:tcPr>
          <w:p w14:paraId="494D8D39" w14:textId="77777777" w:rsidR="00B449D0" w:rsidRDefault="00175344">
            <w:pPr>
              <w:pStyle w:val="SummaryMeasureTitlewithTheme"/>
            </w:pPr>
            <w:r>
              <w:t>Ensuring the Viability and Quality of Aged Care</w:t>
            </w:r>
          </w:p>
        </w:tc>
        <w:tc>
          <w:tcPr>
            <w:tcW w:w="850" w:type="dxa"/>
            <w:vAlign w:val="bottom"/>
          </w:tcPr>
          <w:p w14:paraId="3F2FA377" w14:textId="3C880E31" w:rsidR="00B449D0" w:rsidRDefault="00076D78">
            <w:pPr>
              <w:pStyle w:val="Summarytabletextrightaligned"/>
            </w:pPr>
            <w:r>
              <w:noBreakHyphen/>
            </w:r>
          </w:p>
        </w:tc>
        <w:tc>
          <w:tcPr>
            <w:tcW w:w="850" w:type="dxa"/>
            <w:shd w:val="clear" w:color="auto" w:fill="E6F2FF"/>
            <w:vAlign w:val="bottom"/>
          </w:tcPr>
          <w:p w14:paraId="219EEB51" w14:textId="5874D815" w:rsidR="00B449D0" w:rsidRDefault="00076D78">
            <w:pPr>
              <w:pStyle w:val="Summarytabletextrightaligned"/>
            </w:pPr>
            <w:r>
              <w:noBreakHyphen/>
            </w:r>
            <w:r w:rsidR="00175344">
              <w:t>7.9</w:t>
            </w:r>
          </w:p>
        </w:tc>
        <w:tc>
          <w:tcPr>
            <w:tcW w:w="850" w:type="dxa"/>
            <w:vAlign w:val="bottom"/>
          </w:tcPr>
          <w:p w14:paraId="68B64928" w14:textId="2F6B435A" w:rsidR="00B449D0" w:rsidRDefault="00076D78">
            <w:pPr>
              <w:pStyle w:val="Summarytabletextrightaligned"/>
            </w:pPr>
            <w:r>
              <w:noBreakHyphen/>
            </w:r>
            <w:r w:rsidR="00175344">
              <w:t>21.1</w:t>
            </w:r>
          </w:p>
        </w:tc>
        <w:tc>
          <w:tcPr>
            <w:tcW w:w="850" w:type="dxa"/>
            <w:vAlign w:val="bottom"/>
          </w:tcPr>
          <w:p w14:paraId="34216F5B" w14:textId="449B38A6" w:rsidR="00B449D0" w:rsidRDefault="00076D78">
            <w:pPr>
              <w:pStyle w:val="Summarytabletextrightaligned"/>
            </w:pPr>
            <w:r>
              <w:noBreakHyphen/>
            </w:r>
            <w:r w:rsidR="00175344">
              <w:t>21.9</w:t>
            </w:r>
          </w:p>
        </w:tc>
        <w:tc>
          <w:tcPr>
            <w:tcW w:w="850" w:type="dxa"/>
            <w:vAlign w:val="bottom"/>
          </w:tcPr>
          <w:p w14:paraId="01B9B826" w14:textId="506E9D8B" w:rsidR="00B449D0" w:rsidRDefault="00076D78">
            <w:pPr>
              <w:pStyle w:val="Summarytabletextrightaligned"/>
            </w:pPr>
            <w:r>
              <w:noBreakHyphen/>
            </w:r>
            <w:r w:rsidR="00175344">
              <w:t>53.4</w:t>
            </w:r>
          </w:p>
        </w:tc>
      </w:tr>
      <w:tr w:rsidR="00B449D0" w14:paraId="2121F12E" w14:textId="77777777" w:rsidTr="7F762F0D">
        <w:tc>
          <w:tcPr>
            <w:tcW w:w="3471" w:type="dxa"/>
            <w:vAlign w:val="bottom"/>
          </w:tcPr>
          <w:p w14:paraId="6C9E771F" w14:textId="77777777" w:rsidR="00B449D0" w:rsidRDefault="00175344">
            <w:pPr>
              <w:pStyle w:val="SummaryMeasureTitlewithTheme"/>
            </w:pPr>
            <w:r>
              <w:t>Funding Pay Increases for Aged Care Workers</w:t>
            </w:r>
          </w:p>
        </w:tc>
        <w:tc>
          <w:tcPr>
            <w:tcW w:w="850" w:type="dxa"/>
            <w:vAlign w:val="bottom"/>
          </w:tcPr>
          <w:p w14:paraId="164CC1D2" w14:textId="6A25AD53" w:rsidR="00B449D0" w:rsidRDefault="00076D78">
            <w:pPr>
              <w:pStyle w:val="Summarytabletextrightaligned"/>
            </w:pPr>
            <w:r>
              <w:noBreakHyphen/>
            </w:r>
          </w:p>
        </w:tc>
        <w:tc>
          <w:tcPr>
            <w:tcW w:w="850" w:type="dxa"/>
            <w:shd w:val="clear" w:color="auto" w:fill="E6F2FF"/>
            <w:vAlign w:val="bottom"/>
          </w:tcPr>
          <w:p w14:paraId="19B45BF3" w14:textId="77777777" w:rsidR="00B449D0" w:rsidRDefault="00175344">
            <w:pPr>
              <w:pStyle w:val="Summarytabletextrightaligned"/>
            </w:pPr>
            <w:r>
              <w:t>0.2</w:t>
            </w:r>
          </w:p>
        </w:tc>
        <w:tc>
          <w:tcPr>
            <w:tcW w:w="850" w:type="dxa"/>
            <w:vAlign w:val="bottom"/>
          </w:tcPr>
          <w:p w14:paraId="373837C5" w14:textId="77777777" w:rsidR="00B449D0" w:rsidRDefault="00175344">
            <w:pPr>
              <w:pStyle w:val="Summarytabletextrightaligned"/>
            </w:pPr>
            <w:r>
              <w:t>0.2</w:t>
            </w:r>
          </w:p>
        </w:tc>
        <w:tc>
          <w:tcPr>
            <w:tcW w:w="850" w:type="dxa"/>
            <w:vAlign w:val="bottom"/>
          </w:tcPr>
          <w:p w14:paraId="02C046C7" w14:textId="745A4455" w:rsidR="00B449D0" w:rsidRDefault="00076D78">
            <w:pPr>
              <w:pStyle w:val="Summarytabletextrightaligned"/>
            </w:pPr>
            <w:r>
              <w:noBreakHyphen/>
            </w:r>
          </w:p>
        </w:tc>
        <w:tc>
          <w:tcPr>
            <w:tcW w:w="850" w:type="dxa"/>
            <w:vAlign w:val="bottom"/>
          </w:tcPr>
          <w:p w14:paraId="2567FB57" w14:textId="7F6011D2" w:rsidR="00B449D0" w:rsidRDefault="00076D78">
            <w:pPr>
              <w:pStyle w:val="Summarytabletextrightaligned"/>
            </w:pPr>
            <w:r>
              <w:noBreakHyphen/>
            </w:r>
          </w:p>
        </w:tc>
      </w:tr>
      <w:tr w:rsidR="00B449D0" w14:paraId="7B1F6451" w14:textId="77777777" w:rsidTr="7F762F0D">
        <w:tc>
          <w:tcPr>
            <w:tcW w:w="3471" w:type="dxa"/>
            <w:vAlign w:val="bottom"/>
          </w:tcPr>
          <w:p w14:paraId="2E2E4183" w14:textId="77777777" w:rsidR="00B449D0" w:rsidRDefault="00175344">
            <w:pPr>
              <w:pStyle w:val="SummaryMeasureTitlewithTheme"/>
            </w:pPr>
            <w:r>
              <w:t>Improving Aged Care Support</w:t>
            </w:r>
          </w:p>
        </w:tc>
        <w:tc>
          <w:tcPr>
            <w:tcW w:w="850" w:type="dxa"/>
            <w:vAlign w:val="bottom"/>
          </w:tcPr>
          <w:p w14:paraId="3F940339" w14:textId="3408ADF7" w:rsidR="00B449D0" w:rsidRDefault="00076D78">
            <w:pPr>
              <w:pStyle w:val="Summarytabletextrightaligned"/>
            </w:pPr>
            <w:r>
              <w:noBreakHyphen/>
            </w:r>
          </w:p>
        </w:tc>
        <w:tc>
          <w:tcPr>
            <w:tcW w:w="850" w:type="dxa"/>
            <w:shd w:val="clear" w:color="auto" w:fill="E6F2FF"/>
            <w:vAlign w:val="bottom"/>
          </w:tcPr>
          <w:p w14:paraId="2C4C8A3C" w14:textId="77777777" w:rsidR="00B449D0" w:rsidRDefault="00175344">
            <w:pPr>
              <w:pStyle w:val="Summarytabletextrightaligned"/>
            </w:pPr>
            <w:r>
              <w:t>1.6</w:t>
            </w:r>
          </w:p>
        </w:tc>
        <w:tc>
          <w:tcPr>
            <w:tcW w:w="850" w:type="dxa"/>
            <w:vAlign w:val="bottom"/>
          </w:tcPr>
          <w:p w14:paraId="0F5FE230" w14:textId="77777777" w:rsidR="00B449D0" w:rsidRDefault="00175344">
            <w:pPr>
              <w:pStyle w:val="Summarytabletextrightaligned"/>
            </w:pPr>
            <w:r>
              <w:t>..</w:t>
            </w:r>
          </w:p>
        </w:tc>
        <w:tc>
          <w:tcPr>
            <w:tcW w:w="850" w:type="dxa"/>
            <w:vAlign w:val="bottom"/>
          </w:tcPr>
          <w:p w14:paraId="6C74FC5D" w14:textId="36048E54" w:rsidR="00B449D0" w:rsidRDefault="00076D78">
            <w:pPr>
              <w:pStyle w:val="Summarytabletextrightaligned"/>
            </w:pPr>
            <w:r>
              <w:noBreakHyphen/>
            </w:r>
            <w:r w:rsidR="00175344">
              <w:t>32.7</w:t>
            </w:r>
          </w:p>
        </w:tc>
        <w:tc>
          <w:tcPr>
            <w:tcW w:w="850" w:type="dxa"/>
            <w:vAlign w:val="bottom"/>
          </w:tcPr>
          <w:p w14:paraId="5F026D13" w14:textId="70031E04" w:rsidR="00B449D0" w:rsidRDefault="00076D78">
            <w:pPr>
              <w:pStyle w:val="Summarytabletextrightaligned"/>
            </w:pPr>
            <w:r>
              <w:noBreakHyphen/>
            </w:r>
            <w:r w:rsidR="00175344">
              <w:t>37.4</w:t>
            </w:r>
          </w:p>
        </w:tc>
      </w:tr>
      <w:tr w:rsidR="00B449D0" w14:paraId="2C63F1F4" w14:textId="77777777" w:rsidTr="7F762F0D">
        <w:tc>
          <w:tcPr>
            <w:tcW w:w="3471" w:type="dxa"/>
            <w:vAlign w:val="bottom"/>
          </w:tcPr>
          <w:p w14:paraId="7E585F46" w14:textId="77777777" w:rsidR="00B449D0" w:rsidRDefault="00175344">
            <w:pPr>
              <w:pStyle w:val="SummaryMeasureTitlewithTheme"/>
            </w:pPr>
            <w:r>
              <w:t>Improving Cancer Outcomes</w:t>
            </w:r>
          </w:p>
        </w:tc>
        <w:tc>
          <w:tcPr>
            <w:tcW w:w="850" w:type="dxa"/>
            <w:vAlign w:val="bottom"/>
          </w:tcPr>
          <w:p w14:paraId="1F4BF758" w14:textId="136858BF" w:rsidR="00B449D0" w:rsidRDefault="00076D78">
            <w:pPr>
              <w:pStyle w:val="Summarytabletextrightaligned"/>
            </w:pPr>
            <w:r>
              <w:noBreakHyphen/>
            </w:r>
          </w:p>
        </w:tc>
        <w:tc>
          <w:tcPr>
            <w:tcW w:w="850" w:type="dxa"/>
            <w:shd w:val="clear" w:color="auto" w:fill="E6F2FF"/>
            <w:vAlign w:val="bottom"/>
          </w:tcPr>
          <w:p w14:paraId="405CA8A3" w14:textId="77777777" w:rsidR="00B449D0" w:rsidRDefault="00175344">
            <w:pPr>
              <w:pStyle w:val="Summarytabletextrightaligned"/>
            </w:pPr>
            <w:r>
              <w:t>0.1</w:t>
            </w:r>
          </w:p>
        </w:tc>
        <w:tc>
          <w:tcPr>
            <w:tcW w:w="850" w:type="dxa"/>
            <w:vAlign w:val="bottom"/>
          </w:tcPr>
          <w:p w14:paraId="3DBE3B80" w14:textId="77777777" w:rsidR="00B449D0" w:rsidRDefault="00175344">
            <w:pPr>
              <w:pStyle w:val="Summarytabletextrightaligned"/>
            </w:pPr>
            <w:r>
              <w:t>0.1</w:t>
            </w:r>
          </w:p>
        </w:tc>
        <w:tc>
          <w:tcPr>
            <w:tcW w:w="850" w:type="dxa"/>
            <w:vAlign w:val="bottom"/>
          </w:tcPr>
          <w:p w14:paraId="45FD5F83" w14:textId="77777777" w:rsidR="00B449D0" w:rsidRDefault="00175344">
            <w:pPr>
              <w:pStyle w:val="Summarytabletextrightaligned"/>
            </w:pPr>
            <w:r>
              <w:t>..</w:t>
            </w:r>
          </w:p>
        </w:tc>
        <w:tc>
          <w:tcPr>
            <w:tcW w:w="850" w:type="dxa"/>
            <w:vAlign w:val="bottom"/>
          </w:tcPr>
          <w:p w14:paraId="2445FF68" w14:textId="0B5B59C7" w:rsidR="00B449D0" w:rsidRDefault="00076D78">
            <w:pPr>
              <w:pStyle w:val="Summarytabletextrightaligned"/>
            </w:pPr>
            <w:r>
              <w:noBreakHyphen/>
            </w:r>
          </w:p>
        </w:tc>
      </w:tr>
      <w:tr w:rsidR="00B449D0" w14:paraId="4FB242FA" w14:textId="77777777" w:rsidTr="7F762F0D">
        <w:tc>
          <w:tcPr>
            <w:tcW w:w="3471" w:type="dxa"/>
            <w:vAlign w:val="bottom"/>
          </w:tcPr>
          <w:p w14:paraId="1145E7D3" w14:textId="73502B0B" w:rsidR="00B449D0" w:rsidRDefault="00175344">
            <w:pPr>
              <w:pStyle w:val="SummaryMeasureTitlewithTheme"/>
            </w:pPr>
            <w:r>
              <w:t xml:space="preserve">Legacy </w:t>
            </w:r>
            <w:r w:rsidR="00E7533D">
              <w:t>Superannuation R</w:t>
            </w:r>
            <w:r>
              <w:t xml:space="preserve">etirement </w:t>
            </w:r>
            <w:r w:rsidR="00E7533D">
              <w:t>P</w:t>
            </w:r>
            <w:r>
              <w:t xml:space="preserve">roduct </w:t>
            </w:r>
            <w:r w:rsidR="00E7533D">
              <w:t>C</w:t>
            </w:r>
            <w:r>
              <w:t xml:space="preserve">onversions and </w:t>
            </w:r>
            <w:r w:rsidR="00E7533D">
              <w:t>R</w:t>
            </w:r>
            <w:r>
              <w:t>eserves(b)</w:t>
            </w:r>
          </w:p>
        </w:tc>
        <w:tc>
          <w:tcPr>
            <w:tcW w:w="850" w:type="dxa"/>
            <w:vAlign w:val="bottom"/>
          </w:tcPr>
          <w:p w14:paraId="41DB3662" w14:textId="0B35EFD6" w:rsidR="00B449D0" w:rsidRDefault="00076D78">
            <w:pPr>
              <w:pStyle w:val="Summarytabletextrightaligned"/>
            </w:pPr>
            <w:r>
              <w:noBreakHyphen/>
            </w:r>
          </w:p>
        </w:tc>
        <w:tc>
          <w:tcPr>
            <w:tcW w:w="850" w:type="dxa"/>
            <w:shd w:val="clear" w:color="auto" w:fill="E6F2FF"/>
            <w:vAlign w:val="bottom"/>
          </w:tcPr>
          <w:p w14:paraId="11C2384D" w14:textId="77777777" w:rsidR="00B449D0" w:rsidRDefault="00175344">
            <w:pPr>
              <w:pStyle w:val="Summarytabletextrightaligned"/>
            </w:pPr>
            <w:r>
              <w:t>0.2</w:t>
            </w:r>
          </w:p>
        </w:tc>
        <w:tc>
          <w:tcPr>
            <w:tcW w:w="850" w:type="dxa"/>
            <w:vAlign w:val="bottom"/>
          </w:tcPr>
          <w:p w14:paraId="62F6AE9F" w14:textId="77777777" w:rsidR="00B449D0" w:rsidRDefault="00175344">
            <w:pPr>
              <w:pStyle w:val="Summarytabletextrightaligned"/>
            </w:pPr>
            <w:r>
              <w:t>0.4</w:t>
            </w:r>
          </w:p>
        </w:tc>
        <w:tc>
          <w:tcPr>
            <w:tcW w:w="850" w:type="dxa"/>
            <w:vAlign w:val="bottom"/>
          </w:tcPr>
          <w:p w14:paraId="2C9602FF" w14:textId="77777777" w:rsidR="00B449D0" w:rsidRDefault="00175344">
            <w:pPr>
              <w:pStyle w:val="Summarytabletextrightaligned"/>
            </w:pPr>
            <w:r>
              <w:t>0.4</w:t>
            </w:r>
          </w:p>
        </w:tc>
        <w:tc>
          <w:tcPr>
            <w:tcW w:w="850" w:type="dxa"/>
            <w:vAlign w:val="bottom"/>
          </w:tcPr>
          <w:p w14:paraId="11FDC66F" w14:textId="77777777" w:rsidR="00B449D0" w:rsidRDefault="00175344">
            <w:pPr>
              <w:pStyle w:val="Summarytabletextrightaligned"/>
            </w:pPr>
            <w:r>
              <w:t>0.4</w:t>
            </w:r>
          </w:p>
        </w:tc>
      </w:tr>
      <w:tr w:rsidR="00B449D0" w14:paraId="6BC20A5D" w14:textId="77777777" w:rsidTr="7F762F0D">
        <w:tc>
          <w:tcPr>
            <w:tcW w:w="3471" w:type="dxa"/>
            <w:vAlign w:val="bottom"/>
          </w:tcPr>
          <w:p w14:paraId="04C04292" w14:textId="77777777" w:rsidR="00B449D0" w:rsidRDefault="00175344">
            <w:pPr>
              <w:pStyle w:val="SummaryMeasureTitlewithTheme"/>
            </w:pPr>
            <w:r>
              <w:t>Pharmaceutical Benefits Scheme New and Amended Listings(b)</w:t>
            </w:r>
          </w:p>
        </w:tc>
        <w:tc>
          <w:tcPr>
            <w:tcW w:w="850" w:type="dxa"/>
            <w:vAlign w:val="bottom"/>
          </w:tcPr>
          <w:p w14:paraId="5EC69508" w14:textId="77777777" w:rsidR="00B449D0" w:rsidRDefault="00175344">
            <w:pPr>
              <w:pStyle w:val="Summarytabletextrightaligned"/>
            </w:pPr>
            <w:r>
              <w:t>0.1</w:t>
            </w:r>
          </w:p>
        </w:tc>
        <w:tc>
          <w:tcPr>
            <w:tcW w:w="850" w:type="dxa"/>
            <w:shd w:val="clear" w:color="auto" w:fill="E6F2FF"/>
            <w:vAlign w:val="bottom"/>
          </w:tcPr>
          <w:p w14:paraId="03504461" w14:textId="77777777" w:rsidR="00B449D0" w:rsidRDefault="00175344">
            <w:pPr>
              <w:pStyle w:val="Summarytabletextrightaligned"/>
            </w:pPr>
            <w:r>
              <w:t>7.4</w:t>
            </w:r>
          </w:p>
        </w:tc>
        <w:tc>
          <w:tcPr>
            <w:tcW w:w="850" w:type="dxa"/>
            <w:vAlign w:val="bottom"/>
          </w:tcPr>
          <w:p w14:paraId="395BE301" w14:textId="77777777" w:rsidR="00B449D0" w:rsidRDefault="00175344">
            <w:pPr>
              <w:pStyle w:val="Summarytabletextrightaligned"/>
            </w:pPr>
            <w:r>
              <w:t>10.1</w:t>
            </w:r>
          </w:p>
        </w:tc>
        <w:tc>
          <w:tcPr>
            <w:tcW w:w="850" w:type="dxa"/>
            <w:vAlign w:val="bottom"/>
          </w:tcPr>
          <w:p w14:paraId="152065D3" w14:textId="77777777" w:rsidR="00B449D0" w:rsidRDefault="00175344">
            <w:pPr>
              <w:pStyle w:val="Summarytabletextrightaligned"/>
            </w:pPr>
            <w:r>
              <w:t>10.1</w:t>
            </w:r>
          </w:p>
        </w:tc>
        <w:tc>
          <w:tcPr>
            <w:tcW w:w="850" w:type="dxa"/>
            <w:vAlign w:val="bottom"/>
          </w:tcPr>
          <w:p w14:paraId="16EF0C92" w14:textId="77777777" w:rsidR="00B449D0" w:rsidRDefault="00175344">
            <w:pPr>
              <w:pStyle w:val="Summarytabletextrightaligned"/>
            </w:pPr>
            <w:r>
              <w:t>9.0</w:t>
            </w:r>
          </w:p>
        </w:tc>
      </w:tr>
      <w:tr w:rsidR="00B449D0" w14:paraId="6097F19C" w14:textId="77777777" w:rsidTr="7F762F0D">
        <w:tc>
          <w:tcPr>
            <w:tcW w:w="3471" w:type="dxa"/>
            <w:vAlign w:val="bottom"/>
          </w:tcPr>
          <w:p w14:paraId="0E147D03" w14:textId="77777777" w:rsidR="00B449D0" w:rsidRDefault="00175344">
            <w:pPr>
              <w:pStyle w:val="SummaryMeasureTitlewithTheme"/>
            </w:pPr>
            <w:r>
              <w:t>Royal Commission into Defence and Veteran Suicide – initial steps</w:t>
            </w:r>
          </w:p>
        </w:tc>
        <w:tc>
          <w:tcPr>
            <w:tcW w:w="850" w:type="dxa"/>
            <w:vAlign w:val="bottom"/>
          </w:tcPr>
          <w:p w14:paraId="430C8CDE" w14:textId="12116F1C" w:rsidR="00B449D0" w:rsidRDefault="00076D78">
            <w:pPr>
              <w:pStyle w:val="Summarytabletextrightaligned"/>
            </w:pPr>
            <w:r>
              <w:noBreakHyphen/>
            </w:r>
          </w:p>
        </w:tc>
        <w:tc>
          <w:tcPr>
            <w:tcW w:w="850" w:type="dxa"/>
            <w:shd w:val="clear" w:color="auto" w:fill="E6F2FF"/>
            <w:vAlign w:val="bottom"/>
          </w:tcPr>
          <w:p w14:paraId="53850401" w14:textId="77777777" w:rsidR="00B449D0" w:rsidRDefault="00175344">
            <w:pPr>
              <w:pStyle w:val="Summarytabletextrightaligned"/>
            </w:pPr>
            <w:r>
              <w:t>4.5</w:t>
            </w:r>
          </w:p>
        </w:tc>
        <w:tc>
          <w:tcPr>
            <w:tcW w:w="850" w:type="dxa"/>
            <w:vAlign w:val="bottom"/>
          </w:tcPr>
          <w:p w14:paraId="30F76EA9" w14:textId="53B8D527" w:rsidR="00B449D0" w:rsidRDefault="00076D78">
            <w:pPr>
              <w:pStyle w:val="Summarytabletextrightaligned"/>
            </w:pPr>
            <w:r>
              <w:noBreakHyphen/>
            </w:r>
          </w:p>
        </w:tc>
        <w:tc>
          <w:tcPr>
            <w:tcW w:w="850" w:type="dxa"/>
            <w:vAlign w:val="bottom"/>
          </w:tcPr>
          <w:p w14:paraId="1F5D0A23" w14:textId="57A0777D" w:rsidR="00B449D0" w:rsidRDefault="00076D78">
            <w:pPr>
              <w:pStyle w:val="Summarytabletextrightaligned"/>
            </w:pPr>
            <w:r>
              <w:noBreakHyphen/>
            </w:r>
          </w:p>
        </w:tc>
        <w:tc>
          <w:tcPr>
            <w:tcW w:w="850" w:type="dxa"/>
            <w:vAlign w:val="bottom"/>
          </w:tcPr>
          <w:p w14:paraId="4F5A91CB" w14:textId="32B1427E" w:rsidR="00B449D0" w:rsidRDefault="00076D78">
            <w:pPr>
              <w:pStyle w:val="Summarytabletextrightaligned"/>
            </w:pPr>
            <w:r>
              <w:noBreakHyphen/>
            </w:r>
          </w:p>
        </w:tc>
      </w:tr>
      <w:tr w:rsidR="00B449D0" w14:paraId="2B7A7595" w14:textId="77777777" w:rsidTr="7F762F0D">
        <w:tc>
          <w:tcPr>
            <w:tcW w:w="3471" w:type="dxa"/>
            <w:vAlign w:val="bottom"/>
          </w:tcPr>
          <w:p w14:paraId="401CD7D8" w14:textId="77777777" w:rsidR="00B449D0" w:rsidRDefault="00175344">
            <w:pPr>
              <w:pStyle w:val="SummaryMeasureTitlewithTheme"/>
            </w:pPr>
            <w:r>
              <w:t>Strengthening Medicare</w:t>
            </w:r>
          </w:p>
        </w:tc>
        <w:tc>
          <w:tcPr>
            <w:tcW w:w="850" w:type="dxa"/>
            <w:vAlign w:val="bottom"/>
          </w:tcPr>
          <w:p w14:paraId="2D916212" w14:textId="13F81DD9" w:rsidR="00B449D0" w:rsidRDefault="00076D78">
            <w:pPr>
              <w:pStyle w:val="Summarytabletextrightaligned"/>
            </w:pPr>
            <w:r>
              <w:noBreakHyphen/>
            </w:r>
          </w:p>
        </w:tc>
        <w:tc>
          <w:tcPr>
            <w:tcW w:w="850" w:type="dxa"/>
            <w:shd w:val="clear" w:color="auto" w:fill="E6F2FF"/>
            <w:vAlign w:val="bottom"/>
          </w:tcPr>
          <w:p w14:paraId="3D6C15E5" w14:textId="3180692E" w:rsidR="00B449D0" w:rsidRDefault="00076D78">
            <w:pPr>
              <w:pStyle w:val="Summarytabletextrightaligned"/>
            </w:pPr>
            <w:r>
              <w:noBreakHyphen/>
            </w:r>
          </w:p>
        </w:tc>
        <w:tc>
          <w:tcPr>
            <w:tcW w:w="850" w:type="dxa"/>
            <w:vAlign w:val="bottom"/>
          </w:tcPr>
          <w:p w14:paraId="7690C55C" w14:textId="77777777" w:rsidR="00B449D0" w:rsidRDefault="00175344">
            <w:pPr>
              <w:pStyle w:val="Summarytabletextrightaligned"/>
            </w:pPr>
            <w:r>
              <w:t>0.2</w:t>
            </w:r>
          </w:p>
        </w:tc>
        <w:tc>
          <w:tcPr>
            <w:tcW w:w="850" w:type="dxa"/>
            <w:vAlign w:val="bottom"/>
          </w:tcPr>
          <w:p w14:paraId="2AF04C17" w14:textId="77777777" w:rsidR="00B449D0" w:rsidRDefault="00175344">
            <w:pPr>
              <w:pStyle w:val="Summarytabletextrightaligned"/>
            </w:pPr>
            <w:r>
              <w:t>..</w:t>
            </w:r>
          </w:p>
        </w:tc>
        <w:tc>
          <w:tcPr>
            <w:tcW w:w="850" w:type="dxa"/>
            <w:vAlign w:val="bottom"/>
          </w:tcPr>
          <w:p w14:paraId="5FA3D6F6" w14:textId="5F610658" w:rsidR="00B449D0" w:rsidRDefault="00076D78">
            <w:pPr>
              <w:pStyle w:val="Summarytabletextrightaligned"/>
            </w:pPr>
            <w:r>
              <w:noBreakHyphen/>
            </w:r>
          </w:p>
        </w:tc>
      </w:tr>
      <w:tr w:rsidR="00B449D0" w14:paraId="4767FEAA" w14:textId="77777777" w:rsidTr="7F762F0D">
        <w:tc>
          <w:tcPr>
            <w:tcW w:w="3471" w:type="dxa"/>
            <w:vAlign w:val="bottom"/>
          </w:tcPr>
          <w:p w14:paraId="13FDA348" w14:textId="77777777" w:rsidR="00B449D0" w:rsidRDefault="00175344">
            <w:pPr>
              <w:pStyle w:val="Summarytabletextleftalignedbold"/>
            </w:pPr>
            <w:r>
              <w:t>Portfolio total</w:t>
            </w:r>
          </w:p>
        </w:tc>
        <w:tc>
          <w:tcPr>
            <w:tcW w:w="850" w:type="dxa"/>
            <w:tcBorders>
              <w:top w:val="single" w:sz="4" w:space="0" w:color="000000" w:themeColor="text1"/>
              <w:bottom w:val="single" w:sz="4" w:space="0" w:color="000000" w:themeColor="text1"/>
            </w:tcBorders>
            <w:vAlign w:val="bottom"/>
          </w:tcPr>
          <w:p w14:paraId="046DC5F2" w14:textId="77777777" w:rsidR="00B449D0" w:rsidRDefault="00175344">
            <w:pPr>
              <w:pStyle w:val="Summarytabletextrightalignedbold"/>
            </w:pPr>
            <w:r>
              <w:t>0.1</w:t>
            </w:r>
          </w:p>
        </w:tc>
        <w:tc>
          <w:tcPr>
            <w:tcW w:w="850" w:type="dxa"/>
            <w:tcBorders>
              <w:top w:val="single" w:sz="4" w:space="0" w:color="000000" w:themeColor="text1"/>
              <w:bottom w:val="single" w:sz="4" w:space="0" w:color="000000" w:themeColor="text1"/>
            </w:tcBorders>
            <w:shd w:val="clear" w:color="auto" w:fill="E6F2FF"/>
            <w:vAlign w:val="bottom"/>
          </w:tcPr>
          <w:p w14:paraId="024F7EA7" w14:textId="77777777" w:rsidR="00B449D0" w:rsidRDefault="00175344">
            <w:pPr>
              <w:pStyle w:val="Summarytabletextrightalignedbold"/>
            </w:pPr>
            <w:r>
              <w:t>69.9</w:t>
            </w:r>
          </w:p>
        </w:tc>
        <w:tc>
          <w:tcPr>
            <w:tcW w:w="850" w:type="dxa"/>
            <w:tcBorders>
              <w:top w:val="single" w:sz="4" w:space="0" w:color="000000" w:themeColor="text1"/>
              <w:bottom w:val="single" w:sz="4" w:space="0" w:color="000000" w:themeColor="text1"/>
            </w:tcBorders>
            <w:vAlign w:val="bottom"/>
          </w:tcPr>
          <w:p w14:paraId="3EBA86D0" w14:textId="5324E8BF" w:rsidR="00B449D0" w:rsidRDefault="00076D78">
            <w:pPr>
              <w:pStyle w:val="Summarytabletextrightalignedbold"/>
            </w:pPr>
            <w:r>
              <w:noBreakHyphen/>
            </w:r>
            <w:r w:rsidR="00175344">
              <w:t>18.7</w:t>
            </w:r>
          </w:p>
        </w:tc>
        <w:tc>
          <w:tcPr>
            <w:tcW w:w="850" w:type="dxa"/>
            <w:tcBorders>
              <w:top w:val="single" w:sz="4" w:space="0" w:color="000000" w:themeColor="text1"/>
              <w:bottom w:val="single" w:sz="4" w:space="0" w:color="000000" w:themeColor="text1"/>
            </w:tcBorders>
            <w:vAlign w:val="bottom"/>
          </w:tcPr>
          <w:p w14:paraId="14D2B19C" w14:textId="3F61AB20" w:rsidR="00B449D0" w:rsidRDefault="00076D78">
            <w:pPr>
              <w:pStyle w:val="Summarytabletextrightalignedbold"/>
            </w:pPr>
            <w:r>
              <w:noBreakHyphen/>
            </w:r>
            <w:r w:rsidR="00175344">
              <w:t>44.9</w:t>
            </w:r>
          </w:p>
        </w:tc>
        <w:tc>
          <w:tcPr>
            <w:tcW w:w="850" w:type="dxa"/>
            <w:tcBorders>
              <w:top w:val="single" w:sz="4" w:space="0" w:color="000000" w:themeColor="text1"/>
              <w:bottom w:val="single" w:sz="4" w:space="0" w:color="000000" w:themeColor="text1"/>
            </w:tcBorders>
            <w:vAlign w:val="bottom"/>
          </w:tcPr>
          <w:p w14:paraId="71F46232" w14:textId="7FBDBFE3" w:rsidR="00B449D0" w:rsidRDefault="00076D78">
            <w:pPr>
              <w:pStyle w:val="Summarytabletextrightalignedbold"/>
            </w:pPr>
            <w:r>
              <w:noBreakHyphen/>
            </w:r>
            <w:r w:rsidR="00175344">
              <w:t>82.0</w:t>
            </w:r>
          </w:p>
        </w:tc>
      </w:tr>
      <w:tr w:rsidR="00B449D0" w14:paraId="0D430D1B" w14:textId="77777777" w:rsidTr="7F762F0D">
        <w:tc>
          <w:tcPr>
            <w:tcW w:w="3471" w:type="dxa"/>
            <w:vAlign w:val="bottom"/>
          </w:tcPr>
          <w:p w14:paraId="7BA1AC2D" w14:textId="77777777" w:rsidR="00B449D0" w:rsidRDefault="00175344">
            <w:pPr>
              <w:pStyle w:val="SummaryPortfolioTitle-BP2"/>
            </w:pPr>
            <w:r>
              <w:t>EDUCATION</w:t>
            </w:r>
          </w:p>
        </w:tc>
        <w:tc>
          <w:tcPr>
            <w:tcW w:w="850" w:type="dxa"/>
          </w:tcPr>
          <w:p w14:paraId="0457342F" w14:textId="77777777" w:rsidR="00B449D0" w:rsidRDefault="00B449D0">
            <w:pPr>
              <w:pStyle w:val="MeasureTableTextRightAlignedBefore6ptAfter1pt"/>
            </w:pPr>
          </w:p>
        </w:tc>
        <w:tc>
          <w:tcPr>
            <w:tcW w:w="850" w:type="dxa"/>
            <w:shd w:val="clear" w:color="auto" w:fill="E6F2FF"/>
          </w:tcPr>
          <w:p w14:paraId="2079B00A" w14:textId="77777777" w:rsidR="00B449D0" w:rsidRDefault="00B449D0">
            <w:pPr>
              <w:pStyle w:val="MeasureTableTextRightAlignedBefore6ptAfter1pt"/>
            </w:pPr>
          </w:p>
        </w:tc>
        <w:tc>
          <w:tcPr>
            <w:tcW w:w="850" w:type="dxa"/>
          </w:tcPr>
          <w:p w14:paraId="7763359D" w14:textId="77777777" w:rsidR="00B449D0" w:rsidRDefault="00B449D0">
            <w:pPr>
              <w:pStyle w:val="MeasureTableTextRightAlignedBefore6ptAfter1pt"/>
            </w:pPr>
          </w:p>
        </w:tc>
        <w:tc>
          <w:tcPr>
            <w:tcW w:w="850" w:type="dxa"/>
          </w:tcPr>
          <w:p w14:paraId="340CBAE7" w14:textId="77777777" w:rsidR="00B449D0" w:rsidRDefault="00B449D0">
            <w:pPr>
              <w:pStyle w:val="MeasureTableTextRightAlignedBefore6ptAfter1pt"/>
            </w:pPr>
          </w:p>
        </w:tc>
        <w:tc>
          <w:tcPr>
            <w:tcW w:w="850" w:type="dxa"/>
          </w:tcPr>
          <w:p w14:paraId="676AF4ED" w14:textId="77777777" w:rsidR="00B449D0" w:rsidRDefault="00B449D0">
            <w:pPr>
              <w:pStyle w:val="MeasureTableTextRightAlignedBefore6ptAfter1pt"/>
            </w:pPr>
          </w:p>
        </w:tc>
      </w:tr>
      <w:tr w:rsidR="00B449D0" w14:paraId="362AEB82" w14:textId="77777777" w:rsidTr="7F762F0D">
        <w:tc>
          <w:tcPr>
            <w:tcW w:w="3471" w:type="dxa"/>
            <w:vAlign w:val="bottom"/>
          </w:tcPr>
          <w:p w14:paraId="605A7297" w14:textId="77777777" w:rsidR="00B449D0" w:rsidRDefault="00175344">
            <w:pPr>
              <w:pStyle w:val="SummaryAgencyTitle-BP2"/>
            </w:pPr>
            <w:r>
              <w:t>Department of Education</w:t>
            </w:r>
          </w:p>
        </w:tc>
        <w:tc>
          <w:tcPr>
            <w:tcW w:w="850" w:type="dxa"/>
          </w:tcPr>
          <w:p w14:paraId="08EAE406" w14:textId="77777777" w:rsidR="00B449D0" w:rsidRDefault="00B449D0">
            <w:pPr>
              <w:pStyle w:val="SummaryAgencyTitle-BP2"/>
            </w:pPr>
          </w:p>
        </w:tc>
        <w:tc>
          <w:tcPr>
            <w:tcW w:w="850" w:type="dxa"/>
            <w:shd w:val="clear" w:color="auto" w:fill="E6F2FF"/>
          </w:tcPr>
          <w:p w14:paraId="363A7380" w14:textId="77777777" w:rsidR="00B449D0" w:rsidRDefault="00B449D0">
            <w:pPr>
              <w:pStyle w:val="SummaryAgencyTitle-BP2"/>
            </w:pPr>
          </w:p>
        </w:tc>
        <w:tc>
          <w:tcPr>
            <w:tcW w:w="850" w:type="dxa"/>
          </w:tcPr>
          <w:p w14:paraId="7B6DCD9D" w14:textId="77777777" w:rsidR="00B449D0" w:rsidRDefault="00B449D0">
            <w:pPr>
              <w:pStyle w:val="SummaryAgencyTitle-BP2"/>
            </w:pPr>
          </w:p>
        </w:tc>
        <w:tc>
          <w:tcPr>
            <w:tcW w:w="850" w:type="dxa"/>
          </w:tcPr>
          <w:p w14:paraId="3E75F141" w14:textId="77777777" w:rsidR="00B449D0" w:rsidRDefault="00B449D0">
            <w:pPr>
              <w:pStyle w:val="SummaryAgencyTitle-BP2"/>
            </w:pPr>
          </w:p>
        </w:tc>
        <w:tc>
          <w:tcPr>
            <w:tcW w:w="850" w:type="dxa"/>
          </w:tcPr>
          <w:p w14:paraId="4DB50FC6" w14:textId="77777777" w:rsidR="00B449D0" w:rsidRDefault="00B449D0">
            <w:pPr>
              <w:pStyle w:val="SummaryAgencyTitle-BP2"/>
            </w:pPr>
          </w:p>
        </w:tc>
      </w:tr>
      <w:tr w:rsidR="00B449D0" w14:paraId="7471B075" w14:textId="77777777" w:rsidTr="7F762F0D">
        <w:tc>
          <w:tcPr>
            <w:tcW w:w="3471" w:type="dxa"/>
            <w:vAlign w:val="bottom"/>
          </w:tcPr>
          <w:p w14:paraId="2799A621" w14:textId="77777777" w:rsidR="00B449D0" w:rsidRDefault="00175344">
            <w:pPr>
              <w:pStyle w:val="SummaryMeasureTitlewithTheme"/>
            </w:pPr>
            <w:r>
              <w:t>Assistance for Recent Arrivals from Conflict Zones(b)</w:t>
            </w:r>
          </w:p>
        </w:tc>
        <w:tc>
          <w:tcPr>
            <w:tcW w:w="850" w:type="dxa"/>
            <w:vAlign w:val="bottom"/>
          </w:tcPr>
          <w:p w14:paraId="4C8719E7" w14:textId="57277002" w:rsidR="00B449D0" w:rsidRDefault="00076D78">
            <w:pPr>
              <w:pStyle w:val="Summarytabletextrightaligned"/>
            </w:pPr>
            <w:r>
              <w:noBreakHyphen/>
            </w:r>
          </w:p>
        </w:tc>
        <w:tc>
          <w:tcPr>
            <w:tcW w:w="850" w:type="dxa"/>
            <w:shd w:val="clear" w:color="auto" w:fill="E6F2FF"/>
            <w:vAlign w:val="bottom"/>
          </w:tcPr>
          <w:p w14:paraId="75F98B8E" w14:textId="77777777" w:rsidR="00B449D0" w:rsidRDefault="00175344">
            <w:pPr>
              <w:pStyle w:val="Summarytabletextrightaligned"/>
            </w:pPr>
            <w:r>
              <w:t>0.4</w:t>
            </w:r>
          </w:p>
        </w:tc>
        <w:tc>
          <w:tcPr>
            <w:tcW w:w="850" w:type="dxa"/>
            <w:vAlign w:val="bottom"/>
          </w:tcPr>
          <w:p w14:paraId="016BC239" w14:textId="77777777" w:rsidR="00B449D0" w:rsidRDefault="00175344">
            <w:pPr>
              <w:pStyle w:val="Summarytabletextrightaligned"/>
            </w:pPr>
            <w:r>
              <w:t>1.0</w:t>
            </w:r>
          </w:p>
        </w:tc>
        <w:tc>
          <w:tcPr>
            <w:tcW w:w="850" w:type="dxa"/>
            <w:vAlign w:val="bottom"/>
          </w:tcPr>
          <w:p w14:paraId="1E06AD19" w14:textId="77777777" w:rsidR="00B449D0" w:rsidRDefault="00175344">
            <w:pPr>
              <w:pStyle w:val="Summarytabletextrightaligned"/>
            </w:pPr>
            <w:r>
              <w:t>1.0</w:t>
            </w:r>
          </w:p>
        </w:tc>
        <w:tc>
          <w:tcPr>
            <w:tcW w:w="850" w:type="dxa"/>
            <w:vAlign w:val="bottom"/>
          </w:tcPr>
          <w:p w14:paraId="012B47E4" w14:textId="77777777" w:rsidR="00B449D0" w:rsidRDefault="00175344">
            <w:pPr>
              <w:pStyle w:val="Summarytabletextrightaligned"/>
            </w:pPr>
            <w:r>
              <w:t>1.0</w:t>
            </w:r>
          </w:p>
        </w:tc>
      </w:tr>
      <w:tr w:rsidR="00B449D0" w14:paraId="11928602" w14:textId="77777777" w:rsidTr="7F762F0D">
        <w:tc>
          <w:tcPr>
            <w:tcW w:w="3471" w:type="dxa"/>
            <w:vAlign w:val="bottom"/>
          </w:tcPr>
          <w:p w14:paraId="488B6AA8" w14:textId="4E168848" w:rsidR="00B449D0" w:rsidRDefault="00175344">
            <w:pPr>
              <w:pStyle w:val="SummaryMeasureTitlewithTheme"/>
            </w:pPr>
            <w:r>
              <w:t>Australia</w:t>
            </w:r>
            <w:r w:rsidR="00076D78">
              <w:t>’</w:t>
            </w:r>
            <w:r>
              <w:t>s Counter‑Terrorism and Violent Extremism Strategy 2024</w:t>
            </w:r>
          </w:p>
        </w:tc>
        <w:tc>
          <w:tcPr>
            <w:tcW w:w="850" w:type="dxa"/>
            <w:vAlign w:val="bottom"/>
          </w:tcPr>
          <w:p w14:paraId="27879D41" w14:textId="7E98E5D1" w:rsidR="00B449D0" w:rsidRDefault="00076D78">
            <w:pPr>
              <w:pStyle w:val="Summarytabletextrightaligned"/>
            </w:pPr>
            <w:r>
              <w:noBreakHyphen/>
            </w:r>
          </w:p>
        </w:tc>
        <w:tc>
          <w:tcPr>
            <w:tcW w:w="850" w:type="dxa"/>
            <w:shd w:val="clear" w:color="auto" w:fill="E6F2FF"/>
            <w:vAlign w:val="bottom"/>
          </w:tcPr>
          <w:p w14:paraId="18A88182" w14:textId="77777777" w:rsidR="00B449D0" w:rsidRDefault="00175344">
            <w:pPr>
              <w:pStyle w:val="Summarytabletextrightaligned"/>
            </w:pPr>
            <w:r>
              <w:t>0.2</w:t>
            </w:r>
          </w:p>
        </w:tc>
        <w:tc>
          <w:tcPr>
            <w:tcW w:w="850" w:type="dxa"/>
            <w:vAlign w:val="bottom"/>
          </w:tcPr>
          <w:p w14:paraId="137D293A" w14:textId="77777777" w:rsidR="00B449D0" w:rsidRDefault="00175344">
            <w:pPr>
              <w:pStyle w:val="Summarytabletextrightaligned"/>
            </w:pPr>
            <w:r>
              <w:t>0.4</w:t>
            </w:r>
          </w:p>
        </w:tc>
        <w:tc>
          <w:tcPr>
            <w:tcW w:w="850" w:type="dxa"/>
            <w:vAlign w:val="bottom"/>
          </w:tcPr>
          <w:p w14:paraId="43A3571C" w14:textId="77777777" w:rsidR="00B449D0" w:rsidRDefault="00175344">
            <w:pPr>
              <w:pStyle w:val="Summarytabletextrightaligned"/>
            </w:pPr>
            <w:r>
              <w:t>0.4</w:t>
            </w:r>
          </w:p>
        </w:tc>
        <w:tc>
          <w:tcPr>
            <w:tcW w:w="850" w:type="dxa"/>
            <w:vAlign w:val="bottom"/>
          </w:tcPr>
          <w:p w14:paraId="6C519A1F" w14:textId="77777777" w:rsidR="00B449D0" w:rsidRDefault="00175344">
            <w:pPr>
              <w:pStyle w:val="Summarytabletextrightaligned"/>
            </w:pPr>
            <w:r>
              <w:t>0.4</w:t>
            </w:r>
          </w:p>
        </w:tc>
      </w:tr>
      <w:tr w:rsidR="00B449D0" w14:paraId="77197064" w14:textId="77777777" w:rsidTr="7F762F0D">
        <w:tc>
          <w:tcPr>
            <w:tcW w:w="3471" w:type="dxa"/>
            <w:vAlign w:val="bottom"/>
          </w:tcPr>
          <w:p w14:paraId="3D2BC030" w14:textId="77777777" w:rsidR="00B449D0" w:rsidRDefault="00175344">
            <w:pPr>
              <w:pStyle w:val="SummaryMeasureTitlewithTheme"/>
            </w:pPr>
            <w:r>
              <w:t>Australian Universities Accord ‑ further reforms(b)</w:t>
            </w:r>
          </w:p>
        </w:tc>
        <w:tc>
          <w:tcPr>
            <w:tcW w:w="850" w:type="dxa"/>
            <w:vAlign w:val="bottom"/>
          </w:tcPr>
          <w:p w14:paraId="5278B386" w14:textId="31C4AB88" w:rsidR="00B449D0" w:rsidRDefault="00076D78">
            <w:pPr>
              <w:pStyle w:val="Summarytabletextrightaligned"/>
            </w:pPr>
            <w:r>
              <w:noBreakHyphen/>
            </w:r>
          </w:p>
        </w:tc>
        <w:tc>
          <w:tcPr>
            <w:tcW w:w="850" w:type="dxa"/>
            <w:shd w:val="clear" w:color="auto" w:fill="E6F2FF"/>
            <w:vAlign w:val="bottom"/>
          </w:tcPr>
          <w:p w14:paraId="7B8BFD75" w14:textId="77777777" w:rsidR="00B449D0" w:rsidRDefault="00175344">
            <w:pPr>
              <w:pStyle w:val="Summarytabletextrightaligned"/>
            </w:pPr>
            <w:r>
              <w:t>24.0</w:t>
            </w:r>
          </w:p>
        </w:tc>
        <w:tc>
          <w:tcPr>
            <w:tcW w:w="850" w:type="dxa"/>
            <w:vAlign w:val="bottom"/>
          </w:tcPr>
          <w:p w14:paraId="44877348" w14:textId="77777777" w:rsidR="00B449D0" w:rsidRDefault="00175344">
            <w:pPr>
              <w:pStyle w:val="Summarytabletextrightaligned"/>
            </w:pPr>
            <w:r>
              <w:t>61.8</w:t>
            </w:r>
          </w:p>
        </w:tc>
        <w:tc>
          <w:tcPr>
            <w:tcW w:w="850" w:type="dxa"/>
            <w:vAlign w:val="bottom"/>
          </w:tcPr>
          <w:p w14:paraId="1B5E5BB6" w14:textId="77777777" w:rsidR="00B449D0" w:rsidRDefault="00175344">
            <w:pPr>
              <w:pStyle w:val="Summarytabletextrightaligned"/>
            </w:pPr>
            <w:r>
              <w:t>28.7</w:t>
            </w:r>
          </w:p>
        </w:tc>
        <w:tc>
          <w:tcPr>
            <w:tcW w:w="850" w:type="dxa"/>
            <w:vAlign w:val="bottom"/>
          </w:tcPr>
          <w:p w14:paraId="0DF124B2" w14:textId="3C3E3AF8" w:rsidR="00B449D0" w:rsidRDefault="00076D78">
            <w:pPr>
              <w:pStyle w:val="Summarytabletextrightaligned"/>
            </w:pPr>
            <w:r>
              <w:noBreakHyphen/>
            </w:r>
            <w:r w:rsidR="00175344">
              <w:t>4.2</w:t>
            </w:r>
          </w:p>
        </w:tc>
      </w:tr>
      <w:tr w:rsidR="00B449D0" w14:paraId="2D66AA9C" w14:textId="77777777" w:rsidTr="7F762F0D">
        <w:tc>
          <w:tcPr>
            <w:tcW w:w="3471" w:type="dxa"/>
            <w:vAlign w:val="bottom"/>
          </w:tcPr>
          <w:p w14:paraId="25F9A138" w14:textId="5F5EC3F2" w:rsidR="00B449D0" w:rsidRDefault="00175344">
            <w:pPr>
              <w:pStyle w:val="SummaryMeasureTitlewithTheme"/>
            </w:pPr>
            <w:r>
              <w:t>Building Australia</w:t>
            </w:r>
            <w:r w:rsidR="00076D78">
              <w:t>’</w:t>
            </w:r>
            <w:r>
              <w:t xml:space="preserve">s Future </w:t>
            </w:r>
            <w:r w:rsidR="005E2E71">
              <w:t>–</w:t>
            </w:r>
            <w:r>
              <w:t xml:space="preserve"> delivering pay rises for early educators(b)</w:t>
            </w:r>
          </w:p>
        </w:tc>
        <w:tc>
          <w:tcPr>
            <w:tcW w:w="850" w:type="dxa"/>
            <w:vAlign w:val="bottom"/>
          </w:tcPr>
          <w:p w14:paraId="74AAA29A" w14:textId="6BDD2A9B" w:rsidR="00B449D0" w:rsidRDefault="00076D78">
            <w:pPr>
              <w:pStyle w:val="Summarytabletextrightaligned"/>
            </w:pPr>
            <w:r>
              <w:noBreakHyphen/>
            </w:r>
          </w:p>
        </w:tc>
        <w:tc>
          <w:tcPr>
            <w:tcW w:w="850" w:type="dxa"/>
            <w:shd w:val="clear" w:color="auto" w:fill="E6F2FF"/>
            <w:vAlign w:val="bottom"/>
          </w:tcPr>
          <w:p w14:paraId="512CF62A" w14:textId="77777777" w:rsidR="00B449D0" w:rsidRDefault="00175344">
            <w:pPr>
              <w:pStyle w:val="Summarytabletextrightaligned"/>
            </w:pPr>
            <w:r>
              <w:t>652.3</w:t>
            </w:r>
          </w:p>
        </w:tc>
        <w:tc>
          <w:tcPr>
            <w:tcW w:w="850" w:type="dxa"/>
            <w:vAlign w:val="bottom"/>
          </w:tcPr>
          <w:p w14:paraId="44EC8BCA" w14:textId="77777777" w:rsidR="00B449D0" w:rsidRDefault="00175344">
            <w:pPr>
              <w:pStyle w:val="Summarytabletextrightaligned"/>
            </w:pPr>
            <w:r>
              <w:t>1,828.0</w:t>
            </w:r>
          </w:p>
        </w:tc>
        <w:tc>
          <w:tcPr>
            <w:tcW w:w="850" w:type="dxa"/>
            <w:vAlign w:val="bottom"/>
          </w:tcPr>
          <w:p w14:paraId="41BB98C1" w14:textId="77777777" w:rsidR="00B449D0" w:rsidRDefault="00175344">
            <w:pPr>
              <w:pStyle w:val="Summarytabletextrightaligned"/>
            </w:pPr>
            <w:r>
              <w:t>1,089.2</w:t>
            </w:r>
          </w:p>
        </w:tc>
        <w:tc>
          <w:tcPr>
            <w:tcW w:w="850" w:type="dxa"/>
            <w:vAlign w:val="bottom"/>
          </w:tcPr>
          <w:p w14:paraId="54DFEBD2" w14:textId="25F52645" w:rsidR="00B449D0" w:rsidRDefault="00076D78">
            <w:pPr>
              <w:pStyle w:val="Summarytabletextrightaligned"/>
            </w:pPr>
            <w:r>
              <w:noBreakHyphen/>
            </w:r>
          </w:p>
        </w:tc>
      </w:tr>
      <w:tr w:rsidR="00B449D0" w14:paraId="1B321FF5" w14:textId="77777777" w:rsidTr="7F762F0D">
        <w:tc>
          <w:tcPr>
            <w:tcW w:w="3471" w:type="dxa"/>
            <w:vAlign w:val="bottom"/>
          </w:tcPr>
          <w:p w14:paraId="56ABFBE9" w14:textId="1BCCD4DB" w:rsidR="00B449D0" w:rsidRDefault="00175344">
            <w:pPr>
              <w:pStyle w:val="SummaryMeasureTitlewithTheme"/>
            </w:pPr>
            <w:r>
              <w:t>Building Australia</w:t>
            </w:r>
            <w:r w:rsidR="00076D78">
              <w:t>’</w:t>
            </w:r>
            <w:r>
              <w:t xml:space="preserve">s Future </w:t>
            </w:r>
            <w:r w:rsidR="00771BD5">
              <w:t>–</w:t>
            </w:r>
            <w:r>
              <w:t xml:space="preserve"> Early Childhood Education and Care Reforms</w:t>
            </w:r>
          </w:p>
        </w:tc>
        <w:tc>
          <w:tcPr>
            <w:tcW w:w="850" w:type="dxa"/>
            <w:vAlign w:val="bottom"/>
          </w:tcPr>
          <w:p w14:paraId="1EEC004C" w14:textId="02C73B33" w:rsidR="00B449D0" w:rsidRDefault="00076D78">
            <w:pPr>
              <w:pStyle w:val="Summarytabletextrightaligned"/>
            </w:pPr>
            <w:r>
              <w:noBreakHyphen/>
            </w:r>
          </w:p>
        </w:tc>
        <w:tc>
          <w:tcPr>
            <w:tcW w:w="850" w:type="dxa"/>
            <w:shd w:val="clear" w:color="auto" w:fill="E6F2FF"/>
            <w:vAlign w:val="bottom"/>
          </w:tcPr>
          <w:p w14:paraId="5ED4379A" w14:textId="77777777" w:rsidR="00B449D0" w:rsidRDefault="00175344">
            <w:pPr>
              <w:pStyle w:val="Summarytabletextrightaligned"/>
            </w:pPr>
            <w:r>
              <w:t>2.7</w:t>
            </w:r>
          </w:p>
        </w:tc>
        <w:tc>
          <w:tcPr>
            <w:tcW w:w="850" w:type="dxa"/>
            <w:vAlign w:val="bottom"/>
          </w:tcPr>
          <w:p w14:paraId="0E66008A" w14:textId="77777777" w:rsidR="00B449D0" w:rsidRDefault="00175344">
            <w:pPr>
              <w:pStyle w:val="Summarytabletextrightaligned"/>
            </w:pPr>
            <w:r>
              <w:t>169.5</w:t>
            </w:r>
          </w:p>
        </w:tc>
        <w:tc>
          <w:tcPr>
            <w:tcW w:w="850" w:type="dxa"/>
            <w:vAlign w:val="bottom"/>
          </w:tcPr>
          <w:p w14:paraId="7A2F6FB1" w14:textId="77777777" w:rsidR="00B449D0" w:rsidRDefault="00175344">
            <w:pPr>
              <w:pStyle w:val="Summarytabletextrightaligned"/>
            </w:pPr>
            <w:r>
              <w:t>329.7</w:t>
            </w:r>
          </w:p>
        </w:tc>
        <w:tc>
          <w:tcPr>
            <w:tcW w:w="850" w:type="dxa"/>
            <w:vAlign w:val="bottom"/>
          </w:tcPr>
          <w:p w14:paraId="08DCD709" w14:textId="77777777" w:rsidR="00B449D0" w:rsidRDefault="00175344">
            <w:pPr>
              <w:pStyle w:val="Summarytabletextrightaligned"/>
            </w:pPr>
            <w:r>
              <w:t>331.6</w:t>
            </w:r>
          </w:p>
        </w:tc>
      </w:tr>
    </w:tbl>
    <w:p w14:paraId="6D00A982" w14:textId="77777777" w:rsidR="00301E48" w:rsidRDefault="00301E48" w:rsidP="000D55F7">
      <w:pPr>
        <w:pStyle w:val="SingleParagraph0"/>
        <w:sectPr w:rsidR="00301E48" w:rsidSect="00301E48">
          <w:pgSz w:w="11906" w:h="16838"/>
          <w:pgMar w:top="2835" w:right="2098" w:bottom="2466" w:left="2098" w:header="1814" w:footer="1814" w:gutter="0"/>
          <w:cols w:space="720"/>
          <w:docGrid w:linePitch="272"/>
        </w:sectPr>
      </w:pPr>
    </w:p>
    <w:p w14:paraId="4D73C036" w14:textId="49C8067D" w:rsidR="00301E48" w:rsidRDefault="00301E48" w:rsidP="00301E48">
      <w:pPr>
        <w:pStyle w:val="TableHeadingcontinued"/>
      </w:pPr>
      <w:r>
        <w:lastRenderedPageBreak/>
        <w:t xml:space="preserve">Table </w:t>
      </w:r>
      <w:r w:rsidR="006E0A94">
        <w:t>A.</w:t>
      </w:r>
      <w:r>
        <w:t>2: Payment measures since the 2024–25 Budget</w:t>
      </w:r>
      <w:r>
        <w:rPr>
          <w:rFonts w:ascii="Cambria Math" w:hAnsi="Cambria Math" w:cs="Cambria Math"/>
        </w:rPr>
        <w:t>⁽</w:t>
      </w:r>
      <w:r>
        <w:rPr>
          <w:rFonts w:cs="Arial"/>
        </w:rPr>
        <w:t>ª</w:t>
      </w:r>
      <w:r>
        <w:rPr>
          <w:rFonts w:ascii="Cambria Math" w:hAnsi="Cambria Math" w:cs="Cambria Math"/>
        </w:rPr>
        <w:t>⁾</w:t>
      </w:r>
      <w:r>
        <w:t xml:space="preserve"> (continued)</w:t>
      </w:r>
    </w:p>
    <w:tbl>
      <w:tblPr>
        <w:tblOverlap w:val="never"/>
        <w:tblW w:w="7721" w:type="dxa"/>
        <w:tblBorders>
          <w:top w:val="single" w:sz="4" w:space="0" w:color="000000"/>
          <w:bottom w:val="single" w:sz="4" w:space="0" w:color="000000"/>
        </w:tblBorders>
        <w:tblLayout w:type="fixed"/>
        <w:tblCellMar>
          <w:left w:w="0" w:type="dxa"/>
          <w:right w:w="56" w:type="dxa"/>
        </w:tblCellMar>
        <w:tblLook w:val="04A0" w:firstRow="1" w:lastRow="0" w:firstColumn="1" w:lastColumn="0" w:noHBand="0" w:noVBand="1"/>
      </w:tblPr>
      <w:tblGrid>
        <w:gridCol w:w="3471"/>
        <w:gridCol w:w="850"/>
        <w:gridCol w:w="850"/>
        <w:gridCol w:w="850"/>
        <w:gridCol w:w="850"/>
        <w:gridCol w:w="850"/>
      </w:tblGrid>
      <w:tr w:rsidR="00301E48" w14:paraId="3276B385" w14:textId="77777777" w:rsidTr="00301E48">
        <w:tc>
          <w:tcPr>
            <w:tcW w:w="3471" w:type="dxa"/>
            <w:vAlign w:val="bottom"/>
          </w:tcPr>
          <w:p w14:paraId="6CA1A551" w14:textId="77777777" w:rsidR="00301E48" w:rsidRDefault="00301E48" w:rsidP="00301E48"/>
        </w:tc>
        <w:tc>
          <w:tcPr>
            <w:tcW w:w="850" w:type="dxa"/>
            <w:tcBorders>
              <w:bottom w:val="nil"/>
            </w:tcBorders>
            <w:vAlign w:val="bottom"/>
          </w:tcPr>
          <w:p w14:paraId="104FFC21" w14:textId="3DB742FB" w:rsidR="00301E48" w:rsidRDefault="00301E48" w:rsidP="00301E48">
            <w:pPr>
              <w:pStyle w:val="Summarytabletextrightaligned"/>
            </w:pPr>
            <w:r>
              <w:t>2023</w:t>
            </w:r>
            <w:r w:rsidR="00076D78">
              <w:noBreakHyphen/>
            </w:r>
            <w:r>
              <w:t>24</w:t>
            </w:r>
          </w:p>
        </w:tc>
        <w:tc>
          <w:tcPr>
            <w:tcW w:w="850" w:type="dxa"/>
            <w:tcBorders>
              <w:bottom w:val="nil"/>
            </w:tcBorders>
            <w:shd w:val="clear" w:color="auto" w:fill="E6F2FF"/>
            <w:vAlign w:val="bottom"/>
          </w:tcPr>
          <w:p w14:paraId="67884073" w14:textId="795BFCD5" w:rsidR="00301E48" w:rsidRDefault="00301E48" w:rsidP="00301E48">
            <w:pPr>
              <w:pStyle w:val="Summarytabletextrightaligned"/>
            </w:pPr>
            <w:r>
              <w:t>2024</w:t>
            </w:r>
            <w:r w:rsidR="00076D78">
              <w:noBreakHyphen/>
            </w:r>
            <w:r>
              <w:t>25</w:t>
            </w:r>
          </w:p>
        </w:tc>
        <w:tc>
          <w:tcPr>
            <w:tcW w:w="850" w:type="dxa"/>
            <w:tcBorders>
              <w:bottom w:val="nil"/>
            </w:tcBorders>
            <w:vAlign w:val="bottom"/>
          </w:tcPr>
          <w:p w14:paraId="711D5A09" w14:textId="57BE8D5D" w:rsidR="00301E48" w:rsidRDefault="00301E48" w:rsidP="00301E48">
            <w:pPr>
              <w:pStyle w:val="Summarytabletextrightaligned"/>
            </w:pPr>
            <w:r>
              <w:t>2025</w:t>
            </w:r>
            <w:r w:rsidR="00076D78">
              <w:noBreakHyphen/>
            </w:r>
            <w:r>
              <w:t>26</w:t>
            </w:r>
          </w:p>
        </w:tc>
        <w:tc>
          <w:tcPr>
            <w:tcW w:w="850" w:type="dxa"/>
            <w:tcBorders>
              <w:bottom w:val="nil"/>
            </w:tcBorders>
            <w:vAlign w:val="bottom"/>
          </w:tcPr>
          <w:p w14:paraId="0E13F872" w14:textId="34209DA6" w:rsidR="00301E48" w:rsidRDefault="00301E48" w:rsidP="00301E48">
            <w:pPr>
              <w:pStyle w:val="Summarytabletextrightaligned"/>
            </w:pPr>
            <w:r>
              <w:t>2026</w:t>
            </w:r>
            <w:r w:rsidR="00076D78">
              <w:noBreakHyphen/>
            </w:r>
            <w:r>
              <w:t>27</w:t>
            </w:r>
          </w:p>
        </w:tc>
        <w:tc>
          <w:tcPr>
            <w:tcW w:w="850" w:type="dxa"/>
            <w:tcBorders>
              <w:bottom w:val="nil"/>
            </w:tcBorders>
            <w:vAlign w:val="bottom"/>
          </w:tcPr>
          <w:p w14:paraId="2F2ED38E" w14:textId="372C0580" w:rsidR="00301E48" w:rsidRDefault="00301E48" w:rsidP="00301E48">
            <w:pPr>
              <w:pStyle w:val="Summarytabletextrightaligned"/>
            </w:pPr>
            <w:r>
              <w:t>2027</w:t>
            </w:r>
            <w:r w:rsidR="00076D78">
              <w:noBreakHyphen/>
            </w:r>
            <w:r>
              <w:t>28</w:t>
            </w:r>
          </w:p>
        </w:tc>
      </w:tr>
      <w:tr w:rsidR="00301E48" w14:paraId="02F2CBCE" w14:textId="77777777" w:rsidTr="00301E48">
        <w:tc>
          <w:tcPr>
            <w:tcW w:w="3471" w:type="dxa"/>
            <w:vAlign w:val="bottom"/>
          </w:tcPr>
          <w:p w14:paraId="0ED1D35B" w14:textId="77777777" w:rsidR="00301E48" w:rsidRDefault="00301E48" w:rsidP="00301E48"/>
        </w:tc>
        <w:tc>
          <w:tcPr>
            <w:tcW w:w="850" w:type="dxa"/>
            <w:tcBorders>
              <w:top w:val="nil"/>
              <w:bottom w:val="single" w:sz="4" w:space="0" w:color="auto"/>
            </w:tcBorders>
            <w:shd w:val="clear" w:color="auto" w:fill="auto"/>
            <w:vAlign w:val="bottom"/>
          </w:tcPr>
          <w:p w14:paraId="22A5FBF7" w14:textId="77777777" w:rsidR="00301E48" w:rsidRDefault="00301E48" w:rsidP="00301E48">
            <w:pPr>
              <w:pStyle w:val="Summarytabletextrightaligned"/>
            </w:pPr>
            <w:r>
              <w:t>$m</w:t>
            </w:r>
          </w:p>
        </w:tc>
        <w:tc>
          <w:tcPr>
            <w:tcW w:w="850" w:type="dxa"/>
            <w:tcBorders>
              <w:top w:val="nil"/>
              <w:bottom w:val="single" w:sz="4" w:space="0" w:color="auto"/>
            </w:tcBorders>
            <w:shd w:val="clear" w:color="auto" w:fill="E6F2FF"/>
            <w:vAlign w:val="bottom"/>
          </w:tcPr>
          <w:p w14:paraId="54BFE528" w14:textId="77777777" w:rsidR="00301E48" w:rsidRDefault="00301E48" w:rsidP="00301E48">
            <w:pPr>
              <w:pStyle w:val="Summarytabletextrightaligned"/>
            </w:pPr>
            <w:r>
              <w:t>$m</w:t>
            </w:r>
          </w:p>
        </w:tc>
        <w:tc>
          <w:tcPr>
            <w:tcW w:w="850" w:type="dxa"/>
            <w:tcBorders>
              <w:top w:val="nil"/>
              <w:bottom w:val="single" w:sz="4" w:space="0" w:color="auto"/>
            </w:tcBorders>
            <w:shd w:val="clear" w:color="auto" w:fill="auto"/>
            <w:vAlign w:val="bottom"/>
          </w:tcPr>
          <w:p w14:paraId="60C712BC" w14:textId="77777777" w:rsidR="00301E48" w:rsidRDefault="00301E48" w:rsidP="00301E48">
            <w:pPr>
              <w:pStyle w:val="Summarytabletextrightaligned"/>
            </w:pPr>
            <w:r>
              <w:t>$m</w:t>
            </w:r>
          </w:p>
        </w:tc>
        <w:tc>
          <w:tcPr>
            <w:tcW w:w="850" w:type="dxa"/>
            <w:tcBorders>
              <w:top w:val="nil"/>
              <w:bottom w:val="single" w:sz="4" w:space="0" w:color="auto"/>
            </w:tcBorders>
            <w:shd w:val="clear" w:color="auto" w:fill="auto"/>
            <w:vAlign w:val="bottom"/>
          </w:tcPr>
          <w:p w14:paraId="5026A304" w14:textId="77777777" w:rsidR="00301E48" w:rsidRDefault="00301E48" w:rsidP="00301E48">
            <w:pPr>
              <w:pStyle w:val="Summarytabletextrightaligned"/>
            </w:pPr>
            <w:r>
              <w:t>$m</w:t>
            </w:r>
          </w:p>
        </w:tc>
        <w:tc>
          <w:tcPr>
            <w:tcW w:w="850" w:type="dxa"/>
            <w:tcBorders>
              <w:top w:val="nil"/>
              <w:bottom w:val="single" w:sz="4" w:space="0" w:color="auto"/>
            </w:tcBorders>
            <w:shd w:val="clear" w:color="auto" w:fill="auto"/>
            <w:vAlign w:val="bottom"/>
          </w:tcPr>
          <w:p w14:paraId="7548BFCB" w14:textId="77777777" w:rsidR="00301E48" w:rsidRDefault="00301E48" w:rsidP="00301E48">
            <w:pPr>
              <w:pStyle w:val="Summarytabletextrightaligned"/>
            </w:pPr>
            <w:r>
              <w:t>$m</w:t>
            </w:r>
          </w:p>
        </w:tc>
      </w:tr>
      <w:tr w:rsidR="00301E48" w14:paraId="7C7BD64C" w14:textId="77777777" w:rsidTr="00301E48">
        <w:tc>
          <w:tcPr>
            <w:tcW w:w="3471" w:type="dxa"/>
            <w:tcBorders>
              <w:bottom w:val="nil"/>
            </w:tcBorders>
            <w:vAlign w:val="bottom"/>
          </w:tcPr>
          <w:p w14:paraId="37815775" w14:textId="77777777" w:rsidR="00301E48" w:rsidRPr="00301E48" w:rsidRDefault="00301E48" w:rsidP="00301E48">
            <w:pPr>
              <w:pStyle w:val="SummaryMeasureTitlewithTheme"/>
              <w:rPr>
                <w:b/>
              </w:rPr>
            </w:pPr>
            <w:r w:rsidRPr="00301E48">
              <w:rPr>
                <w:b/>
              </w:rPr>
              <w:t>EDUCATION (continued)</w:t>
            </w:r>
          </w:p>
        </w:tc>
        <w:tc>
          <w:tcPr>
            <w:tcW w:w="850" w:type="dxa"/>
            <w:tcBorders>
              <w:top w:val="single" w:sz="4" w:space="0" w:color="auto"/>
              <w:bottom w:val="nil"/>
            </w:tcBorders>
            <w:vAlign w:val="bottom"/>
          </w:tcPr>
          <w:p w14:paraId="7804F121" w14:textId="77777777" w:rsidR="00301E48" w:rsidRDefault="00301E48">
            <w:pPr>
              <w:pStyle w:val="Summarytabletextrightaligned"/>
            </w:pPr>
          </w:p>
        </w:tc>
        <w:tc>
          <w:tcPr>
            <w:tcW w:w="850" w:type="dxa"/>
            <w:tcBorders>
              <w:top w:val="single" w:sz="4" w:space="0" w:color="auto"/>
              <w:bottom w:val="nil"/>
            </w:tcBorders>
            <w:shd w:val="clear" w:color="auto" w:fill="E6F2FF"/>
            <w:vAlign w:val="bottom"/>
          </w:tcPr>
          <w:p w14:paraId="70A376B9" w14:textId="77777777" w:rsidR="00301E48" w:rsidRDefault="00301E48">
            <w:pPr>
              <w:pStyle w:val="Summarytabletextrightaligned"/>
            </w:pPr>
          </w:p>
        </w:tc>
        <w:tc>
          <w:tcPr>
            <w:tcW w:w="850" w:type="dxa"/>
            <w:tcBorders>
              <w:top w:val="single" w:sz="4" w:space="0" w:color="auto"/>
              <w:bottom w:val="nil"/>
            </w:tcBorders>
            <w:vAlign w:val="bottom"/>
          </w:tcPr>
          <w:p w14:paraId="4A0E7B3C" w14:textId="77777777" w:rsidR="00301E48" w:rsidRDefault="00301E48">
            <w:pPr>
              <w:pStyle w:val="Summarytabletextrightaligned"/>
            </w:pPr>
          </w:p>
        </w:tc>
        <w:tc>
          <w:tcPr>
            <w:tcW w:w="850" w:type="dxa"/>
            <w:tcBorders>
              <w:top w:val="single" w:sz="4" w:space="0" w:color="auto"/>
              <w:bottom w:val="nil"/>
            </w:tcBorders>
            <w:vAlign w:val="bottom"/>
          </w:tcPr>
          <w:p w14:paraId="289A9985" w14:textId="77777777" w:rsidR="00301E48" w:rsidRDefault="00301E48">
            <w:pPr>
              <w:pStyle w:val="Summarytabletextrightaligned"/>
            </w:pPr>
          </w:p>
        </w:tc>
        <w:tc>
          <w:tcPr>
            <w:tcW w:w="850" w:type="dxa"/>
            <w:tcBorders>
              <w:top w:val="single" w:sz="4" w:space="0" w:color="auto"/>
              <w:bottom w:val="nil"/>
            </w:tcBorders>
            <w:vAlign w:val="bottom"/>
          </w:tcPr>
          <w:p w14:paraId="4E004C4C" w14:textId="77777777" w:rsidR="00301E48" w:rsidRDefault="00301E48">
            <w:pPr>
              <w:pStyle w:val="Summarytabletextrightaligned"/>
            </w:pPr>
          </w:p>
        </w:tc>
      </w:tr>
      <w:tr w:rsidR="00B449D0" w14:paraId="1C212212" w14:textId="77777777" w:rsidTr="00301E48">
        <w:tc>
          <w:tcPr>
            <w:tcW w:w="3471" w:type="dxa"/>
            <w:tcBorders>
              <w:top w:val="nil"/>
            </w:tcBorders>
            <w:vAlign w:val="bottom"/>
          </w:tcPr>
          <w:p w14:paraId="35D927E2" w14:textId="76161FA5" w:rsidR="00B449D0" w:rsidRDefault="00175344">
            <w:pPr>
              <w:pStyle w:val="SummaryMeasureTitlewithTheme"/>
            </w:pPr>
            <w:r>
              <w:t>Building Australia</w:t>
            </w:r>
            <w:r w:rsidR="00076D78">
              <w:t>’</w:t>
            </w:r>
            <w:r>
              <w:t>s Future – A fairer deal for students(b)</w:t>
            </w:r>
          </w:p>
        </w:tc>
        <w:tc>
          <w:tcPr>
            <w:tcW w:w="850" w:type="dxa"/>
            <w:tcBorders>
              <w:top w:val="nil"/>
            </w:tcBorders>
            <w:vAlign w:val="bottom"/>
          </w:tcPr>
          <w:p w14:paraId="66DBCFC2" w14:textId="42505A3C" w:rsidR="00B449D0" w:rsidRDefault="00076D78">
            <w:pPr>
              <w:pStyle w:val="Summarytabletextrightaligned"/>
            </w:pPr>
            <w:r>
              <w:noBreakHyphen/>
            </w:r>
          </w:p>
        </w:tc>
        <w:tc>
          <w:tcPr>
            <w:tcW w:w="850" w:type="dxa"/>
            <w:tcBorders>
              <w:top w:val="nil"/>
            </w:tcBorders>
            <w:shd w:val="clear" w:color="auto" w:fill="E6F2FF"/>
            <w:vAlign w:val="bottom"/>
          </w:tcPr>
          <w:p w14:paraId="19BE2A55" w14:textId="3B0552B0" w:rsidR="00B449D0" w:rsidRDefault="00076D78">
            <w:pPr>
              <w:pStyle w:val="Summarytabletextrightaligned"/>
            </w:pPr>
            <w:r>
              <w:noBreakHyphen/>
            </w:r>
          </w:p>
        </w:tc>
        <w:tc>
          <w:tcPr>
            <w:tcW w:w="850" w:type="dxa"/>
            <w:tcBorders>
              <w:top w:val="nil"/>
            </w:tcBorders>
            <w:vAlign w:val="bottom"/>
          </w:tcPr>
          <w:p w14:paraId="2F6AC517" w14:textId="77777777" w:rsidR="00B449D0" w:rsidRDefault="00175344">
            <w:pPr>
              <w:pStyle w:val="Summarytabletextrightaligned"/>
            </w:pPr>
            <w:r>
              <w:t>0.4</w:t>
            </w:r>
          </w:p>
        </w:tc>
        <w:tc>
          <w:tcPr>
            <w:tcW w:w="850" w:type="dxa"/>
            <w:tcBorders>
              <w:top w:val="nil"/>
            </w:tcBorders>
            <w:vAlign w:val="bottom"/>
          </w:tcPr>
          <w:p w14:paraId="2E17BE66" w14:textId="3BDFEEC1" w:rsidR="00B449D0" w:rsidRDefault="00076D78">
            <w:pPr>
              <w:pStyle w:val="Summarytabletextrightaligned"/>
            </w:pPr>
            <w:r>
              <w:noBreakHyphen/>
            </w:r>
          </w:p>
        </w:tc>
        <w:tc>
          <w:tcPr>
            <w:tcW w:w="850" w:type="dxa"/>
            <w:tcBorders>
              <w:top w:val="nil"/>
            </w:tcBorders>
            <w:vAlign w:val="bottom"/>
          </w:tcPr>
          <w:p w14:paraId="5FF02DFD" w14:textId="10D3D778" w:rsidR="00B449D0" w:rsidRDefault="00076D78">
            <w:pPr>
              <w:pStyle w:val="Summarytabletextrightaligned"/>
            </w:pPr>
            <w:r>
              <w:noBreakHyphen/>
            </w:r>
          </w:p>
        </w:tc>
      </w:tr>
      <w:tr w:rsidR="00B449D0" w14:paraId="51DFBEB2" w14:textId="77777777" w:rsidTr="00301E48">
        <w:tc>
          <w:tcPr>
            <w:tcW w:w="3471" w:type="dxa"/>
            <w:vAlign w:val="bottom"/>
          </w:tcPr>
          <w:p w14:paraId="3E24DA3D" w14:textId="77777777" w:rsidR="00B449D0" w:rsidRDefault="00175344">
            <w:pPr>
              <w:pStyle w:val="SummaryMeasureTitlewithTheme"/>
            </w:pPr>
            <w:r>
              <w:t>Building Boarding Schools on Country – additional funding</w:t>
            </w:r>
          </w:p>
        </w:tc>
        <w:tc>
          <w:tcPr>
            <w:tcW w:w="850" w:type="dxa"/>
            <w:vAlign w:val="bottom"/>
          </w:tcPr>
          <w:p w14:paraId="26D53DDD" w14:textId="06639B8E" w:rsidR="00B449D0" w:rsidRDefault="00076D78">
            <w:pPr>
              <w:pStyle w:val="Summarytabletextrightaligned"/>
            </w:pPr>
            <w:r>
              <w:noBreakHyphen/>
            </w:r>
          </w:p>
        </w:tc>
        <w:tc>
          <w:tcPr>
            <w:tcW w:w="850" w:type="dxa"/>
            <w:shd w:val="clear" w:color="auto" w:fill="E6F2FF"/>
            <w:vAlign w:val="bottom"/>
          </w:tcPr>
          <w:p w14:paraId="5DB309BF" w14:textId="77777777" w:rsidR="00B449D0" w:rsidRDefault="00175344">
            <w:pPr>
              <w:pStyle w:val="Summarytabletextrightaligned"/>
            </w:pPr>
            <w:r>
              <w:t>2.7</w:t>
            </w:r>
          </w:p>
        </w:tc>
        <w:tc>
          <w:tcPr>
            <w:tcW w:w="850" w:type="dxa"/>
            <w:vAlign w:val="bottom"/>
          </w:tcPr>
          <w:p w14:paraId="3889C2A6" w14:textId="77777777" w:rsidR="00B449D0" w:rsidRDefault="00175344">
            <w:pPr>
              <w:pStyle w:val="Summarytabletextrightaligned"/>
            </w:pPr>
            <w:r>
              <w:t>1.0</w:t>
            </w:r>
          </w:p>
        </w:tc>
        <w:tc>
          <w:tcPr>
            <w:tcW w:w="850" w:type="dxa"/>
            <w:vAlign w:val="bottom"/>
          </w:tcPr>
          <w:p w14:paraId="17FD211D" w14:textId="32A68C7F" w:rsidR="00B449D0" w:rsidRDefault="00076D78">
            <w:pPr>
              <w:pStyle w:val="Summarytabletextrightaligned"/>
            </w:pPr>
            <w:r>
              <w:noBreakHyphen/>
            </w:r>
          </w:p>
        </w:tc>
        <w:tc>
          <w:tcPr>
            <w:tcW w:w="850" w:type="dxa"/>
            <w:vAlign w:val="bottom"/>
          </w:tcPr>
          <w:p w14:paraId="64EC21F6" w14:textId="5E08201B" w:rsidR="00B449D0" w:rsidRDefault="00076D78">
            <w:pPr>
              <w:pStyle w:val="Summarytabletextrightaligned"/>
            </w:pPr>
            <w:r>
              <w:noBreakHyphen/>
            </w:r>
          </w:p>
        </w:tc>
      </w:tr>
      <w:tr w:rsidR="00B449D0" w14:paraId="3DF8E210" w14:textId="77777777" w:rsidTr="00301E48">
        <w:tc>
          <w:tcPr>
            <w:tcW w:w="3471" w:type="dxa"/>
            <w:vAlign w:val="bottom"/>
          </w:tcPr>
          <w:p w14:paraId="0FA394D3" w14:textId="77777777" w:rsidR="00B449D0" w:rsidRDefault="00175344">
            <w:pPr>
              <w:pStyle w:val="SummaryMeasureTitlewithTheme"/>
            </w:pPr>
            <w:r>
              <w:t>Closing the Gap Partnership on Early Childhood Care and Development</w:t>
            </w:r>
          </w:p>
        </w:tc>
        <w:tc>
          <w:tcPr>
            <w:tcW w:w="850" w:type="dxa"/>
            <w:vAlign w:val="bottom"/>
          </w:tcPr>
          <w:p w14:paraId="1191142F" w14:textId="2702DA92" w:rsidR="00B449D0" w:rsidRDefault="00076D78">
            <w:pPr>
              <w:pStyle w:val="Summarytabletextrightaligned"/>
            </w:pPr>
            <w:r>
              <w:noBreakHyphen/>
            </w:r>
          </w:p>
        </w:tc>
        <w:tc>
          <w:tcPr>
            <w:tcW w:w="850" w:type="dxa"/>
            <w:shd w:val="clear" w:color="auto" w:fill="E6F2FF"/>
            <w:vAlign w:val="bottom"/>
          </w:tcPr>
          <w:p w14:paraId="05C00507" w14:textId="00A2C4E6" w:rsidR="00B449D0" w:rsidRDefault="00076D78">
            <w:pPr>
              <w:pStyle w:val="Summarytabletextrightaligned"/>
            </w:pPr>
            <w:r>
              <w:noBreakHyphen/>
            </w:r>
          </w:p>
        </w:tc>
        <w:tc>
          <w:tcPr>
            <w:tcW w:w="850" w:type="dxa"/>
            <w:vAlign w:val="bottom"/>
          </w:tcPr>
          <w:p w14:paraId="328D88A1" w14:textId="77777777" w:rsidR="00B449D0" w:rsidRDefault="00175344">
            <w:pPr>
              <w:pStyle w:val="Summarytabletextrightaligned"/>
            </w:pPr>
            <w:r>
              <w:t>3.6</w:t>
            </w:r>
          </w:p>
        </w:tc>
        <w:tc>
          <w:tcPr>
            <w:tcW w:w="850" w:type="dxa"/>
            <w:vAlign w:val="bottom"/>
          </w:tcPr>
          <w:p w14:paraId="7ABF4CF8" w14:textId="77777777" w:rsidR="00B449D0" w:rsidRDefault="00175344">
            <w:pPr>
              <w:pStyle w:val="Summarytabletextrightaligned"/>
            </w:pPr>
            <w:r>
              <w:t>3.7</w:t>
            </w:r>
          </w:p>
        </w:tc>
        <w:tc>
          <w:tcPr>
            <w:tcW w:w="850" w:type="dxa"/>
            <w:vAlign w:val="bottom"/>
          </w:tcPr>
          <w:p w14:paraId="17F8C70C" w14:textId="77777777" w:rsidR="00B449D0" w:rsidRDefault="00175344">
            <w:pPr>
              <w:pStyle w:val="Summarytabletextrightaligned"/>
            </w:pPr>
            <w:r>
              <w:t>4.1</w:t>
            </w:r>
          </w:p>
        </w:tc>
      </w:tr>
      <w:tr w:rsidR="00B449D0" w14:paraId="4BEC411F" w14:textId="77777777" w:rsidTr="00301E48">
        <w:tc>
          <w:tcPr>
            <w:tcW w:w="3471" w:type="dxa"/>
            <w:vAlign w:val="bottom"/>
          </w:tcPr>
          <w:p w14:paraId="10055D54" w14:textId="77777777" w:rsidR="00B449D0" w:rsidRDefault="00175344">
            <w:pPr>
              <w:pStyle w:val="SummaryMeasureTitlewithTheme"/>
            </w:pPr>
            <w:r>
              <w:t>Education – reprioritisation</w:t>
            </w:r>
          </w:p>
        </w:tc>
        <w:tc>
          <w:tcPr>
            <w:tcW w:w="850" w:type="dxa"/>
            <w:vAlign w:val="bottom"/>
          </w:tcPr>
          <w:p w14:paraId="38DA0701" w14:textId="5F88E4CE" w:rsidR="00B449D0" w:rsidRDefault="00076D78">
            <w:pPr>
              <w:pStyle w:val="Summarytabletextrightaligned"/>
            </w:pPr>
            <w:r>
              <w:noBreakHyphen/>
            </w:r>
          </w:p>
        </w:tc>
        <w:tc>
          <w:tcPr>
            <w:tcW w:w="850" w:type="dxa"/>
            <w:shd w:val="clear" w:color="auto" w:fill="E6F2FF"/>
            <w:vAlign w:val="bottom"/>
          </w:tcPr>
          <w:p w14:paraId="1F4B80A4" w14:textId="29693504" w:rsidR="00B449D0" w:rsidRDefault="00076D78">
            <w:pPr>
              <w:pStyle w:val="Summarytabletextrightaligned"/>
            </w:pPr>
            <w:r>
              <w:noBreakHyphen/>
            </w:r>
            <w:r w:rsidR="00175344">
              <w:t>35.1</w:t>
            </w:r>
          </w:p>
        </w:tc>
        <w:tc>
          <w:tcPr>
            <w:tcW w:w="850" w:type="dxa"/>
            <w:vAlign w:val="bottom"/>
          </w:tcPr>
          <w:p w14:paraId="2E92CDCC" w14:textId="27D6FDC8" w:rsidR="00B449D0" w:rsidRDefault="00076D78">
            <w:pPr>
              <w:pStyle w:val="Summarytabletextrightaligned"/>
            </w:pPr>
            <w:r>
              <w:noBreakHyphen/>
            </w:r>
            <w:r w:rsidR="00175344">
              <w:t>47.1</w:t>
            </w:r>
          </w:p>
        </w:tc>
        <w:tc>
          <w:tcPr>
            <w:tcW w:w="850" w:type="dxa"/>
            <w:vAlign w:val="bottom"/>
          </w:tcPr>
          <w:p w14:paraId="50EDEA1E" w14:textId="18810809" w:rsidR="00B449D0" w:rsidRDefault="00076D78">
            <w:pPr>
              <w:pStyle w:val="Summarytabletextrightaligned"/>
            </w:pPr>
            <w:r>
              <w:noBreakHyphen/>
            </w:r>
            <w:r w:rsidR="00175344">
              <w:t>53.4</w:t>
            </w:r>
          </w:p>
        </w:tc>
        <w:tc>
          <w:tcPr>
            <w:tcW w:w="850" w:type="dxa"/>
            <w:vAlign w:val="bottom"/>
          </w:tcPr>
          <w:p w14:paraId="523B6706" w14:textId="7F3CFE4B" w:rsidR="00B449D0" w:rsidRDefault="00076D78">
            <w:pPr>
              <w:pStyle w:val="Summarytabletextrightaligned"/>
            </w:pPr>
            <w:r>
              <w:noBreakHyphen/>
            </w:r>
            <w:r w:rsidR="00175344">
              <w:t>61.5</w:t>
            </w:r>
          </w:p>
        </w:tc>
      </w:tr>
      <w:tr w:rsidR="00B449D0" w14:paraId="44268422" w14:textId="77777777" w:rsidTr="00301E48">
        <w:tc>
          <w:tcPr>
            <w:tcW w:w="3471" w:type="dxa"/>
            <w:vAlign w:val="bottom"/>
          </w:tcPr>
          <w:p w14:paraId="418B2A56" w14:textId="77777777" w:rsidR="00B449D0" w:rsidRDefault="00175344">
            <w:pPr>
              <w:pStyle w:val="SummaryMeasureTitlewithTheme"/>
            </w:pPr>
            <w:r>
              <w:t>First Nations Education Partnership Funding, Education Policy and Education Programs Extensions</w:t>
            </w:r>
          </w:p>
        </w:tc>
        <w:tc>
          <w:tcPr>
            <w:tcW w:w="850" w:type="dxa"/>
            <w:vAlign w:val="bottom"/>
          </w:tcPr>
          <w:p w14:paraId="12E40A8C" w14:textId="7CDC5F17" w:rsidR="00B449D0" w:rsidRDefault="00076D78">
            <w:pPr>
              <w:pStyle w:val="Summarytabletextrightaligned"/>
            </w:pPr>
            <w:r>
              <w:noBreakHyphen/>
            </w:r>
          </w:p>
        </w:tc>
        <w:tc>
          <w:tcPr>
            <w:tcW w:w="850" w:type="dxa"/>
            <w:shd w:val="clear" w:color="auto" w:fill="E6F2FF"/>
            <w:vAlign w:val="bottom"/>
          </w:tcPr>
          <w:p w14:paraId="51756683" w14:textId="7B3A3740" w:rsidR="00B449D0" w:rsidRDefault="00076D78">
            <w:pPr>
              <w:pStyle w:val="Summarytabletextrightaligned"/>
            </w:pPr>
            <w:r>
              <w:noBreakHyphen/>
            </w:r>
          </w:p>
        </w:tc>
        <w:tc>
          <w:tcPr>
            <w:tcW w:w="850" w:type="dxa"/>
            <w:vAlign w:val="bottom"/>
          </w:tcPr>
          <w:p w14:paraId="1FEA9EA3" w14:textId="0FD3EC10" w:rsidR="00B449D0" w:rsidRDefault="00076D78">
            <w:pPr>
              <w:pStyle w:val="Summarytabletextrightaligned"/>
            </w:pPr>
            <w:r>
              <w:noBreakHyphen/>
            </w:r>
          </w:p>
        </w:tc>
        <w:tc>
          <w:tcPr>
            <w:tcW w:w="850" w:type="dxa"/>
            <w:vAlign w:val="bottom"/>
          </w:tcPr>
          <w:p w14:paraId="06D48E0A" w14:textId="2443658C" w:rsidR="00B449D0" w:rsidRDefault="00076D78">
            <w:pPr>
              <w:pStyle w:val="Summarytabletextrightaligned"/>
            </w:pPr>
            <w:r>
              <w:noBreakHyphen/>
            </w:r>
          </w:p>
        </w:tc>
        <w:tc>
          <w:tcPr>
            <w:tcW w:w="850" w:type="dxa"/>
            <w:vAlign w:val="bottom"/>
          </w:tcPr>
          <w:p w14:paraId="2359B94D" w14:textId="0F6DEC56" w:rsidR="00B449D0" w:rsidRDefault="00076D78">
            <w:pPr>
              <w:pStyle w:val="Summarytabletextrightaligned"/>
            </w:pPr>
            <w:r>
              <w:noBreakHyphen/>
            </w:r>
          </w:p>
        </w:tc>
      </w:tr>
      <w:tr w:rsidR="00B449D0" w14:paraId="13A2E1BC" w14:textId="77777777" w:rsidTr="00301E48">
        <w:tc>
          <w:tcPr>
            <w:tcW w:w="3471" w:type="dxa"/>
            <w:vAlign w:val="bottom"/>
          </w:tcPr>
          <w:p w14:paraId="14A7D8EE" w14:textId="77777777" w:rsidR="00B449D0" w:rsidRDefault="00175344">
            <w:pPr>
              <w:pStyle w:val="SummaryMeasureTitlewithTheme"/>
            </w:pPr>
            <w:r>
              <w:t>GENERATION Survey of Post‑School Destinations</w:t>
            </w:r>
          </w:p>
        </w:tc>
        <w:tc>
          <w:tcPr>
            <w:tcW w:w="850" w:type="dxa"/>
            <w:vAlign w:val="bottom"/>
          </w:tcPr>
          <w:p w14:paraId="0639EE5E" w14:textId="1708DC9D" w:rsidR="00B449D0" w:rsidRDefault="00076D78">
            <w:pPr>
              <w:pStyle w:val="Summarytabletextrightaligned"/>
            </w:pPr>
            <w:r>
              <w:noBreakHyphen/>
            </w:r>
          </w:p>
        </w:tc>
        <w:tc>
          <w:tcPr>
            <w:tcW w:w="850" w:type="dxa"/>
            <w:shd w:val="clear" w:color="auto" w:fill="E6F2FF"/>
            <w:vAlign w:val="bottom"/>
          </w:tcPr>
          <w:p w14:paraId="777A3FB2" w14:textId="77777777" w:rsidR="00B449D0" w:rsidRDefault="00175344">
            <w:pPr>
              <w:pStyle w:val="Summarytabletextrightaligned"/>
            </w:pPr>
            <w:r>
              <w:t>0.4</w:t>
            </w:r>
          </w:p>
        </w:tc>
        <w:tc>
          <w:tcPr>
            <w:tcW w:w="850" w:type="dxa"/>
            <w:vAlign w:val="bottom"/>
          </w:tcPr>
          <w:p w14:paraId="27EA8EAB" w14:textId="20487318" w:rsidR="00B449D0" w:rsidRDefault="00076D78">
            <w:pPr>
              <w:pStyle w:val="Summarytabletextrightaligned"/>
            </w:pPr>
            <w:r>
              <w:noBreakHyphen/>
            </w:r>
          </w:p>
        </w:tc>
        <w:tc>
          <w:tcPr>
            <w:tcW w:w="850" w:type="dxa"/>
            <w:vAlign w:val="bottom"/>
          </w:tcPr>
          <w:p w14:paraId="6C700B76" w14:textId="01BD2C8D" w:rsidR="00B449D0" w:rsidRDefault="00076D78">
            <w:pPr>
              <w:pStyle w:val="Summarytabletextrightaligned"/>
            </w:pPr>
            <w:r>
              <w:noBreakHyphen/>
            </w:r>
          </w:p>
        </w:tc>
        <w:tc>
          <w:tcPr>
            <w:tcW w:w="850" w:type="dxa"/>
            <w:vAlign w:val="bottom"/>
          </w:tcPr>
          <w:p w14:paraId="2174A9CD" w14:textId="56211DE2" w:rsidR="00B449D0" w:rsidRDefault="00076D78">
            <w:pPr>
              <w:pStyle w:val="Summarytabletextrightaligned"/>
            </w:pPr>
            <w:r>
              <w:noBreakHyphen/>
            </w:r>
          </w:p>
        </w:tc>
      </w:tr>
      <w:tr w:rsidR="00B449D0" w14:paraId="46FD9D1D" w14:textId="77777777" w:rsidTr="00301E48">
        <w:tc>
          <w:tcPr>
            <w:tcW w:w="3471" w:type="dxa"/>
            <w:vAlign w:val="bottom"/>
          </w:tcPr>
          <w:p w14:paraId="6ABAAEFA" w14:textId="77777777" w:rsidR="00B449D0" w:rsidRDefault="00175344">
            <w:pPr>
              <w:pStyle w:val="SummaryMeasureTitlewithTheme"/>
            </w:pPr>
            <w:r>
              <w:t>Quality Outcomes – Parliament and Civics Education Rebate and National Youth Parliament</w:t>
            </w:r>
          </w:p>
        </w:tc>
        <w:tc>
          <w:tcPr>
            <w:tcW w:w="850" w:type="dxa"/>
            <w:vAlign w:val="bottom"/>
          </w:tcPr>
          <w:p w14:paraId="16D7AA2E" w14:textId="20F86100" w:rsidR="00B449D0" w:rsidRDefault="00076D78">
            <w:pPr>
              <w:pStyle w:val="Summarytabletextrightaligned"/>
            </w:pPr>
            <w:r>
              <w:noBreakHyphen/>
            </w:r>
          </w:p>
        </w:tc>
        <w:tc>
          <w:tcPr>
            <w:tcW w:w="850" w:type="dxa"/>
            <w:shd w:val="clear" w:color="auto" w:fill="E6F2FF"/>
            <w:vAlign w:val="bottom"/>
          </w:tcPr>
          <w:p w14:paraId="6AA855C3" w14:textId="77777777" w:rsidR="00B449D0" w:rsidRDefault="00175344">
            <w:pPr>
              <w:pStyle w:val="Summarytabletextrightaligned"/>
            </w:pPr>
            <w:r>
              <w:t>2.8</w:t>
            </w:r>
          </w:p>
        </w:tc>
        <w:tc>
          <w:tcPr>
            <w:tcW w:w="850" w:type="dxa"/>
            <w:vAlign w:val="bottom"/>
          </w:tcPr>
          <w:p w14:paraId="56EF1CBD" w14:textId="73EC3E9C" w:rsidR="00B449D0" w:rsidRDefault="00076D78">
            <w:pPr>
              <w:pStyle w:val="Summarytabletextrightaligned"/>
            </w:pPr>
            <w:r>
              <w:noBreakHyphen/>
            </w:r>
          </w:p>
        </w:tc>
        <w:tc>
          <w:tcPr>
            <w:tcW w:w="850" w:type="dxa"/>
            <w:vAlign w:val="bottom"/>
          </w:tcPr>
          <w:p w14:paraId="2E2E6503" w14:textId="0B418FA5" w:rsidR="00B449D0" w:rsidRDefault="00076D78">
            <w:pPr>
              <w:pStyle w:val="Summarytabletextrightaligned"/>
            </w:pPr>
            <w:r>
              <w:noBreakHyphen/>
            </w:r>
          </w:p>
        </w:tc>
        <w:tc>
          <w:tcPr>
            <w:tcW w:w="850" w:type="dxa"/>
            <w:vAlign w:val="bottom"/>
          </w:tcPr>
          <w:p w14:paraId="44E60293" w14:textId="76EF3803" w:rsidR="00B449D0" w:rsidRDefault="00076D78">
            <w:pPr>
              <w:pStyle w:val="Summarytabletextrightaligned"/>
            </w:pPr>
            <w:r>
              <w:noBreakHyphen/>
            </w:r>
          </w:p>
        </w:tc>
      </w:tr>
      <w:tr w:rsidR="00B449D0" w14:paraId="512DEE92" w14:textId="77777777" w:rsidTr="00301E48">
        <w:tc>
          <w:tcPr>
            <w:tcW w:w="3471" w:type="dxa"/>
            <w:vAlign w:val="bottom"/>
          </w:tcPr>
          <w:p w14:paraId="0A8147F7" w14:textId="77777777" w:rsidR="00B449D0" w:rsidRDefault="00175344">
            <w:pPr>
              <w:pStyle w:val="SummaryMeasureTitlewithTheme"/>
            </w:pPr>
            <w:r>
              <w:t>Review into Bullying in Schools</w:t>
            </w:r>
          </w:p>
        </w:tc>
        <w:tc>
          <w:tcPr>
            <w:tcW w:w="850" w:type="dxa"/>
            <w:vAlign w:val="bottom"/>
          </w:tcPr>
          <w:p w14:paraId="1CB28DD3" w14:textId="303E3BC7" w:rsidR="00B449D0" w:rsidRDefault="00076D78">
            <w:pPr>
              <w:pStyle w:val="Summarytabletextrightaligned"/>
            </w:pPr>
            <w:r>
              <w:noBreakHyphen/>
            </w:r>
          </w:p>
        </w:tc>
        <w:tc>
          <w:tcPr>
            <w:tcW w:w="850" w:type="dxa"/>
            <w:shd w:val="clear" w:color="auto" w:fill="E6F2FF"/>
            <w:vAlign w:val="bottom"/>
          </w:tcPr>
          <w:p w14:paraId="08F788E2" w14:textId="77777777" w:rsidR="00B449D0" w:rsidRDefault="00175344">
            <w:pPr>
              <w:pStyle w:val="Summarytabletextrightaligned"/>
            </w:pPr>
            <w:r>
              <w:t>1.2</w:t>
            </w:r>
          </w:p>
        </w:tc>
        <w:tc>
          <w:tcPr>
            <w:tcW w:w="850" w:type="dxa"/>
            <w:vAlign w:val="bottom"/>
          </w:tcPr>
          <w:p w14:paraId="1B4B068B" w14:textId="21E84E2E" w:rsidR="00B449D0" w:rsidRDefault="00076D78">
            <w:pPr>
              <w:pStyle w:val="Summarytabletextrightaligned"/>
            </w:pPr>
            <w:r>
              <w:noBreakHyphen/>
            </w:r>
          </w:p>
        </w:tc>
        <w:tc>
          <w:tcPr>
            <w:tcW w:w="850" w:type="dxa"/>
            <w:vAlign w:val="bottom"/>
          </w:tcPr>
          <w:p w14:paraId="2846BE11" w14:textId="2D898FEE" w:rsidR="00B449D0" w:rsidRDefault="00076D78">
            <w:pPr>
              <w:pStyle w:val="Summarytabletextrightaligned"/>
            </w:pPr>
            <w:r>
              <w:noBreakHyphen/>
            </w:r>
          </w:p>
        </w:tc>
        <w:tc>
          <w:tcPr>
            <w:tcW w:w="850" w:type="dxa"/>
            <w:vAlign w:val="bottom"/>
          </w:tcPr>
          <w:p w14:paraId="3CF6552A" w14:textId="2C38A0F0" w:rsidR="00B449D0" w:rsidRDefault="00076D78">
            <w:pPr>
              <w:pStyle w:val="Summarytabletextrightaligned"/>
            </w:pPr>
            <w:r>
              <w:noBreakHyphen/>
            </w:r>
          </w:p>
        </w:tc>
      </w:tr>
      <w:tr w:rsidR="00B449D0" w14:paraId="32DE4A9B" w14:textId="77777777" w:rsidTr="00301E48">
        <w:tc>
          <w:tcPr>
            <w:tcW w:w="3471" w:type="dxa"/>
            <w:vAlign w:val="bottom"/>
          </w:tcPr>
          <w:p w14:paraId="6A26275C" w14:textId="77777777" w:rsidR="00B449D0" w:rsidRDefault="00175344">
            <w:pPr>
              <w:pStyle w:val="SummaryMeasureTitlewithTheme"/>
            </w:pPr>
            <w:r>
              <w:t>Strengthening the Integrity and Sustainability of the International Education Sector</w:t>
            </w:r>
          </w:p>
        </w:tc>
        <w:tc>
          <w:tcPr>
            <w:tcW w:w="850" w:type="dxa"/>
            <w:vAlign w:val="bottom"/>
          </w:tcPr>
          <w:p w14:paraId="54C0E9D5" w14:textId="1C4F45CD" w:rsidR="00B449D0" w:rsidRDefault="00076D78">
            <w:pPr>
              <w:pStyle w:val="Summarytabletextrightaligned"/>
            </w:pPr>
            <w:r>
              <w:noBreakHyphen/>
            </w:r>
          </w:p>
        </w:tc>
        <w:tc>
          <w:tcPr>
            <w:tcW w:w="850" w:type="dxa"/>
            <w:shd w:val="clear" w:color="auto" w:fill="E6F2FF"/>
            <w:vAlign w:val="bottom"/>
          </w:tcPr>
          <w:p w14:paraId="07D7826C" w14:textId="77777777" w:rsidR="00B449D0" w:rsidRDefault="00175344">
            <w:pPr>
              <w:pStyle w:val="Summarytabletextrightaligned"/>
            </w:pPr>
            <w:r>
              <w:t>2.3</w:t>
            </w:r>
          </w:p>
        </w:tc>
        <w:tc>
          <w:tcPr>
            <w:tcW w:w="850" w:type="dxa"/>
            <w:vAlign w:val="bottom"/>
          </w:tcPr>
          <w:p w14:paraId="71B32E3E" w14:textId="77777777" w:rsidR="00B449D0" w:rsidRDefault="00175344">
            <w:pPr>
              <w:pStyle w:val="Summarytabletextrightaligned"/>
            </w:pPr>
            <w:r>
              <w:t>7.7</w:t>
            </w:r>
          </w:p>
        </w:tc>
        <w:tc>
          <w:tcPr>
            <w:tcW w:w="850" w:type="dxa"/>
            <w:vAlign w:val="bottom"/>
          </w:tcPr>
          <w:p w14:paraId="0201E588" w14:textId="77777777" w:rsidR="00B449D0" w:rsidRDefault="00175344">
            <w:pPr>
              <w:pStyle w:val="Summarytabletextrightaligned"/>
            </w:pPr>
            <w:r>
              <w:t>5.0</w:t>
            </w:r>
          </w:p>
        </w:tc>
        <w:tc>
          <w:tcPr>
            <w:tcW w:w="850" w:type="dxa"/>
            <w:vAlign w:val="bottom"/>
          </w:tcPr>
          <w:p w14:paraId="1DCF4031" w14:textId="77777777" w:rsidR="00B449D0" w:rsidRDefault="00175344">
            <w:pPr>
              <w:pStyle w:val="Summarytabletextrightaligned"/>
            </w:pPr>
            <w:r>
              <w:t>5.3</w:t>
            </w:r>
          </w:p>
        </w:tc>
      </w:tr>
      <w:tr w:rsidR="00B449D0" w14:paraId="0683083C" w14:textId="77777777" w:rsidTr="00301E48">
        <w:tc>
          <w:tcPr>
            <w:tcW w:w="3471" w:type="dxa"/>
            <w:vAlign w:val="bottom"/>
          </w:tcPr>
          <w:p w14:paraId="14E0ECA2" w14:textId="77777777" w:rsidR="00B449D0" w:rsidRDefault="00175344">
            <w:pPr>
              <w:pStyle w:val="SummaryMeasureTitlewithTheme"/>
            </w:pPr>
            <w:r>
              <w:t>Supplementary Funding for the Inclusion Support Program</w:t>
            </w:r>
          </w:p>
        </w:tc>
        <w:tc>
          <w:tcPr>
            <w:tcW w:w="850" w:type="dxa"/>
            <w:vAlign w:val="bottom"/>
          </w:tcPr>
          <w:p w14:paraId="13E2D1E7" w14:textId="2AC47CE3" w:rsidR="00B449D0" w:rsidRDefault="00076D78">
            <w:pPr>
              <w:pStyle w:val="Summarytabletextrightaligned"/>
            </w:pPr>
            <w:r>
              <w:noBreakHyphen/>
            </w:r>
          </w:p>
        </w:tc>
        <w:tc>
          <w:tcPr>
            <w:tcW w:w="850" w:type="dxa"/>
            <w:shd w:val="clear" w:color="auto" w:fill="E6F2FF"/>
            <w:vAlign w:val="bottom"/>
          </w:tcPr>
          <w:p w14:paraId="7F9B5698" w14:textId="1363D7DF" w:rsidR="00B449D0" w:rsidRDefault="00076D78">
            <w:pPr>
              <w:pStyle w:val="Summarytabletextrightaligned"/>
            </w:pPr>
            <w:r>
              <w:noBreakHyphen/>
            </w:r>
          </w:p>
        </w:tc>
        <w:tc>
          <w:tcPr>
            <w:tcW w:w="850" w:type="dxa"/>
            <w:vAlign w:val="bottom"/>
          </w:tcPr>
          <w:p w14:paraId="0555F098" w14:textId="77777777" w:rsidR="00B449D0" w:rsidRDefault="00175344">
            <w:pPr>
              <w:pStyle w:val="Summarytabletextrightaligned"/>
            </w:pPr>
            <w:r>
              <w:t>105.0</w:t>
            </w:r>
          </w:p>
        </w:tc>
        <w:tc>
          <w:tcPr>
            <w:tcW w:w="850" w:type="dxa"/>
            <w:vAlign w:val="bottom"/>
          </w:tcPr>
          <w:p w14:paraId="4CFBB5EF" w14:textId="2BD21DD1" w:rsidR="00B449D0" w:rsidRDefault="00076D78">
            <w:pPr>
              <w:pStyle w:val="Summarytabletextrightaligned"/>
            </w:pPr>
            <w:r>
              <w:noBreakHyphen/>
            </w:r>
          </w:p>
        </w:tc>
        <w:tc>
          <w:tcPr>
            <w:tcW w:w="850" w:type="dxa"/>
            <w:vAlign w:val="bottom"/>
          </w:tcPr>
          <w:p w14:paraId="6F7F6CEF" w14:textId="2FC9399B" w:rsidR="00B449D0" w:rsidRDefault="00076D78">
            <w:pPr>
              <w:pStyle w:val="Summarytabletextrightaligned"/>
            </w:pPr>
            <w:r>
              <w:noBreakHyphen/>
            </w:r>
          </w:p>
        </w:tc>
      </w:tr>
      <w:tr w:rsidR="00B449D0" w14:paraId="3DECEBFF" w14:textId="77777777" w:rsidTr="00301E48">
        <w:tc>
          <w:tcPr>
            <w:tcW w:w="3471" w:type="dxa"/>
            <w:vAlign w:val="bottom"/>
          </w:tcPr>
          <w:p w14:paraId="6BDF9F90" w14:textId="77777777" w:rsidR="00B449D0" w:rsidRDefault="00175344">
            <w:pPr>
              <w:pStyle w:val="SummaryAgencyTitle-BP2"/>
            </w:pPr>
            <w:r>
              <w:t>Tertiary Education Quality and Standards Agency</w:t>
            </w:r>
          </w:p>
        </w:tc>
        <w:tc>
          <w:tcPr>
            <w:tcW w:w="850" w:type="dxa"/>
          </w:tcPr>
          <w:p w14:paraId="7CF9593C" w14:textId="77777777" w:rsidR="00B449D0" w:rsidRDefault="00B449D0">
            <w:pPr>
              <w:pStyle w:val="SummaryAgencyTitle-BP2"/>
            </w:pPr>
          </w:p>
        </w:tc>
        <w:tc>
          <w:tcPr>
            <w:tcW w:w="850" w:type="dxa"/>
            <w:shd w:val="clear" w:color="auto" w:fill="E6F2FF"/>
          </w:tcPr>
          <w:p w14:paraId="04E151CE" w14:textId="77777777" w:rsidR="00B449D0" w:rsidRDefault="00B449D0">
            <w:pPr>
              <w:pStyle w:val="SummaryAgencyTitle-BP2"/>
            </w:pPr>
          </w:p>
        </w:tc>
        <w:tc>
          <w:tcPr>
            <w:tcW w:w="850" w:type="dxa"/>
          </w:tcPr>
          <w:p w14:paraId="530BFAD1" w14:textId="77777777" w:rsidR="00B449D0" w:rsidRDefault="00B449D0">
            <w:pPr>
              <w:pStyle w:val="SummaryAgencyTitle-BP2"/>
            </w:pPr>
          </w:p>
        </w:tc>
        <w:tc>
          <w:tcPr>
            <w:tcW w:w="850" w:type="dxa"/>
          </w:tcPr>
          <w:p w14:paraId="0DA1F97F" w14:textId="77777777" w:rsidR="00B449D0" w:rsidRDefault="00B449D0">
            <w:pPr>
              <w:pStyle w:val="SummaryAgencyTitle-BP2"/>
            </w:pPr>
          </w:p>
        </w:tc>
        <w:tc>
          <w:tcPr>
            <w:tcW w:w="850" w:type="dxa"/>
          </w:tcPr>
          <w:p w14:paraId="19ED4140" w14:textId="77777777" w:rsidR="00B449D0" w:rsidRDefault="00B449D0">
            <w:pPr>
              <w:pStyle w:val="SummaryAgencyTitle-BP2"/>
            </w:pPr>
          </w:p>
        </w:tc>
      </w:tr>
      <w:tr w:rsidR="00B449D0" w14:paraId="6AAB667B" w14:textId="77777777" w:rsidTr="00301E48">
        <w:tc>
          <w:tcPr>
            <w:tcW w:w="3471" w:type="dxa"/>
            <w:vAlign w:val="bottom"/>
          </w:tcPr>
          <w:p w14:paraId="452674DF" w14:textId="77777777" w:rsidR="00B449D0" w:rsidRDefault="00175344">
            <w:pPr>
              <w:pStyle w:val="SummaryMeasureTitlewithTheme"/>
            </w:pPr>
            <w:r>
              <w:t>Australian Universities Accord ‑ further reforms(b)</w:t>
            </w:r>
          </w:p>
        </w:tc>
        <w:tc>
          <w:tcPr>
            <w:tcW w:w="850" w:type="dxa"/>
            <w:vAlign w:val="bottom"/>
          </w:tcPr>
          <w:p w14:paraId="6F5E63AE" w14:textId="6A52E9D7" w:rsidR="00B449D0" w:rsidRDefault="00076D78">
            <w:pPr>
              <w:pStyle w:val="Summarytabletextrightaligned"/>
            </w:pPr>
            <w:r>
              <w:noBreakHyphen/>
            </w:r>
          </w:p>
        </w:tc>
        <w:tc>
          <w:tcPr>
            <w:tcW w:w="850" w:type="dxa"/>
            <w:shd w:val="clear" w:color="auto" w:fill="E6F2FF"/>
            <w:vAlign w:val="bottom"/>
          </w:tcPr>
          <w:p w14:paraId="1322EDCB" w14:textId="77777777" w:rsidR="00B449D0" w:rsidRDefault="00175344">
            <w:pPr>
              <w:pStyle w:val="Summarytabletextrightaligned"/>
            </w:pPr>
            <w:r>
              <w:t>3.4</w:t>
            </w:r>
          </w:p>
        </w:tc>
        <w:tc>
          <w:tcPr>
            <w:tcW w:w="850" w:type="dxa"/>
            <w:vAlign w:val="bottom"/>
          </w:tcPr>
          <w:p w14:paraId="3E0947A8" w14:textId="77777777" w:rsidR="00B449D0" w:rsidRDefault="00175344">
            <w:pPr>
              <w:pStyle w:val="Summarytabletextrightaligned"/>
            </w:pPr>
            <w:r>
              <w:t>1.2</w:t>
            </w:r>
          </w:p>
        </w:tc>
        <w:tc>
          <w:tcPr>
            <w:tcW w:w="850" w:type="dxa"/>
            <w:vAlign w:val="bottom"/>
          </w:tcPr>
          <w:p w14:paraId="050ED9BE" w14:textId="77777777" w:rsidR="00B449D0" w:rsidRDefault="00175344">
            <w:pPr>
              <w:pStyle w:val="Summarytabletextrightaligned"/>
            </w:pPr>
            <w:r>
              <w:t>1.2</w:t>
            </w:r>
          </w:p>
        </w:tc>
        <w:tc>
          <w:tcPr>
            <w:tcW w:w="850" w:type="dxa"/>
            <w:vAlign w:val="bottom"/>
          </w:tcPr>
          <w:p w14:paraId="25C3FC1B" w14:textId="77777777" w:rsidR="00B449D0" w:rsidRDefault="00175344">
            <w:pPr>
              <w:pStyle w:val="Summarytabletextrightaligned"/>
            </w:pPr>
            <w:r>
              <w:t>1.2</w:t>
            </w:r>
          </w:p>
        </w:tc>
      </w:tr>
      <w:tr w:rsidR="00B449D0" w14:paraId="796410E9" w14:textId="77777777" w:rsidTr="00301E48">
        <w:tc>
          <w:tcPr>
            <w:tcW w:w="3471" w:type="dxa"/>
            <w:vAlign w:val="bottom"/>
          </w:tcPr>
          <w:p w14:paraId="4C87723F" w14:textId="77777777" w:rsidR="00B449D0" w:rsidRDefault="00175344">
            <w:pPr>
              <w:pStyle w:val="Summarytabletextleftalignedbold"/>
            </w:pPr>
            <w:r>
              <w:t>Portfolio total</w:t>
            </w:r>
          </w:p>
        </w:tc>
        <w:tc>
          <w:tcPr>
            <w:tcW w:w="850" w:type="dxa"/>
            <w:tcBorders>
              <w:top w:val="single" w:sz="4" w:space="0" w:color="000000"/>
              <w:bottom w:val="single" w:sz="4" w:space="0" w:color="000000"/>
            </w:tcBorders>
            <w:vAlign w:val="bottom"/>
          </w:tcPr>
          <w:p w14:paraId="0336B481" w14:textId="373F0508" w:rsidR="00B449D0" w:rsidRDefault="00076D78">
            <w:pPr>
              <w:pStyle w:val="Summarytabletextrightalignedbold"/>
            </w:pPr>
            <w:r>
              <w:noBreakHyphen/>
            </w:r>
          </w:p>
        </w:tc>
        <w:tc>
          <w:tcPr>
            <w:tcW w:w="850" w:type="dxa"/>
            <w:tcBorders>
              <w:top w:val="single" w:sz="4" w:space="0" w:color="000000"/>
              <w:bottom w:val="single" w:sz="4" w:space="0" w:color="000000"/>
            </w:tcBorders>
            <w:shd w:val="clear" w:color="auto" w:fill="E6F2FF"/>
            <w:vAlign w:val="bottom"/>
          </w:tcPr>
          <w:p w14:paraId="64B775A1" w14:textId="77777777" w:rsidR="00B449D0" w:rsidRDefault="00175344">
            <w:pPr>
              <w:pStyle w:val="Summarytabletextrightalignedbold"/>
            </w:pPr>
            <w:r>
              <w:t>657.2</w:t>
            </w:r>
          </w:p>
        </w:tc>
        <w:tc>
          <w:tcPr>
            <w:tcW w:w="850" w:type="dxa"/>
            <w:tcBorders>
              <w:top w:val="single" w:sz="4" w:space="0" w:color="000000"/>
              <w:bottom w:val="single" w:sz="4" w:space="0" w:color="000000"/>
            </w:tcBorders>
            <w:vAlign w:val="bottom"/>
          </w:tcPr>
          <w:p w14:paraId="6D28873E" w14:textId="77777777" w:rsidR="00B449D0" w:rsidRDefault="00175344">
            <w:pPr>
              <w:pStyle w:val="Summarytabletextrightalignedbold"/>
            </w:pPr>
            <w:r>
              <w:t>2,132.3</w:t>
            </w:r>
          </w:p>
        </w:tc>
        <w:tc>
          <w:tcPr>
            <w:tcW w:w="850" w:type="dxa"/>
            <w:tcBorders>
              <w:top w:val="single" w:sz="4" w:space="0" w:color="000000"/>
              <w:bottom w:val="single" w:sz="4" w:space="0" w:color="000000"/>
            </w:tcBorders>
            <w:vAlign w:val="bottom"/>
          </w:tcPr>
          <w:p w14:paraId="46D939A1" w14:textId="77777777" w:rsidR="00B449D0" w:rsidRDefault="00175344">
            <w:pPr>
              <w:pStyle w:val="Summarytabletextrightalignedbold"/>
            </w:pPr>
            <w:r>
              <w:t>1,405.7</w:t>
            </w:r>
          </w:p>
        </w:tc>
        <w:tc>
          <w:tcPr>
            <w:tcW w:w="850" w:type="dxa"/>
            <w:tcBorders>
              <w:top w:val="single" w:sz="4" w:space="0" w:color="000000"/>
              <w:bottom w:val="single" w:sz="4" w:space="0" w:color="000000"/>
            </w:tcBorders>
            <w:vAlign w:val="bottom"/>
          </w:tcPr>
          <w:p w14:paraId="1684A2BE" w14:textId="77777777" w:rsidR="00B449D0" w:rsidRDefault="00175344">
            <w:pPr>
              <w:pStyle w:val="Summarytabletextrightalignedbold"/>
            </w:pPr>
            <w:r>
              <w:t>278.0</w:t>
            </w:r>
          </w:p>
        </w:tc>
      </w:tr>
      <w:tr w:rsidR="00B449D0" w14:paraId="79368C57" w14:textId="77777777" w:rsidTr="00301E48">
        <w:tc>
          <w:tcPr>
            <w:tcW w:w="3471" w:type="dxa"/>
            <w:vAlign w:val="bottom"/>
          </w:tcPr>
          <w:p w14:paraId="0EE9BC33" w14:textId="77777777" w:rsidR="00B449D0" w:rsidRDefault="00175344">
            <w:pPr>
              <w:pStyle w:val="SummaryPortfolioTitle-BP2"/>
            </w:pPr>
            <w:r>
              <w:t>EMPLOYMENT AND WORKPLACE RELATIONS</w:t>
            </w:r>
          </w:p>
        </w:tc>
        <w:tc>
          <w:tcPr>
            <w:tcW w:w="850" w:type="dxa"/>
          </w:tcPr>
          <w:p w14:paraId="37E5A640" w14:textId="77777777" w:rsidR="00B449D0" w:rsidRDefault="00B449D0">
            <w:pPr>
              <w:pStyle w:val="MeasureTableTextRightAlignedBefore6ptAfter1pt"/>
            </w:pPr>
          </w:p>
        </w:tc>
        <w:tc>
          <w:tcPr>
            <w:tcW w:w="850" w:type="dxa"/>
            <w:shd w:val="clear" w:color="auto" w:fill="E6F2FF"/>
          </w:tcPr>
          <w:p w14:paraId="0027C829" w14:textId="77777777" w:rsidR="00B449D0" w:rsidRDefault="00B449D0">
            <w:pPr>
              <w:pStyle w:val="MeasureTableTextRightAlignedBefore6ptAfter1pt"/>
            </w:pPr>
          </w:p>
        </w:tc>
        <w:tc>
          <w:tcPr>
            <w:tcW w:w="850" w:type="dxa"/>
          </w:tcPr>
          <w:p w14:paraId="11367762" w14:textId="77777777" w:rsidR="00B449D0" w:rsidRDefault="00B449D0">
            <w:pPr>
              <w:pStyle w:val="MeasureTableTextRightAlignedBefore6ptAfter1pt"/>
            </w:pPr>
          </w:p>
        </w:tc>
        <w:tc>
          <w:tcPr>
            <w:tcW w:w="850" w:type="dxa"/>
          </w:tcPr>
          <w:p w14:paraId="718E9DB4" w14:textId="77777777" w:rsidR="00B449D0" w:rsidRDefault="00B449D0">
            <w:pPr>
              <w:pStyle w:val="MeasureTableTextRightAlignedBefore6ptAfter1pt"/>
            </w:pPr>
          </w:p>
        </w:tc>
        <w:tc>
          <w:tcPr>
            <w:tcW w:w="850" w:type="dxa"/>
          </w:tcPr>
          <w:p w14:paraId="0744E5F5" w14:textId="77777777" w:rsidR="00B449D0" w:rsidRDefault="00B449D0">
            <w:pPr>
              <w:pStyle w:val="MeasureTableTextRightAlignedBefore6ptAfter1pt"/>
            </w:pPr>
          </w:p>
        </w:tc>
      </w:tr>
      <w:tr w:rsidR="00B449D0" w14:paraId="5B87711A" w14:textId="77777777" w:rsidTr="00301E48">
        <w:tc>
          <w:tcPr>
            <w:tcW w:w="3471" w:type="dxa"/>
            <w:vAlign w:val="bottom"/>
          </w:tcPr>
          <w:p w14:paraId="3CB2E97B" w14:textId="77777777" w:rsidR="00B449D0" w:rsidRDefault="00175344">
            <w:pPr>
              <w:pStyle w:val="SummaryAgencyTitle-BP2"/>
            </w:pPr>
            <w:r>
              <w:t>Australian Skills Quality Authority</w:t>
            </w:r>
          </w:p>
        </w:tc>
        <w:tc>
          <w:tcPr>
            <w:tcW w:w="850" w:type="dxa"/>
          </w:tcPr>
          <w:p w14:paraId="36B3E189" w14:textId="77777777" w:rsidR="00B449D0" w:rsidRDefault="00B449D0">
            <w:pPr>
              <w:pStyle w:val="SummaryAgencyTitle-BP2"/>
            </w:pPr>
          </w:p>
        </w:tc>
        <w:tc>
          <w:tcPr>
            <w:tcW w:w="850" w:type="dxa"/>
            <w:shd w:val="clear" w:color="auto" w:fill="E6F2FF"/>
          </w:tcPr>
          <w:p w14:paraId="2DE0140C" w14:textId="77777777" w:rsidR="00B449D0" w:rsidRDefault="00B449D0">
            <w:pPr>
              <w:pStyle w:val="SummaryAgencyTitle-BP2"/>
            </w:pPr>
          </w:p>
        </w:tc>
        <w:tc>
          <w:tcPr>
            <w:tcW w:w="850" w:type="dxa"/>
          </w:tcPr>
          <w:p w14:paraId="086DCA95" w14:textId="77777777" w:rsidR="00B449D0" w:rsidRDefault="00B449D0">
            <w:pPr>
              <w:pStyle w:val="SummaryAgencyTitle-BP2"/>
            </w:pPr>
          </w:p>
        </w:tc>
        <w:tc>
          <w:tcPr>
            <w:tcW w:w="850" w:type="dxa"/>
          </w:tcPr>
          <w:p w14:paraId="77016EC6" w14:textId="77777777" w:rsidR="00B449D0" w:rsidRDefault="00B449D0">
            <w:pPr>
              <w:pStyle w:val="SummaryAgencyTitle-BP2"/>
            </w:pPr>
          </w:p>
        </w:tc>
        <w:tc>
          <w:tcPr>
            <w:tcW w:w="850" w:type="dxa"/>
          </w:tcPr>
          <w:p w14:paraId="0D03880F" w14:textId="77777777" w:rsidR="00B449D0" w:rsidRDefault="00B449D0">
            <w:pPr>
              <w:pStyle w:val="SummaryAgencyTitle-BP2"/>
            </w:pPr>
          </w:p>
        </w:tc>
      </w:tr>
      <w:tr w:rsidR="00B449D0" w14:paraId="5D5A8E74" w14:textId="77777777" w:rsidTr="00301E48">
        <w:tc>
          <w:tcPr>
            <w:tcW w:w="3471" w:type="dxa"/>
            <w:vAlign w:val="bottom"/>
          </w:tcPr>
          <w:p w14:paraId="760AE17C" w14:textId="77777777" w:rsidR="00B449D0" w:rsidRDefault="00175344">
            <w:pPr>
              <w:pStyle w:val="SummaryMeasureTitlewithTheme"/>
            </w:pPr>
            <w:r>
              <w:t>Strengthening the Integrity and Sustainability of the International Education Sector</w:t>
            </w:r>
          </w:p>
        </w:tc>
        <w:tc>
          <w:tcPr>
            <w:tcW w:w="850" w:type="dxa"/>
            <w:vAlign w:val="bottom"/>
          </w:tcPr>
          <w:p w14:paraId="1A795998" w14:textId="2349A753" w:rsidR="00B449D0" w:rsidRDefault="00076D78">
            <w:pPr>
              <w:pStyle w:val="Summarytabletextrightaligned"/>
            </w:pPr>
            <w:r>
              <w:noBreakHyphen/>
            </w:r>
          </w:p>
        </w:tc>
        <w:tc>
          <w:tcPr>
            <w:tcW w:w="850" w:type="dxa"/>
            <w:shd w:val="clear" w:color="auto" w:fill="E6F2FF"/>
            <w:vAlign w:val="bottom"/>
          </w:tcPr>
          <w:p w14:paraId="3C6EE653" w14:textId="77777777" w:rsidR="00B449D0" w:rsidRDefault="00175344">
            <w:pPr>
              <w:pStyle w:val="Summarytabletextrightaligned"/>
            </w:pPr>
            <w:r>
              <w:t>2.4</w:t>
            </w:r>
          </w:p>
        </w:tc>
        <w:tc>
          <w:tcPr>
            <w:tcW w:w="850" w:type="dxa"/>
            <w:vAlign w:val="bottom"/>
          </w:tcPr>
          <w:p w14:paraId="0586CA49" w14:textId="77777777" w:rsidR="00B449D0" w:rsidRDefault="00175344">
            <w:pPr>
              <w:pStyle w:val="Summarytabletextrightaligned"/>
            </w:pPr>
            <w:r>
              <w:t>4.0</w:t>
            </w:r>
          </w:p>
        </w:tc>
        <w:tc>
          <w:tcPr>
            <w:tcW w:w="850" w:type="dxa"/>
            <w:vAlign w:val="bottom"/>
          </w:tcPr>
          <w:p w14:paraId="1F0AF49D" w14:textId="77777777" w:rsidR="00B449D0" w:rsidRDefault="00175344">
            <w:pPr>
              <w:pStyle w:val="Summarytabletextrightaligned"/>
            </w:pPr>
            <w:r>
              <w:t>0.7</w:t>
            </w:r>
          </w:p>
        </w:tc>
        <w:tc>
          <w:tcPr>
            <w:tcW w:w="850" w:type="dxa"/>
            <w:vAlign w:val="bottom"/>
          </w:tcPr>
          <w:p w14:paraId="0256F751" w14:textId="77777777" w:rsidR="00B449D0" w:rsidRDefault="00175344">
            <w:pPr>
              <w:pStyle w:val="Summarytabletextrightaligned"/>
            </w:pPr>
            <w:r>
              <w:t>0.7</w:t>
            </w:r>
          </w:p>
        </w:tc>
      </w:tr>
      <w:tr w:rsidR="00B449D0" w14:paraId="27841AD7" w14:textId="77777777" w:rsidTr="00301E48">
        <w:tc>
          <w:tcPr>
            <w:tcW w:w="3471" w:type="dxa"/>
            <w:vAlign w:val="bottom"/>
          </w:tcPr>
          <w:p w14:paraId="7617E28A" w14:textId="77777777" w:rsidR="00B449D0" w:rsidRDefault="00175344">
            <w:pPr>
              <w:pStyle w:val="SummaryAgencyTitle-BP2"/>
            </w:pPr>
            <w:r>
              <w:t>Department of Employment and Workplace Relations</w:t>
            </w:r>
          </w:p>
        </w:tc>
        <w:tc>
          <w:tcPr>
            <w:tcW w:w="850" w:type="dxa"/>
          </w:tcPr>
          <w:p w14:paraId="0D5AB648" w14:textId="77777777" w:rsidR="00B449D0" w:rsidRDefault="00B449D0">
            <w:pPr>
              <w:pStyle w:val="SummaryAgencyTitle-BP2"/>
            </w:pPr>
          </w:p>
        </w:tc>
        <w:tc>
          <w:tcPr>
            <w:tcW w:w="850" w:type="dxa"/>
            <w:shd w:val="clear" w:color="auto" w:fill="E6F2FF"/>
          </w:tcPr>
          <w:p w14:paraId="6C0F9C3B" w14:textId="77777777" w:rsidR="00B449D0" w:rsidRDefault="00B449D0">
            <w:pPr>
              <w:pStyle w:val="SummaryAgencyTitle-BP2"/>
            </w:pPr>
          </w:p>
        </w:tc>
        <w:tc>
          <w:tcPr>
            <w:tcW w:w="850" w:type="dxa"/>
          </w:tcPr>
          <w:p w14:paraId="2DE9667E" w14:textId="77777777" w:rsidR="00B449D0" w:rsidRDefault="00B449D0">
            <w:pPr>
              <w:pStyle w:val="SummaryAgencyTitle-BP2"/>
            </w:pPr>
          </w:p>
        </w:tc>
        <w:tc>
          <w:tcPr>
            <w:tcW w:w="850" w:type="dxa"/>
          </w:tcPr>
          <w:p w14:paraId="6E0DA858" w14:textId="77777777" w:rsidR="00B449D0" w:rsidRDefault="00B449D0">
            <w:pPr>
              <w:pStyle w:val="SummaryAgencyTitle-BP2"/>
            </w:pPr>
          </w:p>
        </w:tc>
        <w:tc>
          <w:tcPr>
            <w:tcW w:w="850" w:type="dxa"/>
          </w:tcPr>
          <w:p w14:paraId="1D001721" w14:textId="77777777" w:rsidR="00B449D0" w:rsidRDefault="00B449D0">
            <w:pPr>
              <w:pStyle w:val="SummaryAgencyTitle-BP2"/>
            </w:pPr>
          </w:p>
        </w:tc>
      </w:tr>
      <w:tr w:rsidR="00B449D0" w14:paraId="53F6B52D" w14:textId="77777777" w:rsidTr="00301E48">
        <w:tc>
          <w:tcPr>
            <w:tcW w:w="3471" w:type="dxa"/>
            <w:vAlign w:val="bottom"/>
          </w:tcPr>
          <w:p w14:paraId="12067962" w14:textId="77777777" w:rsidR="00B449D0" w:rsidRDefault="00175344">
            <w:pPr>
              <w:pStyle w:val="SummaryMeasureTitlewithTheme"/>
            </w:pPr>
            <w:r>
              <w:t>Assistance for Recent Arrivals from Conflict Zones(b)</w:t>
            </w:r>
          </w:p>
        </w:tc>
        <w:tc>
          <w:tcPr>
            <w:tcW w:w="850" w:type="dxa"/>
            <w:vAlign w:val="bottom"/>
          </w:tcPr>
          <w:p w14:paraId="1D6B5ED3" w14:textId="5FF6215C" w:rsidR="00B449D0" w:rsidRDefault="00076D78">
            <w:pPr>
              <w:pStyle w:val="Summarytabletextrightaligned"/>
            </w:pPr>
            <w:r>
              <w:noBreakHyphen/>
            </w:r>
          </w:p>
        </w:tc>
        <w:tc>
          <w:tcPr>
            <w:tcW w:w="850" w:type="dxa"/>
            <w:shd w:val="clear" w:color="auto" w:fill="E6F2FF"/>
            <w:vAlign w:val="bottom"/>
          </w:tcPr>
          <w:p w14:paraId="3B217D4C" w14:textId="77777777" w:rsidR="00B449D0" w:rsidRDefault="00175344">
            <w:pPr>
              <w:pStyle w:val="Summarytabletextrightaligned"/>
            </w:pPr>
            <w:r>
              <w:t>0.2</w:t>
            </w:r>
          </w:p>
        </w:tc>
        <w:tc>
          <w:tcPr>
            <w:tcW w:w="850" w:type="dxa"/>
            <w:vAlign w:val="bottom"/>
          </w:tcPr>
          <w:p w14:paraId="0ED0B2BD" w14:textId="77777777" w:rsidR="00B449D0" w:rsidRDefault="00175344">
            <w:pPr>
              <w:pStyle w:val="Summarytabletextrightaligned"/>
            </w:pPr>
            <w:r>
              <w:t>0.7</w:t>
            </w:r>
          </w:p>
        </w:tc>
        <w:tc>
          <w:tcPr>
            <w:tcW w:w="850" w:type="dxa"/>
            <w:vAlign w:val="bottom"/>
          </w:tcPr>
          <w:p w14:paraId="7765C63D" w14:textId="77777777" w:rsidR="00B449D0" w:rsidRDefault="00175344">
            <w:pPr>
              <w:pStyle w:val="Summarytabletextrightaligned"/>
            </w:pPr>
            <w:r>
              <w:t>0.4</w:t>
            </w:r>
          </w:p>
        </w:tc>
        <w:tc>
          <w:tcPr>
            <w:tcW w:w="850" w:type="dxa"/>
            <w:vAlign w:val="bottom"/>
          </w:tcPr>
          <w:p w14:paraId="1672FA3D" w14:textId="77777777" w:rsidR="00B449D0" w:rsidRDefault="00175344">
            <w:pPr>
              <w:pStyle w:val="Summarytabletextrightaligned"/>
            </w:pPr>
            <w:r>
              <w:t>0.2</w:t>
            </w:r>
          </w:p>
        </w:tc>
      </w:tr>
      <w:tr w:rsidR="00B449D0" w14:paraId="760C0B6A" w14:textId="77777777" w:rsidTr="00301E48">
        <w:tc>
          <w:tcPr>
            <w:tcW w:w="3471" w:type="dxa"/>
            <w:vAlign w:val="bottom"/>
          </w:tcPr>
          <w:p w14:paraId="3A914FF9" w14:textId="3B7F6A66" w:rsidR="00B449D0" w:rsidRDefault="00175344">
            <w:pPr>
              <w:pStyle w:val="SummaryMeasureTitlewithTheme"/>
            </w:pPr>
            <w:r>
              <w:t>Building Australia</w:t>
            </w:r>
            <w:r w:rsidR="00076D78">
              <w:t>’</w:t>
            </w:r>
            <w:r>
              <w:t>s Future – A fairer deal for students(b)</w:t>
            </w:r>
          </w:p>
        </w:tc>
        <w:tc>
          <w:tcPr>
            <w:tcW w:w="850" w:type="dxa"/>
            <w:vAlign w:val="bottom"/>
          </w:tcPr>
          <w:p w14:paraId="73B5C803" w14:textId="19F40994" w:rsidR="00B449D0" w:rsidRDefault="00076D78">
            <w:pPr>
              <w:pStyle w:val="Summarytabletextrightaligned"/>
            </w:pPr>
            <w:r>
              <w:noBreakHyphen/>
            </w:r>
          </w:p>
        </w:tc>
        <w:tc>
          <w:tcPr>
            <w:tcW w:w="850" w:type="dxa"/>
            <w:shd w:val="clear" w:color="auto" w:fill="E6F2FF"/>
            <w:vAlign w:val="bottom"/>
          </w:tcPr>
          <w:p w14:paraId="1FC72303" w14:textId="66F1EF7D" w:rsidR="00B449D0" w:rsidRDefault="00076D78">
            <w:pPr>
              <w:pStyle w:val="Summarytabletextrightaligned"/>
            </w:pPr>
            <w:r>
              <w:noBreakHyphen/>
            </w:r>
          </w:p>
        </w:tc>
        <w:tc>
          <w:tcPr>
            <w:tcW w:w="850" w:type="dxa"/>
            <w:vAlign w:val="bottom"/>
          </w:tcPr>
          <w:p w14:paraId="3596F0C0" w14:textId="694E82D3" w:rsidR="00B449D0" w:rsidRDefault="00076D78">
            <w:pPr>
              <w:pStyle w:val="Summarytabletextrightaligned"/>
            </w:pPr>
            <w:r>
              <w:noBreakHyphen/>
            </w:r>
          </w:p>
        </w:tc>
        <w:tc>
          <w:tcPr>
            <w:tcW w:w="850" w:type="dxa"/>
            <w:vAlign w:val="bottom"/>
          </w:tcPr>
          <w:p w14:paraId="7A9EB43D" w14:textId="38506AF4" w:rsidR="00B449D0" w:rsidRDefault="00076D78">
            <w:pPr>
              <w:pStyle w:val="Summarytabletextrightaligned"/>
            </w:pPr>
            <w:r>
              <w:noBreakHyphen/>
            </w:r>
          </w:p>
        </w:tc>
        <w:tc>
          <w:tcPr>
            <w:tcW w:w="850" w:type="dxa"/>
            <w:vAlign w:val="bottom"/>
          </w:tcPr>
          <w:p w14:paraId="357574BB" w14:textId="7B0EF50E" w:rsidR="00B449D0" w:rsidRDefault="00076D78">
            <w:pPr>
              <w:pStyle w:val="Summarytabletextrightaligned"/>
            </w:pPr>
            <w:r>
              <w:noBreakHyphen/>
            </w:r>
          </w:p>
        </w:tc>
      </w:tr>
      <w:tr w:rsidR="00B449D0" w14:paraId="7DC6793C" w14:textId="77777777" w:rsidTr="00301E48">
        <w:tc>
          <w:tcPr>
            <w:tcW w:w="3471" w:type="dxa"/>
            <w:vAlign w:val="bottom"/>
          </w:tcPr>
          <w:p w14:paraId="471EC769" w14:textId="012CC671" w:rsidR="00B449D0" w:rsidRDefault="00175344">
            <w:pPr>
              <w:pStyle w:val="SummaryMeasureTitlewithTheme"/>
            </w:pPr>
            <w:r>
              <w:t>Building Australia</w:t>
            </w:r>
            <w:r w:rsidR="00076D78">
              <w:t>’</w:t>
            </w:r>
            <w:r>
              <w:t>s Future – Free TAFE</w:t>
            </w:r>
          </w:p>
        </w:tc>
        <w:tc>
          <w:tcPr>
            <w:tcW w:w="850" w:type="dxa"/>
            <w:vAlign w:val="bottom"/>
          </w:tcPr>
          <w:p w14:paraId="02D4E230" w14:textId="1F1229AA" w:rsidR="00B449D0" w:rsidRDefault="00076D78">
            <w:pPr>
              <w:pStyle w:val="Summarytabletextrightaligned"/>
            </w:pPr>
            <w:r>
              <w:noBreakHyphen/>
            </w:r>
          </w:p>
        </w:tc>
        <w:tc>
          <w:tcPr>
            <w:tcW w:w="850" w:type="dxa"/>
            <w:shd w:val="clear" w:color="auto" w:fill="E6F2FF"/>
            <w:vAlign w:val="bottom"/>
          </w:tcPr>
          <w:p w14:paraId="3BF5F326" w14:textId="0765B6C2" w:rsidR="00B449D0" w:rsidRDefault="00076D78">
            <w:pPr>
              <w:pStyle w:val="Summarytabletextrightaligned"/>
            </w:pPr>
            <w:r>
              <w:noBreakHyphen/>
            </w:r>
          </w:p>
        </w:tc>
        <w:tc>
          <w:tcPr>
            <w:tcW w:w="850" w:type="dxa"/>
            <w:vAlign w:val="bottom"/>
          </w:tcPr>
          <w:p w14:paraId="657DDCFC" w14:textId="5B4C0B07" w:rsidR="00B449D0" w:rsidRDefault="00076D78">
            <w:pPr>
              <w:pStyle w:val="Summarytabletextrightaligned"/>
            </w:pPr>
            <w:r>
              <w:noBreakHyphen/>
            </w:r>
          </w:p>
        </w:tc>
        <w:tc>
          <w:tcPr>
            <w:tcW w:w="850" w:type="dxa"/>
            <w:vAlign w:val="bottom"/>
          </w:tcPr>
          <w:p w14:paraId="28939AC5" w14:textId="0B2D6397" w:rsidR="00B449D0" w:rsidRDefault="00076D78">
            <w:pPr>
              <w:pStyle w:val="Summarytabletextrightaligned"/>
            </w:pPr>
            <w:r>
              <w:noBreakHyphen/>
            </w:r>
          </w:p>
        </w:tc>
        <w:tc>
          <w:tcPr>
            <w:tcW w:w="850" w:type="dxa"/>
            <w:vAlign w:val="bottom"/>
          </w:tcPr>
          <w:p w14:paraId="41A54EA2" w14:textId="5C545FB6" w:rsidR="00B449D0" w:rsidRDefault="00076D78">
            <w:pPr>
              <w:pStyle w:val="Summarytabletextrightaligned"/>
            </w:pPr>
            <w:r>
              <w:noBreakHyphen/>
            </w:r>
          </w:p>
        </w:tc>
      </w:tr>
      <w:tr w:rsidR="00B449D0" w14:paraId="136D8050" w14:textId="77777777" w:rsidTr="00301E48">
        <w:tc>
          <w:tcPr>
            <w:tcW w:w="3471" w:type="dxa"/>
            <w:vAlign w:val="bottom"/>
          </w:tcPr>
          <w:p w14:paraId="4225F193" w14:textId="77777777" w:rsidR="00B449D0" w:rsidRDefault="00175344">
            <w:pPr>
              <w:pStyle w:val="SummaryMeasureTitlewithTheme"/>
            </w:pPr>
            <w:r>
              <w:t>Employment and Workplace Relations – reprioritisation</w:t>
            </w:r>
          </w:p>
        </w:tc>
        <w:tc>
          <w:tcPr>
            <w:tcW w:w="850" w:type="dxa"/>
            <w:vAlign w:val="bottom"/>
          </w:tcPr>
          <w:p w14:paraId="44B17B21" w14:textId="1997A1F5" w:rsidR="00B449D0" w:rsidRDefault="00076D78">
            <w:pPr>
              <w:pStyle w:val="Summarytabletextrightaligned"/>
            </w:pPr>
            <w:r>
              <w:noBreakHyphen/>
            </w:r>
          </w:p>
        </w:tc>
        <w:tc>
          <w:tcPr>
            <w:tcW w:w="850" w:type="dxa"/>
            <w:shd w:val="clear" w:color="auto" w:fill="E6F2FF"/>
            <w:vAlign w:val="bottom"/>
          </w:tcPr>
          <w:p w14:paraId="67CD7BF3" w14:textId="7F6215AF" w:rsidR="00B449D0" w:rsidRDefault="00076D78">
            <w:pPr>
              <w:pStyle w:val="Summarytabletextrightaligned"/>
            </w:pPr>
            <w:r>
              <w:noBreakHyphen/>
            </w:r>
            <w:r w:rsidR="00175344">
              <w:t>21.7</w:t>
            </w:r>
          </w:p>
        </w:tc>
        <w:tc>
          <w:tcPr>
            <w:tcW w:w="850" w:type="dxa"/>
            <w:vAlign w:val="bottom"/>
          </w:tcPr>
          <w:p w14:paraId="511906BF" w14:textId="5FFCDD26" w:rsidR="00B449D0" w:rsidRDefault="00076D78">
            <w:pPr>
              <w:pStyle w:val="Summarytabletextrightaligned"/>
            </w:pPr>
            <w:r>
              <w:noBreakHyphen/>
            </w:r>
            <w:r w:rsidR="00175344">
              <w:t>20.0</w:t>
            </w:r>
          </w:p>
        </w:tc>
        <w:tc>
          <w:tcPr>
            <w:tcW w:w="850" w:type="dxa"/>
            <w:vAlign w:val="bottom"/>
          </w:tcPr>
          <w:p w14:paraId="4824B5B0" w14:textId="244FEBEC" w:rsidR="00B449D0" w:rsidRDefault="00076D78">
            <w:pPr>
              <w:pStyle w:val="Summarytabletextrightaligned"/>
            </w:pPr>
            <w:r>
              <w:noBreakHyphen/>
            </w:r>
            <w:r w:rsidR="00175344">
              <w:t>3.0</w:t>
            </w:r>
          </w:p>
        </w:tc>
        <w:tc>
          <w:tcPr>
            <w:tcW w:w="850" w:type="dxa"/>
            <w:vAlign w:val="bottom"/>
          </w:tcPr>
          <w:p w14:paraId="435AF4C8" w14:textId="7843D9C9" w:rsidR="00B449D0" w:rsidRDefault="00076D78">
            <w:pPr>
              <w:pStyle w:val="Summarytabletextrightaligned"/>
            </w:pPr>
            <w:r>
              <w:noBreakHyphen/>
            </w:r>
            <w:r w:rsidR="00175344">
              <w:t>14.9</w:t>
            </w:r>
          </w:p>
        </w:tc>
      </w:tr>
      <w:tr w:rsidR="00B449D0" w14:paraId="390193C0" w14:textId="77777777" w:rsidTr="00301E48">
        <w:tc>
          <w:tcPr>
            <w:tcW w:w="3471" w:type="dxa"/>
            <w:vAlign w:val="bottom"/>
          </w:tcPr>
          <w:p w14:paraId="6AE046DD" w14:textId="77777777" w:rsidR="00B449D0" w:rsidRDefault="00175344">
            <w:pPr>
              <w:pStyle w:val="SummaryMeasureTitlewithTheme"/>
            </w:pPr>
            <w:r>
              <w:t>Employment Services Reform – additional supports</w:t>
            </w:r>
          </w:p>
        </w:tc>
        <w:tc>
          <w:tcPr>
            <w:tcW w:w="850" w:type="dxa"/>
            <w:vAlign w:val="bottom"/>
          </w:tcPr>
          <w:p w14:paraId="390B8944" w14:textId="4C2D1C85" w:rsidR="00B449D0" w:rsidRDefault="00076D78">
            <w:pPr>
              <w:pStyle w:val="Summarytabletextrightaligned"/>
            </w:pPr>
            <w:r>
              <w:noBreakHyphen/>
            </w:r>
          </w:p>
        </w:tc>
        <w:tc>
          <w:tcPr>
            <w:tcW w:w="850" w:type="dxa"/>
            <w:shd w:val="clear" w:color="auto" w:fill="E6F2FF"/>
            <w:vAlign w:val="bottom"/>
          </w:tcPr>
          <w:p w14:paraId="0A9DCEA6" w14:textId="54E212C8" w:rsidR="00B449D0" w:rsidRDefault="00076D78">
            <w:pPr>
              <w:pStyle w:val="Summarytabletextrightaligned"/>
            </w:pPr>
            <w:r>
              <w:noBreakHyphen/>
            </w:r>
            <w:r w:rsidR="00175344">
              <w:t>5.3</w:t>
            </w:r>
          </w:p>
        </w:tc>
        <w:tc>
          <w:tcPr>
            <w:tcW w:w="850" w:type="dxa"/>
            <w:vAlign w:val="bottom"/>
          </w:tcPr>
          <w:p w14:paraId="630D5AB8" w14:textId="77777777" w:rsidR="00B449D0" w:rsidRDefault="00175344">
            <w:pPr>
              <w:pStyle w:val="Summarytabletextrightaligned"/>
            </w:pPr>
            <w:r>
              <w:t>38.5</w:t>
            </w:r>
          </w:p>
        </w:tc>
        <w:tc>
          <w:tcPr>
            <w:tcW w:w="850" w:type="dxa"/>
            <w:vAlign w:val="bottom"/>
          </w:tcPr>
          <w:p w14:paraId="125E2953" w14:textId="77777777" w:rsidR="00B449D0" w:rsidRDefault="00175344">
            <w:pPr>
              <w:pStyle w:val="Summarytabletextrightaligned"/>
            </w:pPr>
            <w:r>
              <w:t>33.3</w:t>
            </w:r>
          </w:p>
        </w:tc>
        <w:tc>
          <w:tcPr>
            <w:tcW w:w="850" w:type="dxa"/>
            <w:vAlign w:val="bottom"/>
          </w:tcPr>
          <w:p w14:paraId="41641EE2" w14:textId="4E8A927B" w:rsidR="00B449D0" w:rsidRDefault="00076D78">
            <w:pPr>
              <w:pStyle w:val="Summarytabletextrightaligned"/>
            </w:pPr>
            <w:r>
              <w:noBreakHyphen/>
            </w:r>
            <w:r w:rsidR="00175344">
              <w:t>0.2</w:t>
            </w:r>
          </w:p>
        </w:tc>
      </w:tr>
      <w:tr w:rsidR="00B449D0" w14:paraId="26420D87" w14:textId="77777777" w:rsidTr="00301E48">
        <w:tc>
          <w:tcPr>
            <w:tcW w:w="3471" w:type="dxa"/>
            <w:vAlign w:val="bottom"/>
          </w:tcPr>
          <w:p w14:paraId="0C8E09D0" w14:textId="77777777" w:rsidR="00B449D0" w:rsidRDefault="00175344">
            <w:pPr>
              <w:pStyle w:val="SummaryMeasureTitlewithTheme"/>
            </w:pPr>
            <w:r>
              <w:t>New Remote Employment Service</w:t>
            </w:r>
          </w:p>
        </w:tc>
        <w:tc>
          <w:tcPr>
            <w:tcW w:w="850" w:type="dxa"/>
            <w:vAlign w:val="bottom"/>
          </w:tcPr>
          <w:p w14:paraId="401B3AF7" w14:textId="03BB8E37" w:rsidR="00B449D0" w:rsidRDefault="00076D78">
            <w:pPr>
              <w:pStyle w:val="Summarytabletextrightaligned"/>
            </w:pPr>
            <w:r>
              <w:noBreakHyphen/>
            </w:r>
          </w:p>
        </w:tc>
        <w:tc>
          <w:tcPr>
            <w:tcW w:w="850" w:type="dxa"/>
            <w:shd w:val="clear" w:color="auto" w:fill="E6F2FF"/>
            <w:vAlign w:val="bottom"/>
          </w:tcPr>
          <w:p w14:paraId="6FB1FDBA" w14:textId="77777777" w:rsidR="00B449D0" w:rsidRDefault="00175344">
            <w:pPr>
              <w:pStyle w:val="Summarytabletextrightaligned"/>
            </w:pPr>
            <w:r>
              <w:t>7.7</w:t>
            </w:r>
          </w:p>
        </w:tc>
        <w:tc>
          <w:tcPr>
            <w:tcW w:w="850" w:type="dxa"/>
            <w:vAlign w:val="bottom"/>
          </w:tcPr>
          <w:p w14:paraId="1A5FCD45" w14:textId="77777777" w:rsidR="00B449D0" w:rsidRDefault="00175344">
            <w:pPr>
              <w:pStyle w:val="Summarytabletextrightaligned"/>
            </w:pPr>
            <w:r>
              <w:t>5.9</w:t>
            </w:r>
          </w:p>
        </w:tc>
        <w:tc>
          <w:tcPr>
            <w:tcW w:w="850" w:type="dxa"/>
            <w:vAlign w:val="bottom"/>
          </w:tcPr>
          <w:p w14:paraId="68529DEA" w14:textId="77777777" w:rsidR="00B449D0" w:rsidRDefault="00175344">
            <w:pPr>
              <w:pStyle w:val="Summarytabletextrightaligned"/>
            </w:pPr>
            <w:r>
              <w:t>0.9</w:t>
            </w:r>
          </w:p>
        </w:tc>
        <w:tc>
          <w:tcPr>
            <w:tcW w:w="850" w:type="dxa"/>
            <w:vAlign w:val="bottom"/>
          </w:tcPr>
          <w:p w14:paraId="44810FA5" w14:textId="77777777" w:rsidR="00B449D0" w:rsidRDefault="00175344">
            <w:pPr>
              <w:pStyle w:val="Summarytabletextrightaligned"/>
            </w:pPr>
            <w:r>
              <w:t>1.7</w:t>
            </w:r>
          </w:p>
        </w:tc>
      </w:tr>
      <w:tr w:rsidR="00B449D0" w14:paraId="2CF53EE5" w14:textId="77777777" w:rsidTr="00301E48">
        <w:tc>
          <w:tcPr>
            <w:tcW w:w="3471" w:type="dxa"/>
            <w:vAlign w:val="bottom"/>
          </w:tcPr>
          <w:p w14:paraId="4F0DACB0" w14:textId="77777777" w:rsidR="00B449D0" w:rsidRDefault="00175344">
            <w:pPr>
              <w:pStyle w:val="SummaryMeasureTitlewithTheme"/>
            </w:pPr>
            <w:r>
              <w:t>Skills and Training – other priorities</w:t>
            </w:r>
          </w:p>
        </w:tc>
        <w:tc>
          <w:tcPr>
            <w:tcW w:w="850" w:type="dxa"/>
            <w:vAlign w:val="bottom"/>
          </w:tcPr>
          <w:p w14:paraId="5AA6C210" w14:textId="63763DBF" w:rsidR="00B449D0" w:rsidRDefault="00076D78">
            <w:pPr>
              <w:pStyle w:val="Summarytabletextrightaligned"/>
            </w:pPr>
            <w:r>
              <w:noBreakHyphen/>
            </w:r>
          </w:p>
        </w:tc>
        <w:tc>
          <w:tcPr>
            <w:tcW w:w="850" w:type="dxa"/>
            <w:shd w:val="clear" w:color="auto" w:fill="E6F2FF"/>
            <w:vAlign w:val="bottom"/>
          </w:tcPr>
          <w:p w14:paraId="4A6FCFC1" w14:textId="77777777" w:rsidR="00B449D0" w:rsidRDefault="00175344">
            <w:pPr>
              <w:pStyle w:val="Summarytabletextrightaligned"/>
            </w:pPr>
            <w:r>
              <w:t>1.6</w:t>
            </w:r>
          </w:p>
        </w:tc>
        <w:tc>
          <w:tcPr>
            <w:tcW w:w="850" w:type="dxa"/>
            <w:vAlign w:val="bottom"/>
          </w:tcPr>
          <w:p w14:paraId="3E820730" w14:textId="77777777" w:rsidR="00B449D0" w:rsidRDefault="00175344">
            <w:pPr>
              <w:pStyle w:val="Summarytabletextrightaligned"/>
            </w:pPr>
            <w:r>
              <w:t>3.0</w:t>
            </w:r>
          </w:p>
        </w:tc>
        <w:tc>
          <w:tcPr>
            <w:tcW w:w="850" w:type="dxa"/>
            <w:vAlign w:val="bottom"/>
          </w:tcPr>
          <w:p w14:paraId="1D5AA1BE" w14:textId="0945C25D" w:rsidR="00B449D0" w:rsidRDefault="00076D78">
            <w:pPr>
              <w:pStyle w:val="Summarytabletextrightaligned"/>
            </w:pPr>
            <w:r>
              <w:noBreakHyphen/>
            </w:r>
            <w:r w:rsidR="00175344">
              <w:t>0.3</w:t>
            </w:r>
          </w:p>
        </w:tc>
        <w:tc>
          <w:tcPr>
            <w:tcW w:w="850" w:type="dxa"/>
            <w:vAlign w:val="bottom"/>
          </w:tcPr>
          <w:p w14:paraId="38FBBFAE" w14:textId="6E62A018" w:rsidR="00B449D0" w:rsidRDefault="00076D78">
            <w:pPr>
              <w:pStyle w:val="Summarytabletextrightaligned"/>
            </w:pPr>
            <w:r>
              <w:noBreakHyphen/>
            </w:r>
            <w:r w:rsidR="00175344">
              <w:t>0.7</w:t>
            </w:r>
          </w:p>
        </w:tc>
      </w:tr>
      <w:tr w:rsidR="00B449D0" w14:paraId="35F5DE4C" w14:textId="77777777" w:rsidTr="00301E48">
        <w:tc>
          <w:tcPr>
            <w:tcW w:w="3471" w:type="dxa"/>
            <w:vAlign w:val="bottom"/>
          </w:tcPr>
          <w:p w14:paraId="577A9202" w14:textId="77777777" w:rsidR="00B449D0" w:rsidRDefault="00175344">
            <w:pPr>
              <w:pStyle w:val="SummaryMeasureTitlewithTheme"/>
            </w:pPr>
            <w:r>
              <w:t>Strengthening the Integrity and Sustainability of the International Education Sector</w:t>
            </w:r>
          </w:p>
        </w:tc>
        <w:tc>
          <w:tcPr>
            <w:tcW w:w="850" w:type="dxa"/>
            <w:vAlign w:val="bottom"/>
          </w:tcPr>
          <w:p w14:paraId="1440471F" w14:textId="41CD0DB0" w:rsidR="00B449D0" w:rsidRDefault="00076D78">
            <w:pPr>
              <w:pStyle w:val="Summarytabletextrightaligned"/>
            </w:pPr>
            <w:r>
              <w:noBreakHyphen/>
            </w:r>
          </w:p>
        </w:tc>
        <w:tc>
          <w:tcPr>
            <w:tcW w:w="850" w:type="dxa"/>
            <w:shd w:val="clear" w:color="auto" w:fill="E6F2FF"/>
            <w:vAlign w:val="bottom"/>
          </w:tcPr>
          <w:p w14:paraId="00F5356D" w14:textId="0C58985F" w:rsidR="00B449D0" w:rsidRDefault="00076D78">
            <w:pPr>
              <w:pStyle w:val="Summarytabletextrightaligned"/>
            </w:pPr>
            <w:r>
              <w:noBreakHyphen/>
            </w:r>
          </w:p>
        </w:tc>
        <w:tc>
          <w:tcPr>
            <w:tcW w:w="850" w:type="dxa"/>
            <w:vAlign w:val="bottom"/>
          </w:tcPr>
          <w:p w14:paraId="5A0F3CCF" w14:textId="7587A337" w:rsidR="00B449D0" w:rsidRDefault="00076D78">
            <w:pPr>
              <w:pStyle w:val="Summarytabletextrightaligned"/>
            </w:pPr>
            <w:r>
              <w:noBreakHyphen/>
            </w:r>
          </w:p>
        </w:tc>
        <w:tc>
          <w:tcPr>
            <w:tcW w:w="850" w:type="dxa"/>
            <w:vAlign w:val="bottom"/>
          </w:tcPr>
          <w:p w14:paraId="159CC378" w14:textId="21F4D0E4" w:rsidR="00B449D0" w:rsidRDefault="00076D78">
            <w:pPr>
              <w:pStyle w:val="Summarytabletextrightaligned"/>
            </w:pPr>
            <w:r>
              <w:noBreakHyphen/>
            </w:r>
          </w:p>
        </w:tc>
        <w:tc>
          <w:tcPr>
            <w:tcW w:w="850" w:type="dxa"/>
            <w:vAlign w:val="bottom"/>
          </w:tcPr>
          <w:p w14:paraId="3A03919C" w14:textId="0952DB8F" w:rsidR="00B449D0" w:rsidRDefault="00076D78">
            <w:pPr>
              <w:pStyle w:val="Summarytabletextrightaligned"/>
            </w:pPr>
            <w:r>
              <w:noBreakHyphen/>
            </w:r>
          </w:p>
        </w:tc>
      </w:tr>
      <w:tr w:rsidR="00B449D0" w14:paraId="5585829C" w14:textId="77777777" w:rsidTr="00301E48">
        <w:tc>
          <w:tcPr>
            <w:tcW w:w="3471" w:type="dxa"/>
            <w:vAlign w:val="bottom"/>
          </w:tcPr>
          <w:p w14:paraId="345DCE2B" w14:textId="77777777" w:rsidR="00B449D0" w:rsidRDefault="00175344">
            <w:pPr>
              <w:pStyle w:val="SummaryMeasureTitlewithTheme"/>
            </w:pPr>
            <w:r>
              <w:t>Workplace Relations – additional supports</w:t>
            </w:r>
          </w:p>
        </w:tc>
        <w:tc>
          <w:tcPr>
            <w:tcW w:w="850" w:type="dxa"/>
            <w:vAlign w:val="bottom"/>
          </w:tcPr>
          <w:p w14:paraId="0DBB292E" w14:textId="6C313FBB" w:rsidR="00B449D0" w:rsidRDefault="00076D78">
            <w:pPr>
              <w:pStyle w:val="Summarytabletextrightaligned"/>
            </w:pPr>
            <w:r>
              <w:noBreakHyphen/>
            </w:r>
          </w:p>
        </w:tc>
        <w:tc>
          <w:tcPr>
            <w:tcW w:w="850" w:type="dxa"/>
            <w:shd w:val="clear" w:color="auto" w:fill="E6F2FF"/>
            <w:vAlign w:val="bottom"/>
          </w:tcPr>
          <w:p w14:paraId="60279038" w14:textId="77777777" w:rsidR="00B449D0" w:rsidRDefault="00175344">
            <w:pPr>
              <w:pStyle w:val="Summarytabletextrightaligned"/>
            </w:pPr>
            <w:r>
              <w:t>9.6</w:t>
            </w:r>
          </w:p>
        </w:tc>
        <w:tc>
          <w:tcPr>
            <w:tcW w:w="850" w:type="dxa"/>
            <w:vAlign w:val="bottom"/>
          </w:tcPr>
          <w:p w14:paraId="68D48B42" w14:textId="77777777" w:rsidR="00B449D0" w:rsidRDefault="00175344">
            <w:pPr>
              <w:pStyle w:val="Summarytabletextrightaligned"/>
            </w:pPr>
            <w:r>
              <w:t>8.9</w:t>
            </w:r>
          </w:p>
        </w:tc>
        <w:tc>
          <w:tcPr>
            <w:tcW w:w="850" w:type="dxa"/>
            <w:vAlign w:val="bottom"/>
          </w:tcPr>
          <w:p w14:paraId="3CEF57CA" w14:textId="5BCEDAB5" w:rsidR="00B449D0" w:rsidRDefault="00076D78">
            <w:pPr>
              <w:pStyle w:val="Summarytabletextrightaligned"/>
            </w:pPr>
            <w:r>
              <w:noBreakHyphen/>
            </w:r>
          </w:p>
        </w:tc>
        <w:tc>
          <w:tcPr>
            <w:tcW w:w="850" w:type="dxa"/>
            <w:vAlign w:val="bottom"/>
          </w:tcPr>
          <w:p w14:paraId="4507C10A" w14:textId="5A9850C7" w:rsidR="00B449D0" w:rsidRDefault="00076D78">
            <w:pPr>
              <w:pStyle w:val="Summarytabletextrightaligned"/>
            </w:pPr>
            <w:r>
              <w:noBreakHyphen/>
            </w:r>
          </w:p>
        </w:tc>
      </w:tr>
      <w:tr w:rsidR="00B449D0" w14:paraId="317E813F" w14:textId="77777777" w:rsidTr="00301E48">
        <w:tc>
          <w:tcPr>
            <w:tcW w:w="3471" w:type="dxa"/>
            <w:vAlign w:val="bottom"/>
          </w:tcPr>
          <w:p w14:paraId="7DF07CAD" w14:textId="77777777" w:rsidR="00B449D0" w:rsidRDefault="00175344">
            <w:pPr>
              <w:pStyle w:val="Summarytabletextleftalignedbold"/>
            </w:pPr>
            <w:r>
              <w:t>Portfolio total</w:t>
            </w:r>
          </w:p>
        </w:tc>
        <w:tc>
          <w:tcPr>
            <w:tcW w:w="850" w:type="dxa"/>
            <w:tcBorders>
              <w:top w:val="single" w:sz="4" w:space="0" w:color="000000"/>
              <w:bottom w:val="single" w:sz="4" w:space="0" w:color="000000"/>
            </w:tcBorders>
            <w:vAlign w:val="bottom"/>
          </w:tcPr>
          <w:p w14:paraId="0DEBE92B" w14:textId="143710B9" w:rsidR="00B449D0" w:rsidRDefault="00076D78">
            <w:pPr>
              <w:pStyle w:val="Summarytabletextrightalignedbold"/>
            </w:pPr>
            <w:r>
              <w:noBreakHyphen/>
            </w:r>
          </w:p>
        </w:tc>
        <w:tc>
          <w:tcPr>
            <w:tcW w:w="850" w:type="dxa"/>
            <w:tcBorders>
              <w:top w:val="single" w:sz="4" w:space="0" w:color="000000"/>
              <w:bottom w:val="single" w:sz="4" w:space="0" w:color="000000"/>
            </w:tcBorders>
            <w:shd w:val="clear" w:color="auto" w:fill="E6F2FF"/>
            <w:vAlign w:val="bottom"/>
          </w:tcPr>
          <w:p w14:paraId="2E5CD4E3" w14:textId="72455093" w:rsidR="00B449D0" w:rsidRDefault="00076D78">
            <w:pPr>
              <w:pStyle w:val="Summarytabletextrightalignedbold"/>
            </w:pPr>
            <w:r>
              <w:noBreakHyphen/>
            </w:r>
            <w:r w:rsidR="00175344">
              <w:t>5.5</w:t>
            </w:r>
          </w:p>
        </w:tc>
        <w:tc>
          <w:tcPr>
            <w:tcW w:w="850" w:type="dxa"/>
            <w:tcBorders>
              <w:top w:val="single" w:sz="4" w:space="0" w:color="000000"/>
              <w:bottom w:val="single" w:sz="4" w:space="0" w:color="000000"/>
            </w:tcBorders>
            <w:vAlign w:val="bottom"/>
          </w:tcPr>
          <w:p w14:paraId="3A5FE022" w14:textId="77777777" w:rsidR="00B449D0" w:rsidRDefault="00175344">
            <w:pPr>
              <w:pStyle w:val="Summarytabletextrightalignedbold"/>
            </w:pPr>
            <w:r>
              <w:t>41.1</w:t>
            </w:r>
          </w:p>
        </w:tc>
        <w:tc>
          <w:tcPr>
            <w:tcW w:w="850" w:type="dxa"/>
            <w:tcBorders>
              <w:top w:val="single" w:sz="4" w:space="0" w:color="000000"/>
              <w:bottom w:val="single" w:sz="4" w:space="0" w:color="000000"/>
            </w:tcBorders>
            <w:vAlign w:val="bottom"/>
          </w:tcPr>
          <w:p w14:paraId="0B263FC3" w14:textId="77777777" w:rsidR="00B449D0" w:rsidRDefault="00175344">
            <w:pPr>
              <w:pStyle w:val="Summarytabletextrightalignedbold"/>
            </w:pPr>
            <w:r>
              <w:t>32.0</w:t>
            </w:r>
          </w:p>
        </w:tc>
        <w:tc>
          <w:tcPr>
            <w:tcW w:w="850" w:type="dxa"/>
            <w:tcBorders>
              <w:top w:val="single" w:sz="4" w:space="0" w:color="000000"/>
              <w:bottom w:val="single" w:sz="4" w:space="0" w:color="000000"/>
            </w:tcBorders>
            <w:vAlign w:val="bottom"/>
          </w:tcPr>
          <w:p w14:paraId="5568D349" w14:textId="3DA2CFA5" w:rsidR="00B449D0" w:rsidRDefault="00076D78">
            <w:pPr>
              <w:pStyle w:val="Summarytabletextrightalignedbold"/>
            </w:pPr>
            <w:r>
              <w:noBreakHyphen/>
            </w:r>
            <w:r w:rsidR="00175344">
              <w:t>13.2</w:t>
            </w:r>
          </w:p>
        </w:tc>
      </w:tr>
    </w:tbl>
    <w:p w14:paraId="5D310CAD" w14:textId="77777777" w:rsidR="00301E48" w:rsidRDefault="00301E48" w:rsidP="000D55F7">
      <w:pPr>
        <w:pStyle w:val="SingleParagraph0"/>
        <w:sectPr w:rsidR="00301E48" w:rsidSect="00301E48">
          <w:pgSz w:w="11906" w:h="16838"/>
          <w:pgMar w:top="2835" w:right="2098" w:bottom="2466" w:left="2098" w:header="1814" w:footer="1814" w:gutter="0"/>
          <w:cols w:space="720"/>
          <w:docGrid w:linePitch="272"/>
        </w:sectPr>
      </w:pPr>
    </w:p>
    <w:p w14:paraId="3DC02AEE" w14:textId="489EC937" w:rsidR="00301E48" w:rsidRDefault="00301E48" w:rsidP="00301E48">
      <w:pPr>
        <w:pStyle w:val="TableHeadingcontinued"/>
      </w:pPr>
      <w:r>
        <w:lastRenderedPageBreak/>
        <w:t xml:space="preserve">Table </w:t>
      </w:r>
      <w:r w:rsidR="006E0A94">
        <w:t>A.</w:t>
      </w:r>
      <w:r>
        <w:t>2: Payment measures since the 2024–25 Budget</w:t>
      </w:r>
      <w:r>
        <w:rPr>
          <w:rFonts w:ascii="Cambria Math" w:hAnsi="Cambria Math" w:cs="Cambria Math"/>
        </w:rPr>
        <w:t>⁽</w:t>
      </w:r>
      <w:r>
        <w:rPr>
          <w:rFonts w:cs="Arial"/>
        </w:rPr>
        <w:t>ª</w:t>
      </w:r>
      <w:r>
        <w:rPr>
          <w:rFonts w:ascii="Cambria Math" w:hAnsi="Cambria Math" w:cs="Cambria Math"/>
        </w:rPr>
        <w:t>⁾</w:t>
      </w:r>
      <w:r>
        <w:t xml:space="preserve"> (continued)</w:t>
      </w:r>
    </w:p>
    <w:tbl>
      <w:tblPr>
        <w:tblOverlap w:val="never"/>
        <w:tblW w:w="7721" w:type="dxa"/>
        <w:tblBorders>
          <w:top w:val="single" w:sz="4" w:space="0" w:color="000000"/>
          <w:bottom w:val="single" w:sz="4" w:space="0" w:color="000000"/>
        </w:tblBorders>
        <w:tblLayout w:type="fixed"/>
        <w:tblCellMar>
          <w:left w:w="0" w:type="dxa"/>
          <w:right w:w="56" w:type="dxa"/>
        </w:tblCellMar>
        <w:tblLook w:val="04A0" w:firstRow="1" w:lastRow="0" w:firstColumn="1" w:lastColumn="0" w:noHBand="0" w:noVBand="1"/>
      </w:tblPr>
      <w:tblGrid>
        <w:gridCol w:w="3471"/>
        <w:gridCol w:w="850"/>
        <w:gridCol w:w="850"/>
        <w:gridCol w:w="850"/>
        <w:gridCol w:w="850"/>
        <w:gridCol w:w="850"/>
      </w:tblGrid>
      <w:tr w:rsidR="00301E48" w14:paraId="7E23A362" w14:textId="77777777" w:rsidTr="7F762F0D">
        <w:tc>
          <w:tcPr>
            <w:tcW w:w="3471" w:type="dxa"/>
            <w:vAlign w:val="bottom"/>
          </w:tcPr>
          <w:p w14:paraId="103BBD63" w14:textId="77777777" w:rsidR="00301E48" w:rsidRDefault="00301E48" w:rsidP="00301E48"/>
        </w:tc>
        <w:tc>
          <w:tcPr>
            <w:tcW w:w="850" w:type="dxa"/>
            <w:tcBorders>
              <w:bottom w:val="nil"/>
            </w:tcBorders>
          </w:tcPr>
          <w:p w14:paraId="5EDD3908" w14:textId="155BCC0C" w:rsidR="00301E48" w:rsidRDefault="00301E48" w:rsidP="00301E48">
            <w:pPr>
              <w:pStyle w:val="Summarytabletextrightaligned"/>
            </w:pPr>
            <w:r>
              <w:t>2023</w:t>
            </w:r>
            <w:r w:rsidR="00076D78">
              <w:noBreakHyphen/>
            </w:r>
            <w:r>
              <w:t>24</w:t>
            </w:r>
          </w:p>
        </w:tc>
        <w:tc>
          <w:tcPr>
            <w:tcW w:w="850" w:type="dxa"/>
            <w:tcBorders>
              <w:bottom w:val="nil"/>
            </w:tcBorders>
            <w:shd w:val="clear" w:color="auto" w:fill="E6F2FF"/>
          </w:tcPr>
          <w:p w14:paraId="67E1DF57" w14:textId="53BB20C5" w:rsidR="00301E48" w:rsidRDefault="00301E48" w:rsidP="00301E48">
            <w:pPr>
              <w:pStyle w:val="Summarytabletextrightaligned"/>
            </w:pPr>
            <w:r>
              <w:t>2024</w:t>
            </w:r>
            <w:r w:rsidR="00076D78">
              <w:noBreakHyphen/>
            </w:r>
            <w:r>
              <w:t>25</w:t>
            </w:r>
          </w:p>
        </w:tc>
        <w:tc>
          <w:tcPr>
            <w:tcW w:w="850" w:type="dxa"/>
            <w:tcBorders>
              <w:bottom w:val="nil"/>
            </w:tcBorders>
          </w:tcPr>
          <w:p w14:paraId="5F41FAF9" w14:textId="07A89026" w:rsidR="00301E48" w:rsidRDefault="00301E48" w:rsidP="00301E48">
            <w:pPr>
              <w:pStyle w:val="Summarytabletextrightaligned"/>
            </w:pPr>
            <w:r>
              <w:t>2025</w:t>
            </w:r>
            <w:r w:rsidR="00076D78">
              <w:noBreakHyphen/>
            </w:r>
            <w:r>
              <w:t>26</w:t>
            </w:r>
          </w:p>
        </w:tc>
        <w:tc>
          <w:tcPr>
            <w:tcW w:w="850" w:type="dxa"/>
            <w:tcBorders>
              <w:bottom w:val="nil"/>
            </w:tcBorders>
          </w:tcPr>
          <w:p w14:paraId="014611A8" w14:textId="0FC9AFB7" w:rsidR="00301E48" w:rsidRDefault="00301E48" w:rsidP="00301E48">
            <w:pPr>
              <w:pStyle w:val="Summarytabletextrightaligned"/>
            </w:pPr>
            <w:r>
              <w:t>2026</w:t>
            </w:r>
            <w:r w:rsidR="00076D78">
              <w:noBreakHyphen/>
            </w:r>
            <w:r>
              <w:t>27</w:t>
            </w:r>
          </w:p>
        </w:tc>
        <w:tc>
          <w:tcPr>
            <w:tcW w:w="850" w:type="dxa"/>
            <w:tcBorders>
              <w:bottom w:val="nil"/>
            </w:tcBorders>
          </w:tcPr>
          <w:p w14:paraId="781FFC6C" w14:textId="48094867" w:rsidR="00301E48" w:rsidRDefault="00301E48" w:rsidP="00301E48">
            <w:pPr>
              <w:pStyle w:val="Summarytabletextrightaligned"/>
            </w:pPr>
            <w:r>
              <w:t>2027</w:t>
            </w:r>
            <w:r w:rsidR="00076D78">
              <w:noBreakHyphen/>
            </w:r>
            <w:r>
              <w:t>28</w:t>
            </w:r>
          </w:p>
        </w:tc>
      </w:tr>
      <w:tr w:rsidR="00301E48" w14:paraId="15F0240C" w14:textId="77777777" w:rsidTr="7F762F0D">
        <w:tc>
          <w:tcPr>
            <w:tcW w:w="3471" w:type="dxa"/>
            <w:vAlign w:val="bottom"/>
          </w:tcPr>
          <w:p w14:paraId="383FDE6A" w14:textId="77777777" w:rsidR="00301E48" w:rsidRDefault="00301E48" w:rsidP="00301E48"/>
        </w:tc>
        <w:tc>
          <w:tcPr>
            <w:tcW w:w="850" w:type="dxa"/>
            <w:tcBorders>
              <w:top w:val="nil"/>
              <w:bottom w:val="single" w:sz="4" w:space="0" w:color="auto"/>
            </w:tcBorders>
            <w:shd w:val="clear" w:color="auto" w:fill="auto"/>
          </w:tcPr>
          <w:p w14:paraId="05444D12" w14:textId="77777777" w:rsidR="00301E48" w:rsidRDefault="00301E48" w:rsidP="00301E48">
            <w:pPr>
              <w:pStyle w:val="Summarytabletextrightaligned"/>
            </w:pPr>
            <w:r>
              <w:t>$m</w:t>
            </w:r>
          </w:p>
        </w:tc>
        <w:tc>
          <w:tcPr>
            <w:tcW w:w="850" w:type="dxa"/>
            <w:tcBorders>
              <w:top w:val="nil"/>
              <w:bottom w:val="single" w:sz="4" w:space="0" w:color="auto"/>
            </w:tcBorders>
            <w:shd w:val="clear" w:color="auto" w:fill="E6F2FF"/>
          </w:tcPr>
          <w:p w14:paraId="284D66BC" w14:textId="77777777" w:rsidR="00301E48" w:rsidRDefault="00301E48" w:rsidP="00301E48">
            <w:pPr>
              <w:pStyle w:val="Summarytabletextrightaligned"/>
            </w:pPr>
            <w:r>
              <w:t>$m</w:t>
            </w:r>
          </w:p>
        </w:tc>
        <w:tc>
          <w:tcPr>
            <w:tcW w:w="850" w:type="dxa"/>
            <w:tcBorders>
              <w:top w:val="nil"/>
              <w:bottom w:val="single" w:sz="4" w:space="0" w:color="auto"/>
            </w:tcBorders>
            <w:shd w:val="clear" w:color="auto" w:fill="auto"/>
          </w:tcPr>
          <w:p w14:paraId="3C6B00CE" w14:textId="77777777" w:rsidR="00301E48" w:rsidRDefault="00301E48" w:rsidP="00301E48">
            <w:pPr>
              <w:pStyle w:val="Summarytabletextrightaligned"/>
            </w:pPr>
            <w:r>
              <w:t>$m</w:t>
            </w:r>
          </w:p>
        </w:tc>
        <w:tc>
          <w:tcPr>
            <w:tcW w:w="850" w:type="dxa"/>
            <w:tcBorders>
              <w:top w:val="nil"/>
              <w:bottom w:val="single" w:sz="4" w:space="0" w:color="auto"/>
            </w:tcBorders>
            <w:shd w:val="clear" w:color="auto" w:fill="auto"/>
          </w:tcPr>
          <w:p w14:paraId="700AB5C0" w14:textId="77777777" w:rsidR="00301E48" w:rsidRDefault="00301E48" w:rsidP="00301E48">
            <w:pPr>
              <w:pStyle w:val="Summarytabletextrightaligned"/>
            </w:pPr>
            <w:r>
              <w:t>$m</w:t>
            </w:r>
          </w:p>
        </w:tc>
        <w:tc>
          <w:tcPr>
            <w:tcW w:w="850" w:type="dxa"/>
            <w:tcBorders>
              <w:top w:val="nil"/>
              <w:bottom w:val="single" w:sz="4" w:space="0" w:color="auto"/>
            </w:tcBorders>
            <w:shd w:val="clear" w:color="auto" w:fill="auto"/>
          </w:tcPr>
          <w:p w14:paraId="65EB7B90" w14:textId="77777777" w:rsidR="00301E48" w:rsidRDefault="00301E48" w:rsidP="00301E48">
            <w:pPr>
              <w:pStyle w:val="Summarytabletextrightaligned"/>
            </w:pPr>
            <w:r>
              <w:t>$m</w:t>
            </w:r>
          </w:p>
        </w:tc>
      </w:tr>
      <w:tr w:rsidR="00B449D0" w14:paraId="0BC3BF89" w14:textId="77777777" w:rsidTr="7F762F0D">
        <w:tc>
          <w:tcPr>
            <w:tcW w:w="3471" w:type="dxa"/>
            <w:vAlign w:val="bottom"/>
          </w:tcPr>
          <w:p w14:paraId="38A3A6F1" w14:textId="77777777" w:rsidR="00B449D0" w:rsidRDefault="00175344">
            <w:pPr>
              <w:pStyle w:val="SummaryPortfolioTitle-BP2"/>
            </w:pPr>
            <w:r>
              <w:t>FINANCE</w:t>
            </w:r>
          </w:p>
        </w:tc>
        <w:tc>
          <w:tcPr>
            <w:tcW w:w="850" w:type="dxa"/>
            <w:tcBorders>
              <w:top w:val="single" w:sz="4" w:space="0" w:color="auto"/>
            </w:tcBorders>
          </w:tcPr>
          <w:p w14:paraId="7948496F" w14:textId="77777777" w:rsidR="00B449D0" w:rsidRDefault="00B449D0">
            <w:pPr>
              <w:pStyle w:val="MeasureTableTextRightAlignedBefore6ptAfter1pt"/>
            </w:pPr>
          </w:p>
        </w:tc>
        <w:tc>
          <w:tcPr>
            <w:tcW w:w="850" w:type="dxa"/>
            <w:tcBorders>
              <w:top w:val="single" w:sz="4" w:space="0" w:color="auto"/>
            </w:tcBorders>
            <w:shd w:val="clear" w:color="auto" w:fill="E6F2FF"/>
          </w:tcPr>
          <w:p w14:paraId="65361804" w14:textId="77777777" w:rsidR="00B449D0" w:rsidRDefault="00B449D0">
            <w:pPr>
              <w:pStyle w:val="MeasureTableTextRightAlignedBefore6ptAfter1pt"/>
            </w:pPr>
          </w:p>
        </w:tc>
        <w:tc>
          <w:tcPr>
            <w:tcW w:w="850" w:type="dxa"/>
            <w:tcBorders>
              <w:top w:val="single" w:sz="4" w:space="0" w:color="auto"/>
            </w:tcBorders>
          </w:tcPr>
          <w:p w14:paraId="6744327C" w14:textId="77777777" w:rsidR="00B449D0" w:rsidRDefault="00B449D0">
            <w:pPr>
              <w:pStyle w:val="MeasureTableTextRightAlignedBefore6ptAfter1pt"/>
            </w:pPr>
          </w:p>
        </w:tc>
        <w:tc>
          <w:tcPr>
            <w:tcW w:w="850" w:type="dxa"/>
            <w:tcBorders>
              <w:top w:val="single" w:sz="4" w:space="0" w:color="auto"/>
            </w:tcBorders>
          </w:tcPr>
          <w:p w14:paraId="3E51A181" w14:textId="77777777" w:rsidR="00B449D0" w:rsidRDefault="00B449D0">
            <w:pPr>
              <w:pStyle w:val="MeasureTableTextRightAlignedBefore6ptAfter1pt"/>
            </w:pPr>
          </w:p>
        </w:tc>
        <w:tc>
          <w:tcPr>
            <w:tcW w:w="850" w:type="dxa"/>
            <w:tcBorders>
              <w:top w:val="single" w:sz="4" w:space="0" w:color="auto"/>
            </w:tcBorders>
          </w:tcPr>
          <w:p w14:paraId="5CAD9F43" w14:textId="77777777" w:rsidR="00B449D0" w:rsidRDefault="00B449D0">
            <w:pPr>
              <w:pStyle w:val="MeasureTableTextRightAlignedBefore6ptAfter1pt"/>
            </w:pPr>
          </w:p>
        </w:tc>
      </w:tr>
      <w:tr w:rsidR="00B449D0" w14:paraId="7EBC4CEC" w14:textId="77777777" w:rsidTr="7F762F0D">
        <w:tc>
          <w:tcPr>
            <w:tcW w:w="3471" w:type="dxa"/>
            <w:vAlign w:val="bottom"/>
          </w:tcPr>
          <w:p w14:paraId="6F979759" w14:textId="77777777" w:rsidR="00B449D0" w:rsidRDefault="00175344">
            <w:pPr>
              <w:pStyle w:val="SummaryAgencyTitle-BP2"/>
            </w:pPr>
            <w:r>
              <w:t>Australian Electoral Commission</w:t>
            </w:r>
          </w:p>
        </w:tc>
        <w:tc>
          <w:tcPr>
            <w:tcW w:w="850" w:type="dxa"/>
          </w:tcPr>
          <w:p w14:paraId="25963475" w14:textId="77777777" w:rsidR="00B449D0" w:rsidRDefault="00B449D0">
            <w:pPr>
              <w:pStyle w:val="SummaryAgencyTitle-BP2"/>
            </w:pPr>
          </w:p>
        </w:tc>
        <w:tc>
          <w:tcPr>
            <w:tcW w:w="850" w:type="dxa"/>
            <w:shd w:val="clear" w:color="auto" w:fill="E6F2FF"/>
          </w:tcPr>
          <w:p w14:paraId="0E67418D" w14:textId="77777777" w:rsidR="00B449D0" w:rsidRDefault="00B449D0">
            <w:pPr>
              <w:pStyle w:val="SummaryAgencyTitle-BP2"/>
            </w:pPr>
          </w:p>
        </w:tc>
        <w:tc>
          <w:tcPr>
            <w:tcW w:w="850" w:type="dxa"/>
          </w:tcPr>
          <w:p w14:paraId="2A4A77EB" w14:textId="77777777" w:rsidR="00B449D0" w:rsidRDefault="00B449D0">
            <w:pPr>
              <w:pStyle w:val="SummaryAgencyTitle-BP2"/>
            </w:pPr>
          </w:p>
        </w:tc>
        <w:tc>
          <w:tcPr>
            <w:tcW w:w="850" w:type="dxa"/>
          </w:tcPr>
          <w:p w14:paraId="05E746F8" w14:textId="77777777" w:rsidR="00B449D0" w:rsidRDefault="00B449D0">
            <w:pPr>
              <w:pStyle w:val="SummaryAgencyTitle-BP2"/>
            </w:pPr>
          </w:p>
        </w:tc>
        <w:tc>
          <w:tcPr>
            <w:tcW w:w="850" w:type="dxa"/>
          </w:tcPr>
          <w:p w14:paraId="149A4E58" w14:textId="77777777" w:rsidR="00B449D0" w:rsidRDefault="00B449D0">
            <w:pPr>
              <w:pStyle w:val="SummaryAgencyTitle-BP2"/>
            </w:pPr>
          </w:p>
        </w:tc>
      </w:tr>
      <w:tr w:rsidR="00B449D0" w14:paraId="1CD34E95" w14:textId="77777777" w:rsidTr="7F762F0D">
        <w:tc>
          <w:tcPr>
            <w:tcW w:w="3471" w:type="dxa"/>
            <w:vAlign w:val="bottom"/>
          </w:tcPr>
          <w:p w14:paraId="18DFFA77" w14:textId="77777777" w:rsidR="00B449D0" w:rsidRDefault="00175344">
            <w:pPr>
              <w:pStyle w:val="SummaryMeasureTitlewithTheme"/>
            </w:pPr>
            <w:r>
              <w:t>Electoral Communications</w:t>
            </w:r>
          </w:p>
        </w:tc>
        <w:tc>
          <w:tcPr>
            <w:tcW w:w="850" w:type="dxa"/>
            <w:vAlign w:val="bottom"/>
          </w:tcPr>
          <w:p w14:paraId="63985D1A" w14:textId="48D88052" w:rsidR="00B449D0" w:rsidRDefault="00076D78">
            <w:pPr>
              <w:pStyle w:val="Summarytabletextrightaligned"/>
            </w:pPr>
            <w:r>
              <w:noBreakHyphen/>
            </w:r>
          </w:p>
        </w:tc>
        <w:tc>
          <w:tcPr>
            <w:tcW w:w="850" w:type="dxa"/>
            <w:shd w:val="clear" w:color="auto" w:fill="E6F2FF"/>
            <w:vAlign w:val="bottom"/>
          </w:tcPr>
          <w:p w14:paraId="67389F49" w14:textId="77777777" w:rsidR="00B449D0" w:rsidRDefault="00175344">
            <w:pPr>
              <w:pStyle w:val="Summarytabletextrightaligned"/>
            </w:pPr>
            <w:r>
              <w:t>2.2</w:t>
            </w:r>
          </w:p>
        </w:tc>
        <w:tc>
          <w:tcPr>
            <w:tcW w:w="850" w:type="dxa"/>
            <w:vAlign w:val="bottom"/>
          </w:tcPr>
          <w:p w14:paraId="0243A27E" w14:textId="77777777" w:rsidR="00B449D0" w:rsidRDefault="00175344">
            <w:pPr>
              <w:pStyle w:val="Summarytabletextrightaligned"/>
            </w:pPr>
            <w:r>
              <w:t>4.6</w:t>
            </w:r>
          </w:p>
        </w:tc>
        <w:tc>
          <w:tcPr>
            <w:tcW w:w="850" w:type="dxa"/>
            <w:vAlign w:val="bottom"/>
          </w:tcPr>
          <w:p w14:paraId="77BD6F9F" w14:textId="77777777" w:rsidR="00B449D0" w:rsidRDefault="00175344">
            <w:pPr>
              <w:pStyle w:val="Summarytabletextrightaligned"/>
            </w:pPr>
            <w:r>
              <w:t>6.3</w:t>
            </w:r>
          </w:p>
        </w:tc>
        <w:tc>
          <w:tcPr>
            <w:tcW w:w="850" w:type="dxa"/>
            <w:vAlign w:val="bottom"/>
          </w:tcPr>
          <w:p w14:paraId="39701B47" w14:textId="77777777" w:rsidR="00B449D0" w:rsidRDefault="00175344">
            <w:pPr>
              <w:pStyle w:val="Summarytabletextrightaligned"/>
            </w:pPr>
            <w:r>
              <w:t>10.2</w:t>
            </w:r>
          </w:p>
        </w:tc>
      </w:tr>
      <w:tr w:rsidR="00B449D0" w14:paraId="7460AA16" w14:textId="77777777" w:rsidTr="7F762F0D">
        <w:tc>
          <w:tcPr>
            <w:tcW w:w="3471" w:type="dxa"/>
            <w:vAlign w:val="bottom"/>
          </w:tcPr>
          <w:p w14:paraId="717A7129" w14:textId="77777777" w:rsidR="00B449D0" w:rsidRDefault="00175344">
            <w:pPr>
              <w:pStyle w:val="SummaryMeasureTitlewithTheme"/>
            </w:pPr>
            <w:r>
              <w:t>Reforming the Commonwealth Funding and Disclosure Scheme</w:t>
            </w:r>
          </w:p>
        </w:tc>
        <w:tc>
          <w:tcPr>
            <w:tcW w:w="850" w:type="dxa"/>
            <w:vAlign w:val="bottom"/>
          </w:tcPr>
          <w:p w14:paraId="0154133B" w14:textId="3745A58A" w:rsidR="00B449D0" w:rsidRDefault="00076D78">
            <w:pPr>
              <w:pStyle w:val="Summarytabletextrightaligned"/>
            </w:pPr>
            <w:r>
              <w:noBreakHyphen/>
            </w:r>
          </w:p>
        </w:tc>
        <w:tc>
          <w:tcPr>
            <w:tcW w:w="850" w:type="dxa"/>
            <w:shd w:val="clear" w:color="auto" w:fill="E6F2FF"/>
            <w:vAlign w:val="bottom"/>
          </w:tcPr>
          <w:p w14:paraId="1172701D" w14:textId="77777777" w:rsidR="00B449D0" w:rsidRDefault="00175344">
            <w:pPr>
              <w:pStyle w:val="Summarytabletextrightaligned"/>
            </w:pPr>
            <w:r w:rsidRPr="7F762F0D">
              <w:rPr>
                <w:lang w:val="en-US"/>
              </w:rPr>
              <w:t>nfp</w:t>
            </w:r>
          </w:p>
        </w:tc>
        <w:tc>
          <w:tcPr>
            <w:tcW w:w="850" w:type="dxa"/>
            <w:vAlign w:val="bottom"/>
          </w:tcPr>
          <w:p w14:paraId="6E43CC6B" w14:textId="77777777" w:rsidR="00B449D0" w:rsidRDefault="00175344">
            <w:pPr>
              <w:pStyle w:val="Summarytabletextrightaligned"/>
            </w:pPr>
            <w:r w:rsidRPr="7F762F0D">
              <w:rPr>
                <w:lang w:val="en-US"/>
              </w:rPr>
              <w:t>nfp</w:t>
            </w:r>
          </w:p>
        </w:tc>
        <w:tc>
          <w:tcPr>
            <w:tcW w:w="850" w:type="dxa"/>
            <w:vAlign w:val="bottom"/>
          </w:tcPr>
          <w:p w14:paraId="3A061FF1" w14:textId="77777777" w:rsidR="00B449D0" w:rsidRDefault="00175344">
            <w:pPr>
              <w:pStyle w:val="Summarytabletextrightaligned"/>
            </w:pPr>
            <w:r w:rsidRPr="7F762F0D">
              <w:rPr>
                <w:lang w:val="en-US"/>
              </w:rPr>
              <w:t>nfp</w:t>
            </w:r>
          </w:p>
        </w:tc>
        <w:tc>
          <w:tcPr>
            <w:tcW w:w="850" w:type="dxa"/>
            <w:vAlign w:val="bottom"/>
          </w:tcPr>
          <w:p w14:paraId="1804348C" w14:textId="77777777" w:rsidR="00B449D0" w:rsidRDefault="00175344">
            <w:pPr>
              <w:pStyle w:val="Summarytabletextrightaligned"/>
            </w:pPr>
            <w:r w:rsidRPr="7F762F0D">
              <w:rPr>
                <w:lang w:val="en-US"/>
              </w:rPr>
              <w:t>nfp</w:t>
            </w:r>
          </w:p>
        </w:tc>
      </w:tr>
      <w:tr w:rsidR="00B449D0" w14:paraId="656CBC78" w14:textId="77777777" w:rsidTr="7F762F0D">
        <w:tc>
          <w:tcPr>
            <w:tcW w:w="3471" w:type="dxa"/>
            <w:vAlign w:val="bottom"/>
          </w:tcPr>
          <w:p w14:paraId="3B69F5EB" w14:textId="77777777" w:rsidR="00B449D0" w:rsidRDefault="00175344">
            <w:pPr>
              <w:pStyle w:val="SummaryAgencyTitle-BP2"/>
            </w:pPr>
            <w:r>
              <w:t>Department of Finance</w:t>
            </w:r>
          </w:p>
        </w:tc>
        <w:tc>
          <w:tcPr>
            <w:tcW w:w="850" w:type="dxa"/>
          </w:tcPr>
          <w:p w14:paraId="6B0C0FCF" w14:textId="77777777" w:rsidR="00B449D0" w:rsidRDefault="00B449D0">
            <w:pPr>
              <w:pStyle w:val="SummaryAgencyTitle-BP2"/>
            </w:pPr>
          </w:p>
        </w:tc>
        <w:tc>
          <w:tcPr>
            <w:tcW w:w="850" w:type="dxa"/>
            <w:shd w:val="clear" w:color="auto" w:fill="E6F2FF"/>
          </w:tcPr>
          <w:p w14:paraId="48C7776D" w14:textId="77777777" w:rsidR="00B449D0" w:rsidRDefault="00B449D0">
            <w:pPr>
              <w:pStyle w:val="SummaryAgencyTitle-BP2"/>
            </w:pPr>
          </w:p>
        </w:tc>
        <w:tc>
          <w:tcPr>
            <w:tcW w:w="850" w:type="dxa"/>
          </w:tcPr>
          <w:p w14:paraId="273D7AEC" w14:textId="77777777" w:rsidR="00B449D0" w:rsidRDefault="00B449D0">
            <w:pPr>
              <w:pStyle w:val="SummaryAgencyTitle-BP2"/>
            </w:pPr>
          </w:p>
        </w:tc>
        <w:tc>
          <w:tcPr>
            <w:tcW w:w="850" w:type="dxa"/>
          </w:tcPr>
          <w:p w14:paraId="7CA17FE7" w14:textId="77777777" w:rsidR="00B449D0" w:rsidRDefault="00B449D0">
            <w:pPr>
              <w:pStyle w:val="SummaryAgencyTitle-BP2"/>
            </w:pPr>
          </w:p>
        </w:tc>
        <w:tc>
          <w:tcPr>
            <w:tcW w:w="850" w:type="dxa"/>
          </w:tcPr>
          <w:p w14:paraId="5AB4CEC2" w14:textId="77777777" w:rsidR="00B449D0" w:rsidRDefault="00B449D0">
            <w:pPr>
              <w:pStyle w:val="SummaryAgencyTitle-BP2"/>
            </w:pPr>
          </w:p>
        </w:tc>
      </w:tr>
      <w:tr w:rsidR="00B449D0" w14:paraId="7E8C6D0B" w14:textId="77777777" w:rsidTr="7F762F0D">
        <w:tc>
          <w:tcPr>
            <w:tcW w:w="3471" w:type="dxa"/>
            <w:vAlign w:val="bottom"/>
          </w:tcPr>
          <w:p w14:paraId="17873930" w14:textId="77777777" w:rsidR="00B449D0" w:rsidRDefault="00175344">
            <w:pPr>
              <w:pStyle w:val="SummaryMeasureTitlewithTheme"/>
            </w:pPr>
            <w:r>
              <w:t>Electoral Communications</w:t>
            </w:r>
          </w:p>
        </w:tc>
        <w:tc>
          <w:tcPr>
            <w:tcW w:w="850" w:type="dxa"/>
            <w:vAlign w:val="bottom"/>
          </w:tcPr>
          <w:p w14:paraId="39A9A800" w14:textId="5BCCFB6C" w:rsidR="00B449D0" w:rsidRDefault="00076D78">
            <w:pPr>
              <w:pStyle w:val="Summarytabletextrightaligned"/>
            </w:pPr>
            <w:r>
              <w:noBreakHyphen/>
            </w:r>
          </w:p>
        </w:tc>
        <w:tc>
          <w:tcPr>
            <w:tcW w:w="850" w:type="dxa"/>
            <w:shd w:val="clear" w:color="auto" w:fill="E6F2FF"/>
            <w:vAlign w:val="bottom"/>
          </w:tcPr>
          <w:p w14:paraId="3C9EDF5E" w14:textId="77777777" w:rsidR="00B449D0" w:rsidRDefault="00175344">
            <w:pPr>
              <w:pStyle w:val="Summarytabletextrightaligned"/>
            </w:pPr>
            <w:r>
              <w:t>0.2</w:t>
            </w:r>
          </w:p>
        </w:tc>
        <w:tc>
          <w:tcPr>
            <w:tcW w:w="850" w:type="dxa"/>
            <w:vAlign w:val="bottom"/>
          </w:tcPr>
          <w:p w14:paraId="35EBEB0C" w14:textId="77777777" w:rsidR="00B449D0" w:rsidRDefault="00175344">
            <w:pPr>
              <w:pStyle w:val="Summarytabletextrightaligned"/>
            </w:pPr>
            <w:r>
              <w:t>1.2</w:t>
            </w:r>
          </w:p>
        </w:tc>
        <w:tc>
          <w:tcPr>
            <w:tcW w:w="850" w:type="dxa"/>
            <w:vAlign w:val="bottom"/>
          </w:tcPr>
          <w:p w14:paraId="36A4F34B" w14:textId="77777777" w:rsidR="00B449D0" w:rsidRDefault="00175344">
            <w:pPr>
              <w:pStyle w:val="Summarytabletextrightaligned"/>
            </w:pPr>
            <w:r>
              <w:t>0.2</w:t>
            </w:r>
          </w:p>
        </w:tc>
        <w:tc>
          <w:tcPr>
            <w:tcW w:w="850" w:type="dxa"/>
            <w:vAlign w:val="bottom"/>
          </w:tcPr>
          <w:p w14:paraId="7116461B" w14:textId="77777777" w:rsidR="00B449D0" w:rsidRDefault="00175344">
            <w:pPr>
              <w:pStyle w:val="Summarytabletextrightaligned"/>
            </w:pPr>
            <w:r>
              <w:t>0.2</w:t>
            </w:r>
          </w:p>
        </w:tc>
      </w:tr>
      <w:tr w:rsidR="00B449D0" w14:paraId="2087EB90" w14:textId="77777777" w:rsidTr="7F762F0D">
        <w:tc>
          <w:tcPr>
            <w:tcW w:w="3471" w:type="dxa"/>
            <w:vAlign w:val="bottom"/>
          </w:tcPr>
          <w:p w14:paraId="6C404D48" w14:textId="77777777" w:rsidR="00B449D0" w:rsidRDefault="00175344">
            <w:pPr>
              <w:pStyle w:val="SummaryMeasureTitlewithTheme"/>
            </w:pPr>
            <w:r>
              <w:t>Establishment of the Australian Centre for Disease Control</w:t>
            </w:r>
          </w:p>
        </w:tc>
        <w:tc>
          <w:tcPr>
            <w:tcW w:w="850" w:type="dxa"/>
            <w:vAlign w:val="bottom"/>
          </w:tcPr>
          <w:p w14:paraId="79E1C0F5" w14:textId="728DFE6F" w:rsidR="00B449D0" w:rsidRDefault="00076D78">
            <w:pPr>
              <w:pStyle w:val="Summarytabletextrightaligned"/>
            </w:pPr>
            <w:r>
              <w:noBreakHyphen/>
            </w:r>
          </w:p>
        </w:tc>
        <w:tc>
          <w:tcPr>
            <w:tcW w:w="850" w:type="dxa"/>
            <w:shd w:val="clear" w:color="auto" w:fill="E6F2FF"/>
            <w:vAlign w:val="bottom"/>
          </w:tcPr>
          <w:p w14:paraId="64B4764E" w14:textId="205E3289" w:rsidR="00B449D0" w:rsidRDefault="00076D78">
            <w:pPr>
              <w:pStyle w:val="Summarytabletextrightaligned"/>
            </w:pPr>
            <w:r>
              <w:noBreakHyphen/>
            </w:r>
          </w:p>
        </w:tc>
        <w:tc>
          <w:tcPr>
            <w:tcW w:w="850" w:type="dxa"/>
            <w:vAlign w:val="bottom"/>
          </w:tcPr>
          <w:p w14:paraId="7A2B7F8D" w14:textId="77777777" w:rsidR="00B449D0" w:rsidRDefault="00175344">
            <w:pPr>
              <w:pStyle w:val="Summarytabletextrightaligned"/>
            </w:pPr>
            <w:r>
              <w:t>0.1</w:t>
            </w:r>
          </w:p>
        </w:tc>
        <w:tc>
          <w:tcPr>
            <w:tcW w:w="850" w:type="dxa"/>
            <w:vAlign w:val="bottom"/>
          </w:tcPr>
          <w:p w14:paraId="71C92FAB" w14:textId="77777777" w:rsidR="00B449D0" w:rsidRDefault="00175344">
            <w:pPr>
              <w:pStyle w:val="Summarytabletextrightaligned"/>
            </w:pPr>
            <w:r>
              <w:t>0.1</w:t>
            </w:r>
          </w:p>
        </w:tc>
        <w:tc>
          <w:tcPr>
            <w:tcW w:w="850" w:type="dxa"/>
            <w:vAlign w:val="bottom"/>
          </w:tcPr>
          <w:p w14:paraId="4E369F3E" w14:textId="2CD4997E" w:rsidR="00B449D0" w:rsidRDefault="00076D78">
            <w:pPr>
              <w:pStyle w:val="Summarytabletextrightaligned"/>
            </w:pPr>
            <w:r>
              <w:noBreakHyphen/>
            </w:r>
          </w:p>
        </w:tc>
      </w:tr>
      <w:tr w:rsidR="00B449D0" w14:paraId="62B018C4" w14:textId="77777777" w:rsidTr="7F762F0D">
        <w:tc>
          <w:tcPr>
            <w:tcW w:w="3471" w:type="dxa"/>
            <w:vAlign w:val="bottom"/>
          </w:tcPr>
          <w:p w14:paraId="1964A538" w14:textId="77777777" w:rsidR="00B449D0" w:rsidRDefault="00175344">
            <w:pPr>
              <w:pStyle w:val="SummaryMeasureTitlewithTheme"/>
            </w:pPr>
            <w:r>
              <w:t>Finance Portfolio – additional resourcing</w:t>
            </w:r>
          </w:p>
        </w:tc>
        <w:tc>
          <w:tcPr>
            <w:tcW w:w="850" w:type="dxa"/>
            <w:vAlign w:val="bottom"/>
          </w:tcPr>
          <w:p w14:paraId="452307C5" w14:textId="78E718DF" w:rsidR="00B449D0" w:rsidRDefault="00076D78">
            <w:pPr>
              <w:pStyle w:val="Summarytabletextrightaligned"/>
            </w:pPr>
            <w:r>
              <w:noBreakHyphen/>
            </w:r>
          </w:p>
        </w:tc>
        <w:tc>
          <w:tcPr>
            <w:tcW w:w="850" w:type="dxa"/>
            <w:shd w:val="clear" w:color="auto" w:fill="E6F2FF"/>
            <w:vAlign w:val="bottom"/>
          </w:tcPr>
          <w:p w14:paraId="6BEDF3C5" w14:textId="77777777" w:rsidR="00B449D0" w:rsidRDefault="00175344">
            <w:pPr>
              <w:pStyle w:val="Summarytabletextrightaligned"/>
            </w:pPr>
            <w:r>
              <w:t>1.5</w:t>
            </w:r>
          </w:p>
        </w:tc>
        <w:tc>
          <w:tcPr>
            <w:tcW w:w="850" w:type="dxa"/>
            <w:vAlign w:val="bottom"/>
          </w:tcPr>
          <w:p w14:paraId="22ADB94A" w14:textId="77777777" w:rsidR="00B449D0" w:rsidRDefault="00175344">
            <w:pPr>
              <w:pStyle w:val="Summarytabletextrightaligned"/>
            </w:pPr>
            <w:r>
              <w:t>2.8</w:t>
            </w:r>
          </w:p>
        </w:tc>
        <w:tc>
          <w:tcPr>
            <w:tcW w:w="850" w:type="dxa"/>
            <w:vAlign w:val="bottom"/>
          </w:tcPr>
          <w:p w14:paraId="7DAA14EF" w14:textId="4DA52D44" w:rsidR="00B449D0" w:rsidRDefault="00076D78">
            <w:pPr>
              <w:pStyle w:val="Summarytabletextrightaligned"/>
            </w:pPr>
            <w:r>
              <w:noBreakHyphen/>
            </w:r>
          </w:p>
        </w:tc>
        <w:tc>
          <w:tcPr>
            <w:tcW w:w="850" w:type="dxa"/>
            <w:vAlign w:val="bottom"/>
          </w:tcPr>
          <w:p w14:paraId="00F218DA" w14:textId="5AF0F124" w:rsidR="00B449D0" w:rsidRDefault="00076D78">
            <w:pPr>
              <w:pStyle w:val="Summarytabletextrightaligned"/>
            </w:pPr>
            <w:r>
              <w:noBreakHyphen/>
            </w:r>
          </w:p>
        </w:tc>
      </w:tr>
      <w:tr w:rsidR="00B449D0" w14:paraId="2638E3EC" w14:textId="77777777" w:rsidTr="7F762F0D">
        <w:tc>
          <w:tcPr>
            <w:tcW w:w="3471" w:type="dxa"/>
            <w:vAlign w:val="bottom"/>
          </w:tcPr>
          <w:p w14:paraId="18B3128A" w14:textId="77777777" w:rsidR="00B449D0" w:rsidRDefault="00175344">
            <w:pPr>
              <w:pStyle w:val="SummaryMeasureTitlewithTheme"/>
            </w:pPr>
            <w:r>
              <w:t>National Disability Insurance Scheme Reform(b)</w:t>
            </w:r>
          </w:p>
        </w:tc>
        <w:tc>
          <w:tcPr>
            <w:tcW w:w="850" w:type="dxa"/>
            <w:vAlign w:val="bottom"/>
          </w:tcPr>
          <w:p w14:paraId="28DAF653" w14:textId="3E1BE82C" w:rsidR="00B449D0" w:rsidRDefault="00076D78">
            <w:pPr>
              <w:pStyle w:val="Summarytabletextrightaligned"/>
            </w:pPr>
            <w:r>
              <w:noBreakHyphen/>
            </w:r>
          </w:p>
        </w:tc>
        <w:tc>
          <w:tcPr>
            <w:tcW w:w="850" w:type="dxa"/>
            <w:shd w:val="clear" w:color="auto" w:fill="E6F2FF"/>
            <w:vAlign w:val="bottom"/>
          </w:tcPr>
          <w:p w14:paraId="73289ED9" w14:textId="4AC07EFD" w:rsidR="00B449D0" w:rsidRDefault="00076D78">
            <w:pPr>
              <w:pStyle w:val="Summarytabletextrightaligned"/>
            </w:pPr>
            <w:r>
              <w:noBreakHyphen/>
            </w:r>
          </w:p>
        </w:tc>
        <w:tc>
          <w:tcPr>
            <w:tcW w:w="850" w:type="dxa"/>
            <w:vAlign w:val="bottom"/>
          </w:tcPr>
          <w:p w14:paraId="7862DCB8" w14:textId="54200EA8" w:rsidR="00B449D0" w:rsidRDefault="00076D78">
            <w:pPr>
              <w:pStyle w:val="Summarytabletextrightaligned"/>
            </w:pPr>
            <w:r>
              <w:noBreakHyphen/>
            </w:r>
          </w:p>
        </w:tc>
        <w:tc>
          <w:tcPr>
            <w:tcW w:w="850" w:type="dxa"/>
            <w:vAlign w:val="bottom"/>
          </w:tcPr>
          <w:p w14:paraId="03BA82A6" w14:textId="4729BFC3" w:rsidR="00B449D0" w:rsidRDefault="00076D78">
            <w:pPr>
              <w:pStyle w:val="Summarytabletextrightaligned"/>
            </w:pPr>
            <w:r>
              <w:noBreakHyphen/>
            </w:r>
          </w:p>
        </w:tc>
        <w:tc>
          <w:tcPr>
            <w:tcW w:w="850" w:type="dxa"/>
            <w:vAlign w:val="bottom"/>
          </w:tcPr>
          <w:p w14:paraId="2532BAE7" w14:textId="687881D1" w:rsidR="00B449D0" w:rsidRDefault="00076D78">
            <w:pPr>
              <w:pStyle w:val="Summarytabletextrightaligned"/>
            </w:pPr>
            <w:r>
              <w:noBreakHyphen/>
            </w:r>
          </w:p>
        </w:tc>
      </w:tr>
      <w:tr w:rsidR="00B449D0" w14:paraId="7B06CA18" w14:textId="77777777" w:rsidTr="7F762F0D">
        <w:tc>
          <w:tcPr>
            <w:tcW w:w="3471" w:type="dxa"/>
            <w:vAlign w:val="bottom"/>
          </w:tcPr>
          <w:p w14:paraId="6F8C8A75" w14:textId="77777777" w:rsidR="00B449D0" w:rsidRDefault="00175344">
            <w:pPr>
              <w:pStyle w:val="SummaryMeasureTitlewithTheme"/>
            </w:pPr>
            <w:r>
              <w:t>Nuclear‑Powered Submarine Program – infrastructure and capacity investment</w:t>
            </w:r>
          </w:p>
        </w:tc>
        <w:tc>
          <w:tcPr>
            <w:tcW w:w="850" w:type="dxa"/>
            <w:vAlign w:val="bottom"/>
          </w:tcPr>
          <w:p w14:paraId="7DA88D68" w14:textId="468BCC33" w:rsidR="00B449D0" w:rsidRDefault="00076D78">
            <w:pPr>
              <w:pStyle w:val="Summarytabletextrightaligned"/>
            </w:pPr>
            <w:r>
              <w:noBreakHyphen/>
            </w:r>
          </w:p>
        </w:tc>
        <w:tc>
          <w:tcPr>
            <w:tcW w:w="850" w:type="dxa"/>
            <w:shd w:val="clear" w:color="auto" w:fill="E6F2FF"/>
            <w:vAlign w:val="bottom"/>
          </w:tcPr>
          <w:p w14:paraId="4645C5FE" w14:textId="77777777" w:rsidR="00B449D0" w:rsidRDefault="00175344">
            <w:pPr>
              <w:pStyle w:val="Summarytabletextrightaligned"/>
            </w:pPr>
            <w:r w:rsidRPr="7F762F0D">
              <w:rPr>
                <w:lang w:val="en-US"/>
              </w:rPr>
              <w:t>nfp</w:t>
            </w:r>
          </w:p>
        </w:tc>
        <w:tc>
          <w:tcPr>
            <w:tcW w:w="850" w:type="dxa"/>
            <w:vAlign w:val="bottom"/>
          </w:tcPr>
          <w:p w14:paraId="7DC97ACF" w14:textId="77777777" w:rsidR="00B449D0" w:rsidRDefault="00175344">
            <w:pPr>
              <w:pStyle w:val="Summarytabletextrightaligned"/>
            </w:pPr>
            <w:r w:rsidRPr="7F762F0D">
              <w:rPr>
                <w:lang w:val="en-US"/>
              </w:rPr>
              <w:t>nfp</w:t>
            </w:r>
          </w:p>
        </w:tc>
        <w:tc>
          <w:tcPr>
            <w:tcW w:w="850" w:type="dxa"/>
            <w:vAlign w:val="bottom"/>
          </w:tcPr>
          <w:p w14:paraId="357959BA" w14:textId="77777777" w:rsidR="00B449D0" w:rsidRDefault="00175344">
            <w:pPr>
              <w:pStyle w:val="Summarytabletextrightaligned"/>
            </w:pPr>
            <w:r w:rsidRPr="7F762F0D">
              <w:rPr>
                <w:lang w:val="en-US"/>
              </w:rPr>
              <w:t>nfp</w:t>
            </w:r>
          </w:p>
        </w:tc>
        <w:tc>
          <w:tcPr>
            <w:tcW w:w="850" w:type="dxa"/>
            <w:vAlign w:val="bottom"/>
          </w:tcPr>
          <w:p w14:paraId="0B73F83C" w14:textId="77777777" w:rsidR="00B449D0" w:rsidRDefault="00175344">
            <w:pPr>
              <w:pStyle w:val="Summarytabletextrightaligned"/>
            </w:pPr>
            <w:r w:rsidRPr="7F762F0D">
              <w:rPr>
                <w:lang w:val="en-US"/>
              </w:rPr>
              <w:t>nfp</w:t>
            </w:r>
          </w:p>
        </w:tc>
      </w:tr>
      <w:tr w:rsidR="00B449D0" w14:paraId="64ADFB48" w14:textId="77777777" w:rsidTr="7F762F0D">
        <w:tc>
          <w:tcPr>
            <w:tcW w:w="3471" w:type="dxa"/>
            <w:vAlign w:val="bottom"/>
          </w:tcPr>
          <w:p w14:paraId="4E83F2AE" w14:textId="77777777" w:rsidR="00B449D0" w:rsidRDefault="00175344">
            <w:pPr>
              <w:pStyle w:val="SummaryMeasureTitlewithTheme"/>
            </w:pPr>
            <w:r>
              <w:t>Payday Super(b)</w:t>
            </w:r>
          </w:p>
        </w:tc>
        <w:tc>
          <w:tcPr>
            <w:tcW w:w="850" w:type="dxa"/>
            <w:vAlign w:val="bottom"/>
          </w:tcPr>
          <w:p w14:paraId="3701CFB5" w14:textId="4C463B4D" w:rsidR="00B449D0" w:rsidRDefault="00076D78">
            <w:pPr>
              <w:pStyle w:val="Summarytabletextrightaligned"/>
            </w:pPr>
            <w:r>
              <w:noBreakHyphen/>
            </w:r>
          </w:p>
        </w:tc>
        <w:tc>
          <w:tcPr>
            <w:tcW w:w="850" w:type="dxa"/>
            <w:shd w:val="clear" w:color="auto" w:fill="E6F2FF"/>
            <w:vAlign w:val="bottom"/>
          </w:tcPr>
          <w:p w14:paraId="5B8A2C11" w14:textId="77777777" w:rsidR="00B449D0" w:rsidRDefault="00175344">
            <w:pPr>
              <w:pStyle w:val="Summarytabletextrightaligned"/>
            </w:pPr>
            <w:r>
              <w:t>0.1</w:t>
            </w:r>
          </w:p>
        </w:tc>
        <w:tc>
          <w:tcPr>
            <w:tcW w:w="850" w:type="dxa"/>
            <w:vAlign w:val="bottom"/>
          </w:tcPr>
          <w:p w14:paraId="5EC975CB" w14:textId="77777777" w:rsidR="00B449D0" w:rsidRDefault="00175344">
            <w:pPr>
              <w:pStyle w:val="Summarytabletextrightaligned"/>
            </w:pPr>
            <w:r>
              <w:t>0.1</w:t>
            </w:r>
          </w:p>
        </w:tc>
        <w:tc>
          <w:tcPr>
            <w:tcW w:w="850" w:type="dxa"/>
            <w:vAlign w:val="bottom"/>
          </w:tcPr>
          <w:p w14:paraId="71B8E2FB" w14:textId="77777777" w:rsidR="00B449D0" w:rsidRDefault="00175344">
            <w:pPr>
              <w:pStyle w:val="Summarytabletextrightaligned"/>
            </w:pPr>
            <w:r>
              <w:t>0.1</w:t>
            </w:r>
          </w:p>
        </w:tc>
        <w:tc>
          <w:tcPr>
            <w:tcW w:w="850" w:type="dxa"/>
            <w:vAlign w:val="bottom"/>
          </w:tcPr>
          <w:p w14:paraId="5CE8A926" w14:textId="77777777" w:rsidR="00B449D0" w:rsidRDefault="00175344">
            <w:pPr>
              <w:pStyle w:val="Summarytabletextrightaligned"/>
            </w:pPr>
            <w:r>
              <w:t>0.1</w:t>
            </w:r>
          </w:p>
        </w:tc>
      </w:tr>
      <w:tr w:rsidR="00B449D0" w14:paraId="2445B00C" w14:textId="77777777" w:rsidTr="7F762F0D">
        <w:tc>
          <w:tcPr>
            <w:tcW w:w="3471" w:type="dxa"/>
            <w:vAlign w:val="bottom"/>
          </w:tcPr>
          <w:p w14:paraId="018DE941" w14:textId="77777777" w:rsidR="00B449D0" w:rsidRDefault="00175344">
            <w:pPr>
              <w:pStyle w:val="SummaryMeasureTitlewithTheme"/>
            </w:pPr>
            <w:r>
              <w:t>Reforming the Commonwealth Funding and Disclosure Scheme</w:t>
            </w:r>
          </w:p>
        </w:tc>
        <w:tc>
          <w:tcPr>
            <w:tcW w:w="850" w:type="dxa"/>
            <w:vAlign w:val="bottom"/>
          </w:tcPr>
          <w:p w14:paraId="3C3A0BE6" w14:textId="515C5F08" w:rsidR="00B449D0" w:rsidRDefault="00076D78">
            <w:pPr>
              <w:pStyle w:val="Summarytabletextrightaligned"/>
            </w:pPr>
            <w:r>
              <w:noBreakHyphen/>
            </w:r>
          </w:p>
        </w:tc>
        <w:tc>
          <w:tcPr>
            <w:tcW w:w="850" w:type="dxa"/>
            <w:shd w:val="clear" w:color="auto" w:fill="E6F2FF"/>
            <w:vAlign w:val="bottom"/>
          </w:tcPr>
          <w:p w14:paraId="19E7539F" w14:textId="77777777" w:rsidR="00B449D0" w:rsidRDefault="00175344">
            <w:pPr>
              <w:pStyle w:val="Summarytabletextrightaligned"/>
            </w:pPr>
            <w:r>
              <w:t>0.1</w:t>
            </w:r>
          </w:p>
        </w:tc>
        <w:tc>
          <w:tcPr>
            <w:tcW w:w="850" w:type="dxa"/>
            <w:vAlign w:val="bottom"/>
          </w:tcPr>
          <w:p w14:paraId="5A7FAA44" w14:textId="77777777" w:rsidR="00B449D0" w:rsidRDefault="00175344">
            <w:pPr>
              <w:pStyle w:val="Summarytabletextrightaligned"/>
            </w:pPr>
            <w:r>
              <w:t>0.1</w:t>
            </w:r>
          </w:p>
        </w:tc>
        <w:tc>
          <w:tcPr>
            <w:tcW w:w="850" w:type="dxa"/>
            <w:vAlign w:val="bottom"/>
          </w:tcPr>
          <w:p w14:paraId="6EB3D2AF" w14:textId="77777777" w:rsidR="00B449D0" w:rsidRDefault="00175344">
            <w:pPr>
              <w:pStyle w:val="Summarytabletextrightaligned"/>
            </w:pPr>
            <w:r>
              <w:t>0.1</w:t>
            </w:r>
          </w:p>
        </w:tc>
        <w:tc>
          <w:tcPr>
            <w:tcW w:w="850" w:type="dxa"/>
            <w:vAlign w:val="bottom"/>
          </w:tcPr>
          <w:p w14:paraId="03A67791" w14:textId="77777777" w:rsidR="00B449D0" w:rsidRDefault="00175344">
            <w:pPr>
              <w:pStyle w:val="Summarytabletextrightaligned"/>
            </w:pPr>
            <w:r>
              <w:t>0.1</w:t>
            </w:r>
          </w:p>
        </w:tc>
      </w:tr>
      <w:tr w:rsidR="00B449D0" w14:paraId="1EFC3B9C" w14:textId="77777777" w:rsidTr="7F762F0D">
        <w:tc>
          <w:tcPr>
            <w:tcW w:w="3471" w:type="dxa"/>
            <w:vAlign w:val="bottom"/>
          </w:tcPr>
          <w:p w14:paraId="207F82F2" w14:textId="77777777" w:rsidR="00B449D0" w:rsidRDefault="00175344">
            <w:pPr>
              <w:pStyle w:val="SummaryMeasureTitlewithTheme"/>
            </w:pPr>
            <w:r>
              <w:t>Supporting Safety and Remediation in the Resources Sector</w:t>
            </w:r>
          </w:p>
        </w:tc>
        <w:tc>
          <w:tcPr>
            <w:tcW w:w="850" w:type="dxa"/>
            <w:vAlign w:val="bottom"/>
          </w:tcPr>
          <w:p w14:paraId="56CF356F" w14:textId="784B345A" w:rsidR="00B449D0" w:rsidRDefault="00076D78">
            <w:pPr>
              <w:pStyle w:val="Summarytabletextrightaligned"/>
            </w:pPr>
            <w:r>
              <w:noBreakHyphen/>
            </w:r>
          </w:p>
        </w:tc>
        <w:tc>
          <w:tcPr>
            <w:tcW w:w="850" w:type="dxa"/>
            <w:shd w:val="clear" w:color="auto" w:fill="E6F2FF"/>
            <w:vAlign w:val="bottom"/>
          </w:tcPr>
          <w:p w14:paraId="6641D404" w14:textId="23E8C8DC" w:rsidR="00B449D0" w:rsidRDefault="00076D78">
            <w:pPr>
              <w:pStyle w:val="Summarytabletextrightaligned"/>
            </w:pPr>
            <w:r>
              <w:noBreakHyphen/>
            </w:r>
          </w:p>
        </w:tc>
        <w:tc>
          <w:tcPr>
            <w:tcW w:w="850" w:type="dxa"/>
            <w:vAlign w:val="bottom"/>
          </w:tcPr>
          <w:p w14:paraId="066F7E7D" w14:textId="77777777" w:rsidR="00B449D0" w:rsidRDefault="00175344">
            <w:pPr>
              <w:pStyle w:val="Summarytabletextrightaligned"/>
            </w:pPr>
            <w:r w:rsidRPr="7F762F0D">
              <w:rPr>
                <w:lang w:val="en-US"/>
              </w:rPr>
              <w:t>nfp</w:t>
            </w:r>
          </w:p>
        </w:tc>
        <w:tc>
          <w:tcPr>
            <w:tcW w:w="850" w:type="dxa"/>
            <w:vAlign w:val="bottom"/>
          </w:tcPr>
          <w:p w14:paraId="7E543D80" w14:textId="77777777" w:rsidR="00B449D0" w:rsidRDefault="00175344">
            <w:pPr>
              <w:pStyle w:val="Summarytabletextrightaligned"/>
            </w:pPr>
            <w:r w:rsidRPr="7F762F0D">
              <w:rPr>
                <w:lang w:val="en-US"/>
              </w:rPr>
              <w:t>nfp</w:t>
            </w:r>
          </w:p>
        </w:tc>
        <w:tc>
          <w:tcPr>
            <w:tcW w:w="850" w:type="dxa"/>
            <w:vAlign w:val="bottom"/>
          </w:tcPr>
          <w:p w14:paraId="00C84B45" w14:textId="77777777" w:rsidR="00B449D0" w:rsidRDefault="00175344">
            <w:pPr>
              <w:pStyle w:val="Summarytabletextrightaligned"/>
            </w:pPr>
            <w:r w:rsidRPr="7F762F0D">
              <w:rPr>
                <w:lang w:val="en-US"/>
              </w:rPr>
              <w:t>nfp</w:t>
            </w:r>
          </w:p>
        </w:tc>
      </w:tr>
      <w:tr w:rsidR="00B449D0" w14:paraId="2B120103" w14:textId="77777777" w:rsidTr="7F762F0D">
        <w:tc>
          <w:tcPr>
            <w:tcW w:w="3471" w:type="dxa"/>
            <w:vAlign w:val="bottom"/>
          </w:tcPr>
          <w:p w14:paraId="4D878339" w14:textId="77777777" w:rsidR="00B449D0" w:rsidRDefault="00175344">
            <w:pPr>
              <w:pStyle w:val="SummaryAgencyTitle-BP2"/>
            </w:pPr>
            <w:r>
              <w:t>Digital Transformation Agency</w:t>
            </w:r>
          </w:p>
        </w:tc>
        <w:tc>
          <w:tcPr>
            <w:tcW w:w="850" w:type="dxa"/>
          </w:tcPr>
          <w:p w14:paraId="62C205D9" w14:textId="77777777" w:rsidR="00B449D0" w:rsidRDefault="00B449D0">
            <w:pPr>
              <w:pStyle w:val="SummaryAgencyTitle-BP2"/>
            </w:pPr>
          </w:p>
        </w:tc>
        <w:tc>
          <w:tcPr>
            <w:tcW w:w="850" w:type="dxa"/>
            <w:shd w:val="clear" w:color="auto" w:fill="E6F2FF"/>
          </w:tcPr>
          <w:p w14:paraId="486739C9" w14:textId="77777777" w:rsidR="00B449D0" w:rsidRDefault="00B449D0">
            <w:pPr>
              <w:pStyle w:val="SummaryAgencyTitle-BP2"/>
            </w:pPr>
          </w:p>
        </w:tc>
        <w:tc>
          <w:tcPr>
            <w:tcW w:w="850" w:type="dxa"/>
          </w:tcPr>
          <w:p w14:paraId="3B20B9B3" w14:textId="77777777" w:rsidR="00B449D0" w:rsidRDefault="00B449D0">
            <w:pPr>
              <w:pStyle w:val="SummaryAgencyTitle-BP2"/>
            </w:pPr>
          </w:p>
        </w:tc>
        <w:tc>
          <w:tcPr>
            <w:tcW w:w="850" w:type="dxa"/>
          </w:tcPr>
          <w:p w14:paraId="7180CE28" w14:textId="77777777" w:rsidR="00B449D0" w:rsidRDefault="00B449D0">
            <w:pPr>
              <w:pStyle w:val="SummaryAgencyTitle-BP2"/>
            </w:pPr>
          </w:p>
        </w:tc>
        <w:tc>
          <w:tcPr>
            <w:tcW w:w="850" w:type="dxa"/>
          </w:tcPr>
          <w:p w14:paraId="7571D554" w14:textId="77777777" w:rsidR="00B449D0" w:rsidRDefault="00B449D0">
            <w:pPr>
              <w:pStyle w:val="SummaryAgencyTitle-BP2"/>
            </w:pPr>
          </w:p>
        </w:tc>
      </w:tr>
      <w:tr w:rsidR="00B449D0" w14:paraId="25C978DC" w14:textId="77777777" w:rsidTr="7F762F0D">
        <w:tc>
          <w:tcPr>
            <w:tcW w:w="3471" w:type="dxa"/>
            <w:vAlign w:val="bottom"/>
          </w:tcPr>
          <w:p w14:paraId="6CBD8F8D" w14:textId="77777777" w:rsidR="00B449D0" w:rsidRDefault="00175344">
            <w:pPr>
              <w:pStyle w:val="SummaryMeasureTitlewithTheme"/>
            </w:pPr>
            <w:r>
              <w:t>Enabling a Reliable and Secure Energy Transition</w:t>
            </w:r>
          </w:p>
        </w:tc>
        <w:tc>
          <w:tcPr>
            <w:tcW w:w="850" w:type="dxa"/>
            <w:vAlign w:val="bottom"/>
          </w:tcPr>
          <w:p w14:paraId="3F390EA8" w14:textId="09B5A862" w:rsidR="00B449D0" w:rsidRDefault="00076D78">
            <w:pPr>
              <w:pStyle w:val="Summarytabletextrightaligned"/>
            </w:pPr>
            <w:r>
              <w:noBreakHyphen/>
            </w:r>
          </w:p>
        </w:tc>
        <w:tc>
          <w:tcPr>
            <w:tcW w:w="850" w:type="dxa"/>
            <w:shd w:val="clear" w:color="auto" w:fill="E6F2FF"/>
            <w:vAlign w:val="bottom"/>
          </w:tcPr>
          <w:p w14:paraId="0AF41562" w14:textId="77777777" w:rsidR="00B449D0" w:rsidRDefault="00175344">
            <w:pPr>
              <w:pStyle w:val="Summarytabletextrightaligned"/>
            </w:pPr>
            <w:r>
              <w:t>0.1</w:t>
            </w:r>
          </w:p>
        </w:tc>
        <w:tc>
          <w:tcPr>
            <w:tcW w:w="850" w:type="dxa"/>
            <w:vAlign w:val="bottom"/>
          </w:tcPr>
          <w:p w14:paraId="50E4F59E" w14:textId="77777777" w:rsidR="00B449D0" w:rsidRDefault="00175344">
            <w:pPr>
              <w:pStyle w:val="Summarytabletextrightaligned"/>
            </w:pPr>
            <w:r>
              <w:t>0.1</w:t>
            </w:r>
          </w:p>
        </w:tc>
        <w:tc>
          <w:tcPr>
            <w:tcW w:w="850" w:type="dxa"/>
            <w:vAlign w:val="bottom"/>
          </w:tcPr>
          <w:p w14:paraId="7AAF7DE5" w14:textId="77777777" w:rsidR="00B449D0" w:rsidRDefault="00175344">
            <w:pPr>
              <w:pStyle w:val="Summarytabletextrightaligned"/>
            </w:pPr>
            <w:r>
              <w:t>0.1</w:t>
            </w:r>
          </w:p>
        </w:tc>
        <w:tc>
          <w:tcPr>
            <w:tcW w:w="850" w:type="dxa"/>
            <w:vAlign w:val="bottom"/>
          </w:tcPr>
          <w:p w14:paraId="397DAFAE" w14:textId="77777777" w:rsidR="00B449D0" w:rsidRDefault="00175344">
            <w:pPr>
              <w:pStyle w:val="Summarytabletextrightaligned"/>
            </w:pPr>
            <w:r>
              <w:t>0.1</w:t>
            </w:r>
          </w:p>
        </w:tc>
      </w:tr>
      <w:tr w:rsidR="00B449D0" w14:paraId="179AD8DC" w14:textId="77777777" w:rsidTr="7F762F0D">
        <w:tc>
          <w:tcPr>
            <w:tcW w:w="3471" w:type="dxa"/>
            <w:vAlign w:val="bottom"/>
          </w:tcPr>
          <w:p w14:paraId="3D2E50CF" w14:textId="77777777" w:rsidR="00B449D0" w:rsidRDefault="00175344">
            <w:pPr>
              <w:pStyle w:val="SummaryMeasureTitlewithTheme"/>
            </w:pPr>
            <w:r>
              <w:t>Payday Super(b)</w:t>
            </w:r>
          </w:p>
        </w:tc>
        <w:tc>
          <w:tcPr>
            <w:tcW w:w="850" w:type="dxa"/>
            <w:vAlign w:val="bottom"/>
          </w:tcPr>
          <w:p w14:paraId="34DEFA94" w14:textId="18FBF456" w:rsidR="00B449D0" w:rsidRDefault="00076D78">
            <w:pPr>
              <w:pStyle w:val="Summarytabletextrightaligned"/>
            </w:pPr>
            <w:r>
              <w:noBreakHyphen/>
            </w:r>
          </w:p>
        </w:tc>
        <w:tc>
          <w:tcPr>
            <w:tcW w:w="850" w:type="dxa"/>
            <w:shd w:val="clear" w:color="auto" w:fill="E6F2FF"/>
            <w:vAlign w:val="bottom"/>
          </w:tcPr>
          <w:p w14:paraId="693FD063" w14:textId="77777777" w:rsidR="00B449D0" w:rsidRDefault="00175344">
            <w:pPr>
              <w:pStyle w:val="Summarytabletextrightaligned"/>
            </w:pPr>
            <w:r>
              <w:t>0.1</w:t>
            </w:r>
          </w:p>
        </w:tc>
        <w:tc>
          <w:tcPr>
            <w:tcW w:w="850" w:type="dxa"/>
            <w:vAlign w:val="bottom"/>
          </w:tcPr>
          <w:p w14:paraId="502A50E3" w14:textId="77777777" w:rsidR="00B449D0" w:rsidRDefault="00175344">
            <w:pPr>
              <w:pStyle w:val="Summarytabletextrightaligned"/>
            </w:pPr>
            <w:r>
              <w:t>0.1</w:t>
            </w:r>
          </w:p>
        </w:tc>
        <w:tc>
          <w:tcPr>
            <w:tcW w:w="850" w:type="dxa"/>
            <w:vAlign w:val="bottom"/>
          </w:tcPr>
          <w:p w14:paraId="026DF607" w14:textId="77777777" w:rsidR="00B449D0" w:rsidRDefault="00175344">
            <w:pPr>
              <w:pStyle w:val="Summarytabletextrightaligned"/>
            </w:pPr>
            <w:r>
              <w:t>0.1</w:t>
            </w:r>
          </w:p>
        </w:tc>
        <w:tc>
          <w:tcPr>
            <w:tcW w:w="850" w:type="dxa"/>
            <w:vAlign w:val="bottom"/>
          </w:tcPr>
          <w:p w14:paraId="4F840AB0" w14:textId="77777777" w:rsidR="00B449D0" w:rsidRDefault="00175344">
            <w:pPr>
              <w:pStyle w:val="Summarytabletextrightaligned"/>
            </w:pPr>
            <w:r>
              <w:t>0.1</w:t>
            </w:r>
          </w:p>
        </w:tc>
      </w:tr>
      <w:tr w:rsidR="00B449D0" w14:paraId="6EBC1F09" w14:textId="77777777" w:rsidTr="7F762F0D">
        <w:tc>
          <w:tcPr>
            <w:tcW w:w="3471" w:type="dxa"/>
            <w:vAlign w:val="bottom"/>
          </w:tcPr>
          <w:p w14:paraId="2A7E2F03" w14:textId="77777777" w:rsidR="00B449D0" w:rsidRDefault="00175344">
            <w:pPr>
              <w:pStyle w:val="SummaryMeasureTitlewithTheme"/>
            </w:pPr>
            <w:r>
              <w:t>Reforming the Commonwealth Funding and Disclosure Scheme</w:t>
            </w:r>
          </w:p>
        </w:tc>
        <w:tc>
          <w:tcPr>
            <w:tcW w:w="850" w:type="dxa"/>
            <w:vAlign w:val="bottom"/>
          </w:tcPr>
          <w:p w14:paraId="45DE5DAE" w14:textId="705D4C18" w:rsidR="00B449D0" w:rsidRDefault="00076D78">
            <w:pPr>
              <w:pStyle w:val="Summarytabletextrightaligned"/>
            </w:pPr>
            <w:r>
              <w:noBreakHyphen/>
            </w:r>
          </w:p>
        </w:tc>
        <w:tc>
          <w:tcPr>
            <w:tcW w:w="850" w:type="dxa"/>
            <w:shd w:val="clear" w:color="auto" w:fill="E6F2FF"/>
            <w:vAlign w:val="bottom"/>
          </w:tcPr>
          <w:p w14:paraId="7EBCC302" w14:textId="77777777" w:rsidR="00B449D0" w:rsidRDefault="00175344">
            <w:pPr>
              <w:pStyle w:val="Summarytabletextrightaligned"/>
            </w:pPr>
            <w:r>
              <w:t>0.1</w:t>
            </w:r>
          </w:p>
        </w:tc>
        <w:tc>
          <w:tcPr>
            <w:tcW w:w="850" w:type="dxa"/>
            <w:vAlign w:val="bottom"/>
          </w:tcPr>
          <w:p w14:paraId="2A922C06" w14:textId="77777777" w:rsidR="00B449D0" w:rsidRDefault="00175344">
            <w:pPr>
              <w:pStyle w:val="Summarytabletextrightaligned"/>
            </w:pPr>
            <w:r>
              <w:t>0.1</w:t>
            </w:r>
          </w:p>
        </w:tc>
        <w:tc>
          <w:tcPr>
            <w:tcW w:w="850" w:type="dxa"/>
            <w:vAlign w:val="bottom"/>
          </w:tcPr>
          <w:p w14:paraId="44AFA53E" w14:textId="77777777" w:rsidR="00B449D0" w:rsidRDefault="00175344">
            <w:pPr>
              <w:pStyle w:val="Summarytabletextrightaligned"/>
            </w:pPr>
            <w:r>
              <w:t>0.1</w:t>
            </w:r>
          </w:p>
        </w:tc>
        <w:tc>
          <w:tcPr>
            <w:tcW w:w="850" w:type="dxa"/>
            <w:vAlign w:val="bottom"/>
          </w:tcPr>
          <w:p w14:paraId="216304CE" w14:textId="77777777" w:rsidR="00B449D0" w:rsidRDefault="00175344">
            <w:pPr>
              <w:pStyle w:val="Summarytabletextrightaligned"/>
            </w:pPr>
            <w:r>
              <w:t>0.1</w:t>
            </w:r>
          </w:p>
        </w:tc>
      </w:tr>
      <w:tr w:rsidR="00B449D0" w14:paraId="2F844A98" w14:textId="77777777" w:rsidTr="7F762F0D">
        <w:tc>
          <w:tcPr>
            <w:tcW w:w="3471" w:type="dxa"/>
            <w:vAlign w:val="bottom"/>
          </w:tcPr>
          <w:p w14:paraId="41FF920F" w14:textId="77777777" w:rsidR="00B449D0" w:rsidRDefault="00175344">
            <w:pPr>
              <w:pStyle w:val="SummaryMeasureTitlewithTheme"/>
            </w:pPr>
            <w:r>
              <w:t>Treasury Portfolio – additional resourcing</w:t>
            </w:r>
          </w:p>
        </w:tc>
        <w:tc>
          <w:tcPr>
            <w:tcW w:w="850" w:type="dxa"/>
            <w:vAlign w:val="bottom"/>
          </w:tcPr>
          <w:p w14:paraId="0493119C" w14:textId="33B9E3C7" w:rsidR="00B449D0" w:rsidRDefault="00076D78">
            <w:pPr>
              <w:pStyle w:val="Summarytabletextrightaligned"/>
            </w:pPr>
            <w:r>
              <w:noBreakHyphen/>
            </w:r>
          </w:p>
        </w:tc>
        <w:tc>
          <w:tcPr>
            <w:tcW w:w="850" w:type="dxa"/>
            <w:shd w:val="clear" w:color="auto" w:fill="E6F2FF"/>
            <w:vAlign w:val="bottom"/>
          </w:tcPr>
          <w:p w14:paraId="19173E14" w14:textId="77777777" w:rsidR="00B449D0" w:rsidRDefault="00175344">
            <w:pPr>
              <w:pStyle w:val="Summarytabletextrightaligned"/>
            </w:pPr>
            <w:r>
              <w:t>..</w:t>
            </w:r>
          </w:p>
        </w:tc>
        <w:tc>
          <w:tcPr>
            <w:tcW w:w="850" w:type="dxa"/>
            <w:vAlign w:val="bottom"/>
          </w:tcPr>
          <w:p w14:paraId="2BB545C8" w14:textId="77777777" w:rsidR="00B449D0" w:rsidRDefault="00175344">
            <w:pPr>
              <w:pStyle w:val="Summarytabletextrightaligned"/>
            </w:pPr>
            <w:r>
              <w:t>..</w:t>
            </w:r>
          </w:p>
        </w:tc>
        <w:tc>
          <w:tcPr>
            <w:tcW w:w="850" w:type="dxa"/>
            <w:vAlign w:val="bottom"/>
          </w:tcPr>
          <w:p w14:paraId="6442CC31" w14:textId="77777777" w:rsidR="00B449D0" w:rsidRDefault="00175344">
            <w:pPr>
              <w:pStyle w:val="Summarytabletextrightaligned"/>
            </w:pPr>
            <w:r>
              <w:t>..</w:t>
            </w:r>
          </w:p>
        </w:tc>
        <w:tc>
          <w:tcPr>
            <w:tcW w:w="850" w:type="dxa"/>
            <w:vAlign w:val="bottom"/>
          </w:tcPr>
          <w:p w14:paraId="71A05907" w14:textId="77777777" w:rsidR="00B449D0" w:rsidRDefault="00175344">
            <w:pPr>
              <w:pStyle w:val="Summarytabletextrightaligned"/>
            </w:pPr>
            <w:r>
              <w:t>..</w:t>
            </w:r>
          </w:p>
        </w:tc>
      </w:tr>
      <w:tr w:rsidR="00B449D0" w14:paraId="6BE87992" w14:textId="77777777" w:rsidTr="7F762F0D">
        <w:tc>
          <w:tcPr>
            <w:tcW w:w="3471" w:type="dxa"/>
            <w:vAlign w:val="bottom"/>
          </w:tcPr>
          <w:p w14:paraId="012E762D" w14:textId="77777777" w:rsidR="00B449D0" w:rsidRDefault="00175344">
            <w:pPr>
              <w:pStyle w:val="SummaryAgencyTitle-BP2"/>
            </w:pPr>
            <w:r>
              <w:t>Parliamentary Workplace Support Service</w:t>
            </w:r>
          </w:p>
        </w:tc>
        <w:tc>
          <w:tcPr>
            <w:tcW w:w="850" w:type="dxa"/>
          </w:tcPr>
          <w:p w14:paraId="6E783E5D" w14:textId="77777777" w:rsidR="00B449D0" w:rsidRDefault="00B449D0">
            <w:pPr>
              <w:pStyle w:val="SummaryAgencyTitle-BP2"/>
            </w:pPr>
          </w:p>
        </w:tc>
        <w:tc>
          <w:tcPr>
            <w:tcW w:w="850" w:type="dxa"/>
            <w:shd w:val="clear" w:color="auto" w:fill="E6F2FF"/>
          </w:tcPr>
          <w:p w14:paraId="15FD6176" w14:textId="77777777" w:rsidR="00B449D0" w:rsidRDefault="00B449D0">
            <w:pPr>
              <w:pStyle w:val="SummaryAgencyTitle-BP2"/>
            </w:pPr>
          </w:p>
        </w:tc>
        <w:tc>
          <w:tcPr>
            <w:tcW w:w="850" w:type="dxa"/>
          </w:tcPr>
          <w:p w14:paraId="3490ABA2" w14:textId="77777777" w:rsidR="00B449D0" w:rsidRDefault="00B449D0">
            <w:pPr>
              <w:pStyle w:val="SummaryAgencyTitle-BP2"/>
            </w:pPr>
          </w:p>
        </w:tc>
        <w:tc>
          <w:tcPr>
            <w:tcW w:w="850" w:type="dxa"/>
          </w:tcPr>
          <w:p w14:paraId="2D152F6F" w14:textId="77777777" w:rsidR="00B449D0" w:rsidRDefault="00B449D0">
            <w:pPr>
              <w:pStyle w:val="SummaryAgencyTitle-BP2"/>
            </w:pPr>
          </w:p>
        </w:tc>
        <w:tc>
          <w:tcPr>
            <w:tcW w:w="850" w:type="dxa"/>
          </w:tcPr>
          <w:p w14:paraId="20C9770A" w14:textId="77777777" w:rsidR="00B449D0" w:rsidRDefault="00B449D0">
            <w:pPr>
              <w:pStyle w:val="SummaryAgencyTitle-BP2"/>
            </w:pPr>
          </w:p>
        </w:tc>
      </w:tr>
      <w:tr w:rsidR="00B449D0" w14:paraId="1CC075D9" w14:textId="77777777" w:rsidTr="7F762F0D">
        <w:tc>
          <w:tcPr>
            <w:tcW w:w="3471" w:type="dxa"/>
            <w:vAlign w:val="bottom"/>
          </w:tcPr>
          <w:p w14:paraId="508CC60E" w14:textId="77777777" w:rsidR="00B449D0" w:rsidRDefault="00175344">
            <w:pPr>
              <w:pStyle w:val="SummaryMeasureTitlewithTheme"/>
            </w:pPr>
            <w:r>
              <w:t>Finance Portfolio – additional resourcing</w:t>
            </w:r>
          </w:p>
        </w:tc>
        <w:tc>
          <w:tcPr>
            <w:tcW w:w="850" w:type="dxa"/>
            <w:vAlign w:val="bottom"/>
          </w:tcPr>
          <w:p w14:paraId="4396F634" w14:textId="03F2948E" w:rsidR="00B449D0" w:rsidRDefault="00076D78">
            <w:pPr>
              <w:pStyle w:val="Summarytabletextrightaligned"/>
            </w:pPr>
            <w:r>
              <w:noBreakHyphen/>
            </w:r>
          </w:p>
        </w:tc>
        <w:tc>
          <w:tcPr>
            <w:tcW w:w="850" w:type="dxa"/>
            <w:shd w:val="clear" w:color="auto" w:fill="E6F2FF"/>
            <w:vAlign w:val="bottom"/>
          </w:tcPr>
          <w:p w14:paraId="1170110B" w14:textId="1F9A0C85" w:rsidR="00B449D0" w:rsidRDefault="00076D78">
            <w:pPr>
              <w:pStyle w:val="Summarytabletextrightaligned"/>
            </w:pPr>
            <w:r>
              <w:noBreakHyphen/>
            </w:r>
          </w:p>
        </w:tc>
        <w:tc>
          <w:tcPr>
            <w:tcW w:w="850" w:type="dxa"/>
            <w:vAlign w:val="bottom"/>
          </w:tcPr>
          <w:p w14:paraId="134A98E8" w14:textId="77777777" w:rsidR="00B449D0" w:rsidRDefault="00175344">
            <w:pPr>
              <w:pStyle w:val="Summarytabletextrightaligned"/>
            </w:pPr>
            <w:r>
              <w:t>2.4</w:t>
            </w:r>
          </w:p>
        </w:tc>
        <w:tc>
          <w:tcPr>
            <w:tcW w:w="850" w:type="dxa"/>
            <w:vAlign w:val="bottom"/>
          </w:tcPr>
          <w:p w14:paraId="2FD8C1D1" w14:textId="77777777" w:rsidR="00B449D0" w:rsidRDefault="00175344">
            <w:pPr>
              <w:pStyle w:val="Summarytabletextrightaligned"/>
            </w:pPr>
            <w:r>
              <w:t>2.4</w:t>
            </w:r>
          </w:p>
        </w:tc>
        <w:tc>
          <w:tcPr>
            <w:tcW w:w="850" w:type="dxa"/>
            <w:vAlign w:val="bottom"/>
          </w:tcPr>
          <w:p w14:paraId="299037FC" w14:textId="77777777" w:rsidR="00B449D0" w:rsidRDefault="00175344">
            <w:pPr>
              <w:pStyle w:val="Summarytabletextrightaligned"/>
            </w:pPr>
            <w:r>
              <w:t>2.5</w:t>
            </w:r>
          </w:p>
        </w:tc>
      </w:tr>
      <w:tr w:rsidR="00B449D0" w14:paraId="0608D4FB" w14:textId="77777777" w:rsidTr="7F762F0D">
        <w:tc>
          <w:tcPr>
            <w:tcW w:w="3471" w:type="dxa"/>
            <w:vAlign w:val="bottom"/>
          </w:tcPr>
          <w:p w14:paraId="1E75BB42" w14:textId="77777777" w:rsidR="00B449D0" w:rsidRDefault="00175344">
            <w:pPr>
              <w:pStyle w:val="Summarytabletextleftalignedbold"/>
            </w:pPr>
            <w:r>
              <w:t>Portfolio total</w:t>
            </w:r>
          </w:p>
        </w:tc>
        <w:tc>
          <w:tcPr>
            <w:tcW w:w="850" w:type="dxa"/>
            <w:tcBorders>
              <w:top w:val="single" w:sz="4" w:space="0" w:color="000000" w:themeColor="text1"/>
              <w:bottom w:val="single" w:sz="4" w:space="0" w:color="000000" w:themeColor="text1"/>
            </w:tcBorders>
            <w:vAlign w:val="bottom"/>
          </w:tcPr>
          <w:p w14:paraId="259D9A03" w14:textId="4EF44CD0" w:rsidR="00B449D0" w:rsidRDefault="00076D78">
            <w:pPr>
              <w:pStyle w:val="Summarytabletextrightalignedbold"/>
            </w:pPr>
            <w:r>
              <w:noBreakHyphen/>
            </w:r>
          </w:p>
        </w:tc>
        <w:tc>
          <w:tcPr>
            <w:tcW w:w="850" w:type="dxa"/>
            <w:tcBorders>
              <w:top w:val="single" w:sz="4" w:space="0" w:color="000000" w:themeColor="text1"/>
              <w:bottom w:val="single" w:sz="4" w:space="0" w:color="000000" w:themeColor="text1"/>
            </w:tcBorders>
            <w:shd w:val="clear" w:color="auto" w:fill="E6F2FF"/>
            <w:vAlign w:val="bottom"/>
          </w:tcPr>
          <w:p w14:paraId="2A2A200F" w14:textId="77777777" w:rsidR="00B449D0" w:rsidRDefault="00175344">
            <w:pPr>
              <w:pStyle w:val="Summarytabletextrightalignedbold"/>
            </w:pPr>
            <w:r>
              <w:t>4.2</w:t>
            </w:r>
          </w:p>
        </w:tc>
        <w:tc>
          <w:tcPr>
            <w:tcW w:w="850" w:type="dxa"/>
            <w:tcBorders>
              <w:top w:val="single" w:sz="4" w:space="0" w:color="000000" w:themeColor="text1"/>
              <w:bottom w:val="single" w:sz="4" w:space="0" w:color="000000" w:themeColor="text1"/>
            </w:tcBorders>
            <w:vAlign w:val="bottom"/>
          </w:tcPr>
          <w:p w14:paraId="2D1CB76B" w14:textId="77777777" w:rsidR="00B449D0" w:rsidRDefault="00175344">
            <w:pPr>
              <w:pStyle w:val="Summarytabletextrightalignedbold"/>
            </w:pPr>
            <w:r>
              <w:t>11.6</w:t>
            </w:r>
          </w:p>
        </w:tc>
        <w:tc>
          <w:tcPr>
            <w:tcW w:w="850" w:type="dxa"/>
            <w:tcBorders>
              <w:top w:val="single" w:sz="4" w:space="0" w:color="000000" w:themeColor="text1"/>
              <w:bottom w:val="single" w:sz="4" w:space="0" w:color="000000" w:themeColor="text1"/>
            </w:tcBorders>
            <w:vAlign w:val="bottom"/>
          </w:tcPr>
          <w:p w14:paraId="41B540CA" w14:textId="77777777" w:rsidR="00B449D0" w:rsidRDefault="00175344">
            <w:pPr>
              <w:pStyle w:val="Summarytabletextrightalignedbold"/>
            </w:pPr>
            <w:r>
              <w:t>9.6</w:t>
            </w:r>
          </w:p>
        </w:tc>
        <w:tc>
          <w:tcPr>
            <w:tcW w:w="850" w:type="dxa"/>
            <w:tcBorders>
              <w:top w:val="single" w:sz="4" w:space="0" w:color="000000" w:themeColor="text1"/>
              <w:bottom w:val="single" w:sz="4" w:space="0" w:color="000000" w:themeColor="text1"/>
            </w:tcBorders>
            <w:vAlign w:val="bottom"/>
          </w:tcPr>
          <w:p w14:paraId="618352B5" w14:textId="77777777" w:rsidR="00B449D0" w:rsidRDefault="00175344">
            <w:pPr>
              <w:pStyle w:val="Summarytabletextrightalignedbold"/>
            </w:pPr>
            <w:r>
              <w:t>13.5</w:t>
            </w:r>
          </w:p>
        </w:tc>
      </w:tr>
      <w:tr w:rsidR="00B449D0" w14:paraId="3738D709" w14:textId="77777777" w:rsidTr="7F762F0D">
        <w:tc>
          <w:tcPr>
            <w:tcW w:w="3471" w:type="dxa"/>
            <w:vAlign w:val="bottom"/>
          </w:tcPr>
          <w:p w14:paraId="1BDF51E4" w14:textId="77777777" w:rsidR="00B449D0" w:rsidRDefault="00175344">
            <w:pPr>
              <w:pStyle w:val="SummaryPortfolioTitle-BP2"/>
            </w:pPr>
            <w:r>
              <w:t>FOREIGN AFFAIRS AND TRADE</w:t>
            </w:r>
          </w:p>
        </w:tc>
        <w:tc>
          <w:tcPr>
            <w:tcW w:w="850" w:type="dxa"/>
          </w:tcPr>
          <w:p w14:paraId="61554DDA" w14:textId="77777777" w:rsidR="00B449D0" w:rsidRDefault="00B449D0">
            <w:pPr>
              <w:pStyle w:val="MeasureTableTextRightAlignedBefore6ptAfter1pt"/>
            </w:pPr>
          </w:p>
        </w:tc>
        <w:tc>
          <w:tcPr>
            <w:tcW w:w="850" w:type="dxa"/>
            <w:shd w:val="clear" w:color="auto" w:fill="E6F2FF"/>
          </w:tcPr>
          <w:p w14:paraId="20987C9D" w14:textId="77777777" w:rsidR="00B449D0" w:rsidRDefault="00B449D0">
            <w:pPr>
              <w:pStyle w:val="MeasureTableTextRightAlignedBefore6ptAfter1pt"/>
            </w:pPr>
          </w:p>
        </w:tc>
        <w:tc>
          <w:tcPr>
            <w:tcW w:w="850" w:type="dxa"/>
          </w:tcPr>
          <w:p w14:paraId="14F15367" w14:textId="77777777" w:rsidR="00B449D0" w:rsidRDefault="00B449D0">
            <w:pPr>
              <w:pStyle w:val="MeasureTableTextRightAlignedBefore6ptAfter1pt"/>
            </w:pPr>
          </w:p>
        </w:tc>
        <w:tc>
          <w:tcPr>
            <w:tcW w:w="850" w:type="dxa"/>
          </w:tcPr>
          <w:p w14:paraId="09194B05" w14:textId="77777777" w:rsidR="00B449D0" w:rsidRDefault="00B449D0">
            <w:pPr>
              <w:pStyle w:val="MeasureTableTextRightAlignedBefore6ptAfter1pt"/>
            </w:pPr>
          </w:p>
        </w:tc>
        <w:tc>
          <w:tcPr>
            <w:tcW w:w="850" w:type="dxa"/>
          </w:tcPr>
          <w:p w14:paraId="2A5FC5ED" w14:textId="77777777" w:rsidR="00B449D0" w:rsidRDefault="00B449D0">
            <w:pPr>
              <w:pStyle w:val="MeasureTableTextRightAlignedBefore6ptAfter1pt"/>
            </w:pPr>
          </w:p>
        </w:tc>
      </w:tr>
      <w:tr w:rsidR="00B449D0" w14:paraId="52CF5CC6" w14:textId="77777777" w:rsidTr="7F762F0D">
        <w:tc>
          <w:tcPr>
            <w:tcW w:w="3471" w:type="dxa"/>
            <w:vAlign w:val="bottom"/>
          </w:tcPr>
          <w:p w14:paraId="1A9E481E" w14:textId="77777777" w:rsidR="00B449D0" w:rsidRDefault="00175344">
            <w:pPr>
              <w:pStyle w:val="SummaryAgencyTitle-BP2"/>
            </w:pPr>
            <w:r>
              <w:t>Australian Trade and Investment Commission</w:t>
            </w:r>
          </w:p>
        </w:tc>
        <w:tc>
          <w:tcPr>
            <w:tcW w:w="850" w:type="dxa"/>
          </w:tcPr>
          <w:p w14:paraId="45416431" w14:textId="77777777" w:rsidR="00B449D0" w:rsidRDefault="00B449D0">
            <w:pPr>
              <w:pStyle w:val="SummaryAgencyTitle-BP2"/>
            </w:pPr>
          </w:p>
        </w:tc>
        <w:tc>
          <w:tcPr>
            <w:tcW w:w="850" w:type="dxa"/>
            <w:shd w:val="clear" w:color="auto" w:fill="E6F2FF"/>
          </w:tcPr>
          <w:p w14:paraId="78AD759A" w14:textId="77777777" w:rsidR="00B449D0" w:rsidRDefault="00B449D0">
            <w:pPr>
              <w:pStyle w:val="SummaryAgencyTitle-BP2"/>
            </w:pPr>
          </w:p>
        </w:tc>
        <w:tc>
          <w:tcPr>
            <w:tcW w:w="850" w:type="dxa"/>
          </w:tcPr>
          <w:p w14:paraId="318591ED" w14:textId="77777777" w:rsidR="00B449D0" w:rsidRDefault="00B449D0">
            <w:pPr>
              <w:pStyle w:val="SummaryAgencyTitle-BP2"/>
            </w:pPr>
          </w:p>
        </w:tc>
        <w:tc>
          <w:tcPr>
            <w:tcW w:w="850" w:type="dxa"/>
          </w:tcPr>
          <w:p w14:paraId="6C3C0A09" w14:textId="77777777" w:rsidR="00B449D0" w:rsidRDefault="00B449D0">
            <w:pPr>
              <w:pStyle w:val="SummaryAgencyTitle-BP2"/>
            </w:pPr>
          </w:p>
        </w:tc>
        <w:tc>
          <w:tcPr>
            <w:tcW w:w="850" w:type="dxa"/>
          </w:tcPr>
          <w:p w14:paraId="5659EC69" w14:textId="77777777" w:rsidR="00B449D0" w:rsidRDefault="00B449D0">
            <w:pPr>
              <w:pStyle w:val="SummaryAgencyTitle-BP2"/>
            </w:pPr>
          </w:p>
        </w:tc>
      </w:tr>
      <w:tr w:rsidR="00B449D0" w14:paraId="38B0C760" w14:textId="77777777" w:rsidTr="7F762F0D">
        <w:tc>
          <w:tcPr>
            <w:tcW w:w="3471" w:type="dxa"/>
            <w:vAlign w:val="bottom"/>
          </w:tcPr>
          <w:p w14:paraId="7826EF98" w14:textId="77777777" w:rsidR="00B449D0" w:rsidRDefault="00175344">
            <w:pPr>
              <w:pStyle w:val="SummaryMeasureTitlewithTheme"/>
            </w:pPr>
            <w:r>
              <w:t>Sculpture by the Sea – Perth</w:t>
            </w:r>
          </w:p>
        </w:tc>
        <w:tc>
          <w:tcPr>
            <w:tcW w:w="850" w:type="dxa"/>
            <w:vAlign w:val="bottom"/>
          </w:tcPr>
          <w:p w14:paraId="08C287FE" w14:textId="0F25D0B7" w:rsidR="00B449D0" w:rsidRDefault="00076D78">
            <w:pPr>
              <w:pStyle w:val="Summarytabletextrightaligned"/>
            </w:pPr>
            <w:r>
              <w:noBreakHyphen/>
            </w:r>
          </w:p>
        </w:tc>
        <w:tc>
          <w:tcPr>
            <w:tcW w:w="850" w:type="dxa"/>
            <w:shd w:val="clear" w:color="auto" w:fill="E6F2FF"/>
            <w:vAlign w:val="bottom"/>
          </w:tcPr>
          <w:p w14:paraId="29E7D2CC" w14:textId="77777777" w:rsidR="00B449D0" w:rsidRDefault="00175344">
            <w:pPr>
              <w:pStyle w:val="Summarytabletextrightaligned"/>
            </w:pPr>
            <w:r>
              <w:t>0.8</w:t>
            </w:r>
          </w:p>
        </w:tc>
        <w:tc>
          <w:tcPr>
            <w:tcW w:w="850" w:type="dxa"/>
            <w:vAlign w:val="bottom"/>
          </w:tcPr>
          <w:p w14:paraId="3D8EA670" w14:textId="77777777" w:rsidR="00B449D0" w:rsidRDefault="00175344">
            <w:pPr>
              <w:pStyle w:val="Summarytabletextrightaligned"/>
            </w:pPr>
            <w:r>
              <w:t>0.8</w:t>
            </w:r>
          </w:p>
        </w:tc>
        <w:tc>
          <w:tcPr>
            <w:tcW w:w="850" w:type="dxa"/>
            <w:vAlign w:val="bottom"/>
          </w:tcPr>
          <w:p w14:paraId="2493F7B9" w14:textId="6F3FBD69" w:rsidR="00B449D0" w:rsidRDefault="00076D78">
            <w:pPr>
              <w:pStyle w:val="Summarytabletextrightaligned"/>
            </w:pPr>
            <w:r>
              <w:noBreakHyphen/>
            </w:r>
          </w:p>
        </w:tc>
        <w:tc>
          <w:tcPr>
            <w:tcW w:w="850" w:type="dxa"/>
            <w:vAlign w:val="bottom"/>
          </w:tcPr>
          <w:p w14:paraId="5B93304C" w14:textId="222C62E9" w:rsidR="00B449D0" w:rsidRDefault="00076D78">
            <w:pPr>
              <w:pStyle w:val="Summarytabletextrightaligned"/>
            </w:pPr>
            <w:r>
              <w:noBreakHyphen/>
            </w:r>
          </w:p>
        </w:tc>
      </w:tr>
      <w:tr w:rsidR="00B449D0" w14:paraId="2791C3E2" w14:textId="77777777" w:rsidTr="7F762F0D">
        <w:tc>
          <w:tcPr>
            <w:tcW w:w="3471" w:type="dxa"/>
            <w:vAlign w:val="bottom"/>
          </w:tcPr>
          <w:p w14:paraId="70DD79B3" w14:textId="77777777" w:rsidR="00B449D0" w:rsidRDefault="00175344">
            <w:pPr>
              <w:pStyle w:val="SummaryAgencyTitle-BP2"/>
            </w:pPr>
            <w:r>
              <w:t>Department of Foreign Affairs and Trade</w:t>
            </w:r>
          </w:p>
        </w:tc>
        <w:tc>
          <w:tcPr>
            <w:tcW w:w="850" w:type="dxa"/>
          </w:tcPr>
          <w:p w14:paraId="7B92C155" w14:textId="77777777" w:rsidR="00B449D0" w:rsidRDefault="00B449D0">
            <w:pPr>
              <w:pStyle w:val="SummaryAgencyTitle-BP2"/>
            </w:pPr>
          </w:p>
        </w:tc>
        <w:tc>
          <w:tcPr>
            <w:tcW w:w="850" w:type="dxa"/>
            <w:shd w:val="clear" w:color="auto" w:fill="E6F2FF"/>
          </w:tcPr>
          <w:p w14:paraId="480FDD14" w14:textId="77777777" w:rsidR="00B449D0" w:rsidRDefault="00B449D0">
            <w:pPr>
              <w:pStyle w:val="SummaryAgencyTitle-BP2"/>
            </w:pPr>
          </w:p>
        </w:tc>
        <w:tc>
          <w:tcPr>
            <w:tcW w:w="850" w:type="dxa"/>
          </w:tcPr>
          <w:p w14:paraId="23A12434" w14:textId="77777777" w:rsidR="00B449D0" w:rsidRDefault="00B449D0">
            <w:pPr>
              <w:pStyle w:val="SummaryAgencyTitle-BP2"/>
            </w:pPr>
          </w:p>
        </w:tc>
        <w:tc>
          <w:tcPr>
            <w:tcW w:w="850" w:type="dxa"/>
          </w:tcPr>
          <w:p w14:paraId="77F6B3DB" w14:textId="77777777" w:rsidR="00B449D0" w:rsidRDefault="00B449D0">
            <w:pPr>
              <w:pStyle w:val="SummaryAgencyTitle-BP2"/>
            </w:pPr>
          </w:p>
        </w:tc>
        <w:tc>
          <w:tcPr>
            <w:tcW w:w="850" w:type="dxa"/>
          </w:tcPr>
          <w:p w14:paraId="4E5ED803" w14:textId="77777777" w:rsidR="00B449D0" w:rsidRDefault="00B449D0">
            <w:pPr>
              <w:pStyle w:val="SummaryAgencyTitle-BP2"/>
            </w:pPr>
          </w:p>
        </w:tc>
      </w:tr>
      <w:tr w:rsidR="00B449D0" w14:paraId="0ECF5202" w14:textId="77777777" w:rsidTr="7F762F0D">
        <w:tc>
          <w:tcPr>
            <w:tcW w:w="3471" w:type="dxa"/>
            <w:vAlign w:val="bottom"/>
          </w:tcPr>
          <w:p w14:paraId="1E1471F2" w14:textId="77777777" w:rsidR="00B449D0" w:rsidRDefault="00175344">
            <w:pPr>
              <w:pStyle w:val="SummaryMeasureTitlewithTheme"/>
            </w:pPr>
            <w:r>
              <w:t>Enhancing Pacific Engagement</w:t>
            </w:r>
          </w:p>
        </w:tc>
        <w:tc>
          <w:tcPr>
            <w:tcW w:w="850" w:type="dxa"/>
            <w:vAlign w:val="bottom"/>
          </w:tcPr>
          <w:p w14:paraId="11641746" w14:textId="45F338B1" w:rsidR="00B449D0" w:rsidRDefault="00076D78">
            <w:pPr>
              <w:pStyle w:val="Summarytabletextrightaligned"/>
            </w:pPr>
            <w:r>
              <w:noBreakHyphen/>
            </w:r>
          </w:p>
        </w:tc>
        <w:tc>
          <w:tcPr>
            <w:tcW w:w="850" w:type="dxa"/>
            <w:shd w:val="clear" w:color="auto" w:fill="E6F2FF"/>
            <w:vAlign w:val="bottom"/>
          </w:tcPr>
          <w:p w14:paraId="47DDA169" w14:textId="77777777" w:rsidR="00B449D0" w:rsidRDefault="00175344">
            <w:pPr>
              <w:pStyle w:val="Summarytabletextrightaligned"/>
            </w:pPr>
            <w:r>
              <w:t>52.2</w:t>
            </w:r>
          </w:p>
        </w:tc>
        <w:tc>
          <w:tcPr>
            <w:tcW w:w="850" w:type="dxa"/>
            <w:vAlign w:val="bottom"/>
          </w:tcPr>
          <w:p w14:paraId="1C860FD7" w14:textId="77777777" w:rsidR="00B449D0" w:rsidRDefault="00175344">
            <w:pPr>
              <w:pStyle w:val="Summarytabletextrightaligned"/>
            </w:pPr>
            <w:r>
              <w:t>70.1</w:t>
            </w:r>
          </w:p>
        </w:tc>
        <w:tc>
          <w:tcPr>
            <w:tcW w:w="850" w:type="dxa"/>
            <w:vAlign w:val="bottom"/>
          </w:tcPr>
          <w:p w14:paraId="5E1A64A6" w14:textId="77777777" w:rsidR="00B449D0" w:rsidRDefault="00175344">
            <w:pPr>
              <w:pStyle w:val="Summarytabletextrightaligned"/>
            </w:pPr>
            <w:r>
              <w:t>61.2</w:t>
            </w:r>
          </w:p>
        </w:tc>
        <w:tc>
          <w:tcPr>
            <w:tcW w:w="850" w:type="dxa"/>
            <w:vAlign w:val="bottom"/>
          </w:tcPr>
          <w:p w14:paraId="35942154" w14:textId="77777777" w:rsidR="00B449D0" w:rsidRDefault="00175344">
            <w:pPr>
              <w:pStyle w:val="Summarytabletextrightaligned"/>
            </w:pPr>
            <w:r>
              <w:t>76.7</w:t>
            </w:r>
          </w:p>
        </w:tc>
      </w:tr>
      <w:tr w:rsidR="00B449D0" w14:paraId="4ED9ADF0" w14:textId="77777777" w:rsidTr="7F762F0D">
        <w:tc>
          <w:tcPr>
            <w:tcW w:w="3471" w:type="dxa"/>
            <w:vAlign w:val="bottom"/>
          </w:tcPr>
          <w:p w14:paraId="4289DCEF" w14:textId="77777777" w:rsidR="00B449D0" w:rsidRDefault="00175344">
            <w:pPr>
              <w:pStyle w:val="SummaryMeasureTitlewithTheme"/>
            </w:pPr>
            <w:r>
              <w:t>Lebanon Repatriation and Related Support</w:t>
            </w:r>
          </w:p>
        </w:tc>
        <w:tc>
          <w:tcPr>
            <w:tcW w:w="850" w:type="dxa"/>
            <w:vAlign w:val="bottom"/>
          </w:tcPr>
          <w:p w14:paraId="3DED9E3B" w14:textId="12206F16" w:rsidR="00B449D0" w:rsidRDefault="00076D78">
            <w:pPr>
              <w:pStyle w:val="Summarytabletextrightaligned"/>
            </w:pPr>
            <w:r>
              <w:noBreakHyphen/>
            </w:r>
          </w:p>
        </w:tc>
        <w:tc>
          <w:tcPr>
            <w:tcW w:w="850" w:type="dxa"/>
            <w:shd w:val="clear" w:color="auto" w:fill="E6F2FF"/>
            <w:vAlign w:val="bottom"/>
          </w:tcPr>
          <w:p w14:paraId="5FDC1C5E" w14:textId="77777777" w:rsidR="00B449D0" w:rsidRDefault="00175344">
            <w:pPr>
              <w:pStyle w:val="Summarytabletextrightaligned"/>
            </w:pPr>
            <w:r>
              <w:t>44.9</w:t>
            </w:r>
          </w:p>
        </w:tc>
        <w:tc>
          <w:tcPr>
            <w:tcW w:w="850" w:type="dxa"/>
            <w:vAlign w:val="bottom"/>
          </w:tcPr>
          <w:p w14:paraId="1A39214F" w14:textId="4D4CA19C" w:rsidR="00B449D0" w:rsidRDefault="00076D78">
            <w:pPr>
              <w:pStyle w:val="Summarytabletextrightaligned"/>
            </w:pPr>
            <w:r>
              <w:noBreakHyphen/>
            </w:r>
          </w:p>
        </w:tc>
        <w:tc>
          <w:tcPr>
            <w:tcW w:w="850" w:type="dxa"/>
            <w:vAlign w:val="bottom"/>
          </w:tcPr>
          <w:p w14:paraId="1CBFA167" w14:textId="3E459330" w:rsidR="00B449D0" w:rsidRDefault="00076D78">
            <w:pPr>
              <w:pStyle w:val="Summarytabletextrightaligned"/>
            </w:pPr>
            <w:r>
              <w:noBreakHyphen/>
            </w:r>
          </w:p>
        </w:tc>
        <w:tc>
          <w:tcPr>
            <w:tcW w:w="850" w:type="dxa"/>
            <w:vAlign w:val="bottom"/>
          </w:tcPr>
          <w:p w14:paraId="7E9FADC0" w14:textId="58D2CEDA" w:rsidR="00B449D0" w:rsidRDefault="00076D78">
            <w:pPr>
              <w:pStyle w:val="Summarytabletextrightaligned"/>
            </w:pPr>
            <w:r>
              <w:noBreakHyphen/>
            </w:r>
          </w:p>
        </w:tc>
      </w:tr>
      <w:tr w:rsidR="00B449D0" w14:paraId="2A77AC67" w14:textId="77777777" w:rsidTr="7F762F0D">
        <w:tc>
          <w:tcPr>
            <w:tcW w:w="3471" w:type="dxa"/>
            <w:vAlign w:val="bottom"/>
          </w:tcPr>
          <w:p w14:paraId="0FF2AE87" w14:textId="77777777" w:rsidR="00B449D0" w:rsidRDefault="00175344">
            <w:pPr>
              <w:pStyle w:val="SummaryMeasureTitlewithTheme"/>
            </w:pPr>
            <w:r>
              <w:t>Malaysia Airlines Flight MH17 – ongoing efforts</w:t>
            </w:r>
          </w:p>
        </w:tc>
        <w:tc>
          <w:tcPr>
            <w:tcW w:w="850" w:type="dxa"/>
            <w:vAlign w:val="bottom"/>
          </w:tcPr>
          <w:p w14:paraId="6C1E1874" w14:textId="525EA6DB" w:rsidR="00B449D0" w:rsidRDefault="00076D78">
            <w:pPr>
              <w:pStyle w:val="Summarytabletextrightaligned"/>
            </w:pPr>
            <w:r>
              <w:noBreakHyphen/>
            </w:r>
          </w:p>
        </w:tc>
        <w:tc>
          <w:tcPr>
            <w:tcW w:w="850" w:type="dxa"/>
            <w:shd w:val="clear" w:color="auto" w:fill="E6F2FF"/>
            <w:vAlign w:val="bottom"/>
          </w:tcPr>
          <w:p w14:paraId="599D08CF" w14:textId="2C26CADF" w:rsidR="00B449D0" w:rsidRDefault="00076D78">
            <w:pPr>
              <w:pStyle w:val="Summarytabletextrightaligned"/>
            </w:pPr>
            <w:r>
              <w:noBreakHyphen/>
            </w:r>
          </w:p>
        </w:tc>
        <w:tc>
          <w:tcPr>
            <w:tcW w:w="850" w:type="dxa"/>
            <w:vAlign w:val="bottom"/>
          </w:tcPr>
          <w:p w14:paraId="7867D1FA" w14:textId="77777777" w:rsidR="00B449D0" w:rsidRDefault="00175344">
            <w:pPr>
              <w:pStyle w:val="Summarytabletextrightaligned"/>
            </w:pPr>
            <w:r>
              <w:t>3.7</w:t>
            </w:r>
          </w:p>
        </w:tc>
        <w:tc>
          <w:tcPr>
            <w:tcW w:w="850" w:type="dxa"/>
            <w:vAlign w:val="bottom"/>
          </w:tcPr>
          <w:p w14:paraId="41EF496C" w14:textId="59101461" w:rsidR="00B449D0" w:rsidRDefault="00076D78">
            <w:pPr>
              <w:pStyle w:val="Summarytabletextrightaligned"/>
            </w:pPr>
            <w:r>
              <w:noBreakHyphen/>
            </w:r>
          </w:p>
        </w:tc>
        <w:tc>
          <w:tcPr>
            <w:tcW w:w="850" w:type="dxa"/>
            <w:vAlign w:val="bottom"/>
          </w:tcPr>
          <w:p w14:paraId="13E099C4" w14:textId="3FCD3CC5" w:rsidR="00B449D0" w:rsidRDefault="00076D78">
            <w:pPr>
              <w:pStyle w:val="Summarytabletextrightaligned"/>
            </w:pPr>
            <w:r>
              <w:noBreakHyphen/>
            </w:r>
          </w:p>
        </w:tc>
      </w:tr>
      <w:tr w:rsidR="00B449D0" w14:paraId="705B2ED5" w14:textId="77777777" w:rsidTr="7F762F0D">
        <w:tc>
          <w:tcPr>
            <w:tcW w:w="3471" w:type="dxa"/>
            <w:vAlign w:val="bottom"/>
          </w:tcPr>
          <w:p w14:paraId="4C1DA7BC" w14:textId="77777777" w:rsidR="00B449D0" w:rsidRDefault="00175344">
            <w:pPr>
              <w:pStyle w:val="SummaryAgencyTitle-BP2"/>
            </w:pPr>
            <w:r>
              <w:t>Export Finance and Insurance Corporation (National Interest component)</w:t>
            </w:r>
          </w:p>
        </w:tc>
        <w:tc>
          <w:tcPr>
            <w:tcW w:w="850" w:type="dxa"/>
          </w:tcPr>
          <w:p w14:paraId="28B8B99B" w14:textId="77777777" w:rsidR="00B449D0" w:rsidRDefault="00B449D0">
            <w:pPr>
              <w:pStyle w:val="SummaryAgencyTitle-BP2"/>
            </w:pPr>
          </w:p>
        </w:tc>
        <w:tc>
          <w:tcPr>
            <w:tcW w:w="850" w:type="dxa"/>
            <w:shd w:val="clear" w:color="auto" w:fill="E6F2FF"/>
          </w:tcPr>
          <w:p w14:paraId="51B52EC6" w14:textId="77777777" w:rsidR="00B449D0" w:rsidRDefault="00B449D0">
            <w:pPr>
              <w:pStyle w:val="SummaryAgencyTitle-BP2"/>
            </w:pPr>
          </w:p>
        </w:tc>
        <w:tc>
          <w:tcPr>
            <w:tcW w:w="850" w:type="dxa"/>
          </w:tcPr>
          <w:p w14:paraId="2ED03600" w14:textId="77777777" w:rsidR="00B449D0" w:rsidRDefault="00B449D0">
            <w:pPr>
              <w:pStyle w:val="SummaryAgencyTitle-BP2"/>
            </w:pPr>
          </w:p>
        </w:tc>
        <w:tc>
          <w:tcPr>
            <w:tcW w:w="850" w:type="dxa"/>
          </w:tcPr>
          <w:p w14:paraId="04B47033" w14:textId="77777777" w:rsidR="00B449D0" w:rsidRDefault="00B449D0">
            <w:pPr>
              <w:pStyle w:val="SummaryAgencyTitle-BP2"/>
            </w:pPr>
          </w:p>
        </w:tc>
        <w:tc>
          <w:tcPr>
            <w:tcW w:w="850" w:type="dxa"/>
          </w:tcPr>
          <w:p w14:paraId="194111F9" w14:textId="77777777" w:rsidR="00B449D0" w:rsidRDefault="00B449D0">
            <w:pPr>
              <w:pStyle w:val="SummaryAgencyTitle-BP2"/>
            </w:pPr>
          </w:p>
        </w:tc>
      </w:tr>
      <w:tr w:rsidR="00B449D0" w14:paraId="474E1F71" w14:textId="77777777" w:rsidTr="7F762F0D">
        <w:tc>
          <w:tcPr>
            <w:tcW w:w="3471" w:type="dxa"/>
            <w:vAlign w:val="bottom"/>
          </w:tcPr>
          <w:p w14:paraId="7520961D" w14:textId="77777777" w:rsidR="00B449D0" w:rsidRDefault="00175344">
            <w:pPr>
              <w:pStyle w:val="SummaryMeasureTitlewithTheme"/>
            </w:pPr>
            <w:r>
              <w:t>Critical Minerals Facility – additional support for Iluka Resources Eneabba Rare Earths Refinery(b)</w:t>
            </w:r>
          </w:p>
        </w:tc>
        <w:tc>
          <w:tcPr>
            <w:tcW w:w="850" w:type="dxa"/>
            <w:vAlign w:val="bottom"/>
          </w:tcPr>
          <w:p w14:paraId="7E2BD6BC" w14:textId="259D9FDC" w:rsidR="00B449D0" w:rsidRDefault="00076D78">
            <w:pPr>
              <w:pStyle w:val="Summarytabletextrightaligned"/>
            </w:pPr>
            <w:r>
              <w:noBreakHyphen/>
            </w:r>
          </w:p>
        </w:tc>
        <w:tc>
          <w:tcPr>
            <w:tcW w:w="850" w:type="dxa"/>
            <w:shd w:val="clear" w:color="auto" w:fill="E6F2FF"/>
            <w:vAlign w:val="bottom"/>
          </w:tcPr>
          <w:p w14:paraId="72D9E267" w14:textId="4D284EF9" w:rsidR="00B449D0" w:rsidRDefault="00076D78">
            <w:pPr>
              <w:pStyle w:val="Summarytabletextrightaligned"/>
            </w:pPr>
            <w:r>
              <w:noBreakHyphen/>
            </w:r>
          </w:p>
        </w:tc>
        <w:tc>
          <w:tcPr>
            <w:tcW w:w="850" w:type="dxa"/>
            <w:vAlign w:val="bottom"/>
          </w:tcPr>
          <w:p w14:paraId="2BCF9037" w14:textId="77777777" w:rsidR="00B449D0" w:rsidRDefault="00175344">
            <w:pPr>
              <w:pStyle w:val="Summarytabletextrightaligned"/>
            </w:pPr>
            <w:r w:rsidRPr="7F762F0D">
              <w:rPr>
                <w:lang w:val="en-US"/>
              </w:rPr>
              <w:t>nfp</w:t>
            </w:r>
          </w:p>
        </w:tc>
        <w:tc>
          <w:tcPr>
            <w:tcW w:w="850" w:type="dxa"/>
            <w:vAlign w:val="bottom"/>
          </w:tcPr>
          <w:p w14:paraId="54DC5F20" w14:textId="77777777" w:rsidR="00B449D0" w:rsidRDefault="00175344">
            <w:pPr>
              <w:pStyle w:val="Summarytabletextrightaligned"/>
            </w:pPr>
            <w:r w:rsidRPr="7F762F0D">
              <w:rPr>
                <w:lang w:val="en-US"/>
              </w:rPr>
              <w:t>nfp</w:t>
            </w:r>
          </w:p>
        </w:tc>
        <w:tc>
          <w:tcPr>
            <w:tcW w:w="850" w:type="dxa"/>
            <w:vAlign w:val="bottom"/>
          </w:tcPr>
          <w:p w14:paraId="253A43F7" w14:textId="77777777" w:rsidR="00B449D0" w:rsidRDefault="00175344">
            <w:pPr>
              <w:pStyle w:val="Summarytabletextrightaligned"/>
            </w:pPr>
            <w:r w:rsidRPr="7F762F0D">
              <w:rPr>
                <w:lang w:val="en-US"/>
              </w:rPr>
              <w:t>nfp</w:t>
            </w:r>
          </w:p>
        </w:tc>
      </w:tr>
      <w:tr w:rsidR="00B449D0" w14:paraId="514F0F11" w14:textId="77777777" w:rsidTr="7F762F0D">
        <w:tc>
          <w:tcPr>
            <w:tcW w:w="3471" w:type="dxa"/>
            <w:vAlign w:val="bottom"/>
          </w:tcPr>
          <w:p w14:paraId="1B18FB2F" w14:textId="77777777" w:rsidR="00B449D0" w:rsidRDefault="00175344">
            <w:pPr>
              <w:pStyle w:val="SummaryMeasureTitlewithTheme"/>
            </w:pPr>
            <w:r>
              <w:t>Southeast Asia Investment Financing Facility – Investment in FAST‑P Green Investments Partnership fund(b)</w:t>
            </w:r>
          </w:p>
        </w:tc>
        <w:tc>
          <w:tcPr>
            <w:tcW w:w="850" w:type="dxa"/>
            <w:vAlign w:val="bottom"/>
          </w:tcPr>
          <w:p w14:paraId="2868F857" w14:textId="7680D883" w:rsidR="00B449D0" w:rsidRDefault="00076D78">
            <w:pPr>
              <w:pStyle w:val="Summarytabletextrightaligned"/>
            </w:pPr>
            <w:r>
              <w:noBreakHyphen/>
            </w:r>
          </w:p>
        </w:tc>
        <w:tc>
          <w:tcPr>
            <w:tcW w:w="850" w:type="dxa"/>
            <w:shd w:val="clear" w:color="auto" w:fill="E6F2FF"/>
            <w:vAlign w:val="bottom"/>
          </w:tcPr>
          <w:p w14:paraId="5E0BF945" w14:textId="77777777" w:rsidR="00B449D0" w:rsidRDefault="00175344">
            <w:pPr>
              <w:pStyle w:val="Summarytabletextrightaligned"/>
            </w:pPr>
            <w:r w:rsidRPr="7F762F0D">
              <w:rPr>
                <w:lang w:val="en-US"/>
              </w:rPr>
              <w:t>nfp</w:t>
            </w:r>
          </w:p>
        </w:tc>
        <w:tc>
          <w:tcPr>
            <w:tcW w:w="850" w:type="dxa"/>
            <w:vAlign w:val="bottom"/>
          </w:tcPr>
          <w:p w14:paraId="0C66B9D7" w14:textId="77777777" w:rsidR="00B449D0" w:rsidRDefault="00175344">
            <w:pPr>
              <w:pStyle w:val="Summarytabletextrightaligned"/>
            </w:pPr>
            <w:r w:rsidRPr="7F762F0D">
              <w:rPr>
                <w:lang w:val="en-US"/>
              </w:rPr>
              <w:t>nfp</w:t>
            </w:r>
          </w:p>
        </w:tc>
        <w:tc>
          <w:tcPr>
            <w:tcW w:w="850" w:type="dxa"/>
            <w:vAlign w:val="bottom"/>
          </w:tcPr>
          <w:p w14:paraId="5BF4248D" w14:textId="77777777" w:rsidR="00B449D0" w:rsidRDefault="00175344">
            <w:pPr>
              <w:pStyle w:val="Summarytabletextrightaligned"/>
            </w:pPr>
            <w:r w:rsidRPr="7F762F0D">
              <w:rPr>
                <w:lang w:val="en-US"/>
              </w:rPr>
              <w:t>nfp</w:t>
            </w:r>
          </w:p>
        </w:tc>
        <w:tc>
          <w:tcPr>
            <w:tcW w:w="850" w:type="dxa"/>
            <w:vAlign w:val="bottom"/>
          </w:tcPr>
          <w:p w14:paraId="402B1EF2" w14:textId="77777777" w:rsidR="00B449D0" w:rsidRDefault="00175344">
            <w:pPr>
              <w:pStyle w:val="Summarytabletextrightaligned"/>
            </w:pPr>
            <w:r w:rsidRPr="7F762F0D">
              <w:rPr>
                <w:lang w:val="en-US"/>
              </w:rPr>
              <w:t>nfp</w:t>
            </w:r>
          </w:p>
        </w:tc>
      </w:tr>
      <w:tr w:rsidR="00B449D0" w14:paraId="77530AA0" w14:textId="77777777" w:rsidTr="7F762F0D">
        <w:tc>
          <w:tcPr>
            <w:tcW w:w="3471" w:type="dxa"/>
            <w:vAlign w:val="bottom"/>
          </w:tcPr>
          <w:p w14:paraId="6101E141" w14:textId="77777777" w:rsidR="00B449D0" w:rsidRDefault="00175344">
            <w:pPr>
              <w:pStyle w:val="Summarytabletextleftalignedbold"/>
            </w:pPr>
            <w:r>
              <w:t>Portfolio total</w:t>
            </w:r>
          </w:p>
        </w:tc>
        <w:tc>
          <w:tcPr>
            <w:tcW w:w="850" w:type="dxa"/>
            <w:tcBorders>
              <w:top w:val="single" w:sz="4" w:space="0" w:color="000000" w:themeColor="text1"/>
              <w:bottom w:val="single" w:sz="4" w:space="0" w:color="000000" w:themeColor="text1"/>
            </w:tcBorders>
            <w:vAlign w:val="bottom"/>
          </w:tcPr>
          <w:p w14:paraId="202B71E7" w14:textId="1EAD4805" w:rsidR="00B449D0" w:rsidRDefault="00076D78">
            <w:pPr>
              <w:pStyle w:val="Summarytabletextrightalignedbold"/>
            </w:pPr>
            <w:r>
              <w:noBreakHyphen/>
            </w:r>
          </w:p>
        </w:tc>
        <w:tc>
          <w:tcPr>
            <w:tcW w:w="850" w:type="dxa"/>
            <w:tcBorders>
              <w:top w:val="single" w:sz="4" w:space="0" w:color="000000" w:themeColor="text1"/>
              <w:bottom w:val="single" w:sz="4" w:space="0" w:color="000000" w:themeColor="text1"/>
            </w:tcBorders>
            <w:shd w:val="clear" w:color="auto" w:fill="E6F2FF"/>
            <w:vAlign w:val="bottom"/>
          </w:tcPr>
          <w:p w14:paraId="3DBD64FD" w14:textId="77777777" w:rsidR="00B449D0" w:rsidRDefault="00175344">
            <w:pPr>
              <w:pStyle w:val="Summarytabletextrightalignedbold"/>
            </w:pPr>
            <w:r>
              <w:t>97.8</w:t>
            </w:r>
          </w:p>
        </w:tc>
        <w:tc>
          <w:tcPr>
            <w:tcW w:w="850" w:type="dxa"/>
            <w:tcBorders>
              <w:top w:val="single" w:sz="4" w:space="0" w:color="000000" w:themeColor="text1"/>
              <w:bottom w:val="single" w:sz="4" w:space="0" w:color="000000" w:themeColor="text1"/>
            </w:tcBorders>
            <w:vAlign w:val="bottom"/>
          </w:tcPr>
          <w:p w14:paraId="25D80EFC" w14:textId="77777777" w:rsidR="00B449D0" w:rsidRDefault="00175344">
            <w:pPr>
              <w:pStyle w:val="Summarytabletextrightalignedbold"/>
            </w:pPr>
            <w:r>
              <w:t>74.5</w:t>
            </w:r>
          </w:p>
        </w:tc>
        <w:tc>
          <w:tcPr>
            <w:tcW w:w="850" w:type="dxa"/>
            <w:tcBorders>
              <w:top w:val="single" w:sz="4" w:space="0" w:color="000000" w:themeColor="text1"/>
              <w:bottom w:val="single" w:sz="4" w:space="0" w:color="000000" w:themeColor="text1"/>
            </w:tcBorders>
            <w:vAlign w:val="bottom"/>
          </w:tcPr>
          <w:p w14:paraId="6CC3A18D" w14:textId="77777777" w:rsidR="00B449D0" w:rsidRDefault="00175344">
            <w:pPr>
              <w:pStyle w:val="Summarytabletextrightalignedbold"/>
            </w:pPr>
            <w:r>
              <w:t>61.2</w:t>
            </w:r>
          </w:p>
        </w:tc>
        <w:tc>
          <w:tcPr>
            <w:tcW w:w="850" w:type="dxa"/>
            <w:tcBorders>
              <w:top w:val="single" w:sz="4" w:space="0" w:color="000000" w:themeColor="text1"/>
              <w:bottom w:val="single" w:sz="4" w:space="0" w:color="000000" w:themeColor="text1"/>
            </w:tcBorders>
            <w:vAlign w:val="bottom"/>
          </w:tcPr>
          <w:p w14:paraId="28198D6B" w14:textId="77777777" w:rsidR="00B449D0" w:rsidRDefault="00175344">
            <w:pPr>
              <w:pStyle w:val="Summarytabletextrightalignedbold"/>
            </w:pPr>
            <w:r>
              <w:t>76.7</w:t>
            </w:r>
          </w:p>
        </w:tc>
      </w:tr>
    </w:tbl>
    <w:p w14:paraId="47CB8446" w14:textId="77777777" w:rsidR="00301E48" w:rsidRDefault="00301E48" w:rsidP="000D55F7">
      <w:pPr>
        <w:pStyle w:val="SingleParagraph0"/>
        <w:sectPr w:rsidR="00301E48" w:rsidSect="00301E48">
          <w:pgSz w:w="11906" w:h="16838"/>
          <w:pgMar w:top="2835" w:right="2098" w:bottom="2466" w:left="2098" w:header="1814" w:footer="1814" w:gutter="0"/>
          <w:cols w:space="720"/>
          <w:docGrid w:linePitch="272"/>
        </w:sectPr>
      </w:pPr>
    </w:p>
    <w:p w14:paraId="659E5DD9" w14:textId="64F4380A" w:rsidR="00301E48" w:rsidRDefault="00301E48" w:rsidP="00301E48">
      <w:pPr>
        <w:pStyle w:val="TableHeadingcontinued"/>
      </w:pPr>
      <w:r>
        <w:lastRenderedPageBreak/>
        <w:t xml:space="preserve">Table </w:t>
      </w:r>
      <w:r w:rsidR="006E0A94">
        <w:t>A.</w:t>
      </w:r>
      <w:r>
        <w:t>2: Payment measures since the 2024–25 Budget</w:t>
      </w:r>
      <w:r>
        <w:rPr>
          <w:rFonts w:ascii="Cambria Math" w:hAnsi="Cambria Math" w:cs="Cambria Math"/>
        </w:rPr>
        <w:t>⁽</w:t>
      </w:r>
      <w:r>
        <w:rPr>
          <w:rFonts w:cs="Arial"/>
        </w:rPr>
        <w:t>ª</w:t>
      </w:r>
      <w:r>
        <w:rPr>
          <w:rFonts w:ascii="Cambria Math" w:hAnsi="Cambria Math" w:cs="Cambria Math"/>
        </w:rPr>
        <w:t>⁾</w:t>
      </w:r>
      <w:r>
        <w:t xml:space="preserve"> (continued)</w:t>
      </w:r>
    </w:p>
    <w:tbl>
      <w:tblPr>
        <w:tblOverlap w:val="never"/>
        <w:tblW w:w="7721" w:type="dxa"/>
        <w:tblBorders>
          <w:top w:val="single" w:sz="4" w:space="0" w:color="000000"/>
          <w:bottom w:val="single" w:sz="4" w:space="0" w:color="000000"/>
        </w:tblBorders>
        <w:tblLayout w:type="fixed"/>
        <w:tblCellMar>
          <w:left w:w="0" w:type="dxa"/>
          <w:right w:w="56" w:type="dxa"/>
        </w:tblCellMar>
        <w:tblLook w:val="04A0" w:firstRow="1" w:lastRow="0" w:firstColumn="1" w:lastColumn="0" w:noHBand="0" w:noVBand="1"/>
      </w:tblPr>
      <w:tblGrid>
        <w:gridCol w:w="3471"/>
        <w:gridCol w:w="850"/>
        <w:gridCol w:w="850"/>
        <w:gridCol w:w="850"/>
        <w:gridCol w:w="850"/>
        <w:gridCol w:w="850"/>
      </w:tblGrid>
      <w:tr w:rsidR="00301E48" w14:paraId="5E1C93E3" w14:textId="77777777" w:rsidTr="00301E48">
        <w:tc>
          <w:tcPr>
            <w:tcW w:w="3471" w:type="dxa"/>
            <w:vAlign w:val="bottom"/>
          </w:tcPr>
          <w:p w14:paraId="078347AB" w14:textId="77777777" w:rsidR="00301E48" w:rsidRDefault="00301E48" w:rsidP="00301E48"/>
        </w:tc>
        <w:tc>
          <w:tcPr>
            <w:tcW w:w="850" w:type="dxa"/>
            <w:tcBorders>
              <w:bottom w:val="nil"/>
            </w:tcBorders>
          </w:tcPr>
          <w:p w14:paraId="52612BEF" w14:textId="29D802B4" w:rsidR="00301E48" w:rsidRDefault="00301E48" w:rsidP="00301E48">
            <w:pPr>
              <w:pStyle w:val="Summarytabletextrightaligned"/>
            </w:pPr>
            <w:r>
              <w:t>2023</w:t>
            </w:r>
            <w:r w:rsidR="00076D78">
              <w:noBreakHyphen/>
            </w:r>
            <w:r>
              <w:t>24</w:t>
            </w:r>
          </w:p>
        </w:tc>
        <w:tc>
          <w:tcPr>
            <w:tcW w:w="850" w:type="dxa"/>
            <w:tcBorders>
              <w:bottom w:val="nil"/>
            </w:tcBorders>
            <w:shd w:val="clear" w:color="auto" w:fill="E6F2FF"/>
          </w:tcPr>
          <w:p w14:paraId="74DF4E3B" w14:textId="33BF246F" w:rsidR="00301E48" w:rsidRDefault="00301E48" w:rsidP="00301E48">
            <w:pPr>
              <w:pStyle w:val="Summarytabletextrightaligned"/>
            </w:pPr>
            <w:r>
              <w:t>2024</w:t>
            </w:r>
            <w:r w:rsidR="00076D78">
              <w:noBreakHyphen/>
            </w:r>
            <w:r>
              <w:t>25</w:t>
            </w:r>
          </w:p>
        </w:tc>
        <w:tc>
          <w:tcPr>
            <w:tcW w:w="850" w:type="dxa"/>
            <w:tcBorders>
              <w:bottom w:val="nil"/>
            </w:tcBorders>
          </w:tcPr>
          <w:p w14:paraId="35C9288B" w14:textId="6F65721A" w:rsidR="00301E48" w:rsidRDefault="00301E48" w:rsidP="00301E48">
            <w:pPr>
              <w:pStyle w:val="Summarytabletextrightaligned"/>
            </w:pPr>
            <w:r>
              <w:t>2025</w:t>
            </w:r>
            <w:r w:rsidR="00076D78">
              <w:noBreakHyphen/>
            </w:r>
            <w:r>
              <w:t>26</w:t>
            </w:r>
          </w:p>
        </w:tc>
        <w:tc>
          <w:tcPr>
            <w:tcW w:w="850" w:type="dxa"/>
            <w:tcBorders>
              <w:bottom w:val="nil"/>
            </w:tcBorders>
          </w:tcPr>
          <w:p w14:paraId="012520C3" w14:textId="57FB5462" w:rsidR="00301E48" w:rsidRDefault="00301E48" w:rsidP="00301E48">
            <w:pPr>
              <w:pStyle w:val="Summarytabletextrightaligned"/>
            </w:pPr>
            <w:r>
              <w:t>2026</w:t>
            </w:r>
            <w:r w:rsidR="00076D78">
              <w:noBreakHyphen/>
            </w:r>
            <w:r>
              <w:t>27</w:t>
            </w:r>
          </w:p>
        </w:tc>
        <w:tc>
          <w:tcPr>
            <w:tcW w:w="850" w:type="dxa"/>
            <w:tcBorders>
              <w:bottom w:val="nil"/>
            </w:tcBorders>
          </w:tcPr>
          <w:p w14:paraId="0866782A" w14:textId="5A993985" w:rsidR="00301E48" w:rsidRDefault="00301E48" w:rsidP="00301E48">
            <w:pPr>
              <w:pStyle w:val="Summarytabletextrightaligned"/>
            </w:pPr>
            <w:r>
              <w:t>2027</w:t>
            </w:r>
            <w:r w:rsidR="00076D78">
              <w:noBreakHyphen/>
            </w:r>
            <w:r>
              <w:t>28</w:t>
            </w:r>
          </w:p>
        </w:tc>
      </w:tr>
      <w:tr w:rsidR="00301E48" w14:paraId="6336FA01" w14:textId="77777777" w:rsidTr="00301E48">
        <w:tc>
          <w:tcPr>
            <w:tcW w:w="3471" w:type="dxa"/>
            <w:vAlign w:val="bottom"/>
          </w:tcPr>
          <w:p w14:paraId="09624C63" w14:textId="77777777" w:rsidR="00301E48" w:rsidRDefault="00301E48" w:rsidP="00301E48"/>
        </w:tc>
        <w:tc>
          <w:tcPr>
            <w:tcW w:w="850" w:type="dxa"/>
            <w:tcBorders>
              <w:top w:val="nil"/>
              <w:bottom w:val="single" w:sz="4" w:space="0" w:color="auto"/>
            </w:tcBorders>
            <w:shd w:val="clear" w:color="auto" w:fill="auto"/>
          </w:tcPr>
          <w:p w14:paraId="1B1936C0" w14:textId="77777777" w:rsidR="00301E48" w:rsidRDefault="00301E48" w:rsidP="00301E48">
            <w:pPr>
              <w:pStyle w:val="Summarytabletextrightaligned"/>
            </w:pPr>
            <w:r>
              <w:t>$m</w:t>
            </w:r>
          </w:p>
        </w:tc>
        <w:tc>
          <w:tcPr>
            <w:tcW w:w="850" w:type="dxa"/>
            <w:tcBorders>
              <w:top w:val="nil"/>
              <w:bottom w:val="single" w:sz="4" w:space="0" w:color="auto"/>
            </w:tcBorders>
            <w:shd w:val="clear" w:color="auto" w:fill="E6F2FF"/>
          </w:tcPr>
          <w:p w14:paraId="315633D9" w14:textId="77777777" w:rsidR="00301E48" w:rsidRDefault="00301E48" w:rsidP="00301E48">
            <w:pPr>
              <w:pStyle w:val="Summarytabletextrightaligned"/>
            </w:pPr>
            <w:r>
              <w:t>$m</w:t>
            </w:r>
          </w:p>
        </w:tc>
        <w:tc>
          <w:tcPr>
            <w:tcW w:w="850" w:type="dxa"/>
            <w:tcBorders>
              <w:top w:val="nil"/>
              <w:bottom w:val="single" w:sz="4" w:space="0" w:color="auto"/>
            </w:tcBorders>
            <w:shd w:val="clear" w:color="auto" w:fill="auto"/>
          </w:tcPr>
          <w:p w14:paraId="530FEC57" w14:textId="77777777" w:rsidR="00301E48" w:rsidRDefault="00301E48" w:rsidP="00301E48">
            <w:pPr>
              <w:pStyle w:val="Summarytabletextrightaligned"/>
            </w:pPr>
            <w:r>
              <w:t>$m</w:t>
            </w:r>
          </w:p>
        </w:tc>
        <w:tc>
          <w:tcPr>
            <w:tcW w:w="850" w:type="dxa"/>
            <w:tcBorders>
              <w:top w:val="nil"/>
              <w:bottom w:val="single" w:sz="4" w:space="0" w:color="auto"/>
            </w:tcBorders>
            <w:shd w:val="clear" w:color="auto" w:fill="auto"/>
          </w:tcPr>
          <w:p w14:paraId="24EA9DA6" w14:textId="77777777" w:rsidR="00301E48" w:rsidRDefault="00301E48" w:rsidP="00301E48">
            <w:pPr>
              <w:pStyle w:val="Summarytabletextrightaligned"/>
            </w:pPr>
            <w:r>
              <w:t>$m</w:t>
            </w:r>
          </w:p>
        </w:tc>
        <w:tc>
          <w:tcPr>
            <w:tcW w:w="850" w:type="dxa"/>
            <w:tcBorders>
              <w:top w:val="nil"/>
              <w:bottom w:val="single" w:sz="4" w:space="0" w:color="auto"/>
            </w:tcBorders>
            <w:shd w:val="clear" w:color="auto" w:fill="auto"/>
          </w:tcPr>
          <w:p w14:paraId="57AEAD30" w14:textId="77777777" w:rsidR="00301E48" w:rsidRDefault="00301E48" w:rsidP="00301E48">
            <w:pPr>
              <w:pStyle w:val="Summarytabletextrightaligned"/>
            </w:pPr>
            <w:r>
              <w:t>$m</w:t>
            </w:r>
          </w:p>
        </w:tc>
      </w:tr>
      <w:tr w:rsidR="00B449D0" w14:paraId="7824B3ED" w14:textId="77777777" w:rsidTr="00301E48">
        <w:tc>
          <w:tcPr>
            <w:tcW w:w="3471" w:type="dxa"/>
            <w:vAlign w:val="bottom"/>
          </w:tcPr>
          <w:p w14:paraId="4F21E3F6" w14:textId="77777777" w:rsidR="00B449D0" w:rsidRDefault="00175344">
            <w:pPr>
              <w:pStyle w:val="SummaryPortfolioTitle-BP2"/>
            </w:pPr>
            <w:r>
              <w:t>HEALTH AND AGED CARE</w:t>
            </w:r>
          </w:p>
        </w:tc>
        <w:tc>
          <w:tcPr>
            <w:tcW w:w="850" w:type="dxa"/>
            <w:tcBorders>
              <w:top w:val="single" w:sz="4" w:space="0" w:color="auto"/>
            </w:tcBorders>
          </w:tcPr>
          <w:p w14:paraId="623327E9" w14:textId="77777777" w:rsidR="00B449D0" w:rsidRDefault="00B449D0">
            <w:pPr>
              <w:pStyle w:val="MeasureTableTextRightAlignedBefore6ptAfter1pt"/>
            </w:pPr>
          </w:p>
        </w:tc>
        <w:tc>
          <w:tcPr>
            <w:tcW w:w="850" w:type="dxa"/>
            <w:tcBorders>
              <w:top w:val="single" w:sz="4" w:space="0" w:color="auto"/>
            </w:tcBorders>
            <w:shd w:val="clear" w:color="auto" w:fill="E6F2FF"/>
          </w:tcPr>
          <w:p w14:paraId="5F8F03CA" w14:textId="77777777" w:rsidR="00B449D0" w:rsidRDefault="00B449D0">
            <w:pPr>
              <w:pStyle w:val="MeasureTableTextRightAlignedBefore6ptAfter1pt"/>
            </w:pPr>
          </w:p>
        </w:tc>
        <w:tc>
          <w:tcPr>
            <w:tcW w:w="850" w:type="dxa"/>
            <w:tcBorders>
              <w:top w:val="single" w:sz="4" w:space="0" w:color="auto"/>
            </w:tcBorders>
          </w:tcPr>
          <w:p w14:paraId="0C9136AD" w14:textId="77777777" w:rsidR="00B449D0" w:rsidRDefault="00B449D0">
            <w:pPr>
              <w:pStyle w:val="MeasureTableTextRightAlignedBefore6ptAfter1pt"/>
            </w:pPr>
          </w:p>
        </w:tc>
        <w:tc>
          <w:tcPr>
            <w:tcW w:w="850" w:type="dxa"/>
            <w:tcBorders>
              <w:top w:val="single" w:sz="4" w:space="0" w:color="auto"/>
            </w:tcBorders>
          </w:tcPr>
          <w:p w14:paraId="39EB399B" w14:textId="77777777" w:rsidR="00B449D0" w:rsidRDefault="00B449D0">
            <w:pPr>
              <w:pStyle w:val="MeasureTableTextRightAlignedBefore6ptAfter1pt"/>
            </w:pPr>
          </w:p>
        </w:tc>
        <w:tc>
          <w:tcPr>
            <w:tcW w:w="850" w:type="dxa"/>
            <w:tcBorders>
              <w:top w:val="single" w:sz="4" w:space="0" w:color="auto"/>
            </w:tcBorders>
          </w:tcPr>
          <w:p w14:paraId="100DAFFA" w14:textId="77777777" w:rsidR="00B449D0" w:rsidRDefault="00B449D0">
            <w:pPr>
              <w:pStyle w:val="MeasureTableTextRightAlignedBefore6ptAfter1pt"/>
            </w:pPr>
          </w:p>
        </w:tc>
      </w:tr>
      <w:tr w:rsidR="00B449D0" w14:paraId="7F1CFC28" w14:textId="77777777" w:rsidTr="00301E48">
        <w:tc>
          <w:tcPr>
            <w:tcW w:w="3471" w:type="dxa"/>
            <w:vAlign w:val="bottom"/>
          </w:tcPr>
          <w:p w14:paraId="33178E73" w14:textId="77777777" w:rsidR="00B449D0" w:rsidRDefault="00175344">
            <w:pPr>
              <w:pStyle w:val="SummaryAgencyTitle-BP2"/>
            </w:pPr>
            <w:r>
              <w:t>Aged Care Quality and Safety Commission</w:t>
            </w:r>
          </w:p>
        </w:tc>
        <w:tc>
          <w:tcPr>
            <w:tcW w:w="850" w:type="dxa"/>
          </w:tcPr>
          <w:p w14:paraId="29C0954A" w14:textId="77777777" w:rsidR="00B449D0" w:rsidRDefault="00B449D0">
            <w:pPr>
              <w:pStyle w:val="SummaryAgencyTitle-BP2"/>
            </w:pPr>
          </w:p>
        </w:tc>
        <w:tc>
          <w:tcPr>
            <w:tcW w:w="850" w:type="dxa"/>
            <w:shd w:val="clear" w:color="auto" w:fill="E6F2FF"/>
          </w:tcPr>
          <w:p w14:paraId="5C2C049C" w14:textId="77777777" w:rsidR="00B449D0" w:rsidRDefault="00B449D0">
            <w:pPr>
              <w:pStyle w:val="SummaryAgencyTitle-BP2"/>
            </w:pPr>
          </w:p>
        </w:tc>
        <w:tc>
          <w:tcPr>
            <w:tcW w:w="850" w:type="dxa"/>
          </w:tcPr>
          <w:p w14:paraId="1FB9AE83" w14:textId="77777777" w:rsidR="00B449D0" w:rsidRDefault="00B449D0">
            <w:pPr>
              <w:pStyle w:val="SummaryAgencyTitle-BP2"/>
            </w:pPr>
          </w:p>
        </w:tc>
        <w:tc>
          <w:tcPr>
            <w:tcW w:w="850" w:type="dxa"/>
          </w:tcPr>
          <w:p w14:paraId="3168A943" w14:textId="77777777" w:rsidR="00B449D0" w:rsidRDefault="00B449D0">
            <w:pPr>
              <w:pStyle w:val="SummaryAgencyTitle-BP2"/>
            </w:pPr>
          </w:p>
        </w:tc>
        <w:tc>
          <w:tcPr>
            <w:tcW w:w="850" w:type="dxa"/>
          </w:tcPr>
          <w:p w14:paraId="173248BB" w14:textId="77777777" w:rsidR="00B449D0" w:rsidRDefault="00B449D0">
            <w:pPr>
              <w:pStyle w:val="SummaryAgencyTitle-BP2"/>
            </w:pPr>
          </w:p>
        </w:tc>
      </w:tr>
      <w:tr w:rsidR="00B449D0" w14:paraId="323EDA9F" w14:textId="77777777" w:rsidTr="00301E48">
        <w:tc>
          <w:tcPr>
            <w:tcW w:w="3471" w:type="dxa"/>
            <w:vAlign w:val="bottom"/>
          </w:tcPr>
          <w:p w14:paraId="16027CA6" w14:textId="77777777" w:rsidR="00B449D0" w:rsidRDefault="00175344">
            <w:pPr>
              <w:pStyle w:val="SummaryMeasureTitlewithTheme"/>
            </w:pPr>
            <w:r>
              <w:t>Ensuring the Viability and Quality of Aged Care</w:t>
            </w:r>
          </w:p>
        </w:tc>
        <w:tc>
          <w:tcPr>
            <w:tcW w:w="850" w:type="dxa"/>
            <w:vAlign w:val="bottom"/>
          </w:tcPr>
          <w:p w14:paraId="7874B85B" w14:textId="1D6FC94C" w:rsidR="00B449D0" w:rsidRDefault="00076D78">
            <w:pPr>
              <w:pStyle w:val="Summarytabletextrightaligned"/>
            </w:pPr>
            <w:r>
              <w:noBreakHyphen/>
            </w:r>
          </w:p>
        </w:tc>
        <w:tc>
          <w:tcPr>
            <w:tcW w:w="850" w:type="dxa"/>
            <w:shd w:val="clear" w:color="auto" w:fill="E6F2FF"/>
            <w:vAlign w:val="bottom"/>
          </w:tcPr>
          <w:p w14:paraId="30D162E9" w14:textId="77777777" w:rsidR="00B449D0" w:rsidRDefault="00175344">
            <w:pPr>
              <w:pStyle w:val="Summarytabletextrightaligned"/>
            </w:pPr>
            <w:r>
              <w:t>1.3</w:t>
            </w:r>
          </w:p>
        </w:tc>
        <w:tc>
          <w:tcPr>
            <w:tcW w:w="850" w:type="dxa"/>
            <w:vAlign w:val="bottom"/>
          </w:tcPr>
          <w:p w14:paraId="6BCC5531" w14:textId="77777777" w:rsidR="00B449D0" w:rsidRDefault="00175344">
            <w:pPr>
              <w:pStyle w:val="Summarytabletextrightaligned"/>
            </w:pPr>
            <w:r>
              <w:t>1.4</w:t>
            </w:r>
          </w:p>
        </w:tc>
        <w:tc>
          <w:tcPr>
            <w:tcW w:w="850" w:type="dxa"/>
            <w:vAlign w:val="bottom"/>
          </w:tcPr>
          <w:p w14:paraId="18ED1CC2" w14:textId="25D97653" w:rsidR="00B449D0" w:rsidRDefault="00076D78">
            <w:pPr>
              <w:pStyle w:val="Summarytabletextrightaligned"/>
            </w:pPr>
            <w:r>
              <w:noBreakHyphen/>
            </w:r>
          </w:p>
        </w:tc>
        <w:tc>
          <w:tcPr>
            <w:tcW w:w="850" w:type="dxa"/>
            <w:vAlign w:val="bottom"/>
          </w:tcPr>
          <w:p w14:paraId="5B74FDF1" w14:textId="7E4B5886" w:rsidR="00B449D0" w:rsidRDefault="00076D78">
            <w:pPr>
              <w:pStyle w:val="Summarytabletextrightaligned"/>
            </w:pPr>
            <w:r>
              <w:noBreakHyphen/>
            </w:r>
          </w:p>
        </w:tc>
      </w:tr>
      <w:tr w:rsidR="00B449D0" w14:paraId="02A06E89" w14:textId="77777777" w:rsidTr="00301E48">
        <w:tc>
          <w:tcPr>
            <w:tcW w:w="3471" w:type="dxa"/>
            <w:vAlign w:val="bottom"/>
          </w:tcPr>
          <w:p w14:paraId="3055D7F6" w14:textId="77777777" w:rsidR="00B449D0" w:rsidRDefault="00175344">
            <w:pPr>
              <w:pStyle w:val="SummaryAgencyTitle-BP2"/>
            </w:pPr>
            <w:r>
              <w:t>Australian Digital Health Agency</w:t>
            </w:r>
          </w:p>
        </w:tc>
        <w:tc>
          <w:tcPr>
            <w:tcW w:w="850" w:type="dxa"/>
          </w:tcPr>
          <w:p w14:paraId="684AB5CE" w14:textId="77777777" w:rsidR="00B449D0" w:rsidRDefault="00B449D0">
            <w:pPr>
              <w:pStyle w:val="SummaryAgencyTitle-BP2"/>
            </w:pPr>
          </w:p>
        </w:tc>
        <w:tc>
          <w:tcPr>
            <w:tcW w:w="850" w:type="dxa"/>
            <w:shd w:val="clear" w:color="auto" w:fill="E6F2FF"/>
          </w:tcPr>
          <w:p w14:paraId="152D9DF1" w14:textId="77777777" w:rsidR="00B449D0" w:rsidRDefault="00B449D0">
            <w:pPr>
              <w:pStyle w:val="SummaryAgencyTitle-BP2"/>
            </w:pPr>
          </w:p>
        </w:tc>
        <w:tc>
          <w:tcPr>
            <w:tcW w:w="850" w:type="dxa"/>
          </w:tcPr>
          <w:p w14:paraId="1210F4EE" w14:textId="77777777" w:rsidR="00B449D0" w:rsidRDefault="00B449D0">
            <w:pPr>
              <w:pStyle w:val="SummaryAgencyTitle-BP2"/>
            </w:pPr>
          </w:p>
        </w:tc>
        <w:tc>
          <w:tcPr>
            <w:tcW w:w="850" w:type="dxa"/>
          </w:tcPr>
          <w:p w14:paraId="2F9101CA" w14:textId="77777777" w:rsidR="00B449D0" w:rsidRDefault="00B449D0">
            <w:pPr>
              <w:pStyle w:val="SummaryAgencyTitle-BP2"/>
            </w:pPr>
          </w:p>
        </w:tc>
        <w:tc>
          <w:tcPr>
            <w:tcW w:w="850" w:type="dxa"/>
          </w:tcPr>
          <w:p w14:paraId="68FE661E" w14:textId="77777777" w:rsidR="00B449D0" w:rsidRDefault="00B449D0">
            <w:pPr>
              <w:pStyle w:val="SummaryAgencyTitle-BP2"/>
            </w:pPr>
          </w:p>
        </w:tc>
      </w:tr>
      <w:tr w:rsidR="00B449D0" w14:paraId="28DF8424" w14:textId="77777777" w:rsidTr="00301E48">
        <w:tc>
          <w:tcPr>
            <w:tcW w:w="3471" w:type="dxa"/>
            <w:vAlign w:val="bottom"/>
          </w:tcPr>
          <w:p w14:paraId="5FBD24E1" w14:textId="77777777" w:rsidR="00B449D0" w:rsidRDefault="00175344">
            <w:pPr>
              <w:pStyle w:val="SummaryMeasureTitlewithTheme"/>
            </w:pPr>
            <w:r>
              <w:t>Ensuring the Viability and Quality of Aged Care</w:t>
            </w:r>
          </w:p>
        </w:tc>
        <w:tc>
          <w:tcPr>
            <w:tcW w:w="850" w:type="dxa"/>
            <w:vAlign w:val="bottom"/>
          </w:tcPr>
          <w:p w14:paraId="763CC4E6" w14:textId="5161DF3A" w:rsidR="00B449D0" w:rsidRDefault="00076D78">
            <w:pPr>
              <w:pStyle w:val="Summarytabletextrightaligned"/>
            </w:pPr>
            <w:r>
              <w:noBreakHyphen/>
            </w:r>
          </w:p>
        </w:tc>
        <w:tc>
          <w:tcPr>
            <w:tcW w:w="850" w:type="dxa"/>
            <w:shd w:val="clear" w:color="auto" w:fill="E6F2FF"/>
            <w:vAlign w:val="bottom"/>
          </w:tcPr>
          <w:p w14:paraId="145A9163" w14:textId="77777777" w:rsidR="00B449D0" w:rsidRDefault="00175344">
            <w:pPr>
              <w:pStyle w:val="Summarytabletextrightaligned"/>
            </w:pPr>
            <w:r>
              <w:t>1.1</w:t>
            </w:r>
          </w:p>
        </w:tc>
        <w:tc>
          <w:tcPr>
            <w:tcW w:w="850" w:type="dxa"/>
            <w:vAlign w:val="bottom"/>
          </w:tcPr>
          <w:p w14:paraId="718830BE" w14:textId="303E6FAF" w:rsidR="00B449D0" w:rsidRDefault="00076D78">
            <w:pPr>
              <w:pStyle w:val="Summarytabletextrightaligned"/>
            </w:pPr>
            <w:r>
              <w:noBreakHyphen/>
            </w:r>
          </w:p>
        </w:tc>
        <w:tc>
          <w:tcPr>
            <w:tcW w:w="850" w:type="dxa"/>
            <w:vAlign w:val="bottom"/>
          </w:tcPr>
          <w:p w14:paraId="10C2E88E" w14:textId="0D893429" w:rsidR="00B449D0" w:rsidRDefault="00076D78">
            <w:pPr>
              <w:pStyle w:val="Summarytabletextrightaligned"/>
            </w:pPr>
            <w:r>
              <w:noBreakHyphen/>
            </w:r>
          </w:p>
        </w:tc>
        <w:tc>
          <w:tcPr>
            <w:tcW w:w="850" w:type="dxa"/>
            <w:vAlign w:val="bottom"/>
          </w:tcPr>
          <w:p w14:paraId="2060490F" w14:textId="74AB7F7C" w:rsidR="00B449D0" w:rsidRDefault="00076D78">
            <w:pPr>
              <w:pStyle w:val="Summarytabletextrightaligned"/>
            </w:pPr>
            <w:r>
              <w:noBreakHyphen/>
            </w:r>
          </w:p>
        </w:tc>
      </w:tr>
      <w:tr w:rsidR="00B449D0" w14:paraId="60C24150" w14:textId="77777777" w:rsidTr="00301E48">
        <w:tc>
          <w:tcPr>
            <w:tcW w:w="3471" w:type="dxa"/>
            <w:vAlign w:val="bottom"/>
          </w:tcPr>
          <w:p w14:paraId="21DD1BB1" w14:textId="77777777" w:rsidR="00B449D0" w:rsidRDefault="00175344">
            <w:pPr>
              <w:pStyle w:val="SummaryAgencyTitle-BP2"/>
            </w:pPr>
            <w:r>
              <w:t>Australian Sports Commission</w:t>
            </w:r>
          </w:p>
        </w:tc>
        <w:tc>
          <w:tcPr>
            <w:tcW w:w="850" w:type="dxa"/>
          </w:tcPr>
          <w:p w14:paraId="3A7C1B22" w14:textId="77777777" w:rsidR="00B449D0" w:rsidRDefault="00B449D0">
            <w:pPr>
              <w:pStyle w:val="SummaryAgencyTitle-BP2"/>
            </w:pPr>
          </w:p>
        </w:tc>
        <w:tc>
          <w:tcPr>
            <w:tcW w:w="850" w:type="dxa"/>
            <w:shd w:val="clear" w:color="auto" w:fill="E6F2FF"/>
          </w:tcPr>
          <w:p w14:paraId="4629CC48" w14:textId="77777777" w:rsidR="00B449D0" w:rsidRDefault="00B449D0">
            <w:pPr>
              <w:pStyle w:val="SummaryAgencyTitle-BP2"/>
            </w:pPr>
          </w:p>
        </w:tc>
        <w:tc>
          <w:tcPr>
            <w:tcW w:w="850" w:type="dxa"/>
          </w:tcPr>
          <w:p w14:paraId="4C8EB355" w14:textId="77777777" w:rsidR="00B449D0" w:rsidRDefault="00B449D0">
            <w:pPr>
              <w:pStyle w:val="SummaryAgencyTitle-BP2"/>
            </w:pPr>
          </w:p>
        </w:tc>
        <w:tc>
          <w:tcPr>
            <w:tcW w:w="850" w:type="dxa"/>
          </w:tcPr>
          <w:p w14:paraId="1982A12B" w14:textId="77777777" w:rsidR="00B449D0" w:rsidRDefault="00B449D0">
            <w:pPr>
              <w:pStyle w:val="SummaryAgencyTitle-BP2"/>
            </w:pPr>
          </w:p>
        </w:tc>
        <w:tc>
          <w:tcPr>
            <w:tcW w:w="850" w:type="dxa"/>
          </w:tcPr>
          <w:p w14:paraId="436DA791" w14:textId="77777777" w:rsidR="00B449D0" w:rsidRDefault="00B449D0">
            <w:pPr>
              <w:pStyle w:val="SummaryAgencyTitle-BP2"/>
            </w:pPr>
          </w:p>
        </w:tc>
      </w:tr>
      <w:tr w:rsidR="00B449D0" w14:paraId="2AF71522" w14:textId="77777777" w:rsidTr="00301E48">
        <w:tc>
          <w:tcPr>
            <w:tcW w:w="3471" w:type="dxa"/>
            <w:vAlign w:val="bottom"/>
          </w:tcPr>
          <w:p w14:paraId="17507986" w14:textId="77777777" w:rsidR="00B449D0" w:rsidRDefault="00175344">
            <w:pPr>
              <w:pStyle w:val="SummaryMeasureTitlewithTheme"/>
            </w:pPr>
            <w:r>
              <w:t>Investment in Sports</w:t>
            </w:r>
          </w:p>
        </w:tc>
        <w:tc>
          <w:tcPr>
            <w:tcW w:w="850" w:type="dxa"/>
            <w:vAlign w:val="bottom"/>
          </w:tcPr>
          <w:p w14:paraId="0552CCE5" w14:textId="1A994925" w:rsidR="00B449D0" w:rsidRDefault="00076D78">
            <w:pPr>
              <w:pStyle w:val="Summarytabletextrightaligned"/>
            </w:pPr>
            <w:r>
              <w:noBreakHyphen/>
            </w:r>
          </w:p>
        </w:tc>
        <w:tc>
          <w:tcPr>
            <w:tcW w:w="850" w:type="dxa"/>
            <w:shd w:val="clear" w:color="auto" w:fill="E6F2FF"/>
            <w:vAlign w:val="bottom"/>
          </w:tcPr>
          <w:p w14:paraId="548B1E0B" w14:textId="77777777" w:rsidR="00B449D0" w:rsidRDefault="00175344">
            <w:pPr>
              <w:pStyle w:val="Summarytabletextrightaligned"/>
            </w:pPr>
            <w:r>
              <w:t>0.6</w:t>
            </w:r>
          </w:p>
        </w:tc>
        <w:tc>
          <w:tcPr>
            <w:tcW w:w="850" w:type="dxa"/>
            <w:vAlign w:val="bottom"/>
          </w:tcPr>
          <w:p w14:paraId="780C7651" w14:textId="77777777" w:rsidR="00B449D0" w:rsidRDefault="00175344">
            <w:pPr>
              <w:pStyle w:val="Summarytabletextrightaligned"/>
            </w:pPr>
            <w:r>
              <w:t>0.6</w:t>
            </w:r>
          </w:p>
        </w:tc>
        <w:tc>
          <w:tcPr>
            <w:tcW w:w="850" w:type="dxa"/>
            <w:vAlign w:val="bottom"/>
          </w:tcPr>
          <w:p w14:paraId="1123F7F7" w14:textId="2C8E45A9" w:rsidR="00B449D0" w:rsidRDefault="00076D78">
            <w:pPr>
              <w:pStyle w:val="Summarytabletextrightaligned"/>
            </w:pPr>
            <w:r>
              <w:noBreakHyphen/>
            </w:r>
          </w:p>
        </w:tc>
        <w:tc>
          <w:tcPr>
            <w:tcW w:w="850" w:type="dxa"/>
            <w:vAlign w:val="bottom"/>
          </w:tcPr>
          <w:p w14:paraId="2BEC7FFF" w14:textId="22B4908E" w:rsidR="00B449D0" w:rsidRDefault="00076D78">
            <w:pPr>
              <w:pStyle w:val="Summarytabletextrightaligned"/>
            </w:pPr>
            <w:r>
              <w:noBreakHyphen/>
            </w:r>
          </w:p>
        </w:tc>
      </w:tr>
      <w:tr w:rsidR="00B449D0" w14:paraId="304D7A8F" w14:textId="77777777" w:rsidTr="00301E48">
        <w:tc>
          <w:tcPr>
            <w:tcW w:w="3471" w:type="dxa"/>
            <w:vAlign w:val="bottom"/>
          </w:tcPr>
          <w:p w14:paraId="63F2755E" w14:textId="77777777" w:rsidR="00B449D0" w:rsidRDefault="00175344">
            <w:pPr>
              <w:pStyle w:val="SummaryAgencyTitle-BP2"/>
            </w:pPr>
            <w:r>
              <w:t>Department of Health and Aged Care</w:t>
            </w:r>
          </w:p>
        </w:tc>
        <w:tc>
          <w:tcPr>
            <w:tcW w:w="850" w:type="dxa"/>
          </w:tcPr>
          <w:p w14:paraId="678D83F1" w14:textId="77777777" w:rsidR="00B449D0" w:rsidRDefault="00B449D0">
            <w:pPr>
              <w:pStyle w:val="SummaryAgencyTitle-BP2"/>
            </w:pPr>
          </w:p>
        </w:tc>
        <w:tc>
          <w:tcPr>
            <w:tcW w:w="850" w:type="dxa"/>
            <w:shd w:val="clear" w:color="auto" w:fill="E6F2FF"/>
          </w:tcPr>
          <w:p w14:paraId="3B0BAADD" w14:textId="77777777" w:rsidR="00B449D0" w:rsidRDefault="00B449D0">
            <w:pPr>
              <w:pStyle w:val="SummaryAgencyTitle-BP2"/>
            </w:pPr>
          </w:p>
        </w:tc>
        <w:tc>
          <w:tcPr>
            <w:tcW w:w="850" w:type="dxa"/>
          </w:tcPr>
          <w:p w14:paraId="49A6B2DB" w14:textId="77777777" w:rsidR="00B449D0" w:rsidRDefault="00B449D0">
            <w:pPr>
              <w:pStyle w:val="SummaryAgencyTitle-BP2"/>
            </w:pPr>
          </w:p>
        </w:tc>
        <w:tc>
          <w:tcPr>
            <w:tcW w:w="850" w:type="dxa"/>
          </w:tcPr>
          <w:p w14:paraId="1B285BD8" w14:textId="77777777" w:rsidR="00B449D0" w:rsidRDefault="00B449D0">
            <w:pPr>
              <w:pStyle w:val="SummaryAgencyTitle-BP2"/>
            </w:pPr>
          </w:p>
        </w:tc>
        <w:tc>
          <w:tcPr>
            <w:tcW w:w="850" w:type="dxa"/>
          </w:tcPr>
          <w:p w14:paraId="7658309A" w14:textId="77777777" w:rsidR="00B449D0" w:rsidRDefault="00B449D0">
            <w:pPr>
              <w:pStyle w:val="SummaryAgencyTitle-BP2"/>
            </w:pPr>
          </w:p>
        </w:tc>
      </w:tr>
      <w:tr w:rsidR="00B449D0" w14:paraId="58520885" w14:textId="77777777" w:rsidTr="00301E48">
        <w:tc>
          <w:tcPr>
            <w:tcW w:w="3471" w:type="dxa"/>
            <w:vAlign w:val="bottom"/>
          </w:tcPr>
          <w:p w14:paraId="2763881B" w14:textId="77777777" w:rsidR="00B449D0" w:rsidRDefault="00175344">
            <w:pPr>
              <w:pStyle w:val="SummaryMeasureTitlewithTheme"/>
            </w:pPr>
            <w:r>
              <w:t>10‑Year National Action Plan for the Health and Wellbeing of LGBTIQA+ People</w:t>
            </w:r>
          </w:p>
        </w:tc>
        <w:tc>
          <w:tcPr>
            <w:tcW w:w="850" w:type="dxa"/>
            <w:vAlign w:val="bottom"/>
          </w:tcPr>
          <w:p w14:paraId="30694A94" w14:textId="04F43A7B" w:rsidR="00B449D0" w:rsidRDefault="00076D78">
            <w:pPr>
              <w:pStyle w:val="Summarytabletextrightaligned"/>
            </w:pPr>
            <w:r>
              <w:noBreakHyphen/>
            </w:r>
          </w:p>
        </w:tc>
        <w:tc>
          <w:tcPr>
            <w:tcW w:w="850" w:type="dxa"/>
            <w:shd w:val="clear" w:color="auto" w:fill="E6F2FF"/>
            <w:vAlign w:val="bottom"/>
          </w:tcPr>
          <w:p w14:paraId="525ED047" w14:textId="77777777" w:rsidR="00B449D0" w:rsidRDefault="00175344">
            <w:pPr>
              <w:pStyle w:val="Summarytabletextrightaligned"/>
            </w:pPr>
            <w:r>
              <w:t>2.4</w:t>
            </w:r>
          </w:p>
        </w:tc>
        <w:tc>
          <w:tcPr>
            <w:tcW w:w="850" w:type="dxa"/>
            <w:vAlign w:val="bottom"/>
          </w:tcPr>
          <w:p w14:paraId="1A691CB2" w14:textId="77777777" w:rsidR="00B449D0" w:rsidRDefault="00175344">
            <w:pPr>
              <w:pStyle w:val="Summarytabletextrightaligned"/>
            </w:pPr>
            <w:r>
              <w:t>5.5</w:t>
            </w:r>
          </w:p>
        </w:tc>
        <w:tc>
          <w:tcPr>
            <w:tcW w:w="850" w:type="dxa"/>
            <w:vAlign w:val="bottom"/>
          </w:tcPr>
          <w:p w14:paraId="4D7E9787" w14:textId="77777777" w:rsidR="00B449D0" w:rsidRDefault="00175344">
            <w:pPr>
              <w:pStyle w:val="Summarytabletextrightaligned"/>
            </w:pPr>
            <w:r>
              <w:t>4.6</w:t>
            </w:r>
          </w:p>
        </w:tc>
        <w:tc>
          <w:tcPr>
            <w:tcW w:w="850" w:type="dxa"/>
            <w:vAlign w:val="bottom"/>
          </w:tcPr>
          <w:p w14:paraId="0C87FF19" w14:textId="77777777" w:rsidR="00B449D0" w:rsidRDefault="00175344">
            <w:pPr>
              <w:pStyle w:val="Summarytabletextrightaligned"/>
            </w:pPr>
            <w:r>
              <w:t>3.1</w:t>
            </w:r>
          </w:p>
        </w:tc>
      </w:tr>
      <w:tr w:rsidR="00B449D0" w14:paraId="0571F469" w14:textId="77777777" w:rsidTr="00301E48">
        <w:tc>
          <w:tcPr>
            <w:tcW w:w="3471" w:type="dxa"/>
            <w:vAlign w:val="bottom"/>
          </w:tcPr>
          <w:p w14:paraId="5E1DB71F" w14:textId="77777777" w:rsidR="00B449D0" w:rsidRDefault="00175344">
            <w:pPr>
              <w:pStyle w:val="SummaryMeasureTitlewithTheme"/>
            </w:pPr>
            <w:r>
              <w:t>Adding Maternal Vaccine for Respiratory Syncytial Virus to the National Immunisation Program</w:t>
            </w:r>
          </w:p>
        </w:tc>
        <w:tc>
          <w:tcPr>
            <w:tcW w:w="850" w:type="dxa"/>
            <w:vAlign w:val="bottom"/>
          </w:tcPr>
          <w:p w14:paraId="3507142D" w14:textId="0DD69100" w:rsidR="00B449D0" w:rsidRDefault="00076D78">
            <w:pPr>
              <w:pStyle w:val="Summarytabletextrightaligned"/>
            </w:pPr>
            <w:r>
              <w:noBreakHyphen/>
            </w:r>
          </w:p>
        </w:tc>
        <w:tc>
          <w:tcPr>
            <w:tcW w:w="850" w:type="dxa"/>
            <w:shd w:val="clear" w:color="auto" w:fill="E6F2FF"/>
            <w:vAlign w:val="bottom"/>
          </w:tcPr>
          <w:p w14:paraId="6B9DDC1C" w14:textId="77777777" w:rsidR="00B449D0" w:rsidRDefault="00175344">
            <w:pPr>
              <w:pStyle w:val="Summarytabletextrightaligned"/>
            </w:pPr>
            <w:r>
              <w:t>43.3</w:t>
            </w:r>
          </w:p>
        </w:tc>
        <w:tc>
          <w:tcPr>
            <w:tcW w:w="850" w:type="dxa"/>
            <w:vAlign w:val="bottom"/>
          </w:tcPr>
          <w:p w14:paraId="22120F3E" w14:textId="77777777" w:rsidR="00B449D0" w:rsidRDefault="00175344">
            <w:pPr>
              <w:pStyle w:val="Summarytabletextrightaligned"/>
            </w:pPr>
            <w:r>
              <w:t>41.3</w:t>
            </w:r>
          </w:p>
        </w:tc>
        <w:tc>
          <w:tcPr>
            <w:tcW w:w="850" w:type="dxa"/>
            <w:vAlign w:val="bottom"/>
          </w:tcPr>
          <w:p w14:paraId="29DF74BF" w14:textId="77777777" w:rsidR="00B449D0" w:rsidRDefault="00175344">
            <w:pPr>
              <w:pStyle w:val="Summarytabletextrightaligned"/>
            </w:pPr>
            <w:r>
              <w:t>41.9</w:t>
            </w:r>
          </w:p>
        </w:tc>
        <w:tc>
          <w:tcPr>
            <w:tcW w:w="850" w:type="dxa"/>
            <w:vAlign w:val="bottom"/>
          </w:tcPr>
          <w:p w14:paraId="7C8E9834" w14:textId="77777777" w:rsidR="00B449D0" w:rsidRDefault="00175344">
            <w:pPr>
              <w:pStyle w:val="Summarytabletextrightaligned"/>
            </w:pPr>
            <w:r>
              <w:t>42.6</w:t>
            </w:r>
          </w:p>
        </w:tc>
      </w:tr>
      <w:tr w:rsidR="00B449D0" w14:paraId="6F94E056" w14:textId="77777777" w:rsidTr="00301E48">
        <w:tc>
          <w:tcPr>
            <w:tcW w:w="3471" w:type="dxa"/>
            <w:vAlign w:val="bottom"/>
          </w:tcPr>
          <w:p w14:paraId="7FBA1ACF" w14:textId="77777777" w:rsidR="00B449D0" w:rsidRDefault="00175344">
            <w:pPr>
              <w:pStyle w:val="SummaryMeasureTitlewithTheme"/>
            </w:pPr>
            <w:r>
              <w:t>An Effective and Clinically Appropriate Medicare Benefits Schedule</w:t>
            </w:r>
          </w:p>
        </w:tc>
        <w:tc>
          <w:tcPr>
            <w:tcW w:w="850" w:type="dxa"/>
            <w:vAlign w:val="bottom"/>
          </w:tcPr>
          <w:p w14:paraId="21A38005" w14:textId="470C7768" w:rsidR="00B449D0" w:rsidRDefault="00076D78">
            <w:pPr>
              <w:pStyle w:val="Summarytabletextrightaligned"/>
            </w:pPr>
            <w:r>
              <w:noBreakHyphen/>
            </w:r>
          </w:p>
        </w:tc>
        <w:tc>
          <w:tcPr>
            <w:tcW w:w="850" w:type="dxa"/>
            <w:shd w:val="clear" w:color="auto" w:fill="E6F2FF"/>
            <w:vAlign w:val="bottom"/>
          </w:tcPr>
          <w:p w14:paraId="18730D5F" w14:textId="77777777" w:rsidR="00B449D0" w:rsidRDefault="00175344">
            <w:pPr>
              <w:pStyle w:val="Summarytabletextrightaligned"/>
            </w:pPr>
            <w:r>
              <w:t>61.4</w:t>
            </w:r>
          </w:p>
        </w:tc>
        <w:tc>
          <w:tcPr>
            <w:tcW w:w="850" w:type="dxa"/>
            <w:vAlign w:val="bottom"/>
          </w:tcPr>
          <w:p w14:paraId="10D4A8EA" w14:textId="77777777" w:rsidR="00B449D0" w:rsidRDefault="00175344">
            <w:pPr>
              <w:pStyle w:val="Summarytabletextrightaligned"/>
            </w:pPr>
            <w:r>
              <w:t>48.1</w:t>
            </w:r>
          </w:p>
        </w:tc>
        <w:tc>
          <w:tcPr>
            <w:tcW w:w="850" w:type="dxa"/>
            <w:vAlign w:val="bottom"/>
          </w:tcPr>
          <w:p w14:paraId="4960E3B6" w14:textId="77777777" w:rsidR="00B449D0" w:rsidRDefault="00175344">
            <w:pPr>
              <w:pStyle w:val="Summarytabletextrightaligned"/>
            </w:pPr>
            <w:r>
              <w:t>59.9</w:t>
            </w:r>
          </w:p>
        </w:tc>
        <w:tc>
          <w:tcPr>
            <w:tcW w:w="850" w:type="dxa"/>
            <w:vAlign w:val="bottom"/>
          </w:tcPr>
          <w:p w14:paraId="250C9AA1" w14:textId="77777777" w:rsidR="00B449D0" w:rsidRDefault="00175344">
            <w:pPr>
              <w:pStyle w:val="Summarytabletextrightaligned"/>
            </w:pPr>
            <w:r>
              <w:t>69.3</w:t>
            </w:r>
          </w:p>
        </w:tc>
      </w:tr>
      <w:tr w:rsidR="00B449D0" w14:paraId="41B44E8F" w14:textId="77777777" w:rsidTr="00301E48">
        <w:tc>
          <w:tcPr>
            <w:tcW w:w="3471" w:type="dxa"/>
            <w:vAlign w:val="bottom"/>
          </w:tcPr>
          <w:p w14:paraId="3D6F38E1" w14:textId="77777777" w:rsidR="00B449D0" w:rsidRDefault="00175344">
            <w:pPr>
              <w:pStyle w:val="SummaryMeasureTitlewithTheme"/>
            </w:pPr>
            <w:r>
              <w:t>Assistance for Recent Arrivals from Conflict Zones(b)</w:t>
            </w:r>
          </w:p>
        </w:tc>
        <w:tc>
          <w:tcPr>
            <w:tcW w:w="850" w:type="dxa"/>
            <w:vAlign w:val="bottom"/>
          </w:tcPr>
          <w:p w14:paraId="6EE5F078" w14:textId="71B171C7" w:rsidR="00B449D0" w:rsidRDefault="00076D78">
            <w:pPr>
              <w:pStyle w:val="Summarytabletextrightaligned"/>
            </w:pPr>
            <w:r>
              <w:noBreakHyphen/>
            </w:r>
          </w:p>
        </w:tc>
        <w:tc>
          <w:tcPr>
            <w:tcW w:w="850" w:type="dxa"/>
            <w:shd w:val="clear" w:color="auto" w:fill="E6F2FF"/>
            <w:vAlign w:val="bottom"/>
          </w:tcPr>
          <w:p w14:paraId="0647188B" w14:textId="77777777" w:rsidR="00B449D0" w:rsidRDefault="00175344">
            <w:pPr>
              <w:pStyle w:val="Summarytabletextrightaligned"/>
            </w:pPr>
            <w:r>
              <w:t>0.2</w:t>
            </w:r>
          </w:p>
        </w:tc>
        <w:tc>
          <w:tcPr>
            <w:tcW w:w="850" w:type="dxa"/>
            <w:vAlign w:val="bottom"/>
          </w:tcPr>
          <w:p w14:paraId="7085442A" w14:textId="77777777" w:rsidR="00B449D0" w:rsidRDefault="00175344">
            <w:pPr>
              <w:pStyle w:val="Summarytabletextrightaligned"/>
            </w:pPr>
            <w:r>
              <w:t>0.9</w:t>
            </w:r>
          </w:p>
        </w:tc>
        <w:tc>
          <w:tcPr>
            <w:tcW w:w="850" w:type="dxa"/>
            <w:vAlign w:val="bottom"/>
          </w:tcPr>
          <w:p w14:paraId="4394FDE3" w14:textId="77777777" w:rsidR="00B449D0" w:rsidRDefault="00175344">
            <w:pPr>
              <w:pStyle w:val="Summarytabletextrightaligned"/>
            </w:pPr>
            <w:r>
              <w:t>1.0</w:t>
            </w:r>
          </w:p>
        </w:tc>
        <w:tc>
          <w:tcPr>
            <w:tcW w:w="850" w:type="dxa"/>
            <w:vAlign w:val="bottom"/>
          </w:tcPr>
          <w:p w14:paraId="45DCC668" w14:textId="77777777" w:rsidR="00B449D0" w:rsidRDefault="00175344">
            <w:pPr>
              <w:pStyle w:val="Summarytabletextrightaligned"/>
            </w:pPr>
            <w:r>
              <w:t>0.9</w:t>
            </w:r>
          </w:p>
        </w:tc>
      </w:tr>
      <w:tr w:rsidR="00B449D0" w14:paraId="411D771C" w14:textId="77777777" w:rsidTr="00301E48">
        <w:tc>
          <w:tcPr>
            <w:tcW w:w="3471" w:type="dxa"/>
            <w:vAlign w:val="bottom"/>
          </w:tcPr>
          <w:p w14:paraId="3D36A86E" w14:textId="77777777" w:rsidR="00B449D0" w:rsidRDefault="00175344">
            <w:pPr>
              <w:pStyle w:val="SummaryMeasureTitlewithTheme"/>
            </w:pPr>
            <w:r>
              <w:t>Eighth Community Pharmacy Agreement</w:t>
            </w:r>
          </w:p>
        </w:tc>
        <w:tc>
          <w:tcPr>
            <w:tcW w:w="850" w:type="dxa"/>
            <w:vAlign w:val="bottom"/>
          </w:tcPr>
          <w:p w14:paraId="74E84DB0" w14:textId="6631B88F" w:rsidR="00B449D0" w:rsidRDefault="00076D78">
            <w:pPr>
              <w:pStyle w:val="Summarytabletextrightaligned"/>
            </w:pPr>
            <w:r>
              <w:noBreakHyphen/>
            </w:r>
          </w:p>
        </w:tc>
        <w:tc>
          <w:tcPr>
            <w:tcW w:w="850" w:type="dxa"/>
            <w:shd w:val="clear" w:color="auto" w:fill="E6F2FF"/>
            <w:vAlign w:val="bottom"/>
          </w:tcPr>
          <w:p w14:paraId="0EF94EF4" w14:textId="47F32F94" w:rsidR="00B449D0" w:rsidRDefault="00076D78">
            <w:pPr>
              <w:pStyle w:val="Summarytabletextrightaligned"/>
            </w:pPr>
            <w:r>
              <w:noBreakHyphen/>
            </w:r>
            <w:r w:rsidR="00175344">
              <w:t>27.9</w:t>
            </w:r>
          </w:p>
        </w:tc>
        <w:tc>
          <w:tcPr>
            <w:tcW w:w="850" w:type="dxa"/>
            <w:vAlign w:val="bottom"/>
          </w:tcPr>
          <w:p w14:paraId="0D569D6B" w14:textId="44310AF8" w:rsidR="00B449D0" w:rsidRDefault="00076D78">
            <w:pPr>
              <w:pStyle w:val="Summarytabletextrightaligned"/>
            </w:pPr>
            <w:r>
              <w:noBreakHyphen/>
            </w:r>
            <w:r w:rsidR="00175344">
              <w:t>38.0</w:t>
            </w:r>
          </w:p>
        </w:tc>
        <w:tc>
          <w:tcPr>
            <w:tcW w:w="850" w:type="dxa"/>
            <w:vAlign w:val="bottom"/>
          </w:tcPr>
          <w:p w14:paraId="4EE1BCE1" w14:textId="1ED2E670" w:rsidR="00B449D0" w:rsidRDefault="00076D78">
            <w:pPr>
              <w:pStyle w:val="Summarytabletextrightaligned"/>
            </w:pPr>
            <w:r>
              <w:noBreakHyphen/>
            </w:r>
            <w:r w:rsidR="00175344">
              <w:t>30.9</w:t>
            </w:r>
          </w:p>
        </w:tc>
        <w:tc>
          <w:tcPr>
            <w:tcW w:w="850" w:type="dxa"/>
            <w:vAlign w:val="bottom"/>
          </w:tcPr>
          <w:p w14:paraId="4517E79E" w14:textId="77777777" w:rsidR="00B449D0" w:rsidRDefault="00175344">
            <w:pPr>
              <w:pStyle w:val="Summarytabletextrightaligned"/>
            </w:pPr>
            <w:r>
              <w:t>10.4</w:t>
            </w:r>
          </w:p>
        </w:tc>
      </w:tr>
      <w:tr w:rsidR="00B449D0" w14:paraId="3A192748" w14:textId="77777777" w:rsidTr="00301E48">
        <w:tc>
          <w:tcPr>
            <w:tcW w:w="3471" w:type="dxa"/>
            <w:vAlign w:val="bottom"/>
          </w:tcPr>
          <w:p w14:paraId="226F376E" w14:textId="77777777" w:rsidR="00B449D0" w:rsidRDefault="00175344">
            <w:pPr>
              <w:pStyle w:val="SummaryMeasureTitlewithTheme"/>
            </w:pPr>
            <w:r>
              <w:t>Ending Gender‑Based Violence – additional investment</w:t>
            </w:r>
          </w:p>
        </w:tc>
        <w:tc>
          <w:tcPr>
            <w:tcW w:w="850" w:type="dxa"/>
            <w:vAlign w:val="bottom"/>
          </w:tcPr>
          <w:p w14:paraId="1FAE2AAA" w14:textId="5761D5BF" w:rsidR="00B449D0" w:rsidRDefault="00076D78">
            <w:pPr>
              <w:pStyle w:val="Summarytabletextrightaligned"/>
            </w:pPr>
            <w:r>
              <w:noBreakHyphen/>
            </w:r>
          </w:p>
        </w:tc>
        <w:tc>
          <w:tcPr>
            <w:tcW w:w="850" w:type="dxa"/>
            <w:shd w:val="clear" w:color="auto" w:fill="E6F2FF"/>
            <w:vAlign w:val="bottom"/>
          </w:tcPr>
          <w:p w14:paraId="77A77BF8" w14:textId="64417CD1" w:rsidR="00B449D0" w:rsidRDefault="00076D78">
            <w:pPr>
              <w:pStyle w:val="Summarytabletextrightaligned"/>
            </w:pPr>
            <w:r>
              <w:noBreakHyphen/>
            </w:r>
          </w:p>
        </w:tc>
        <w:tc>
          <w:tcPr>
            <w:tcW w:w="850" w:type="dxa"/>
            <w:vAlign w:val="bottom"/>
          </w:tcPr>
          <w:p w14:paraId="6F4BCC7B" w14:textId="1D37C43F" w:rsidR="00B449D0" w:rsidRDefault="00076D78">
            <w:pPr>
              <w:pStyle w:val="Summarytabletextrightaligned"/>
            </w:pPr>
            <w:r>
              <w:noBreakHyphen/>
            </w:r>
          </w:p>
        </w:tc>
        <w:tc>
          <w:tcPr>
            <w:tcW w:w="850" w:type="dxa"/>
            <w:vAlign w:val="bottom"/>
          </w:tcPr>
          <w:p w14:paraId="49F08065" w14:textId="17B7EE65" w:rsidR="00B449D0" w:rsidRDefault="00076D78">
            <w:pPr>
              <w:pStyle w:val="Summarytabletextrightaligned"/>
            </w:pPr>
            <w:r>
              <w:noBreakHyphen/>
            </w:r>
          </w:p>
        </w:tc>
        <w:tc>
          <w:tcPr>
            <w:tcW w:w="850" w:type="dxa"/>
            <w:vAlign w:val="bottom"/>
          </w:tcPr>
          <w:p w14:paraId="2A7A8A52" w14:textId="1355D0D0" w:rsidR="00B449D0" w:rsidRDefault="00076D78">
            <w:pPr>
              <w:pStyle w:val="Summarytabletextrightaligned"/>
            </w:pPr>
            <w:r>
              <w:noBreakHyphen/>
            </w:r>
          </w:p>
        </w:tc>
      </w:tr>
      <w:tr w:rsidR="00B449D0" w14:paraId="20BFD48A" w14:textId="77777777" w:rsidTr="00301E48">
        <w:tc>
          <w:tcPr>
            <w:tcW w:w="3471" w:type="dxa"/>
            <w:vAlign w:val="bottom"/>
          </w:tcPr>
          <w:p w14:paraId="7204D789" w14:textId="77777777" w:rsidR="00B449D0" w:rsidRDefault="00175344">
            <w:pPr>
              <w:pStyle w:val="SummaryMeasureTitlewithTheme"/>
            </w:pPr>
            <w:r>
              <w:t>Ending Gender‑Based Violence – National Cabinet</w:t>
            </w:r>
          </w:p>
        </w:tc>
        <w:tc>
          <w:tcPr>
            <w:tcW w:w="850" w:type="dxa"/>
            <w:vAlign w:val="bottom"/>
          </w:tcPr>
          <w:p w14:paraId="3ECD8F91" w14:textId="35C96727" w:rsidR="00B449D0" w:rsidRDefault="00076D78">
            <w:pPr>
              <w:pStyle w:val="Summarytabletextrightaligned"/>
            </w:pPr>
            <w:r>
              <w:noBreakHyphen/>
            </w:r>
          </w:p>
        </w:tc>
        <w:tc>
          <w:tcPr>
            <w:tcW w:w="850" w:type="dxa"/>
            <w:shd w:val="clear" w:color="auto" w:fill="E6F2FF"/>
            <w:vAlign w:val="bottom"/>
          </w:tcPr>
          <w:p w14:paraId="6F097D9F" w14:textId="78B65255" w:rsidR="00B449D0" w:rsidRDefault="00076D78">
            <w:pPr>
              <w:pStyle w:val="Summarytabletextrightaligned"/>
            </w:pPr>
            <w:r>
              <w:noBreakHyphen/>
            </w:r>
          </w:p>
        </w:tc>
        <w:tc>
          <w:tcPr>
            <w:tcW w:w="850" w:type="dxa"/>
            <w:vAlign w:val="bottom"/>
          </w:tcPr>
          <w:p w14:paraId="5A2535B2" w14:textId="53285965" w:rsidR="00B449D0" w:rsidRDefault="00076D78">
            <w:pPr>
              <w:pStyle w:val="Summarytabletextrightaligned"/>
            </w:pPr>
            <w:r>
              <w:noBreakHyphen/>
            </w:r>
          </w:p>
        </w:tc>
        <w:tc>
          <w:tcPr>
            <w:tcW w:w="850" w:type="dxa"/>
            <w:vAlign w:val="bottom"/>
          </w:tcPr>
          <w:p w14:paraId="6089CE18" w14:textId="18C2ECD0" w:rsidR="00B449D0" w:rsidRDefault="00076D78">
            <w:pPr>
              <w:pStyle w:val="Summarytabletextrightaligned"/>
            </w:pPr>
            <w:r>
              <w:noBreakHyphen/>
            </w:r>
          </w:p>
        </w:tc>
        <w:tc>
          <w:tcPr>
            <w:tcW w:w="850" w:type="dxa"/>
            <w:vAlign w:val="bottom"/>
          </w:tcPr>
          <w:p w14:paraId="21B46628" w14:textId="6A45C177" w:rsidR="00B449D0" w:rsidRDefault="00076D78">
            <w:pPr>
              <w:pStyle w:val="Summarytabletextrightaligned"/>
            </w:pPr>
            <w:r>
              <w:noBreakHyphen/>
            </w:r>
          </w:p>
        </w:tc>
      </w:tr>
      <w:tr w:rsidR="00B449D0" w14:paraId="699FC825" w14:textId="77777777" w:rsidTr="00301E48">
        <w:tc>
          <w:tcPr>
            <w:tcW w:w="3471" w:type="dxa"/>
            <w:vAlign w:val="bottom"/>
          </w:tcPr>
          <w:p w14:paraId="7A497AF6" w14:textId="77777777" w:rsidR="00B449D0" w:rsidRDefault="00175344">
            <w:pPr>
              <w:pStyle w:val="SummaryMeasureTitlewithTheme"/>
            </w:pPr>
            <w:r>
              <w:t>Ensuring the Viability and Quality of Aged Care</w:t>
            </w:r>
          </w:p>
        </w:tc>
        <w:tc>
          <w:tcPr>
            <w:tcW w:w="850" w:type="dxa"/>
            <w:vAlign w:val="bottom"/>
          </w:tcPr>
          <w:p w14:paraId="6FFF1E7C" w14:textId="77EE40F8" w:rsidR="00B449D0" w:rsidRDefault="00076D78">
            <w:pPr>
              <w:pStyle w:val="Summarytabletextrightaligned"/>
            </w:pPr>
            <w:r>
              <w:noBreakHyphen/>
            </w:r>
          </w:p>
        </w:tc>
        <w:tc>
          <w:tcPr>
            <w:tcW w:w="850" w:type="dxa"/>
            <w:shd w:val="clear" w:color="auto" w:fill="E6F2FF"/>
            <w:vAlign w:val="bottom"/>
          </w:tcPr>
          <w:p w14:paraId="29416346" w14:textId="3AC17B41" w:rsidR="00B449D0" w:rsidRDefault="00076D78">
            <w:pPr>
              <w:pStyle w:val="Summarytabletextrightaligned"/>
            </w:pPr>
            <w:r>
              <w:noBreakHyphen/>
            </w:r>
            <w:r w:rsidR="00175344">
              <w:t>247.3</w:t>
            </w:r>
          </w:p>
        </w:tc>
        <w:tc>
          <w:tcPr>
            <w:tcW w:w="850" w:type="dxa"/>
            <w:vAlign w:val="bottom"/>
          </w:tcPr>
          <w:p w14:paraId="4C8A4161" w14:textId="77777777" w:rsidR="00B449D0" w:rsidRDefault="00175344">
            <w:pPr>
              <w:pStyle w:val="Summarytabletextrightaligned"/>
            </w:pPr>
            <w:r>
              <w:t>1,141.1</w:t>
            </w:r>
          </w:p>
        </w:tc>
        <w:tc>
          <w:tcPr>
            <w:tcW w:w="850" w:type="dxa"/>
            <w:vAlign w:val="bottom"/>
          </w:tcPr>
          <w:p w14:paraId="6EFB14FB" w14:textId="77777777" w:rsidR="00B449D0" w:rsidRDefault="00175344">
            <w:pPr>
              <w:pStyle w:val="Summarytabletextrightaligned"/>
            </w:pPr>
            <w:r>
              <w:t>860.6</w:t>
            </w:r>
          </w:p>
        </w:tc>
        <w:tc>
          <w:tcPr>
            <w:tcW w:w="850" w:type="dxa"/>
            <w:vAlign w:val="bottom"/>
          </w:tcPr>
          <w:p w14:paraId="3160CCDB" w14:textId="0C13BAB4" w:rsidR="00B449D0" w:rsidRDefault="00076D78">
            <w:pPr>
              <w:pStyle w:val="Summarytabletextrightaligned"/>
            </w:pPr>
            <w:r>
              <w:noBreakHyphen/>
            </w:r>
            <w:r w:rsidR="00175344">
              <w:t>1,581.8</w:t>
            </w:r>
          </w:p>
        </w:tc>
      </w:tr>
      <w:tr w:rsidR="00B449D0" w14:paraId="38772DE5" w14:textId="77777777" w:rsidTr="00301E48">
        <w:tc>
          <w:tcPr>
            <w:tcW w:w="3471" w:type="dxa"/>
            <w:vAlign w:val="bottom"/>
          </w:tcPr>
          <w:p w14:paraId="31CE246F" w14:textId="77777777" w:rsidR="00B449D0" w:rsidRDefault="00175344">
            <w:pPr>
              <w:pStyle w:val="SummaryMeasureTitlewithTheme"/>
            </w:pPr>
            <w:r>
              <w:t>Establishment of the Australian Centre for Disease Control</w:t>
            </w:r>
          </w:p>
        </w:tc>
        <w:tc>
          <w:tcPr>
            <w:tcW w:w="850" w:type="dxa"/>
            <w:vAlign w:val="bottom"/>
          </w:tcPr>
          <w:p w14:paraId="4C588CDE" w14:textId="2E647705" w:rsidR="00B449D0" w:rsidRDefault="00076D78">
            <w:pPr>
              <w:pStyle w:val="Summarytabletextrightaligned"/>
            </w:pPr>
            <w:r>
              <w:noBreakHyphen/>
            </w:r>
          </w:p>
        </w:tc>
        <w:tc>
          <w:tcPr>
            <w:tcW w:w="850" w:type="dxa"/>
            <w:shd w:val="clear" w:color="auto" w:fill="E6F2FF"/>
            <w:vAlign w:val="bottom"/>
          </w:tcPr>
          <w:p w14:paraId="7C20F29E" w14:textId="77777777" w:rsidR="00B449D0" w:rsidRDefault="00175344">
            <w:pPr>
              <w:pStyle w:val="Summarytabletextrightaligned"/>
            </w:pPr>
            <w:r>
              <w:t>10.2</w:t>
            </w:r>
          </w:p>
        </w:tc>
        <w:tc>
          <w:tcPr>
            <w:tcW w:w="850" w:type="dxa"/>
            <w:vAlign w:val="bottom"/>
          </w:tcPr>
          <w:p w14:paraId="17088CAA" w14:textId="77777777" w:rsidR="00B449D0" w:rsidRDefault="00175344">
            <w:pPr>
              <w:pStyle w:val="Summarytabletextrightaligned"/>
            </w:pPr>
            <w:r>
              <w:t>84.2</w:t>
            </w:r>
          </w:p>
        </w:tc>
        <w:tc>
          <w:tcPr>
            <w:tcW w:w="850" w:type="dxa"/>
            <w:vAlign w:val="bottom"/>
          </w:tcPr>
          <w:p w14:paraId="3E091393" w14:textId="77777777" w:rsidR="00B449D0" w:rsidRDefault="00175344">
            <w:pPr>
              <w:pStyle w:val="Summarytabletextrightaligned"/>
            </w:pPr>
            <w:r>
              <w:t>81.4</w:t>
            </w:r>
          </w:p>
        </w:tc>
        <w:tc>
          <w:tcPr>
            <w:tcW w:w="850" w:type="dxa"/>
            <w:vAlign w:val="bottom"/>
          </w:tcPr>
          <w:p w14:paraId="7D40C29E" w14:textId="77777777" w:rsidR="00B449D0" w:rsidRDefault="00175344">
            <w:pPr>
              <w:pStyle w:val="Summarytabletextrightaligned"/>
            </w:pPr>
            <w:r>
              <w:t>75.7</w:t>
            </w:r>
          </w:p>
        </w:tc>
      </w:tr>
      <w:tr w:rsidR="00B449D0" w14:paraId="542870E2" w14:textId="77777777" w:rsidTr="00301E48">
        <w:tc>
          <w:tcPr>
            <w:tcW w:w="3471" w:type="dxa"/>
            <w:vAlign w:val="bottom"/>
          </w:tcPr>
          <w:p w14:paraId="4F2885D4" w14:textId="77777777" w:rsidR="00B449D0" w:rsidRDefault="00175344">
            <w:pPr>
              <w:pStyle w:val="SummaryMeasureTitlewithTheme"/>
            </w:pPr>
            <w:r>
              <w:t>Funding Pay Increases for Aged Care Workers</w:t>
            </w:r>
          </w:p>
        </w:tc>
        <w:tc>
          <w:tcPr>
            <w:tcW w:w="850" w:type="dxa"/>
            <w:vAlign w:val="bottom"/>
          </w:tcPr>
          <w:p w14:paraId="60A2F579" w14:textId="53279E1F" w:rsidR="00B449D0" w:rsidRDefault="00076D78">
            <w:pPr>
              <w:pStyle w:val="Summarytabletextrightaligned"/>
            </w:pPr>
            <w:r>
              <w:noBreakHyphen/>
            </w:r>
          </w:p>
        </w:tc>
        <w:tc>
          <w:tcPr>
            <w:tcW w:w="850" w:type="dxa"/>
            <w:shd w:val="clear" w:color="auto" w:fill="E6F2FF"/>
            <w:vAlign w:val="bottom"/>
          </w:tcPr>
          <w:p w14:paraId="66B00C87" w14:textId="73A837E4" w:rsidR="00B449D0" w:rsidRDefault="00076D78">
            <w:pPr>
              <w:pStyle w:val="Summarytabletextrightaligned"/>
            </w:pPr>
            <w:r>
              <w:noBreakHyphen/>
            </w:r>
            <w:r w:rsidR="00175344">
              <w:t>12.3</w:t>
            </w:r>
          </w:p>
        </w:tc>
        <w:tc>
          <w:tcPr>
            <w:tcW w:w="850" w:type="dxa"/>
            <w:vAlign w:val="bottom"/>
          </w:tcPr>
          <w:p w14:paraId="0ADD94A0" w14:textId="77777777" w:rsidR="00B449D0" w:rsidRDefault="00175344">
            <w:pPr>
              <w:pStyle w:val="Summarytabletextrightaligned"/>
            </w:pPr>
            <w:r>
              <w:t>60.4</w:t>
            </w:r>
          </w:p>
        </w:tc>
        <w:tc>
          <w:tcPr>
            <w:tcW w:w="850" w:type="dxa"/>
            <w:vAlign w:val="bottom"/>
          </w:tcPr>
          <w:p w14:paraId="719B8215" w14:textId="77777777" w:rsidR="00B449D0" w:rsidRDefault="00175344">
            <w:pPr>
              <w:pStyle w:val="Summarytabletextrightaligned"/>
            </w:pPr>
            <w:r>
              <w:t>24.5</w:t>
            </w:r>
          </w:p>
        </w:tc>
        <w:tc>
          <w:tcPr>
            <w:tcW w:w="850" w:type="dxa"/>
            <w:vAlign w:val="bottom"/>
          </w:tcPr>
          <w:p w14:paraId="75DA562A" w14:textId="77777777" w:rsidR="00B449D0" w:rsidRDefault="00175344">
            <w:pPr>
              <w:pStyle w:val="Summarytabletextrightaligned"/>
            </w:pPr>
            <w:r>
              <w:t>21.6</w:t>
            </w:r>
          </w:p>
        </w:tc>
      </w:tr>
      <w:tr w:rsidR="00B449D0" w14:paraId="33AE0F77" w14:textId="77777777" w:rsidTr="00301E48">
        <w:tc>
          <w:tcPr>
            <w:tcW w:w="3471" w:type="dxa"/>
            <w:vAlign w:val="bottom"/>
          </w:tcPr>
          <w:p w14:paraId="2E7F7009" w14:textId="77777777" w:rsidR="00B449D0" w:rsidRDefault="00175344">
            <w:pPr>
              <w:pStyle w:val="SummaryMeasureTitlewithTheme"/>
            </w:pPr>
            <w:r>
              <w:t>Government Response to the Disability Royal Commission</w:t>
            </w:r>
          </w:p>
        </w:tc>
        <w:tc>
          <w:tcPr>
            <w:tcW w:w="850" w:type="dxa"/>
            <w:vAlign w:val="bottom"/>
          </w:tcPr>
          <w:p w14:paraId="69F9CC41" w14:textId="04CACC73" w:rsidR="00B449D0" w:rsidRDefault="00076D78">
            <w:pPr>
              <w:pStyle w:val="Summarytabletextrightaligned"/>
            </w:pPr>
            <w:r>
              <w:noBreakHyphen/>
            </w:r>
          </w:p>
        </w:tc>
        <w:tc>
          <w:tcPr>
            <w:tcW w:w="850" w:type="dxa"/>
            <w:shd w:val="clear" w:color="auto" w:fill="E6F2FF"/>
            <w:vAlign w:val="bottom"/>
          </w:tcPr>
          <w:p w14:paraId="2F1DC24A" w14:textId="165AAD62" w:rsidR="00B449D0" w:rsidRDefault="00076D78">
            <w:pPr>
              <w:pStyle w:val="Summarytabletextrightaligned"/>
            </w:pPr>
            <w:r>
              <w:noBreakHyphen/>
            </w:r>
          </w:p>
        </w:tc>
        <w:tc>
          <w:tcPr>
            <w:tcW w:w="850" w:type="dxa"/>
            <w:vAlign w:val="bottom"/>
          </w:tcPr>
          <w:p w14:paraId="23B36135" w14:textId="17FE4D2A" w:rsidR="00B449D0" w:rsidRDefault="00076D78">
            <w:pPr>
              <w:pStyle w:val="Summarytabletextrightaligned"/>
            </w:pPr>
            <w:r>
              <w:noBreakHyphen/>
            </w:r>
          </w:p>
        </w:tc>
        <w:tc>
          <w:tcPr>
            <w:tcW w:w="850" w:type="dxa"/>
            <w:vAlign w:val="bottom"/>
          </w:tcPr>
          <w:p w14:paraId="33A4FD4E" w14:textId="4A9A40BA" w:rsidR="00B449D0" w:rsidRDefault="00076D78">
            <w:pPr>
              <w:pStyle w:val="Summarytabletextrightaligned"/>
            </w:pPr>
            <w:r>
              <w:noBreakHyphen/>
            </w:r>
          </w:p>
        </w:tc>
        <w:tc>
          <w:tcPr>
            <w:tcW w:w="850" w:type="dxa"/>
            <w:vAlign w:val="bottom"/>
          </w:tcPr>
          <w:p w14:paraId="5B966503" w14:textId="3B38261B" w:rsidR="00B449D0" w:rsidRDefault="00076D78">
            <w:pPr>
              <w:pStyle w:val="Summarytabletextrightaligned"/>
            </w:pPr>
            <w:r>
              <w:noBreakHyphen/>
            </w:r>
          </w:p>
        </w:tc>
      </w:tr>
      <w:tr w:rsidR="00B449D0" w14:paraId="79E683EF" w14:textId="77777777" w:rsidTr="00301E48">
        <w:tc>
          <w:tcPr>
            <w:tcW w:w="3471" w:type="dxa"/>
            <w:vAlign w:val="bottom"/>
          </w:tcPr>
          <w:p w14:paraId="379406DF" w14:textId="77777777" w:rsidR="00B449D0" w:rsidRDefault="00175344">
            <w:pPr>
              <w:pStyle w:val="SummaryMeasureTitlewithTheme"/>
            </w:pPr>
            <w:r>
              <w:t>Improving Aged Care Support</w:t>
            </w:r>
          </w:p>
        </w:tc>
        <w:tc>
          <w:tcPr>
            <w:tcW w:w="850" w:type="dxa"/>
            <w:vAlign w:val="bottom"/>
          </w:tcPr>
          <w:p w14:paraId="44D86D28" w14:textId="4039AFAA" w:rsidR="00B449D0" w:rsidRDefault="00076D78">
            <w:pPr>
              <w:pStyle w:val="Summarytabletextrightaligned"/>
            </w:pPr>
            <w:r>
              <w:noBreakHyphen/>
            </w:r>
          </w:p>
        </w:tc>
        <w:tc>
          <w:tcPr>
            <w:tcW w:w="850" w:type="dxa"/>
            <w:shd w:val="clear" w:color="auto" w:fill="E6F2FF"/>
            <w:vAlign w:val="bottom"/>
          </w:tcPr>
          <w:p w14:paraId="3DE070B2" w14:textId="77777777" w:rsidR="00B449D0" w:rsidRDefault="00175344">
            <w:pPr>
              <w:pStyle w:val="Summarytabletextrightaligned"/>
            </w:pPr>
            <w:r>
              <w:t>244.2</w:t>
            </w:r>
          </w:p>
        </w:tc>
        <w:tc>
          <w:tcPr>
            <w:tcW w:w="850" w:type="dxa"/>
            <w:vAlign w:val="bottom"/>
          </w:tcPr>
          <w:p w14:paraId="66503C58" w14:textId="77777777" w:rsidR="00B449D0" w:rsidRDefault="00175344">
            <w:pPr>
              <w:pStyle w:val="Summarytabletextrightaligned"/>
            </w:pPr>
            <w:r>
              <w:t>178.3</w:t>
            </w:r>
          </w:p>
        </w:tc>
        <w:tc>
          <w:tcPr>
            <w:tcW w:w="850" w:type="dxa"/>
            <w:vAlign w:val="bottom"/>
          </w:tcPr>
          <w:p w14:paraId="2F27FA73" w14:textId="3E5ABC2F" w:rsidR="00B449D0" w:rsidRDefault="00076D78">
            <w:pPr>
              <w:pStyle w:val="Summarytabletextrightaligned"/>
            </w:pPr>
            <w:r>
              <w:noBreakHyphen/>
            </w:r>
            <w:r w:rsidR="00175344">
              <w:t>1,123.4</w:t>
            </w:r>
          </w:p>
        </w:tc>
        <w:tc>
          <w:tcPr>
            <w:tcW w:w="850" w:type="dxa"/>
            <w:vAlign w:val="bottom"/>
          </w:tcPr>
          <w:p w14:paraId="2BBFD8A2" w14:textId="1A31ACFE" w:rsidR="00B449D0" w:rsidRDefault="00076D78">
            <w:pPr>
              <w:pStyle w:val="Summarytabletextrightaligned"/>
            </w:pPr>
            <w:r>
              <w:noBreakHyphen/>
            </w:r>
            <w:r w:rsidR="00175344">
              <w:t>1,298.2</w:t>
            </w:r>
          </w:p>
        </w:tc>
      </w:tr>
      <w:tr w:rsidR="00B449D0" w14:paraId="332FE42C" w14:textId="77777777" w:rsidTr="00301E48">
        <w:tc>
          <w:tcPr>
            <w:tcW w:w="3471" w:type="dxa"/>
            <w:vAlign w:val="bottom"/>
          </w:tcPr>
          <w:p w14:paraId="1B6053CC" w14:textId="77777777" w:rsidR="00B449D0" w:rsidRDefault="00175344">
            <w:pPr>
              <w:pStyle w:val="SummaryMeasureTitlewithTheme"/>
            </w:pPr>
            <w:r>
              <w:t>Improving Cancer Outcomes</w:t>
            </w:r>
          </w:p>
        </w:tc>
        <w:tc>
          <w:tcPr>
            <w:tcW w:w="850" w:type="dxa"/>
            <w:vAlign w:val="bottom"/>
          </w:tcPr>
          <w:p w14:paraId="597B8935" w14:textId="19D59467" w:rsidR="00B449D0" w:rsidRDefault="00076D78">
            <w:pPr>
              <w:pStyle w:val="Summarytabletextrightaligned"/>
            </w:pPr>
            <w:r>
              <w:noBreakHyphen/>
            </w:r>
          </w:p>
        </w:tc>
        <w:tc>
          <w:tcPr>
            <w:tcW w:w="850" w:type="dxa"/>
            <w:shd w:val="clear" w:color="auto" w:fill="E6F2FF"/>
            <w:vAlign w:val="bottom"/>
          </w:tcPr>
          <w:p w14:paraId="734B96C2" w14:textId="77777777" w:rsidR="00B449D0" w:rsidRDefault="00175344">
            <w:pPr>
              <w:pStyle w:val="Summarytabletextrightaligned"/>
            </w:pPr>
            <w:r>
              <w:t>9.9</w:t>
            </w:r>
          </w:p>
        </w:tc>
        <w:tc>
          <w:tcPr>
            <w:tcW w:w="850" w:type="dxa"/>
            <w:vAlign w:val="bottom"/>
          </w:tcPr>
          <w:p w14:paraId="35E38EE2" w14:textId="77777777" w:rsidR="00B449D0" w:rsidRDefault="00175344">
            <w:pPr>
              <w:pStyle w:val="Summarytabletextrightaligned"/>
            </w:pPr>
            <w:r>
              <w:t>13.5</w:t>
            </w:r>
          </w:p>
        </w:tc>
        <w:tc>
          <w:tcPr>
            <w:tcW w:w="850" w:type="dxa"/>
            <w:vAlign w:val="bottom"/>
          </w:tcPr>
          <w:p w14:paraId="75ED380F" w14:textId="77777777" w:rsidR="00B449D0" w:rsidRDefault="00175344">
            <w:pPr>
              <w:pStyle w:val="Summarytabletextrightaligned"/>
            </w:pPr>
            <w:r>
              <w:t>2.1</w:t>
            </w:r>
          </w:p>
        </w:tc>
        <w:tc>
          <w:tcPr>
            <w:tcW w:w="850" w:type="dxa"/>
            <w:vAlign w:val="bottom"/>
          </w:tcPr>
          <w:p w14:paraId="288C8DFD" w14:textId="77777777" w:rsidR="00B449D0" w:rsidRDefault="00175344">
            <w:pPr>
              <w:pStyle w:val="Summarytabletextrightaligned"/>
            </w:pPr>
            <w:r>
              <w:t>0.5</w:t>
            </w:r>
          </w:p>
        </w:tc>
      </w:tr>
      <w:tr w:rsidR="00B449D0" w14:paraId="3E100445" w14:textId="77777777" w:rsidTr="00301E48">
        <w:tc>
          <w:tcPr>
            <w:tcW w:w="3471" w:type="dxa"/>
            <w:vAlign w:val="bottom"/>
          </w:tcPr>
          <w:p w14:paraId="4F514DD7" w14:textId="77777777" w:rsidR="00B449D0" w:rsidRDefault="00175344">
            <w:pPr>
              <w:pStyle w:val="SummaryMeasureTitlewithTheme"/>
            </w:pPr>
            <w:r>
              <w:t>Investment in Sports</w:t>
            </w:r>
          </w:p>
        </w:tc>
        <w:tc>
          <w:tcPr>
            <w:tcW w:w="850" w:type="dxa"/>
            <w:vAlign w:val="bottom"/>
          </w:tcPr>
          <w:p w14:paraId="7D24137C" w14:textId="06BE95F8" w:rsidR="00B449D0" w:rsidRDefault="00076D78">
            <w:pPr>
              <w:pStyle w:val="Summarytabletextrightaligned"/>
            </w:pPr>
            <w:r>
              <w:noBreakHyphen/>
            </w:r>
          </w:p>
        </w:tc>
        <w:tc>
          <w:tcPr>
            <w:tcW w:w="850" w:type="dxa"/>
            <w:shd w:val="clear" w:color="auto" w:fill="E6F2FF"/>
            <w:vAlign w:val="bottom"/>
          </w:tcPr>
          <w:p w14:paraId="6C0C68D7" w14:textId="0BA6D040" w:rsidR="00B449D0" w:rsidRDefault="00076D78">
            <w:pPr>
              <w:pStyle w:val="Summarytabletextrightaligned"/>
            </w:pPr>
            <w:r>
              <w:noBreakHyphen/>
            </w:r>
            <w:r w:rsidR="00175344">
              <w:t>0.8</w:t>
            </w:r>
          </w:p>
        </w:tc>
        <w:tc>
          <w:tcPr>
            <w:tcW w:w="850" w:type="dxa"/>
            <w:vAlign w:val="bottom"/>
          </w:tcPr>
          <w:p w14:paraId="331EF66B" w14:textId="77777777" w:rsidR="00B449D0" w:rsidRDefault="00175344">
            <w:pPr>
              <w:pStyle w:val="Summarytabletextrightaligned"/>
            </w:pPr>
            <w:r>
              <w:t>2.5</w:t>
            </w:r>
          </w:p>
        </w:tc>
        <w:tc>
          <w:tcPr>
            <w:tcW w:w="850" w:type="dxa"/>
            <w:vAlign w:val="bottom"/>
          </w:tcPr>
          <w:p w14:paraId="45E03984" w14:textId="41E03F8C" w:rsidR="00B449D0" w:rsidRDefault="00076D78">
            <w:pPr>
              <w:pStyle w:val="Summarytabletextrightaligned"/>
            </w:pPr>
            <w:r>
              <w:noBreakHyphen/>
            </w:r>
          </w:p>
        </w:tc>
        <w:tc>
          <w:tcPr>
            <w:tcW w:w="850" w:type="dxa"/>
            <w:vAlign w:val="bottom"/>
          </w:tcPr>
          <w:p w14:paraId="460B6434" w14:textId="46724932" w:rsidR="00B449D0" w:rsidRDefault="00076D78">
            <w:pPr>
              <w:pStyle w:val="Summarytabletextrightaligned"/>
            </w:pPr>
            <w:r>
              <w:noBreakHyphen/>
            </w:r>
          </w:p>
        </w:tc>
      </w:tr>
      <w:tr w:rsidR="00B449D0" w14:paraId="5D87F04F" w14:textId="77777777" w:rsidTr="00301E48">
        <w:tc>
          <w:tcPr>
            <w:tcW w:w="3471" w:type="dxa"/>
            <w:vAlign w:val="bottom"/>
          </w:tcPr>
          <w:p w14:paraId="07809BB1" w14:textId="77777777" w:rsidR="00B449D0" w:rsidRDefault="00175344">
            <w:pPr>
              <w:pStyle w:val="SummaryMeasureTitlewithTheme"/>
            </w:pPr>
            <w:r>
              <w:t>Pharmaceutical Benefits Scheme New and Amended Listings(b)</w:t>
            </w:r>
          </w:p>
        </w:tc>
        <w:tc>
          <w:tcPr>
            <w:tcW w:w="850" w:type="dxa"/>
            <w:vAlign w:val="bottom"/>
          </w:tcPr>
          <w:p w14:paraId="6BE199DC" w14:textId="77777777" w:rsidR="00B449D0" w:rsidRDefault="00175344">
            <w:pPr>
              <w:pStyle w:val="Summarytabletextrightaligned"/>
            </w:pPr>
            <w:r>
              <w:t>4.1</w:t>
            </w:r>
          </w:p>
        </w:tc>
        <w:tc>
          <w:tcPr>
            <w:tcW w:w="850" w:type="dxa"/>
            <w:shd w:val="clear" w:color="auto" w:fill="E6F2FF"/>
            <w:vAlign w:val="bottom"/>
          </w:tcPr>
          <w:p w14:paraId="48D86E7A" w14:textId="77777777" w:rsidR="00B449D0" w:rsidRDefault="00175344">
            <w:pPr>
              <w:pStyle w:val="Summarytabletextrightaligned"/>
            </w:pPr>
            <w:r>
              <w:t>544.2</w:t>
            </w:r>
          </w:p>
        </w:tc>
        <w:tc>
          <w:tcPr>
            <w:tcW w:w="850" w:type="dxa"/>
            <w:vAlign w:val="bottom"/>
          </w:tcPr>
          <w:p w14:paraId="32132B58" w14:textId="77777777" w:rsidR="00B449D0" w:rsidRDefault="00175344">
            <w:pPr>
              <w:pStyle w:val="Summarytabletextrightaligned"/>
            </w:pPr>
            <w:r>
              <w:t>676.6</w:t>
            </w:r>
          </w:p>
        </w:tc>
        <w:tc>
          <w:tcPr>
            <w:tcW w:w="850" w:type="dxa"/>
            <w:vAlign w:val="bottom"/>
          </w:tcPr>
          <w:p w14:paraId="24728D76" w14:textId="77777777" w:rsidR="00B449D0" w:rsidRDefault="00175344">
            <w:pPr>
              <w:pStyle w:val="Summarytabletextrightaligned"/>
            </w:pPr>
            <w:r>
              <w:t>633.3</w:t>
            </w:r>
          </w:p>
        </w:tc>
        <w:tc>
          <w:tcPr>
            <w:tcW w:w="850" w:type="dxa"/>
            <w:vAlign w:val="bottom"/>
          </w:tcPr>
          <w:p w14:paraId="59A9AE13" w14:textId="77777777" w:rsidR="00B449D0" w:rsidRDefault="00175344">
            <w:pPr>
              <w:pStyle w:val="Summarytabletextrightaligned"/>
            </w:pPr>
            <w:r>
              <w:t>624.7</w:t>
            </w:r>
          </w:p>
        </w:tc>
      </w:tr>
      <w:tr w:rsidR="00B449D0" w14:paraId="6464706D" w14:textId="77777777" w:rsidTr="00301E48">
        <w:tc>
          <w:tcPr>
            <w:tcW w:w="3471" w:type="dxa"/>
            <w:vAlign w:val="bottom"/>
          </w:tcPr>
          <w:p w14:paraId="431AE5A2" w14:textId="77777777" w:rsidR="00B449D0" w:rsidRDefault="00175344">
            <w:pPr>
              <w:pStyle w:val="SummaryMeasureTitlewithTheme"/>
            </w:pPr>
            <w:r>
              <w:t>Preventive Health</w:t>
            </w:r>
          </w:p>
        </w:tc>
        <w:tc>
          <w:tcPr>
            <w:tcW w:w="850" w:type="dxa"/>
            <w:vAlign w:val="bottom"/>
          </w:tcPr>
          <w:p w14:paraId="79E85702" w14:textId="1ED62D61" w:rsidR="00B449D0" w:rsidRDefault="00076D78">
            <w:pPr>
              <w:pStyle w:val="Summarytabletextrightaligned"/>
            </w:pPr>
            <w:r>
              <w:noBreakHyphen/>
            </w:r>
          </w:p>
        </w:tc>
        <w:tc>
          <w:tcPr>
            <w:tcW w:w="850" w:type="dxa"/>
            <w:shd w:val="clear" w:color="auto" w:fill="E6F2FF"/>
            <w:vAlign w:val="bottom"/>
          </w:tcPr>
          <w:p w14:paraId="615EDBCA" w14:textId="77777777" w:rsidR="00B449D0" w:rsidRDefault="00175344">
            <w:pPr>
              <w:pStyle w:val="Summarytabletextrightaligned"/>
            </w:pPr>
            <w:r>
              <w:t>22.8</w:t>
            </w:r>
          </w:p>
        </w:tc>
        <w:tc>
          <w:tcPr>
            <w:tcW w:w="850" w:type="dxa"/>
            <w:vAlign w:val="bottom"/>
          </w:tcPr>
          <w:p w14:paraId="0F22BC29" w14:textId="77777777" w:rsidR="00B449D0" w:rsidRDefault="00175344">
            <w:pPr>
              <w:pStyle w:val="Summarytabletextrightaligned"/>
            </w:pPr>
            <w:r>
              <w:t>58.6</w:t>
            </w:r>
          </w:p>
        </w:tc>
        <w:tc>
          <w:tcPr>
            <w:tcW w:w="850" w:type="dxa"/>
            <w:vAlign w:val="bottom"/>
          </w:tcPr>
          <w:p w14:paraId="42993A53" w14:textId="77777777" w:rsidR="00B449D0" w:rsidRDefault="00175344">
            <w:pPr>
              <w:pStyle w:val="Summarytabletextrightaligned"/>
            </w:pPr>
            <w:r>
              <w:t>14.0</w:t>
            </w:r>
          </w:p>
        </w:tc>
        <w:tc>
          <w:tcPr>
            <w:tcW w:w="850" w:type="dxa"/>
            <w:vAlign w:val="bottom"/>
          </w:tcPr>
          <w:p w14:paraId="0B5F5C4B" w14:textId="77777777" w:rsidR="00B449D0" w:rsidRDefault="00175344">
            <w:pPr>
              <w:pStyle w:val="Summarytabletextrightaligned"/>
            </w:pPr>
            <w:r>
              <w:t>13.1</w:t>
            </w:r>
          </w:p>
        </w:tc>
      </w:tr>
      <w:tr w:rsidR="00B449D0" w14:paraId="2963865C" w14:textId="77777777" w:rsidTr="00301E48">
        <w:tc>
          <w:tcPr>
            <w:tcW w:w="3471" w:type="dxa"/>
            <w:vAlign w:val="bottom"/>
          </w:tcPr>
          <w:p w14:paraId="7C39F4DD" w14:textId="77777777" w:rsidR="00B449D0" w:rsidRDefault="00175344">
            <w:pPr>
              <w:pStyle w:val="SummaryMeasureTitlewithTheme"/>
            </w:pPr>
            <w:r>
              <w:t>Private Health Insurance – Prescribed List of Medical Devices and Human Tissue Products(b)</w:t>
            </w:r>
          </w:p>
        </w:tc>
        <w:tc>
          <w:tcPr>
            <w:tcW w:w="850" w:type="dxa"/>
            <w:vAlign w:val="bottom"/>
          </w:tcPr>
          <w:p w14:paraId="5673B85F" w14:textId="6B22F370" w:rsidR="00B449D0" w:rsidRDefault="00076D78">
            <w:pPr>
              <w:pStyle w:val="Summarytabletextrightaligned"/>
            </w:pPr>
            <w:r>
              <w:noBreakHyphen/>
            </w:r>
          </w:p>
        </w:tc>
        <w:tc>
          <w:tcPr>
            <w:tcW w:w="850" w:type="dxa"/>
            <w:shd w:val="clear" w:color="auto" w:fill="E6F2FF"/>
            <w:vAlign w:val="bottom"/>
          </w:tcPr>
          <w:p w14:paraId="3074F88B" w14:textId="17B104CA" w:rsidR="00B449D0" w:rsidRDefault="00076D78">
            <w:pPr>
              <w:pStyle w:val="Summarytabletextrightaligned"/>
            </w:pPr>
            <w:r>
              <w:noBreakHyphen/>
            </w:r>
            <w:r w:rsidR="00175344">
              <w:t>1.3</w:t>
            </w:r>
          </w:p>
        </w:tc>
        <w:tc>
          <w:tcPr>
            <w:tcW w:w="850" w:type="dxa"/>
            <w:vAlign w:val="bottom"/>
          </w:tcPr>
          <w:p w14:paraId="126FB2C8" w14:textId="1F50B3B1" w:rsidR="00B449D0" w:rsidRDefault="00076D78">
            <w:pPr>
              <w:pStyle w:val="Summarytabletextrightaligned"/>
            </w:pPr>
            <w:r>
              <w:noBreakHyphen/>
            </w:r>
            <w:r w:rsidR="00175344">
              <w:t>1.3</w:t>
            </w:r>
          </w:p>
        </w:tc>
        <w:tc>
          <w:tcPr>
            <w:tcW w:w="850" w:type="dxa"/>
            <w:vAlign w:val="bottom"/>
          </w:tcPr>
          <w:p w14:paraId="622A64AB" w14:textId="0668F5AC" w:rsidR="00B449D0" w:rsidRDefault="00076D78">
            <w:pPr>
              <w:pStyle w:val="Summarytabletextrightaligned"/>
            </w:pPr>
            <w:r>
              <w:noBreakHyphen/>
            </w:r>
            <w:r w:rsidR="00175344">
              <w:t>1.3</w:t>
            </w:r>
          </w:p>
        </w:tc>
        <w:tc>
          <w:tcPr>
            <w:tcW w:w="850" w:type="dxa"/>
            <w:vAlign w:val="bottom"/>
          </w:tcPr>
          <w:p w14:paraId="0F64CEF0" w14:textId="7BB92013" w:rsidR="00B449D0" w:rsidRDefault="00076D78">
            <w:pPr>
              <w:pStyle w:val="Summarytabletextrightaligned"/>
            </w:pPr>
            <w:r>
              <w:noBreakHyphen/>
            </w:r>
            <w:r w:rsidR="00175344">
              <w:t>1.3</w:t>
            </w:r>
          </w:p>
        </w:tc>
      </w:tr>
      <w:tr w:rsidR="00B449D0" w14:paraId="4B758782" w14:textId="77777777" w:rsidTr="00301E48">
        <w:tc>
          <w:tcPr>
            <w:tcW w:w="3471" w:type="dxa"/>
            <w:vAlign w:val="bottom"/>
          </w:tcPr>
          <w:p w14:paraId="6A264199" w14:textId="77777777" w:rsidR="00B449D0" w:rsidRDefault="00175344">
            <w:pPr>
              <w:pStyle w:val="SummaryMeasureTitlewithTheme"/>
            </w:pPr>
            <w:r>
              <w:t>Private Hospital Financial Health Check</w:t>
            </w:r>
          </w:p>
        </w:tc>
        <w:tc>
          <w:tcPr>
            <w:tcW w:w="850" w:type="dxa"/>
            <w:vAlign w:val="bottom"/>
          </w:tcPr>
          <w:p w14:paraId="58AF840A" w14:textId="79AFA1D0" w:rsidR="00B449D0" w:rsidRDefault="00076D78">
            <w:pPr>
              <w:pStyle w:val="Summarytabletextrightaligned"/>
            </w:pPr>
            <w:r>
              <w:noBreakHyphen/>
            </w:r>
          </w:p>
        </w:tc>
        <w:tc>
          <w:tcPr>
            <w:tcW w:w="850" w:type="dxa"/>
            <w:shd w:val="clear" w:color="auto" w:fill="E6F2FF"/>
            <w:vAlign w:val="bottom"/>
          </w:tcPr>
          <w:p w14:paraId="60695E54" w14:textId="5B772317" w:rsidR="00B449D0" w:rsidRDefault="00076D78">
            <w:pPr>
              <w:pStyle w:val="Summarytabletextrightaligned"/>
            </w:pPr>
            <w:r>
              <w:noBreakHyphen/>
            </w:r>
          </w:p>
        </w:tc>
        <w:tc>
          <w:tcPr>
            <w:tcW w:w="850" w:type="dxa"/>
            <w:vAlign w:val="bottom"/>
          </w:tcPr>
          <w:p w14:paraId="4554AF88" w14:textId="4063E769" w:rsidR="00B449D0" w:rsidRDefault="00076D78">
            <w:pPr>
              <w:pStyle w:val="Summarytabletextrightaligned"/>
            </w:pPr>
            <w:r>
              <w:noBreakHyphen/>
            </w:r>
          </w:p>
        </w:tc>
        <w:tc>
          <w:tcPr>
            <w:tcW w:w="850" w:type="dxa"/>
            <w:vAlign w:val="bottom"/>
          </w:tcPr>
          <w:p w14:paraId="5CDEC747" w14:textId="5B047CD9" w:rsidR="00B449D0" w:rsidRDefault="00076D78">
            <w:pPr>
              <w:pStyle w:val="Summarytabletextrightaligned"/>
            </w:pPr>
            <w:r>
              <w:noBreakHyphen/>
            </w:r>
          </w:p>
        </w:tc>
        <w:tc>
          <w:tcPr>
            <w:tcW w:w="850" w:type="dxa"/>
            <w:vAlign w:val="bottom"/>
          </w:tcPr>
          <w:p w14:paraId="698FC495" w14:textId="02872490" w:rsidR="00B449D0" w:rsidRDefault="00076D78">
            <w:pPr>
              <w:pStyle w:val="Summarytabletextrightaligned"/>
            </w:pPr>
            <w:r>
              <w:noBreakHyphen/>
            </w:r>
          </w:p>
        </w:tc>
      </w:tr>
      <w:tr w:rsidR="00B449D0" w14:paraId="6E08282A" w14:textId="77777777" w:rsidTr="00301E48">
        <w:tc>
          <w:tcPr>
            <w:tcW w:w="3471" w:type="dxa"/>
            <w:vAlign w:val="bottom"/>
          </w:tcPr>
          <w:p w14:paraId="76DC57F8" w14:textId="77777777" w:rsidR="00B449D0" w:rsidRDefault="00175344">
            <w:pPr>
              <w:pStyle w:val="SummaryMeasureTitlewithTheme"/>
            </w:pPr>
            <w:r>
              <w:t>Renegotiating Supply of the Novavax COVID‑19 Vaccine</w:t>
            </w:r>
          </w:p>
        </w:tc>
        <w:tc>
          <w:tcPr>
            <w:tcW w:w="850" w:type="dxa"/>
            <w:vAlign w:val="bottom"/>
          </w:tcPr>
          <w:p w14:paraId="7E27CBD0" w14:textId="2B2002D3" w:rsidR="00B449D0" w:rsidRDefault="00076D78">
            <w:pPr>
              <w:pStyle w:val="Summarytabletextrightaligned"/>
            </w:pPr>
            <w:r>
              <w:noBreakHyphen/>
            </w:r>
          </w:p>
        </w:tc>
        <w:tc>
          <w:tcPr>
            <w:tcW w:w="850" w:type="dxa"/>
            <w:shd w:val="clear" w:color="auto" w:fill="E6F2FF"/>
            <w:vAlign w:val="bottom"/>
          </w:tcPr>
          <w:p w14:paraId="57C2DB2E" w14:textId="0F2323EA" w:rsidR="00B449D0" w:rsidRDefault="00076D78">
            <w:pPr>
              <w:pStyle w:val="Summarytabletextrightaligned"/>
            </w:pPr>
            <w:r>
              <w:noBreakHyphen/>
            </w:r>
            <w:r w:rsidR="00175344">
              <w:t>146.6</w:t>
            </w:r>
          </w:p>
        </w:tc>
        <w:tc>
          <w:tcPr>
            <w:tcW w:w="850" w:type="dxa"/>
            <w:vAlign w:val="bottom"/>
          </w:tcPr>
          <w:p w14:paraId="695F4DD9" w14:textId="050FFDED" w:rsidR="00B449D0" w:rsidRDefault="00076D78">
            <w:pPr>
              <w:pStyle w:val="Summarytabletextrightaligned"/>
            </w:pPr>
            <w:r>
              <w:noBreakHyphen/>
            </w:r>
            <w:r w:rsidR="00175344">
              <w:t>60.1</w:t>
            </w:r>
          </w:p>
        </w:tc>
        <w:tc>
          <w:tcPr>
            <w:tcW w:w="850" w:type="dxa"/>
            <w:vAlign w:val="bottom"/>
          </w:tcPr>
          <w:p w14:paraId="083A6B62" w14:textId="2F6F2A55" w:rsidR="00B449D0" w:rsidRDefault="00076D78">
            <w:pPr>
              <w:pStyle w:val="Summarytabletextrightaligned"/>
            </w:pPr>
            <w:r>
              <w:noBreakHyphen/>
            </w:r>
          </w:p>
        </w:tc>
        <w:tc>
          <w:tcPr>
            <w:tcW w:w="850" w:type="dxa"/>
            <w:vAlign w:val="bottom"/>
          </w:tcPr>
          <w:p w14:paraId="44363125" w14:textId="64866D96" w:rsidR="00B449D0" w:rsidRDefault="00076D78">
            <w:pPr>
              <w:pStyle w:val="Summarytabletextrightaligned"/>
            </w:pPr>
            <w:r>
              <w:noBreakHyphen/>
            </w:r>
          </w:p>
        </w:tc>
      </w:tr>
      <w:tr w:rsidR="00B449D0" w14:paraId="3589017E" w14:textId="77777777" w:rsidTr="00301E48">
        <w:tc>
          <w:tcPr>
            <w:tcW w:w="3471" w:type="dxa"/>
            <w:vAlign w:val="bottom"/>
          </w:tcPr>
          <w:p w14:paraId="49F9B749" w14:textId="77777777" w:rsidR="00B449D0" w:rsidRDefault="00175344">
            <w:pPr>
              <w:pStyle w:val="SummaryMeasureTitlewithTheme"/>
            </w:pPr>
            <w:r>
              <w:t>Securing Access to Medicines</w:t>
            </w:r>
          </w:p>
        </w:tc>
        <w:tc>
          <w:tcPr>
            <w:tcW w:w="850" w:type="dxa"/>
            <w:vAlign w:val="bottom"/>
          </w:tcPr>
          <w:p w14:paraId="0BF9583E" w14:textId="3562DC6E" w:rsidR="00B449D0" w:rsidRDefault="00076D78">
            <w:pPr>
              <w:pStyle w:val="Summarytabletextrightaligned"/>
            </w:pPr>
            <w:r>
              <w:noBreakHyphen/>
            </w:r>
          </w:p>
        </w:tc>
        <w:tc>
          <w:tcPr>
            <w:tcW w:w="850" w:type="dxa"/>
            <w:shd w:val="clear" w:color="auto" w:fill="E6F2FF"/>
            <w:vAlign w:val="bottom"/>
          </w:tcPr>
          <w:p w14:paraId="77BB0B80" w14:textId="77777777" w:rsidR="00B449D0" w:rsidRDefault="00175344">
            <w:pPr>
              <w:pStyle w:val="Summarytabletextrightaligned"/>
            </w:pPr>
            <w:r>
              <w:t>4.9</w:t>
            </w:r>
          </w:p>
        </w:tc>
        <w:tc>
          <w:tcPr>
            <w:tcW w:w="850" w:type="dxa"/>
            <w:vAlign w:val="bottom"/>
          </w:tcPr>
          <w:p w14:paraId="5DB52A8E" w14:textId="77777777" w:rsidR="00B449D0" w:rsidRDefault="00175344">
            <w:pPr>
              <w:pStyle w:val="Summarytabletextrightaligned"/>
            </w:pPr>
            <w:r>
              <w:t>0.4</w:t>
            </w:r>
          </w:p>
        </w:tc>
        <w:tc>
          <w:tcPr>
            <w:tcW w:w="850" w:type="dxa"/>
            <w:vAlign w:val="bottom"/>
          </w:tcPr>
          <w:p w14:paraId="0A2E6993" w14:textId="590C37B2" w:rsidR="00B449D0" w:rsidRDefault="00076D78">
            <w:pPr>
              <w:pStyle w:val="Summarytabletextrightaligned"/>
            </w:pPr>
            <w:r>
              <w:noBreakHyphen/>
            </w:r>
          </w:p>
        </w:tc>
        <w:tc>
          <w:tcPr>
            <w:tcW w:w="850" w:type="dxa"/>
            <w:vAlign w:val="bottom"/>
          </w:tcPr>
          <w:p w14:paraId="3194D3AA" w14:textId="52D092A6" w:rsidR="00B449D0" w:rsidRDefault="00076D78">
            <w:pPr>
              <w:pStyle w:val="Summarytabletextrightaligned"/>
            </w:pPr>
            <w:r>
              <w:noBreakHyphen/>
            </w:r>
          </w:p>
        </w:tc>
      </w:tr>
      <w:tr w:rsidR="00B449D0" w14:paraId="4AA417E2" w14:textId="77777777" w:rsidTr="00301E48">
        <w:tc>
          <w:tcPr>
            <w:tcW w:w="3471" w:type="dxa"/>
            <w:vAlign w:val="bottom"/>
          </w:tcPr>
          <w:p w14:paraId="640B055B" w14:textId="77777777" w:rsidR="00B449D0" w:rsidRDefault="00175344">
            <w:pPr>
              <w:pStyle w:val="SummaryMeasureTitlewithTheme"/>
            </w:pPr>
            <w:r>
              <w:t>Strengthening Medicare</w:t>
            </w:r>
          </w:p>
        </w:tc>
        <w:tc>
          <w:tcPr>
            <w:tcW w:w="850" w:type="dxa"/>
            <w:vAlign w:val="bottom"/>
          </w:tcPr>
          <w:p w14:paraId="15D951F2" w14:textId="0322F7C5" w:rsidR="00B449D0" w:rsidRDefault="00076D78">
            <w:pPr>
              <w:pStyle w:val="Summarytabletextrightaligned"/>
            </w:pPr>
            <w:r>
              <w:noBreakHyphen/>
            </w:r>
          </w:p>
        </w:tc>
        <w:tc>
          <w:tcPr>
            <w:tcW w:w="850" w:type="dxa"/>
            <w:shd w:val="clear" w:color="auto" w:fill="E6F2FF"/>
            <w:vAlign w:val="bottom"/>
          </w:tcPr>
          <w:p w14:paraId="4D297B3E" w14:textId="77777777" w:rsidR="00B449D0" w:rsidRDefault="00175344">
            <w:pPr>
              <w:pStyle w:val="Summarytabletextrightaligned"/>
            </w:pPr>
            <w:r>
              <w:t>0.8</w:t>
            </w:r>
          </w:p>
        </w:tc>
        <w:tc>
          <w:tcPr>
            <w:tcW w:w="850" w:type="dxa"/>
            <w:vAlign w:val="bottom"/>
          </w:tcPr>
          <w:p w14:paraId="4B69DA8E" w14:textId="77777777" w:rsidR="00B449D0" w:rsidRDefault="00175344">
            <w:pPr>
              <w:pStyle w:val="Summarytabletextrightaligned"/>
            </w:pPr>
            <w:r>
              <w:t>479.8</w:t>
            </w:r>
          </w:p>
        </w:tc>
        <w:tc>
          <w:tcPr>
            <w:tcW w:w="850" w:type="dxa"/>
            <w:vAlign w:val="bottom"/>
          </w:tcPr>
          <w:p w14:paraId="36F25C0B" w14:textId="77777777" w:rsidR="00B449D0" w:rsidRDefault="00175344">
            <w:pPr>
              <w:pStyle w:val="Summarytabletextrightaligned"/>
            </w:pPr>
            <w:r>
              <w:t>94.7</w:t>
            </w:r>
          </w:p>
        </w:tc>
        <w:tc>
          <w:tcPr>
            <w:tcW w:w="850" w:type="dxa"/>
            <w:vAlign w:val="bottom"/>
          </w:tcPr>
          <w:p w14:paraId="0AC1DF67" w14:textId="77777777" w:rsidR="00B449D0" w:rsidRDefault="00175344">
            <w:pPr>
              <w:pStyle w:val="Summarytabletextrightaligned"/>
            </w:pPr>
            <w:r>
              <w:t>7.4</w:t>
            </w:r>
          </w:p>
        </w:tc>
      </w:tr>
      <w:tr w:rsidR="00B449D0" w14:paraId="6C288370" w14:textId="77777777" w:rsidTr="00301E48">
        <w:tc>
          <w:tcPr>
            <w:tcW w:w="3471" w:type="dxa"/>
            <w:vAlign w:val="bottom"/>
          </w:tcPr>
          <w:p w14:paraId="14350C0D" w14:textId="114325D4" w:rsidR="00B449D0" w:rsidRDefault="00175344">
            <w:pPr>
              <w:pStyle w:val="SummaryMeasureTitlewithTheme"/>
            </w:pPr>
            <w:r>
              <w:t>Supporting Australia</w:t>
            </w:r>
            <w:r w:rsidR="00076D78">
              <w:t>’</w:t>
            </w:r>
            <w:r>
              <w:t>s Avian Influenza Preparedness and Response</w:t>
            </w:r>
          </w:p>
        </w:tc>
        <w:tc>
          <w:tcPr>
            <w:tcW w:w="850" w:type="dxa"/>
            <w:vAlign w:val="bottom"/>
          </w:tcPr>
          <w:p w14:paraId="521C051F" w14:textId="4D486011" w:rsidR="00B449D0" w:rsidRDefault="00076D78">
            <w:pPr>
              <w:pStyle w:val="Summarytabletextrightaligned"/>
            </w:pPr>
            <w:r>
              <w:noBreakHyphen/>
            </w:r>
          </w:p>
        </w:tc>
        <w:tc>
          <w:tcPr>
            <w:tcW w:w="850" w:type="dxa"/>
            <w:shd w:val="clear" w:color="auto" w:fill="E6F2FF"/>
            <w:vAlign w:val="bottom"/>
          </w:tcPr>
          <w:p w14:paraId="17FD4B29" w14:textId="77777777" w:rsidR="00B449D0" w:rsidRDefault="00175344">
            <w:pPr>
              <w:pStyle w:val="Summarytabletextrightaligned"/>
            </w:pPr>
            <w:r>
              <w:t>4.4</w:t>
            </w:r>
          </w:p>
        </w:tc>
        <w:tc>
          <w:tcPr>
            <w:tcW w:w="850" w:type="dxa"/>
            <w:vAlign w:val="bottom"/>
          </w:tcPr>
          <w:p w14:paraId="6B390FA6" w14:textId="77777777" w:rsidR="00B449D0" w:rsidRDefault="00175344">
            <w:pPr>
              <w:pStyle w:val="Summarytabletextrightaligned"/>
            </w:pPr>
            <w:r>
              <w:t>17.7</w:t>
            </w:r>
          </w:p>
        </w:tc>
        <w:tc>
          <w:tcPr>
            <w:tcW w:w="850" w:type="dxa"/>
            <w:vAlign w:val="bottom"/>
          </w:tcPr>
          <w:p w14:paraId="071A5682" w14:textId="76E14916" w:rsidR="00B449D0" w:rsidRDefault="00076D78">
            <w:pPr>
              <w:pStyle w:val="Summarytabletextrightaligned"/>
            </w:pPr>
            <w:r>
              <w:noBreakHyphen/>
            </w:r>
          </w:p>
        </w:tc>
        <w:tc>
          <w:tcPr>
            <w:tcW w:w="850" w:type="dxa"/>
            <w:vAlign w:val="bottom"/>
          </w:tcPr>
          <w:p w14:paraId="18756ECE" w14:textId="7A2C52A2" w:rsidR="00B449D0" w:rsidRDefault="00076D78">
            <w:pPr>
              <w:pStyle w:val="Summarytabletextrightaligned"/>
            </w:pPr>
            <w:r>
              <w:noBreakHyphen/>
            </w:r>
          </w:p>
        </w:tc>
      </w:tr>
    </w:tbl>
    <w:p w14:paraId="69475F23" w14:textId="77777777" w:rsidR="00301E48" w:rsidRDefault="00301E48" w:rsidP="000D55F7">
      <w:pPr>
        <w:pStyle w:val="SingleParagraph0"/>
        <w:sectPr w:rsidR="00301E48" w:rsidSect="00301E48">
          <w:pgSz w:w="11906" w:h="16838"/>
          <w:pgMar w:top="2835" w:right="2098" w:bottom="2466" w:left="2098" w:header="1814" w:footer="1814" w:gutter="0"/>
          <w:cols w:space="720"/>
          <w:docGrid w:linePitch="272"/>
        </w:sectPr>
      </w:pPr>
    </w:p>
    <w:p w14:paraId="7219C0DE" w14:textId="71EAE7A0" w:rsidR="00301E48" w:rsidRDefault="00301E48" w:rsidP="00301E48">
      <w:pPr>
        <w:pStyle w:val="TableHeadingcontinued"/>
      </w:pPr>
      <w:r>
        <w:lastRenderedPageBreak/>
        <w:t xml:space="preserve">Table </w:t>
      </w:r>
      <w:r w:rsidR="006E0A94">
        <w:t>A.</w:t>
      </w:r>
      <w:r>
        <w:t>2: Payment measures since the 2024–25 Budget</w:t>
      </w:r>
      <w:r>
        <w:rPr>
          <w:rFonts w:ascii="Cambria Math" w:hAnsi="Cambria Math" w:cs="Cambria Math"/>
        </w:rPr>
        <w:t>⁽</w:t>
      </w:r>
      <w:r>
        <w:rPr>
          <w:rFonts w:cs="Arial"/>
        </w:rPr>
        <w:t>ª</w:t>
      </w:r>
      <w:r>
        <w:rPr>
          <w:rFonts w:ascii="Cambria Math" w:hAnsi="Cambria Math" w:cs="Cambria Math"/>
        </w:rPr>
        <w:t>⁾</w:t>
      </w:r>
      <w:r>
        <w:t xml:space="preserve"> (continued)</w:t>
      </w:r>
    </w:p>
    <w:tbl>
      <w:tblPr>
        <w:tblOverlap w:val="never"/>
        <w:tblW w:w="7721" w:type="dxa"/>
        <w:tblBorders>
          <w:top w:val="single" w:sz="4" w:space="0" w:color="000000"/>
          <w:bottom w:val="single" w:sz="4" w:space="0" w:color="000000"/>
        </w:tblBorders>
        <w:tblLayout w:type="fixed"/>
        <w:tblCellMar>
          <w:left w:w="0" w:type="dxa"/>
          <w:right w:w="56" w:type="dxa"/>
        </w:tblCellMar>
        <w:tblLook w:val="04A0" w:firstRow="1" w:lastRow="0" w:firstColumn="1" w:lastColumn="0" w:noHBand="0" w:noVBand="1"/>
      </w:tblPr>
      <w:tblGrid>
        <w:gridCol w:w="3471"/>
        <w:gridCol w:w="850"/>
        <w:gridCol w:w="850"/>
        <w:gridCol w:w="850"/>
        <w:gridCol w:w="850"/>
        <w:gridCol w:w="850"/>
      </w:tblGrid>
      <w:tr w:rsidR="00301E48" w14:paraId="26893CC4" w14:textId="77777777" w:rsidTr="7F762F0D">
        <w:tc>
          <w:tcPr>
            <w:tcW w:w="3471" w:type="dxa"/>
            <w:vAlign w:val="bottom"/>
          </w:tcPr>
          <w:p w14:paraId="6108E7DA" w14:textId="77777777" w:rsidR="00301E48" w:rsidRDefault="00301E48" w:rsidP="00301E48"/>
        </w:tc>
        <w:tc>
          <w:tcPr>
            <w:tcW w:w="850" w:type="dxa"/>
            <w:tcBorders>
              <w:bottom w:val="nil"/>
            </w:tcBorders>
            <w:vAlign w:val="bottom"/>
          </w:tcPr>
          <w:p w14:paraId="2DB382EB" w14:textId="54B9298D" w:rsidR="00301E48" w:rsidRDefault="00301E48" w:rsidP="00301E48">
            <w:pPr>
              <w:pStyle w:val="Summarytabletextrightaligned"/>
            </w:pPr>
            <w:r>
              <w:t>2023</w:t>
            </w:r>
            <w:r w:rsidR="00076D78">
              <w:noBreakHyphen/>
            </w:r>
            <w:r>
              <w:t>24</w:t>
            </w:r>
          </w:p>
        </w:tc>
        <w:tc>
          <w:tcPr>
            <w:tcW w:w="850" w:type="dxa"/>
            <w:tcBorders>
              <w:bottom w:val="nil"/>
            </w:tcBorders>
            <w:shd w:val="clear" w:color="auto" w:fill="E6F2FF"/>
            <w:vAlign w:val="bottom"/>
          </w:tcPr>
          <w:p w14:paraId="5AB23A5A" w14:textId="53C51B29" w:rsidR="00301E48" w:rsidRDefault="00301E48" w:rsidP="00301E48">
            <w:pPr>
              <w:pStyle w:val="Summarytabletextrightaligned"/>
            </w:pPr>
            <w:r>
              <w:t>2024</w:t>
            </w:r>
            <w:r w:rsidR="00076D78">
              <w:noBreakHyphen/>
            </w:r>
            <w:r>
              <w:t>25</w:t>
            </w:r>
          </w:p>
        </w:tc>
        <w:tc>
          <w:tcPr>
            <w:tcW w:w="850" w:type="dxa"/>
            <w:tcBorders>
              <w:bottom w:val="nil"/>
            </w:tcBorders>
            <w:vAlign w:val="bottom"/>
          </w:tcPr>
          <w:p w14:paraId="02756564" w14:textId="351DB852" w:rsidR="00301E48" w:rsidRDefault="00301E48" w:rsidP="00301E48">
            <w:pPr>
              <w:pStyle w:val="Summarytabletextrightaligned"/>
            </w:pPr>
            <w:r>
              <w:t>2025</w:t>
            </w:r>
            <w:r w:rsidR="00076D78">
              <w:noBreakHyphen/>
            </w:r>
            <w:r>
              <w:t>26</w:t>
            </w:r>
          </w:p>
        </w:tc>
        <w:tc>
          <w:tcPr>
            <w:tcW w:w="850" w:type="dxa"/>
            <w:tcBorders>
              <w:bottom w:val="nil"/>
            </w:tcBorders>
            <w:vAlign w:val="bottom"/>
          </w:tcPr>
          <w:p w14:paraId="6CBF66DF" w14:textId="18F16055" w:rsidR="00301E48" w:rsidRDefault="00301E48" w:rsidP="00301E48">
            <w:pPr>
              <w:pStyle w:val="Summarytabletextrightaligned"/>
            </w:pPr>
            <w:r>
              <w:t>2026</w:t>
            </w:r>
            <w:r w:rsidR="00076D78">
              <w:noBreakHyphen/>
            </w:r>
            <w:r>
              <w:t>27</w:t>
            </w:r>
          </w:p>
        </w:tc>
        <w:tc>
          <w:tcPr>
            <w:tcW w:w="850" w:type="dxa"/>
            <w:tcBorders>
              <w:bottom w:val="nil"/>
            </w:tcBorders>
            <w:vAlign w:val="bottom"/>
          </w:tcPr>
          <w:p w14:paraId="05DA660A" w14:textId="22A76CE1" w:rsidR="00301E48" w:rsidRDefault="00301E48" w:rsidP="00301E48">
            <w:pPr>
              <w:pStyle w:val="Summarytabletextrightaligned"/>
            </w:pPr>
            <w:r>
              <w:t>2027</w:t>
            </w:r>
            <w:r w:rsidR="00076D78">
              <w:noBreakHyphen/>
            </w:r>
            <w:r>
              <w:t>28</w:t>
            </w:r>
          </w:p>
        </w:tc>
      </w:tr>
      <w:tr w:rsidR="00301E48" w14:paraId="6D5DD287" w14:textId="77777777" w:rsidTr="7F762F0D">
        <w:tc>
          <w:tcPr>
            <w:tcW w:w="3471" w:type="dxa"/>
            <w:vAlign w:val="bottom"/>
          </w:tcPr>
          <w:p w14:paraId="79ECE857" w14:textId="77777777" w:rsidR="00301E48" w:rsidRDefault="00301E48" w:rsidP="00301E48"/>
        </w:tc>
        <w:tc>
          <w:tcPr>
            <w:tcW w:w="850" w:type="dxa"/>
            <w:tcBorders>
              <w:top w:val="nil"/>
              <w:bottom w:val="single" w:sz="4" w:space="0" w:color="auto"/>
            </w:tcBorders>
            <w:shd w:val="clear" w:color="auto" w:fill="auto"/>
            <w:vAlign w:val="bottom"/>
          </w:tcPr>
          <w:p w14:paraId="109A5A34" w14:textId="77777777" w:rsidR="00301E48" w:rsidRDefault="00301E48" w:rsidP="00301E48">
            <w:pPr>
              <w:pStyle w:val="Summarytabletextrightaligned"/>
            </w:pPr>
            <w:r>
              <w:t>$m</w:t>
            </w:r>
          </w:p>
        </w:tc>
        <w:tc>
          <w:tcPr>
            <w:tcW w:w="850" w:type="dxa"/>
            <w:tcBorders>
              <w:top w:val="nil"/>
              <w:bottom w:val="single" w:sz="4" w:space="0" w:color="auto"/>
            </w:tcBorders>
            <w:shd w:val="clear" w:color="auto" w:fill="E6F2FF"/>
            <w:vAlign w:val="bottom"/>
          </w:tcPr>
          <w:p w14:paraId="0C833577" w14:textId="77777777" w:rsidR="00301E48" w:rsidRDefault="00301E48" w:rsidP="00301E48">
            <w:pPr>
              <w:pStyle w:val="Summarytabletextrightaligned"/>
            </w:pPr>
            <w:r>
              <w:t>$m</w:t>
            </w:r>
          </w:p>
        </w:tc>
        <w:tc>
          <w:tcPr>
            <w:tcW w:w="850" w:type="dxa"/>
            <w:tcBorders>
              <w:top w:val="nil"/>
              <w:bottom w:val="single" w:sz="4" w:space="0" w:color="auto"/>
            </w:tcBorders>
            <w:shd w:val="clear" w:color="auto" w:fill="auto"/>
            <w:vAlign w:val="bottom"/>
          </w:tcPr>
          <w:p w14:paraId="20A6CF07" w14:textId="77777777" w:rsidR="00301E48" w:rsidRDefault="00301E48" w:rsidP="00301E48">
            <w:pPr>
              <w:pStyle w:val="Summarytabletextrightaligned"/>
            </w:pPr>
            <w:r>
              <w:t>$m</w:t>
            </w:r>
          </w:p>
        </w:tc>
        <w:tc>
          <w:tcPr>
            <w:tcW w:w="850" w:type="dxa"/>
            <w:tcBorders>
              <w:top w:val="nil"/>
              <w:bottom w:val="single" w:sz="4" w:space="0" w:color="auto"/>
            </w:tcBorders>
            <w:shd w:val="clear" w:color="auto" w:fill="auto"/>
            <w:vAlign w:val="bottom"/>
          </w:tcPr>
          <w:p w14:paraId="3A610D3F" w14:textId="77777777" w:rsidR="00301E48" w:rsidRDefault="00301E48" w:rsidP="00301E48">
            <w:pPr>
              <w:pStyle w:val="Summarytabletextrightaligned"/>
            </w:pPr>
            <w:r>
              <w:t>$m</w:t>
            </w:r>
          </w:p>
        </w:tc>
        <w:tc>
          <w:tcPr>
            <w:tcW w:w="850" w:type="dxa"/>
            <w:tcBorders>
              <w:top w:val="nil"/>
              <w:bottom w:val="single" w:sz="4" w:space="0" w:color="auto"/>
            </w:tcBorders>
            <w:shd w:val="clear" w:color="auto" w:fill="auto"/>
            <w:vAlign w:val="bottom"/>
          </w:tcPr>
          <w:p w14:paraId="3845EB3A" w14:textId="77777777" w:rsidR="00301E48" w:rsidRDefault="00301E48" w:rsidP="00301E48">
            <w:pPr>
              <w:pStyle w:val="Summarytabletextrightaligned"/>
            </w:pPr>
            <w:r>
              <w:t>$m</w:t>
            </w:r>
          </w:p>
        </w:tc>
      </w:tr>
      <w:tr w:rsidR="00301E48" w14:paraId="29050A53" w14:textId="77777777" w:rsidTr="7F762F0D">
        <w:tc>
          <w:tcPr>
            <w:tcW w:w="3471" w:type="dxa"/>
            <w:tcBorders>
              <w:bottom w:val="nil"/>
            </w:tcBorders>
            <w:vAlign w:val="bottom"/>
          </w:tcPr>
          <w:p w14:paraId="436289AB" w14:textId="77777777" w:rsidR="00301E48" w:rsidRPr="00301E48" w:rsidRDefault="00301E48" w:rsidP="00301E48">
            <w:pPr>
              <w:pStyle w:val="SummaryMeasureTitlewithTheme"/>
              <w:rPr>
                <w:b/>
              </w:rPr>
            </w:pPr>
            <w:r w:rsidRPr="00301E48">
              <w:rPr>
                <w:b/>
              </w:rPr>
              <w:t>HEALTH AND AGED CARE (continued)</w:t>
            </w:r>
          </w:p>
        </w:tc>
        <w:tc>
          <w:tcPr>
            <w:tcW w:w="850" w:type="dxa"/>
            <w:tcBorders>
              <w:top w:val="single" w:sz="4" w:space="0" w:color="auto"/>
              <w:bottom w:val="nil"/>
            </w:tcBorders>
            <w:vAlign w:val="bottom"/>
          </w:tcPr>
          <w:p w14:paraId="36482C14" w14:textId="77777777" w:rsidR="00301E48" w:rsidRDefault="00301E48">
            <w:pPr>
              <w:pStyle w:val="Summarytabletextrightaligned"/>
            </w:pPr>
          </w:p>
        </w:tc>
        <w:tc>
          <w:tcPr>
            <w:tcW w:w="850" w:type="dxa"/>
            <w:tcBorders>
              <w:top w:val="single" w:sz="4" w:space="0" w:color="auto"/>
              <w:bottom w:val="nil"/>
            </w:tcBorders>
            <w:shd w:val="clear" w:color="auto" w:fill="E6F2FF"/>
            <w:vAlign w:val="bottom"/>
          </w:tcPr>
          <w:p w14:paraId="09CFD5A2" w14:textId="77777777" w:rsidR="00301E48" w:rsidRDefault="00301E48">
            <w:pPr>
              <w:pStyle w:val="Summarytabletextrightaligned"/>
            </w:pPr>
          </w:p>
        </w:tc>
        <w:tc>
          <w:tcPr>
            <w:tcW w:w="850" w:type="dxa"/>
            <w:tcBorders>
              <w:top w:val="single" w:sz="4" w:space="0" w:color="auto"/>
              <w:bottom w:val="nil"/>
            </w:tcBorders>
            <w:vAlign w:val="bottom"/>
          </w:tcPr>
          <w:p w14:paraId="05435D94" w14:textId="77777777" w:rsidR="00301E48" w:rsidRDefault="00301E48">
            <w:pPr>
              <w:pStyle w:val="Summarytabletextrightaligned"/>
            </w:pPr>
          </w:p>
        </w:tc>
        <w:tc>
          <w:tcPr>
            <w:tcW w:w="850" w:type="dxa"/>
            <w:tcBorders>
              <w:top w:val="single" w:sz="4" w:space="0" w:color="auto"/>
              <w:bottom w:val="nil"/>
            </w:tcBorders>
            <w:vAlign w:val="bottom"/>
          </w:tcPr>
          <w:p w14:paraId="0469B350" w14:textId="77777777" w:rsidR="00301E48" w:rsidRDefault="00301E48">
            <w:pPr>
              <w:pStyle w:val="Summarytabletextrightaligned"/>
            </w:pPr>
          </w:p>
        </w:tc>
        <w:tc>
          <w:tcPr>
            <w:tcW w:w="850" w:type="dxa"/>
            <w:tcBorders>
              <w:top w:val="single" w:sz="4" w:space="0" w:color="auto"/>
              <w:bottom w:val="nil"/>
            </w:tcBorders>
            <w:vAlign w:val="bottom"/>
          </w:tcPr>
          <w:p w14:paraId="6610AE8B" w14:textId="77777777" w:rsidR="00301E48" w:rsidRDefault="00301E48">
            <w:pPr>
              <w:pStyle w:val="Summarytabletextrightaligned"/>
            </w:pPr>
          </w:p>
        </w:tc>
      </w:tr>
      <w:tr w:rsidR="00B449D0" w14:paraId="52DBCA58" w14:textId="77777777" w:rsidTr="7F762F0D">
        <w:tc>
          <w:tcPr>
            <w:tcW w:w="3471" w:type="dxa"/>
            <w:tcBorders>
              <w:top w:val="nil"/>
            </w:tcBorders>
            <w:vAlign w:val="bottom"/>
          </w:tcPr>
          <w:p w14:paraId="4169E759" w14:textId="77777777" w:rsidR="00B449D0" w:rsidRDefault="00175344">
            <w:pPr>
              <w:pStyle w:val="SummaryMeasureTitlewithTheme"/>
            </w:pPr>
            <w:r>
              <w:t>Telethons</w:t>
            </w:r>
          </w:p>
        </w:tc>
        <w:tc>
          <w:tcPr>
            <w:tcW w:w="850" w:type="dxa"/>
            <w:tcBorders>
              <w:top w:val="nil"/>
            </w:tcBorders>
            <w:vAlign w:val="bottom"/>
          </w:tcPr>
          <w:p w14:paraId="16DD08F7" w14:textId="475F0879" w:rsidR="00B449D0" w:rsidRDefault="00076D78">
            <w:pPr>
              <w:pStyle w:val="Summarytabletextrightaligned"/>
            </w:pPr>
            <w:r>
              <w:noBreakHyphen/>
            </w:r>
          </w:p>
        </w:tc>
        <w:tc>
          <w:tcPr>
            <w:tcW w:w="850" w:type="dxa"/>
            <w:tcBorders>
              <w:top w:val="nil"/>
            </w:tcBorders>
            <w:shd w:val="clear" w:color="auto" w:fill="E6F2FF"/>
            <w:vAlign w:val="bottom"/>
          </w:tcPr>
          <w:p w14:paraId="38ADB815" w14:textId="77777777" w:rsidR="00B449D0" w:rsidRDefault="00175344">
            <w:pPr>
              <w:pStyle w:val="Summarytabletextrightaligned"/>
            </w:pPr>
            <w:r>
              <w:t>6.8</w:t>
            </w:r>
          </w:p>
        </w:tc>
        <w:tc>
          <w:tcPr>
            <w:tcW w:w="850" w:type="dxa"/>
            <w:tcBorders>
              <w:top w:val="nil"/>
            </w:tcBorders>
            <w:vAlign w:val="bottom"/>
          </w:tcPr>
          <w:p w14:paraId="7B7BDAFC" w14:textId="77777777" w:rsidR="00B449D0" w:rsidRDefault="00175344">
            <w:pPr>
              <w:pStyle w:val="Summarytabletextrightaligned"/>
            </w:pPr>
            <w:r>
              <w:t>..</w:t>
            </w:r>
          </w:p>
        </w:tc>
        <w:tc>
          <w:tcPr>
            <w:tcW w:w="850" w:type="dxa"/>
            <w:tcBorders>
              <w:top w:val="nil"/>
            </w:tcBorders>
            <w:vAlign w:val="bottom"/>
          </w:tcPr>
          <w:p w14:paraId="598D0230" w14:textId="3AFA0659" w:rsidR="00B449D0" w:rsidRDefault="00076D78">
            <w:pPr>
              <w:pStyle w:val="Summarytabletextrightaligned"/>
            </w:pPr>
            <w:r>
              <w:noBreakHyphen/>
            </w:r>
          </w:p>
        </w:tc>
        <w:tc>
          <w:tcPr>
            <w:tcW w:w="850" w:type="dxa"/>
            <w:tcBorders>
              <w:top w:val="nil"/>
            </w:tcBorders>
            <w:vAlign w:val="bottom"/>
          </w:tcPr>
          <w:p w14:paraId="1199C308" w14:textId="358A8E9F" w:rsidR="00B449D0" w:rsidRDefault="00076D78">
            <w:pPr>
              <w:pStyle w:val="Summarytabletextrightaligned"/>
            </w:pPr>
            <w:r>
              <w:noBreakHyphen/>
            </w:r>
          </w:p>
        </w:tc>
      </w:tr>
      <w:tr w:rsidR="00B449D0" w14:paraId="11FFD04B" w14:textId="77777777" w:rsidTr="7F762F0D">
        <w:tc>
          <w:tcPr>
            <w:tcW w:w="3471" w:type="dxa"/>
            <w:vAlign w:val="bottom"/>
          </w:tcPr>
          <w:p w14:paraId="54EE73E6" w14:textId="77777777" w:rsidR="00B449D0" w:rsidRDefault="00175344">
            <w:pPr>
              <w:pStyle w:val="SummaryMeasureTitlewithTheme"/>
            </w:pPr>
            <w:r>
              <w:t>Vaping Regulation Reform Package</w:t>
            </w:r>
          </w:p>
        </w:tc>
        <w:tc>
          <w:tcPr>
            <w:tcW w:w="850" w:type="dxa"/>
            <w:vAlign w:val="bottom"/>
          </w:tcPr>
          <w:p w14:paraId="5AE127E7" w14:textId="3081F415" w:rsidR="00B449D0" w:rsidRDefault="00076D78">
            <w:pPr>
              <w:pStyle w:val="Summarytabletextrightaligned"/>
            </w:pPr>
            <w:r>
              <w:noBreakHyphen/>
            </w:r>
          </w:p>
        </w:tc>
        <w:tc>
          <w:tcPr>
            <w:tcW w:w="850" w:type="dxa"/>
            <w:shd w:val="clear" w:color="auto" w:fill="E6F2FF"/>
            <w:vAlign w:val="bottom"/>
          </w:tcPr>
          <w:p w14:paraId="0AC4B199" w14:textId="77777777" w:rsidR="00B449D0" w:rsidRDefault="00175344">
            <w:pPr>
              <w:pStyle w:val="Summarytabletextrightaligned"/>
            </w:pPr>
            <w:r>
              <w:t>18.4</w:t>
            </w:r>
          </w:p>
        </w:tc>
        <w:tc>
          <w:tcPr>
            <w:tcW w:w="850" w:type="dxa"/>
            <w:vAlign w:val="bottom"/>
          </w:tcPr>
          <w:p w14:paraId="36DDE48B" w14:textId="77777777" w:rsidR="00B449D0" w:rsidRDefault="00175344">
            <w:pPr>
              <w:pStyle w:val="Summarytabletextrightaligned"/>
            </w:pPr>
            <w:r>
              <w:t>70.3</w:t>
            </w:r>
          </w:p>
        </w:tc>
        <w:tc>
          <w:tcPr>
            <w:tcW w:w="850" w:type="dxa"/>
            <w:vAlign w:val="bottom"/>
          </w:tcPr>
          <w:p w14:paraId="7995778B" w14:textId="77777777" w:rsidR="00B449D0" w:rsidRDefault="00175344">
            <w:pPr>
              <w:pStyle w:val="Summarytabletextrightaligned"/>
            </w:pPr>
            <w:r>
              <w:t>61.7</w:t>
            </w:r>
          </w:p>
        </w:tc>
        <w:tc>
          <w:tcPr>
            <w:tcW w:w="850" w:type="dxa"/>
            <w:vAlign w:val="bottom"/>
          </w:tcPr>
          <w:p w14:paraId="76180189" w14:textId="625F8AFD" w:rsidR="00B449D0" w:rsidRDefault="00076D78">
            <w:pPr>
              <w:pStyle w:val="Summarytabletextrightaligned"/>
            </w:pPr>
            <w:r>
              <w:noBreakHyphen/>
            </w:r>
          </w:p>
        </w:tc>
      </w:tr>
      <w:tr w:rsidR="00B449D0" w14:paraId="37451E36" w14:textId="77777777" w:rsidTr="7F762F0D">
        <w:tc>
          <w:tcPr>
            <w:tcW w:w="3471" w:type="dxa"/>
            <w:vAlign w:val="bottom"/>
          </w:tcPr>
          <w:p w14:paraId="1DE699E6" w14:textId="77777777" w:rsidR="00B449D0" w:rsidRDefault="00175344">
            <w:pPr>
              <w:pStyle w:val="Summarytabletextleftalignedbold"/>
            </w:pPr>
            <w:r>
              <w:t>Portfolio total</w:t>
            </w:r>
          </w:p>
        </w:tc>
        <w:tc>
          <w:tcPr>
            <w:tcW w:w="850" w:type="dxa"/>
            <w:tcBorders>
              <w:top w:val="single" w:sz="4" w:space="0" w:color="000000" w:themeColor="text1"/>
              <w:bottom w:val="single" w:sz="4" w:space="0" w:color="000000" w:themeColor="text1"/>
            </w:tcBorders>
            <w:vAlign w:val="bottom"/>
          </w:tcPr>
          <w:p w14:paraId="32AADF6D" w14:textId="77777777" w:rsidR="00B449D0" w:rsidRDefault="00175344">
            <w:pPr>
              <w:pStyle w:val="Summarytabletextrightalignedbold"/>
            </w:pPr>
            <w:r>
              <w:t>4.1</w:t>
            </w:r>
          </w:p>
        </w:tc>
        <w:tc>
          <w:tcPr>
            <w:tcW w:w="850" w:type="dxa"/>
            <w:tcBorders>
              <w:top w:val="single" w:sz="4" w:space="0" w:color="000000" w:themeColor="text1"/>
              <w:bottom w:val="single" w:sz="4" w:space="0" w:color="000000" w:themeColor="text1"/>
            </w:tcBorders>
            <w:shd w:val="clear" w:color="auto" w:fill="E6F2FF"/>
            <w:vAlign w:val="bottom"/>
          </w:tcPr>
          <w:p w14:paraId="604A2E64" w14:textId="77777777" w:rsidR="00B449D0" w:rsidRDefault="00175344">
            <w:pPr>
              <w:pStyle w:val="Summarytabletextrightalignedbold"/>
            </w:pPr>
            <w:r>
              <w:t>540.8</w:t>
            </w:r>
          </w:p>
        </w:tc>
        <w:tc>
          <w:tcPr>
            <w:tcW w:w="850" w:type="dxa"/>
            <w:tcBorders>
              <w:top w:val="single" w:sz="4" w:space="0" w:color="000000" w:themeColor="text1"/>
              <w:bottom w:val="single" w:sz="4" w:space="0" w:color="000000" w:themeColor="text1"/>
            </w:tcBorders>
            <w:vAlign w:val="bottom"/>
          </w:tcPr>
          <w:p w14:paraId="18E28B58" w14:textId="77777777" w:rsidR="00B449D0" w:rsidRDefault="00175344">
            <w:pPr>
              <w:pStyle w:val="Summarytabletextrightalignedbold"/>
            </w:pPr>
            <w:r>
              <w:t>2,781.7</w:t>
            </w:r>
          </w:p>
        </w:tc>
        <w:tc>
          <w:tcPr>
            <w:tcW w:w="850" w:type="dxa"/>
            <w:tcBorders>
              <w:top w:val="single" w:sz="4" w:space="0" w:color="000000" w:themeColor="text1"/>
              <w:bottom w:val="single" w:sz="4" w:space="0" w:color="000000" w:themeColor="text1"/>
            </w:tcBorders>
            <w:vAlign w:val="bottom"/>
          </w:tcPr>
          <w:p w14:paraId="460880B7" w14:textId="77777777" w:rsidR="00B449D0" w:rsidRDefault="00175344">
            <w:pPr>
              <w:pStyle w:val="Summarytabletextrightalignedbold"/>
            </w:pPr>
            <w:r>
              <w:t>724.2</w:t>
            </w:r>
          </w:p>
        </w:tc>
        <w:tc>
          <w:tcPr>
            <w:tcW w:w="850" w:type="dxa"/>
            <w:tcBorders>
              <w:top w:val="single" w:sz="4" w:space="0" w:color="000000" w:themeColor="text1"/>
              <w:bottom w:val="single" w:sz="4" w:space="0" w:color="000000" w:themeColor="text1"/>
            </w:tcBorders>
            <w:vAlign w:val="bottom"/>
          </w:tcPr>
          <w:p w14:paraId="4F3ECCD6" w14:textId="44BEE266" w:rsidR="00B449D0" w:rsidRDefault="00076D78">
            <w:pPr>
              <w:pStyle w:val="Summarytabletextrightalignedbold"/>
            </w:pPr>
            <w:r>
              <w:noBreakHyphen/>
            </w:r>
            <w:r w:rsidR="00175344">
              <w:t>2,012.0</w:t>
            </w:r>
          </w:p>
        </w:tc>
      </w:tr>
      <w:tr w:rsidR="00B449D0" w14:paraId="471C718E" w14:textId="77777777" w:rsidTr="7F762F0D">
        <w:tc>
          <w:tcPr>
            <w:tcW w:w="3471" w:type="dxa"/>
            <w:vAlign w:val="bottom"/>
          </w:tcPr>
          <w:p w14:paraId="71A4C9BE" w14:textId="77777777" w:rsidR="00B449D0" w:rsidRDefault="00175344">
            <w:pPr>
              <w:pStyle w:val="SummaryPortfolioTitle-BP2"/>
            </w:pPr>
            <w:r>
              <w:t>HOME AFFAIRS</w:t>
            </w:r>
          </w:p>
        </w:tc>
        <w:tc>
          <w:tcPr>
            <w:tcW w:w="850" w:type="dxa"/>
          </w:tcPr>
          <w:p w14:paraId="59DC6CD7" w14:textId="77777777" w:rsidR="00B449D0" w:rsidRDefault="00B449D0">
            <w:pPr>
              <w:pStyle w:val="MeasureTableTextRightAlignedBefore6ptAfter1pt"/>
            </w:pPr>
          </w:p>
        </w:tc>
        <w:tc>
          <w:tcPr>
            <w:tcW w:w="850" w:type="dxa"/>
            <w:shd w:val="clear" w:color="auto" w:fill="E6F2FF"/>
          </w:tcPr>
          <w:p w14:paraId="784866D1" w14:textId="77777777" w:rsidR="00B449D0" w:rsidRDefault="00B449D0">
            <w:pPr>
              <w:pStyle w:val="MeasureTableTextRightAlignedBefore6ptAfter1pt"/>
            </w:pPr>
          </w:p>
        </w:tc>
        <w:tc>
          <w:tcPr>
            <w:tcW w:w="850" w:type="dxa"/>
          </w:tcPr>
          <w:p w14:paraId="0C9D63A7" w14:textId="77777777" w:rsidR="00B449D0" w:rsidRDefault="00B449D0">
            <w:pPr>
              <w:pStyle w:val="MeasureTableTextRightAlignedBefore6ptAfter1pt"/>
            </w:pPr>
          </w:p>
        </w:tc>
        <w:tc>
          <w:tcPr>
            <w:tcW w:w="850" w:type="dxa"/>
          </w:tcPr>
          <w:p w14:paraId="0D04BDBC" w14:textId="77777777" w:rsidR="00B449D0" w:rsidRDefault="00B449D0">
            <w:pPr>
              <w:pStyle w:val="MeasureTableTextRightAlignedBefore6ptAfter1pt"/>
            </w:pPr>
          </w:p>
        </w:tc>
        <w:tc>
          <w:tcPr>
            <w:tcW w:w="850" w:type="dxa"/>
          </w:tcPr>
          <w:p w14:paraId="09EF9464" w14:textId="77777777" w:rsidR="00B449D0" w:rsidRDefault="00B449D0">
            <w:pPr>
              <w:pStyle w:val="MeasureTableTextRightAlignedBefore6ptAfter1pt"/>
            </w:pPr>
          </w:p>
        </w:tc>
      </w:tr>
      <w:tr w:rsidR="00B449D0" w14:paraId="102BFB9D" w14:textId="77777777" w:rsidTr="7F762F0D">
        <w:tc>
          <w:tcPr>
            <w:tcW w:w="3471" w:type="dxa"/>
            <w:vAlign w:val="bottom"/>
          </w:tcPr>
          <w:p w14:paraId="293D3B64" w14:textId="77777777" w:rsidR="00B449D0" w:rsidRDefault="00175344">
            <w:pPr>
              <w:pStyle w:val="SummaryAgencyTitle-BP2"/>
            </w:pPr>
            <w:r>
              <w:t>Department of Home Affairs</w:t>
            </w:r>
          </w:p>
        </w:tc>
        <w:tc>
          <w:tcPr>
            <w:tcW w:w="850" w:type="dxa"/>
          </w:tcPr>
          <w:p w14:paraId="2D1C26E6" w14:textId="77777777" w:rsidR="00B449D0" w:rsidRDefault="00B449D0">
            <w:pPr>
              <w:pStyle w:val="SummaryAgencyTitle-BP2"/>
            </w:pPr>
          </w:p>
        </w:tc>
        <w:tc>
          <w:tcPr>
            <w:tcW w:w="850" w:type="dxa"/>
            <w:shd w:val="clear" w:color="auto" w:fill="E6F2FF"/>
          </w:tcPr>
          <w:p w14:paraId="2C0D088B" w14:textId="77777777" w:rsidR="00B449D0" w:rsidRDefault="00B449D0">
            <w:pPr>
              <w:pStyle w:val="SummaryAgencyTitle-BP2"/>
            </w:pPr>
          </w:p>
        </w:tc>
        <w:tc>
          <w:tcPr>
            <w:tcW w:w="850" w:type="dxa"/>
          </w:tcPr>
          <w:p w14:paraId="0B0D7ED0" w14:textId="77777777" w:rsidR="00B449D0" w:rsidRDefault="00B449D0">
            <w:pPr>
              <w:pStyle w:val="SummaryAgencyTitle-BP2"/>
            </w:pPr>
          </w:p>
        </w:tc>
        <w:tc>
          <w:tcPr>
            <w:tcW w:w="850" w:type="dxa"/>
          </w:tcPr>
          <w:p w14:paraId="1FC69B86" w14:textId="77777777" w:rsidR="00B449D0" w:rsidRDefault="00B449D0">
            <w:pPr>
              <w:pStyle w:val="SummaryAgencyTitle-BP2"/>
            </w:pPr>
          </w:p>
        </w:tc>
        <w:tc>
          <w:tcPr>
            <w:tcW w:w="850" w:type="dxa"/>
          </w:tcPr>
          <w:p w14:paraId="214932BB" w14:textId="77777777" w:rsidR="00B449D0" w:rsidRDefault="00B449D0">
            <w:pPr>
              <w:pStyle w:val="SummaryAgencyTitle-BP2"/>
            </w:pPr>
          </w:p>
        </w:tc>
      </w:tr>
      <w:tr w:rsidR="00B449D0" w14:paraId="55C90252" w14:textId="77777777" w:rsidTr="7F762F0D">
        <w:tc>
          <w:tcPr>
            <w:tcW w:w="3471" w:type="dxa"/>
            <w:vAlign w:val="bottom"/>
          </w:tcPr>
          <w:p w14:paraId="02607B0C" w14:textId="77777777" w:rsidR="00B449D0" w:rsidRDefault="00175344">
            <w:pPr>
              <w:pStyle w:val="SummaryMeasureTitlewithTheme"/>
            </w:pPr>
            <w:r>
              <w:t>Assistance for Recent Arrivals from Conflict Zones(b)</w:t>
            </w:r>
          </w:p>
        </w:tc>
        <w:tc>
          <w:tcPr>
            <w:tcW w:w="850" w:type="dxa"/>
            <w:vAlign w:val="bottom"/>
          </w:tcPr>
          <w:p w14:paraId="4A5D3A00" w14:textId="2882D3F7" w:rsidR="00B449D0" w:rsidRDefault="00076D78">
            <w:pPr>
              <w:pStyle w:val="Summarytabletextrightaligned"/>
            </w:pPr>
            <w:r>
              <w:noBreakHyphen/>
            </w:r>
          </w:p>
        </w:tc>
        <w:tc>
          <w:tcPr>
            <w:tcW w:w="850" w:type="dxa"/>
            <w:shd w:val="clear" w:color="auto" w:fill="E6F2FF"/>
            <w:vAlign w:val="bottom"/>
          </w:tcPr>
          <w:p w14:paraId="7586E625" w14:textId="77777777" w:rsidR="00B449D0" w:rsidRDefault="00175344">
            <w:pPr>
              <w:pStyle w:val="Summarytabletextrightaligned"/>
            </w:pPr>
            <w:r>
              <w:t>0.5</w:t>
            </w:r>
          </w:p>
        </w:tc>
        <w:tc>
          <w:tcPr>
            <w:tcW w:w="850" w:type="dxa"/>
            <w:vAlign w:val="bottom"/>
          </w:tcPr>
          <w:p w14:paraId="5338099C" w14:textId="32817E40" w:rsidR="00B449D0" w:rsidRDefault="00076D78">
            <w:pPr>
              <w:pStyle w:val="Summarytabletextrightaligned"/>
            </w:pPr>
            <w:r>
              <w:noBreakHyphen/>
            </w:r>
            <w:r w:rsidR="00175344">
              <w:t>18.7</w:t>
            </w:r>
          </w:p>
        </w:tc>
        <w:tc>
          <w:tcPr>
            <w:tcW w:w="850" w:type="dxa"/>
            <w:vAlign w:val="bottom"/>
          </w:tcPr>
          <w:p w14:paraId="27D57C5E" w14:textId="77777777" w:rsidR="00B449D0" w:rsidRDefault="00175344">
            <w:pPr>
              <w:pStyle w:val="Summarytabletextrightaligned"/>
            </w:pPr>
            <w:r>
              <w:t>7.1</w:t>
            </w:r>
          </w:p>
        </w:tc>
        <w:tc>
          <w:tcPr>
            <w:tcW w:w="850" w:type="dxa"/>
            <w:vAlign w:val="bottom"/>
          </w:tcPr>
          <w:p w14:paraId="4410DBB2" w14:textId="77777777" w:rsidR="00B449D0" w:rsidRDefault="00175344">
            <w:pPr>
              <w:pStyle w:val="Summarytabletextrightaligned"/>
            </w:pPr>
            <w:r>
              <w:t>3.7</w:t>
            </w:r>
          </w:p>
        </w:tc>
      </w:tr>
      <w:tr w:rsidR="00B449D0" w14:paraId="4AEA937D" w14:textId="77777777" w:rsidTr="7F762F0D">
        <w:tc>
          <w:tcPr>
            <w:tcW w:w="3471" w:type="dxa"/>
            <w:vAlign w:val="bottom"/>
          </w:tcPr>
          <w:p w14:paraId="1B6AE8A5" w14:textId="50B43646" w:rsidR="00B449D0" w:rsidRDefault="00175344">
            <w:pPr>
              <w:pStyle w:val="SummaryMeasureTitlewithTheme"/>
            </w:pPr>
            <w:r>
              <w:t>Australia</w:t>
            </w:r>
            <w:r w:rsidR="00076D78">
              <w:t>’</w:t>
            </w:r>
            <w:r>
              <w:t>s Counter‑Terrorism and Violent Extremism Strategy 2024</w:t>
            </w:r>
          </w:p>
        </w:tc>
        <w:tc>
          <w:tcPr>
            <w:tcW w:w="850" w:type="dxa"/>
            <w:vAlign w:val="bottom"/>
          </w:tcPr>
          <w:p w14:paraId="6F6BC826" w14:textId="0808DD8D" w:rsidR="00B449D0" w:rsidRDefault="00076D78">
            <w:pPr>
              <w:pStyle w:val="Summarytabletextrightaligned"/>
            </w:pPr>
            <w:r>
              <w:noBreakHyphen/>
            </w:r>
          </w:p>
        </w:tc>
        <w:tc>
          <w:tcPr>
            <w:tcW w:w="850" w:type="dxa"/>
            <w:shd w:val="clear" w:color="auto" w:fill="E6F2FF"/>
            <w:vAlign w:val="bottom"/>
          </w:tcPr>
          <w:p w14:paraId="14EA3B37" w14:textId="3AFC5732" w:rsidR="00B449D0" w:rsidRDefault="00076D78">
            <w:pPr>
              <w:pStyle w:val="Summarytabletextrightaligned"/>
            </w:pPr>
            <w:r>
              <w:noBreakHyphen/>
            </w:r>
          </w:p>
        </w:tc>
        <w:tc>
          <w:tcPr>
            <w:tcW w:w="850" w:type="dxa"/>
            <w:vAlign w:val="bottom"/>
          </w:tcPr>
          <w:p w14:paraId="78EE658C" w14:textId="77777777" w:rsidR="00B449D0" w:rsidRDefault="00175344">
            <w:pPr>
              <w:pStyle w:val="Summarytabletextrightaligned"/>
            </w:pPr>
            <w:r>
              <w:t>1.8</w:t>
            </w:r>
          </w:p>
        </w:tc>
        <w:tc>
          <w:tcPr>
            <w:tcW w:w="850" w:type="dxa"/>
            <w:vAlign w:val="bottom"/>
          </w:tcPr>
          <w:p w14:paraId="6CBAB161" w14:textId="77777777" w:rsidR="00B449D0" w:rsidRDefault="00175344">
            <w:pPr>
              <w:pStyle w:val="Summarytabletextrightaligned"/>
            </w:pPr>
            <w:r>
              <w:t>1.1</w:t>
            </w:r>
          </w:p>
        </w:tc>
        <w:tc>
          <w:tcPr>
            <w:tcW w:w="850" w:type="dxa"/>
            <w:vAlign w:val="bottom"/>
          </w:tcPr>
          <w:p w14:paraId="5133CA74" w14:textId="77777777" w:rsidR="00B449D0" w:rsidRDefault="00175344">
            <w:pPr>
              <w:pStyle w:val="Summarytabletextrightaligned"/>
            </w:pPr>
            <w:r>
              <w:t>1.2</w:t>
            </w:r>
          </w:p>
        </w:tc>
      </w:tr>
      <w:tr w:rsidR="00B449D0" w14:paraId="09DD06C4" w14:textId="77777777" w:rsidTr="7F762F0D">
        <w:tc>
          <w:tcPr>
            <w:tcW w:w="3471" w:type="dxa"/>
            <w:vAlign w:val="bottom"/>
          </w:tcPr>
          <w:p w14:paraId="242909F7" w14:textId="77777777" w:rsidR="00B449D0" w:rsidRDefault="00175344">
            <w:pPr>
              <w:pStyle w:val="SummaryMeasureTitlewithTheme"/>
            </w:pPr>
            <w:r>
              <w:t>Civil Maritime Security Capabilities</w:t>
            </w:r>
          </w:p>
        </w:tc>
        <w:tc>
          <w:tcPr>
            <w:tcW w:w="850" w:type="dxa"/>
            <w:vAlign w:val="bottom"/>
          </w:tcPr>
          <w:p w14:paraId="556FFD41" w14:textId="7D912B60" w:rsidR="00B449D0" w:rsidRDefault="00076D78">
            <w:pPr>
              <w:pStyle w:val="Summarytabletextrightaligned"/>
            </w:pPr>
            <w:r>
              <w:noBreakHyphen/>
            </w:r>
          </w:p>
        </w:tc>
        <w:tc>
          <w:tcPr>
            <w:tcW w:w="850" w:type="dxa"/>
            <w:shd w:val="clear" w:color="auto" w:fill="E6F2FF"/>
            <w:vAlign w:val="bottom"/>
          </w:tcPr>
          <w:p w14:paraId="44538D1E" w14:textId="77777777" w:rsidR="00B449D0" w:rsidRDefault="00175344">
            <w:pPr>
              <w:pStyle w:val="Summarytabletextrightaligned"/>
            </w:pPr>
            <w:r w:rsidRPr="7F762F0D">
              <w:rPr>
                <w:lang w:val="en-US"/>
              </w:rPr>
              <w:t>nfp</w:t>
            </w:r>
          </w:p>
        </w:tc>
        <w:tc>
          <w:tcPr>
            <w:tcW w:w="850" w:type="dxa"/>
            <w:vAlign w:val="bottom"/>
          </w:tcPr>
          <w:p w14:paraId="54597DF5" w14:textId="77777777" w:rsidR="00B449D0" w:rsidRDefault="00175344">
            <w:pPr>
              <w:pStyle w:val="Summarytabletextrightaligned"/>
            </w:pPr>
            <w:r w:rsidRPr="7F762F0D">
              <w:rPr>
                <w:lang w:val="en-US"/>
              </w:rPr>
              <w:t>nfp</w:t>
            </w:r>
          </w:p>
        </w:tc>
        <w:tc>
          <w:tcPr>
            <w:tcW w:w="850" w:type="dxa"/>
            <w:vAlign w:val="bottom"/>
          </w:tcPr>
          <w:p w14:paraId="0841F37A" w14:textId="77777777" w:rsidR="00B449D0" w:rsidRDefault="00175344">
            <w:pPr>
              <w:pStyle w:val="Summarytabletextrightaligned"/>
            </w:pPr>
            <w:r w:rsidRPr="7F762F0D">
              <w:rPr>
                <w:lang w:val="en-US"/>
              </w:rPr>
              <w:t>nfp</w:t>
            </w:r>
          </w:p>
        </w:tc>
        <w:tc>
          <w:tcPr>
            <w:tcW w:w="850" w:type="dxa"/>
            <w:vAlign w:val="bottom"/>
          </w:tcPr>
          <w:p w14:paraId="65265022" w14:textId="77777777" w:rsidR="00B449D0" w:rsidRDefault="00175344">
            <w:pPr>
              <w:pStyle w:val="Summarytabletextrightaligned"/>
            </w:pPr>
            <w:r w:rsidRPr="7F762F0D">
              <w:rPr>
                <w:lang w:val="en-US"/>
              </w:rPr>
              <w:t>nfp</w:t>
            </w:r>
          </w:p>
        </w:tc>
      </w:tr>
      <w:tr w:rsidR="00B449D0" w14:paraId="3E3C5D79" w14:textId="77777777" w:rsidTr="7F762F0D">
        <w:tc>
          <w:tcPr>
            <w:tcW w:w="3471" w:type="dxa"/>
            <w:vAlign w:val="bottom"/>
          </w:tcPr>
          <w:p w14:paraId="7F593B95" w14:textId="77777777" w:rsidR="00B449D0" w:rsidRDefault="00175344">
            <w:pPr>
              <w:pStyle w:val="SummaryMeasureTitlewithTheme"/>
            </w:pPr>
            <w:r>
              <w:t>Combatting Antisemitism and Islamophobia</w:t>
            </w:r>
          </w:p>
        </w:tc>
        <w:tc>
          <w:tcPr>
            <w:tcW w:w="850" w:type="dxa"/>
            <w:vAlign w:val="bottom"/>
          </w:tcPr>
          <w:p w14:paraId="1D4FADAE" w14:textId="5B802141" w:rsidR="00B449D0" w:rsidRDefault="00076D78">
            <w:pPr>
              <w:pStyle w:val="Summarytabletextrightaligned"/>
            </w:pPr>
            <w:r>
              <w:noBreakHyphen/>
            </w:r>
          </w:p>
        </w:tc>
        <w:tc>
          <w:tcPr>
            <w:tcW w:w="850" w:type="dxa"/>
            <w:shd w:val="clear" w:color="auto" w:fill="E6F2FF"/>
            <w:vAlign w:val="bottom"/>
          </w:tcPr>
          <w:p w14:paraId="14C6AB14" w14:textId="77777777" w:rsidR="00B449D0" w:rsidRDefault="00175344">
            <w:pPr>
              <w:pStyle w:val="Summarytabletextrightaligned"/>
            </w:pPr>
            <w:r>
              <w:t>1.5</w:t>
            </w:r>
          </w:p>
        </w:tc>
        <w:tc>
          <w:tcPr>
            <w:tcW w:w="850" w:type="dxa"/>
            <w:vAlign w:val="bottom"/>
          </w:tcPr>
          <w:p w14:paraId="249DE0F4" w14:textId="77777777" w:rsidR="00B449D0" w:rsidRDefault="00175344">
            <w:pPr>
              <w:pStyle w:val="Summarytabletextrightaligned"/>
            </w:pPr>
            <w:r>
              <w:t>5.6</w:t>
            </w:r>
          </w:p>
        </w:tc>
        <w:tc>
          <w:tcPr>
            <w:tcW w:w="850" w:type="dxa"/>
            <w:vAlign w:val="bottom"/>
          </w:tcPr>
          <w:p w14:paraId="57CBBD71" w14:textId="77777777" w:rsidR="00B449D0" w:rsidRDefault="00175344">
            <w:pPr>
              <w:pStyle w:val="Summarytabletextrightaligned"/>
            </w:pPr>
            <w:r>
              <w:t>5.7</w:t>
            </w:r>
          </w:p>
        </w:tc>
        <w:tc>
          <w:tcPr>
            <w:tcW w:w="850" w:type="dxa"/>
            <w:vAlign w:val="bottom"/>
          </w:tcPr>
          <w:p w14:paraId="3E2F78DC" w14:textId="5F6B6D01" w:rsidR="00B449D0" w:rsidRDefault="00076D78">
            <w:pPr>
              <w:pStyle w:val="Summarytabletextrightaligned"/>
            </w:pPr>
            <w:r>
              <w:noBreakHyphen/>
            </w:r>
          </w:p>
        </w:tc>
      </w:tr>
      <w:tr w:rsidR="00B449D0" w14:paraId="0E43A9E8" w14:textId="77777777" w:rsidTr="7F762F0D">
        <w:tc>
          <w:tcPr>
            <w:tcW w:w="3471" w:type="dxa"/>
            <w:vAlign w:val="bottom"/>
          </w:tcPr>
          <w:p w14:paraId="2CDAC4B9" w14:textId="77777777" w:rsidR="00B449D0" w:rsidRDefault="00175344">
            <w:pPr>
              <w:pStyle w:val="SummaryMeasureTitlewithTheme"/>
            </w:pPr>
            <w:r>
              <w:t>Department of Home Affairs – reprioritisation</w:t>
            </w:r>
          </w:p>
        </w:tc>
        <w:tc>
          <w:tcPr>
            <w:tcW w:w="850" w:type="dxa"/>
            <w:vAlign w:val="bottom"/>
          </w:tcPr>
          <w:p w14:paraId="5FB9B7E9" w14:textId="6D1A74FB" w:rsidR="00B449D0" w:rsidRDefault="00076D78">
            <w:pPr>
              <w:pStyle w:val="Summarytabletextrightaligned"/>
            </w:pPr>
            <w:r>
              <w:noBreakHyphen/>
            </w:r>
          </w:p>
        </w:tc>
        <w:tc>
          <w:tcPr>
            <w:tcW w:w="850" w:type="dxa"/>
            <w:shd w:val="clear" w:color="auto" w:fill="E6F2FF"/>
            <w:vAlign w:val="bottom"/>
          </w:tcPr>
          <w:p w14:paraId="72D14327" w14:textId="38E31694" w:rsidR="00B449D0" w:rsidRDefault="00076D78">
            <w:pPr>
              <w:pStyle w:val="Summarytabletextrightaligned"/>
            </w:pPr>
            <w:r>
              <w:noBreakHyphen/>
            </w:r>
            <w:r w:rsidR="00175344">
              <w:t>27.8</w:t>
            </w:r>
          </w:p>
        </w:tc>
        <w:tc>
          <w:tcPr>
            <w:tcW w:w="850" w:type="dxa"/>
            <w:vAlign w:val="bottom"/>
          </w:tcPr>
          <w:p w14:paraId="610A2361" w14:textId="63C59040" w:rsidR="00B449D0" w:rsidRDefault="00076D78">
            <w:pPr>
              <w:pStyle w:val="Summarytabletextrightaligned"/>
            </w:pPr>
            <w:r>
              <w:noBreakHyphen/>
            </w:r>
            <w:r w:rsidR="00175344">
              <w:t>22.4</w:t>
            </w:r>
          </w:p>
        </w:tc>
        <w:tc>
          <w:tcPr>
            <w:tcW w:w="850" w:type="dxa"/>
            <w:vAlign w:val="bottom"/>
          </w:tcPr>
          <w:p w14:paraId="5CFC35F3" w14:textId="6865A149" w:rsidR="00B449D0" w:rsidRDefault="00076D78">
            <w:pPr>
              <w:pStyle w:val="Summarytabletextrightaligned"/>
            </w:pPr>
            <w:r>
              <w:noBreakHyphen/>
            </w:r>
            <w:r w:rsidR="00175344">
              <w:t>22.2</w:t>
            </w:r>
          </w:p>
        </w:tc>
        <w:tc>
          <w:tcPr>
            <w:tcW w:w="850" w:type="dxa"/>
            <w:vAlign w:val="bottom"/>
          </w:tcPr>
          <w:p w14:paraId="52AE92D4" w14:textId="1A8E58A5" w:rsidR="00B449D0" w:rsidRDefault="00076D78">
            <w:pPr>
              <w:pStyle w:val="Summarytabletextrightaligned"/>
            </w:pPr>
            <w:r>
              <w:noBreakHyphen/>
            </w:r>
            <w:r w:rsidR="00175344">
              <w:t>1.5</w:t>
            </w:r>
          </w:p>
        </w:tc>
      </w:tr>
      <w:tr w:rsidR="00B449D0" w14:paraId="01F4114C" w14:textId="77777777" w:rsidTr="7F762F0D">
        <w:tc>
          <w:tcPr>
            <w:tcW w:w="3471" w:type="dxa"/>
            <w:vAlign w:val="bottom"/>
          </w:tcPr>
          <w:p w14:paraId="54D9E96B" w14:textId="77777777" w:rsidR="00B449D0" w:rsidRDefault="00175344">
            <w:pPr>
              <w:pStyle w:val="SummaryMeasureTitlewithTheme"/>
            </w:pPr>
            <w:r>
              <w:t>Government Response to the Disability Royal Commission</w:t>
            </w:r>
          </w:p>
        </w:tc>
        <w:tc>
          <w:tcPr>
            <w:tcW w:w="850" w:type="dxa"/>
            <w:vAlign w:val="bottom"/>
          </w:tcPr>
          <w:p w14:paraId="46DC9A4B" w14:textId="2350157D" w:rsidR="00B449D0" w:rsidRDefault="00076D78">
            <w:pPr>
              <w:pStyle w:val="Summarytabletextrightaligned"/>
            </w:pPr>
            <w:r>
              <w:noBreakHyphen/>
            </w:r>
          </w:p>
        </w:tc>
        <w:tc>
          <w:tcPr>
            <w:tcW w:w="850" w:type="dxa"/>
            <w:shd w:val="clear" w:color="auto" w:fill="E6F2FF"/>
            <w:vAlign w:val="bottom"/>
          </w:tcPr>
          <w:p w14:paraId="181802B8" w14:textId="24CDC373" w:rsidR="00B449D0" w:rsidRDefault="00076D78">
            <w:pPr>
              <w:pStyle w:val="Summarytabletextrightaligned"/>
            </w:pPr>
            <w:r>
              <w:noBreakHyphen/>
            </w:r>
          </w:p>
        </w:tc>
        <w:tc>
          <w:tcPr>
            <w:tcW w:w="850" w:type="dxa"/>
            <w:vAlign w:val="bottom"/>
          </w:tcPr>
          <w:p w14:paraId="6C2D0DA8" w14:textId="3376ABF5" w:rsidR="00B449D0" w:rsidRDefault="00076D78">
            <w:pPr>
              <w:pStyle w:val="Summarytabletextrightaligned"/>
            </w:pPr>
            <w:r>
              <w:noBreakHyphen/>
            </w:r>
          </w:p>
        </w:tc>
        <w:tc>
          <w:tcPr>
            <w:tcW w:w="850" w:type="dxa"/>
            <w:vAlign w:val="bottom"/>
          </w:tcPr>
          <w:p w14:paraId="1771C472" w14:textId="6EA3DE0A" w:rsidR="00B449D0" w:rsidRDefault="00076D78">
            <w:pPr>
              <w:pStyle w:val="Summarytabletextrightaligned"/>
            </w:pPr>
            <w:r>
              <w:noBreakHyphen/>
            </w:r>
          </w:p>
        </w:tc>
        <w:tc>
          <w:tcPr>
            <w:tcW w:w="850" w:type="dxa"/>
            <w:vAlign w:val="bottom"/>
          </w:tcPr>
          <w:p w14:paraId="0289F7CC" w14:textId="0E0340B9" w:rsidR="00B449D0" w:rsidRDefault="00076D78">
            <w:pPr>
              <w:pStyle w:val="Summarytabletextrightaligned"/>
            </w:pPr>
            <w:r>
              <w:noBreakHyphen/>
            </w:r>
          </w:p>
        </w:tc>
      </w:tr>
      <w:tr w:rsidR="00B449D0" w14:paraId="13C94759" w14:textId="77777777" w:rsidTr="7F762F0D">
        <w:tc>
          <w:tcPr>
            <w:tcW w:w="3471" w:type="dxa"/>
            <w:vAlign w:val="bottom"/>
          </w:tcPr>
          <w:p w14:paraId="0B484F55" w14:textId="77777777" w:rsidR="00B449D0" w:rsidRDefault="00175344">
            <w:pPr>
              <w:pStyle w:val="SummaryMeasureTitlewithTheme"/>
            </w:pPr>
            <w:r>
              <w:t>Government Response to the Multicultural Framework Review</w:t>
            </w:r>
          </w:p>
        </w:tc>
        <w:tc>
          <w:tcPr>
            <w:tcW w:w="850" w:type="dxa"/>
            <w:vAlign w:val="bottom"/>
          </w:tcPr>
          <w:p w14:paraId="70181543" w14:textId="1F246D54" w:rsidR="00B449D0" w:rsidRDefault="00076D78">
            <w:pPr>
              <w:pStyle w:val="Summarytabletextrightaligned"/>
            </w:pPr>
            <w:r>
              <w:noBreakHyphen/>
            </w:r>
          </w:p>
        </w:tc>
        <w:tc>
          <w:tcPr>
            <w:tcW w:w="850" w:type="dxa"/>
            <w:shd w:val="clear" w:color="auto" w:fill="E6F2FF"/>
            <w:vAlign w:val="bottom"/>
          </w:tcPr>
          <w:p w14:paraId="66F4960E" w14:textId="5F81997D" w:rsidR="00B449D0" w:rsidRDefault="00076D78">
            <w:pPr>
              <w:pStyle w:val="Summarytabletextrightaligned"/>
            </w:pPr>
            <w:r>
              <w:noBreakHyphen/>
            </w:r>
          </w:p>
        </w:tc>
        <w:tc>
          <w:tcPr>
            <w:tcW w:w="850" w:type="dxa"/>
            <w:vAlign w:val="bottom"/>
          </w:tcPr>
          <w:p w14:paraId="502D824F" w14:textId="77160E69" w:rsidR="00B449D0" w:rsidRDefault="00076D78">
            <w:pPr>
              <w:pStyle w:val="Summarytabletextrightaligned"/>
            </w:pPr>
            <w:r>
              <w:noBreakHyphen/>
            </w:r>
          </w:p>
        </w:tc>
        <w:tc>
          <w:tcPr>
            <w:tcW w:w="850" w:type="dxa"/>
            <w:vAlign w:val="bottom"/>
          </w:tcPr>
          <w:p w14:paraId="7CECE7C3" w14:textId="72759986" w:rsidR="00B449D0" w:rsidRDefault="00076D78">
            <w:pPr>
              <w:pStyle w:val="Summarytabletextrightaligned"/>
            </w:pPr>
            <w:r>
              <w:noBreakHyphen/>
            </w:r>
          </w:p>
        </w:tc>
        <w:tc>
          <w:tcPr>
            <w:tcW w:w="850" w:type="dxa"/>
            <w:vAlign w:val="bottom"/>
          </w:tcPr>
          <w:p w14:paraId="27842697" w14:textId="336FD7B7" w:rsidR="00B449D0" w:rsidRDefault="00076D78">
            <w:pPr>
              <w:pStyle w:val="Summarytabletextrightaligned"/>
            </w:pPr>
            <w:r>
              <w:noBreakHyphen/>
            </w:r>
          </w:p>
        </w:tc>
      </w:tr>
      <w:tr w:rsidR="00B449D0" w14:paraId="331B35E2" w14:textId="77777777" w:rsidTr="7F762F0D">
        <w:tc>
          <w:tcPr>
            <w:tcW w:w="3471" w:type="dxa"/>
            <w:vAlign w:val="bottom"/>
          </w:tcPr>
          <w:p w14:paraId="2BC2E8AA" w14:textId="77777777" w:rsidR="00B449D0" w:rsidRDefault="00175344">
            <w:pPr>
              <w:pStyle w:val="SummaryMeasureTitlewithTheme"/>
            </w:pPr>
            <w:r>
              <w:t>Lebanon Repatriation and Related Support</w:t>
            </w:r>
          </w:p>
        </w:tc>
        <w:tc>
          <w:tcPr>
            <w:tcW w:w="850" w:type="dxa"/>
            <w:vAlign w:val="bottom"/>
          </w:tcPr>
          <w:p w14:paraId="6F649899" w14:textId="4C56AA40" w:rsidR="00B449D0" w:rsidRDefault="00076D78">
            <w:pPr>
              <w:pStyle w:val="Summarytabletextrightaligned"/>
            </w:pPr>
            <w:r>
              <w:noBreakHyphen/>
            </w:r>
          </w:p>
        </w:tc>
        <w:tc>
          <w:tcPr>
            <w:tcW w:w="850" w:type="dxa"/>
            <w:shd w:val="clear" w:color="auto" w:fill="E6F2FF"/>
            <w:vAlign w:val="bottom"/>
          </w:tcPr>
          <w:p w14:paraId="013F136E" w14:textId="77777777" w:rsidR="00B449D0" w:rsidRDefault="00175344">
            <w:pPr>
              <w:pStyle w:val="Summarytabletextrightaligned"/>
            </w:pPr>
            <w:r>
              <w:t>1.0</w:t>
            </w:r>
          </w:p>
        </w:tc>
        <w:tc>
          <w:tcPr>
            <w:tcW w:w="850" w:type="dxa"/>
            <w:vAlign w:val="bottom"/>
          </w:tcPr>
          <w:p w14:paraId="6BD92186" w14:textId="0A879424" w:rsidR="00B449D0" w:rsidRDefault="00076D78">
            <w:pPr>
              <w:pStyle w:val="Summarytabletextrightaligned"/>
            </w:pPr>
            <w:r>
              <w:noBreakHyphen/>
            </w:r>
          </w:p>
        </w:tc>
        <w:tc>
          <w:tcPr>
            <w:tcW w:w="850" w:type="dxa"/>
            <w:vAlign w:val="bottom"/>
          </w:tcPr>
          <w:p w14:paraId="03E80539" w14:textId="68D6A6F0" w:rsidR="00B449D0" w:rsidRDefault="00076D78">
            <w:pPr>
              <w:pStyle w:val="Summarytabletextrightaligned"/>
            </w:pPr>
            <w:r>
              <w:noBreakHyphen/>
            </w:r>
          </w:p>
        </w:tc>
        <w:tc>
          <w:tcPr>
            <w:tcW w:w="850" w:type="dxa"/>
            <w:vAlign w:val="bottom"/>
          </w:tcPr>
          <w:p w14:paraId="771D1E2A" w14:textId="601C67BC" w:rsidR="00B449D0" w:rsidRDefault="00076D78">
            <w:pPr>
              <w:pStyle w:val="Summarytabletextrightaligned"/>
            </w:pPr>
            <w:r>
              <w:noBreakHyphen/>
            </w:r>
          </w:p>
        </w:tc>
      </w:tr>
      <w:tr w:rsidR="00B449D0" w14:paraId="53350102" w14:textId="77777777" w:rsidTr="7F762F0D">
        <w:tc>
          <w:tcPr>
            <w:tcW w:w="3471" w:type="dxa"/>
            <w:vAlign w:val="bottom"/>
          </w:tcPr>
          <w:p w14:paraId="35EEE60F" w14:textId="77777777" w:rsidR="00B449D0" w:rsidRDefault="00175344">
            <w:pPr>
              <w:pStyle w:val="SummaryMeasureTitlewithTheme"/>
            </w:pPr>
            <w:r>
              <w:t>Longer‑term Funding for the Sustainability of Operations</w:t>
            </w:r>
          </w:p>
        </w:tc>
        <w:tc>
          <w:tcPr>
            <w:tcW w:w="850" w:type="dxa"/>
            <w:vAlign w:val="bottom"/>
          </w:tcPr>
          <w:p w14:paraId="28FCA7D1" w14:textId="5BF506AE" w:rsidR="00B449D0" w:rsidRDefault="00076D78">
            <w:pPr>
              <w:pStyle w:val="Summarytabletextrightaligned"/>
            </w:pPr>
            <w:r>
              <w:noBreakHyphen/>
            </w:r>
          </w:p>
        </w:tc>
        <w:tc>
          <w:tcPr>
            <w:tcW w:w="850" w:type="dxa"/>
            <w:shd w:val="clear" w:color="auto" w:fill="E6F2FF"/>
            <w:vAlign w:val="bottom"/>
          </w:tcPr>
          <w:p w14:paraId="7FBEB2A5" w14:textId="55584F0E" w:rsidR="00B449D0" w:rsidRDefault="00076D78">
            <w:pPr>
              <w:pStyle w:val="Summarytabletextrightaligned"/>
            </w:pPr>
            <w:r>
              <w:noBreakHyphen/>
            </w:r>
          </w:p>
        </w:tc>
        <w:tc>
          <w:tcPr>
            <w:tcW w:w="850" w:type="dxa"/>
            <w:vAlign w:val="bottom"/>
          </w:tcPr>
          <w:p w14:paraId="51D86D36" w14:textId="4C10F3D5" w:rsidR="00B449D0" w:rsidRDefault="00076D78">
            <w:pPr>
              <w:pStyle w:val="Summarytabletextrightaligned"/>
            </w:pPr>
            <w:r>
              <w:noBreakHyphen/>
            </w:r>
          </w:p>
        </w:tc>
        <w:tc>
          <w:tcPr>
            <w:tcW w:w="850" w:type="dxa"/>
            <w:vAlign w:val="bottom"/>
          </w:tcPr>
          <w:p w14:paraId="76E28176" w14:textId="285DFCC0" w:rsidR="00B449D0" w:rsidRDefault="00076D78">
            <w:pPr>
              <w:pStyle w:val="Summarytabletextrightaligned"/>
            </w:pPr>
            <w:r>
              <w:noBreakHyphen/>
            </w:r>
          </w:p>
        </w:tc>
        <w:tc>
          <w:tcPr>
            <w:tcW w:w="850" w:type="dxa"/>
            <w:vAlign w:val="bottom"/>
          </w:tcPr>
          <w:p w14:paraId="6A8D8BB1" w14:textId="3F2637DD" w:rsidR="00B449D0" w:rsidRDefault="00076D78">
            <w:pPr>
              <w:pStyle w:val="Summarytabletextrightaligned"/>
            </w:pPr>
            <w:r>
              <w:noBreakHyphen/>
            </w:r>
          </w:p>
        </w:tc>
      </w:tr>
      <w:tr w:rsidR="00B449D0" w14:paraId="5BCFE89A" w14:textId="77777777" w:rsidTr="7F762F0D">
        <w:tc>
          <w:tcPr>
            <w:tcW w:w="3471" w:type="dxa"/>
            <w:vAlign w:val="bottom"/>
          </w:tcPr>
          <w:p w14:paraId="33747F4C" w14:textId="77777777" w:rsidR="00B449D0" w:rsidRDefault="00175344">
            <w:pPr>
              <w:pStyle w:val="SummaryMeasureTitlewithTheme"/>
            </w:pPr>
            <w:r>
              <w:t>Migration – uplift of Visa Application Charges(b)</w:t>
            </w:r>
          </w:p>
        </w:tc>
        <w:tc>
          <w:tcPr>
            <w:tcW w:w="850" w:type="dxa"/>
            <w:vAlign w:val="bottom"/>
          </w:tcPr>
          <w:p w14:paraId="17444AB9" w14:textId="23A3B39E" w:rsidR="00B449D0" w:rsidRDefault="00076D78">
            <w:pPr>
              <w:pStyle w:val="Summarytabletextrightaligned"/>
            </w:pPr>
            <w:r>
              <w:noBreakHyphen/>
            </w:r>
          </w:p>
        </w:tc>
        <w:tc>
          <w:tcPr>
            <w:tcW w:w="850" w:type="dxa"/>
            <w:shd w:val="clear" w:color="auto" w:fill="E6F2FF"/>
            <w:vAlign w:val="bottom"/>
          </w:tcPr>
          <w:p w14:paraId="31F352F4" w14:textId="42146562" w:rsidR="00B449D0" w:rsidRDefault="00076D78">
            <w:pPr>
              <w:pStyle w:val="Summarytabletextrightaligned"/>
            </w:pPr>
            <w:r>
              <w:noBreakHyphen/>
            </w:r>
          </w:p>
        </w:tc>
        <w:tc>
          <w:tcPr>
            <w:tcW w:w="850" w:type="dxa"/>
            <w:vAlign w:val="bottom"/>
          </w:tcPr>
          <w:p w14:paraId="5EC239DF" w14:textId="54D5408F" w:rsidR="00B449D0" w:rsidRDefault="00076D78">
            <w:pPr>
              <w:pStyle w:val="Summarytabletextrightaligned"/>
            </w:pPr>
            <w:r>
              <w:noBreakHyphen/>
            </w:r>
          </w:p>
        </w:tc>
        <w:tc>
          <w:tcPr>
            <w:tcW w:w="850" w:type="dxa"/>
            <w:vAlign w:val="bottom"/>
          </w:tcPr>
          <w:p w14:paraId="5C331B0B" w14:textId="5B9E221C" w:rsidR="00B449D0" w:rsidRDefault="00076D78">
            <w:pPr>
              <w:pStyle w:val="Summarytabletextrightaligned"/>
            </w:pPr>
            <w:r>
              <w:noBreakHyphen/>
            </w:r>
          </w:p>
        </w:tc>
        <w:tc>
          <w:tcPr>
            <w:tcW w:w="850" w:type="dxa"/>
            <w:vAlign w:val="bottom"/>
          </w:tcPr>
          <w:p w14:paraId="2FA15894" w14:textId="06E714A2" w:rsidR="00B449D0" w:rsidRDefault="00076D78">
            <w:pPr>
              <w:pStyle w:val="Summarytabletextrightaligned"/>
            </w:pPr>
            <w:r>
              <w:noBreakHyphen/>
            </w:r>
          </w:p>
        </w:tc>
      </w:tr>
      <w:tr w:rsidR="00B449D0" w14:paraId="31E0EAEF" w14:textId="77777777" w:rsidTr="7F762F0D">
        <w:tc>
          <w:tcPr>
            <w:tcW w:w="3471" w:type="dxa"/>
            <w:vAlign w:val="bottom"/>
          </w:tcPr>
          <w:p w14:paraId="521B36AF" w14:textId="1F1FAF7D" w:rsidR="00B449D0" w:rsidRDefault="00175344">
            <w:pPr>
              <w:pStyle w:val="SummaryMeasureTitlewithTheme"/>
            </w:pPr>
            <w:r>
              <w:t>Strengthening Australia</w:t>
            </w:r>
            <w:r w:rsidR="00076D78">
              <w:t>’</w:t>
            </w:r>
            <w:r>
              <w:t>s Arrangements for High Risk Terrorist Offenders – continuation</w:t>
            </w:r>
          </w:p>
        </w:tc>
        <w:tc>
          <w:tcPr>
            <w:tcW w:w="850" w:type="dxa"/>
            <w:vAlign w:val="bottom"/>
          </w:tcPr>
          <w:p w14:paraId="790DB023" w14:textId="659A90E7" w:rsidR="00B449D0" w:rsidRDefault="00076D78">
            <w:pPr>
              <w:pStyle w:val="Summarytabletextrightaligned"/>
            </w:pPr>
            <w:r>
              <w:noBreakHyphen/>
            </w:r>
          </w:p>
        </w:tc>
        <w:tc>
          <w:tcPr>
            <w:tcW w:w="850" w:type="dxa"/>
            <w:shd w:val="clear" w:color="auto" w:fill="E6F2FF"/>
            <w:vAlign w:val="bottom"/>
          </w:tcPr>
          <w:p w14:paraId="1D2B2361" w14:textId="5B247EFB" w:rsidR="00B449D0" w:rsidRDefault="00076D78">
            <w:pPr>
              <w:pStyle w:val="Summarytabletextrightaligned"/>
            </w:pPr>
            <w:r>
              <w:noBreakHyphen/>
            </w:r>
          </w:p>
        </w:tc>
        <w:tc>
          <w:tcPr>
            <w:tcW w:w="850" w:type="dxa"/>
            <w:vAlign w:val="bottom"/>
          </w:tcPr>
          <w:p w14:paraId="1AF91309" w14:textId="77777777" w:rsidR="00B449D0" w:rsidRDefault="00175344">
            <w:pPr>
              <w:pStyle w:val="Summarytabletextrightaligned"/>
            </w:pPr>
            <w:r>
              <w:t>0.4</w:t>
            </w:r>
          </w:p>
        </w:tc>
        <w:tc>
          <w:tcPr>
            <w:tcW w:w="850" w:type="dxa"/>
            <w:vAlign w:val="bottom"/>
          </w:tcPr>
          <w:p w14:paraId="605C0F18" w14:textId="7FF5BB9A" w:rsidR="00B449D0" w:rsidRDefault="00076D78">
            <w:pPr>
              <w:pStyle w:val="Summarytabletextrightaligned"/>
            </w:pPr>
            <w:r>
              <w:noBreakHyphen/>
            </w:r>
          </w:p>
        </w:tc>
        <w:tc>
          <w:tcPr>
            <w:tcW w:w="850" w:type="dxa"/>
            <w:vAlign w:val="bottom"/>
          </w:tcPr>
          <w:p w14:paraId="46BBE8DB" w14:textId="3A6F5731" w:rsidR="00B449D0" w:rsidRDefault="00076D78">
            <w:pPr>
              <w:pStyle w:val="Summarytabletextrightaligned"/>
            </w:pPr>
            <w:r>
              <w:noBreakHyphen/>
            </w:r>
          </w:p>
        </w:tc>
      </w:tr>
      <w:tr w:rsidR="00B449D0" w14:paraId="3528048F" w14:textId="77777777" w:rsidTr="7F762F0D">
        <w:tc>
          <w:tcPr>
            <w:tcW w:w="3471" w:type="dxa"/>
            <w:vAlign w:val="bottom"/>
          </w:tcPr>
          <w:p w14:paraId="1CA19058" w14:textId="77777777" w:rsidR="00B449D0" w:rsidRDefault="00175344">
            <w:pPr>
              <w:pStyle w:val="SummaryMeasureTitlewithTheme"/>
            </w:pPr>
            <w:r>
              <w:t>United States Global Entry Program</w:t>
            </w:r>
          </w:p>
        </w:tc>
        <w:tc>
          <w:tcPr>
            <w:tcW w:w="850" w:type="dxa"/>
            <w:vAlign w:val="bottom"/>
          </w:tcPr>
          <w:p w14:paraId="7D2B3850" w14:textId="6AD28A81" w:rsidR="00B449D0" w:rsidRDefault="00076D78">
            <w:pPr>
              <w:pStyle w:val="Summarytabletextrightaligned"/>
            </w:pPr>
            <w:r>
              <w:noBreakHyphen/>
            </w:r>
          </w:p>
        </w:tc>
        <w:tc>
          <w:tcPr>
            <w:tcW w:w="850" w:type="dxa"/>
            <w:shd w:val="clear" w:color="auto" w:fill="E6F2FF"/>
            <w:vAlign w:val="bottom"/>
          </w:tcPr>
          <w:p w14:paraId="7E1C45AD" w14:textId="03556A46" w:rsidR="00B449D0" w:rsidRDefault="00076D78">
            <w:pPr>
              <w:pStyle w:val="Summarytabletextrightaligned"/>
            </w:pPr>
            <w:r>
              <w:noBreakHyphen/>
            </w:r>
          </w:p>
        </w:tc>
        <w:tc>
          <w:tcPr>
            <w:tcW w:w="850" w:type="dxa"/>
            <w:vAlign w:val="bottom"/>
          </w:tcPr>
          <w:p w14:paraId="1DA9FE5A" w14:textId="28A94D77" w:rsidR="00B449D0" w:rsidRDefault="00076D78">
            <w:pPr>
              <w:pStyle w:val="Summarytabletextrightaligned"/>
            </w:pPr>
            <w:r>
              <w:noBreakHyphen/>
            </w:r>
          </w:p>
        </w:tc>
        <w:tc>
          <w:tcPr>
            <w:tcW w:w="850" w:type="dxa"/>
            <w:vAlign w:val="bottom"/>
          </w:tcPr>
          <w:p w14:paraId="1D8F89F4" w14:textId="5C833F6C" w:rsidR="00B449D0" w:rsidRDefault="00076D78">
            <w:pPr>
              <w:pStyle w:val="Summarytabletextrightaligned"/>
            </w:pPr>
            <w:r>
              <w:noBreakHyphen/>
            </w:r>
          </w:p>
        </w:tc>
        <w:tc>
          <w:tcPr>
            <w:tcW w:w="850" w:type="dxa"/>
            <w:vAlign w:val="bottom"/>
          </w:tcPr>
          <w:p w14:paraId="26AC2584" w14:textId="50899AA9" w:rsidR="00B449D0" w:rsidRDefault="00076D78">
            <w:pPr>
              <w:pStyle w:val="Summarytabletextrightaligned"/>
            </w:pPr>
            <w:r>
              <w:noBreakHyphen/>
            </w:r>
          </w:p>
        </w:tc>
      </w:tr>
      <w:tr w:rsidR="00B449D0" w14:paraId="46E4112C" w14:textId="77777777" w:rsidTr="7F762F0D">
        <w:tc>
          <w:tcPr>
            <w:tcW w:w="3471" w:type="dxa"/>
            <w:vAlign w:val="bottom"/>
          </w:tcPr>
          <w:p w14:paraId="5B439FFD" w14:textId="77777777" w:rsidR="00B449D0" w:rsidRDefault="00175344">
            <w:pPr>
              <w:pStyle w:val="SummaryMeasureTitlewithTheme"/>
            </w:pPr>
            <w:r>
              <w:t>Vaping Regulation Reform Package</w:t>
            </w:r>
          </w:p>
        </w:tc>
        <w:tc>
          <w:tcPr>
            <w:tcW w:w="850" w:type="dxa"/>
            <w:vAlign w:val="bottom"/>
          </w:tcPr>
          <w:p w14:paraId="4C5D9609" w14:textId="59EB4327" w:rsidR="00B449D0" w:rsidRDefault="00076D78">
            <w:pPr>
              <w:pStyle w:val="Summarytabletextrightaligned"/>
            </w:pPr>
            <w:r>
              <w:noBreakHyphen/>
            </w:r>
          </w:p>
        </w:tc>
        <w:tc>
          <w:tcPr>
            <w:tcW w:w="850" w:type="dxa"/>
            <w:shd w:val="clear" w:color="auto" w:fill="E6F2FF"/>
            <w:vAlign w:val="bottom"/>
          </w:tcPr>
          <w:p w14:paraId="3D51AB0A" w14:textId="7D8F4D9D" w:rsidR="00B449D0" w:rsidRDefault="00076D78">
            <w:pPr>
              <w:pStyle w:val="Summarytabletextrightaligned"/>
            </w:pPr>
            <w:r>
              <w:noBreakHyphen/>
            </w:r>
          </w:p>
        </w:tc>
        <w:tc>
          <w:tcPr>
            <w:tcW w:w="850" w:type="dxa"/>
            <w:vAlign w:val="bottom"/>
          </w:tcPr>
          <w:p w14:paraId="011B7B53" w14:textId="77777777" w:rsidR="00B449D0" w:rsidRDefault="00175344">
            <w:pPr>
              <w:pStyle w:val="Summarytabletextrightaligned"/>
            </w:pPr>
            <w:r>
              <w:t>15.4</w:t>
            </w:r>
          </w:p>
        </w:tc>
        <w:tc>
          <w:tcPr>
            <w:tcW w:w="850" w:type="dxa"/>
            <w:vAlign w:val="bottom"/>
          </w:tcPr>
          <w:p w14:paraId="1656C6B8" w14:textId="77777777" w:rsidR="00B449D0" w:rsidRDefault="00175344">
            <w:pPr>
              <w:pStyle w:val="Summarytabletextrightaligned"/>
            </w:pPr>
            <w:r>
              <w:t>15.9</w:t>
            </w:r>
          </w:p>
        </w:tc>
        <w:tc>
          <w:tcPr>
            <w:tcW w:w="850" w:type="dxa"/>
            <w:vAlign w:val="bottom"/>
          </w:tcPr>
          <w:p w14:paraId="1A1230BA" w14:textId="34BC38C6" w:rsidR="00B449D0" w:rsidRDefault="00076D78">
            <w:pPr>
              <w:pStyle w:val="Summarytabletextrightaligned"/>
            </w:pPr>
            <w:r>
              <w:noBreakHyphen/>
            </w:r>
          </w:p>
        </w:tc>
      </w:tr>
      <w:tr w:rsidR="00B449D0" w14:paraId="22D316DA" w14:textId="77777777" w:rsidTr="7F762F0D">
        <w:tc>
          <w:tcPr>
            <w:tcW w:w="3471" w:type="dxa"/>
            <w:vAlign w:val="bottom"/>
          </w:tcPr>
          <w:p w14:paraId="36738CA7" w14:textId="77777777" w:rsidR="00B449D0" w:rsidRDefault="00175344">
            <w:pPr>
              <w:pStyle w:val="SummaryAgencyTitle-BP2"/>
            </w:pPr>
            <w:r>
              <w:t>National Emergency Management Agency</w:t>
            </w:r>
          </w:p>
        </w:tc>
        <w:tc>
          <w:tcPr>
            <w:tcW w:w="850" w:type="dxa"/>
          </w:tcPr>
          <w:p w14:paraId="09E7C5BA" w14:textId="77777777" w:rsidR="00B449D0" w:rsidRDefault="00B449D0">
            <w:pPr>
              <w:pStyle w:val="SummaryAgencyTitle-BP2"/>
            </w:pPr>
          </w:p>
        </w:tc>
        <w:tc>
          <w:tcPr>
            <w:tcW w:w="850" w:type="dxa"/>
            <w:shd w:val="clear" w:color="auto" w:fill="E6F2FF"/>
          </w:tcPr>
          <w:p w14:paraId="1B9928FE" w14:textId="77777777" w:rsidR="00B449D0" w:rsidRDefault="00B449D0">
            <w:pPr>
              <w:pStyle w:val="SummaryAgencyTitle-BP2"/>
            </w:pPr>
          </w:p>
        </w:tc>
        <w:tc>
          <w:tcPr>
            <w:tcW w:w="850" w:type="dxa"/>
          </w:tcPr>
          <w:p w14:paraId="5DC6697F" w14:textId="77777777" w:rsidR="00B449D0" w:rsidRDefault="00B449D0">
            <w:pPr>
              <w:pStyle w:val="SummaryAgencyTitle-BP2"/>
            </w:pPr>
          </w:p>
        </w:tc>
        <w:tc>
          <w:tcPr>
            <w:tcW w:w="850" w:type="dxa"/>
          </w:tcPr>
          <w:p w14:paraId="1FCA0315" w14:textId="77777777" w:rsidR="00B449D0" w:rsidRDefault="00B449D0">
            <w:pPr>
              <w:pStyle w:val="SummaryAgencyTitle-BP2"/>
            </w:pPr>
          </w:p>
        </w:tc>
        <w:tc>
          <w:tcPr>
            <w:tcW w:w="850" w:type="dxa"/>
          </w:tcPr>
          <w:p w14:paraId="23E4FD38" w14:textId="77777777" w:rsidR="00B449D0" w:rsidRDefault="00B449D0">
            <w:pPr>
              <w:pStyle w:val="SummaryAgencyTitle-BP2"/>
            </w:pPr>
          </w:p>
        </w:tc>
      </w:tr>
      <w:tr w:rsidR="00B449D0" w14:paraId="1180A407" w14:textId="77777777" w:rsidTr="7F762F0D">
        <w:tc>
          <w:tcPr>
            <w:tcW w:w="3471" w:type="dxa"/>
            <w:vAlign w:val="bottom"/>
          </w:tcPr>
          <w:p w14:paraId="172063F1" w14:textId="77777777" w:rsidR="00B449D0" w:rsidRDefault="00175344">
            <w:pPr>
              <w:pStyle w:val="SummaryMeasureTitlewithTheme"/>
            </w:pPr>
            <w:r>
              <w:t>Disaster Support</w:t>
            </w:r>
          </w:p>
        </w:tc>
        <w:tc>
          <w:tcPr>
            <w:tcW w:w="850" w:type="dxa"/>
            <w:vAlign w:val="bottom"/>
          </w:tcPr>
          <w:p w14:paraId="50A6D79C" w14:textId="6A2AD1E6" w:rsidR="00B449D0" w:rsidRDefault="00076D78">
            <w:pPr>
              <w:pStyle w:val="Summarytabletextrightaligned"/>
            </w:pPr>
            <w:r>
              <w:noBreakHyphen/>
            </w:r>
          </w:p>
        </w:tc>
        <w:tc>
          <w:tcPr>
            <w:tcW w:w="850" w:type="dxa"/>
            <w:shd w:val="clear" w:color="auto" w:fill="E6F2FF"/>
            <w:vAlign w:val="bottom"/>
          </w:tcPr>
          <w:p w14:paraId="2BAA6B51" w14:textId="699C2A95" w:rsidR="00B449D0" w:rsidRDefault="00076D78">
            <w:pPr>
              <w:pStyle w:val="Summarytabletextrightaligned"/>
            </w:pPr>
            <w:r>
              <w:noBreakHyphen/>
            </w:r>
          </w:p>
        </w:tc>
        <w:tc>
          <w:tcPr>
            <w:tcW w:w="850" w:type="dxa"/>
            <w:vAlign w:val="bottom"/>
          </w:tcPr>
          <w:p w14:paraId="43E3CEA1" w14:textId="77777777" w:rsidR="00B449D0" w:rsidRDefault="00175344">
            <w:pPr>
              <w:pStyle w:val="Summarytabletextrightaligned"/>
            </w:pPr>
            <w:r>
              <w:t>3.6</w:t>
            </w:r>
          </w:p>
        </w:tc>
        <w:tc>
          <w:tcPr>
            <w:tcW w:w="850" w:type="dxa"/>
            <w:vAlign w:val="bottom"/>
          </w:tcPr>
          <w:p w14:paraId="157AC5EA" w14:textId="4159944F" w:rsidR="00B449D0" w:rsidRDefault="00076D78">
            <w:pPr>
              <w:pStyle w:val="Summarytabletextrightaligned"/>
            </w:pPr>
            <w:r>
              <w:noBreakHyphen/>
            </w:r>
          </w:p>
        </w:tc>
        <w:tc>
          <w:tcPr>
            <w:tcW w:w="850" w:type="dxa"/>
            <w:vAlign w:val="bottom"/>
          </w:tcPr>
          <w:p w14:paraId="22076A2A" w14:textId="7D50C717" w:rsidR="00B449D0" w:rsidRDefault="00076D78">
            <w:pPr>
              <w:pStyle w:val="Summarytabletextrightaligned"/>
            </w:pPr>
            <w:r>
              <w:noBreakHyphen/>
            </w:r>
          </w:p>
        </w:tc>
      </w:tr>
      <w:tr w:rsidR="00B449D0" w14:paraId="050BE79D" w14:textId="77777777" w:rsidTr="7F762F0D">
        <w:tc>
          <w:tcPr>
            <w:tcW w:w="3471" w:type="dxa"/>
            <w:vAlign w:val="bottom"/>
          </w:tcPr>
          <w:p w14:paraId="0F21610F" w14:textId="77777777" w:rsidR="00B449D0" w:rsidRDefault="00175344">
            <w:pPr>
              <w:pStyle w:val="SummaryMeasureTitlewithTheme"/>
            </w:pPr>
            <w:r>
              <w:t>Lebanon Repatriation and Related Support</w:t>
            </w:r>
          </w:p>
        </w:tc>
        <w:tc>
          <w:tcPr>
            <w:tcW w:w="850" w:type="dxa"/>
            <w:vAlign w:val="bottom"/>
          </w:tcPr>
          <w:p w14:paraId="0E953EFD" w14:textId="622DDF62" w:rsidR="00B449D0" w:rsidRDefault="00076D78">
            <w:pPr>
              <w:pStyle w:val="Summarytabletextrightaligned"/>
            </w:pPr>
            <w:r>
              <w:noBreakHyphen/>
            </w:r>
          </w:p>
        </w:tc>
        <w:tc>
          <w:tcPr>
            <w:tcW w:w="850" w:type="dxa"/>
            <w:shd w:val="clear" w:color="auto" w:fill="E6F2FF"/>
            <w:vAlign w:val="bottom"/>
          </w:tcPr>
          <w:p w14:paraId="0E9E2EC7" w14:textId="77777777" w:rsidR="00B449D0" w:rsidRDefault="00175344">
            <w:pPr>
              <w:pStyle w:val="Summarytabletextrightaligned"/>
            </w:pPr>
            <w:r>
              <w:t>0.1</w:t>
            </w:r>
          </w:p>
        </w:tc>
        <w:tc>
          <w:tcPr>
            <w:tcW w:w="850" w:type="dxa"/>
            <w:vAlign w:val="bottom"/>
          </w:tcPr>
          <w:p w14:paraId="65754AFA" w14:textId="619C9FE2" w:rsidR="00B449D0" w:rsidRDefault="00076D78">
            <w:pPr>
              <w:pStyle w:val="Summarytabletextrightaligned"/>
            </w:pPr>
            <w:r>
              <w:noBreakHyphen/>
            </w:r>
          </w:p>
        </w:tc>
        <w:tc>
          <w:tcPr>
            <w:tcW w:w="850" w:type="dxa"/>
            <w:vAlign w:val="bottom"/>
          </w:tcPr>
          <w:p w14:paraId="5FCA4BFC" w14:textId="50E01F06" w:rsidR="00B449D0" w:rsidRDefault="00076D78">
            <w:pPr>
              <w:pStyle w:val="Summarytabletextrightaligned"/>
            </w:pPr>
            <w:r>
              <w:noBreakHyphen/>
            </w:r>
          </w:p>
        </w:tc>
        <w:tc>
          <w:tcPr>
            <w:tcW w:w="850" w:type="dxa"/>
            <w:vAlign w:val="bottom"/>
          </w:tcPr>
          <w:p w14:paraId="6ED1E35A" w14:textId="12563DC2" w:rsidR="00B449D0" w:rsidRDefault="00076D78">
            <w:pPr>
              <w:pStyle w:val="Summarytabletextrightaligned"/>
            </w:pPr>
            <w:r>
              <w:noBreakHyphen/>
            </w:r>
          </w:p>
        </w:tc>
      </w:tr>
      <w:tr w:rsidR="00B449D0" w14:paraId="2585723E" w14:textId="77777777" w:rsidTr="7F762F0D">
        <w:tc>
          <w:tcPr>
            <w:tcW w:w="3471" w:type="dxa"/>
            <w:vAlign w:val="bottom"/>
          </w:tcPr>
          <w:p w14:paraId="34C12583" w14:textId="77777777" w:rsidR="00B449D0" w:rsidRDefault="00175344">
            <w:pPr>
              <w:pStyle w:val="Summarytabletextleftalignedbold"/>
            </w:pPr>
            <w:r>
              <w:t>Portfolio total</w:t>
            </w:r>
          </w:p>
        </w:tc>
        <w:tc>
          <w:tcPr>
            <w:tcW w:w="850" w:type="dxa"/>
            <w:tcBorders>
              <w:top w:val="single" w:sz="4" w:space="0" w:color="000000" w:themeColor="text1"/>
              <w:bottom w:val="single" w:sz="4" w:space="0" w:color="000000" w:themeColor="text1"/>
            </w:tcBorders>
            <w:vAlign w:val="bottom"/>
          </w:tcPr>
          <w:p w14:paraId="70C8E442" w14:textId="40C53387" w:rsidR="00B449D0" w:rsidRDefault="00076D78">
            <w:pPr>
              <w:pStyle w:val="Summarytabletextrightalignedbold"/>
            </w:pPr>
            <w:r>
              <w:noBreakHyphen/>
            </w:r>
          </w:p>
        </w:tc>
        <w:tc>
          <w:tcPr>
            <w:tcW w:w="850" w:type="dxa"/>
            <w:tcBorders>
              <w:top w:val="single" w:sz="4" w:space="0" w:color="000000" w:themeColor="text1"/>
              <w:bottom w:val="single" w:sz="4" w:space="0" w:color="000000" w:themeColor="text1"/>
            </w:tcBorders>
            <w:shd w:val="clear" w:color="auto" w:fill="E6F2FF"/>
            <w:vAlign w:val="bottom"/>
          </w:tcPr>
          <w:p w14:paraId="65E9B7BA" w14:textId="5DBB1DDE" w:rsidR="00B449D0" w:rsidRDefault="00076D78">
            <w:pPr>
              <w:pStyle w:val="Summarytabletextrightalignedbold"/>
            </w:pPr>
            <w:r>
              <w:noBreakHyphen/>
            </w:r>
            <w:r w:rsidR="00175344">
              <w:t>24.7</w:t>
            </w:r>
          </w:p>
        </w:tc>
        <w:tc>
          <w:tcPr>
            <w:tcW w:w="850" w:type="dxa"/>
            <w:tcBorders>
              <w:top w:val="single" w:sz="4" w:space="0" w:color="000000" w:themeColor="text1"/>
              <w:bottom w:val="single" w:sz="4" w:space="0" w:color="000000" w:themeColor="text1"/>
            </w:tcBorders>
            <w:vAlign w:val="bottom"/>
          </w:tcPr>
          <w:p w14:paraId="523A4F3C" w14:textId="3403086F" w:rsidR="00B449D0" w:rsidRDefault="00076D78">
            <w:pPr>
              <w:pStyle w:val="Summarytabletextrightalignedbold"/>
            </w:pPr>
            <w:r>
              <w:noBreakHyphen/>
            </w:r>
            <w:r w:rsidR="00175344">
              <w:t>14.3</w:t>
            </w:r>
          </w:p>
        </w:tc>
        <w:tc>
          <w:tcPr>
            <w:tcW w:w="850" w:type="dxa"/>
            <w:tcBorders>
              <w:top w:val="single" w:sz="4" w:space="0" w:color="000000" w:themeColor="text1"/>
              <w:bottom w:val="single" w:sz="4" w:space="0" w:color="000000" w:themeColor="text1"/>
            </w:tcBorders>
            <w:vAlign w:val="bottom"/>
          </w:tcPr>
          <w:p w14:paraId="21FE8385" w14:textId="77777777" w:rsidR="00B449D0" w:rsidRDefault="00175344">
            <w:pPr>
              <w:pStyle w:val="Summarytabletextrightalignedbold"/>
            </w:pPr>
            <w:r>
              <w:t>7.7</w:t>
            </w:r>
          </w:p>
        </w:tc>
        <w:tc>
          <w:tcPr>
            <w:tcW w:w="850" w:type="dxa"/>
            <w:tcBorders>
              <w:top w:val="single" w:sz="4" w:space="0" w:color="000000" w:themeColor="text1"/>
              <w:bottom w:val="single" w:sz="4" w:space="0" w:color="000000" w:themeColor="text1"/>
            </w:tcBorders>
            <w:vAlign w:val="bottom"/>
          </w:tcPr>
          <w:p w14:paraId="3C084D2C" w14:textId="77777777" w:rsidR="00B449D0" w:rsidRDefault="00175344">
            <w:pPr>
              <w:pStyle w:val="Summarytabletextrightalignedbold"/>
            </w:pPr>
            <w:r>
              <w:t>3.4</w:t>
            </w:r>
          </w:p>
        </w:tc>
      </w:tr>
      <w:tr w:rsidR="00B449D0" w14:paraId="5568ED1A" w14:textId="77777777" w:rsidTr="7F762F0D">
        <w:tc>
          <w:tcPr>
            <w:tcW w:w="3471" w:type="dxa"/>
            <w:vAlign w:val="bottom"/>
          </w:tcPr>
          <w:p w14:paraId="0B7C8586" w14:textId="77777777" w:rsidR="00B449D0" w:rsidRDefault="00175344">
            <w:pPr>
              <w:pStyle w:val="SummaryPortfolioTitle-BP2"/>
            </w:pPr>
            <w:r>
              <w:t>INDUSTRY, SCIENCE AND RESOURCES</w:t>
            </w:r>
          </w:p>
        </w:tc>
        <w:tc>
          <w:tcPr>
            <w:tcW w:w="850" w:type="dxa"/>
          </w:tcPr>
          <w:p w14:paraId="431B26B8" w14:textId="77777777" w:rsidR="00B449D0" w:rsidRDefault="00B449D0">
            <w:pPr>
              <w:pStyle w:val="MeasureTableTextRightAlignedBefore6ptAfter1pt"/>
            </w:pPr>
          </w:p>
        </w:tc>
        <w:tc>
          <w:tcPr>
            <w:tcW w:w="850" w:type="dxa"/>
            <w:shd w:val="clear" w:color="auto" w:fill="E6F2FF"/>
          </w:tcPr>
          <w:p w14:paraId="03A92DCD" w14:textId="77777777" w:rsidR="00B449D0" w:rsidRDefault="00B449D0">
            <w:pPr>
              <w:pStyle w:val="MeasureTableTextRightAlignedBefore6ptAfter1pt"/>
            </w:pPr>
          </w:p>
        </w:tc>
        <w:tc>
          <w:tcPr>
            <w:tcW w:w="850" w:type="dxa"/>
          </w:tcPr>
          <w:p w14:paraId="0C4EB37E" w14:textId="77777777" w:rsidR="00B449D0" w:rsidRDefault="00B449D0">
            <w:pPr>
              <w:pStyle w:val="MeasureTableTextRightAlignedBefore6ptAfter1pt"/>
            </w:pPr>
          </w:p>
        </w:tc>
        <w:tc>
          <w:tcPr>
            <w:tcW w:w="850" w:type="dxa"/>
          </w:tcPr>
          <w:p w14:paraId="4248AE15" w14:textId="77777777" w:rsidR="00B449D0" w:rsidRDefault="00B449D0">
            <w:pPr>
              <w:pStyle w:val="MeasureTableTextRightAlignedBefore6ptAfter1pt"/>
            </w:pPr>
          </w:p>
        </w:tc>
        <w:tc>
          <w:tcPr>
            <w:tcW w:w="850" w:type="dxa"/>
          </w:tcPr>
          <w:p w14:paraId="794B3624" w14:textId="77777777" w:rsidR="00B449D0" w:rsidRDefault="00B449D0">
            <w:pPr>
              <w:pStyle w:val="MeasureTableTextRightAlignedBefore6ptAfter1pt"/>
            </w:pPr>
          </w:p>
        </w:tc>
      </w:tr>
      <w:tr w:rsidR="00B449D0" w14:paraId="2085793B" w14:textId="77777777" w:rsidTr="7F762F0D">
        <w:tc>
          <w:tcPr>
            <w:tcW w:w="3471" w:type="dxa"/>
            <w:vAlign w:val="bottom"/>
          </w:tcPr>
          <w:p w14:paraId="355CD92F" w14:textId="77777777" w:rsidR="00B449D0" w:rsidRDefault="00175344">
            <w:pPr>
              <w:pStyle w:val="SummaryAgencyTitle-BP2"/>
            </w:pPr>
            <w:r>
              <w:t>Department of Industry, Science and Resources</w:t>
            </w:r>
          </w:p>
        </w:tc>
        <w:tc>
          <w:tcPr>
            <w:tcW w:w="850" w:type="dxa"/>
          </w:tcPr>
          <w:p w14:paraId="4604B8A4" w14:textId="77777777" w:rsidR="00B449D0" w:rsidRDefault="00B449D0">
            <w:pPr>
              <w:pStyle w:val="SummaryAgencyTitle-BP2"/>
            </w:pPr>
          </w:p>
        </w:tc>
        <w:tc>
          <w:tcPr>
            <w:tcW w:w="850" w:type="dxa"/>
            <w:shd w:val="clear" w:color="auto" w:fill="E6F2FF"/>
          </w:tcPr>
          <w:p w14:paraId="3E2C39E1" w14:textId="77777777" w:rsidR="00B449D0" w:rsidRDefault="00B449D0">
            <w:pPr>
              <w:pStyle w:val="SummaryAgencyTitle-BP2"/>
            </w:pPr>
          </w:p>
        </w:tc>
        <w:tc>
          <w:tcPr>
            <w:tcW w:w="850" w:type="dxa"/>
          </w:tcPr>
          <w:p w14:paraId="41B53F76" w14:textId="77777777" w:rsidR="00B449D0" w:rsidRDefault="00B449D0">
            <w:pPr>
              <w:pStyle w:val="SummaryAgencyTitle-BP2"/>
            </w:pPr>
          </w:p>
        </w:tc>
        <w:tc>
          <w:tcPr>
            <w:tcW w:w="850" w:type="dxa"/>
          </w:tcPr>
          <w:p w14:paraId="615059B9" w14:textId="77777777" w:rsidR="00B449D0" w:rsidRDefault="00B449D0">
            <w:pPr>
              <w:pStyle w:val="SummaryAgencyTitle-BP2"/>
            </w:pPr>
          </w:p>
        </w:tc>
        <w:tc>
          <w:tcPr>
            <w:tcW w:w="850" w:type="dxa"/>
          </w:tcPr>
          <w:p w14:paraId="628EEF76" w14:textId="77777777" w:rsidR="00B449D0" w:rsidRDefault="00B449D0">
            <w:pPr>
              <w:pStyle w:val="SummaryAgencyTitle-BP2"/>
            </w:pPr>
          </w:p>
        </w:tc>
      </w:tr>
      <w:tr w:rsidR="00B449D0" w14:paraId="71E2FB3A" w14:textId="77777777" w:rsidTr="7F762F0D">
        <w:tc>
          <w:tcPr>
            <w:tcW w:w="3471" w:type="dxa"/>
            <w:vAlign w:val="bottom"/>
          </w:tcPr>
          <w:p w14:paraId="3B888D79" w14:textId="77777777" w:rsidR="00B449D0" w:rsidRDefault="00175344">
            <w:pPr>
              <w:pStyle w:val="SummaryMeasureTitlewithTheme"/>
            </w:pPr>
            <w:r>
              <w:t>Future Made in Australia – accelerating investment in Australian industries</w:t>
            </w:r>
          </w:p>
        </w:tc>
        <w:tc>
          <w:tcPr>
            <w:tcW w:w="850" w:type="dxa"/>
            <w:vAlign w:val="bottom"/>
          </w:tcPr>
          <w:p w14:paraId="00A827EA" w14:textId="606EF172" w:rsidR="00B449D0" w:rsidRDefault="00076D78">
            <w:pPr>
              <w:pStyle w:val="Summarytabletextrightaligned"/>
            </w:pPr>
            <w:r>
              <w:noBreakHyphen/>
            </w:r>
          </w:p>
        </w:tc>
        <w:tc>
          <w:tcPr>
            <w:tcW w:w="850" w:type="dxa"/>
            <w:shd w:val="clear" w:color="auto" w:fill="E6F2FF"/>
            <w:vAlign w:val="bottom"/>
          </w:tcPr>
          <w:p w14:paraId="4E0FDE06" w14:textId="56E57F5A" w:rsidR="00B449D0" w:rsidRDefault="00076D78">
            <w:pPr>
              <w:pStyle w:val="Summarytabletextrightaligned"/>
            </w:pPr>
            <w:r>
              <w:noBreakHyphen/>
            </w:r>
            <w:r w:rsidR="00175344">
              <w:t>19.2</w:t>
            </w:r>
          </w:p>
        </w:tc>
        <w:tc>
          <w:tcPr>
            <w:tcW w:w="850" w:type="dxa"/>
            <w:vAlign w:val="bottom"/>
          </w:tcPr>
          <w:p w14:paraId="51C577DA" w14:textId="452E1CAB" w:rsidR="00B449D0" w:rsidRDefault="00076D78">
            <w:pPr>
              <w:pStyle w:val="Summarytabletextrightaligned"/>
            </w:pPr>
            <w:r>
              <w:noBreakHyphen/>
            </w:r>
            <w:r w:rsidR="00175344">
              <w:t>24.1</w:t>
            </w:r>
          </w:p>
        </w:tc>
        <w:tc>
          <w:tcPr>
            <w:tcW w:w="850" w:type="dxa"/>
            <w:vAlign w:val="bottom"/>
          </w:tcPr>
          <w:p w14:paraId="1F93CC2D" w14:textId="6CE22CF8" w:rsidR="00B449D0" w:rsidRDefault="00076D78">
            <w:pPr>
              <w:pStyle w:val="Summarytabletextrightaligned"/>
            </w:pPr>
            <w:r>
              <w:noBreakHyphen/>
            </w:r>
            <w:r w:rsidR="00175344">
              <w:t>32.7</w:t>
            </w:r>
          </w:p>
        </w:tc>
        <w:tc>
          <w:tcPr>
            <w:tcW w:w="850" w:type="dxa"/>
            <w:vAlign w:val="bottom"/>
          </w:tcPr>
          <w:p w14:paraId="040C95FF" w14:textId="39115534" w:rsidR="00B449D0" w:rsidRDefault="00076D78">
            <w:pPr>
              <w:pStyle w:val="Summarytabletextrightaligned"/>
            </w:pPr>
            <w:r>
              <w:noBreakHyphen/>
            </w:r>
            <w:r w:rsidR="00175344">
              <w:t>54.5</w:t>
            </w:r>
          </w:p>
        </w:tc>
      </w:tr>
      <w:tr w:rsidR="00B449D0" w14:paraId="5D4F5BE6" w14:textId="77777777" w:rsidTr="7F762F0D">
        <w:tc>
          <w:tcPr>
            <w:tcW w:w="3471" w:type="dxa"/>
            <w:vAlign w:val="bottom"/>
          </w:tcPr>
          <w:p w14:paraId="2BCCC4A0" w14:textId="77777777" w:rsidR="00B449D0" w:rsidRDefault="00175344">
            <w:pPr>
              <w:pStyle w:val="SummaryMeasureTitlewithTheme"/>
            </w:pPr>
            <w:r>
              <w:t>Science and Resources Technology Uplift</w:t>
            </w:r>
          </w:p>
        </w:tc>
        <w:tc>
          <w:tcPr>
            <w:tcW w:w="850" w:type="dxa"/>
            <w:vAlign w:val="bottom"/>
          </w:tcPr>
          <w:p w14:paraId="699FFEF8" w14:textId="075488FF" w:rsidR="00B449D0" w:rsidRDefault="00076D78">
            <w:pPr>
              <w:pStyle w:val="Summarytabletextrightaligned"/>
            </w:pPr>
            <w:r>
              <w:noBreakHyphen/>
            </w:r>
          </w:p>
        </w:tc>
        <w:tc>
          <w:tcPr>
            <w:tcW w:w="850" w:type="dxa"/>
            <w:shd w:val="clear" w:color="auto" w:fill="E6F2FF"/>
            <w:vAlign w:val="bottom"/>
          </w:tcPr>
          <w:p w14:paraId="3A056FEC" w14:textId="77777777" w:rsidR="00B449D0" w:rsidRDefault="00175344">
            <w:pPr>
              <w:pStyle w:val="Summarytabletextrightaligned"/>
            </w:pPr>
            <w:r>
              <w:t>0.5</w:t>
            </w:r>
          </w:p>
        </w:tc>
        <w:tc>
          <w:tcPr>
            <w:tcW w:w="850" w:type="dxa"/>
            <w:vAlign w:val="bottom"/>
          </w:tcPr>
          <w:p w14:paraId="7DA385ED" w14:textId="2EDBFFA5" w:rsidR="00B449D0" w:rsidRDefault="00076D78">
            <w:pPr>
              <w:pStyle w:val="Summarytabletextrightaligned"/>
            </w:pPr>
            <w:r>
              <w:noBreakHyphen/>
            </w:r>
          </w:p>
        </w:tc>
        <w:tc>
          <w:tcPr>
            <w:tcW w:w="850" w:type="dxa"/>
            <w:vAlign w:val="bottom"/>
          </w:tcPr>
          <w:p w14:paraId="0555C319" w14:textId="77777777" w:rsidR="00B449D0" w:rsidRDefault="00175344">
            <w:pPr>
              <w:pStyle w:val="Summarytabletextrightaligned"/>
            </w:pPr>
            <w:r>
              <w:t>0.5</w:t>
            </w:r>
          </w:p>
        </w:tc>
        <w:tc>
          <w:tcPr>
            <w:tcW w:w="850" w:type="dxa"/>
            <w:vAlign w:val="bottom"/>
          </w:tcPr>
          <w:p w14:paraId="462A3C12" w14:textId="021A4E69" w:rsidR="00B449D0" w:rsidRDefault="00076D78">
            <w:pPr>
              <w:pStyle w:val="Summarytabletextrightaligned"/>
            </w:pPr>
            <w:r>
              <w:noBreakHyphen/>
            </w:r>
          </w:p>
        </w:tc>
      </w:tr>
      <w:tr w:rsidR="00B449D0" w14:paraId="7F191BBF" w14:textId="77777777" w:rsidTr="7F762F0D">
        <w:tc>
          <w:tcPr>
            <w:tcW w:w="3471" w:type="dxa"/>
            <w:vAlign w:val="bottom"/>
          </w:tcPr>
          <w:p w14:paraId="48856CD5" w14:textId="77777777" w:rsidR="00B449D0" w:rsidRDefault="00175344">
            <w:pPr>
              <w:pStyle w:val="SummaryMeasureTitlewithTheme"/>
            </w:pPr>
            <w:r>
              <w:t>Supporting Safety and Remediation in the Resources Sector</w:t>
            </w:r>
          </w:p>
        </w:tc>
        <w:tc>
          <w:tcPr>
            <w:tcW w:w="850" w:type="dxa"/>
            <w:vAlign w:val="bottom"/>
          </w:tcPr>
          <w:p w14:paraId="41ACFEE5" w14:textId="7166D3FA" w:rsidR="00B449D0" w:rsidRDefault="00076D78">
            <w:pPr>
              <w:pStyle w:val="Summarytabletextrightaligned"/>
            </w:pPr>
            <w:r>
              <w:noBreakHyphen/>
            </w:r>
          </w:p>
        </w:tc>
        <w:tc>
          <w:tcPr>
            <w:tcW w:w="850" w:type="dxa"/>
            <w:shd w:val="clear" w:color="auto" w:fill="E6F2FF"/>
            <w:vAlign w:val="bottom"/>
          </w:tcPr>
          <w:p w14:paraId="24BB7707" w14:textId="77777777" w:rsidR="00B449D0" w:rsidRDefault="00175344">
            <w:pPr>
              <w:pStyle w:val="Summarytabletextrightaligned"/>
            </w:pPr>
            <w:r w:rsidRPr="7F762F0D">
              <w:rPr>
                <w:lang w:val="en-US"/>
              </w:rPr>
              <w:t>nfp</w:t>
            </w:r>
          </w:p>
        </w:tc>
        <w:tc>
          <w:tcPr>
            <w:tcW w:w="850" w:type="dxa"/>
            <w:vAlign w:val="bottom"/>
          </w:tcPr>
          <w:p w14:paraId="46D2073B" w14:textId="77777777" w:rsidR="00B449D0" w:rsidRDefault="00175344">
            <w:pPr>
              <w:pStyle w:val="Summarytabletextrightaligned"/>
            </w:pPr>
            <w:r w:rsidRPr="7F762F0D">
              <w:rPr>
                <w:lang w:val="en-US"/>
              </w:rPr>
              <w:t>nfp</w:t>
            </w:r>
          </w:p>
        </w:tc>
        <w:tc>
          <w:tcPr>
            <w:tcW w:w="850" w:type="dxa"/>
            <w:vAlign w:val="bottom"/>
          </w:tcPr>
          <w:p w14:paraId="026C4B6A" w14:textId="77777777" w:rsidR="00B449D0" w:rsidRDefault="00175344">
            <w:pPr>
              <w:pStyle w:val="Summarytabletextrightaligned"/>
            </w:pPr>
            <w:r w:rsidRPr="7F762F0D">
              <w:rPr>
                <w:lang w:val="en-US"/>
              </w:rPr>
              <w:t>nfp</w:t>
            </w:r>
          </w:p>
        </w:tc>
        <w:tc>
          <w:tcPr>
            <w:tcW w:w="850" w:type="dxa"/>
            <w:vAlign w:val="bottom"/>
          </w:tcPr>
          <w:p w14:paraId="0F95C0FB" w14:textId="77777777" w:rsidR="00B449D0" w:rsidRDefault="00175344">
            <w:pPr>
              <w:pStyle w:val="Summarytabletextrightaligned"/>
            </w:pPr>
            <w:r w:rsidRPr="7F762F0D">
              <w:rPr>
                <w:lang w:val="en-US"/>
              </w:rPr>
              <w:t>nfp</w:t>
            </w:r>
          </w:p>
        </w:tc>
      </w:tr>
      <w:tr w:rsidR="00B449D0" w14:paraId="6A3EE459" w14:textId="77777777" w:rsidTr="7F762F0D">
        <w:tc>
          <w:tcPr>
            <w:tcW w:w="3471" w:type="dxa"/>
            <w:vAlign w:val="bottom"/>
          </w:tcPr>
          <w:p w14:paraId="014A78EF" w14:textId="77777777" w:rsidR="00B449D0" w:rsidRDefault="00175344">
            <w:pPr>
              <w:pStyle w:val="SummaryAgencyTitle-BP2"/>
            </w:pPr>
            <w:r>
              <w:t>Geoscience Australia</w:t>
            </w:r>
          </w:p>
        </w:tc>
        <w:tc>
          <w:tcPr>
            <w:tcW w:w="850" w:type="dxa"/>
          </w:tcPr>
          <w:p w14:paraId="210E16C2" w14:textId="77777777" w:rsidR="00B449D0" w:rsidRDefault="00B449D0">
            <w:pPr>
              <w:pStyle w:val="SummaryAgencyTitle-BP2"/>
            </w:pPr>
          </w:p>
        </w:tc>
        <w:tc>
          <w:tcPr>
            <w:tcW w:w="850" w:type="dxa"/>
            <w:shd w:val="clear" w:color="auto" w:fill="E6F2FF"/>
          </w:tcPr>
          <w:p w14:paraId="348BD138" w14:textId="77777777" w:rsidR="00B449D0" w:rsidRDefault="00B449D0">
            <w:pPr>
              <w:pStyle w:val="SummaryAgencyTitle-BP2"/>
            </w:pPr>
          </w:p>
        </w:tc>
        <w:tc>
          <w:tcPr>
            <w:tcW w:w="850" w:type="dxa"/>
          </w:tcPr>
          <w:p w14:paraId="72E60DEC" w14:textId="77777777" w:rsidR="00B449D0" w:rsidRDefault="00B449D0">
            <w:pPr>
              <w:pStyle w:val="SummaryAgencyTitle-BP2"/>
            </w:pPr>
          </w:p>
        </w:tc>
        <w:tc>
          <w:tcPr>
            <w:tcW w:w="850" w:type="dxa"/>
          </w:tcPr>
          <w:p w14:paraId="7EB0FE3F" w14:textId="77777777" w:rsidR="00B449D0" w:rsidRDefault="00B449D0">
            <w:pPr>
              <w:pStyle w:val="SummaryAgencyTitle-BP2"/>
            </w:pPr>
          </w:p>
        </w:tc>
        <w:tc>
          <w:tcPr>
            <w:tcW w:w="850" w:type="dxa"/>
          </w:tcPr>
          <w:p w14:paraId="6716A182" w14:textId="77777777" w:rsidR="00B449D0" w:rsidRDefault="00B449D0">
            <w:pPr>
              <w:pStyle w:val="SummaryAgencyTitle-BP2"/>
            </w:pPr>
          </w:p>
        </w:tc>
      </w:tr>
      <w:tr w:rsidR="00B449D0" w14:paraId="405B791D" w14:textId="77777777" w:rsidTr="7F762F0D">
        <w:tc>
          <w:tcPr>
            <w:tcW w:w="3471" w:type="dxa"/>
            <w:vAlign w:val="bottom"/>
          </w:tcPr>
          <w:p w14:paraId="09CB084C" w14:textId="77777777" w:rsidR="00B449D0" w:rsidRDefault="00175344">
            <w:pPr>
              <w:pStyle w:val="SummaryMeasureTitlewithTheme"/>
            </w:pPr>
            <w:r>
              <w:t>Future Made in Australia – accelerating investment in Australian industries</w:t>
            </w:r>
          </w:p>
        </w:tc>
        <w:tc>
          <w:tcPr>
            <w:tcW w:w="850" w:type="dxa"/>
            <w:vAlign w:val="bottom"/>
          </w:tcPr>
          <w:p w14:paraId="4D09F68B" w14:textId="57F4BBEE" w:rsidR="00B449D0" w:rsidRDefault="00076D78">
            <w:pPr>
              <w:pStyle w:val="Summarytabletextrightaligned"/>
            </w:pPr>
            <w:r>
              <w:noBreakHyphen/>
            </w:r>
          </w:p>
        </w:tc>
        <w:tc>
          <w:tcPr>
            <w:tcW w:w="850" w:type="dxa"/>
            <w:shd w:val="clear" w:color="auto" w:fill="E6F2FF"/>
            <w:vAlign w:val="bottom"/>
          </w:tcPr>
          <w:p w14:paraId="12440F69" w14:textId="720D3C90" w:rsidR="00B449D0" w:rsidRDefault="00076D78">
            <w:pPr>
              <w:pStyle w:val="Summarytabletextrightaligned"/>
            </w:pPr>
            <w:r>
              <w:noBreakHyphen/>
            </w:r>
            <w:r w:rsidR="00175344">
              <w:t>7.6</w:t>
            </w:r>
          </w:p>
        </w:tc>
        <w:tc>
          <w:tcPr>
            <w:tcW w:w="850" w:type="dxa"/>
            <w:vAlign w:val="bottom"/>
          </w:tcPr>
          <w:p w14:paraId="580FEB9C" w14:textId="2DFF5DA3" w:rsidR="00B449D0" w:rsidRDefault="00076D78">
            <w:pPr>
              <w:pStyle w:val="Summarytabletextrightaligned"/>
            </w:pPr>
            <w:r>
              <w:noBreakHyphen/>
            </w:r>
            <w:r w:rsidR="00175344">
              <w:t>3.7</w:t>
            </w:r>
          </w:p>
        </w:tc>
        <w:tc>
          <w:tcPr>
            <w:tcW w:w="850" w:type="dxa"/>
            <w:vAlign w:val="bottom"/>
          </w:tcPr>
          <w:p w14:paraId="75CEAFE9" w14:textId="04619366" w:rsidR="00B449D0" w:rsidRDefault="00076D78">
            <w:pPr>
              <w:pStyle w:val="Summarytabletextrightaligned"/>
            </w:pPr>
            <w:r>
              <w:noBreakHyphen/>
            </w:r>
            <w:r w:rsidR="00175344">
              <w:t>5.3</w:t>
            </w:r>
          </w:p>
        </w:tc>
        <w:tc>
          <w:tcPr>
            <w:tcW w:w="850" w:type="dxa"/>
            <w:vAlign w:val="bottom"/>
          </w:tcPr>
          <w:p w14:paraId="153F8199" w14:textId="420B1343" w:rsidR="00B449D0" w:rsidRDefault="00076D78">
            <w:pPr>
              <w:pStyle w:val="Summarytabletextrightaligned"/>
            </w:pPr>
            <w:r>
              <w:noBreakHyphen/>
            </w:r>
          </w:p>
        </w:tc>
      </w:tr>
      <w:tr w:rsidR="00B449D0" w14:paraId="71CD90C9" w14:textId="77777777" w:rsidTr="7F762F0D">
        <w:tc>
          <w:tcPr>
            <w:tcW w:w="3471" w:type="dxa"/>
            <w:vAlign w:val="bottom"/>
          </w:tcPr>
          <w:p w14:paraId="10421FA9" w14:textId="77777777" w:rsidR="00B449D0" w:rsidRDefault="00175344">
            <w:pPr>
              <w:pStyle w:val="Summarytabletextleftalignedbold"/>
            </w:pPr>
            <w:r>
              <w:t>Portfolio total</w:t>
            </w:r>
          </w:p>
        </w:tc>
        <w:tc>
          <w:tcPr>
            <w:tcW w:w="850" w:type="dxa"/>
            <w:tcBorders>
              <w:top w:val="single" w:sz="4" w:space="0" w:color="000000" w:themeColor="text1"/>
              <w:bottom w:val="single" w:sz="4" w:space="0" w:color="000000" w:themeColor="text1"/>
            </w:tcBorders>
            <w:vAlign w:val="bottom"/>
          </w:tcPr>
          <w:p w14:paraId="53C54CDE" w14:textId="0ABF2EDD" w:rsidR="00B449D0" w:rsidRDefault="00076D78">
            <w:pPr>
              <w:pStyle w:val="Summarytabletextrightalignedbold"/>
            </w:pPr>
            <w:r>
              <w:noBreakHyphen/>
            </w:r>
          </w:p>
        </w:tc>
        <w:tc>
          <w:tcPr>
            <w:tcW w:w="850" w:type="dxa"/>
            <w:tcBorders>
              <w:top w:val="single" w:sz="4" w:space="0" w:color="000000" w:themeColor="text1"/>
              <w:bottom w:val="single" w:sz="4" w:space="0" w:color="000000" w:themeColor="text1"/>
            </w:tcBorders>
            <w:shd w:val="clear" w:color="auto" w:fill="E6F2FF"/>
            <w:vAlign w:val="bottom"/>
          </w:tcPr>
          <w:p w14:paraId="5322BC82" w14:textId="2FC36B8E" w:rsidR="00B449D0" w:rsidRDefault="00076D78">
            <w:pPr>
              <w:pStyle w:val="Summarytabletextrightalignedbold"/>
            </w:pPr>
            <w:r>
              <w:noBreakHyphen/>
            </w:r>
            <w:r w:rsidR="00175344">
              <w:t>26.3</w:t>
            </w:r>
          </w:p>
        </w:tc>
        <w:tc>
          <w:tcPr>
            <w:tcW w:w="850" w:type="dxa"/>
            <w:tcBorders>
              <w:top w:val="single" w:sz="4" w:space="0" w:color="000000" w:themeColor="text1"/>
              <w:bottom w:val="single" w:sz="4" w:space="0" w:color="000000" w:themeColor="text1"/>
            </w:tcBorders>
            <w:vAlign w:val="bottom"/>
          </w:tcPr>
          <w:p w14:paraId="76A6BB96" w14:textId="21365A06" w:rsidR="00B449D0" w:rsidRDefault="00076D78">
            <w:pPr>
              <w:pStyle w:val="Summarytabletextrightalignedbold"/>
            </w:pPr>
            <w:r>
              <w:noBreakHyphen/>
            </w:r>
            <w:r w:rsidR="00175344">
              <w:t>27.8</w:t>
            </w:r>
          </w:p>
        </w:tc>
        <w:tc>
          <w:tcPr>
            <w:tcW w:w="850" w:type="dxa"/>
            <w:tcBorders>
              <w:top w:val="single" w:sz="4" w:space="0" w:color="000000" w:themeColor="text1"/>
              <w:bottom w:val="single" w:sz="4" w:space="0" w:color="000000" w:themeColor="text1"/>
            </w:tcBorders>
            <w:vAlign w:val="bottom"/>
          </w:tcPr>
          <w:p w14:paraId="75776D10" w14:textId="512CD833" w:rsidR="00B449D0" w:rsidRDefault="00076D78">
            <w:pPr>
              <w:pStyle w:val="Summarytabletextrightalignedbold"/>
            </w:pPr>
            <w:r>
              <w:noBreakHyphen/>
            </w:r>
            <w:r w:rsidR="00175344">
              <w:t>37.5</w:t>
            </w:r>
          </w:p>
        </w:tc>
        <w:tc>
          <w:tcPr>
            <w:tcW w:w="850" w:type="dxa"/>
            <w:tcBorders>
              <w:top w:val="single" w:sz="4" w:space="0" w:color="000000" w:themeColor="text1"/>
              <w:bottom w:val="single" w:sz="4" w:space="0" w:color="000000" w:themeColor="text1"/>
            </w:tcBorders>
            <w:vAlign w:val="bottom"/>
          </w:tcPr>
          <w:p w14:paraId="019FFD85" w14:textId="7AFCD0AE" w:rsidR="00B449D0" w:rsidRDefault="00076D78">
            <w:pPr>
              <w:pStyle w:val="Summarytabletextrightalignedbold"/>
            </w:pPr>
            <w:r>
              <w:noBreakHyphen/>
            </w:r>
            <w:r w:rsidR="00175344">
              <w:t>54.5</w:t>
            </w:r>
          </w:p>
        </w:tc>
      </w:tr>
    </w:tbl>
    <w:p w14:paraId="76385512" w14:textId="77777777" w:rsidR="00301E48" w:rsidRDefault="00301E48" w:rsidP="002C36E4">
      <w:pPr>
        <w:pStyle w:val="SingleParagraph0"/>
        <w:sectPr w:rsidR="00301E48" w:rsidSect="00301E48">
          <w:pgSz w:w="11906" w:h="16838"/>
          <w:pgMar w:top="2835" w:right="2098" w:bottom="2466" w:left="2098" w:header="1814" w:footer="1814" w:gutter="0"/>
          <w:cols w:space="720"/>
          <w:docGrid w:linePitch="272"/>
        </w:sectPr>
      </w:pPr>
    </w:p>
    <w:p w14:paraId="6A24880D" w14:textId="047B1BC8" w:rsidR="00301E48" w:rsidRDefault="00301E48" w:rsidP="00301E48">
      <w:pPr>
        <w:pStyle w:val="TableHeadingcontinued"/>
      </w:pPr>
      <w:r>
        <w:lastRenderedPageBreak/>
        <w:t xml:space="preserve">Table </w:t>
      </w:r>
      <w:r w:rsidR="006E0A94">
        <w:t>A.</w:t>
      </w:r>
      <w:r>
        <w:t>2: Payment measures since the 2024–25 Budget</w:t>
      </w:r>
      <w:r>
        <w:rPr>
          <w:rFonts w:ascii="Cambria Math" w:hAnsi="Cambria Math" w:cs="Cambria Math"/>
        </w:rPr>
        <w:t>⁽</w:t>
      </w:r>
      <w:r>
        <w:rPr>
          <w:rFonts w:cs="Arial"/>
        </w:rPr>
        <w:t>ª</w:t>
      </w:r>
      <w:r>
        <w:rPr>
          <w:rFonts w:ascii="Cambria Math" w:hAnsi="Cambria Math" w:cs="Cambria Math"/>
        </w:rPr>
        <w:t>⁾</w:t>
      </w:r>
      <w:r>
        <w:t xml:space="preserve"> (continued)</w:t>
      </w:r>
    </w:p>
    <w:tbl>
      <w:tblPr>
        <w:tblOverlap w:val="never"/>
        <w:tblW w:w="7721" w:type="dxa"/>
        <w:tblBorders>
          <w:top w:val="single" w:sz="4" w:space="0" w:color="000000"/>
          <w:bottom w:val="single" w:sz="4" w:space="0" w:color="000000"/>
        </w:tblBorders>
        <w:tblLayout w:type="fixed"/>
        <w:tblCellMar>
          <w:left w:w="0" w:type="dxa"/>
          <w:right w:w="56" w:type="dxa"/>
        </w:tblCellMar>
        <w:tblLook w:val="04A0" w:firstRow="1" w:lastRow="0" w:firstColumn="1" w:lastColumn="0" w:noHBand="0" w:noVBand="1"/>
      </w:tblPr>
      <w:tblGrid>
        <w:gridCol w:w="3471"/>
        <w:gridCol w:w="850"/>
        <w:gridCol w:w="850"/>
        <w:gridCol w:w="850"/>
        <w:gridCol w:w="850"/>
        <w:gridCol w:w="850"/>
      </w:tblGrid>
      <w:tr w:rsidR="00301E48" w14:paraId="665B9E58" w14:textId="77777777" w:rsidTr="00301E48">
        <w:tc>
          <w:tcPr>
            <w:tcW w:w="3471" w:type="dxa"/>
            <w:vAlign w:val="bottom"/>
          </w:tcPr>
          <w:p w14:paraId="168445F3" w14:textId="77777777" w:rsidR="00301E48" w:rsidRDefault="00301E48" w:rsidP="00301E48"/>
        </w:tc>
        <w:tc>
          <w:tcPr>
            <w:tcW w:w="850" w:type="dxa"/>
            <w:tcBorders>
              <w:bottom w:val="nil"/>
            </w:tcBorders>
          </w:tcPr>
          <w:p w14:paraId="6B7C2BFA" w14:textId="2B412A7B" w:rsidR="00301E48" w:rsidRDefault="00301E48" w:rsidP="00301E48">
            <w:pPr>
              <w:pStyle w:val="Summarytabletextrightaligned"/>
            </w:pPr>
            <w:r>
              <w:t>2023</w:t>
            </w:r>
            <w:r w:rsidR="00076D78">
              <w:noBreakHyphen/>
            </w:r>
            <w:r>
              <w:t>24</w:t>
            </w:r>
          </w:p>
        </w:tc>
        <w:tc>
          <w:tcPr>
            <w:tcW w:w="850" w:type="dxa"/>
            <w:tcBorders>
              <w:bottom w:val="nil"/>
            </w:tcBorders>
            <w:shd w:val="clear" w:color="auto" w:fill="E6F2FF"/>
          </w:tcPr>
          <w:p w14:paraId="15B01893" w14:textId="7F9F87C6" w:rsidR="00301E48" w:rsidRDefault="00301E48" w:rsidP="00301E48">
            <w:pPr>
              <w:pStyle w:val="Summarytabletextrightaligned"/>
            </w:pPr>
            <w:r>
              <w:t>2024</w:t>
            </w:r>
            <w:r w:rsidR="00076D78">
              <w:noBreakHyphen/>
            </w:r>
            <w:r>
              <w:t>25</w:t>
            </w:r>
          </w:p>
        </w:tc>
        <w:tc>
          <w:tcPr>
            <w:tcW w:w="850" w:type="dxa"/>
            <w:tcBorders>
              <w:bottom w:val="nil"/>
            </w:tcBorders>
          </w:tcPr>
          <w:p w14:paraId="1FAB7188" w14:textId="03905EE5" w:rsidR="00301E48" w:rsidRDefault="00301E48" w:rsidP="00301E48">
            <w:pPr>
              <w:pStyle w:val="Summarytabletextrightaligned"/>
            </w:pPr>
            <w:r>
              <w:t>2025</w:t>
            </w:r>
            <w:r w:rsidR="00076D78">
              <w:noBreakHyphen/>
            </w:r>
            <w:r>
              <w:t>26</w:t>
            </w:r>
          </w:p>
        </w:tc>
        <w:tc>
          <w:tcPr>
            <w:tcW w:w="850" w:type="dxa"/>
            <w:tcBorders>
              <w:bottom w:val="nil"/>
            </w:tcBorders>
          </w:tcPr>
          <w:p w14:paraId="0F2F35BE" w14:textId="79A6D2E2" w:rsidR="00301E48" w:rsidRDefault="00301E48" w:rsidP="00301E48">
            <w:pPr>
              <w:pStyle w:val="Summarytabletextrightaligned"/>
            </w:pPr>
            <w:r>
              <w:t>2026</w:t>
            </w:r>
            <w:r w:rsidR="00076D78">
              <w:noBreakHyphen/>
            </w:r>
            <w:r>
              <w:t>27</w:t>
            </w:r>
          </w:p>
        </w:tc>
        <w:tc>
          <w:tcPr>
            <w:tcW w:w="850" w:type="dxa"/>
            <w:tcBorders>
              <w:bottom w:val="nil"/>
            </w:tcBorders>
          </w:tcPr>
          <w:p w14:paraId="212D6A81" w14:textId="4C73DA5C" w:rsidR="00301E48" w:rsidRDefault="00301E48" w:rsidP="00301E48">
            <w:pPr>
              <w:pStyle w:val="Summarytabletextrightaligned"/>
            </w:pPr>
            <w:r>
              <w:t>2027</w:t>
            </w:r>
            <w:r w:rsidR="00076D78">
              <w:noBreakHyphen/>
            </w:r>
            <w:r>
              <w:t>28</w:t>
            </w:r>
          </w:p>
        </w:tc>
      </w:tr>
      <w:tr w:rsidR="00301E48" w14:paraId="62FCBA02" w14:textId="77777777" w:rsidTr="00301E48">
        <w:tc>
          <w:tcPr>
            <w:tcW w:w="3471" w:type="dxa"/>
            <w:vAlign w:val="bottom"/>
          </w:tcPr>
          <w:p w14:paraId="63D67ABF" w14:textId="77777777" w:rsidR="00301E48" w:rsidRDefault="00301E48" w:rsidP="00301E48"/>
        </w:tc>
        <w:tc>
          <w:tcPr>
            <w:tcW w:w="850" w:type="dxa"/>
            <w:tcBorders>
              <w:top w:val="nil"/>
              <w:bottom w:val="single" w:sz="4" w:space="0" w:color="auto"/>
            </w:tcBorders>
            <w:shd w:val="clear" w:color="auto" w:fill="auto"/>
          </w:tcPr>
          <w:p w14:paraId="362FD6FE" w14:textId="77777777" w:rsidR="00301E48" w:rsidRDefault="00301E48" w:rsidP="00301E48">
            <w:pPr>
              <w:pStyle w:val="Summarytabletextrightaligned"/>
            </w:pPr>
            <w:r>
              <w:t>$m</w:t>
            </w:r>
          </w:p>
        </w:tc>
        <w:tc>
          <w:tcPr>
            <w:tcW w:w="850" w:type="dxa"/>
            <w:tcBorders>
              <w:top w:val="nil"/>
              <w:bottom w:val="single" w:sz="4" w:space="0" w:color="auto"/>
            </w:tcBorders>
            <w:shd w:val="clear" w:color="auto" w:fill="E6F2FF"/>
          </w:tcPr>
          <w:p w14:paraId="64578D70" w14:textId="77777777" w:rsidR="00301E48" w:rsidRDefault="00301E48" w:rsidP="00301E48">
            <w:pPr>
              <w:pStyle w:val="Summarytabletextrightaligned"/>
            </w:pPr>
            <w:r>
              <w:t>$m</w:t>
            </w:r>
          </w:p>
        </w:tc>
        <w:tc>
          <w:tcPr>
            <w:tcW w:w="850" w:type="dxa"/>
            <w:tcBorders>
              <w:top w:val="nil"/>
              <w:bottom w:val="single" w:sz="4" w:space="0" w:color="auto"/>
            </w:tcBorders>
            <w:shd w:val="clear" w:color="auto" w:fill="auto"/>
          </w:tcPr>
          <w:p w14:paraId="0DD9E040" w14:textId="77777777" w:rsidR="00301E48" w:rsidRDefault="00301E48" w:rsidP="00301E48">
            <w:pPr>
              <w:pStyle w:val="Summarytabletextrightaligned"/>
            </w:pPr>
            <w:r>
              <w:t>$m</w:t>
            </w:r>
          </w:p>
        </w:tc>
        <w:tc>
          <w:tcPr>
            <w:tcW w:w="850" w:type="dxa"/>
            <w:tcBorders>
              <w:top w:val="nil"/>
              <w:bottom w:val="single" w:sz="4" w:space="0" w:color="auto"/>
            </w:tcBorders>
            <w:shd w:val="clear" w:color="auto" w:fill="auto"/>
          </w:tcPr>
          <w:p w14:paraId="7A7CB390" w14:textId="77777777" w:rsidR="00301E48" w:rsidRDefault="00301E48" w:rsidP="00301E48">
            <w:pPr>
              <w:pStyle w:val="Summarytabletextrightaligned"/>
            </w:pPr>
            <w:r>
              <w:t>$m</w:t>
            </w:r>
          </w:p>
        </w:tc>
        <w:tc>
          <w:tcPr>
            <w:tcW w:w="850" w:type="dxa"/>
            <w:tcBorders>
              <w:top w:val="nil"/>
              <w:bottom w:val="single" w:sz="4" w:space="0" w:color="auto"/>
            </w:tcBorders>
            <w:shd w:val="clear" w:color="auto" w:fill="auto"/>
          </w:tcPr>
          <w:p w14:paraId="1D01A3FC" w14:textId="77777777" w:rsidR="00301E48" w:rsidRDefault="00301E48" w:rsidP="00301E48">
            <w:pPr>
              <w:pStyle w:val="Summarytabletextrightaligned"/>
            </w:pPr>
            <w:r>
              <w:t>$m</w:t>
            </w:r>
          </w:p>
        </w:tc>
      </w:tr>
      <w:tr w:rsidR="00B449D0" w14:paraId="4370CB7C" w14:textId="77777777" w:rsidTr="00301E48">
        <w:tc>
          <w:tcPr>
            <w:tcW w:w="3471" w:type="dxa"/>
            <w:vAlign w:val="bottom"/>
          </w:tcPr>
          <w:p w14:paraId="1478D92A" w14:textId="77777777" w:rsidR="00B449D0" w:rsidRDefault="00175344">
            <w:pPr>
              <w:pStyle w:val="SummaryPortfolioTitle-BP2"/>
            </w:pPr>
            <w:r>
              <w:t>INFRASTRUCTURE, TRANSPORT, REGIONAL DEVELOPMENT, COMMUNICATIONS AND THE ARTS</w:t>
            </w:r>
          </w:p>
        </w:tc>
        <w:tc>
          <w:tcPr>
            <w:tcW w:w="850" w:type="dxa"/>
            <w:tcBorders>
              <w:top w:val="single" w:sz="4" w:space="0" w:color="auto"/>
            </w:tcBorders>
          </w:tcPr>
          <w:p w14:paraId="7B2FCC16" w14:textId="77777777" w:rsidR="00B449D0" w:rsidRDefault="00B449D0">
            <w:pPr>
              <w:pStyle w:val="MeasureTableTextRightAlignedBefore6ptAfter1pt"/>
            </w:pPr>
          </w:p>
        </w:tc>
        <w:tc>
          <w:tcPr>
            <w:tcW w:w="850" w:type="dxa"/>
            <w:tcBorders>
              <w:top w:val="single" w:sz="4" w:space="0" w:color="auto"/>
            </w:tcBorders>
            <w:shd w:val="clear" w:color="auto" w:fill="E6F2FF"/>
          </w:tcPr>
          <w:p w14:paraId="73B57228" w14:textId="77777777" w:rsidR="00B449D0" w:rsidRDefault="00B449D0">
            <w:pPr>
              <w:pStyle w:val="MeasureTableTextRightAlignedBefore6ptAfter1pt"/>
            </w:pPr>
          </w:p>
        </w:tc>
        <w:tc>
          <w:tcPr>
            <w:tcW w:w="850" w:type="dxa"/>
            <w:tcBorders>
              <w:top w:val="single" w:sz="4" w:space="0" w:color="auto"/>
            </w:tcBorders>
          </w:tcPr>
          <w:p w14:paraId="12E966A3" w14:textId="77777777" w:rsidR="00B449D0" w:rsidRDefault="00B449D0">
            <w:pPr>
              <w:pStyle w:val="MeasureTableTextRightAlignedBefore6ptAfter1pt"/>
            </w:pPr>
          </w:p>
        </w:tc>
        <w:tc>
          <w:tcPr>
            <w:tcW w:w="850" w:type="dxa"/>
            <w:tcBorders>
              <w:top w:val="single" w:sz="4" w:space="0" w:color="auto"/>
            </w:tcBorders>
          </w:tcPr>
          <w:p w14:paraId="1F1349AB" w14:textId="77777777" w:rsidR="00B449D0" w:rsidRDefault="00B449D0">
            <w:pPr>
              <w:pStyle w:val="MeasureTableTextRightAlignedBefore6ptAfter1pt"/>
            </w:pPr>
          </w:p>
        </w:tc>
        <w:tc>
          <w:tcPr>
            <w:tcW w:w="850" w:type="dxa"/>
            <w:tcBorders>
              <w:top w:val="single" w:sz="4" w:space="0" w:color="auto"/>
            </w:tcBorders>
          </w:tcPr>
          <w:p w14:paraId="41FDDF6A" w14:textId="77777777" w:rsidR="00B449D0" w:rsidRDefault="00B449D0">
            <w:pPr>
              <w:pStyle w:val="MeasureTableTextRightAlignedBefore6ptAfter1pt"/>
            </w:pPr>
          </w:p>
        </w:tc>
      </w:tr>
      <w:tr w:rsidR="00B449D0" w14:paraId="1AA7C441" w14:textId="77777777" w:rsidTr="00301E48">
        <w:tc>
          <w:tcPr>
            <w:tcW w:w="3471" w:type="dxa"/>
            <w:vAlign w:val="bottom"/>
          </w:tcPr>
          <w:p w14:paraId="593B360D" w14:textId="77777777" w:rsidR="00B449D0" w:rsidRDefault="00175344">
            <w:pPr>
              <w:pStyle w:val="SummaryAgencyTitle-BP2"/>
            </w:pPr>
            <w:r>
              <w:t>Australian Broadcasting Corporation</w:t>
            </w:r>
          </w:p>
        </w:tc>
        <w:tc>
          <w:tcPr>
            <w:tcW w:w="850" w:type="dxa"/>
          </w:tcPr>
          <w:p w14:paraId="4F95810A" w14:textId="77777777" w:rsidR="00B449D0" w:rsidRDefault="00B449D0">
            <w:pPr>
              <w:pStyle w:val="SummaryAgencyTitle-BP2"/>
            </w:pPr>
          </w:p>
        </w:tc>
        <w:tc>
          <w:tcPr>
            <w:tcW w:w="850" w:type="dxa"/>
            <w:shd w:val="clear" w:color="auto" w:fill="E6F2FF"/>
          </w:tcPr>
          <w:p w14:paraId="35844130" w14:textId="77777777" w:rsidR="00B449D0" w:rsidRDefault="00B449D0">
            <w:pPr>
              <w:pStyle w:val="SummaryAgencyTitle-BP2"/>
            </w:pPr>
          </w:p>
        </w:tc>
        <w:tc>
          <w:tcPr>
            <w:tcW w:w="850" w:type="dxa"/>
          </w:tcPr>
          <w:p w14:paraId="2DC59F23" w14:textId="77777777" w:rsidR="00B449D0" w:rsidRDefault="00B449D0">
            <w:pPr>
              <w:pStyle w:val="SummaryAgencyTitle-BP2"/>
            </w:pPr>
          </w:p>
        </w:tc>
        <w:tc>
          <w:tcPr>
            <w:tcW w:w="850" w:type="dxa"/>
          </w:tcPr>
          <w:p w14:paraId="1176CD3F" w14:textId="77777777" w:rsidR="00B449D0" w:rsidRDefault="00B449D0">
            <w:pPr>
              <w:pStyle w:val="SummaryAgencyTitle-BP2"/>
            </w:pPr>
          </w:p>
        </w:tc>
        <w:tc>
          <w:tcPr>
            <w:tcW w:w="850" w:type="dxa"/>
          </w:tcPr>
          <w:p w14:paraId="15ACA0F6" w14:textId="77777777" w:rsidR="00B449D0" w:rsidRDefault="00B449D0">
            <w:pPr>
              <w:pStyle w:val="SummaryAgencyTitle-BP2"/>
            </w:pPr>
          </w:p>
        </w:tc>
      </w:tr>
      <w:tr w:rsidR="00B449D0" w14:paraId="3E204A35" w14:textId="77777777" w:rsidTr="00301E48">
        <w:tc>
          <w:tcPr>
            <w:tcW w:w="3471" w:type="dxa"/>
            <w:vAlign w:val="bottom"/>
          </w:tcPr>
          <w:p w14:paraId="31209EA5" w14:textId="77777777" w:rsidR="00B449D0" w:rsidRDefault="00175344">
            <w:pPr>
              <w:pStyle w:val="SummaryMeasureTitlewithTheme"/>
            </w:pPr>
            <w:r>
              <w:t>Supporting News and Media Diversity(b)</w:t>
            </w:r>
          </w:p>
        </w:tc>
        <w:tc>
          <w:tcPr>
            <w:tcW w:w="850" w:type="dxa"/>
            <w:vAlign w:val="bottom"/>
          </w:tcPr>
          <w:p w14:paraId="4B730026" w14:textId="1CCFDDA9" w:rsidR="00B449D0" w:rsidRDefault="00076D78">
            <w:pPr>
              <w:pStyle w:val="Summarytabletextrightaligned"/>
            </w:pPr>
            <w:r>
              <w:noBreakHyphen/>
            </w:r>
          </w:p>
        </w:tc>
        <w:tc>
          <w:tcPr>
            <w:tcW w:w="850" w:type="dxa"/>
            <w:shd w:val="clear" w:color="auto" w:fill="E6F2FF"/>
            <w:vAlign w:val="bottom"/>
          </w:tcPr>
          <w:p w14:paraId="15D99457" w14:textId="18452CE6" w:rsidR="00B449D0" w:rsidRDefault="00076D78">
            <w:pPr>
              <w:pStyle w:val="Summarytabletextrightaligned"/>
            </w:pPr>
            <w:r>
              <w:noBreakHyphen/>
            </w:r>
          </w:p>
        </w:tc>
        <w:tc>
          <w:tcPr>
            <w:tcW w:w="850" w:type="dxa"/>
            <w:vAlign w:val="bottom"/>
          </w:tcPr>
          <w:p w14:paraId="571C7B9C" w14:textId="6FE8295E" w:rsidR="00B449D0" w:rsidRDefault="00076D78">
            <w:pPr>
              <w:pStyle w:val="Summarytabletextrightaligned"/>
            </w:pPr>
            <w:r>
              <w:noBreakHyphen/>
            </w:r>
          </w:p>
        </w:tc>
        <w:tc>
          <w:tcPr>
            <w:tcW w:w="850" w:type="dxa"/>
            <w:vAlign w:val="bottom"/>
          </w:tcPr>
          <w:p w14:paraId="7ABEFDBD" w14:textId="77777777" w:rsidR="00B449D0" w:rsidRDefault="00175344">
            <w:pPr>
              <w:pStyle w:val="Summarytabletextrightaligned"/>
            </w:pPr>
            <w:r>
              <w:t>40.9</w:t>
            </w:r>
          </w:p>
        </w:tc>
        <w:tc>
          <w:tcPr>
            <w:tcW w:w="850" w:type="dxa"/>
            <w:vAlign w:val="bottom"/>
          </w:tcPr>
          <w:p w14:paraId="0C193559" w14:textId="77777777" w:rsidR="00B449D0" w:rsidRDefault="00175344">
            <w:pPr>
              <w:pStyle w:val="Summarytabletextrightaligned"/>
            </w:pPr>
            <w:r>
              <w:t>42.2</w:t>
            </w:r>
          </w:p>
        </w:tc>
      </w:tr>
      <w:tr w:rsidR="00B449D0" w14:paraId="264FA15F" w14:textId="77777777" w:rsidTr="00301E48">
        <w:tc>
          <w:tcPr>
            <w:tcW w:w="3471" w:type="dxa"/>
            <w:vAlign w:val="bottom"/>
          </w:tcPr>
          <w:p w14:paraId="77CBB9E7" w14:textId="77777777" w:rsidR="00B449D0" w:rsidRDefault="00175344">
            <w:pPr>
              <w:pStyle w:val="SummaryAgencyTitle-BP2"/>
            </w:pPr>
            <w:r>
              <w:t>Australian Communications and Media Authority</w:t>
            </w:r>
          </w:p>
        </w:tc>
        <w:tc>
          <w:tcPr>
            <w:tcW w:w="850" w:type="dxa"/>
          </w:tcPr>
          <w:p w14:paraId="5DA7CD46" w14:textId="77777777" w:rsidR="00B449D0" w:rsidRDefault="00B449D0">
            <w:pPr>
              <w:pStyle w:val="SummaryAgencyTitle-BP2"/>
            </w:pPr>
          </w:p>
        </w:tc>
        <w:tc>
          <w:tcPr>
            <w:tcW w:w="850" w:type="dxa"/>
            <w:shd w:val="clear" w:color="auto" w:fill="E6F2FF"/>
          </w:tcPr>
          <w:p w14:paraId="097AE819" w14:textId="77777777" w:rsidR="00B449D0" w:rsidRDefault="00B449D0">
            <w:pPr>
              <w:pStyle w:val="SummaryAgencyTitle-BP2"/>
            </w:pPr>
          </w:p>
        </w:tc>
        <w:tc>
          <w:tcPr>
            <w:tcW w:w="850" w:type="dxa"/>
          </w:tcPr>
          <w:p w14:paraId="4B26CF9D" w14:textId="77777777" w:rsidR="00B449D0" w:rsidRDefault="00B449D0">
            <w:pPr>
              <w:pStyle w:val="SummaryAgencyTitle-BP2"/>
            </w:pPr>
          </w:p>
        </w:tc>
        <w:tc>
          <w:tcPr>
            <w:tcW w:w="850" w:type="dxa"/>
          </w:tcPr>
          <w:p w14:paraId="2AF78D48" w14:textId="77777777" w:rsidR="00B449D0" w:rsidRDefault="00B449D0">
            <w:pPr>
              <w:pStyle w:val="SummaryAgencyTitle-BP2"/>
            </w:pPr>
          </w:p>
        </w:tc>
        <w:tc>
          <w:tcPr>
            <w:tcW w:w="850" w:type="dxa"/>
          </w:tcPr>
          <w:p w14:paraId="75F3D56D" w14:textId="77777777" w:rsidR="00B449D0" w:rsidRDefault="00B449D0">
            <w:pPr>
              <w:pStyle w:val="SummaryAgencyTitle-BP2"/>
            </w:pPr>
          </w:p>
        </w:tc>
      </w:tr>
      <w:tr w:rsidR="00B449D0" w14:paraId="76414F92" w14:textId="77777777" w:rsidTr="00301E48">
        <w:tc>
          <w:tcPr>
            <w:tcW w:w="3471" w:type="dxa"/>
            <w:vAlign w:val="bottom"/>
          </w:tcPr>
          <w:p w14:paraId="57EE8D35" w14:textId="77777777" w:rsidR="00B449D0" w:rsidRDefault="00175344">
            <w:pPr>
              <w:pStyle w:val="SummaryMeasureTitlewithTheme"/>
            </w:pPr>
            <w:r>
              <w:t>Social Media Age Limits</w:t>
            </w:r>
          </w:p>
        </w:tc>
        <w:tc>
          <w:tcPr>
            <w:tcW w:w="850" w:type="dxa"/>
            <w:vAlign w:val="bottom"/>
          </w:tcPr>
          <w:p w14:paraId="75ABFFF8" w14:textId="52CB4890" w:rsidR="00B449D0" w:rsidRDefault="00076D78">
            <w:pPr>
              <w:pStyle w:val="Summarytabletextrightaligned"/>
            </w:pPr>
            <w:r>
              <w:noBreakHyphen/>
            </w:r>
          </w:p>
        </w:tc>
        <w:tc>
          <w:tcPr>
            <w:tcW w:w="850" w:type="dxa"/>
            <w:shd w:val="clear" w:color="auto" w:fill="E6F2FF"/>
            <w:vAlign w:val="bottom"/>
          </w:tcPr>
          <w:p w14:paraId="6287C580" w14:textId="77777777" w:rsidR="00B449D0" w:rsidRDefault="00175344">
            <w:pPr>
              <w:pStyle w:val="Summarytabletextrightaligned"/>
            </w:pPr>
            <w:r>
              <w:t>3.8</w:t>
            </w:r>
          </w:p>
        </w:tc>
        <w:tc>
          <w:tcPr>
            <w:tcW w:w="850" w:type="dxa"/>
            <w:vAlign w:val="bottom"/>
          </w:tcPr>
          <w:p w14:paraId="0DB0BBCF" w14:textId="77777777" w:rsidR="00B449D0" w:rsidRDefault="00175344">
            <w:pPr>
              <w:pStyle w:val="Summarytabletextrightaligned"/>
            </w:pPr>
            <w:r>
              <w:t>16.2</w:t>
            </w:r>
          </w:p>
        </w:tc>
        <w:tc>
          <w:tcPr>
            <w:tcW w:w="850" w:type="dxa"/>
            <w:vAlign w:val="bottom"/>
          </w:tcPr>
          <w:p w14:paraId="5021B4C9" w14:textId="77777777" w:rsidR="00B449D0" w:rsidRDefault="00175344">
            <w:pPr>
              <w:pStyle w:val="Summarytabletextrightaligned"/>
            </w:pPr>
            <w:r>
              <w:t>13.3</w:t>
            </w:r>
          </w:p>
        </w:tc>
        <w:tc>
          <w:tcPr>
            <w:tcW w:w="850" w:type="dxa"/>
            <w:vAlign w:val="bottom"/>
          </w:tcPr>
          <w:p w14:paraId="382172E3" w14:textId="77777777" w:rsidR="00B449D0" w:rsidRDefault="00175344">
            <w:pPr>
              <w:pStyle w:val="Summarytabletextrightaligned"/>
            </w:pPr>
            <w:r>
              <w:t>12.4</w:t>
            </w:r>
          </w:p>
        </w:tc>
      </w:tr>
      <w:tr w:rsidR="00B449D0" w14:paraId="10F1F641" w14:textId="77777777" w:rsidTr="00301E48">
        <w:tc>
          <w:tcPr>
            <w:tcW w:w="3471" w:type="dxa"/>
            <w:vAlign w:val="bottom"/>
          </w:tcPr>
          <w:p w14:paraId="42967D77" w14:textId="77777777" w:rsidR="00B449D0" w:rsidRDefault="00175344">
            <w:pPr>
              <w:pStyle w:val="SummaryAgencyTitle-BP2"/>
            </w:pPr>
            <w:r>
              <w:t>Department of Infrastructure, Transport, Regional Development, Communications and the Arts</w:t>
            </w:r>
          </w:p>
        </w:tc>
        <w:tc>
          <w:tcPr>
            <w:tcW w:w="850" w:type="dxa"/>
          </w:tcPr>
          <w:p w14:paraId="22580796" w14:textId="77777777" w:rsidR="00B449D0" w:rsidRDefault="00B449D0">
            <w:pPr>
              <w:pStyle w:val="SummaryAgencyTitle-BP2"/>
            </w:pPr>
          </w:p>
        </w:tc>
        <w:tc>
          <w:tcPr>
            <w:tcW w:w="850" w:type="dxa"/>
            <w:shd w:val="clear" w:color="auto" w:fill="E6F2FF"/>
          </w:tcPr>
          <w:p w14:paraId="2627D8AA" w14:textId="77777777" w:rsidR="00B449D0" w:rsidRDefault="00B449D0">
            <w:pPr>
              <w:pStyle w:val="SummaryAgencyTitle-BP2"/>
            </w:pPr>
          </w:p>
        </w:tc>
        <w:tc>
          <w:tcPr>
            <w:tcW w:w="850" w:type="dxa"/>
          </w:tcPr>
          <w:p w14:paraId="61AFBD0F" w14:textId="77777777" w:rsidR="00B449D0" w:rsidRDefault="00B449D0">
            <w:pPr>
              <w:pStyle w:val="SummaryAgencyTitle-BP2"/>
            </w:pPr>
          </w:p>
        </w:tc>
        <w:tc>
          <w:tcPr>
            <w:tcW w:w="850" w:type="dxa"/>
          </w:tcPr>
          <w:p w14:paraId="2DF4D758" w14:textId="77777777" w:rsidR="00B449D0" w:rsidRDefault="00B449D0">
            <w:pPr>
              <w:pStyle w:val="SummaryAgencyTitle-BP2"/>
            </w:pPr>
          </w:p>
        </w:tc>
        <w:tc>
          <w:tcPr>
            <w:tcW w:w="850" w:type="dxa"/>
          </w:tcPr>
          <w:p w14:paraId="24F61E37" w14:textId="77777777" w:rsidR="00B449D0" w:rsidRDefault="00B449D0">
            <w:pPr>
              <w:pStyle w:val="SummaryAgencyTitle-BP2"/>
            </w:pPr>
          </w:p>
        </w:tc>
      </w:tr>
      <w:tr w:rsidR="00B449D0" w14:paraId="357B682E" w14:textId="77777777" w:rsidTr="00301E48">
        <w:tc>
          <w:tcPr>
            <w:tcW w:w="3471" w:type="dxa"/>
            <w:vAlign w:val="bottom"/>
          </w:tcPr>
          <w:p w14:paraId="2D80E006" w14:textId="060C871D" w:rsidR="00B449D0" w:rsidRDefault="00175344">
            <w:pPr>
              <w:pStyle w:val="SummaryMeasureTitlewithTheme"/>
            </w:pPr>
            <w:r>
              <w:t>Building Australia</w:t>
            </w:r>
            <w:r w:rsidR="00076D78">
              <w:t>’</w:t>
            </w:r>
            <w:r>
              <w:t>s Future – Building a Better Future Through Considered Infrastructure Investment</w:t>
            </w:r>
          </w:p>
        </w:tc>
        <w:tc>
          <w:tcPr>
            <w:tcW w:w="850" w:type="dxa"/>
            <w:vAlign w:val="bottom"/>
          </w:tcPr>
          <w:p w14:paraId="441F19CD" w14:textId="6304ECCF" w:rsidR="00B449D0" w:rsidRDefault="00076D78">
            <w:pPr>
              <w:pStyle w:val="Summarytabletextrightaligned"/>
            </w:pPr>
            <w:r>
              <w:noBreakHyphen/>
            </w:r>
          </w:p>
        </w:tc>
        <w:tc>
          <w:tcPr>
            <w:tcW w:w="850" w:type="dxa"/>
            <w:shd w:val="clear" w:color="auto" w:fill="E6F2FF"/>
            <w:vAlign w:val="bottom"/>
          </w:tcPr>
          <w:p w14:paraId="782D9C38" w14:textId="75481CBD" w:rsidR="00B449D0" w:rsidRDefault="00076D78">
            <w:pPr>
              <w:pStyle w:val="Summarytabletextrightaligned"/>
            </w:pPr>
            <w:r>
              <w:noBreakHyphen/>
            </w:r>
          </w:p>
        </w:tc>
        <w:tc>
          <w:tcPr>
            <w:tcW w:w="850" w:type="dxa"/>
            <w:vAlign w:val="bottom"/>
          </w:tcPr>
          <w:p w14:paraId="08CF0CE1" w14:textId="4E793A8E" w:rsidR="00B449D0" w:rsidRDefault="00076D78">
            <w:pPr>
              <w:pStyle w:val="Summarytabletextrightaligned"/>
            </w:pPr>
            <w:r>
              <w:noBreakHyphen/>
            </w:r>
          </w:p>
        </w:tc>
        <w:tc>
          <w:tcPr>
            <w:tcW w:w="850" w:type="dxa"/>
            <w:vAlign w:val="bottom"/>
          </w:tcPr>
          <w:p w14:paraId="0A2DC306" w14:textId="6CA5B488" w:rsidR="00B449D0" w:rsidRDefault="00076D78">
            <w:pPr>
              <w:pStyle w:val="Summarytabletextrightaligned"/>
            </w:pPr>
            <w:r>
              <w:noBreakHyphen/>
            </w:r>
          </w:p>
        </w:tc>
        <w:tc>
          <w:tcPr>
            <w:tcW w:w="850" w:type="dxa"/>
            <w:vAlign w:val="bottom"/>
          </w:tcPr>
          <w:p w14:paraId="189F61E6" w14:textId="586CBD14" w:rsidR="00B449D0" w:rsidRDefault="00076D78">
            <w:pPr>
              <w:pStyle w:val="Summarytabletextrightaligned"/>
            </w:pPr>
            <w:r>
              <w:noBreakHyphen/>
            </w:r>
          </w:p>
        </w:tc>
      </w:tr>
      <w:tr w:rsidR="00B449D0" w14:paraId="228FF1CD" w14:textId="77777777" w:rsidTr="00301E48">
        <w:tc>
          <w:tcPr>
            <w:tcW w:w="3471" w:type="dxa"/>
            <w:vAlign w:val="bottom"/>
          </w:tcPr>
          <w:p w14:paraId="5A588C51" w14:textId="77777777" w:rsidR="00B449D0" w:rsidRDefault="00175344">
            <w:pPr>
              <w:pStyle w:val="SummaryMeasureTitlewithTheme"/>
            </w:pPr>
            <w:r>
              <w:t>Community Infrastructure</w:t>
            </w:r>
          </w:p>
        </w:tc>
        <w:tc>
          <w:tcPr>
            <w:tcW w:w="850" w:type="dxa"/>
            <w:vAlign w:val="bottom"/>
          </w:tcPr>
          <w:p w14:paraId="120BF6F1" w14:textId="040B9F4D" w:rsidR="00B449D0" w:rsidRDefault="00076D78">
            <w:pPr>
              <w:pStyle w:val="Summarytabletextrightaligned"/>
            </w:pPr>
            <w:r>
              <w:noBreakHyphen/>
            </w:r>
          </w:p>
        </w:tc>
        <w:tc>
          <w:tcPr>
            <w:tcW w:w="850" w:type="dxa"/>
            <w:shd w:val="clear" w:color="auto" w:fill="E6F2FF"/>
            <w:vAlign w:val="bottom"/>
          </w:tcPr>
          <w:p w14:paraId="700D2429" w14:textId="6DEA740B" w:rsidR="00B449D0" w:rsidRDefault="00076D78">
            <w:pPr>
              <w:pStyle w:val="Summarytabletextrightaligned"/>
            </w:pPr>
            <w:r>
              <w:noBreakHyphen/>
            </w:r>
            <w:r w:rsidR="00175344">
              <w:t>8.2</w:t>
            </w:r>
          </w:p>
        </w:tc>
        <w:tc>
          <w:tcPr>
            <w:tcW w:w="850" w:type="dxa"/>
            <w:vAlign w:val="bottom"/>
          </w:tcPr>
          <w:p w14:paraId="433123F8" w14:textId="09B31BA9" w:rsidR="00B449D0" w:rsidRDefault="00076D78">
            <w:pPr>
              <w:pStyle w:val="Summarytabletextrightaligned"/>
            </w:pPr>
            <w:r>
              <w:noBreakHyphen/>
            </w:r>
          </w:p>
        </w:tc>
        <w:tc>
          <w:tcPr>
            <w:tcW w:w="850" w:type="dxa"/>
            <w:vAlign w:val="bottom"/>
          </w:tcPr>
          <w:p w14:paraId="4F3DAA4C" w14:textId="18975306" w:rsidR="00B449D0" w:rsidRDefault="00076D78">
            <w:pPr>
              <w:pStyle w:val="Summarytabletextrightaligned"/>
            </w:pPr>
            <w:r>
              <w:noBreakHyphen/>
            </w:r>
            <w:r w:rsidR="00175344">
              <w:t>7.0</w:t>
            </w:r>
          </w:p>
        </w:tc>
        <w:tc>
          <w:tcPr>
            <w:tcW w:w="850" w:type="dxa"/>
            <w:vAlign w:val="bottom"/>
          </w:tcPr>
          <w:p w14:paraId="0BBB1136" w14:textId="6BFCEF7F" w:rsidR="00B449D0" w:rsidRDefault="00076D78">
            <w:pPr>
              <w:pStyle w:val="Summarytabletextrightaligned"/>
            </w:pPr>
            <w:r>
              <w:noBreakHyphen/>
            </w:r>
          </w:p>
        </w:tc>
      </w:tr>
      <w:tr w:rsidR="00B449D0" w14:paraId="602A31D5" w14:textId="77777777" w:rsidTr="00301E48">
        <w:tc>
          <w:tcPr>
            <w:tcW w:w="3471" w:type="dxa"/>
            <w:vAlign w:val="bottom"/>
          </w:tcPr>
          <w:p w14:paraId="073C0D42" w14:textId="77777777" w:rsidR="00B449D0" w:rsidRDefault="00175344">
            <w:pPr>
              <w:pStyle w:val="SummaryMeasureTitlewithTheme"/>
            </w:pPr>
            <w:r>
              <w:t>Employment Services Reform – additional supports</w:t>
            </w:r>
          </w:p>
        </w:tc>
        <w:tc>
          <w:tcPr>
            <w:tcW w:w="850" w:type="dxa"/>
            <w:vAlign w:val="bottom"/>
          </w:tcPr>
          <w:p w14:paraId="25D550E7" w14:textId="0CB2A748" w:rsidR="00B449D0" w:rsidRDefault="00076D78">
            <w:pPr>
              <w:pStyle w:val="Summarytabletextrightaligned"/>
            </w:pPr>
            <w:r>
              <w:noBreakHyphen/>
            </w:r>
          </w:p>
        </w:tc>
        <w:tc>
          <w:tcPr>
            <w:tcW w:w="850" w:type="dxa"/>
            <w:shd w:val="clear" w:color="auto" w:fill="E6F2FF"/>
            <w:vAlign w:val="bottom"/>
          </w:tcPr>
          <w:p w14:paraId="038D830A" w14:textId="65CE8064" w:rsidR="00B449D0" w:rsidRDefault="00076D78">
            <w:pPr>
              <w:pStyle w:val="Summarytabletextrightaligned"/>
            </w:pPr>
            <w:r>
              <w:noBreakHyphen/>
            </w:r>
          </w:p>
        </w:tc>
        <w:tc>
          <w:tcPr>
            <w:tcW w:w="850" w:type="dxa"/>
            <w:vAlign w:val="bottom"/>
          </w:tcPr>
          <w:p w14:paraId="66E8D74B" w14:textId="77777777" w:rsidR="00B449D0" w:rsidRDefault="00175344">
            <w:pPr>
              <w:pStyle w:val="Summarytabletextrightaligned"/>
            </w:pPr>
            <w:r>
              <w:t>0.3</w:t>
            </w:r>
          </w:p>
        </w:tc>
        <w:tc>
          <w:tcPr>
            <w:tcW w:w="850" w:type="dxa"/>
            <w:vAlign w:val="bottom"/>
          </w:tcPr>
          <w:p w14:paraId="0D984F16" w14:textId="77777777" w:rsidR="00B449D0" w:rsidRDefault="00175344">
            <w:pPr>
              <w:pStyle w:val="Summarytabletextrightaligned"/>
            </w:pPr>
            <w:r>
              <w:t>0.3</w:t>
            </w:r>
          </w:p>
        </w:tc>
        <w:tc>
          <w:tcPr>
            <w:tcW w:w="850" w:type="dxa"/>
            <w:vAlign w:val="bottom"/>
          </w:tcPr>
          <w:p w14:paraId="271EB59E" w14:textId="77777777" w:rsidR="00B449D0" w:rsidRDefault="00175344">
            <w:pPr>
              <w:pStyle w:val="Summarytabletextrightaligned"/>
            </w:pPr>
            <w:r>
              <w:t>0.3</w:t>
            </w:r>
          </w:p>
        </w:tc>
      </w:tr>
      <w:tr w:rsidR="00B449D0" w14:paraId="01E3F58E" w14:textId="77777777" w:rsidTr="00301E48">
        <w:tc>
          <w:tcPr>
            <w:tcW w:w="3471" w:type="dxa"/>
            <w:vAlign w:val="bottom"/>
          </w:tcPr>
          <w:p w14:paraId="4DC6A480" w14:textId="77777777" w:rsidR="00B449D0" w:rsidRDefault="00175344">
            <w:pPr>
              <w:pStyle w:val="SummaryMeasureTitlewithTheme"/>
            </w:pPr>
            <w:r>
              <w:t>Funding for the Indian Ocean Territories</w:t>
            </w:r>
          </w:p>
        </w:tc>
        <w:tc>
          <w:tcPr>
            <w:tcW w:w="850" w:type="dxa"/>
            <w:vAlign w:val="bottom"/>
          </w:tcPr>
          <w:p w14:paraId="58A1A075" w14:textId="7EA6E6F7" w:rsidR="00B449D0" w:rsidRDefault="00076D78">
            <w:pPr>
              <w:pStyle w:val="Summarytabletextrightaligned"/>
            </w:pPr>
            <w:r>
              <w:noBreakHyphen/>
            </w:r>
          </w:p>
        </w:tc>
        <w:tc>
          <w:tcPr>
            <w:tcW w:w="850" w:type="dxa"/>
            <w:shd w:val="clear" w:color="auto" w:fill="E6F2FF"/>
            <w:vAlign w:val="bottom"/>
          </w:tcPr>
          <w:p w14:paraId="4B95A02A" w14:textId="77777777" w:rsidR="00B449D0" w:rsidRDefault="00175344">
            <w:pPr>
              <w:pStyle w:val="Summarytabletextrightaligned"/>
            </w:pPr>
            <w:r>
              <w:t>0.8</w:t>
            </w:r>
          </w:p>
        </w:tc>
        <w:tc>
          <w:tcPr>
            <w:tcW w:w="850" w:type="dxa"/>
            <w:vAlign w:val="bottom"/>
          </w:tcPr>
          <w:p w14:paraId="462E482B" w14:textId="77777777" w:rsidR="00B449D0" w:rsidRDefault="00175344">
            <w:pPr>
              <w:pStyle w:val="Summarytabletextrightaligned"/>
            </w:pPr>
            <w:r>
              <w:t>5.4</w:t>
            </w:r>
          </w:p>
        </w:tc>
        <w:tc>
          <w:tcPr>
            <w:tcW w:w="850" w:type="dxa"/>
            <w:vAlign w:val="bottom"/>
          </w:tcPr>
          <w:p w14:paraId="78937C73" w14:textId="77777777" w:rsidR="00B449D0" w:rsidRDefault="00175344">
            <w:pPr>
              <w:pStyle w:val="Summarytabletextrightaligned"/>
            </w:pPr>
            <w:r>
              <w:t>10.1</w:t>
            </w:r>
          </w:p>
        </w:tc>
        <w:tc>
          <w:tcPr>
            <w:tcW w:w="850" w:type="dxa"/>
            <w:vAlign w:val="bottom"/>
          </w:tcPr>
          <w:p w14:paraId="4D1A3805" w14:textId="77777777" w:rsidR="00B449D0" w:rsidRDefault="00175344">
            <w:pPr>
              <w:pStyle w:val="Summarytabletextrightaligned"/>
            </w:pPr>
            <w:r>
              <w:t>1.0</w:t>
            </w:r>
          </w:p>
        </w:tc>
      </w:tr>
      <w:tr w:rsidR="00B449D0" w14:paraId="47473E78" w14:textId="77777777" w:rsidTr="00301E48">
        <w:tc>
          <w:tcPr>
            <w:tcW w:w="3471" w:type="dxa"/>
            <w:vAlign w:val="bottom"/>
          </w:tcPr>
          <w:p w14:paraId="215004FB" w14:textId="77777777" w:rsidR="00B449D0" w:rsidRDefault="00175344">
            <w:pPr>
              <w:pStyle w:val="SummaryMeasureTitlewithTheme"/>
            </w:pPr>
            <w:r>
              <w:t>Rebuilding the Great Barrier Reef Aquarium</w:t>
            </w:r>
          </w:p>
        </w:tc>
        <w:tc>
          <w:tcPr>
            <w:tcW w:w="850" w:type="dxa"/>
            <w:vAlign w:val="bottom"/>
          </w:tcPr>
          <w:p w14:paraId="15DBD41A" w14:textId="2902CDE4" w:rsidR="00B449D0" w:rsidRDefault="00076D78">
            <w:pPr>
              <w:pStyle w:val="Summarytabletextrightaligned"/>
            </w:pPr>
            <w:r>
              <w:noBreakHyphen/>
            </w:r>
          </w:p>
        </w:tc>
        <w:tc>
          <w:tcPr>
            <w:tcW w:w="850" w:type="dxa"/>
            <w:shd w:val="clear" w:color="auto" w:fill="E6F2FF"/>
            <w:vAlign w:val="bottom"/>
          </w:tcPr>
          <w:p w14:paraId="2D64956E" w14:textId="28F52D9F" w:rsidR="00B449D0" w:rsidRDefault="00076D78">
            <w:pPr>
              <w:pStyle w:val="Summarytabletextrightaligned"/>
            </w:pPr>
            <w:r>
              <w:noBreakHyphen/>
            </w:r>
          </w:p>
        </w:tc>
        <w:tc>
          <w:tcPr>
            <w:tcW w:w="850" w:type="dxa"/>
            <w:vAlign w:val="bottom"/>
          </w:tcPr>
          <w:p w14:paraId="06C56858" w14:textId="224F0820" w:rsidR="00B449D0" w:rsidRDefault="00076D78">
            <w:pPr>
              <w:pStyle w:val="Summarytabletextrightaligned"/>
            </w:pPr>
            <w:r>
              <w:noBreakHyphen/>
            </w:r>
          </w:p>
        </w:tc>
        <w:tc>
          <w:tcPr>
            <w:tcW w:w="850" w:type="dxa"/>
            <w:vAlign w:val="bottom"/>
          </w:tcPr>
          <w:p w14:paraId="5E40A11A" w14:textId="4DB07A49" w:rsidR="00B449D0" w:rsidRDefault="00076D78">
            <w:pPr>
              <w:pStyle w:val="Summarytabletextrightaligned"/>
            </w:pPr>
            <w:r>
              <w:noBreakHyphen/>
            </w:r>
          </w:p>
        </w:tc>
        <w:tc>
          <w:tcPr>
            <w:tcW w:w="850" w:type="dxa"/>
            <w:vAlign w:val="bottom"/>
          </w:tcPr>
          <w:p w14:paraId="707157EE" w14:textId="49CD0D8F" w:rsidR="00B449D0" w:rsidRDefault="00076D78">
            <w:pPr>
              <w:pStyle w:val="Summarytabletextrightaligned"/>
            </w:pPr>
            <w:r>
              <w:noBreakHyphen/>
            </w:r>
          </w:p>
        </w:tc>
      </w:tr>
      <w:tr w:rsidR="00B449D0" w14:paraId="157F21C3" w14:textId="77777777" w:rsidTr="00301E48">
        <w:tc>
          <w:tcPr>
            <w:tcW w:w="3471" w:type="dxa"/>
            <w:vAlign w:val="bottom"/>
          </w:tcPr>
          <w:p w14:paraId="133468EC" w14:textId="77777777" w:rsidR="00B449D0" w:rsidRDefault="00175344">
            <w:pPr>
              <w:pStyle w:val="SummaryMeasureTitlewithTheme"/>
            </w:pPr>
            <w:r>
              <w:t>Revive – National Cultural Policy Location Offset</w:t>
            </w:r>
          </w:p>
        </w:tc>
        <w:tc>
          <w:tcPr>
            <w:tcW w:w="850" w:type="dxa"/>
            <w:vAlign w:val="bottom"/>
          </w:tcPr>
          <w:p w14:paraId="5CA9EBB7" w14:textId="16D1FF43" w:rsidR="00B449D0" w:rsidRDefault="00076D78">
            <w:pPr>
              <w:pStyle w:val="Summarytabletextrightaligned"/>
            </w:pPr>
            <w:r>
              <w:noBreakHyphen/>
            </w:r>
          </w:p>
        </w:tc>
        <w:tc>
          <w:tcPr>
            <w:tcW w:w="850" w:type="dxa"/>
            <w:shd w:val="clear" w:color="auto" w:fill="E6F2FF"/>
            <w:vAlign w:val="bottom"/>
          </w:tcPr>
          <w:p w14:paraId="7DC4BE58" w14:textId="08E8B4DC" w:rsidR="00B449D0" w:rsidRDefault="00076D78">
            <w:pPr>
              <w:pStyle w:val="Summarytabletextrightaligned"/>
            </w:pPr>
            <w:r>
              <w:noBreakHyphen/>
            </w:r>
          </w:p>
        </w:tc>
        <w:tc>
          <w:tcPr>
            <w:tcW w:w="850" w:type="dxa"/>
            <w:vAlign w:val="bottom"/>
          </w:tcPr>
          <w:p w14:paraId="7FC72143" w14:textId="58331ECC" w:rsidR="00B449D0" w:rsidRDefault="00076D78">
            <w:pPr>
              <w:pStyle w:val="Summarytabletextrightaligned"/>
            </w:pPr>
            <w:r>
              <w:noBreakHyphen/>
            </w:r>
          </w:p>
        </w:tc>
        <w:tc>
          <w:tcPr>
            <w:tcW w:w="850" w:type="dxa"/>
            <w:vAlign w:val="bottom"/>
          </w:tcPr>
          <w:p w14:paraId="15540BBE" w14:textId="4C18DDD4" w:rsidR="00B449D0" w:rsidRDefault="00076D78">
            <w:pPr>
              <w:pStyle w:val="Summarytabletextrightaligned"/>
            </w:pPr>
            <w:r>
              <w:noBreakHyphen/>
            </w:r>
          </w:p>
        </w:tc>
        <w:tc>
          <w:tcPr>
            <w:tcW w:w="850" w:type="dxa"/>
            <w:vAlign w:val="bottom"/>
          </w:tcPr>
          <w:p w14:paraId="54532A00" w14:textId="16159EC9" w:rsidR="00B449D0" w:rsidRDefault="00076D78">
            <w:pPr>
              <w:pStyle w:val="Summarytabletextrightaligned"/>
            </w:pPr>
            <w:r>
              <w:noBreakHyphen/>
            </w:r>
          </w:p>
        </w:tc>
      </w:tr>
      <w:tr w:rsidR="00B449D0" w14:paraId="5B4E0BE9" w14:textId="77777777" w:rsidTr="00301E48">
        <w:tc>
          <w:tcPr>
            <w:tcW w:w="3471" w:type="dxa"/>
            <w:vAlign w:val="bottom"/>
          </w:tcPr>
          <w:p w14:paraId="493EEE8F" w14:textId="77777777" w:rsidR="00B449D0" w:rsidRDefault="00175344">
            <w:pPr>
              <w:pStyle w:val="SummaryMeasureTitlewithTheme"/>
            </w:pPr>
            <w:r>
              <w:t>Social Media Age Limits</w:t>
            </w:r>
          </w:p>
        </w:tc>
        <w:tc>
          <w:tcPr>
            <w:tcW w:w="850" w:type="dxa"/>
            <w:vAlign w:val="bottom"/>
          </w:tcPr>
          <w:p w14:paraId="0E52D10C" w14:textId="07BD80AB" w:rsidR="00B449D0" w:rsidRDefault="00076D78">
            <w:pPr>
              <w:pStyle w:val="Summarytabletextrightaligned"/>
            </w:pPr>
            <w:r>
              <w:noBreakHyphen/>
            </w:r>
          </w:p>
        </w:tc>
        <w:tc>
          <w:tcPr>
            <w:tcW w:w="850" w:type="dxa"/>
            <w:shd w:val="clear" w:color="auto" w:fill="E6F2FF"/>
            <w:vAlign w:val="bottom"/>
          </w:tcPr>
          <w:p w14:paraId="1A2A7ED2" w14:textId="77777777" w:rsidR="00B449D0" w:rsidRDefault="00175344">
            <w:pPr>
              <w:pStyle w:val="Summarytabletextrightaligned"/>
            </w:pPr>
            <w:r>
              <w:t>5.1</w:t>
            </w:r>
          </w:p>
        </w:tc>
        <w:tc>
          <w:tcPr>
            <w:tcW w:w="850" w:type="dxa"/>
            <w:vAlign w:val="bottom"/>
          </w:tcPr>
          <w:p w14:paraId="6B500060" w14:textId="77777777" w:rsidR="00B449D0" w:rsidRDefault="00175344">
            <w:pPr>
              <w:pStyle w:val="Summarytabletextrightaligned"/>
            </w:pPr>
            <w:r>
              <w:t>12.4</w:t>
            </w:r>
          </w:p>
        </w:tc>
        <w:tc>
          <w:tcPr>
            <w:tcW w:w="850" w:type="dxa"/>
            <w:vAlign w:val="bottom"/>
          </w:tcPr>
          <w:p w14:paraId="772B44A7" w14:textId="77777777" w:rsidR="00B449D0" w:rsidRDefault="00175344">
            <w:pPr>
              <w:pStyle w:val="Summarytabletextrightaligned"/>
            </w:pPr>
            <w:r>
              <w:t>4.4</w:t>
            </w:r>
          </w:p>
        </w:tc>
        <w:tc>
          <w:tcPr>
            <w:tcW w:w="850" w:type="dxa"/>
            <w:vAlign w:val="bottom"/>
          </w:tcPr>
          <w:p w14:paraId="51F5BC85" w14:textId="77777777" w:rsidR="00B449D0" w:rsidRDefault="00175344">
            <w:pPr>
              <w:pStyle w:val="Summarytabletextrightaligned"/>
            </w:pPr>
            <w:r>
              <w:t>3.6</w:t>
            </w:r>
          </w:p>
        </w:tc>
      </w:tr>
      <w:tr w:rsidR="00B449D0" w14:paraId="2AD3DF39" w14:textId="77777777" w:rsidTr="00301E48">
        <w:tc>
          <w:tcPr>
            <w:tcW w:w="3471" w:type="dxa"/>
            <w:vAlign w:val="bottom"/>
          </w:tcPr>
          <w:p w14:paraId="5C2BE26D" w14:textId="77777777" w:rsidR="00B449D0" w:rsidRDefault="00175344">
            <w:pPr>
              <w:pStyle w:val="SummaryMeasureTitlewithTheme"/>
            </w:pPr>
            <w:r>
              <w:t>Supporting Aviation Priorities(b)</w:t>
            </w:r>
          </w:p>
        </w:tc>
        <w:tc>
          <w:tcPr>
            <w:tcW w:w="850" w:type="dxa"/>
            <w:vAlign w:val="bottom"/>
          </w:tcPr>
          <w:p w14:paraId="1A9A684F" w14:textId="24A29B22" w:rsidR="00B449D0" w:rsidRDefault="00076D78">
            <w:pPr>
              <w:pStyle w:val="Summarytabletextrightaligned"/>
            </w:pPr>
            <w:r>
              <w:noBreakHyphen/>
            </w:r>
          </w:p>
        </w:tc>
        <w:tc>
          <w:tcPr>
            <w:tcW w:w="850" w:type="dxa"/>
            <w:shd w:val="clear" w:color="auto" w:fill="E6F2FF"/>
            <w:vAlign w:val="bottom"/>
          </w:tcPr>
          <w:p w14:paraId="30A06A14" w14:textId="77777777" w:rsidR="00B449D0" w:rsidRDefault="00175344">
            <w:pPr>
              <w:pStyle w:val="Summarytabletextrightaligned"/>
            </w:pPr>
            <w:r>
              <w:t>14.2</w:t>
            </w:r>
          </w:p>
        </w:tc>
        <w:tc>
          <w:tcPr>
            <w:tcW w:w="850" w:type="dxa"/>
            <w:vAlign w:val="bottom"/>
          </w:tcPr>
          <w:p w14:paraId="151250C4" w14:textId="77777777" w:rsidR="00B449D0" w:rsidRDefault="00175344">
            <w:pPr>
              <w:pStyle w:val="Summarytabletextrightaligned"/>
            </w:pPr>
            <w:r>
              <w:t>1.7</w:t>
            </w:r>
          </w:p>
        </w:tc>
        <w:tc>
          <w:tcPr>
            <w:tcW w:w="850" w:type="dxa"/>
            <w:vAlign w:val="bottom"/>
          </w:tcPr>
          <w:p w14:paraId="7AB13E53" w14:textId="0E2FD708" w:rsidR="00B449D0" w:rsidRDefault="00076D78">
            <w:pPr>
              <w:pStyle w:val="Summarytabletextrightaligned"/>
            </w:pPr>
            <w:r>
              <w:noBreakHyphen/>
            </w:r>
          </w:p>
        </w:tc>
        <w:tc>
          <w:tcPr>
            <w:tcW w:w="850" w:type="dxa"/>
            <w:vAlign w:val="bottom"/>
          </w:tcPr>
          <w:p w14:paraId="7CB0EF28" w14:textId="5C15AF9A" w:rsidR="00B449D0" w:rsidRDefault="00076D78">
            <w:pPr>
              <w:pStyle w:val="Summarytabletextrightaligned"/>
            </w:pPr>
            <w:r>
              <w:noBreakHyphen/>
            </w:r>
          </w:p>
        </w:tc>
      </w:tr>
      <w:tr w:rsidR="00B449D0" w14:paraId="7723BC23" w14:textId="77777777" w:rsidTr="00301E48">
        <w:tc>
          <w:tcPr>
            <w:tcW w:w="3471" w:type="dxa"/>
            <w:vAlign w:val="bottom"/>
          </w:tcPr>
          <w:p w14:paraId="1D2753C4" w14:textId="77777777" w:rsidR="00B449D0" w:rsidRDefault="00175344">
            <w:pPr>
              <w:pStyle w:val="SummaryMeasureTitlewithTheme"/>
            </w:pPr>
            <w:r>
              <w:t>Supporting Connectivity</w:t>
            </w:r>
          </w:p>
        </w:tc>
        <w:tc>
          <w:tcPr>
            <w:tcW w:w="850" w:type="dxa"/>
            <w:vAlign w:val="bottom"/>
          </w:tcPr>
          <w:p w14:paraId="08C559AD" w14:textId="2ED2D758" w:rsidR="00B449D0" w:rsidRDefault="00076D78">
            <w:pPr>
              <w:pStyle w:val="Summarytabletextrightaligned"/>
            </w:pPr>
            <w:r>
              <w:noBreakHyphen/>
            </w:r>
          </w:p>
        </w:tc>
        <w:tc>
          <w:tcPr>
            <w:tcW w:w="850" w:type="dxa"/>
            <w:shd w:val="clear" w:color="auto" w:fill="E6F2FF"/>
            <w:vAlign w:val="bottom"/>
          </w:tcPr>
          <w:p w14:paraId="160E02AA" w14:textId="25DB2F45" w:rsidR="00B449D0" w:rsidRDefault="00076D78">
            <w:pPr>
              <w:pStyle w:val="Summarytabletextrightaligned"/>
            </w:pPr>
            <w:r>
              <w:noBreakHyphen/>
            </w:r>
            <w:r w:rsidR="00175344">
              <w:t>1.2</w:t>
            </w:r>
          </w:p>
        </w:tc>
        <w:tc>
          <w:tcPr>
            <w:tcW w:w="850" w:type="dxa"/>
            <w:vAlign w:val="bottom"/>
          </w:tcPr>
          <w:p w14:paraId="3288EBCE" w14:textId="77777777" w:rsidR="00B449D0" w:rsidRDefault="00175344">
            <w:pPr>
              <w:pStyle w:val="Summarytabletextrightaligned"/>
            </w:pPr>
            <w:r>
              <w:t>1.1</w:t>
            </w:r>
          </w:p>
        </w:tc>
        <w:tc>
          <w:tcPr>
            <w:tcW w:w="850" w:type="dxa"/>
            <w:vAlign w:val="bottom"/>
          </w:tcPr>
          <w:p w14:paraId="49CB1294" w14:textId="77777777" w:rsidR="00B449D0" w:rsidRDefault="00175344">
            <w:pPr>
              <w:pStyle w:val="Summarytabletextrightaligned"/>
            </w:pPr>
            <w:r>
              <w:t>1.2</w:t>
            </w:r>
          </w:p>
        </w:tc>
        <w:tc>
          <w:tcPr>
            <w:tcW w:w="850" w:type="dxa"/>
            <w:vAlign w:val="bottom"/>
          </w:tcPr>
          <w:p w14:paraId="0E94A251" w14:textId="77777777" w:rsidR="00B449D0" w:rsidRDefault="00175344">
            <w:pPr>
              <w:pStyle w:val="Summarytabletextrightaligned"/>
            </w:pPr>
            <w:r>
              <w:t>1.2</w:t>
            </w:r>
          </w:p>
        </w:tc>
      </w:tr>
      <w:tr w:rsidR="00B449D0" w14:paraId="11244BD3" w14:textId="77777777" w:rsidTr="00301E48">
        <w:tc>
          <w:tcPr>
            <w:tcW w:w="3471" w:type="dxa"/>
            <w:vAlign w:val="bottom"/>
          </w:tcPr>
          <w:p w14:paraId="30F58C31" w14:textId="77777777" w:rsidR="00B449D0" w:rsidRDefault="00175344">
            <w:pPr>
              <w:pStyle w:val="SummaryMeasureTitlewithTheme"/>
            </w:pPr>
            <w:r>
              <w:t>Supporting News and Media Diversity(b)</w:t>
            </w:r>
          </w:p>
        </w:tc>
        <w:tc>
          <w:tcPr>
            <w:tcW w:w="850" w:type="dxa"/>
            <w:vAlign w:val="bottom"/>
          </w:tcPr>
          <w:p w14:paraId="571008D8" w14:textId="7D7604BF" w:rsidR="00B449D0" w:rsidRDefault="00076D78">
            <w:pPr>
              <w:pStyle w:val="Summarytabletextrightaligned"/>
            </w:pPr>
            <w:r>
              <w:noBreakHyphen/>
            </w:r>
          </w:p>
        </w:tc>
        <w:tc>
          <w:tcPr>
            <w:tcW w:w="850" w:type="dxa"/>
            <w:shd w:val="clear" w:color="auto" w:fill="E6F2FF"/>
            <w:vAlign w:val="bottom"/>
          </w:tcPr>
          <w:p w14:paraId="1D302687" w14:textId="77777777" w:rsidR="00B449D0" w:rsidRDefault="00175344">
            <w:pPr>
              <w:pStyle w:val="Summarytabletextrightaligned"/>
            </w:pPr>
            <w:r>
              <w:t>2.1</w:t>
            </w:r>
          </w:p>
        </w:tc>
        <w:tc>
          <w:tcPr>
            <w:tcW w:w="850" w:type="dxa"/>
            <w:vAlign w:val="bottom"/>
          </w:tcPr>
          <w:p w14:paraId="5B42DDA3" w14:textId="77777777" w:rsidR="00B449D0" w:rsidRDefault="00175344">
            <w:pPr>
              <w:pStyle w:val="Summarytabletextrightaligned"/>
            </w:pPr>
            <w:r>
              <w:t>56.6</w:t>
            </w:r>
          </w:p>
        </w:tc>
        <w:tc>
          <w:tcPr>
            <w:tcW w:w="850" w:type="dxa"/>
            <w:vAlign w:val="bottom"/>
          </w:tcPr>
          <w:p w14:paraId="2F3D92D4" w14:textId="77777777" w:rsidR="00B449D0" w:rsidRDefault="00175344">
            <w:pPr>
              <w:pStyle w:val="Summarytabletextrightaligned"/>
            </w:pPr>
            <w:r>
              <w:t>55.8</w:t>
            </w:r>
          </w:p>
        </w:tc>
        <w:tc>
          <w:tcPr>
            <w:tcW w:w="850" w:type="dxa"/>
            <w:vAlign w:val="bottom"/>
          </w:tcPr>
          <w:p w14:paraId="683695F8" w14:textId="77777777" w:rsidR="00B449D0" w:rsidRDefault="00175344">
            <w:pPr>
              <w:pStyle w:val="Summarytabletextrightaligned"/>
            </w:pPr>
            <w:r>
              <w:t>54.9</w:t>
            </w:r>
          </w:p>
        </w:tc>
      </w:tr>
      <w:tr w:rsidR="00B449D0" w14:paraId="5494891A" w14:textId="77777777" w:rsidTr="00301E48">
        <w:tc>
          <w:tcPr>
            <w:tcW w:w="3471" w:type="dxa"/>
            <w:vAlign w:val="bottom"/>
          </w:tcPr>
          <w:p w14:paraId="387D9360" w14:textId="77777777" w:rsidR="00B449D0" w:rsidRDefault="00175344">
            <w:pPr>
              <w:pStyle w:val="SummaryAgencyTitle-BP2"/>
            </w:pPr>
            <w:r>
              <w:t>Special Broadcasting Service Corporation</w:t>
            </w:r>
          </w:p>
        </w:tc>
        <w:tc>
          <w:tcPr>
            <w:tcW w:w="850" w:type="dxa"/>
          </w:tcPr>
          <w:p w14:paraId="448BACC8" w14:textId="77777777" w:rsidR="00B449D0" w:rsidRDefault="00B449D0">
            <w:pPr>
              <w:pStyle w:val="SummaryAgencyTitle-BP2"/>
            </w:pPr>
          </w:p>
        </w:tc>
        <w:tc>
          <w:tcPr>
            <w:tcW w:w="850" w:type="dxa"/>
            <w:shd w:val="clear" w:color="auto" w:fill="E6F2FF"/>
          </w:tcPr>
          <w:p w14:paraId="3D704581" w14:textId="77777777" w:rsidR="00B449D0" w:rsidRDefault="00B449D0">
            <w:pPr>
              <w:pStyle w:val="SummaryAgencyTitle-BP2"/>
            </w:pPr>
          </w:p>
        </w:tc>
        <w:tc>
          <w:tcPr>
            <w:tcW w:w="850" w:type="dxa"/>
          </w:tcPr>
          <w:p w14:paraId="17273F55" w14:textId="77777777" w:rsidR="00B449D0" w:rsidRDefault="00B449D0">
            <w:pPr>
              <w:pStyle w:val="SummaryAgencyTitle-BP2"/>
            </w:pPr>
          </w:p>
        </w:tc>
        <w:tc>
          <w:tcPr>
            <w:tcW w:w="850" w:type="dxa"/>
          </w:tcPr>
          <w:p w14:paraId="57B54EB5" w14:textId="77777777" w:rsidR="00B449D0" w:rsidRDefault="00B449D0">
            <w:pPr>
              <w:pStyle w:val="SummaryAgencyTitle-BP2"/>
            </w:pPr>
          </w:p>
        </w:tc>
        <w:tc>
          <w:tcPr>
            <w:tcW w:w="850" w:type="dxa"/>
          </w:tcPr>
          <w:p w14:paraId="619963BF" w14:textId="77777777" w:rsidR="00B449D0" w:rsidRDefault="00B449D0">
            <w:pPr>
              <w:pStyle w:val="SummaryAgencyTitle-BP2"/>
            </w:pPr>
          </w:p>
        </w:tc>
      </w:tr>
      <w:tr w:rsidR="00B449D0" w14:paraId="4659F486" w14:textId="77777777" w:rsidTr="00301E48">
        <w:tc>
          <w:tcPr>
            <w:tcW w:w="3471" w:type="dxa"/>
            <w:vAlign w:val="bottom"/>
          </w:tcPr>
          <w:p w14:paraId="615C87CE" w14:textId="77777777" w:rsidR="00B449D0" w:rsidRDefault="00175344">
            <w:pPr>
              <w:pStyle w:val="SummaryMeasureTitlewithTheme"/>
            </w:pPr>
            <w:r>
              <w:t>Supporting News and Media Diversity(b)</w:t>
            </w:r>
          </w:p>
        </w:tc>
        <w:tc>
          <w:tcPr>
            <w:tcW w:w="850" w:type="dxa"/>
            <w:vAlign w:val="bottom"/>
          </w:tcPr>
          <w:p w14:paraId="35D2D01D" w14:textId="440F29E6" w:rsidR="00B449D0" w:rsidRDefault="00076D78">
            <w:pPr>
              <w:pStyle w:val="Summarytabletextrightaligned"/>
            </w:pPr>
            <w:r>
              <w:noBreakHyphen/>
            </w:r>
          </w:p>
        </w:tc>
        <w:tc>
          <w:tcPr>
            <w:tcW w:w="850" w:type="dxa"/>
            <w:shd w:val="clear" w:color="auto" w:fill="E6F2FF"/>
            <w:vAlign w:val="bottom"/>
          </w:tcPr>
          <w:p w14:paraId="7386C00C" w14:textId="77777777" w:rsidR="00B449D0" w:rsidRDefault="00175344">
            <w:pPr>
              <w:pStyle w:val="Summarytabletextrightaligned"/>
            </w:pPr>
            <w:r>
              <w:t>2.0</w:t>
            </w:r>
          </w:p>
        </w:tc>
        <w:tc>
          <w:tcPr>
            <w:tcW w:w="850" w:type="dxa"/>
            <w:vAlign w:val="bottom"/>
          </w:tcPr>
          <w:p w14:paraId="1382928F" w14:textId="77777777" w:rsidR="00B449D0" w:rsidRDefault="00175344">
            <w:pPr>
              <w:pStyle w:val="Summarytabletextrightaligned"/>
            </w:pPr>
            <w:r>
              <w:t>3.9</w:t>
            </w:r>
          </w:p>
        </w:tc>
        <w:tc>
          <w:tcPr>
            <w:tcW w:w="850" w:type="dxa"/>
            <w:vAlign w:val="bottom"/>
          </w:tcPr>
          <w:p w14:paraId="133D37B7" w14:textId="37CC85E4" w:rsidR="00B449D0" w:rsidRDefault="00076D78">
            <w:pPr>
              <w:pStyle w:val="Summarytabletextrightaligned"/>
            </w:pPr>
            <w:r>
              <w:noBreakHyphen/>
            </w:r>
          </w:p>
        </w:tc>
        <w:tc>
          <w:tcPr>
            <w:tcW w:w="850" w:type="dxa"/>
            <w:vAlign w:val="bottom"/>
          </w:tcPr>
          <w:p w14:paraId="2E8F3110" w14:textId="7FCBE4F4" w:rsidR="00B449D0" w:rsidRDefault="00076D78">
            <w:pPr>
              <w:pStyle w:val="Summarytabletextrightaligned"/>
            </w:pPr>
            <w:r>
              <w:noBreakHyphen/>
            </w:r>
          </w:p>
        </w:tc>
      </w:tr>
      <w:tr w:rsidR="00B449D0" w14:paraId="12033EDE" w14:textId="77777777" w:rsidTr="00301E48">
        <w:tc>
          <w:tcPr>
            <w:tcW w:w="3471" w:type="dxa"/>
            <w:vAlign w:val="bottom"/>
          </w:tcPr>
          <w:p w14:paraId="04069DFD" w14:textId="77777777" w:rsidR="00B449D0" w:rsidRDefault="00175344">
            <w:pPr>
              <w:pStyle w:val="Summarytabletextleftalignedbold"/>
            </w:pPr>
            <w:r>
              <w:t>Portfolio total</w:t>
            </w:r>
          </w:p>
        </w:tc>
        <w:tc>
          <w:tcPr>
            <w:tcW w:w="850" w:type="dxa"/>
            <w:tcBorders>
              <w:top w:val="single" w:sz="4" w:space="0" w:color="000000"/>
              <w:bottom w:val="single" w:sz="4" w:space="0" w:color="000000"/>
            </w:tcBorders>
            <w:vAlign w:val="bottom"/>
          </w:tcPr>
          <w:p w14:paraId="0CE79634" w14:textId="4F1005A3" w:rsidR="00B449D0" w:rsidRDefault="00076D78">
            <w:pPr>
              <w:pStyle w:val="Summarytabletextrightalignedbold"/>
            </w:pPr>
            <w:r>
              <w:noBreakHyphen/>
            </w:r>
          </w:p>
        </w:tc>
        <w:tc>
          <w:tcPr>
            <w:tcW w:w="850" w:type="dxa"/>
            <w:tcBorders>
              <w:top w:val="single" w:sz="4" w:space="0" w:color="000000"/>
              <w:bottom w:val="single" w:sz="4" w:space="0" w:color="000000"/>
            </w:tcBorders>
            <w:shd w:val="clear" w:color="auto" w:fill="E6F2FF"/>
            <w:vAlign w:val="bottom"/>
          </w:tcPr>
          <w:p w14:paraId="2B7A1193" w14:textId="77777777" w:rsidR="00B449D0" w:rsidRDefault="00175344">
            <w:pPr>
              <w:pStyle w:val="Summarytabletextrightalignedbold"/>
            </w:pPr>
            <w:r>
              <w:t>18.4</w:t>
            </w:r>
          </w:p>
        </w:tc>
        <w:tc>
          <w:tcPr>
            <w:tcW w:w="850" w:type="dxa"/>
            <w:tcBorders>
              <w:top w:val="single" w:sz="4" w:space="0" w:color="000000"/>
              <w:bottom w:val="single" w:sz="4" w:space="0" w:color="000000"/>
            </w:tcBorders>
            <w:vAlign w:val="bottom"/>
          </w:tcPr>
          <w:p w14:paraId="0500EF3A" w14:textId="77777777" w:rsidR="00B449D0" w:rsidRDefault="00175344">
            <w:pPr>
              <w:pStyle w:val="Summarytabletextrightalignedbold"/>
            </w:pPr>
            <w:r>
              <w:t>97.6</w:t>
            </w:r>
          </w:p>
        </w:tc>
        <w:tc>
          <w:tcPr>
            <w:tcW w:w="850" w:type="dxa"/>
            <w:tcBorders>
              <w:top w:val="single" w:sz="4" w:space="0" w:color="000000"/>
              <w:bottom w:val="single" w:sz="4" w:space="0" w:color="000000"/>
            </w:tcBorders>
            <w:vAlign w:val="bottom"/>
          </w:tcPr>
          <w:p w14:paraId="0FE627BD" w14:textId="77777777" w:rsidR="00B449D0" w:rsidRDefault="00175344">
            <w:pPr>
              <w:pStyle w:val="Summarytabletextrightalignedbold"/>
            </w:pPr>
            <w:r>
              <w:t>119.0</w:t>
            </w:r>
          </w:p>
        </w:tc>
        <w:tc>
          <w:tcPr>
            <w:tcW w:w="850" w:type="dxa"/>
            <w:tcBorders>
              <w:top w:val="single" w:sz="4" w:space="0" w:color="000000"/>
              <w:bottom w:val="single" w:sz="4" w:space="0" w:color="000000"/>
            </w:tcBorders>
            <w:vAlign w:val="bottom"/>
          </w:tcPr>
          <w:p w14:paraId="0B8F42D3" w14:textId="77777777" w:rsidR="00B449D0" w:rsidRDefault="00175344">
            <w:pPr>
              <w:pStyle w:val="Summarytabletextrightalignedbold"/>
            </w:pPr>
            <w:r>
              <w:t>115.6</w:t>
            </w:r>
          </w:p>
        </w:tc>
      </w:tr>
      <w:tr w:rsidR="00B449D0" w14:paraId="4C5D0BB9" w14:textId="77777777" w:rsidTr="00301E48">
        <w:tc>
          <w:tcPr>
            <w:tcW w:w="3471" w:type="dxa"/>
            <w:vAlign w:val="bottom"/>
          </w:tcPr>
          <w:p w14:paraId="218F968E" w14:textId="77777777" w:rsidR="00B449D0" w:rsidRDefault="00175344">
            <w:pPr>
              <w:pStyle w:val="SummaryPortfolioTitle-BP2"/>
            </w:pPr>
            <w:r>
              <w:t>PARLIAMENT</w:t>
            </w:r>
          </w:p>
        </w:tc>
        <w:tc>
          <w:tcPr>
            <w:tcW w:w="850" w:type="dxa"/>
          </w:tcPr>
          <w:p w14:paraId="1C8F7924" w14:textId="77777777" w:rsidR="00B449D0" w:rsidRDefault="00B449D0">
            <w:pPr>
              <w:pStyle w:val="MeasureTableTextRightAlignedBefore6ptAfter1pt"/>
            </w:pPr>
          </w:p>
        </w:tc>
        <w:tc>
          <w:tcPr>
            <w:tcW w:w="850" w:type="dxa"/>
            <w:shd w:val="clear" w:color="auto" w:fill="E6F2FF"/>
          </w:tcPr>
          <w:p w14:paraId="47270C5B" w14:textId="77777777" w:rsidR="00B449D0" w:rsidRDefault="00B449D0">
            <w:pPr>
              <w:pStyle w:val="MeasureTableTextRightAlignedBefore6ptAfter1pt"/>
            </w:pPr>
          </w:p>
        </w:tc>
        <w:tc>
          <w:tcPr>
            <w:tcW w:w="850" w:type="dxa"/>
          </w:tcPr>
          <w:p w14:paraId="4011D454" w14:textId="77777777" w:rsidR="00B449D0" w:rsidRDefault="00B449D0">
            <w:pPr>
              <w:pStyle w:val="MeasureTableTextRightAlignedBefore6ptAfter1pt"/>
            </w:pPr>
          </w:p>
        </w:tc>
        <w:tc>
          <w:tcPr>
            <w:tcW w:w="850" w:type="dxa"/>
          </w:tcPr>
          <w:p w14:paraId="070B691F" w14:textId="77777777" w:rsidR="00B449D0" w:rsidRDefault="00B449D0">
            <w:pPr>
              <w:pStyle w:val="MeasureTableTextRightAlignedBefore6ptAfter1pt"/>
            </w:pPr>
          </w:p>
        </w:tc>
        <w:tc>
          <w:tcPr>
            <w:tcW w:w="850" w:type="dxa"/>
          </w:tcPr>
          <w:p w14:paraId="5BCC6C21" w14:textId="77777777" w:rsidR="00B449D0" w:rsidRDefault="00B449D0">
            <w:pPr>
              <w:pStyle w:val="MeasureTableTextRightAlignedBefore6ptAfter1pt"/>
            </w:pPr>
          </w:p>
        </w:tc>
      </w:tr>
      <w:tr w:rsidR="00B449D0" w14:paraId="702B5DCC" w14:textId="77777777" w:rsidTr="00301E48">
        <w:tc>
          <w:tcPr>
            <w:tcW w:w="3471" w:type="dxa"/>
            <w:vAlign w:val="bottom"/>
          </w:tcPr>
          <w:p w14:paraId="28979AF7" w14:textId="77777777" w:rsidR="00B449D0" w:rsidRDefault="00175344">
            <w:pPr>
              <w:pStyle w:val="SummaryAgencyTitle-BP2"/>
            </w:pPr>
            <w:r>
              <w:t>Department of the House of Representatives</w:t>
            </w:r>
          </w:p>
        </w:tc>
        <w:tc>
          <w:tcPr>
            <w:tcW w:w="850" w:type="dxa"/>
          </w:tcPr>
          <w:p w14:paraId="5B20B8A4" w14:textId="77777777" w:rsidR="00B449D0" w:rsidRDefault="00B449D0">
            <w:pPr>
              <w:pStyle w:val="SummaryAgencyTitle-BP2"/>
            </w:pPr>
          </w:p>
        </w:tc>
        <w:tc>
          <w:tcPr>
            <w:tcW w:w="850" w:type="dxa"/>
            <w:shd w:val="clear" w:color="auto" w:fill="E6F2FF"/>
          </w:tcPr>
          <w:p w14:paraId="11584D4A" w14:textId="77777777" w:rsidR="00B449D0" w:rsidRDefault="00B449D0">
            <w:pPr>
              <w:pStyle w:val="SummaryAgencyTitle-BP2"/>
            </w:pPr>
          </w:p>
        </w:tc>
        <w:tc>
          <w:tcPr>
            <w:tcW w:w="850" w:type="dxa"/>
          </w:tcPr>
          <w:p w14:paraId="0399BDF8" w14:textId="77777777" w:rsidR="00B449D0" w:rsidRDefault="00B449D0">
            <w:pPr>
              <w:pStyle w:val="SummaryAgencyTitle-BP2"/>
            </w:pPr>
          </w:p>
        </w:tc>
        <w:tc>
          <w:tcPr>
            <w:tcW w:w="850" w:type="dxa"/>
          </w:tcPr>
          <w:p w14:paraId="3C197B68" w14:textId="77777777" w:rsidR="00B449D0" w:rsidRDefault="00B449D0">
            <w:pPr>
              <w:pStyle w:val="SummaryAgencyTitle-BP2"/>
            </w:pPr>
          </w:p>
        </w:tc>
        <w:tc>
          <w:tcPr>
            <w:tcW w:w="850" w:type="dxa"/>
          </w:tcPr>
          <w:p w14:paraId="38A013FB" w14:textId="77777777" w:rsidR="00B449D0" w:rsidRDefault="00B449D0">
            <w:pPr>
              <w:pStyle w:val="SummaryAgencyTitle-BP2"/>
            </w:pPr>
          </w:p>
        </w:tc>
      </w:tr>
      <w:tr w:rsidR="00B449D0" w14:paraId="4FB9FA09" w14:textId="77777777" w:rsidTr="00301E48">
        <w:tc>
          <w:tcPr>
            <w:tcW w:w="3471" w:type="dxa"/>
            <w:vAlign w:val="bottom"/>
          </w:tcPr>
          <w:p w14:paraId="4ABA3E3D" w14:textId="77777777" w:rsidR="00B449D0" w:rsidRDefault="00175344">
            <w:pPr>
              <w:pStyle w:val="SummaryMeasureTitlewithTheme"/>
            </w:pPr>
            <w:r>
              <w:t>Quality Outcomes – Parliament and Civics Education Rebate and National Youth Parliament</w:t>
            </w:r>
          </w:p>
        </w:tc>
        <w:tc>
          <w:tcPr>
            <w:tcW w:w="850" w:type="dxa"/>
            <w:vAlign w:val="bottom"/>
          </w:tcPr>
          <w:p w14:paraId="65F28FFC" w14:textId="2151CF4E" w:rsidR="00B449D0" w:rsidRDefault="00076D78">
            <w:pPr>
              <w:pStyle w:val="Summarytabletextrightaligned"/>
            </w:pPr>
            <w:r>
              <w:noBreakHyphen/>
            </w:r>
          </w:p>
        </w:tc>
        <w:tc>
          <w:tcPr>
            <w:tcW w:w="850" w:type="dxa"/>
            <w:shd w:val="clear" w:color="auto" w:fill="E6F2FF"/>
            <w:vAlign w:val="bottom"/>
          </w:tcPr>
          <w:p w14:paraId="258AB0FB" w14:textId="77777777" w:rsidR="00B449D0" w:rsidRDefault="00175344">
            <w:pPr>
              <w:pStyle w:val="Summarytabletextrightaligned"/>
            </w:pPr>
            <w:r>
              <w:t>0.1</w:t>
            </w:r>
          </w:p>
        </w:tc>
        <w:tc>
          <w:tcPr>
            <w:tcW w:w="850" w:type="dxa"/>
            <w:vAlign w:val="bottom"/>
          </w:tcPr>
          <w:p w14:paraId="54B45F61" w14:textId="77777777" w:rsidR="00B449D0" w:rsidRDefault="00175344">
            <w:pPr>
              <w:pStyle w:val="Summarytabletextrightaligned"/>
            </w:pPr>
            <w:r>
              <w:t>0.9</w:t>
            </w:r>
          </w:p>
        </w:tc>
        <w:tc>
          <w:tcPr>
            <w:tcW w:w="850" w:type="dxa"/>
            <w:vAlign w:val="bottom"/>
          </w:tcPr>
          <w:p w14:paraId="26BBF00B" w14:textId="77777777" w:rsidR="00B449D0" w:rsidRDefault="00175344">
            <w:pPr>
              <w:pStyle w:val="Summarytabletextrightaligned"/>
            </w:pPr>
            <w:r>
              <w:t>0.7</w:t>
            </w:r>
          </w:p>
        </w:tc>
        <w:tc>
          <w:tcPr>
            <w:tcW w:w="850" w:type="dxa"/>
            <w:vAlign w:val="bottom"/>
          </w:tcPr>
          <w:p w14:paraId="12F4ADBD" w14:textId="14214035" w:rsidR="00B449D0" w:rsidRDefault="00076D78">
            <w:pPr>
              <w:pStyle w:val="Summarytabletextrightaligned"/>
            </w:pPr>
            <w:r>
              <w:noBreakHyphen/>
            </w:r>
          </w:p>
        </w:tc>
      </w:tr>
      <w:tr w:rsidR="00B449D0" w14:paraId="32D317E0" w14:textId="77777777" w:rsidTr="00301E48">
        <w:tc>
          <w:tcPr>
            <w:tcW w:w="3471" w:type="dxa"/>
            <w:vAlign w:val="bottom"/>
          </w:tcPr>
          <w:p w14:paraId="2CBA04F6" w14:textId="77777777" w:rsidR="00B449D0" w:rsidRDefault="00175344">
            <w:pPr>
              <w:pStyle w:val="Summarytabletextleftalignedbold"/>
            </w:pPr>
            <w:r>
              <w:t>Portfolio total</w:t>
            </w:r>
          </w:p>
        </w:tc>
        <w:tc>
          <w:tcPr>
            <w:tcW w:w="850" w:type="dxa"/>
            <w:tcBorders>
              <w:top w:val="single" w:sz="4" w:space="0" w:color="000000"/>
              <w:bottom w:val="single" w:sz="4" w:space="0" w:color="000000"/>
            </w:tcBorders>
            <w:vAlign w:val="bottom"/>
          </w:tcPr>
          <w:p w14:paraId="775D1519" w14:textId="1F72280B" w:rsidR="00B449D0" w:rsidRDefault="00076D78">
            <w:pPr>
              <w:pStyle w:val="Summarytabletextrightalignedbold"/>
            </w:pPr>
            <w:r>
              <w:noBreakHyphen/>
            </w:r>
          </w:p>
        </w:tc>
        <w:tc>
          <w:tcPr>
            <w:tcW w:w="850" w:type="dxa"/>
            <w:tcBorders>
              <w:top w:val="single" w:sz="4" w:space="0" w:color="000000"/>
              <w:bottom w:val="single" w:sz="4" w:space="0" w:color="000000"/>
            </w:tcBorders>
            <w:shd w:val="clear" w:color="auto" w:fill="E6F2FF"/>
            <w:vAlign w:val="bottom"/>
          </w:tcPr>
          <w:p w14:paraId="48FF6814" w14:textId="77777777" w:rsidR="00B449D0" w:rsidRDefault="00175344">
            <w:pPr>
              <w:pStyle w:val="Summarytabletextrightalignedbold"/>
            </w:pPr>
            <w:r>
              <w:t>0.1</w:t>
            </w:r>
          </w:p>
        </w:tc>
        <w:tc>
          <w:tcPr>
            <w:tcW w:w="850" w:type="dxa"/>
            <w:tcBorders>
              <w:top w:val="single" w:sz="4" w:space="0" w:color="000000"/>
              <w:bottom w:val="single" w:sz="4" w:space="0" w:color="000000"/>
            </w:tcBorders>
            <w:vAlign w:val="bottom"/>
          </w:tcPr>
          <w:p w14:paraId="094894D2" w14:textId="77777777" w:rsidR="00B449D0" w:rsidRDefault="00175344">
            <w:pPr>
              <w:pStyle w:val="Summarytabletextrightalignedbold"/>
            </w:pPr>
            <w:r>
              <w:t>0.9</w:t>
            </w:r>
          </w:p>
        </w:tc>
        <w:tc>
          <w:tcPr>
            <w:tcW w:w="850" w:type="dxa"/>
            <w:tcBorders>
              <w:top w:val="single" w:sz="4" w:space="0" w:color="000000"/>
              <w:bottom w:val="single" w:sz="4" w:space="0" w:color="000000"/>
            </w:tcBorders>
            <w:vAlign w:val="bottom"/>
          </w:tcPr>
          <w:p w14:paraId="4081EFB1" w14:textId="77777777" w:rsidR="00B449D0" w:rsidRDefault="00175344">
            <w:pPr>
              <w:pStyle w:val="Summarytabletextrightalignedbold"/>
            </w:pPr>
            <w:r>
              <w:t>0.7</w:t>
            </w:r>
          </w:p>
        </w:tc>
        <w:tc>
          <w:tcPr>
            <w:tcW w:w="850" w:type="dxa"/>
            <w:tcBorders>
              <w:top w:val="single" w:sz="4" w:space="0" w:color="000000"/>
              <w:bottom w:val="single" w:sz="4" w:space="0" w:color="000000"/>
            </w:tcBorders>
            <w:vAlign w:val="bottom"/>
          </w:tcPr>
          <w:p w14:paraId="53D52401" w14:textId="6346F303" w:rsidR="00B449D0" w:rsidRDefault="00076D78">
            <w:pPr>
              <w:pStyle w:val="Summarytabletextrightalignedbold"/>
            </w:pPr>
            <w:r>
              <w:noBreakHyphen/>
            </w:r>
          </w:p>
        </w:tc>
      </w:tr>
      <w:tr w:rsidR="00B449D0" w14:paraId="747CFAE7" w14:textId="77777777" w:rsidTr="00301E48">
        <w:tc>
          <w:tcPr>
            <w:tcW w:w="3471" w:type="dxa"/>
            <w:vAlign w:val="bottom"/>
          </w:tcPr>
          <w:p w14:paraId="6747BA39" w14:textId="77777777" w:rsidR="00B449D0" w:rsidRDefault="00175344">
            <w:pPr>
              <w:pStyle w:val="SummaryPortfolioTitle-BP2"/>
            </w:pPr>
            <w:r>
              <w:t>PRIME MINISTER AND CABINET</w:t>
            </w:r>
          </w:p>
        </w:tc>
        <w:tc>
          <w:tcPr>
            <w:tcW w:w="850" w:type="dxa"/>
          </w:tcPr>
          <w:p w14:paraId="45C01258" w14:textId="77777777" w:rsidR="00B449D0" w:rsidRDefault="00B449D0">
            <w:pPr>
              <w:pStyle w:val="MeasureTableTextRightAlignedBefore6ptAfter1pt"/>
            </w:pPr>
          </w:p>
        </w:tc>
        <w:tc>
          <w:tcPr>
            <w:tcW w:w="850" w:type="dxa"/>
            <w:shd w:val="clear" w:color="auto" w:fill="E6F2FF"/>
          </w:tcPr>
          <w:p w14:paraId="748C9A8C" w14:textId="77777777" w:rsidR="00B449D0" w:rsidRDefault="00B449D0">
            <w:pPr>
              <w:pStyle w:val="MeasureTableTextRightAlignedBefore6ptAfter1pt"/>
            </w:pPr>
          </w:p>
        </w:tc>
        <w:tc>
          <w:tcPr>
            <w:tcW w:w="850" w:type="dxa"/>
          </w:tcPr>
          <w:p w14:paraId="5111F23B" w14:textId="77777777" w:rsidR="00B449D0" w:rsidRDefault="00B449D0">
            <w:pPr>
              <w:pStyle w:val="MeasureTableTextRightAlignedBefore6ptAfter1pt"/>
            </w:pPr>
          </w:p>
        </w:tc>
        <w:tc>
          <w:tcPr>
            <w:tcW w:w="850" w:type="dxa"/>
          </w:tcPr>
          <w:p w14:paraId="3886A790" w14:textId="77777777" w:rsidR="00B449D0" w:rsidRDefault="00B449D0">
            <w:pPr>
              <w:pStyle w:val="MeasureTableTextRightAlignedBefore6ptAfter1pt"/>
            </w:pPr>
          </w:p>
        </w:tc>
        <w:tc>
          <w:tcPr>
            <w:tcW w:w="850" w:type="dxa"/>
          </w:tcPr>
          <w:p w14:paraId="20D708E5" w14:textId="77777777" w:rsidR="00B449D0" w:rsidRDefault="00B449D0">
            <w:pPr>
              <w:pStyle w:val="MeasureTableTextRightAlignedBefore6ptAfter1pt"/>
            </w:pPr>
          </w:p>
        </w:tc>
      </w:tr>
      <w:tr w:rsidR="00B449D0" w14:paraId="69FB8B31" w14:textId="77777777" w:rsidTr="00301E48">
        <w:tc>
          <w:tcPr>
            <w:tcW w:w="3471" w:type="dxa"/>
            <w:vAlign w:val="bottom"/>
          </w:tcPr>
          <w:p w14:paraId="79B25538" w14:textId="77777777" w:rsidR="00B449D0" w:rsidRDefault="00175344">
            <w:pPr>
              <w:pStyle w:val="SummaryAgencyTitle-BP2"/>
            </w:pPr>
            <w:r>
              <w:t>Aboriginal Hostels Limited</w:t>
            </w:r>
          </w:p>
        </w:tc>
        <w:tc>
          <w:tcPr>
            <w:tcW w:w="850" w:type="dxa"/>
          </w:tcPr>
          <w:p w14:paraId="497C355C" w14:textId="77777777" w:rsidR="00B449D0" w:rsidRDefault="00B449D0">
            <w:pPr>
              <w:pStyle w:val="SummaryAgencyTitle-BP2"/>
            </w:pPr>
          </w:p>
        </w:tc>
        <w:tc>
          <w:tcPr>
            <w:tcW w:w="850" w:type="dxa"/>
            <w:shd w:val="clear" w:color="auto" w:fill="E6F2FF"/>
          </w:tcPr>
          <w:p w14:paraId="3D17F98B" w14:textId="77777777" w:rsidR="00B449D0" w:rsidRDefault="00B449D0">
            <w:pPr>
              <w:pStyle w:val="SummaryAgencyTitle-BP2"/>
            </w:pPr>
          </w:p>
        </w:tc>
        <w:tc>
          <w:tcPr>
            <w:tcW w:w="850" w:type="dxa"/>
          </w:tcPr>
          <w:p w14:paraId="5BCD0B48" w14:textId="77777777" w:rsidR="00B449D0" w:rsidRDefault="00B449D0">
            <w:pPr>
              <w:pStyle w:val="SummaryAgencyTitle-BP2"/>
            </w:pPr>
          </w:p>
        </w:tc>
        <w:tc>
          <w:tcPr>
            <w:tcW w:w="850" w:type="dxa"/>
          </w:tcPr>
          <w:p w14:paraId="6436B56D" w14:textId="77777777" w:rsidR="00B449D0" w:rsidRDefault="00B449D0">
            <w:pPr>
              <w:pStyle w:val="SummaryAgencyTitle-BP2"/>
            </w:pPr>
          </w:p>
        </w:tc>
        <w:tc>
          <w:tcPr>
            <w:tcW w:w="850" w:type="dxa"/>
          </w:tcPr>
          <w:p w14:paraId="21DB027F" w14:textId="77777777" w:rsidR="00B449D0" w:rsidRDefault="00B449D0">
            <w:pPr>
              <w:pStyle w:val="SummaryAgencyTitle-BP2"/>
            </w:pPr>
          </w:p>
        </w:tc>
      </w:tr>
      <w:tr w:rsidR="00B449D0" w14:paraId="109FBE84" w14:textId="77777777" w:rsidTr="00301E48">
        <w:tc>
          <w:tcPr>
            <w:tcW w:w="3471" w:type="dxa"/>
            <w:vAlign w:val="bottom"/>
          </w:tcPr>
          <w:p w14:paraId="7217B475" w14:textId="77777777" w:rsidR="00B449D0" w:rsidRDefault="00175344">
            <w:pPr>
              <w:pStyle w:val="SummaryMeasureTitlewithTheme"/>
            </w:pPr>
            <w:r>
              <w:t>Aboriginal Hostels Limited Reform Agenda</w:t>
            </w:r>
          </w:p>
        </w:tc>
        <w:tc>
          <w:tcPr>
            <w:tcW w:w="850" w:type="dxa"/>
            <w:vAlign w:val="bottom"/>
          </w:tcPr>
          <w:p w14:paraId="1272EEA8" w14:textId="0BA7C945" w:rsidR="00B449D0" w:rsidRDefault="00076D78">
            <w:pPr>
              <w:pStyle w:val="Summarytabletextrightaligned"/>
            </w:pPr>
            <w:r>
              <w:noBreakHyphen/>
            </w:r>
          </w:p>
        </w:tc>
        <w:tc>
          <w:tcPr>
            <w:tcW w:w="850" w:type="dxa"/>
            <w:shd w:val="clear" w:color="auto" w:fill="E6F2FF"/>
            <w:vAlign w:val="bottom"/>
          </w:tcPr>
          <w:p w14:paraId="5E3A6A23" w14:textId="5E03B7CD" w:rsidR="00B449D0" w:rsidRDefault="00076D78">
            <w:pPr>
              <w:pStyle w:val="Summarytabletextrightaligned"/>
            </w:pPr>
            <w:r>
              <w:noBreakHyphen/>
            </w:r>
          </w:p>
        </w:tc>
        <w:tc>
          <w:tcPr>
            <w:tcW w:w="850" w:type="dxa"/>
            <w:vAlign w:val="bottom"/>
          </w:tcPr>
          <w:p w14:paraId="0206A905" w14:textId="77777777" w:rsidR="00B449D0" w:rsidRDefault="00175344">
            <w:pPr>
              <w:pStyle w:val="Summarytabletextrightaligned"/>
            </w:pPr>
            <w:r>
              <w:t>10.0</w:t>
            </w:r>
          </w:p>
        </w:tc>
        <w:tc>
          <w:tcPr>
            <w:tcW w:w="850" w:type="dxa"/>
            <w:vAlign w:val="bottom"/>
          </w:tcPr>
          <w:p w14:paraId="548ED24C" w14:textId="0B30F5A2" w:rsidR="00B449D0" w:rsidRDefault="00076D78">
            <w:pPr>
              <w:pStyle w:val="Summarytabletextrightaligned"/>
            </w:pPr>
            <w:r>
              <w:noBreakHyphen/>
            </w:r>
          </w:p>
        </w:tc>
        <w:tc>
          <w:tcPr>
            <w:tcW w:w="850" w:type="dxa"/>
            <w:vAlign w:val="bottom"/>
          </w:tcPr>
          <w:p w14:paraId="06269145" w14:textId="2DAADA8D" w:rsidR="00B449D0" w:rsidRDefault="00076D78">
            <w:pPr>
              <w:pStyle w:val="Summarytabletextrightaligned"/>
            </w:pPr>
            <w:r>
              <w:noBreakHyphen/>
            </w:r>
          </w:p>
        </w:tc>
      </w:tr>
      <w:tr w:rsidR="00B449D0" w14:paraId="4DDFF2A8" w14:textId="77777777" w:rsidTr="00301E48">
        <w:tc>
          <w:tcPr>
            <w:tcW w:w="3471" w:type="dxa"/>
            <w:vAlign w:val="bottom"/>
          </w:tcPr>
          <w:p w14:paraId="5B5C7524" w14:textId="77777777" w:rsidR="00B449D0" w:rsidRDefault="00175344">
            <w:pPr>
              <w:pStyle w:val="SummaryAgencyTitle-BP2"/>
            </w:pPr>
            <w:r>
              <w:t>Department of the Prime Minister and Cabinet</w:t>
            </w:r>
          </w:p>
        </w:tc>
        <w:tc>
          <w:tcPr>
            <w:tcW w:w="850" w:type="dxa"/>
          </w:tcPr>
          <w:p w14:paraId="0506BFD9" w14:textId="77777777" w:rsidR="00B449D0" w:rsidRDefault="00B449D0">
            <w:pPr>
              <w:pStyle w:val="SummaryAgencyTitle-BP2"/>
            </w:pPr>
          </w:p>
        </w:tc>
        <w:tc>
          <w:tcPr>
            <w:tcW w:w="850" w:type="dxa"/>
            <w:shd w:val="clear" w:color="auto" w:fill="E6F2FF"/>
          </w:tcPr>
          <w:p w14:paraId="6EFA8C2B" w14:textId="77777777" w:rsidR="00B449D0" w:rsidRDefault="00B449D0">
            <w:pPr>
              <w:pStyle w:val="SummaryAgencyTitle-BP2"/>
            </w:pPr>
          </w:p>
        </w:tc>
        <w:tc>
          <w:tcPr>
            <w:tcW w:w="850" w:type="dxa"/>
          </w:tcPr>
          <w:p w14:paraId="1CE0517F" w14:textId="77777777" w:rsidR="00B449D0" w:rsidRDefault="00B449D0">
            <w:pPr>
              <w:pStyle w:val="SummaryAgencyTitle-BP2"/>
            </w:pPr>
          </w:p>
        </w:tc>
        <w:tc>
          <w:tcPr>
            <w:tcW w:w="850" w:type="dxa"/>
          </w:tcPr>
          <w:p w14:paraId="64A342FC" w14:textId="77777777" w:rsidR="00B449D0" w:rsidRDefault="00B449D0">
            <w:pPr>
              <w:pStyle w:val="SummaryAgencyTitle-BP2"/>
            </w:pPr>
          </w:p>
        </w:tc>
        <w:tc>
          <w:tcPr>
            <w:tcW w:w="850" w:type="dxa"/>
          </w:tcPr>
          <w:p w14:paraId="664DB32F" w14:textId="77777777" w:rsidR="00B449D0" w:rsidRDefault="00B449D0">
            <w:pPr>
              <w:pStyle w:val="SummaryAgencyTitle-BP2"/>
            </w:pPr>
          </w:p>
        </w:tc>
      </w:tr>
      <w:tr w:rsidR="00B449D0" w14:paraId="299E9FAF" w14:textId="77777777" w:rsidTr="00301E48">
        <w:tc>
          <w:tcPr>
            <w:tcW w:w="3471" w:type="dxa"/>
            <w:vAlign w:val="bottom"/>
          </w:tcPr>
          <w:p w14:paraId="236CF60B" w14:textId="77777777" w:rsidR="00B449D0" w:rsidRDefault="00175344">
            <w:pPr>
              <w:pStyle w:val="SummaryMeasureTitlewithTheme"/>
            </w:pPr>
            <w:r>
              <w:t>Ending Gender‑Based Violence – National Cabinet</w:t>
            </w:r>
          </w:p>
        </w:tc>
        <w:tc>
          <w:tcPr>
            <w:tcW w:w="850" w:type="dxa"/>
            <w:vAlign w:val="bottom"/>
          </w:tcPr>
          <w:p w14:paraId="2627C3C3" w14:textId="247E9EF9" w:rsidR="00B449D0" w:rsidRDefault="00076D78">
            <w:pPr>
              <w:pStyle w:val="Summarytabletextrightaligned"/>
            </w:pPr>
            <w:r>
              <w:noBreakHyphen/>
            </w:r>
          </w:p>
        </w:tc>
        <w:tc>
          <w:tcPr>
            <w:tcW w:w="850" w:type="dxa"/>
            <w:shd w:val="clear" w:color="auto" w:fill="E6F2FF"/>
            <w:vAlign w:val="bottom"/>
          </w:tcPr>
          <w:p w14:paraId="5E8DD96B" w14:textId="6CFA8633" w:rsidR="00B449D0" w:rsidRDefault="00076D78">
            <w:pPr>
              <w:pStyle w:val="Summarytabletextrightaligned"/>
            </w:pPr>
            <w:r>
              <w:noBreakHyphen/>
            </w:r>
          </w:p>
        </w:tc>
        <w:tc>
          <w:tcPr>
            <w:tcW w:w="850" w:type="dxa"/>
            <w:vAlign w:val="bottom"/>
          </w:tcPr>
          <w:p w14:paraId="02DAC5F3" w14:textId="01232760" w:rsidR="00B449D0" w:rsidRDefault="00076D78">
            <w:pPr>
              <w:pStyle w:val="Summarytabletextrightaligned"/>
            </w:pPr>
            <w:r>
              <w:noBreakHyphen/>
            </w:r>
          </w:p>
        </w:tc>
        <w:tc>
          <w:tcPr>
            <w:tcW w:w="850" w:type="dxa"/>
            <w:vAlign w:val="bottom"/>
          </w:tcPr>
          <w:p w14:paraId="1DE8BA38" w14:textId="6A019238" w:rsidR="00B449D0" w:rsidRDefault="00076D78">
            <w:pPr>
              <w:pStyle w:val="Summarytabletextrightaligned"/>
            </w:pPr>
            <w:r>
              <w:noBreakHyphen/>
            </w:r>
          </w:p>
        </w:tc>
        <w:tc>
          <w:tcPr>
            <w:tcW w:w="850" w:type="dxa"/>
            <w:vAlign w:val="bottom"/>
          </w:tcPr>
          <w:p w14:paraId="043CC001" w14:textId="70A803D2" w:rsidR="00B449D0" w:rsidRDefault="00076D78">
            <w:pPr>
              <w:pStyle w:val="Summarytabletextrightaligned"/>
            </w:pPr>
            <w:r>
              <w:noBreakHyphen/>
            </w:r>
          </w:p>
        </w:tc>
      </w:tr>
      <w:tr w:rsidR="00B449D0" w14:paraId="5CF93EEF" w14:textId="77777777" w:rsidTr="00301E48">
        <w:tc>
          <w:tcPr>
            <w:tcW w:w="3471" w:type="dxa"/>
            <w:vAlign w:val="bottom"/>
          </w:tcPr>
          <w:p w14:paraId="4560D4B1" w14:textId="77777777" w:rsidR="00B449D0" w:rsidRDefault="00175344">
            <w:pPr>
              <w:pStyle w:val="SummaryMeasureTitlewithTheme"/>
            </w:pPr>
            <w:r>
              <w:t>Royal Commission into Defence and Veteran Suicide – initial steps</w:t>
            </w:r>
          </w:p>
        </w:tc>
        <w:tc>
          <w:tcPr>
            <w:tcW w:w="850" w:type="dxa"/>
            <w:vAlign w:val="bottom"/>
          </w:tcPr>
          <w:p w14:paraId="2ECC5528" w14:textId="4F94A262" w:rsidR="00B449D0" w:rsidRDefault="00076D78">
            <w:pPr>
              <w:pStyle w:val="Summarytabletextrightaligned"/>
            </w:pPr>
            <w:r>
              <w:noBreakHyphen/>
            </w:r>
          </w:p>
        </w:tc>
        <w:tc>
          <w:tcPr>
            <w:tcW w:w="850" w:type="dxa"/>
            <w:shd w:val="clear" w:color="auto" w:fill="E6F2FF"/>
            <w:vAlign w:val="bottom"/>
          </w:tcPr>
          <w:p w14:paraId="6FEBA49D" w14:textId="77777777" w:rsidR="00B449D0" w:rsidRDefault="00175344">
            <w:pPr>
              <w:pStyle w:val="Summarytabletextrightaligned"/>
            </w:pPr>
            <w:r>
              <w:t>2.5</w:t>
            </w:r>
          </w:p>
        </w:tc>
        <w:tc>
          <w:tcPr>
            <w:tcW w:w="850" w:type="dxa"/>
            <w:vAlign w:val="bottom"/>
          </w:tcPr>
          <w:p w14:paraId="3E170702" w14:textId="77777777" w:rsidR="00B449D0" w:rsidRDefault="00175344">
            <w:pPr>
              <w:pStyle w:val="Summarytabletextrightaligned"/>
            </w:pPr>
            <w:r>
              <w:t>2.5</w:t>
            </w:r>
          </w:p>
        </w:tc>
        <w:tc>
          <w:tcPr>
            <w:tcW w:w="850" w:type="dxa"/>
            <w:vAlign w:val="bottom"/>
          </w:tcPr>
          <w:p w14:paraId="1474A7D4" w14:textId="1E3AC950" w:rsidR="00B449D0" w:rsidRDefault="00076D78">
            <w:pPr>
              <w:pStyle w:val="Summarytabletextrightaligned"/>
            </w:pPr>
            <w:r>
              <w:noBreakHyphen/>
            </w:r>
          </w:p>
        </w:tc>
        <w:tc>
          <w:tcPr>
            <w:tcW w:w="850" w:type="dxa"/>
            <w:vAlign w:val="bottom"/>
          </w:tcPr>
          <w:p w14:paraId="5A572A29" w14:textId="3A35D93B" w:rsidR="00B449D0" w:rsidRDefault="00076D78">
            <w:pPr>
              <w:pStyle w:val="Summarytabletextrightaligned"/>
            </w:pPr>
            <w:r>
              <w:noBreakHyphen/>
            </w:r>
          </w:p>
        </w:tc>
      </w:tr>
      <w:tr w:rsidR="00B449D0" w14:paraId="55E44ABF" w14:textId="77777777" w:rsidTr="00301E48">
        <w:tc>
          <w:tcPr>
            <w:tcW w:w="3471" w:type="dxa"/>
            <w:vAlign w:val="bottom"/>
          </w:tcPr>
          <w:p w14:paraId="60F04112" w14:textId="77777777" w:rsidR="00B449D0" w:rsidRDefault="00175344">
            <w:pPr>
              <w:pStyle w:val="SummaryAgencyTitle-BP2"/>
            </w:pPr>
            <w:r>
              <w:t>Indigenous Business Australia</w:t>
            </w:r>
          </w:p>
        </w:tc>
        <w:tc>
          <w:tcPr>
            <w:tcW w:w="850" w:type="dxa"/>
          </w:tcPr>
          <w:p w14:paraId="7BFD3F1B" w14:textId="77777777" w:rsidR="00B449D0" w:rsidRDefault="00B449D0">
            <w:pPr>
              <w:pStyle w:val="SummaryAgencyTitle-BP2"/>
            </w:pPr>
          </w:p>
        </w:tc>
        <w:tc>
          <w:tcPr>
            <w:tcW w:w="850" w:type="dxa"/>
            <w:shd w:val="clear" w:color="auto" w:fill="E6F2FF"/>
          </w:tcPr>
          <w:p w14:paraId="3D6ADA68" w14:textId="77777777" w:rsidR="00B449D0" w:rsidRDefault="00B449D0">
            <w:pPr>
              <w:pStyle w:val="SummaryAgencyTitle-BP2"/>
            </w:pPr>
          </w:p>
        </w:tc>
        <w:tc>
          <w:tcPr>
            <w:tcW w:w="850" w:type="dxa"/>
          </w:tcPr>
          <w:p w14:paraId="47499B54" w14:textId="77777777" w:rsidR="00B449D0" w:rsidRDefault="00B449D0">
            <w:pPr>
              <w:pStyle w:val="SummaryAgencyTitle-BP2"/>
            </w:pPr>
          </w:p>
        </w:tc>
        <w:tc>
          <w:tcPr>
            <w:tcW w:w="850" w:type="dxa"/>
          </w:tcPr>
          <w:p w14:paraId="6DD8AD4B" w14:textId="77777777" w:rsidR="00B449D0" w:rsidRDefault="00B449D0">
            <w:pPr>
              <w:pStyle w:val="SummaryAgencyTitle-BP2"/>
            </w:pPr>
          </w:p>
        </w:tc>
        <w:tc>
          <w:tcPr>
            <w:tcW w:w="850" w:type="dxa"/>
          </w:tcPr>
          <w:p w14:paraId="2C7D16E6" w14:textId="77777777" w:rsidR="00B449D0" w:rsidRDefault="00B449D0">
            <w:pPr>
              <w:pStyle w:val="SummaryAgencyTitle-BP2"/>
            </w:pPr>
          </w:p>
        </w:tc>
      </w:tr>
      <w:tr w:rsidR="00B449D0" w14:paraId="0BDEFA76" w14:textId="77777777" w:rsidTr="00301E48">
        <w:tc>
          <w:tcPr>
            <w:tcW w:w="3471" w:type="dxa"/>
            <w:vAlign w:val="bottom"/>
          </w:tcPr>
          <w:p w14:paraId="32146F62" w14:textId="77777777" w:rsidR="00B449D0" w:rsidRDefault="00175344">
            <w:pPr>
              <w:pStyle w:val="SummaryMeasureTitlewithTheme"/>
            </w:pPr>
            <w:r>
              <w:t>First Nations Economic Empowerment</w:t>
            </w:r>
          </w:p>
        </w:tc>
        <w:tc>
          <w:tcPr>
            <w:tcW w:w="850" w:type="dxa"/>
            <w:vAlign w:val="bottom"/>
          </w:tcPr>
          <w:p w14:paraId="5501CEF4" w14:textId="07677559" w:rsidR="00B449D0" w:rsidRDefault="00076D78">
            <w:pPr>
              <w:pStyle w:val="Summarytabletextrightaligned"/>
            </w:pPr>
            <w:r>
              <w:noBreakHyphen/>
            </w:r>
          </w:p>
        </w:tc>
        <w:tc>
          <w:tcPr>
            <w:tcW w:w="850" w:type="dxa"/>
            <w:shd w:val="clear" w:color="auto" w:fill="E6F2FF"/>
            <w:vAlign w:val="bottom"/>
          </w:tcPr>
          <w:p w14:paraId="416D4400" w14:textId="4AF25722" w:rsidR="00B449D0" w:rsidRDefault="00076D78">
            <w:pPr>
              <w:pStyle w:val="Summarytabletextrightaligned"/>
            </w:pPr>
            <w:r>
              <w:noBreakHyphen/>
            </w:r>
          </w:p>
        </w:tc>
        <w:tc>
          <w:tcPr>
            <w:tcW w:w="850" w:type="dxa"/>
            <w:vAlign w:val="bottom"/>
          </w:tcPr>
          <w:p w14:paraId="17D69A48" w14:textId="46BE5A32" w:rsidR="00B449D0" w:rsidRDefault="00076D78">
            <w:pPr>
              <w:pStyle w:val="Summarytabletextrightaligned"/>
            </w:pPr>
            <w:r>
              <w:noBreakHyphen/>
            </w:r>
          </w:p>
        </w:tc>
        <w:tc>
          <w:tcPr>
            <w:tcW w:w="850" w:type="dxa"/>
            <w:vAlign w:val="bottom"/>
          </w:tcPr>
          <w:p w14:paraId="1EE96D50" w14:textId="310E5289" w:rsidR="00B449D0" w:rsidRDefault="00076D78">
            <w:pPr>
              <w:pStyle w:val="Summarytabletextrightaligned"/>
            </w:pPr>
            <w:r>
              <w:noBreakHyphen/>
            </w:r>
          </w:p>
        </w:tc>
        <w:tc>
          <w:tcPr>
            <w:tcW w:w="850" w:type="dxa"/>
            <w:vAlign w:val="bottom"/>
          </w:tcPr>
          <w:p w14:paraId="7C134F87" w14:textId="2E0E6162" w:rsidR="00B449D0" w:rsidRDefault="00076D78">
            <w:pPr>
              <w:pStyle w:val="Summarytabletextrightaligned"/>
            </w:pPr>
            <w:r>
              <w:noBreakHyphen/>
            </w:r>
          </w:p>
        </w:tc>
      </w:tr>
    </w:tbl>
    <w:p w14:paraId="043B43A2" w14:textId="77777777" w:rsidR="00301E48" w:rsidRDefault="00301E48" w:rsidP="002C36E4">
      <w:pPr>
        <w:pStyle w:val="SingleParagraph0"/>
        <w:sectPr w:rsidR="00301E48" w:rsidSect="00301E48">
          <w:pgSz w:w="11906" w:h="16838"/>
          <w:pgMar w:top="2835" w:right="2098" w:bottom="2466" w:left="2098" w:header="1814" w:footer="1814" w:gutter="0"/>
          <w:cols w:space="720"/>
          <w:docGrid w:linePitch="272"/>
        </w:sectPr>
      </w:pPr>
    </w:p>
    <w:p w14:paraId="709E4B41" w14:textId="15EE2D05" w:rsidR="00301E48" w:rsidRDefault="00301E48" w:rsidP="00301E48">
      <w:pPr>
        <w:pStyle w:val="TableHeadingcontinued"/>
      </w:pPr>
      <w:r>
        <w:lastRenderedPageBreak/>
        <w:t xml:space="preserve">Table </w:t>
      </w:r>
      <w:r w:rsidR="006E0A94">
        <w:t>A.</w:t>
      </w:r>
      <w:r>
        <w:t>2: Payment measures since the 2024–25 Budget</w:t>
      </w:r>
      <w:r>
        <w:rPr>
          <w:rFonts w:ascii="Cambria Math" w:hAnsi="Cambria Math" w:cs="Cambria Math"/>
        </w:rPr>
        <w:t>⁽</w:t>
      </w:r>
      <w:r>
        <w:rPr>
          <w:rFonts w:cs="Arial"/>
        </w:rPr>
        <w:t>ª</w:t>
      </w:r>
      <w:r>
        <w:rPr>
          <w:rFonts w:ascii="Cambria Math" w:hAnsi="Cambria Math" w:cs="Cambria Math"/>
        </w:rPr>
        <w:t>⁾</w:t>
      </w:r>
      <w:r>
        <w:t xml:space="preserve"> (continued)</w:t>
      </w:r>
    </w:p>
    <w:tbl>
      <w:tblPr>
        <w:tblOverlap w:val="never"/>
        <w:tblW w:w="7721" w:type="dxa"/>
        <w:tblBorders>
          <w:top w:val="single" w:sz="4" w:space="0" w:color="000000"/>
          <w:bottom w:val="single" w:sz="4" w:space="0" w:color="000000"/>
        </w:tblBorders>
        <w:tblLayout w:type="fixed"/>
        <w:tblCellMar>
          <w:left w:w="0" w:type="dxa"/>
          <w:right w:w="56" w:type="dxa"/>
        </w:tblCellMar>
        <w:tblLook w:val="04A0" w:firstRow="1" w:lastRow="0" w:firstColumn="1" w:lastColumn="0" w:noHBand="0" w:noVBand="1"/>
      </w:tblPr>
      <w:tblGrid>
        <w:gridCol w:w="3471"/>
        <w:gridCol w:w="850"/>
        <w:gridCol w:w="850"/>
        <w:gridCol w:w="850"/>
        <w:gridCol w:w="850"/>
        <w:gridCol w:w="850"/>
      </w:tblGrid>
      <w:tr w:rsidR="00301E48" w14:paraId="1876516F" w14:textId="77777777" w:rsidTr="7F762F0D">
        <w:tc>
          <w:tcPr>
            <w:tcW w:w="3471" w:type="dxa"/>
            <w:vAlign w:val="bottom"/>
          </w:tcPr>
          <w:p w14:paraId="03B9FFAB" w14:textId="77777777" w:rsidR="00301E48" w:rsidRDefault="00301E48" w:rsidP="00301E48"/>
        </w:tc>
        <w:tc>
          <w:tcPr>
            <w:tcW w:w="850" w:type="dxa"/>
            <w:tcBorders>
              <w:bottom w:val="nil"/>
            </w:tcBorders>
          </w:tcPr>
          <w:p w14:paraId="1191EAC3" w14:textId="2C621C81" w:rsidR="00301E48" w:rsidRDefault="00301E48" w:rsidP="00301E48">
            <w:pPr>
              <w:pStyle w:val="Summarytabletextrightaligned"/>
            </w:pPr>
            <w:r>
              <w:t>2023</w:t>
            </w:r>
            <w:r w:rsidR="00076D78">
              <w:noBreakHyphen/>
            </w:r>
            <w:r>
              <w:t>24</w:t>
            </w:r>
          </w:p>
        </w:tc>
        <w:tc>
          <w:tcPr>
            <w:tcW w:w="850" w:type="dxa"/>
            <w:tcBorders>
              <w:bottom w:val="nil"/>
            </w:tcBorders>
            <w:shd w:val="clear" w:color="auto" w:fill="E6F2FF"/>
          </w:tcPr>
          <w:p w14:paraId="25E7F1B0" w14:textId="68777C07" w:rsidR="00301E48" w:rsidRDefault="00301E48" w:rsidP="00301E48">
            <w:pPr>
              <w:pStyle w:val="Summarytabletextrightaligned"/>
            </w:pPr>
            <w:r>
              <w:t>2024</w:t>
            </w:r>
            <w:r w:rsidR="00076D78">
              <w:noBreakHyphen/>
            </w:r>
            <w:r>
              <w:t>25</w:t>
            </w:r>
          </w:p>
        </w:tc>
        <w:tc>
          <w:tcPr>
            <w:tcW w:w="850" w:type="dxa"/>
            <w:tcBorders>
              <w:bottom w:val="nil"/>
            </w:tcBorders>
          </w:tcPr>
          <w:p w14:paraId="4E2FC547" w14:textId="406622BD" w:rsidR="00301E48" w:rsidRDefault="00301E48" w:rsidP="00301E48">
            <w:pPr>
              <w:pStyle w:val="Summarytabletextrightaligned"/>
            </w:pPr>
            <w:r>
              <w:t>2025</w:t>
            </w:r>
            <w:r w:rsidR="00076D78">
              <w:noBreakHyphen/>
            </w:r>
            <w:r>
              <w:t>26</w:t>
            </w:r>
          </w:p>
        </w:tc>
        <w:tc>
          <w:tcPr>
            <w:tcW w:w="850" w:type="dxa"/>
            <w:tcBorders>
              <w:bottom w:val="nil"/>
            </w:tcBorders>
          </w:tcPr>
          <w:p w14:paraId="19B0148E" w14:textId="6A5234E5" w:rsidR="00301E48" w:rsidRDefault="00301E48" w:rsidP="00301E48">
            <w:pPr>
              <w:pStyle w:val="Summarytabletextrightaligned"/>
            </w:pPr>
            <w:r>
              <w:t>2026</w:t>
            </w:r>
            <w:r w:rsidR="00076D78">
              <w:noBreakHyphen/>
            </w:r>
            <w:r>
              <w:t>27</w:t>
            </w:r>
          </w:p>
        </w:tc>
        <w:tc>
          <w:tcPr>
            <w:tcW w:w="850" w:type="dxa"/>
            <w:tcBorders>
              <w:bottom w:val="nil"/>
            </w:tcBorders>
          </w:tcPr>
          <w:p w14:paraId="1311444F" w14:textId="75CE918E" w:rsidR="00301E48" w:rsidRDefault="00301E48" w:rsidP="00301E48">
            <w:pPr>
              <w:pStyle w:val="Summarytabletextrightaligned"/>
            </w:pPr>
            <w:r>
              <w:t>2027</w:t>
            </w:r>
            <w:r w:rsidR="00076D78">
              <w:noBreakHyphen/>
            </w:r>
            <w:r>
              <w:t>28</w:t>
            </w:r>
          </w:p>
        </w:tc>
      </w:tr>
      <w:tr w:rsidR="00301E48" w14:paraId="7F0FC355" w14:textId="77777777" w:rsidTr="7F762F0D">
        <w:tc>
          <w:tcPr>
            <w:tcW w:w="3471" w:type="dxa"/>
            <w:vAlign w:val="bottom"/>
          </w:tcPr>
          <w:p w14:paraId="0E1ED4C9" w14:textId="77777777" w:rsidR="00301E48" w:rsidRDefault="00301E48" w:rsidP="00301E48"/>
        </w:tc>
        <w:tc>
          <w:tcPr>
            <w:tcW w:w="850" w:type="dxa"/>
            <w:tcBorders>
              <w:top w:val="nil"/>
              <w:bottom w:val="single" w:sz="4" w:space="0" w:color="auto"/>
            </w:tcBorders>
            <w:shd w:val="clear" w:color="auto" w:fill="auto"/>
          </w:tcPr>
          <w:p w14:paraId="4FD5E51B" w14:textId="77777777" w:rsidR="00301E48" w:rsidRDefault="00301E48" w:rsidP="00301E48">
            <w:pPr>
              <w:pStyle w:val="Summarytabletextrightaligned"/>
            </w:pPr>
            <w:r>
              <w:t>$m</w:t>
            </w:r>
          </w:p>
        </w:tc>
        <w:tc>
          <w:tcPr>
            <w:tcW w:w="850" w:type="dxa"/>
            <w:tcBorders>
              <w:top w:val="nil"/>
              <w:bottom w:val="single" w:sz="4" w:space="0" w:color="auto"/>
            </w:tcBorders>
            <w:shd w:val="clear" w:color="auto" w:fill="E6F2FF"/>
          </w:tcPr>
          <w:p w14:paraId="5BC31E97" w14:textId="77777777" w:rsidR="00301E48" w:rsidRDefault="00301E48" w:rsidP="00301E48">
            <w:pPr>
              <w:pStyle w:val="Summarytabletextrightaligned"/>
            </w:pPr>
            <w:r>
              <w:t>$m</w:t>
            </w:r>
          </w:p>
        </w:tc>
        <w:tc>
          <w:tcPr>
            <w:tcW w:w="850" w:type="dxa"/>
            <w:tcBorders>
              <w:top w:val="nil"/>
              <w:bottom w:val="single" w:sz="4" w:space="0" w:color="auto"/>
            </w:tcBorders>
            <w:shd w:val="clear" w:color="auto" w:fill="auto"/>
          </w:tcPr>
          <w:p w14:paraId="67796244" w14:textId="77777777" w:rsidR="00301E48" w:rsidRDefault="00301E48" w:rsidP="00301E48">
            <w:pPr>
              <w:pStyle w:val="Summarytabletextrightaligned"/>
            </w:pPr>
            <w:r>
              <w:t>$m</w:t>
            </w:r>
          </w:p>
        </w:tc>
        <w:tc>
          <w:tcPr>
            <w:tcW w:w="850" w:type="dxa"/>
            <w:tcBorders>
              <w:top w:val="nil"/>
              <w:bottom w:val="single" w:sz="4" w:space="0" w:color="auto"/>
            </w:tcBorders>
            <w:shd w:val="clear" w:color="auto" w:fill="auto"/>
          </w:tcPr>
          <w:p w14:paraId="36BBBB9F" w14:textId="77777777" w:rsidR="00301E48" w:rsidRDefault="00301E48" w:rsidP="00301E48">
            <w:pPr>
              <w:pStyle w:val="Summarytabletextrightaligned"/>
            </w:pPr>
            <w:r>
              <w:t>$m</w:t>
            </w:r>
          </w:p>
        </w:tc>
        <w:tc>
          <w:tcPr>
            <w:tcW w:w="850" w:type="dxa"/>
            <w:tcBorders>
              <w:top w:val="nil"/>
              <w:bottom w:val="single" w:sz="4" w:space="0" w:color="auto"/>
            </w:tcBorders>
            <w:shd w:val="clear" w:color="auto" w:fill="auto"/>
          </w:tcPr>
          <w:p w14:paraId="5B199256" w14:textId="77777777" w:rsidR="00301E48" w:rsidRDefault="00301E48" w:rsidP="00301E48">
            <w:pPr>
              <w:pStyle w:val="Summarytabletextrightaligned"/>
            </w:pPr>
            <w:r>
              <w:t>$m</w:t>
            </w:r>
          </w:p>
        </w:tc>
      </w:tr>
      <w:tr w:rsidR="00301E48" w14:paraId="631B36F9" w14:textId="77777777" w:rsidTr="7F762F0D">
        <w:tc>
          <w:tcPr>
            <w:tcW w:w="3471" w:type="dxa"/>
            <w:tcBorders>
              <w:bottom w:val="nil"/>
            </w:tcBorders>
            <w:vAlign w:val="bottom"/>
          </w:tcPr>
          <w:p w14:paraId="1AC588C5" w14:textId="77777777" w:rsidR="00301E48" w:rsidRPr="00301E48" w:rsidRDefault="00301E48" w:rsidP="00301E48">
            <w:pPr>
              <w:pStyle w:val="SummaryMeasureTitlewithTheme"/>
              <w:rPr>
                <w:b/>
              </w:rPr>
            </w:pPr>
            <w:r w:rsidRPr="00301E48">
              <w:rPr>
                <w:b/>
              </w:rPr>
              <w:t>PRIME MINISTER AND CABINET (continued)</w:t>
            </w:r>
          </w:p>
        </w:tc>
        <w:tc>
          <w:tcPr>
            <w:tcW w:w="850" w:type="dxa"/>
            <w:tcBorders>
              <w:top w:val="single" w:sz="4" w:space="0" w:color="auto"/>
              <w:bottom w:val="nil"/>
            </w:tcBorders>
          </w:tcPr>
          <w:p w14:paraId="271CAED5" w14:textId="77777777" w:rsidR="00301E48" w:rsidRDefault="00301E48">
            <w:pPr>
              <w:pStyle w:val="SummaryAgencyTitle-BP2"/>
            </w:pPr>
          </w:p>
        </w:tc>
        <w:tc>
          <w:tcPr>
            <w:tcW w:w="850" w:type="dxa"/>
            <w:tcBorders>
              <w:top w:val="single" w:sz="4" w:space="0" w:color="auto"/>
              <w:bottom w:val="nil"/>
            </w:tcBorders>
            <w:shd w:val="clear" w:color="auto" w:fill="E6F2FF"/>
          </w:tcPr>
          <w:p w14:paraId="126BDCE0" w14:textId="77777777" w:rsidR="00301E48" w:rsidRDefault="00301E48">
            <w:pPr>
              <w:pStyle w:val="SummaryAgencyTitle-BP2"/>
            </w:pPr>
          </w:p>
        </w:tc>
        <w:tc>
          <w:tcPr>
            <w:tcW w:w="850" w:type="dxa"/>
            <w:tcBorders>
              <w:top w:val="single" w:sz="4" w:space="0" w:color="auto"/>
              <w:bottom w:val="nil"/>
            </w:tcBorders>
          </w:tcPr>
          <w:p w14:paraId="4F053964" w14:textId="77777777" w:rsidR="00301E48" w:rsidRDefault="00301E48">
            <w:pPr>
              <w:pStyle w:val="SummaryAgencyTitle-BP2"/>
            </w:pPr>
          </w:p>
        </w:tc>
        <w:tc>
          <w:tcPr>
            <w:tcW w:w="850" w:type="dxa"/>
            <w:tcBorders>
              <w:top w:val="single" w:sz="4" w:space="0" w:color="auto"/>
              <w:bottom w:val="nil"/>
            </w:tcBorders>
          </w:tcPr>
          <w:p w14:paraId="16779E20" w14:textId="77777777" w:rsidR="00301E48" w:rsidRDefault="00301E48">
            <w:pPr>
              <w:pStyle w:val="SummaryAgencyTitle-BP2"/>
            </w:pPr>
          </w:p>
        </w:tc>
        <w:tc>
          <w:tcPr>
            <w:tcW w:w="850" w:type="dxa"/>
            <w:tcBorders>
              <w:top w:val="single" w:sz="4" w:space="0" w:color="auto"/>
              <w:bottom w:val="nil"/>
            </w:tcBorders>
          </w:tcPr>
          <w:p w14:paraId="05FA0194" w14:textId="77777777" w:rsidR="00301E48" w:rsidRDefault="00301E48">
            <w:pPr>
              <w:pStyle w:val="SummaryAgencyTitle-BP2"/>
            </w:pPr>
          </w:p>
        </w:tc>
      </w:tr>
      <w:tr w:rsidR="00B449D0" w14:paraId="7F70E4F2" w14:textId="77777777" w:rsidTr="7F762F0D">
        <w:tc>
          <w:tcPr>
            <w:tcW w:w="3471" w:type="dxa"/>
            <w:tcBorders>
              <w:top w:val="nil"/>
            </w:tcBorders>
            <w:vAlign w:val="bottom"/>
          </w:tcPr>
          <w:p w14:paraId="2618CEBE" w14:textId="77777777" w:rsidR="00B449D0" w:rsidRDefault="00175344">
            <w:pPr>
              <w:pStyle w:val="SummaryAgencyTitle-BP2"/>
            </w:pPr>
            <w:r>
              <w:t>National Indigenous Australians Agency</w:t>
            </w:r>
          </w:p>
        </w:tc>
        <w:tc>
          <w:tcPr>
            <w:tcW w:w="850" w:type="dxa"/>
            <w:tcBorders>
              <w:top w:val="nil"/>
            </w:tcBorders>
          </w:tcPr>
          <w:p w14:paraId="20C01229" w14:textId="77777777" w:rsidR="00B449D0" w:rsidRDefault="00B449D0">
            <w:pPr>
              <w:pStyle w:val="SummaryAgencyTitle-BP2"/>
            </w:pPr>
          </w:p>
        </w:tc>
        <w:tc>
          <w:tcPr>
            <w:tcW w:w="850" w:type="dxa"/>
            <w:tcBorders>
              <w:top w:val="nil"/>
            </w:tcBorders>
            <w:shd w:val="clear" w:color="auto" w:fill="E6F2FF"/>
          </w:tcPr>
          <w:p w14:paraId="03857F26" w14:textId="77777777" w:rsidR="00B449D0" w:rsidRDefault="00B449D0">
            <w:pPr>
              <w:pStyle w:val="SummaryAgencyTitle-BP2"/>
            </w:pPr>
          </w:p>
        </w:tc>
        <w:tc>
          <w:tcPr>
            <w:tcW w:w="850" w:type="dxa"/>
            <w:tcBorders>
              <w:top w:val="nil"/>
            </w:tcBorders>
          </w:tcPr>
          <w:p w14:paraId="336B7686" w14:textId="77777777" w:rsidR="00B449D0" w:rsidRDefault="00B449D0">
            <w:pPr>
              <w:pStyle w:val="SummaryAgencyTitle-BP2"/>
            </w:pPr>
          </w:p>
        </w:tc>
        <w:tc>
          <w:tcPr>
            <w:tcW w:w="850" w:type="dxa"/>
            <w:tcBorders>
              <w:top w:val="nil"/>
            </w:tcBorders>
          </w:tcPr>
          <w:p w14:paraId="3CAEC27B" w14:textId="77777777" w:rsidR="00B449D0" w:rsidRDefault="00B449D0">
            <w:pPr>
              <w:pStyle w:val="SummaryAgencyTitle-BP2"/>
            </w:pPr>
          </w:p>
        </w:tc>
        <w:tc>
          <w:tcPr>
            <w:tcW w:w="850" w:type="dxa"/>
            <w:tcBorders>
              <w:top w:val="nil"/>
            </w:tcBorders>
          </w:tcPr>
          <w:p w14:paraId="1767AD52" w14:textId="77777777" w:rsidR="00B449D0" w:rsidRDefault="00B449D0">
            <w:pPr>
              <w:pStyle w:val="SummaryAgencyTitle-BP2"/>
            </w:pPr>
          </w:p>
        </w:tc>
      </w:tr>
      <w:tr w:rsidR="00B449D0" w14:paraId="2F1DA7BA" w14:textId="77777777" w:rsidTr="7F762F0D">
        <w:tc>
          <w:tcPr>
            <w:tcW w:w="3471" w:type="dxa"/>
            <w:vAlign w:val="bottom"/>
          </w:tcPr>
          <w:p w14:paraId="290C2707" w14:textId="77777777" w:rsidR="00B449D0" w:rsidRDefault="00175344">
            <w:pPr>
              <w:pStyle w:val="SummaryMeasureTitlewithTheme"/>
            </w:pPr>
            <w:r>
              <w:t>Aboriginal Hostels Limited Reform Agenda</w:t>
            </w:r>
          </w:p>
        </w:tc>
        <w:tc>
          <w:tcPr>
            <w:tcW w:w="850" w:type="dxa"/>
            <w:vAlign w:val="bottom"/>
          </w:tcPr>
          <w:p w14:paraId="52420EFC" w14:textId="38FBE272" w:rsidR="00B449D0" w:rsidRDefault="00076D78">
            <w:pPr>
              <w:pStyle w:val="Summarytabletextrightaligned"/>
            </w:pPr>
            <w:r>
              <w:noBreakHyphen/>
            </w:r>
          </w:p>
        </w:tc>
        <w:tc>
          <w:tcPr>
            <w:tcW w:w="850" w:type="dxa"/>
            <w:shd w:val="clear" w:color="auto" w:fill="E6F2FF"/>
            <w:vAlign w:val="bottom"/>
          </w:tcPr>
          <w:p w14:paraId="4B45B269" w14:textId="370EFFCC" w:rsidR="00B449D0" w:rsidRDefault="00076D78">
            <w:pPr>
              <w:pStyle w:val="Summarytabletextrightaligned"/>
            </w:pPr>
            <w:r>
              <w:noBreakHyphen/>
            </w:r>
          </w:p>
        </w:tc>
        <w:tc>
          <w:tcPr>
            <w:tcW w:w="850" w:type="dxa"/>
            <w:vAlign w:val="bottom"/>
          </w:tcPr>
          <w:p w14:paraId="4BDA5051" w14:textId="774A4FD2" w:rsidR="00B449D0" w:rsidRDefault="00076D78">
            <w:pPr>
              <w:pStyle w:val="Summarytabletextrightaligned"/>
            </w:pPr>
            <w:r>
              <w:noBreakHyphen/>
            </w:r>
            <w:r w:rsidR="00175344">
              <w:t>10.0</w:t>
            </w:r>
          </w:p>
        </w:tc>
        <w:tc>
          <w:tcPr>
            <w:tcW w:w="850" w:type="dxa"/>
            <w:vAlign w:val="bottom"/>
          </w:tcPr>
          <w:p w14:paraId="11481C07" w14:textId="099FFFA9" w:rsidR="00B449D0" w:rsidRDefault="00076D78">
            <w:pPr>
              <w:pStyle w:val="Summarytabletextrightaligned"/>
            </w:pPr>
            <w:r>
              <w:noBreakHyphen/>
            </w:r>
          </w:p>
        </w:tc>
        <w:tc>
          <w:tcPr>
            <w:tcW w:w="850" w:type="dxa"/>
            <w:vAlign w:val="bottom"/>
          </w:tcPr>
          <w:p w14:paraId="166801E7" w14:textId="0CEF943D" w:rsidR="00B449D0" w:rsidRDefault="00076D78">
            <w:pPr>
              <w:pStyle w:val="Summarytabletextrightaligned"/>
            </w:pPr>
            <w:r>
              <w:noBreakHyphen/>
            </w:r>
          </w:p>
        </w:tc>
      </w:tr>
      <w:tr w:rsidR="00B449D0" w14:paraId="2A89D8BD" w14:textId="77777777" w:rsidTr="7F762F0D">
        <w:tc>
          <w:tcPr>
            <w:tcW w:w="3471" w:type="dxa"/>
            <w:vAlign w:val="bottom"/>
          </w:tcPr>
          <w:p w14:paraId="1FB855E0" w14:textId="77777777" w:rsidR="00B449D0" w:rsidRDefault="00175344">
            <w:pPr>
              <w:pStyle w:val="SummaryMeasureTitlewithTheme"/>
            </w:pPr>
            <w:r>
              <w:t>Australian Universities Accord ‑ further reforms(b)</w:t>
            </w:r>
          </w:p>
        </w:tc>
        <w:tc>
          <w:tcPr>
            <w:tcW w:w="850" w:type="dxa"/>
            <w:vAlign w:val="bottom"/>
          </w:tcPr>
          <w:p w14:paraId="7DC33AE7" w14:textId="234F5A0C" w:rsidR="00B449D0" w:rsidRDefault="00076D78">
            <w:pPr>
              <w:pStyle w:val="Summarytabletextrightaligned"/>
            </w:pPr>
            <w:r>
              <w:noBreakHyphen/>
            </w:r>
          </w:p>
        </w:tc>
        <w:tc>
          <w:tcPr>
            <w:tcW w:w="850" w:type="dxa"/>
            <w:shd w:val="clear" w:color="auto" w:fill="E6F2FF"/>
            <w:vAlign w:val="bottom"/>
          </w:tcPr>
          <w:p w14:paraId="45B7A987" w14:textId="0B892ABA" w:rsidR="00B449D0" w:rsidRDefault="00076D78">
            <w:pPr>
              <w:pStyle w:val="Summarytabletextrightaligned"/>
            </w:pPr>
            <w:r>
              <w:noBreakHyphen/>
            </w:r>
          </w:p>
        </w:tc>
        <w:tc>
          <w:tcPr>
            <w:tcW w:w="850" w:type="dxa"/>
            <w:vAlign w:val="bottom"/>
          </w:tcPr>
          <w:p w14:paraId="31EF7264" w14:textId="28D32DB4" w:rsidR="00B449D0" w:rsidRDefault="00076D78">
            <w:pPr>
              <w:pStyle w:val="Summarytabletextrightaligned"/>
            </w:pPr>
            <w:r>
              <w:noBreakHyphen/>
            </w:r>
            <w:r w:rsidR="00175344">
              <w:t>86.3</w:t>
            </w:r>
          </w:p>
        </w:tc>
        <w:tc>
          <w:tcPr>
            <w:tcW w:w="850" w:type="dxa"/>
            <w:vAlign w:val="bottom"/>
          </w:tcPr>
          <w:p w14:paraId="4A0431B5" w14:textId="6890C001" w:rsidR="00B449D0" w:rsidRDefault="00076D78">
            <w:pPr>
              <w:pStyle w:val="Summarytabletextrightaligned"/>
            </w:pPr>
            <w:r>
              <w:noBreakHyphen/>
            </w:r>
            <w:r w:rsidR="00175344">
              <w:t>88.8</w:t>
            </w:r>
          </w:p>
        </w:tc>
        <w:tc>
          <w:tcPr>
            <w:tcW w:w="850" w:type="dxa"/>
            <w:vAlign w:val="bottom"/>
          </w:tcPr>
          <w:p w14:paraId="1DF3BC41" w14:textId="161D0694" w:rsidR="00B449D0" w:rsidRDefault="00076D78">
            <w:pPr>
              <w:pStyle w:val="Summarytabletextrightaligned"/>
            </w:pPr>
            <w:r>
              <w:noBreakHyphen/>
            </w:r>
            <w:r w:rsidR="00175344">
              <w:t>91.1</w:t>
            </w:r>
          </w:p>
        </w:tc>
      </w:tr>
      <w:tr w:rsidR="00B449D0" w14:paraId="44AF09EB" w14:textId="77777777" w:rsidTr="7F762F0D">
        <w:tc>
          <w:tcPr>
            <w:tcW w:w="3471" w:type="dxa"/>
            <w:vAlign w:val="bottom"/>
          </w:tcPr>
          <w:p w14:paraId="054C9D4F" w14:textId="77777777" w:rsidR="00B449D0" w:rsidRDefault="00175344">
            <w:pPr>
              <w:pStyle w:val="SummaryMeasureTitlewithTheme"/>
            </w:pPr>
            <w:r>
              <w:t>Indigenous Boarding Providers – grants program extension</w:t>
            </w:r>
          </w:p>
        </w:tc>
        <w:tc>
          <w:tcPr>
            <w:tcW w:w="850" w:type="dxa"/>
            <w:vAlign w:val="bottom"/>
          </w:tcPr>
          <w:p w14:paraId="673BA096" w14:textId="6C8CDF15" w:rsidR="00B449D0" w:rsidRDefault="00076D78">
            <w:pPr>
              <w:pStyle w:val="Summarytabletextrightaligned"/>
            </w:pPr>
            <w:r>
              <w:noBreakHyphen/>
            </w:r>
          </w:p>
        </w:tc>
        <w:tc>
          <w:tcPr>
            <w:tcW w:w="850" w:type="dxa"/>
            <w:shd w:val="clear" w:color="auto" w:fill="E6F2FF"/>
            <w:vAlign w:val="bottom"/>
          </w:tcPr>
          <w:p w14:paraId="758C7FDE" w14:textId="77777777" w:rsidR="00B449D0" w:rsidRDefault="00175344">
            <w:pPr>
              <w:pStyle w:val="Summarytabletextrightaligned"/>
            </w:pPr>
            <w:r>
              <w:t>11.5</w:t>
            </w:r>
          </w:p>
        </w:tc>
        <w:tc>
          <w:tcPr>
            <w:tcW w:w="850" w:type="dxa"/>
            <w:vAlign w:val="bottom"/>
          </w:tcPr>
          <w:p w14:paraId="2A125EA3" w14:textId="77777777" w:rsidR="00B449D0" w:rsidRDefault="00175344">
            <w:pPr>
              <w:pStyle w:val="Summarytabletextrightaligned"/>
            </w:pPr>
            <w:r>
              <w:t>23.5</w:t>
            </w:r>
          </w:p>
        </w:tc>
        <w:tc>
          <w:tcPr>
            <w:tcW w:w="850" w:type="dxa"/>
            <w:vAlign w:val="bottom"/>
          </w:tcPr>
          <w:p w14:paraId="1DC557C7" w14:textId="77777777" w:rsidR="00B449D0" w:rsidRDefault="00175344">
            <w:pPr>
              <w:pStyle w:val="Summarytabletextrightaligned"/>
            </w:pPr>
            <w:r>
              <w:t>12.0</w:t>
            </w:r>
          </w:p>
        </w:tc>
        <w:tc>
          <w:tcPr>
            <w:tcW w:w="850" w:type="dxa"/>
            <w:vAlign w:val="bottom"/>
          </w:tcPr>
          <w:p w14:paraId="36C5287D" w14:textId="71F4430E" w:rsidR="00B449D0" w:rsidRDefault="00076D78">
            <w:pPr>
              <w:pStyle w:val="Summarytabletextrightaligned"/>
            </w:pPr>
            <w:r>
              <w:noBreakHyphen/>
            </w:r>
          </w:p>
        </w:tc>
      </w:tr>
      <w:tr w:rsidR="00B449D0" w14:paraId="4720ADE7" w14:textId="77777777" w:rsidTr="7F762F0D">
        <w:tc>
          <w:tcPr>
            <w:tcW w:w="3471" w:type="dxa"/>
            <w:vAlign w:val="bottom"/>
          </w:tcPr>
          <w:p w14:paraId="0A1C534B" w14:textId="77777777" w:rsidR="00B449D0" w:rsidRDefault="00175344">
            <w:pPr>
              <w:pStyle w:val="SummaryMeasureTitlewithTheme"/>
            </w:pPr>
            <w:r>
              <w:t>McDonald v Commonwealth Class Action ‑ settlement</w:t>
            </w:r>
          </w:p>
        </w:tc>
        <w:tc>
          <w:tcPr>
            <w:tcW w:w="850" w:type="dxa"/>
            <w:vAlign w:val="bottom"/>
          </w:tcPr>
          <w:p w14:paraId="7BB40C54" w14:textId="7564BCD6" w:rsidR="00B449D0" w:rsidRDefault="00076D78">
            <w:pPr>
              <w:pStyle w:val="Summarytabletextrightaligned"/>
            </w:pPr>
            <w:r>
              <w:noBreakHyphen/>
            </w:r>
          </w:p>
        </w:tc>
        <w:tc>
          <w:tcPr>
            <w:tcW w:w="850" w:type="dxa"/>
            <w:shd w:val="clear" w:color="auto" w:fill="E6F2FF"/>
            <w:vAlign w:val="bottom"/>
          </w:tcPr>
          <w:p w14:paraId="4549F989" w14:textId="77777777" w:rsidR="00B449D0" w:rsidRDefault="00175344">
            <w:pPr>
              <w:pStyle w:val="Summarytabletextrightaligned"/>
            </w:pPr>
            <w:r w:rsidRPr="7F762F0D">
              <w:rPr>
                <w:lang w:val="en-US"/>
              </w:rPr>
              <w:t>nfp</w:t>
            </w:r>
          </w:p>
        </w:tc>
        <w:tc>
          <w:tcPr>
            <w:tcW w:w="850" w:type="dxa"/>
            <w:vAlign w:val="bottom"/>
          </w:tcPr>
          <w:p w14:paraId="41F6E2E6" w14:textId="77777777" w:rsidR="00B449D0" w:rsidRDefault="00175344">
            <w:pPr>
              <w:pStyle w:val="Summarytabletextrightaligned"/>
            </w:pPr>
            <w:r w:rsidRPr="7F762F0D">
              <w:rPr>
                <w:lang w:val="en-US"/>
              </w:rPr>
              <w:t>nfp</w:t>
            </w:r>
          </w:p>
        </w:tc>
        <w:tc>
          <w:tcPr>
            <w:tcW w:w="850" w:type="dxa"/>
            <w:vAlign w:val="bottom"/>
          </w:tcPr>
          <w:p w14:paraId="376B5B23" w14:textId="7B66EE4F" w:rsidR="00B449D0" w:rsidRDefault="00076D78">
            <w:pPr>
              <w:pStyle w:val="Summarytabletextrightaligned"/>
            </w:pPr>
            <w:r>
              <w:noBreakHyphen/>
            </w:r>
          </w:p>
        </w:tc>
        <w:tc>
          <w:tcPr>
            <w:tcW w:w="850" w:type="dxa"/>
            <w:vAlign w:val="bottom"/>
          </w:tcPr>
          <w:p w14:paraId="2C940F6E" w14:textId="14D3BF03" w:rsidR="00B449D0" w:rsidRDefault="00076D78">
            <w:pPr>
              <w:pStyle w:val="Summarytabletextrightaligned"/>
            </w:pPr>
            <w:r>
              <w:noBreakHyphen/>
            </w:r>
          </w:p>
        </w:tc>
      </w:tr>
      <w:tr w:rsidR="00B449D0" w14:paraId="461C69D4" w14:textId="77777777" w:rsidTr="7F762F0D">
        <w:tc>
          <w:tcPr>
            <w:tcW w:w="3471" w:type="dxa"/>
            <w:vAlign w:val="bottom"/>
          </w:tcPr>
          <w:p w14:paraId="4BBC4092" w14:textId="77777777" w:rsidR="00B449D0" w:rsidRDefault="00175344">
            <w:pPr>
              <w:pStyle w:val="SummaryMeasureTitlewithTheme"/>
            </w:pPr>
            <w:r>
              <w:t>National Access to Justice Partnership</w:t>
            </w:r>
          </w:p>
        </w:tc>
        <w:tc>
          <w:tcPr>
            <w:tcW w:w="850" w:type="dxa"/>
            <w:vAlign w:val="bottom"/>
          </w:tcPr>
          <w:p w14:paraId="10061016" w14:textId="13DF59AF" w:rsidR="00B449D0" w:rsidRDefault="00076D78">
            <w:pPr>
              <w:pStyle w:val="Summarytabletextrightaligned"/>
            </w:pPr>
            <w:r>
              <w:noBreakHyphen/>
            </w:r>
          </w:p>
        </w:tc>
        <w:tc>
          <w:tcPr>
            <w:tcW w:w="850" w:type="dxa"/>
            <w:shd w:val="clear" w:color="auto" w:fill="E6F2FF"/>
            <w:vAlign w:val="bottom"/>
          </w:tcPr>
          <w:p w14:paraId="53A3D6CF" w14:textId="2758888A" w:rsidR="00B449D0" w:rsidRDefault="00076D78">
            <w:pPr>
              <w:pStyle w:val="Summarytabletextrightaligned"/>
            </w:pPr>
            <w:r>
              <w:noBreakHyphen/>
            </w:r>
          </w:p>
        </w:tc>
        <w:tc>
          <w:tcPr>
            <w:tcW w:w="850" w:type="dxa"/>
            <w:vAlign w:val="bottom"/>
          </w:tcPr>
          <w:p w14:paraId="4F74B397" w14:textId="28637FFE" w:rsidR="00B449D0" w:rsidRDefault="00076D78">
            <w:pPr>
              <w:pStyle w:val="Summarytabletextrightaligned"/>
            </w:pPr>
            <w:r>
              <w:noBreakHyphen/>
            </w:r>
            <w:r w:rsidR="00175344">
              <w:t>27.5</w:t>
            </w:r>
          </w:p>
        </w:tc>
        <w:tc>
          <w:tcPr>
            <w:tcW w:w="850" w:type="dxa"/>
            <w:vAlign w:val="bottom"/>
          </w:tcPr>
          <w:p w14:paraId="4B1A9361" w14:textId="773F226E" w:rsidR="00B449D0" w:rsidRDefault="00076D78">
            <w:pPr>
              <w:pStyle w:val="Summarytabletextrightaligned"/>
            </w:pPr>
            <w:r>
              <w:noBreakHyphen/>
            </w:r>
            <w:r w:rsidR="00175344">
              <w:t>28.1</w:t>
            </w:r>
          </w:p>
        </w:tc>
        <w:tc>
          <w:tcPr>
            <w:tcW w:w="850" w:type="dxa"/>
            <w:vAlign w:val="bottom"/>
          </w:tcPr>
          <w:p w14:paraId="5594BCD0" w14:textId="6C170675" w:rsidR="00B449D0" w:rsidRDefault="00076D78">
            <w:pPr>
              <w:pStyle w:val="Summarytabletextrightaligned"/>
            </w:pPr>
            <w:r>
              <w:noBreakHyphen/>
            </w:r>
            <w:r w:rsidR="00175344">
              <w:t>28.7</w:t>
            </w:r>
          </w:p>
        </w:tc>
      </w:tr>
      <w:tr w:rsidR="00B449D0" w14:paraId="14B6E316" w14:textId="77777777" w:rsidTr="7F762F0D">
        <w:tc>
          <w:tcPr>
            <w:tcW w:w="3471" w:type="dxa"/>
            <w:vAlign w:val="bottom"/>
          </w:tcPr>
          <w:p w14:paraId="4B14C3EE" w14:textId="77777777" w:rsidR="00B449D0" w:rsidRDefault="00175344">
            <w:pPr>
              <w:pStyle w:val="SummaryMeasureTitlewithTheme"/>
            </w:pPr>
            <w:r>
              <w:t>New Remote Employment Service</w:t>
            </w:r>
          </w:p>
        </w:tc>
        <w:tc>
          <w:tcPr>
            <w:tcW w:w="850" w:type="dxa"/>
            <w:vAlign w:val="bottom"/>
          </w:tcPr>
          <w:p w14:paraId="76AD5A19" w14:textId="50B56055" w:rsidR="00B449D0" w:rsidRDefault="00076D78">
            <w:pPr>
              <w:pStyle w:val="Summarytabletextrightaligned"/>
            </w:pPr>
            <w:r>
              <w:noBreakHyphen/>
            </w:r>
          </w:p>
        </w:tc>
        <w:tc>
          <w:tcPr>
            <w:tcW w:w="850" w:type="dxa"/>
            <w:shd w:val="clear" w:color="auto" w:fill="E6F2FF"/>
            <w:vAlign w:val="bottom"/>
          </w:tcPr>
          <w:p w14:paraId="73666CB6" w14:textId="77777777" w:rsidR="00B449D0" w:rsidRDefault="00175344">
            <w:pPr>
              <w:pStyle w:val="Summarytabletextrightaligned"/>
            </w:pPr>
            <w:r>
              <w:t>4.4</w:t>
            </w:r>
          </w:p>
        </w:tc>
        <w:tc>
          <w:tcPr>
            <w:tcW w:w="850" w:type="dxa"/>
            <w:vAlign w:val="bottom"/>
          </w:tcPr>
          <w:p w14:paraId="3B65773B" w14:textId="77777777" w:rsidR="00B449D0" w:rsidRDefault="00175344">
            <w:pPr>
              <w:pStyle w:val="Summarytabletextrightaligned"/>
            </w:pPr>
            <w:r>
              <w:t>134.0</w:t>
            </w:r>
          </w:p>
        </w:tc>
        <w:tc>
          <w:tcPr>
            <w:tcW w:w="850" w:type="dxa"/>
            <w:vAlign w:val="bottom"/>
          </w:tcPr>
          <w:p w14:paraId="3E9BE8AD" w14:textId="77777777" w:rsidR="00B449D0" w:rsidRDefault="00175344">
            <w:pPr>
              <w:pStyle w:val="Summarytabletextrightaligned"/>
            </w:pPr>
            <w:r>
              <w:t>121.9</w:t>
            </w:r>
          </w:p>
        </w:tc>
        <w:tc>
          <w:tcPr>
            <w:tcW w:w="850" w:type="dxa"/>
            <w:vAlign w:val="bottom"/>
          </w:tcPr>
          <w:p w14:paraId="7E3A114E" w14:textId="77777777" w:rsidR="00B449D0" w:rsidRDefault="00175344">
            <w:pPr>
              <w:pStyle w:val="Summarytabletextrightaligned"/>
            </w:pPr>
            <w:r>
              <w:t>120.1</w:t>
            </w:r>
          </w:p>
        </w:tc>
      </w:tr>
      <w:tr w:rsidR="00B449D0" w14:paraId="0B3CBC23" w14:textId="77777777" w:rsidTr="7F762F0D">
        <w:tc>
          <w:tcPr>
            <w:tcW w:w="3471" w:type="dxa"/>
            <w:vAlign w:val="bottom"/>
          </w:tcPr>
          <w:p w14:paraId="47327F4F" w14:textId="77777777" w:rsidR="00B449D0" w:rsidRDefault="00175344">
            <w:pPr>
              <w:pStyle w:val="SummaryMeasureTitlewithTheme"/>
            </w:pPr>
            <w:r>
              <w:t>Secretariat of National Aboriginal and Islander Child Care</w:t>
            </w:r>
          </w:p>
        </w:tc>
        <w:tc>
          <w:tcPr>
            <w:tcW w:w="850" w:type="dxa"/>
            <w:vAlign w:val="bottom"/>
          </w:tcPr>
          <w:p w14:paraId="774ADC01" w14:textId="2522EC7A" w:rsidR="00B449D0" w:rsidRDefault="00076D78">
            <w:pPr>
              <w:pStyle w:val="Summarytabletextrightaligned"/>
            </w:pPr>
            <w:r>
              <w:noBreakHyphen/>
            </w:r>
          </w:p>
        </w:tc>
        <w:tc>
          <w:tcPr>
            <w:tcW w:w="850" w:type="dxa"/>
            <w:shd w:val="clear" w:color="auto" w:fill="E6F2FF"/>
            <w:vAlign w:val="bottom"/>
          </w:tcPr>
          <w:p w14:paraId="0DE6F832" w14:textId="77777777" w:rsidR="00B449D0" w:rsidRDefault="00175344">
            <w:pPr>
              <w:pStyle w:val="Summarytabletextrightaligned"/>
            </w:pPr>
            <w:r>
              <w:t>1.1</w:t>
            </w:r>
          </w:p>
        </w:tc>
        <w:tc>
          <w:tcPr>
            <w:tcW w:w="850" w:type="dxa"/>
            <w:vAlign w:val="bottom"/>
          </w:tcPr>
          <w:p w14:paraId="70CC43F1" w14:textId="77777777" w:rsidR="00B449D0" w:rsidRDefault="00175344">
            <w:pPr>
              <w:pStyle w:val="Summarytabletextrightaligned"/>
            </w:pPr>
            <w:r>
              <w:t>1.2</w:t>
            </w:r>
          </w:p>
        </w:tc>
        <w:tc>
          <w:tcPr>
            <w:tcW w:w="850" w:type="dxa"/>
            <w:vAlign w:val="bottom"/>
          </w:tcPr>
          <w:p w14:paraId="67577414" w14:textId="14D42D95" w:rsidR="00B449D0" w:rsidRDefault="00076D78">
            <w:pPr>
              <w:pStyle w:val="Summarytabletextrightaligned"/>
            </w:pPr>
            <w:r>
              <w:noBreakHyphen/>
            </w:r>
          </w:p>
        </w:tc>
        <w:tc>
          <w:tcPr>
            <w:tcW w:w="850" w:type="dxa"/>
            <w:vAlign w:val="bottom"/>
          </w:tcPr>
          <w:p w14:paraId="210D031A" w14:textId="40BFDD8D" w:rsidR="00B449D0" w:rsidRDefault="00076D78">
            <w:pPr>
              <w:pStyle w:val="Summarytabletextrightaligned"/>
            </w:pPr>
            <w:r>
              <w:noBreakHyphen/>
            </w:r>
          </w:p>
        </w:tc>
      </w:tr>
      <w:tr w:rsidR="00B449D0" w14:paraId="0D2F8A3C" w14:textId="77777777" w:rsidTr="7F762F0D">
        <w:tc>
          <w:tcPr>
            <w:tcW w:w="3471" w:type="dxa"/>
            <w:vAlign w:val="bottom"/>
          </w:tcPr>
          <w:p w14:paraId="340A4D54" w14:textId="77777777" w:rsidR="00B449D0" w:rsidRDefault="00175344">
            <w:pPr>
              <w:pStyle w:val="SummaryMeasureTitlewithTheme"/>
            </w:pPr>
            <w:r>
              <w:t>Supporting News and Media Diversity(b)</w:t>
            </w:r>
          </w:p>
        </w:tc>
        <w:tc>
          <w:tcPr>
            <w:tcW w:w="850" w:type="dxa"/>
            <w:vAlign w:val="bottom"/>
          </w:tcPr>
          <w:p w14:paraId="0A45555A" w14:textId="63E6AF6B" w:rsidR="00B449D0" w:rsidRDefault="00076D78">
            <w:pPr>
              <w:pStyle w:val="Summarytabletextrightaligned"/>
            </w:pPr>
            <w:r>
              <w:noBreakHyphen/>
            </w:r>
          </w:p>
        </w:tc>
        <w:tc>
          <w:tcPr>
            <w:tcW w:w="850" w:type="dxa"/>
            <w:shd w:val="clear" w:color="auto" w:fill="E6F2FF"/>
            <w:vAlign w:val="bottom"/>
          </w:tcPr>
          <w:p w14:paraId="20E81C43" w14:textId="126A0BEB" w:rsidR="00B449D0" w:rsidRDefault="00076D78">
            <w:pPr>
              <w:pStyle w:val="Summarytabletextrightaligned"/>
            </w:pPr>
            <w:r>
              <w:noBreakHyphen/>
            </w:r>
          </w:p>
        </w:tc>
        <w:tc>
          <w:tcPr>
            <w:tcW w:w="850" w:type="dxa"/>
            <w:vAlign w:val="bottom"/>
          </w:tcPr>
          <w:p w14:paraId="03910385" w14:textId="77777777" w:rsidR="00B449D0" w:rsidRDefault="00175344">
            <w:pPr>
              <w:pStyle w:val="Summarytabletextrightaligned"/>
            </w:pPr>
            <w:r>
              <w:t>4.0</w:t>
            </w:r>
          </w:p>
        </w:tc>
        <w:tc>
          <w:tcPr>
            <w:tcW w:w="850" w:type="dxa"/>
            <w:vAlign w:val="bottom"/>
          </w:tcPr>
          <w:p w14:paraId="6D40BC3D" w14:textId="77777777" w:rsidR="00B449D0" w:rsidRDefault="00175344">
            <w:pPr>
              <w:pStyle w:val="Summarytabletextrightaligned"/>
            </w:pPr>
            <w:r>
              <w:t>4.0</w:t>
            </w:r>
          </w:p>
        </w:tc>
        <w:tc>
          <w:tcPr>
            <w:tcW w:w="850" w:type="dxa"/>
            <w:vAlign w:val="bottom"/>
          </w:tcPr>
          <w:p w14:paraId="67824F78" w14:textId="77777777" w:rsidR="00B449D0" w:rsidRDefault="00175344">
            <w:pPr>
              <w:pStyle w:val="Summarytabletextrightaligned"/>
            </w:pPr>
            <w:r>
              <w:t>4.0</w:t>
            </w:r>
          </w:p>
        </w:tc>
      </w:tr>
      <w:tr w:rsidR="00B449D0" w14:paraId="2889AD09" w14:textId="77777777" w:rsidTr="7F762F0D">
        <w:tc>
          <w:tcPr>
            <w:tcW w:w="3471" w:type="dxa"/>
            <w:vAlign w:val="bottom"/>
          </w:tcPr>
          <w:p w14:paraId="73D6D8E4" w14:textId="77777777" w:rsidR="00B449D0" w:rsidRDefault="00175344">
            <w:pPr>
              <w:pStyle w:val="SummaryMeasureTitlewithTheme"/>
            </w:pPr>
            <w:r>
              <w:t>Youpla Support Program – additional funding</w:t>
            </w:r>
          </w:p>
        </w:tc>
        <w:tc>
          <w:tcPr>
            <w:tcW w:w="850" w:type="dxa"/>
            <w:vAlign w:val="bottom"/>
          </w:tcPr>
          <w:p w14:paraId="144B8C68" w14:textId="0B0C6E85" w:rsidR="00B449D0" w:rsidRDefault="00076D78">
            <w:pPr>
              <w:pStyle w:val="Summarytabletextrightaligned"/>
            </w:pPr>
            <w:r>
              <w:noBreakHyphen/>
            </w:r>
          </w:p>
        </w:tc>
        <w:tc>
          <w:tcPr>
            <w:tcW w:w="850" w:type="dxa"/>
            <w:shd w:val="clear" w:color="auto" w:fill="E6F2FF"/>
            <w:vAlign w:val="bottom"/>
          </w:tcPr>
          <w:p w14:paraId="315622B6" w14:textId="389F4708" w:rsidR="00B449D0" w:rsidRDefault="00076D78">
            <w:pPr>
              <w:pStyle w:val="Summarytabletextrightaligned"/>
            </w:pPr>
            <w:r>
              <w:noBreakHyphen/>
            </w:r>
          </w:p>
        </w:tc>
        <w:tc>
          <w:tcPr>
            <w:tcW w:w="850" w:type="dxa"/>
            <w:vAlign w:val="bottom"/>
          </w:tcPr>
          <w:p w14:paraId="507E6B0B" w14:textId="0B434387" w:rsidR="00B449D0" w:rsidRDefault="00076D78">
            <w:pPr>
              <w:pStyle w:val="Summarytabletextrightaligned"/>
            </w:pPr>
            <w:r>
              <w:noBreakHyphen/>
            </w:r>
          </w:p>
        </w:tc>
        <w:tc>
          <w:tcPr>
            <w:tcW w:w="850" w:type="dxa"/>
            <w:vAlign w:val="bottom"/>
          </w:tcPr>
          <w:p w14:paraId="1CDD776A" w14:textId="561C57B6" w:rsidR="00B449D0" w:rsidRDefault="00076D78">
            <w:pPr>
              <w:pStyle w:val="Summarytabletextrightaligned"/>
            </w:pPr>
            <w:r>
              <w:noBreakHyphen/>
            </w:r>
          </w:p>
        </w:tc>
        <w:tc>
          <w:tcPr>
            <w:tcW w:w="850" w:type="dxa"/>
            <w:vAlign w:val="bottom"/>
          </w:tcPr>
          <w:p w14:paraId="773ADEFE" w14:textId="622734A7" w:rsidR="00B449D0" w:rsidRDefault="00076D78">
            <w:pPr>
              <w:pStyle w:val="Summarytabletextrightaligned"/>
            </w:pPr>
            <w:r>
              <w:noBreakHyphen/>
            </w:r>
          </w:p>
        </w:tc>
      </w:tr>
      <w:tr w:rsidR="00B449D0" w14:paraId="7CE96F41" w14:textId="77777777" w:rsidTr="7F762F0D">
        <w:tc>
          <w:tcPr>
            <w:tcW w:w="3471" w:type="dxa"/>
            <w:vAlign w:val="bottom"/>
          </w:tcPr>
          <w:p w14:paraId="44C0085D" w14:textId="67A465FF" w:rsidR="00B449D0" w:rsidRDefault="00175344">
            <w:pPr>
              <w:pStyle w:val="SummaryAgencyTitle-BP2"/>
            </w:pPr>
            <w:r>
              <w:t>Office of the Official Secretary to the Governor</w:t>
            </w:r>
            <w:r w:rsidR="00076D78">
              <w:noBreakHyphen/>
            </w:r>
            <w:r>
              <w:t>General</w:t>
            </w:r>
          </w:p>
        </w:tc>
        <w:tc>
          <w:tcPr>
            <w:tcW w:w="850" w:type="dxa"/>
          </w:tcPr>
          <w:p w14:paraId="160DA650" w14:textId="77777777" w:rsidR="00B449D0" w:rsidRDefault="00B449D0">
            <w:pPr>
              <w:pStyle w:val="SummaryAgencyTitle-BP2"/>
            </w:pPr>
          </w:p>
        </w:tc>
        <w:tc>
          <w:tcPr>
            <w:tcW w:w="850" w:type="dxa"/>
            <w:shd w:val="clear" w:color="auto" w:fill="E6F2FF"/>
          </w:tcPr>
          <w:p w14:paraId="24B20C54" w14:textId="77777777" w:rsidR="00B449D0" w:rsidRDefault="00B449D0">
            <w:pPr>
              <w:pStyle w:val="SummaryAgencyTitle-BP2"/>
            </w:pPr>
          </w:p>
        </w:tc>
        <w:tc>
          <w:tcPr>
            <w:tcW w:w="850" w:type="dxa"/>
          </w:tcPr>
          <w:p w14:paraId="5D8FAE02" w14:textId="77777777" w:rsidR="00B449D0" w:rsidRDefault="00B449D0">
            <w:pPr>
              <w:pStyle w:val="SummaryAgencyTitle-BP2"/>
            </w:pPr>
          </w:p>
        </w:tc>
        <w:tc>
          <w:tcPr>
            <w:tcW w:w="850" w:type="dxa"/>
          </w:tcPr>
          <w:p w14:paraId="6C13651B" w14:textId="77777777" w:rsidR="00B449D0" w:rsidRDefault="00B449D0">
            <w:pPr>
              <w:pStyle w:val="SummaryAgencyTitle-BP2"/>
            </w:pPr>
          </w:p>
        </w:tc>
        <w:tc>
          <w:tcPr>
            <w:tcW w:w="850" w:type="dxa"/>
          </w:tcPr>
          <w:p w14:paraId="3F1AA99B" w14:textId="77777777" w:rsidR="00B449D0" w:rsidRDefault="00B449D0">
            <w:pPr>
              <w:pStyle w:val="SummaryAgencyTitle-BP2"/>
            </w:pPr>
          </w:p>
        </w:tc>
      </w:tr>
      <w:tr w:rsidR="00B449D0" w14:paraId="2B31337D" w14:textId="77777777" w:rsidTr="7F762F0D">
        <w:tc>
          <w:tcPr>
            <w:tcW w:w="3471" w:type="dxa"/>
            <w:vAlign w:val="bottom"/>
          </w:tcPr>
          <w:p w14:paraId="225E098D" w14:textId="77777777" w:rsidR="00B449D0" w:rsidRDefault="00175344">
            <w:pPr>
              <w:pStyle w:val="SummaryMeasureTitlewithTheme"/>
            </w:pPr>
            <w:r>
              <w:t>Remuneration for Honours Council Members</w:t>
            </w:r>
          </w:p>
        </w:tc>
        <w:tc>
          <w:tcPr>
            <w:tcW w:w="850" w:type="dxa"/>
            <w:vAlign w:val="bottom"/>
          </w:tcPr>
          <w:p w14:paraId="0CA1204C" w14:textId="2E64CC51" w:rsidR="00B449D0" w:rsidRDefault="00076D78">
            <w:pPr>
              <w:pStyle w:val="Summarytabletextrightaligned"/>
            </w:pPr>
            <w:r>
              <w:noBreakHyphen/>
            </w:r>
          </w:p>
        </w:tc>
        <w:tc>
          <w:tcPr>
            <w:tcW w:w="850" w:type="dxa"/>
            <w:shd w:val="clear" w:color="auto" w:fill="E6F2FF"/>
            <w:vAlign w:val="bottom"/>
          </w:tcPr>
          <w:p w14:paraId="1C60AE52" w14:textId="31D2B5E6" w:rsidR="00B449D0" w:rsidRDefault="00076D78">
            <w:pPr>
              <w:pStyle w:val="Summarytabletextrightaligned"/>
            </w:pPr>
            <w:r>
              <w:noBreakHyphen/>
            </w:r>
          </w:p>
        </w:tc>
        <w:tc>
          <w:tcPr>
            <w:tcW w:w="850" w:type="dxa"/>
            <w:vAlign w:val="bottom"/>
          </w:tcPr>
          <w:p w14:paraId="440C47CC" w14:textId="369DA9D1" w:rsidR="00B449D0" w:rsidRDefault="00076D78">
            <w:pPr>
              <w:pStyle w:val="Summarytabletextrightaligned"/>
            </w:pPr>
            <w:r>
              <w:noBreakHyphen/>
            </w:r>
          </w:p>
        </w:tc>
        <w:tc>
          <w:tcPr>
            <w:tcW w:w="850" w:type="dxa"/>
            <w:vAlign w:val="bottom"/>
          </w:tcPr>
          <w:p w14:paraId="262B25F1" w14:textId="67A4FB2F" w:rsidR="00B449D0" w:rsidRDefault="00076D78">
            <w:pPr>
              <w:pStyle w:val="Summarytabletextrightaligned"/>
            </w:pPr>
            <w:r>
              <w:noBreakHyphen/>
            </w:r>
          </w:p>
        </w:tc>
        <w:tc>
          <w:tcPr>
            <w:tcW w:w="850" w:type="dxa"/>
            <w:vAlign w:val="bottom"/>
          </w:tcPr>
          <w:p w14:paraId="605B574E" w14:textId="599AF859" w:rsidR="00B449D0" w:rsidRDefault="00076D78">
            <w:pPr>
              <w:pStyle w:val="Summarytabletextrightaligned"/>
            </w:pPr>
            <w:r>
              <w:noBreakHyphen/>
            </w:r>
          </w:p>
        </w:tc>
      </w:tr>
      <w:tr w:rsidR="00B449D0" w14:paraId="5EEF719C" w14:textId="77777777" w:rsidTr="7F762F0D">
        <w:tc>
          <w:tcPr>
            <w:tcW w:w="3471" w:type="dxa"/>
            <w:vAlign w:val="bottom"/>
          </w:tcPr>
          <w:p w14:paraId="19910852" w14:textId="77777777" w:rsidR="00B449D0" w:rsidRDefault="00175344">
            <w:pPr>
              <w:pStyle w:val="Summarytabletextleftalignedbold"/>
            </w:pPr>
            <w:r>
              <w:t>Portfolio total</w:t>
            </w:r>
          </w:p>
        </w:tc>
        <w:tc>
          <w:tcPr>
            <w:tcW w:w="850" w:type="dxa"/>
            <w:tcBorders>
              <w:top w:val="single" w:sz="4" w:space="0" w:color="000000" w:themeColor="text1"/>
              <w:bottom w:val="single" w:sz="4" w:space="0" w:color="000000" w:themeColor="text1"/>
            </w:tcBorders>
            <w:vAlign w:val="bottom"/>
          </w:tcPr>
          <w:p w14:paraId="6BF8F752" w14:textId="25E56A58" w:rsidR="00B449D0" w:rsidRDefault="00076D78">
            <w:pPr>
              <w:pStyle w:val="Summarytabletextrightalignedbold"/>
            </w:pPr>
            <w:r>
              <w:noBreakHyphen/>
            </w:r>
          </w:p>
        </w:tc>
        <w:tc>
          <w:tcPr>
            <w:tcW w:w="850" w:type="dxa"/>
            <w:tcBorders>
              <w:top w:val="single" w:sz="4" w:space="0" w:color="000000" w:themeColor="text1"/>
              <w:bottom w:val="single" w:sz="4" w:space="0" w:color="000000" w:themeColor="text1"/>
            </w:tcBorders>
            <w:shd w:val="clear" w:color="auto" w:fill="E6F2FF"/>
            <w:vAlign w:val="bottom"/>
          </w:tcPr>
          <w:p w14:paraId="4934F435" w14:textId="77777777" w:rsidR="00B449D0" w:rsidRDefault="00175344">
            <w:pPr>
              <w:pStyle w:val="Summarytabletextrightalignedbold"/>
            </w:pPr>
            <w:r>
              <w:t>19.5</w:t>
            </w:r>
          </w:p>
        </w:tc>
        <w:tc>
          <w:tcPr>
            <w:tcW w:w="850" w:type="dxa"/>
            <w:tcBorders>
              <w:top w:val="single" w:sz="4" w:space="0" w:color="000000" w:themeColor="text1"/>
              <w:bottom w:val="single" w:sz="4" w:space="0" w:color="000000" w:themeColor="text1"/>
            </w:tcBorders>
            <w:vAlign w:val="bottom"/>
          </w:tcPr>
          <w:p w14:paraId="0F8972FE" w14:textId="77777777" w:rsidR="00B449D0" w:rsidRDefault="00175344">
            <w:pPr>
              <w:pStyle w:val="Summarytabletextrightalignedbold"/>
            </w:pPr>
            <w:r>
              <w:t>51.4</w:t>
            </w:r>
          </w:p>
        </w:tc>
        <w:tc>
          <w:tcPr>
            <w:tcW w:w="850" w:type="dxa"/>
            <w:tcBorders>
              <w:top w:val="single" w:sz="4" w:space="0" w:color="000000" w:themeColor="text1"/>
              <w:bottom w:val="single" w:sz="4" w:space="0" w:color="000000" w:themeColor="text1"/>
            </w:tcBorders>
            <w:vAlign w:val="bottom"/>
          </w:tcPr>
          <w:p w14:paraId="270D36AB" w14:textId="77777777" w:rsidR="00B449D0" w:rsidRDefault="00175344">
            <w:pPr>
              <w:pStyle w:val="Summarytabletextrightalignedbold"/>
            </w:pPr>
            <w:r>
              <w:t>21.0</w:t>
            </w:r>
          </w:p>
        </w:tc>
        <w:tc>
          <w:tcPr>
            <w:tcW w:w="850" w:type="dxa"/>
            <w:tcBorders>
              <w:top w:val="single" w:sz="4" w:space="0" w:color="000000" w:themeColor="text1"/>
              <w:bottom w:val="single" w:sz="4" w:space="0" w:color="000000" w:themeColor="text1"/>
            </w:tcBorders>
            <w:vAlign w:val="bottom"/>
          </w:tcPr>
          <w:p w14:paraId="40F70108" w14:textId="77777777" w:rsidR="00B449D0" w:rsidRDefault="00175344">
            <w:pPr>
              <w:pStyle w:val="Summarytabletextrightalignedbold"/>
            </w:pPr>
            <w:r>
              <w:t>4.3</w:t>
            </w:r>
          </w:p>
        </w:tc>
      </w:tr>
      <w:tr w:rsidR="00B449D0" w14:paraId="48700834" w14:textId="77777777" w:rsidTr="7F762F0D">
        <w:tc>
          <w:tcPr>
            <w:tcW w:w="3471" w:type="dxa"/>
            <w:vAlign w:val="bottom"/>
          </w:tcPr>
          <w:p w14:paraId="22E6687B" w14:textId="77777777" w:rsidR="00B449D0" w:rsidRDefault="00175344">
            <w:pPr>
              <w:pStyle w:val="SummaryPortfolioTitle-BP2"/>
            </w:pPr>
            <w:r>
              <w:t>SOCIAL SERVICES</w:t>
            </w:r>
          </w:p>
        </w:tc>
        <w:tc>
          <w:tcPr>
            <w:tcW w:w="850" w:type="dxa"/>
          </w:tcPr>
          <w:p w14:paraId="7C43055B" w14:textId="77777777" w:rsidR="00B449D0" w:rsidRDefault="00B449D0">
            <w:pPr>
              <w:pStyle w:val="MeasureTableTextRightAlignedBefore6ptAfter1pt"/>
            </w:pPr>
          </w:p>
        </w:tc>
        <w:tc>
          <w:tcPr>
            <w:tcW w:w="850" w:type="dxa"/>
            <w:shd w:val="clear" w:color="auto" w:fill="E6F2FF"/>
          </w:tcPr>
          <w:p w14:paraId="3231699F" w14:textId="77777777" w:rsidR="00B449D0" w:rsidRDefault="00B449D0">
            <w:pPr>
              <w:pStyle w:val="MeasureTableTextRightAlignedBefore6ptAfter1pt"/>
            </w:pPr>
          </w:p>
        </w:tc>
        <w:tc>
          <w:tcPr>
            <w:tcW w:w="850" w:type="dxa"/>
          </w:tcPr>
          <w:p w14:paraId="2CADD274" w14:textId="77777777" w:rsidR="00B449D0" w:rsidRDefault="00B449D0">
            <w:pPr>
              <w:pStyle w:val="MeasureTableTextRightAlignedBefore6ptAfter1pt"/>
            </w:pPr>
          </w:p>
        </w:tc>
        <w:tc>
          <w:tcPr>
            <w:tcW w:w="850" w:type="dxa"/>
          </w:tcPr>
          <w:p w14:paraId="236F6FE1" w14:textId="77777777" w:rsidR="00B449D0" w:rsidRDefault="00B449D0">
            <w:pPr>
              <w:pStyle w:val="MeasureTableTextRightAlignedBefore6ptAfter1pt"/>
            </w:pPr>
          </w:p>
        </w:tc>
        <w:tc>
          <w:tcPr>
            <w:tcW w:w="850" w:type="dxa"/>
          </w:tcPr>
          <w:p w14:paraId="0523C603" w14:textId="77777777" w:rsidR="00B449D0" w:rsidRDefault="00B449D0">
            <w:pPr>
              <w:pStyle w:val="MeasureTableTextRightAlignedBefore6ptAfter1pt"/>
            </w:pPr>
          </w:p>
        </w:tc>
      </w:tr>
      <w:tr w:rsidR="00B449D0" w14:paraId="5E6CFBC5" w14:textId="77777777" w:rsidTr="7F762F0D">
        <w:tc>
          <w:tcPr>
            <w:tcW w:w="3471" w:type="dxa"/>
            <w:vAlign w:val="bottom"/>
          </w:tcPr>
          <w:p w14:paraId="0CF785B1" w14:textId="77777777" w:rsidR="00B449D0" w:rsidRDefault="00175344">
            <w:pPr>
              <w:pStyle w:val="SummaryAgencyTitle-BP2"/>
            </w:pPr>
            <w:r>
              <w:t>Department of Social Services</w:t>
            </w:r>
          </w:p>
        </w:tc>
        <w:tc>
          <w:tcPr>
            <w:tcW w:w="850" w:type="dxa"/>
          </w:tcPr>
          <w:p w14:paraId="0ED07FC4" w14:textId="77777777" w:rsidR="00B449D0" w:rsidRDefault="00B449D0">
            <w:pPr>
              <w:pStyle w:val="SummaryAgencyTitle-BP2"/>
            </w:pPr>
          </w:p>
        </w:tc>
        <w:tc>
          <w:tcPr>
            <w:tcW w:w="850" w:type="dxa"/>
            <w:shd w:val="clear" w:color="auto" w:fill="E6F2FF"/>
          </w:tcPr>
          <w:p w14:paraId="6FC238F9" w14:textId="77777777" w:rsidR="00B449D0" w:rsidRDefault="00B449D0">
            <w:pPr>
              <w:pStyle w:val="SummaryAgencyTitle-BP2"/>
            </w:pPr>
          </w:p>
        </w:tc>
        <w:tc>
          <w:tcPr>
            <w:tcW w:w="850" w:type="dxa"/>
          </w:tcPr>
          <w:p w14:paraId="0910A032" w14:textId="77777777" w:rsidR="00B449D0" w:rsidRDefault="00B449D0">
            <w:pPr>
              <w:pStyle w:val="SummaryAgencyTitle-BP2"/>
            </w:pPr>
          </w:p>
        </w:tc>
        <w:tc>
          <w:tcPr>
            <w:tcW w:w="850" w:type="dxa"/>
          </w:tcPr>
          <w:p w14:paraId="5DDE5BD4" w14:textId="77777777" w:rsidR="00B449D0" w:rsidRDefault="00B449D0">
            <w:pPr>
              <w:pStyle w:val="SummaryAgencyTitle-BP2"/>
            </w:pPr>
          </w:p>
        </w:tc>
        <w:tc>
          <w:tcPr>
            <w:tcW w:w="850" w:type="dxa"/>
          </w:tcPr>
          <w:p w14:paraId="3675C0AA" w14:textId="77777777" w:rsidR="00B449D0" w:rsidRDefault="00B449D0">
            <w:pPr>
              <w:pStyle w:val="SummaryAgencyTitle-BP2"/>
            </w:pPr>
          </w:p>
        </w:tc>
      </w:tr>
      <w:tr w:rsidR="00B449D0" w14:paraId="51F63269" w14:textId="77777777" w:rsidTr="7F762F0D">
        <w:tc>
          <w:tcPr>
            <w:tcW w:w="3471" w:type="dxa"/>
            <w:vAlign w:val="bottom"/>
          </w:tcPr>
          <w:p w14:paraId="16038F62" w14:textId="77777777" w:rsidR="00B449D0" w:rsidRDefault="00175344">
            <w:pPr>
              <w:pStyle w:val="SummaryMeasureTitlewithTheme"/>
            </w:pPr>
            <w:r>
              <w:t>Assistance for Recent Arrivals from Conflict Zones(b)</w:t>
            </w:r>
          </w:p>
        </w:tc>
        <w:tc>
          <w:tcPr>
            <w:tcW w:w="850" w:type="dxa"/>
            <w:vAlign w:val="bottom"/>
          </w:tcPr>
          <w:p w14:paraId="21A05BC6" w14:textId="0382421B" w:rsidR="00B449D0" w:rsidRDefault="00076D78">
            <w:pPr>
              <w:pStyle w:val="Summarytabletextrightaligned"/>
            </w:pPr>
            <w:r>
              <w:noBreakHyphen/>
            </w:r>
          </w:p>
        </w:tc>
        <w:tc>
          <w:tcPr>
            <w:tcW w:w="850" w:type="dxa"/>
            <w:shd w:val="clear" w:color="auto" w:fill="E6F2FF"/>
            <w:vAlign w:val="bottom"/>
          </w:tcPr>
          <w:p w14:paraId="1FED851C" w14:textId="77777777" w:rsidR="00B449D0" w:rsidRDefault="00175344">
            <w:pPr>
              <w:pStyle w:val="Summarytabletextrightaligned"/>
            </w:pPr>
            <w:r>
              <w:t>13.1</w:t>
            </w:r>
          </w:p>
        </w:tc>
        <w:tc>
          <w:tcPr>
            <w:tcW w:w="850" w:type="dxa"/>
            <w:vAlign w:val="bottom"/>
          </w:tcPr>
          <w:p w14:paraId="76185644" w14:textId="77777777" w:rsidR="00B449D0" w:rsidRDefault="00175344">
            <w:pPr>
              <w:pStyle w:val="Summarytabletextrightaligned"/>
            </w:pPr>
            <w:r>
              <w:t>57.9</w:t>
            </w:r>
          </w:p>
        </w:tc>
        <w:tc>
          <w:tcPr>
            <w:tcW w:w="850" w:type="dxa"/>
            <w:vAlign w:val="bottom"/>
          </w:tcPr>
          <w:p w14:paraId="1EB25967" w14:textId="77777777" w:rsidR="00B449D0" w:rsidRDefault="00175344">
            <w:pPr>
              <w:pStyle w:val="Summarytabletextrightaligned"/>
            </w:pPr>
            <w:r>
              <w:t>59.7</w:t>
            </w:r>
          </w:p>
        </w:tc>
        <w:tc>
          <w:tcPr>
            <w:tcW w:w="850" w:type="dxa"/>
            <w:vAlign w:val="bottom"/>
          </w:tcPr>
          <w:p w14:paraId="3B1C9112" w14:textId="77777777" w:rsidR="00B449D0" w:rsidRDefault="00175344">
            <w:pPr>
              <w:pStyle w:val="Summarytabletextrightaligned"/>
            </w:pPr>
            <w:r>
              <w:t>48.4</w:t>
            </w:r>
          </w:p>
        </w:tc>
      </w:tr>
      <w:tr w:rsidR="00B449D0" w14:paraId="6032D34B" w14:textId="77777777" w:rsidTr="7F762F0D">
        <w:tc>
          <w:tcPr>
            <w:tcW w:w="3471" w:type="dxa"/>
            <w:vAlign w:val="bottom"/>
          </w:tcPr>
          <w:p w14:paraId="6CF8BBEF" w14:textId="77777777" w:rsidR="00B449D0" w:rsidRDefault="00175344">
            <w:pPr>
              <w:pStyle w:val="SummaryMeasureTitlewithTheme"/>
            </w:pPr>
            <w:r>
              <w:t>Carer Support</w:t>
            </w:r>
          </w:p>
        </w:tc>
        <w:tc>
          <w:tcPr>
            <w:tcW w:w="850" w:type="dxa"/>
            <w:vAlign w:val="bottom"/>
          </w:tcPr>
          <w:p w14:paraId="1D4EBF34" w14:textId="14F4894D" w:rsidR="00B449D0" w:rsidRDefault="00076D78">
            <w:pPr>
              <w:pStyle w:val="Summarytabletextrightaligned"/>
            </w:pPr>
            <w:r>
              <w:noBreakHyphen/>
            </w:r>
          </w:p>
        </w:tc>
        <w:tc>
          <w:tcPr>
            <w:tcW w:w="850" w:type="dxa"/>
            <w:shd w:val="clear" w:color="auto" w:fill="E6F2FF"/>
            <w:vAlign w:val="bottom"/>
          </w:tcPr>
          <w:p w14:paraId="7109FFA2" w14:textId="404705A4" w:rsidR="00B449D0" w:rsidRDefault="00076D78">
            <w:pPr>
              <w:pStyle w:val="Summarytabletextrightaligned"/>
            </w:pPr>
            <w:r>
              <w:noBreakHyphen/>
            </w:r>
          </w:p>
        </w:tc>
        <w:tc>
          <w:tcPr>
            <w:tcW w:w="850" w:type="dxa"/>
            <w:vAlign w:val="bottom"/>
          </w:tcPr>
          <w:p w14:paraId="27A0F093" w14:textId="246082B0" w:rsidR="00B449D0" w:rsidRDefault="00076D78">
            <w:pPr>
              <w:pStyle w:val="Summarytabletextrightaligned"/>
            </w:pPr>
            <w:r>
              <w:noBreakHyphen/>
            </w:r>
          </w:p>
        </w:tc>
        <w:tc>
          <w:tcPr>
            <w:tcW w:w="850" w:type="dxa"/>
            <w:vAlign w:val="bottom"/>
          </w:tcPr>
          <w:p w14:paraId="643A01A8" w14:textId="14E615E7" w:rsidR="00B449D0" w:rsidRDefault="00076D78">
            <w:pPr>
              <w:pStyle w:val="Summarytabletextrightaligned"/>
            </w:pPr>
            <w:r>
              <w:noBreakHyphen/>
            </w:r>
          </w:p>
        </w:tc>
        <w:tc>
          <w:tcPr>
            <w:tcW w:w="850" w:type="dxa"/>
            <w:vAlign w:val="bottom"/>
          </w:tcPr>
          <w:p w14:paraId="205E6419" w14:textId="7639F32A" w:rsidR="00B449D0" w:rsidRDefault="00076D78">
            <w:pPr>
              <w:pStyle w:val="Summarytabletextrightaligned"/>
            </w:pPr>
            <w:r>
              <w:noBreakHyphen/>
            </w:r>
          </w:p>
        </w:tc>
      </w:tr>
      <w:tr w:rsidR="00B449D0" w14:paraId="5E92B6D3" w14:textId="77777777" w:rsidTr="7F762F0D">
        <w:tc>
          <w:tcPr>
            <w:tcW w:w="3471" w:type="dxa"/>
            <w:vAlign w:val="bottom"/>
          </w:tcPr>
          <w:p w14:paraId="18E0D7A3" w14:textId="77777777" w:rsidR="00B449D0" w:rsidRDefault="00175344">
            <w:pPr>
              <w:pStyle w:val="SummaryMeasureTitlewithTheme"/>
            </w:pPr>
            <w:r>
              <w:t>Employment Services Reform – additional supports</w:t>
            </w:r>
          </w:p>
        </w:tc>
        <w:tc>
          <w:tcPr>
            <w:tcW w:w="850" w:type="dxa"/>
            <w:vAlign w:val="bottom"/>
          </w:tcPr>
          <w:p w14:paraId="04BD5791" w14:textId="37CA835F" w:rsidR="00B449D0" w:rsidRDefault="00076D78">
            <w:pPr>
              <w:pStyle w:val="Summarytabletextrightaligned"/>
            </w:pPr>
            <w:r>
              <w:noBreakHyphen/>
            </w:r>
          </w:p>
        </w:tc>
        <w:tc>
          <w:tcPr>
            <w:tcW w:w="850" w:type="dxa"/>
            <w:shd w:val="clear" w:color="auto" w:fill="E6F2FF"/>
            <w:vAlign w:val="bottom"/>
          </w:tcPr>
          <w:p w14:paraId="6ED516DC" w14:textId="07D03D27" w:rsidR="00B449D0" w:rsidRDefault="00076D78">
            <w:pPr>
              <w:pStyle w:val="Summarytabletextrightaligned"/>
            </w:pPr>
            <w:r>
              <w:noBreakHyphen/>
            </w:r>
          </w:p>
        </w:tc>
        <w:tc>
          <w:tcPr>
            <w:tcW w:w="850" w:type="dxa"/>
            <w:vAlign w:val="bottom"/>
          </w:tcPr>
          <w:p w14:paraId="7FDAF72B" w14:textId="77777777" w:rsidR="00B449D0" w:rsidRDefault="00175344">
            <w:pPr>
              <w:pStyle w:val="Summarytabletextrightaligned"/>
            </w:pPr>
            <w:r>
              <w:t>..</w:t>
            </w:r>
          </w:p>
        </w:tc>
        <w:tc>
          <w:tcPr>
            <w:tcW w:w="850" w:type="dxa"/>
            <w:vAlign w:val="bottom"/>
          </w:tcPr>
          <w:p w14:paraId="0E493991" w14:textId="77777777" w:rsidR="00B449D0" w:rsidRDefault="00175344">
            <w:pPr>
              <w:pStyle w:val="Summarytabletextrightaligned"/>
            </w:pPr>
            <w:r>
              <w:t>..</w:t>
            </w:r>
          </w:p>
        </w:tc>
        <w:tc>
          <w:tcPr>
            <w:tcW w:w="850" w:type="dxa"/>
            <w:vAlign w:val="bottom"/>
          </w:tcPr>
          <w:p w14:paraId="2A32166A" w14:textId="77777777" w:rsidR="00B449D0" w:rsidRDefault="00175344">
            <w:pPr>
              <w:pStyle w:val="Summarytabletextrightaligned"/>
            </w:pPr>
            <w:r>
              <w:t>..</w:t>
            </w:r>
          </w:p>
        </w:tc>
      </w:tr>
      <w:tr w:rsidR="00B449D0" w14:paraId="7AAFC848" w14:textId="77777777" w:rsidTr="7F762F0D">
        <w:tc>
          <w:tcPr>
            <w:tcW w:w="3471" w:type="dxa"/>
            <w:vAlign w:val="bottom"/>
          </w:tcPr>
          <w:p w14:paraId="3D7CA015" w14:textId="77777777" w:rsidR="00B449D0" w:rsidRDefault="00175344">
            <w:pPr>
              <w:pStyle w:val="SummaryMeasureTitlewithTheme"/>
            </w:pPr>
            <w:r>
              <w:t>Ending Gender‑Based Violence – additional investment</w:t>
            </w:r>
          </w:p>
        </w:tc>
        <w:tc>
          <w:tcPr>
            <w:tcW w:w="850" w:type="dxa"/>
            <w:vAlign w:val="bottom"/>
          </w:tcPr>
          <w:p w14:paraId="711620E4" w14:textId="16F28E40" w:rsidR="00B449D0" w:rsidRDefault="00076D78">
            <w:pPr>
              <w:pStyle w:val="Summarytabletextrightaligned"/>
            </w:pPr>
            <w:r>
              <w:noBreakHyphen/>
            </w:r>
          </w:p>
        </w:tc>
        <w:tc>
          <w:tcPr>
            <w:tcW w:w="850" w:type="dxa"/>
            <w:shd w:val="clear" w:color="auto" w:fill="E6F2FF"/>
            <w:vAlign w:val="bottom"/>
          </w:tcPr>
          <w:p w14:paraId="78F8ADCE" w14:textId="4C177F23" w:rsidR="00B449D0" w:rsidRDefault="00076D78">
            <w:pPr>
              <w:pStyle w:val="Summarytabletextrightaligned"/>
            </w:pPr>
            <w:r>
              <w:noBreakHyphen/>
            </w:r>
          </w:p>
        </w:tc>
        <w:tc>
          <w:tcPr>
            <w:tcW w:w="850" w:type="dxa"/>
            <w:vAlign w:val="bottom"/>
          </w:tcPr>
          <w:p w14:paraId="7730B616" w14:textId="78358B5C" w:rsidR="00B449D0" w:rsidRDefault="00076D78">
            <w:pPr>
              <w:pStyle w:val="Summarytabletextrightaligned"/>
            </w:pPr>
            <w:r>
              <w:noBreakHyphen/>
            </w:r>
          </w:p>
        </w:tc>
        <w:tc>
          <w:tcPr>
            <w:tcW w:w="850" w:type="dxa"/>
            <w:vAlign w:val="bottom"/>
          </w:tcPr>
          <w:p w14:paraId="22C66CBF" w14:textId="09E0D096" w:rsidR="00B449D0" w:rsidRDefault="00076D78">
            <w:pPr>
              <w:pStyle w:val="Summarytabletextrightaligned"/>
            </w:pPr>
            <w:r>
              <w:noBreakHyphen/>
            </w:r>
          </w:p>
        </w:tc>
        <w:tc>
          <w:tcPr>
            <w:tcW w:w="850" w:type="dxa"/>
            <w:vAlign w:val="bottom"/>
          </w:tcPr>
          <w:p w14:paraId="31468D84" w14:textId="1AD4839B" w:rsidR="00B449D0" w:rsidRDefault="00076D78">
            <w:pPr>
              <w:pStyle w:val="Summarytabletextrightaligned"/>
            </w:pPr>
            <w:r>
              <w:noBreakHyphen/>
            </w:r>
          </w:p>
        </w:tc>
      </w:tr>
      <w:tr w:rsidR="00B449D0" w14:paraId="73A82FF5" w14:textId="77777777" w:rsidTr="7F762F0D">
        <w:tc>
          <w:tcPr>
            <w:tcW w:w="3471" w:type="dxa"/>
            <w:vAlign w:val="bottom"/>
          </w:tcPr>
          <w:p w14:paraId="44A36F5D" w14:textId="77777777" w:rsidR="00B449D0" w:rsidRDefault="00175344">
            <w:pPr>
              <w:pStyle w:val="SummaryMeasureTitlewithTheme"/>
            </w:pPr>
            <w:r>
              <w:t>Ending Gender‑Based Violence – National Cabinet</w:t>
            </w:r>
          </w:p>
        </w:tc>
        <w:tc>
          <w:tcPr>
            <w:tcW w:w="850" w:type="dxa"/>
            <w:vAlign w:val="bottom"/>
          </w:tcPr>
          <w:p w14:paraId="4CF40A57" w14:textId="7F178344" w:rsidR="00B449D0" w:rsidRDefault="00076D78">
            <w:pPr>
              <w:pStyle w:val="Summarytabletextrightaligned"/>
            </w:pPr>
            <w:r>
              <w:noBreakHyphen/>
            </w:r>
          </w:p>
        </w:tc>
        <w:tc>
          <w:tcPr>
            <w:tcW w:w="850" w:type="dxa"/>
            <w:shd w:val="clear" w:color="auto" w:fill="E6F2FF"/>
            <w:vAlign w:val="bottom"/>
          </w:tcPr>
          <w:p w14:paraId="493D975A" w14:textId="77777777" w:rsidR="00B449D0" w:rsidRDefault="00175344">
            <w:pPr>
              <w:pStyle w:val="Summarytabletextrightaligned"/>
            </w:pPr>
            <w:r>
              <w:t>3.7</w:t>
            </w:r>
          </w:p>
        </w:tc>
        <w:tc>
          <w:tcPr>
            <w:tcW w:w="850" w:type="dxa"/>
            <w:vAlign w:val="bottom"/>
          </w:tcPr>
          <w:p w14:paraId="5AE4392D" w14:textId="77777777" w:rsidR="00B449D0" w:rsidRDefault="00175344">
            <w:pPr>
              <w:pStyle w:val="Summarytabletextrightaligned"/>
            </w:pPr>
            <w:r>
              <w:t>5.1</w:t>
            </w:r>
          </w:p>
        </w:tc>
        <w:tc>
          <w:tcPr>
            <w:tcW w:w="850" w:type="dxa"/>
            <w:vAlign w:val="bottom"/>
          </w:tcPr>
          <w:p w14:paraId="00725941" w14:textId="77777777" w:rsidR="00B449D0" w:rsidRDefault="00175344">
            <w:pPr>
              <w:pStyle w:val="Summarytabletextrightaligned"/>
            </w:pPr>
            <w:r>
              <w:t>8.6</w:t>
            </w:r>
          </w:p>
        </w:tc>
        <w:tc>
          <w:tcPr>
            <w:tcW w:w="850" w:type="dxa"/>
            <w:vAlign w:val="bottom"/>
          </w:tcPr>
          <w:p w14:paraId="3DD6C74A" w14:textId="77777777" w:rsidR="00B449D0" w:rsidRDefault="00175344">
            <w:pPr>
              <w:pStyle w:val="Summarytabletextrightaligned"/>
            </w:pPr>
            <w:r>
              <w:t>15.5</w:t>
            </w:r>
          </w:p>
        </w:tc>
      </w:tr>
      <w:tr w:rsidR="00B449D0" w14:paraId="56417B19" w14:textId="77777777" w:rsidTr="7F762F0D">
        <w:tc>
          <w:tcPr>
            <w:tcW w:w="3471" w:type="dxa"/>
            <w:vAlign w:val="bottom"/>
          </w:tcPr>
          <w:p w14:paraId="1644B9A6" w14:textId="77777777" w:rsidR="00B449D0" w:rsidRDefault="00175344">
            <w:pPr>
              <w:pStyle w:val="SummaryMeasureTitlewithTheme"/>
            </w:pPr>
            <w:r>
              <w:t>Government Response to the Disability Royal Commission</w:t>
            </w:r>
          </w:p>
        </w:tc>
        <w:tc>
          <w:tcPr>
            <w:tcW w:w="850" w:type="dxa"/>
            <w:vAlign w:val="bottom"/>
          </w:tcPr>
          <w:p w14:paraId="6592E1A8" w14:textId="44CC4DC2" w:rsidR="00B449D0" w:rsidRDefault="00076D78">
            <w:pPr>
              <w:pStyle w:val="Summarytabletextrightaligned"/>
            </w:pPr>
            <w:r>
              <w:noBreakHyphen/>
            </w:r>
          </w:p>
        </w:tc>
        <w:tc>
          <w:tcPr>
            <w:tcW w:w="850" w:type="dxa"/>
            <w:shd w:val="clear" w:color="auto" w:fill="E6F2FF"/>
            <w:vAlign w:val="bottom"/>
          </w:tcPr>
          <w:p w14:paraId="4EE7C764" w14:textId="7C725F0E" w:rsidR="00B449D0" w:rsidRDefault="00076D78">
            <w:pPr>
              <w:pStyle w:val="Summarytabletextrightaligned"/>
            </w:pPr>
            <w:r>
              <w:noBreakHyphen/>
            </w:r>
          </w:p>
        </w:tc>
        <w:tc>
          <w:tcPr>
            <w:tcW w:w="850" w:type="dxa"/>
            <w:vAlign w:val="bottom"/>
          </w:tcPr>
          <w:p w14:paraId="2CD92D9B" w14:textId="32A166FF" w:rsidR="00B449D0" w:rsidRDefault="00076D78">
            <w:pPr>
              <w:pStyle w:val="Summarytabletextrightaligned"/>
            </w:pPr>
            <w:r>
              <w:noBreakHyphen/>
            </w:r>
          </w:p>
        </w:tc>
        <w:tc>
          <w:tcPr>
            <w:tcW w:w="850" w:type="dxa"/>
            <w:vAlign w:val="bottom"/>
          </w:tcPr>
          <w:p w14:paraId="22B76AD4" w14:textId="10C30626" w:rsidR="00B449D0" w:rsidRDefault="00076D78">
            <w:pPr>
              <w:pStyle w:val="Summarytabletextrightaligned"/>
            </w:pPr>
            <w:r>
              <w:noBreakHyphen/>
            </w:r>
          </w:p>
        </w:tc>
        <w:tc>
          <w:tcPr>
            <w:tcW w:w="850" w:type="dxa"/>
            <w:vAlign w:val="bottom"/>
          </w:tcPr>
          <w:p w14:paraId="718A007C" w14:textId="487A980A" w:rsidR="00B449D0" w:rsidRDefault="00076D78">
            <w:pPr>
              <w:pStyle w:val="Summarytabletextrightaligned"/>
            </w:pPr>
            <w:r>
              <w:noBreakHyphen/>
            </w:r>
          </w:p>
        </w:tc>
      </w:tr>
      <w:tr w:rsidR="00B449D0" w14:paraId="2C2AEDF4" w14:textId="77777777" w:rsidTr="7F762F0D">
        <w:tc>
          <w:tcPr>
            <w:tcW w:w="3471" w:type="dxa"/>
            <w:vAlign w:val="bottom"/>
          </w:tcPr>
          <w:p w14:paraId="291C5735" w14:textId="77777777" w:rsidR="00B449D0" w:rsidRDefault="00175344">
            <w:pPr>
              <w:pStyle w:val="SummaryMeasureTitlewithTheme"/>
            </w:pPr>
            <w:r>
              <w:t>Housing Support</w:t>
            </w:r>
          </w:p>
        </w:tc>
        <w:tc>
          <w:tcPr>
            <w:tcW w:w="850" w:type="dxa"/>
            <w:vAlign w:val="bottom"/>
          </w:tcPr>
          <w:p w14:paraId="3F4A6006" w14:textId="60BFFAC0" w:rsidR="00B449D0" w:rsidRDefault="00076D78">
            <w:pPr>
              <w:pStyle w:val="Summarytabletextrightaligned"/>
            </w:pPr>
            <w:r>
              <w:noBreakHyphen/>
            </w:r>
          </w:p>
        </w:tc>
        <w:tc>
          <w:tcPr>
            <w:tcW w:w="850" w:type="dxa"/>
            <w:shd w:val="clear" w:color="auto" w:fill="E6F2FF"/>
            <w:vAlign w:val="bottom"/>
          </w:tcPr>
          <w:p w14:paraId="2352A2DE" w14:textId="631D5201" w:rsidR="00B449D0" w:rsidRDefault="00076D78">
            <w:pPr>
              <w:pStyle w:val="Summarytabletextrightaligned"/>
            </w:pPr>
            <w:r>
              <w:noBreakHyphen/>
            </w:r>
          </w:p>
        </w:tc>
        <w:tc>
          <w:tcPr>
            <w:tcW w:w="850" w:type="dxa"/>
            <w:vAlign w:val="bottom"/>
          </w:tcPr>
          <w:p w14:paraId="343EEC93" w14:textId="035FB2ED" w:rsidR="00B449D0" w:rsidRDefault="00076D78">
            <w:pPr>
              <w:pStyle w:val="Summarytabletextrightaligned"/>
            </w:pPr>
            <w:r>
              <w:noBreakHyphen/>
            </w:r>
          </w:p>
        </w:tc>
        <w:tc>
          <w:tcPr>
            <w:tcW w:w="850" w:type="dxa"/>
            <w:vAlign w:val="bottom"/>
          </w:tcPr>
          <w:p w14:paraId="6D0699A4" w14:textId="403500DD" w:rsidR="00B449D0" w:rsidRDefault="00076D78">
            <w:pPr>
              <w:pStyle w:val="Summarytabletextrightaligned"/>
            </w:pPr>
            <w:r>
              <w:noBreakHyphen/>
            </w:r>
          </w:p>
        </w:tc>
        <w:tc>
          <w:tcPr>
            <w:tcW w:w="850" w:type="dxa"/>
            <w:vAlign w:val="bottom"/>
          </w:tcPr>
          <w:p w14:paraId="31412B67" w14:textId="5A53DCB9" w:rsidR="00B449D0" w:rsidRDefault="00076D78">
            <w:pPr>
              <w:pStyle w:val="Summarytabletextrightaligned"/>
            </w:pPr>
            <w:r>
              <w:noBreakHyphen/>
            </w:r>
          </w:p>
        </w:tc>
      </w:tr>
      <w:tr w:rsidR="00B449D0" w14:paraId="1ADE3840" w14:textId="77777777" w:rsidTr="7F762F0D">
        <w:tc>
          <w:tcPr>
            <w:tcW w:w="3471" w:type="dxa"/>
            <w:vAlign w:val="bottom"/>
          </w:tcPr>
          <w:p w14:paraId="05F773D3" w14:textId="77777777" w:rsidR="00B449D0" w:rsidRDefault="00175344">
            <w:pPr>
              <w:pStyle w:val="SummaryMeasureTitlewithTheme"/>
            </w:pPr>
            <w:r>
              <w:t>Income Management – maintenance</w:t>
            </w:r>
          </w:p>
        </w:tc>
        <w:tc>
          <w:tcPr>
            <w:tcW w:w="850" w:type="dxa"/>
            <w:vAlign w:val="bottom"/>
          </w:tcPr>
          <w:p w14:paraId="01231264" w14:textId="7B349ABF" w:rsidR="00B449D0" w:rsidRDefault="00076D78">
            <w:pPr>
              <w:pStyle w:val="Summarytabletextrightaligned"/>
            </w:pPr>
            <w:r>
              <w:noBreakHyphen/>
            </w:r>
          </w:p>
        </w:tc>
        <w:tc>
          <w:tcPr>
            <w:tcW w:w="850" w:type="dxa"/>
            <w:shd w:val="clear" w:color="auto" w:fill="E6F2FF"/>
            <w:vAlign w:val="bottom"/>
          </w:tcPr>
          <w:p w14:paraId="3985244D" w14:textId="1FF4D2EE" w:rsidR="00B449D0" w:rsidRDefault="00076D78">
            <w:pPr>
              <w:pStyle w:val="Summarytabletextrightaligned"/>
            </w:pPr>
            <w:r>
              <w:noBreakHyphen/>
            </w:r>
          </w:p>
        </w:tc>
        <w:tc>
          <w:tcPr>
            <w:tcW w:w="850" w:type="dxa"/>
            <w:vAlign w:val="bottom"/>
          </w:tcPr>
          <w:p w14:paraId="43CE6AA0" w14:textId="31852950" w:rsidR="00B449D0" w:rsidRDefault="00076D78">
            <w:pPr>
              <w:pStyle w:val="Summarytabletextrightaligned"/>
            </w:pPr>
            <w:r>
              <w:noBreakHyphen/>
            </w:r>
          </w:p>
        </w:tc>
        <w:tc>
          <w:tcPr>
            <w:tcW w:w="850" w:type="dxa"/>
            <w:vAlign w:val="bottom"/>
          </w:tcPr>
          <w:p w14:paraId="60DD5A75" w14:textId="68C315FF" w:rsidR="00B449D0" w:rsidRDefault="00076D78">
            <w:pPr>
              <w:pStyle w:val="Summarytabletextrightaligned"/>
            </w:pPr>
            <w:r>
              <w:noBreakHyphen/>
            </w:r>
          </w:p>
        </w:tc>
        <w:tc>
          <w:tcPr>
            <w:tcW w:w="850" w:type="dxa"/>
            <w:vAlign w:val="bottom"/>
          </w:tcPr>
          <w:p w14:paraId="26E42EA5" w14:textId="0633AA6A" w:rsidR="00B449D0" w:rsidRDefault="00076D78">
            <w:pPr>
              <w:pStyle w:val="Summarytabletextrightaligned"/>
            </w:pPr>
            <w:r>
              <w:noBreakHyphen/>
            </w:r>
          </w:p>
        </w:tc>
      </w:tr>
      <w:tr w:rsidR="00B449D0" w14:paraId="769CE2CE" w14:textId="77777777" w:rsidTr="7F762F0D">
        <w:tc>
          <w:tcPr>
            <w:tcW w:w="3471" w:type="dxa"/>
            <w:vAlign w:val="bottom"/>
          </w:tcPr>
          <w:p w14:paraId="5A20AD97" w14:textId="6EC13FE1" w:rsidR="00B449D0" w:rsidRDefault="00175344">
            <w:pPr>
              <w:pStyle w:val="SummaryMeasureTitlewithTheme"/>
            </w:pPr>
            <w:r>
              <w:t xml:space="preserve">Legacy </w:t>
            </w:r>
            <w:r w:rsidR="002F3707">
              <w:t>S</w:t>
            </w:r>
            <w:r>
              <w:t xml:space="preserve">uperannuation </w:t>
            </w:r>
            <w:r w:rsidR="002F3707">
              <w:t>R</w:t>
            </w:r>
            <w:r>
              <w:t xml:space="preserve">etirement </w:t>
            </w:r>
            <w:r w:rsidR="002F3707">
              <w:t>P</w:t>
            </w:r>
            <w:r>
              <w:t xml:space="preserve">roduct </w:t>
            </w:r>
            <w:r w:rsidR="002F3707">
              <w:t>C</w:t>
            </w:r>
            <w:r>
              <w:t xml:space="preserve">onversions and </w:t>
            </w:r>
            <w:r w:rsidR="002F3707">
              <w:t>R</w:t>
            </w:r>
            <w:r>
              <w:t>eserves(b)</w:t>
            </w:r>
          </w:p>
        </w:tc>
        <w:tc>
          <w:tcPr>
            <w:tcW w:w="850" w:type="dxa"/>
            <w:vAlign w:val="bottom"/>
          </w:tcPr>
          <w:p w14:paraId="32B0587E" w14:textId="0D323FCC" w:rsidR="00B449D0" w:rsidRDefault="00076D78">
            <w:pPr>
              <w:pStyle w:val="Summarytabletextrightaligned"/>
            </w:pPr>
            <w:r>
              <w:noBreakHyphen/>
            </w:r>
          </w:p>
        </w:tc>
        <w:tc>
          <w:tcPr>
            <w:tcW w:w="850" w:type="dxa"/>
            <w:shd w:val="clear" w:color="auto" w:fill="E6F2FF"/>
            <w:vAlign w:val="bottom"/>
          </w:tcPr>
          <w:p w14:paraId="323F9D0F" w14:textId="77777777" w:rsidR="00B449D0" w:rsidRDefault="00175344">
            <w:pPr>
              <w:pStyle w:val="Summarytabletextrightaligned"/>
            </w:pPr>
            <w:r>
              <w:t>0.4</w:t>
            </w:r>
          </w:p>
        </w:tc>
        <w:tc>
          <w:tcPr>
            <w:tcW w:w="850" w:type="dxa"/>
            <w:vAlign w:val="bottom"/>
          </w:tcPr>
          <w:p w14:paraId="4D7926A2" w14:textId="77777777" w:rsidR="00B449D0" w:rsidRDefault="00175344">
            <w:pPr>
              <w:pStyle w:val="Summarytabletextrightaligned"/>
            </w:pPr>
            <w:r>
              <w:t>2.4</w:t>
            </w:r>
          </w:p>
        </w:tc>
        <w:tc>
          <w:tcPr>
            <w:tcW w:w="850" w:type="dxa"/>
            <w:vAlign w:val="bottom"/>
          </w:tcPr>
          <w:p w14:paraId="3BCBFB0E" w14:textId="77777777" w:rsidR="00B449D0" w:rsidRDefault="00175344">
            <w:pPr>
              <w:pStyle w:val="Summarytabletextrightaligned"/>
            </w:pPr>
            <w:r>
              <w:t>4.7</w:t>
            </w:r>
          </w:p>
        </w:tc>
        <w:tc>
          <w:tcPr>
            <w:tcW w:w="850" w:type="dxa"/>
            <w:vAlign w:val="bottom"/>
          </w:tcPr>
          <w:p w14:paraId="1B6B18A3" w14:textId="77777777" w:rsidR="00B449D0" w:rsidRDefault="00175344">
            <w:pPr>
              <w:pStyle w:val="Summarytabletextrightaligned"/>
            </w:pPr>
            <w:r>
              <w:t>7.1</w:t>
            </w:r>
          </w:p>
        </w:tc>
      </w:tr>
      <w:tr w:rsidR="00B449D0" w14:paraId="1177DDD3" w14:textId="77777777" w:rsidTr="7F762F0D">
        <w:tc>
          <w:tcPr>
            <w:tcW w:w="3471" w:type="dxa"/>
            <w:vAlign w:val="bottom"/>
          </w:tcPr>
          <w:p w14:paraId="7BB5DE83" w14:textId="77777777" w:rsidR="00B449D0" w:rsidRDefault="00175344">
            <w:pPr>
              <w:pStyle w:val="SummaryMeasureTitlewithTheme"/>
            </w:pPr>
            <w:r>
              <w:t>National Disability Insurance Scheme Reform(b)</w:t>
            </w:r>
          </w:p>
        </w:tc>
        <w:tc>
          <w:tcPr>
            <w:tcW w:w="850" w:type="dxa"/>
            <w:vAlign w:val="bottom"/>
          </w:tcPr>
          <w:p w14:paraId="0B26342A" w14:textId="5E0C9D46" w:rsidR="00B449D0" w:rsidRDefault="00076D78">
            <w:pPr>
              <w:pStyle w:val="Summarytabletextrightaligned"/>
            </w:pPr>
            <w:r>
              <w:noBreakHyphen/>
            </w:r>
          </w:p>
        </w:tc>
        <w:tc>
          <w:tcPr>
            <w:tcW w:w="850" w:type="dxa"/>
            <w:shd w:val="clear" w:color="auto" w:fill="E6F2FF"/>
            <w:vAlign w:val="bottom"/>
          </w:tcPr>
          <w:p w14:paraId="53ABEA60" w14:textId="3426AA6C" w:rsidR="00B449D0" w:rsidRDefault="00076D78">
            <w:pPr>
              <w:pStyle w:val="Summarytabletextrightaligned"/>
            </w:pPr>
            <w:r>
              <w:noBreakHyphen/>
            </w:r>
          </w:p>
        </w:tc>
        <w:tc>
          <w:tcPr>
            <w:tcW w:w="850" w:type="dxa"/>
            <w:vAlign w:val="bottom"/>
          </w:tcPr>
          <w:p w14:paraId="054B4AC8" w14:textId="77777777" w:rsidR="00B449D0" w:rsidRDefault="00175344">
            <w:pPr>
              <w:pStyle w:val="Summarytabletextrightaligned"/>
            </w:pPr>
            <w:r>
              <w:t>7.6</w:t>
            </w:r>
          </w:p>
        </w:tc>
        <w:tc>
          <w:tcPr>
            <w:tcW w:w="850" w:type="dxa"/>
            <w:vAlign w:val="bottom"/>
          </w:tcPr>
          <w:p w14:paraId="34808F55" w14:textId="1445F251" w:rsidR="00B449D0" w:rsidRDefault="00076D78">
            <w:pPr>
              <w:pStyle w:val="Summarytabletextrightaligned"/>
            </w:pPr>
            <w:r>
              <w:noBreakHyphen/>
            </w:r>
          </w:p>
        </w:tc>
        <w:tc>
          <w:tcPr>
            <w:tcW w:w="850" w:type="dxa"/>
            <w:vAlign w:val="bottom"/>
          </w:tcPr>
          <w:p w14:paraId="43077DF4" w14:textId="3E8E5B1A" w:rsidR="00B449D0" w:rsidRDefault="00076D78">
            <w:pPr>
              <w:pStyle w:val="Summarytabletextrightaligned"/>
            </w:pPr>
            <w:r>
              <w:noBreakHyphen/>
            </w:r>
          </w:p>
        </w:tc>
      </w:tr>
      <w:tr w:rsidR="00B449D0" w14:paraId="29FAB2E3" w14:textId="77777777" w:rsidTr="7F762F0D">
        <w:tc>
          <w:tcPr>
            <w:tcW w:w="3471" w:type="dxa"/>
            <w:vAlign w:val="bottom"/>
          </w:tcPr>
          <w:p w14:paraId="3E859582" w14:textId="77777777" w:rsidR="00B449D0" w:rsidRDefault="00175344">
            <w:pPr>
              <w:pStyle w:val="SummaryMeasureTitlewithTheme"/>
            </w:pPr>
            <w:r>
              <w:t>New Remote Employment Service</w:t>
            </w:r>
          </w:p>
        </w:tc>
        <w:tc>
          <w:tcPr>
            <w:tcW w:w="850" w:type="dxa"/>
            <w:vAlign w:val="bottom"/>
          </w:tcPr>
          <w:p w14:paraId="25C57C5D" w14:textId="05E39612" w:rsidR="00B449D0" w:rsidRDefault="00076D78">
            <w:pPr>
              <w:pStyle w:val="Summarytabletextrightaligned"/>
            </w:pPr>
            <w:r>
              <w:noBreakHyphen/>
            </w:r>
          </w:p>
        </w:tc>
        <w:tc>
          <w:tcPr>
            <w:tcW w:w="850" w:type="dxa"/>
            <w:shd w:val="clear" w:color="auto" w:fill="E6F2FF"/>
            <w:vAlign w:val="bottom"/>
          </w:tcPr>
          <w:p w14:paraId="2440B0FC" w14:textId="4718CC0F" w:rsidR="00B449D0" w:rsidRDefault="00076D78">
            <w:pPr>
              <w:pStyle w:val="Summarytabletextrightaligned"/>
            </w:pPr>
            <w:r>
              <w:noBreakHyphen/>
            </w:r>
          </w:p>
        </w:tc>
        <w:tc>
          <w:tcPr>
            <w:tcW w:w="850" w:type="dxa"/>
            <w:vAlign w:val="bottom"/>
          </w:tcPr>
          <w:p w14:paraId="60D28C09" w14:textId="77777777" w:rsidR="00B449D0" w:rsidRDefault="00175344">
            <w:pPr>
              <w:pStyle w:val="Summarytabletextrightaligned"/>
            </w:pPr>
            <w:r>
              <w:t>15.3</w:t>
            </w:r>
          </w:p>
        </w:tc>
        <w:tc>
          <w:tcPr>
            <w:tcW w:w="850" w:type="dxa"/>
            <w:vAlign w:val="bottom"/>
          </w:tcPr>
          <w:p w14:paraId="085322F8" w14:textId="77777777" w:rsidR="00B449D0" w:rsidRDefault="00175344">
            <w:pPr>
              <w:pStyle w:val="Summarytabletextrightaligned"/>
            </w:pPr>
            <w:r>
              <w:t>17.0</w:t>
            </w:r>
          </w:p>
        </w:tc>
        <w:tc>
          <w:tcPr>
            <w:tcW w:w="850" w:type="dxa"/>
            <w:vAlign w:val="bottom"/>
          </w:tcPr>
          <w:p w14:paraId="78713492" w14:textId="77777777" w:rsidR="00B449D0" w:rsidRDefault="00175344">
            <w:pPr>
              <w:pStyle w:val="Summarytabletextrightaligned"/>
            </w:pPr>
            <w:r>
              <w:t>2.6</w:t>
            </w:r>
          </w:p>
        </w:tc>
      </w:tr>
      <w:tr w:rsidR="00B449D0" w14:paraId="5B897FCA" w14:textId="77777777" w:rsidTr="7F762F0D">
        <w:tc>
          <w:tcPr>
            <w:tcW w:w="3471" w:type="dxa"/>
            <w:vAlign w:val="bottom"/>
          </w:tcPr>
          <w:p w14:paraId="11AD6D08" w14:textId="77777777" w:rsidR="00B449D0" w:rsidRDefault="00175344">
            <w:pPr>
              <w:pStyle w:val="SummaryMeasureTitlewithTheme"/>
            </w:pPr>
            <w:r>
              <w:t>Partnering with Communities for Change</w:t>
            </w:r>
          </w:p>
        </w:tc>
        <w:tc>
          <w:tcPr>
            <w:tcW w:w="850" w:type="dxa"/>
            <w:vAlign w:val="bottom"/>
          </w:tcPr>
          <w:p w14:paraId="453C9915" w14:textId="00D17B68" w:rsidR="00B449D0" w:rsidRDefault="00076D78">
            <w:pPr>
              <w:pStyle w:val="Summarytabletextrightaligned"/>
            </w:pPr>
            <w:r>
              <w:noBreakHyphen/>
            </w:r>
          </w:p>
        </w:tc>
        <w:tc>
          <w:tcPr>
            <w:tcW w:w="850" w:type="dxa"/>
            <w:shd w:val="clear" w:color="auto" w:fill="E6F2FF"/>
            <w:vAlign w:val="bottom"/>
          </w:tcPr>
          <w:p w14:paraId="40C997EA" w14:textId="77777777" w:rsidR="00B449D0" w:rsidRDefault="00175344">
            <w:pPr>
              <w:pStyle w:val="Summarytabletextrightaligned"/>
            </w:pPr>
            <w:r>
              <w:t>2.5</w:t>
            </w:r>
          </w:p>
        </w:tc>
        <w:tc>
          <w:tcPr>
            <w:tcW w:w="850" w:type="dxa"/>
            <w:vAlign w:val="bottom"/>
          </w:tcPr>
          <w:p w14:paraId="10D5CB52" w14:textId="77777777" w:rsidR="00B449D0" w:rsidRDefault="00175344">
            <w:pPr>
              <w:pStyle w:val="Summarytabletextrightaligned"/>
            </w:pPr>
            <w:r>
              <w:t>2.8</w:t>
            </w:r>
          </w:p>
        </w:tc>
        <w:tc>
          <w:tcPr>
            <w:tcW w:w="850" w:type="dxa"/>
            <w:vAlign w:val="bottom"/>
          </w:tcPr>
          <w:p w14:paraId="74E5BE0F" w14:textId="77777777" w:rsidR="00B449D0" w:rsidRDefault="00175344">
            <w:pPr>
              <w:pStyle w:val="Summarytabletextrightaligned"/>
            </w:pPr>
            <w:r>
              <w:t>0.6</w:t>
            </w:r>
          </w:p>
        </w:tc>
        <w:tc>
          <w:tcPr>
            <w:tcW w:w="850" w:type="dxa"/>
            <w:vAlign w:val="bottom"/>
          </w:tcPr>
          <w:p w14:paraId="2CB94B46" w14:textId="3767DA11" w:rsidR="00B449D0" w:rsidRDefault="00076D78">
            <w:pPr>
              <w:pStyle w:val="Summarytabletextrightaligned"/>
            </w:pPr>
            <w:r>
              <w:noBreakHyphen/>
            </w:r>
          </w:p>
        </w:tc>
      </w:tr>
      <w:tr w:rsidR="00B449D0" w14:paraId="0ABA2737" w14:textId="77777777" w:rsidTr="7F762F0D">
        <w:tc>
          <w:tcPr>
            <w:tcW w:w="3471" w:type="dxa"/>
            <w:vAlign w:val="bottom"/>
          </w:tcPr>
          <w:p w14:paraId="44F84D89" w14:textId="77777777" w:rsidR="00B449D0" w:rsidRDefault="00175344">
            <w:pPr>
              <w:pStyle w:val="SummaryMeasureTitlewithTheme"/>
            </w:pPr>
            <w:r>
              <w:t>Strengthening Medicare</w:t>
            </w:r>
          </w:p>
        </w:tc>
        <w:tc>
          <w:tcPr>
            <w:tcW w:w="850" w:type="dxa"/>
            <w:vAlign w:val="bottom"/>
          </w:tcPr>
          <w:p w14:paraId="04C362DB" w14:textId="08FB3D83" w:rsidR="00B449D0" w:rsidRDefault="00076D78">
            <w:pPr>
              <w:pStyle w:val="Summarytabletextrightaligned"/>
            </w:pPr>
            <w:r>
              <w:noBreakHyphen/>
            </w:r>
          </w:p>
        </w:tc>
        <w:tc>
          <w:tcPr>
            <w:tcW w:w="850" w:type="dxa"/>
            <w:shd w:val="clear" w:color="auto" w:fill="E6F2FF"/>
            <w:vAlign w:val="bottom"/>
          </w:tcPr>
          <w:p w14:paraId="56B4161E" w14:textId="4E286A50" w:rsidR="00B449D0" w:rsidRDefault="00076D78">
            <w:pPr>
              <w:pStyle w:val="Summarytabletextrightaligned"/>
            </w:pPr>
            <w:r>
              <w:noBreakHyphen/>
            </w:r>
          </w:p>
        </w:tc>
        <w:tc>
          <w:tcPr>
            <w:tcW w:w="850" w:type="dxa"/>
            <w:vAlign w:val="bottom"/>
          </w:tcPr>
          <w:p w14:paraId="55C15D55" w14:textId="77777777" w:rsidR="00B449D0" w:rsidRDefault="00175344">
            <w:pPr>
              <w:pStyle w:val="Summarytabletextrightaligned"/>
            </w:pPr>
            <w:r>
              <w:t>8.5</w:t>
            </w:r>
          </w:p>
        </w:tc>
        <w:tc>
          <w:tcPr>
            <w:tcW w:w="850" w:type="dxa"/>
            <w:vAlign w:val="bottom"/>
          </w:tcPr>
          <w:p w14:paraId="762656F3" w14:textId="77777777" w:rsidR="00B449D0" w:rsidRDefault="00175344">
            <w:pPr>
              <w:pStyle w:val="Summarytabletextrightaligned"/>
            </w:pPr>
            <w:r>
              <w:t>8.7</w:t>
            </w:r>
          </w:p>
        </w:tc>
        <w:tc>
          <w:tcPr>
            <w:tcW w:w="850" w:type="dxa"/>
            <w:vAlign w:val="bottom"/>
          </w:tcPr>
          <w:p w14:paraId="37E296A6" w14:textId="6F074FCB" w:rsidR="00B449D0" w:rsidRDefault="00076D78">
            <w:pPr>
              <w:pStyle w:val="Summarytabletextrightaligned"/>
            </w:pPr>
            <w:r>
              <w:noBreakHyphen/>
            </w:r>
          </w:p>
        </w:tc>
      </w:tr>
    </w:tbl>
    <w:p w14:paraId="227F1258" w14:textId="77777777" w:rsidR="00301E48" w:rsidRDefault="00301E48" w:rsidP="002C36E4">
      <w:pPr>
        <w:pStyle w:val="SingleParagraph0"/>
        <w:sectPr w:rsidR="00301E48" w:rsidSect="00301E48">
          <w:pgSz w:w="11906" w:h="16838"/>
          <w:pgMar w:top="2835" w:right="2098" w:bottom="2466" w:left="2098" w:header="1814" w:footer="1814" w:gutter="0"/>
          <w:cols w:space="720"/>
          <w:docGrid w:linePitch="272"/>
        </w:sectPr>
      </w:pPr>
    </w:p>
    <w:p w14:paraId="7FEF77A2" w14:textId="42DA1498" w:rsidR="00301E48" w:rsidRDefault="00301E48" w:rsidP="00301E48">
      <w:pPr>
        <w:pStyle w:val="TableHeadingcontinued"/>
      </w:pPr>
      <w:r>
        <w:lastRenderedPageBreak/>
        <w:t xml:space="preserve">Table </w:t>
      </w:r>
      <w:r w:rsidR="006E0A94">
        <w:t>A.</w:t>
      </w:r>
      <w:r>
        <w:t>2: Payment measures since the 2024–25 Budget</w:t>
      </w:r>
      <w:r>
        <w:rPr>
          <w:rFonts w:ascii="Cambria Math" w:hAnsi="Cambria Math" w:cs="Cambria Math"/>
        </w:rPr>
        <w:t>⁽</w:t>
      </w:r>
      <w:r>
        <w:rPr>
          <w:rFonts w:cs="Arial"/>
        </w:rPr>
        <w:t>ª</w:t>
      </w:r>
      <w:r>
        <w:rPr>
          <w:rFonts w:ascii="Cambria Math" w:hAnsi="Cambria Math" w:cs="Cambria Math"/>
        </w:rPr>
        <w:t>⁾</w:t>
      </w:r>
      <w:r>
        <w:t xml:space="preserve"> (continued)</w:t>
      </w:r>
    </w:p>
    <w:tbl>
      <w:tblPr>
        <w:tblOverlap w:val="never"/>
        <w:tblW w:w="7721" w:type="dxa"/>
        <w:tblBorders>
          <w:top w:val="single" w:sz="4" w:space="0" w:color="000000"/>
          <w:bottom w:val="single" w:sz="4" w:space="0" w:color="000000"/>
        </w:tblBorders>
        <w:tblLayout w:type="fixed"/>
        <w:tblCellMar>
          <w:left w:w="0" w:type="dxa"/>
          <w:right w:w="56" w:type="dxa"/>
        </w:tblCellMar>
        <w:tblLook w:val="04A0" w:firstRow="1" w:lastRow="0" w:firstColumn="1" w:lastColumn="0" w:noHBand="0" w:noVBand="1"/>
      </w:tblPr>
      <w:tblGrid>
        <w:gridCol w:w="3471"/>
        <w:gridCol w:w="850"/>
        <w:gridCol w:w="850"/>
        <w:gridCol w:w="850"/>
        <w:gridCol w:w="850"/>
        <w:gridCol w:w="850"/>
      </w:tblGrid>
      <w:tr w:rsidR="00301E48" w14:paraId="277AB930" w14:textId="77777777" w:rsidTr="7F762F0D">
        <w:tc>
          <w:tcPr>
            <w:tcW w:w="3471" w:type="dxa"/>
            <w:vAlign w:val="bottom"/>
          </w:tcPr>
          <w:p w14:paraId="20CD6E80" w14:textId="77777777" w:rsidR="00301E48" w:rsidRDefault="00301E48" w:rsidP="00301E48"/>
        </w:tc>
        <w:tc>
          <w:tcPr>
            <w:tcW w:w="850" w:type="dxa"/>
            <w:tcBorders>
              <w:bottom w:val="nil"/>
            </w:tcBorders>
          </w:tcPr>
          <w:p w14:paraId="0414E6AA" w14:textId="6A76D53C" w:rsidR="00301E48" w:rsidRDefault="00301E48" w:rsidP="00301E48">
            <w:pPr>
              <w:pStyle w:val="Summarytabletextrightaligned"/>
            </w:pPr>
            <w:r>
              <w:t>2023</w:t>
            </w:r>
            <w:r w:rsidR="00076D78">
              <w:noBreakHyphen/>
            </w:r>
            <w:r>
              <w:t>24</w:t>
            </w:r>
          </w:p>
        </w:tc>
        <w:tc>
          <w:tcPr>
            <w:tcW w:w="850" w:type="dxa"/>
            <w:tcBorders>
              <w:bottom w:val="nil"/>
            </w:tcBorders>
            <w:shd w:val="clear" w:color="auto" w:fill="E6F2FF"/>
          </w:tcPr>
          <w:p w14:paraId="30E1CA25" w14:textId="71A007F0" w:rsidR="00301E48" w:rsidRDefault="00301E48" w:rsidP="00301E48">
            <w:pPr>
              <w:pStyle w:val="Summarytabletextrightaligned"/>
            </w:pPr>
            <w:r>
              <w:t>2024</w:t>
            </w:r>
            <w:r w:rsidR="00076D78">
              <w:noBreakHyphen/>
            </w:r>
            <w:r>
              <w:t>25</w:t>
            </w:r>
          </w:p>
        </w:tc>
        <w:tc>
          <w:tcPr>
            <w:tcW w:w="850" w:type="dxa"/>
            <w:tcBorders>
              <w:bottom w:val="nil"/>
            </w:tcBorders>
          </w:tcPr>
          <w:p w14:paraId="6114C4BB" w14:textId="555A4855" w:rsidR="00301E48" w:rsidRDefault="00301E48" w:rsidP="00301E48">
            <w:pPr>
              <w:pStyle w:val="Summarytabletextrightaligned"/>
            </w:pPr>
            <w:r>
              <w:t>2025</w:t>
            </w:r>
            <w:r w:rsidR="00076D78">
              <w:noBreakHyphen/>
            </w:r>
            <w:r>
              <w:t>26</w:t>
            </w:r>
          </w:p>
        </w:tc>
        <w:tc>
          <w:tcPr>
            <w:tcW w:w="850" w:type="dxa"/>
            <w:tcBorders>
              <w:bottom w:val="nil"/>
            </w:tcBorders>
          </w:tcPr>
          <w:p w14:paraId="74CC2B39" w14:textId="24F8B10A" w:rsidR="00301E48" w:rsidRDefault="00301E48" w:rsidP="00301E48">
            <w:pPr>
              <w:pStyle w:val="Summarytabletextrightaligned"/>
            </w:pPr>
            <w:r>
              <w:t>2026</w:t>
            </w:r>
            <w:r w:rsidR="00076D78">
              <w:noBreakHyphen/>
            </w:r>
            <w:r>
              <w:t>27</w:t>
            </w:r>
          </w:p>
        </w:tc>
        <w:tc>
          <w:tcPr>
            <w:tcW w:w="850" w:type="dxa"/>
            <w:tcBorders>
              <w:bottom w:val="nil"/>
            </w:tcBorders>
          </w:tcPr>
          <w:p w14:paraId="57A31C1F" w14:textId="407B6D24" w:rsidR="00301E48" w:rsidRDefault="00301E48" w:rsidP="00301E48">
            <w:pPr>
              <w:pStyle w:val="Summarytabletextrightaligned"/>
            </w:pPr>
            <w:r>
              <w:t>2027</w:t>
            </w:r>
            <w:r w:rsidR="00076D78">
              <w:noBreakHyphen/>
            </w:r>
            <w:r>
              <w:t>28</w:t>
            </w:r>
          </w:p>
        </w:tc>
      </w:tr>
      <w:tr w:rsidR="00301E48" w14:paraId="4855F9D3" w14:textId="77777777" w:rsidTr="7F762F0D">
        <w:tc>
          <w:tcPr>
            <w:tcW w:w="3471" w:type="dxa"/>
            <w:vAlign w:val="bottom"/>
          </w:tcPr>
          <w:p w14:paraId="2A1F3DCE" w14:textId="77777777" w:rsidR="00301E48" w:rsidRDefault="00301E48" w:rsidP="00301E48"/>
        </w:tc>
        <w:tc>
          <w:tcPr>
            <w:tcW w:w="850" w:type="dxa"/>
            <w:tcBorders>
              <w:top w:val="nil"/>
              <w:bottom w:val="single" w:sz="4" w:space="0" w:color="auto"/>
            </w:tcBorders>
            <w:shd w:val="clear" w:color="auto" w:fill="auto"/>
          </w:tcPr>
          <w:p w14:paraId="0B92D9BC" w14:textId="77777777" w:rsidR="00301E48" w:rsidRDefault="00301E48" w:rsidP="00301E48">
            <w:pPr>
              <w:pStyle w:val="Summarytabletextrightaligned"/>
            </w:pPr>
            <w:r>
              <w:t>$m</w:t>
            </w:r>
          </w:p>
        </w:tc>
        <w:tc>
          <w:tcPr>
            <w:tcW w:w="850" w:type="dxa"/>
            <w:tcBorders>
              <w:top w:val="nil"/>
              <w:bottom w:val="single" w:sz="4" w:space="0" w:color="auto"/>
            </w:tcBorders>
            <w:shd w:val="clear" w:color="auto" w:fill="E6F2FF"/>
          </w:tcPr>
          <w:p w14:paraId="1BB7C93B" w14:textId="77777777" w:rsidR="00301E48" w:rsidRDefault="00301E48" w:rsidP="00301E48">
            <w:pPr>
              <w:pStyle w:val="Summarytabletextrightaligned"/>
            </w:pPr>
            <w:r>
              <w:t>$m</w:t>
            </w:r>
          </w:p>
        </w:tc>
        <w:tc>
          <w:tcPr>
            <w:tcW w:w="850" w:type="dxa"/>
            <w:tcBorders>
              <w:top w:val="nil"/>
              <w:bottom w:val="single" w:sz="4" w:space="0" w:color="auto"/>
            </w:tcBorders>
            <w:shd w:val="clear" w:color="auto" w:fill="auto"/>
          </w:tcPr>
          <w:p w14:paraId="74AF9E4B" w14:textId="77777777" w:rsidR="00301E48" w:rsidRDefault="00301E48" w:rsidP="00301E48">
            <w:pPr>
              <w:pStyle w:val="Summarytabletextrightaligned"/>
            </w:pPr>
            <w:r>
              <w:t>$m</w:t>
            </w:r>
          </w:p>
        </w:tc>
        <w:tc>
          <w:tcPr>
            <w:tcW w:w="850" w:type="dxa"/>
            <w:tcBorders>
              <w:top w:val="nil"/>
              <w:bottom w:val="single" w:sz="4" w:space="0" w:color="auto"/>
            </w:tcBorders>
            <w:shd w:val="clear" w:color="auto" w:fill="auto"/>
          </w:tcPr>
          <w:p w14:paraId="1058967D" w14:textId="77777777" w:rsidR="00301E48" w:rsidRDefault="00301E48" w:rsidP="00301E48">
            <w:pPr>
              <w:pStyle w:val="Summarytabletextrightaligned"/>
            </w:pPr>
            <w:r>
              <w:t>$m</w:t>
            </w:r>
          </w:p>
        </w:tc>
        <w:tc>
          <w:tcPr>
            <w:tcW w:w="850" w:type="dxa"/>
            <w:tcBorders>
              <w:top w:val="nil"/>
              <w:bottom w:val="single" w:sz="4" w:space="0" w:color="auto"/>
            </w:tcBorders>
            <w:shd w:val="clear" w:color="auto" w:fill="auto"/>
          </w:tcPr>
          <w:p w14:paraId="3191FAF9" w14:textId="77777777" w:rsidR="00301E48" w:rsidRDefault="00301E48" w:rsidP="00301E48">
            <w:pPr>
              <w:pStyle w:val="Summarytabletextrightaligned"/>
            </w:pPr>
            <w:r>
              <w:t>$m</w:t>
            </w:r>
          </w:p>
        </w:tc>
      </w:tr>
      <w:tr w:rsidR="00301E48" w14:paraId="7A46818C" w14:textId="77777777" w:rsidTr="7F762F0D">
        <w:tc>
          <w:tcPr>
            <w:tcW w:w="3471" w:type="dxa"/>
            <w:tcBorders>
              <w:bottom w:val="nil"/>
            </w:tcBorders>
            <w:vAlign w:val="bottom"/>
          </w:tcPr>
          <w:p w14:paraId="255DE58D" w14:textId="77777777" w:rsidR="00301E48" w:rsidRPr="00301E48" w:rsidRDefault="00301E48" w:rsidP="00301E48">
            <w:pPr>
              <w:pStyle w:val="SummaryMeasureTitlewithTheme"/>
              <w:rPr>
                <w:b/>
              </w:rPr>
            </w:pPr>
            <w:r w:rsidRPr="00301E48">
              <w:rPr>
                <w:b/>
              </w:rPr>
              <w:t>SOCIAL SERVICES (continued)</w:t>
            </w:r>
          </w:p>
        </w:tc>
        <w:tc>
          <w:tcPr>
            <w:tcW w:w="850" w:type="dxa"/>
            <w:tcBorders>
              <w:top w:val="single" w:sz="4" w:space="0" w:color="auto"/>
              <w:bottom w:val="nil"/>
            </w:tcBorders>
          </w:tcPr>
          <w:p w14:paraId="1E3C1A28" w14:textId="77777777" w:rsidR="00301E48" w:rsidRDefault="00301E48">
            <w:pPr>
              <w:pStyle w:val="SummaryAgencyTitle-BP2"/>
            </w:pPr>
          </w:p>
        </w:tc>
        <w:tc>
          <w:tcPr>
            <w:tcW w:w="850" w:type="dxa"/>
            <w:tcBorders>
              <w:top w:val="single" w:sz="4" w:space="0" w:color="auto"/>
              <w:bottom w:val="nil"/>
            </w:tcBorders>
            <w:shd w:val="clear" w:color="auto" w:fill="E6F2FF"/>
          </w:tcPr>
          <w:p w14:paraId="02C43266" w14:textId="77777777" w:rsidR="00301E48" w:rsidRDefault="00301E48">
            <w:pPr>
              <w:pStyle w:val="SummaryAgencyTitle-BP2"/>
            </w:pPr>
          </w:p>
        </w:tc>
        <w:tc>
          <w:tcPr>
            <w:tcW w:w="850" w:type="dxa"/>
            <w:tcBorders>
              <w:top w:val="single" w:sz="4" w:space="0" w:color="auto"/>
              <w:bottom w:val="nil"/>
            </w:tcBorders>
          </w:tcPr>
          <w:p w14:paraId="3BCE1992" w14:textId="77777777" w:rsidR="00301E48" w:rsidRDefault="00301E48">
            <w:pPr>
              <w:pStyle w:val="SummaryAgencyTitle-BP2"/>
            </w:pPr>
          </w:p>
        </w:tc>
        <w:tc>
          <w:tcPr>
            <w:tcW w:w="850" w:type="dxa"/>
            <w:tcBorders>
              <w:top w:val="single" w:sz="4" w:space="0" w:color="auto"/>
              <w:bottom w:val="nil"/>
            </w:tcBorders>
          </w:tcPr>
          <w:p w14:paraId="6CB7B774" w14:textId="77777777" w:rsidR="00301E48" w:rsidRDefault="00301E48">
            <w:pPr>
              <w:pStyle w:val="SummaryAgencyTitle-BP2"/>
            </w:pPr>
          </w:p>
        </w:tc>
        <w:tc>
          <w:tcPr>
            <w:tcW w:w="850" w:type="dxa"/>
            <w:tcBorders>
              <w:top w:val="single" w:sz="4" w:space="0" w:color="auto"/>
              <w:bottom w:val="nil"/>
            </w:tcBorders>
          </w:tcPr>
          <w:p w14:paraId="5F05BD92" w14:textId="77777777" w:rsidR="00301E48" w:rsidRDefault="00301E48">
            <w:pPr>
              <w:pStyle w:val="SummaryAgencyTitle-BP2"/>
            </w:pPr>
          </w:p>
        </w:tc>
      </w:tr>
      <w:tr w:rsidR="00B449D0" w14:paraId="47B5A898" w14:textId="77777777" w:rsidTr="7F762F0D">
        <w:tc>
          <w:tcPr>
            <w:tcW w:w="3471" w:type="dxa"/>
            <w:tcBorders>
              <w:top w:val="nil"/>
            </w:tcBorders>
            <w:vAlign w:val="bottom"/>
          </w:tcPr>
          <w:p w14:paraId="7DE4CD32" w14:textId="77777777" w:rsidR="00B449D0" w:rsidRDefault="00175344">
            <w:pPr>
              <w:pStyle w:val="SummaryAgencyTitle-BP2"/>
            </w:pPr>
            <w:r>
              <w:t>National Disability Insurance Agency</w:t>
            </w:r>
          </w:p>
        </w:tc>
        <w:tc>
          <w:tcPr>
            <w:tcW w:w="850" w:type="dxa"/>
            <w:tcBorders>
              <w:top w:val="nil"/>
            </w:tcBorders>
          </w:tcPr>
          <w:p w14:paraId="4DA0E263" w14:textId="77777777" w:rsidR="00B449D0" w:rsidRDefault="00B449D0">
            <w:pPr>
              <w:pStyle w:val="SummaryAgencyTitle-BP2"/>
            </w:pPr>
          </w:p>
        </w:tc>
        <w:tc>
          <w:tcPr>
            <w:tcW w:w="850" w:type="dxa"/>
            <w:tcBorders>
              <w:top w:val="nil"/>
            </w:tcBorders>
            <w:shd w:val="clear" w:color="auto" w:fill="E6F2FF"/>
          </w:tcPr>
          <w:p w14:paraId="3019C71C" w14:textId="77777777" w:rsidR="00B449D0" w:rsidRDefault="00B449D0">
            <w:pPr>
              <w:pStyle w:val="SummaryAgencyTitle-BP2"/>
            </w:pPr>
          </w:p>
        </w:tc>
        <w:tc>
          <w:tcPr>
            <w:tcW w:w="850" w:type="dxa"/>
            <w:tcBorders>
              <w:top w:val="nil"/>
            </w:tcBorders>
          </w:tcPr>
          <w:p w14:paraId="67F83A29" w14:textId="77777777" w:rsidR="00B449D0" w:rsidRDefault="00B449D0">
            <w:pPr>
              <w:pStyle w:val="SummaryAgencyTitle-BP2"/>
            </w:pPr>
          </w:p>
        </w:tc>
        <w:tc>
          <w:tcPr>
            <w:tcW w:w="850" w:type="dxa"/>
            <w:tcBorders>
              <w:top w:val="nil"/>
            </w:tcBorders>
          </w:tcPr>
          <w:p w14:paraId="38DC318E" w14:textId="77777777" w:rsidR="00B449D0" w:rsidRDefault="00B449D0">
            <w:pPr>
              <w:pStyle w:val="SummaryAgencyTitle-BP2"/>
            </w:pPr>
          </w:p>
        </w:tc>
        <w:tc>
          <w:tcPr>
            <w:tcW w:w="850" w:type="dxa"/>
            <w:tcBorders>
              <w:top w:val="nil"/>
            </w:tcBorders>
          </w:tcPr>
          <w:p w14:paraId="7265D552" w14:textId="77777777" w:rsidR="00B449D0" w:rsidRDefault="00B449D0">
            <w:pPr>
              <w:pStyle w:val="SummaryAgencyTitle-BP2"/>
            </w:pPr>
          </w:p>
        </w:tc>
      </w:tr>
      <w:tr w:rsidR="00B449D0" w14:paraId="11BAB8DC" w14:textId="77777777" w:rsidTr="7F762F0D">
        <w:tc>
          <w:tcPr>
            <w:tcW w:w="3471" w:type="dxa"/>
            <w:vAlign w:val="bottom"/>
          </w:tcPr>
          <w:p w14:paraId="1F11A829" w14:textId="77777777" w:rsidR="00B449D0" w:rsidRDefault="00175344">
            <w:pPr>
              <w:pStyle w:val="SummaryMeasureTitlewithTheme"/>
            </w:pPr>
            <w:r>
              <w:t>Assistance for Recent Arrivals from Conflict Zones(b)</w:t>
            </w:r>
          </w:p>
        </w:tc>
        <w:tc>
          <w:tcPr>
            <w:tcW w:w="850" w:type="dxa"/>
            <w:vAlign w:val="bottom"/>
          </w:tcPr>
          <w:p w14:paraId="036CF7AD" w14:textId="36D101CA" w:rsidR="00B449D0" w:rsidRDefault="00076D78">
            <w:pPr>
              <w:pStyle w:val="Summarytabletextrightaligned"/>
            </w:pPr>
            <w:r>
              <w:noBreakHyphen/>
            </w:r>
          </w:p>
        </w:tc>
        <w:tc>
          <w:tcPr>
            <w:tcW w:w="850" w:type="dxa"/>
            <w:shd w:val="clear" w:color="auto" w:fill="E6F2FF"/>
            <w:vAlign w:val="bottom"/>
          </w:tcPr>
          <w:p w14:paraId="066665F8" w14:textId="77777777" w:rsidR="00B449D0" w:rsidRDefault="00175344">
            <w:pPr>
              <w:pStyle w:val="Summarytabletextrightaligned"/>
            </w:pPr>
            <w:r>
              <w:t>0.3</w:t>
            </w:r>
          </w:p>
        </w:tc>
        <w:tc>
          <w:tcPr>
            <w:tcW w:w="850" w:type="dxa"/>
            <w:vAlign w:val="bottom"/>
          </w:tcPr>
          <w:p w14:paraId="21627E76" w14:textId="77777777" w:rsidR="00B449D0" w:rsidRDefault="00175344">
            <w:pPr>
              <w:pStyle w:val="Summarytabletextrightaligned"/>
            </w:pPr>
            <w:r>
              <w:t>3.9</w:t>
            </w:r>
          </w:p>
        </w:tc>
        <w:tc>
          <w:tcPr>
            <w:tcW w:w="850" w:type="dxa"/>
            <w:vAlign w:val="bottom"/>
          </w:tcPr>
          <w:p w14:paraId="5A9A4484" w14:textId="77777777" w:rsidR="00B449D0" w:rsidRDefault="00175344">
            <w:pPr>
              <w:pStyle w:val="Summarytabletextrightaligned"/>
            </w:pPr>
            <w:r>
              <w:t>4.4</w:t>
            </w:r>
          </w:p>
        </w:tc>
        <w:tc>
          <w:tcPr>
            <w:tcW w:w="850" w:type="dxa"/>
            <w:vAlign w:val="bottom"/>
          </w:tcPr>
          <w:p w14:paraId="6B435903" w14:textId="77777777" w:rsidR="00B449D0" w:rsidRDefault="00175344">
            <w:pPr>
              <w:pStyle w:val="Summarytabletextrightaligned"/>
            </w:pPr>
            <w:r>
              <w:t>4.6</w:t>
            </w:r>
          </w:p>
        </w:tc>
      </w:tr>
      <w:tr w:rsidR="00B449D0" w14:paraId="0B962E57" w14:textId="77777777" w:rsidTr="7F762F0D">
        <w:tc>
          <w:tcPr>
            <w:tcW w:w="3471" w:type="dxa"/>
            <w:vAlign w:val="bottom"/>
          </w:tcPr>
          <w:p w14:paraId="435291A2" w14:textId="77777777" w:rsidR="00B449D0" w:rsidRDefault="00175344">
            <w:pPr>
              <w:pStyle w:val="SummaryMeasureTitlewithTheme"/>
            </w:pPr>
            <w:r>
              <w:t>Government Response to the Disability Royal Commission</w:t>
            </w:r>
          </w:p>
        </w:tc>
        <w:tc>
          <w:tcPr>
            <w:tcW w:w="850" w:type="dxa"/>
            <w:vAlign w:val="bottom"/>
          </w:tcPr>
          <w:p w14:paraId="51A9D927" w14:textId="756FFC8D" w:rsidR="00B449D0" w:rsidRDefault="00076D78">
            <w:pPr>
              <w:pStyle w:val="Summarytabletextrightaligned"/>
            </w:pPr>
            <w:r>
              <w:noBreakHyphen/>
            </w:r>
          </w:p>
        </w:tc>
        <w:tc>
          <w:tcPr>
            <w:tcW w:w="850" w:type="dxa"/>
            <w:shd w:val="clear" w:color="auto" w:fill="E6F2FF"/>
            <w:vAlign w:val="bottom"/>
          </w:tcPr>
          <w:p w14:paraId="7BFC9D2F" w14:textId="6BEC5128" w:rsidR="00B449D0" w:rsidRDefault="00076D78">
            <w:pPr>
              <w:pStyle w:val="Summarytabletextrightaligned"/>
            </w:pPr>
            <w:r>
              <w:noBreakHyphen/>
            </w:r>
          </w:p>
        </w:tc>
        <w:tc>
          <w:tcPr>
            <w:tcW w:w="850" w:type="dxa"/>
            <w:vAlign w:val="bottom"/>
          </w:tcPr>
          <w:p w14:paraId="2527031F" w14:textId="61227642" w:rsidR="00B449D0" w:rsidRDefault="00076D78">
            <w:pPr>
              <w:pStyle w:val="Summarytabletextrightaligned"/>
            </w:pPr>
            <w:r>
              <w:noBreakHyphen/>
            </w:r>
          </w:p>
        </w:tc>
        <w:tc>
          <w:tcPr>
            <w:tcW w:w="850" w:type="dxa"/>
            <w:vAlign w:val="bottom"/>
          </w:tcPr>
          <w:p w14:paraId="64AF773A" w14:textId="14F96C73" w:rsidR="00B449D0" w:rsidRDefault="00076D78">
            <w:pPr>
              <w:pStyle w:val="Summarytabletextrightaligned"/>
            </w:pPr>
            <w:r>
              <w:noBreakHyphen/>
            </w:r>
          </w:p>
        </w:tc>
        <w:tc>
          <w:tcPr>
            <w:tcW w:w="850" w:type="dxa"/>
            <w:vAlign w:val="bottom"/>
          </w:tcPr>
          <w:p w14:paraId="3A7DEA66" w14:textId="18BA1181" w:rsidR="00B449D0" w:rsidRDefault="00076D78">
            <w:pPr>
              <w:pStyle w:val="Summarytabletextrightaligned"/>
            </w:pPr>
            <w:r>
              <w:noBreakHyphen/>
            </w:r>
          </w:p>
        </w:tc>
      </w:tr>
      <w:tr w:rsidR="00B449D0" w14:paraId="33DAFB81" w14:textId="77777777" w:rsidTr="7F762F0D">
        <w:tc>
          <w:tcPr>
            <w:tcW w:w="3471" w:type="dxa"/>
            <w:vAlign w:val="bottom"/>
          </w:tcPr>
          <w:p w14:paraId="1B7C6692" w14:textId="77777777" w:rsidR="00B449D0" w:rsidRDefault="00175344">
            <w:pPr>
              <w:pStyle w:val="SummaryMeasureTitlewithTheme"/>
            </w:pPr>
            <w:r>
              <w:t>National Disability Insurance Scheme Reform(b)</w:t>
            </w:r>
          </w:p>
        </w:tc>
        <w:tc>
          <w:tcPr>
            <w:tcW w:w="850" w:type="dxa"/>
            <w:vAlign w:val="bottom"/>
          </w:tcPr>
          <w:p w14:paraId="0E77B3E7" w14:textId="3062C754" w:rsidR="00B449D0" w:rsidRDefault="00076D78">
            <w:pPr>
              <w:pStyle w:val="Summarytabletextrightaligned"/>
            </w:pPr>
            <w:r>
              <w:noBreakHyphen/>
            </w:r>
          </w:p>
        </w:tc>
        <w:tc>
          <w:tcPr>
            <w:tcW w:w="850" w:type="dxa"/>
            <w:shd w:val="clear" w:color="auto" w:fill="E6F2FF"/>
            <w:vAlign w:val="bottom"/>
          </w:tcPr>
          <w:p w14:paraId="213D55A0" w14:textId="1B0FFF26" w:rsidR="00B449D0" w:rsidRDefault="00076D78">
            <w:pPr>
              <w:pStyle w:val="Summarytabletextrightaligned"/>
            </w:pPr>
            <w:r>
              <w:noBreakHyphen/>
            </w:r>
          </w:p>
        </w:tc>
        <w:tc>
          <w:tcPr>
            <w:tcW w:w="850" w:type="dxa"/>
            <w:vAlign w:val="bottom"/>
          </w:tcPr>
          <w:p w14:paraId="490A9126" w14:textId="77777777" w:rsidR="00B449D0" w:rsidRDefault="00175344">
            <w:pPr>
              <w:pStyle w:val="Summarytabletextrightaligned"/>
            </w:pPr>
            <w:r>
              <w:t>785.8</w:t>
            </w:r>
          </w:p>
        </w:tc>
        <w:tc>
          <w:tcPr>
            <w:tcW w:w="850" w:type="dxa"/>
            <w:vAlign w:val="bottom"/>
          </w:tcPr>
          <w:p w14:paraId="356F3739" w14:textId="77777777" w:rsidR="00B449D0" w:rsidRDefault="00175344">
            <w:pPr>
              <w:pStyle w:val="Summarytabletextrightaligned"/>
            </w:pPr>
            <w:r>
              <w:t>2.3</w:t>
            </w:r>
          </w:p>
        </w:tc>
        <w:tc>
          <w:tcPr>
            <w:tcW w:w="850" w:type="dxa"/>
            <w:vAlign w:val="bottom"/>
          </w:tcPr>
          <w:p w14:paraId="06A64613" w14:textId="7FF79163" w:rsidR="00B449D0" w:rsidRDefault="00076D78">
            <w:pPr>
              <w:pStyle w:val="Summarytabletextrightaligned"/>
            </w:pPr>
            <w:r>
              <w:noBreakHyphen/>
            </w:r>
          </w:p>
        </w:tc>
      </w:tr>
      <w:tr w:rsidR="00B449D0" w14:paraId="4D95C835" w14:textId="77777777" w:rsidTr="7F762F0D">
        <w:tc>
          <w:tcPr>
            <w:tcW w:w="3471" w:type="dxa"/>
            <w:vAlign w:val="bottom"/>
          </w:tcPr>
          <w:p w14:paraId="72EF4AF8" w14:textId="77777777" w:rsidR="00B449D0" w:rsidRDefault="00175344">
            <w:pPr>
              <w:pStyle w:val="SummaryAgencyTitle-BP2"/>
            </w:pPr>
            <w:r>
              <w:t>NDIS Quality and Safeguards Commission</w:t>
            </w:r>
          </w:p>
        </w:tc>
        <w:tc>
          <w:tcPr>
            <w:tcW w:w="850" w:type="dxa"/>
          </w:tcPr>
          <w:p w14:paraId="611BF464" w14:textId="77777777" w:rsidR="00B449D0" w:rsidRDefault="00B449D0">
            <w:pPr>
              <w:pStyle w:val="SummaryAgencyTitle-BP2"/>
            </w:pPr>
          </w:p>
        </w:tc>
        <w:tc>
          <w:tcPr>
            <w:tcW w:w="850" w:type="dxa"/>
            <w:shd w:val="clear" w:color="auto" w:fill="E6F2FF"/>
          </w:tcPr>
          <w:p w14:paraId="087B9A8A" w14:textId="77777777" w:rsidR="00B449D0" w:rsidRDefault="00B449D0">
            <w:pPr>
              <w:pStyle w:val="SummaryAgencyTitle-BP2"/>
            </w:pPr>
          </w:p>
        </w:tc>
        <w:tc>
          <w:tcPr>
            <w:tcW w:w="850" w:type="dxa"/>
          </w:tcPr>
          <w:p w14:paraId="08E45D6E" w14:textId="77777777" w:rsidR="00B449D0" w:rsidRDefault="00B449D0">
            <w:pPr>
              <w:pStyle w:val="SummaryAgencyTitle-BP2"/>
            </w:pPr>
          </w:p>
        </w:tc>
        <w:tc>
          <w:tcPr>
            <w:tcW w:w="850" w:type="dxa"/>
          </w:tcPr>
          <w:p w14:paraId="3BE0E867" w14:textId="77777777" w:rsidR="00B449D0" w:rsidRDefault="00B449D0">
            <w:pPr>
              <w:pStyle w:val="SummaryAgencyTitle-BP2"/>
            </w:pPr>
          </w:p>
        </w:tc>
        <w:tc>
          <w:tcPr>
            <w:tcW w:w="850" w:type="dxa"/>
          </w:tcPr>
          <w:p w14:paraId="3E408E09" w14:textId="77777777" w:rsidR="00B449D0" w:rsidRDefault="00B449D0">
            <w:pPr>
              <w:pStyle w:val="SummaryAgencyTitle-BP2"/>
            </w:pPr>
          </w:p>
        </w:tc>
      </w:tr>
      <w:tr w:rsidR="00B449D0" w14:paraId="758D359F" w14:textId="77777777" w:rsidTr="7F762F0D">
        <w:tc>
          <w:tcPr>
            <w:tcW w:w="3471" w:type="dxa"/>
            <w:vAlign w:val="bottom"/>
          </w:tcPr>
          <w:p w14:paraId="062E8A66" w14:textId="77777777" w:rsidR="00B449D0" w:rsidRDefault="00175344">
            <w:pPr>
              <w:pStyle w:val="SummaryMeasureTitlewithTheme"/>
            </w:pPr>
            <w:r>
              <w:t>Government Response to the Disability Royal Commission</w:t>
            </w:r>
          </w:p>
        </w:tc>
        <w:tc>
          <w:tcPr>
            <w:tcW w:w="850" w:type="dxa"/>
            <w:vAlign w:val="bottom"/>
          </w:tcPr>
          <w:p w14:paraId="4280292C" w14:textId="04EBD42A" w:rsidR="00B449D0" w:rsidRDefault="00076D78">
            <w:pPr>
              <w:pStyle w:val="Summarytabletextrightaligned"/>
            </w:pPr>
            <w:r>
              <w:noBreakHyphen/>
            </w:r>
          </w:p>
        </w:tc>
        <w:tc>
          <w:tcPr>
            <w:tcW w:w="850" w:type="dxa"/>
            <w:shd w:val="clear" w:color="auto" w:fill="E6F2FF"/>
            <w:vAlign w:val="bottom"/>
          </w:tcPr>
          <w:p w14:paraId="49B846B7" w14:textId="6784D710" w:rsidR="00B449D0" w:rsidRDefault="00076D78">
            <w:pPr>
              <w:pStyle w:val="Summarytabletextrightaligned"/>
            </w:pPr>
            <w:r>
              <w:noBreakHyphen/>
            </w:r>
          </w:p>
        </w:tc>
        <w:tc>
          <w:tcPr>
            <w:tcW w:w="850" w:type="dxa"/>
            <w:vAlign w:val="bottom"/>
          </w:tcPr>
          <w:p w14:paraId="3D7DAA21" w14:textId="776D5AB0" w:rsidR="00B449D0" w:rsidRDefault="00076D78">
            <w:pPr>
              <w:pStyle w:val="Summarytabletextrightaligned"/>
            </w:pPr>
            <w:r>
              <w:noBreakHyphen/>
            </w:r>
          </w:p>
        </w:tc>
        <w:tc>
          <w:tcPr>
            <w:tcW w:w="850" w:type="dxa"/>
            <w:vAlign w:val="bottom"/>
          </w:tcPr>
          <w:p w14:paraId="18F4910D" w14:textId="76E24157" w:rsidR="00B449D0" w:rsidRDefault="00076D78">
            <w:pPr>
              <w:pStyle w:val="Summarytabletextrightaligned"/>
            </w:pPr>
            <w:r>
              <w:noBreakHyphen/>
            </w:r>
          </w:p>
        </w:tc>
        <w:tc>
          <w:tcPr>
            <w:tcW w:w="850" w:type="dxa"/>
            <w:vAlign w:val="bottom"/>
          </w:tcPr>
          <w:p w14:paraId="796D6A20" w14:textId="2F4BDF89" w:rsidR="00B449D0" w:rsidRDefault="00076D78">
            <w:pPr>
              <w:pStyle w:val="Summarytabletextrightaligned"/>
            </w:pPr>
            <w:r>
              <w:noBreakHyphen/>
            </w:r>
          </w:p>
        </w:tc>
      </w:tr>
      <w:tr w:rsidR="00B449D0" w14:paraId="79717A6E" w14:textId="77777777" w:rsidTr="7F762F0D">
        <w:tc>
          <w:tcPr>
            <w:tcW w:w="3471" w:type="dxa"/>
            <w:vAlign w:val="bottom"/>
          </w:tcPr>
          <w:p w14:paraId="454F1976" w14:textId="77777777" w:rsidR="00B449D0" w:rsidRDefault="00175344">
            <w:pPr>
              <w:pStyle w:val="SummaryMeasureTitlewithTheme"/>
            </w:pPr>
            <w:r>
              <w:t>National Disability Insurance Scheme Reform(b)</w:t>
            </w:r>
          </w:p>
        </w:tc>
        <w:tc>
          <w:tcPr>
            <w:tcW w:w="850" w:type="dxa"/>
            <w:vAlign w:val="bottom"/>
          </w:tcPr>
          <w:p w14:paraId="069091B9" w14:textId="6E44CFDB" w:rsidR="00B449D0" w:rsidRDefault="00076D78">
            <w:pPr>
              <w:pStyle w:val="Summarytabletextrightaligned"/>
            </w:pPr>
            <w:r>
              <w:noBreakHyphen/>
            </w:r>
          </w:p>
        </w:tc>
        <w:tc>
          <w:tcPr>
            <w:tcW w:w="850" w:type="dxa"/>
            <w:shd w:val="clear" w:color="auto" w:fill="E6F2FF"/>
            <w:vAlign w:val="bottom"/>
          </w:tcPr>
          <w:p w14:paraId="73330F1D" w14:textId="16A38190" w:rsidR="00B449D0" w:rsidRDefault="00076D78">
            <w:pPr>
              <w:pStyle w:val="Summarytabletextrightaligned"/>
            </w:pPr>
            <w:r>
              <w:noBreakHyphen/>
            </w:r>
          </w:p>
        </w:tc>
        <w:tc>
          <w:tcPr>
            <w:tcW w:w="850" w:type="dxa"/>
            <w:vAlign w:val="bottom"/>
          </w:tcPr>
          <w:p w14:paraId="08D7D27C" w14:textId="77777777" w:rsidR="00B449D0" w:rsidRDefault="00175344">
            <w:pPr>
              <w:pStyle w:val="Summarytabletextrightaligned"/>
            </w:pPr>
            <w:r>
              <w:t>71.3</w:t>
            </w:r>
          </w:p>
        </w:tc>
        <w:tc>
          <w:tcPr>
            <w:tcW w:w="850" w:type="dxa"/>
            <w:vAlign w:val="bottom"/>
          </w:tcPr>
          <w:p w14:paraId="5AB297C4" w14:textId="77777777" w:rsidR="00B449D0" w:rsidRDefault="00175344">
            <w:pPr>
              <w:pStyle w:val="Summarytabletextrightaligned"/>
            </w:pPr>
            <w:r>
              <w:t>72.5</w:t>
            </w:r>
          </w:p>
        </w:tc>
        <w:tc>
          <w:tcPr>
            <w:tcW w:w="850" w:type="dxa"/>
            <w:vAlign w:val="bottom"/>
          </w:tcPr>
          <w:p w14:paraId="1075274D" w14:textId="4958C475" w:rsidR="00B449D0" w:rsidRDefault="00076D78">
            <w:pPr>
              <w:pStyle w:val="Summarytabletextrightaligned"/>
            </w:pPr>
            <w:r>
              <w:noBreakHyphen/>
            </w:r>
          </w:p>
        </w:tc>
      </w:tr>
      <w:tr w:rsidR="00B449D0" w14:paraId="6A107F9A" w14:textId="77777777" w:rsidTr="7F762F0D">
        <w:tc>
          <w:tcPr>
            <w:tcW w:w="3471" w:type="dxa"/>
            <w:vAlign w:val="bottom"/>
          </w:tcPr>
          <w:p w14:paraId="1172B66A" w14:textId="77777777" w:rsidR="00B449D0" w:rsidRDefault="00175344">
            <w:pPr>
              <w:pStyle w:val="SummaryAgencyTitle-BP2"/>
            </w:pPr>
            <w:r>
              <w:t>Services Australia</w:t>
            </w:r>
          </w:p>
        </w:tc>
        <w:tc>
          <w:tcPr>
            <w:tcW w:w="850" w:type="dxa"/>
          </w:tcPr>
          <w:p w14:paraId="78CCBC13" w14:textId="77777777" w:rsidR="00B449D0" w:rsidRDefault="00B449D0">
            <w:pPr>
              <w:pStyle w:val="SummaryAgencyTitle-BP2"/>
            </w:pPr>
          </w:p>
        </w:tc>
        <w:tc>
          <w:tcPr>
            <w:tcW w:w="850" w:type="dxa"/>
            <w:shd w:val="clear" w:color="auto" w:fill="E6F2FF"/>
          </w:tcPr>
          <w:p w14:paraId="61580E40" w14:textId="77777777" w:rsidR="00B449D0" w:rsidRDefault="00B449D0">
            <w:pPr>
              <w:pStyle w:val="SummaryAgencyTitle-BP2"/>
            </w:pPr>
          </w:p>
        </w:tc>
        <w:tc>
          <w:tcPr>
            <w:tcW w:w="850" w:type="dxa"/>
          </w:tcPr>
          <w:p w14:paraId="0A279614" w14:textId="77777777" w:rsidR="00B449D0" w:rsidRDefault="00B449D0">
            <w:pPr>
              <w:pStyle w:val="SummaryAgencyTitle-BP2"/>
            </w:pPr>
          </w:p>
        </w:tc>
        <w:tc>
          <w:tcPr>
            <w:tcW w:w="850" w:type="dxa"/>
          </w:tcPr>
          <w:p w14:paraId="2BB5352A" w14:textId="77777777" w:rsidR="00B449D0" w:rsidRDefault="00B449D0">
            <w:pPr>
              <w:pStyle w:val="SummaryAgencyTitle-BP2"/>
            </w:pPr>
          </w:p>
        </w:tc>
        <w:tc>
          <w:tcPr>
            <w:tcW w:w="850" w:type="dxa"/>
          </w:tcPr>
          <w:p w14:paraId="61C55310" w14:textId="77777777" w:rsidR="00B449D0" w:rsidRDefault="00B449D0">
            <w:pPr>
              <w:pStyle w:val="SummaryAgencyTitle-BP2"/>
            </w:pPr>
          </w:p>
        </w:tc>
      </w:tr>
      <w:tr w:rsidR="00B449D0" w14:paraId="52DA11A6" w14:textId="77777777" w:rsidTr="7F762F0D">
        <w:tc>
          <w:tcPr>
            <w:tcW w:w="3471" w:type="dxa"/>
            <w:vAlign w:val="bottom"/>
          </w:tcPr>
          <w:p w14:paraId="15FC1B47" w14:textId="77777777" w:rsidR="00B449D0" w:rsidRDefault="00175344">
            <w:pPr>
              <w:pStyle w:val="SummaryMeasureTitlewithTheme"/>
            </w:pPr>
            <w:r>
              <w:t>Addressing Surcharges</w:t>
            </w:r>
          </w:p>
        </w:tc>
        <w:tc>
          <w:tcPr>
            <w:tcW w:w="850" w:type="dxa"/>
            <w:vAlign w:val="bottom"/>
          </w:tcPr>
          <w:p w14:paraId="03AF2E97" w14:textId="5603BDE3" w:rsidR="00B449D0" w:rsidRDefault="00076D78">
            <w:pPr>
              <w:pStyle w:val="Summarytabletextrightaligned"/>
            </w:pPr>
            <w:r>
              <w:noBreakHyphen/>
            </w:r>
          </w:p>
        </w:tc>
        <w:tc>
          <w:tcPr>
            <w:tcW w:w="850" w:type="dxa"/>
            <w:shd w:val="clear" w:color="auto" w:fill="E6F2FF"/>
            <w:vAlign w:val="bottom"/>
          </w:tcPr>
          <w:p w14:paraId="729B0861" w14:textId="77777777" w:rsidR="00B449D0" w:rsidRDefault="00175344">
            <w:pPr>
              <w:pStyle w:val="Summarytabletextrightaligned"/>
            </w:pPr>
            <w:r>
              <w:t>0.1</w:t>
            </w:r>
          </w:p>
        </w:tc>
        <w:tc>
          <w:tcPr>
            <w:tcW w:w="850" w:type="dxa"/>
            <w:vAlign w:val="bottom"/>
          </w:tcPr>
          <w:p w14:paraId="409D73EA" w14:textId="77777777" w:rsidR="00B449D0" w:rsidRDefault="00175344">
            <w:pPr>
              <w:pStyle w:val="Summarytabletextrightaligned"/>
            </w:pPr>
            <w:r>
              <w:t>0.3</w:t>
            </w:r>
          </w:p>
        </w:tc>
        <w:tc>
          <w:tcPr>
            <w:tcW w:w="850" w:type="dxa"/>
            <w:vAlign w:val="bottom"/>
          </w:tcPr>
          <w:p w14:paraId="7374A974" w14:textId="77777777" w:rsidR="00B449D0" w:rsidRDefault="00175344">
            <w:pPr>
              <w:pStyle w:val="Summarytabletextrightaligned"/>
            </w:pPr>
            <w:r>
              <w:t>0.4</w:t>
            </w:r>
          </w:p>
        </w:tc>
        <w:tc>
          <w:tcPr>
            <w:tcW w:w="850" w:type="dxa"/>
            <w:vAlign w:val="bottom"/>
          </w:tcPr>
          <w:p w14:paraId="5D95B1FD" w14:textId="77777777" w:rsidR="00B449D0" w:rsidRDefault="00175344">
            <w:pPr>
              <w:pStyle w:val="Summarytabletextrightaligned"/>
            </w:pPr>
            <w:r>
              <w:t>0.5</w:t>
            </w:r>
          </w:p>
        </w:tc>
      </w:tr>
      <w:tr w:rsidR="00B449D0" w14:paraId="15BAE83C" w14:textId="77777777" w:rsidTr="7F762F0D">
        <w:tc>
          <w:tcPr>
            <w:tcW w:w="3471" w:type="dxa"/>
            <w:vAlign w:val="bottom"/>
          </w:tcPr>
          <w:p w14:paraId="12E3E5DF" w14:textId="77777777" w:rsidR="00B449D0" w:rsidRDefault="00175344">
            <w:pPr>
              <w:pStyle w:val="SummaryMeasureTitlewithTheme"/>
            </w:pPr>
            <w:r>
              <w:t>An Effective and Clinically Appropriate Medicare Benefits Schedule</w:t>
            </w:r>
          </w:p>
        </w:tc>
        <w:tc>
          <w:tcPr>
            <w:tcW w:w="850" w:type="dxa"/>
            <w:vAlign w:val="bottom"/>
          </w:tcPr>
          <w:p w14:paraId="4BF66A50" w14:textId="3E46901D" w:rsidR="00B449D0" w:rsidRDefault="00076D78">
            <w:pPr>
              <w:pStyle w:val="Summarytabletextrightaligned"/>
            </w:pPr>
            <w:r>
              <w:noBreakHyphen/>
            </w:r>
          </w:p>
        </w:tc>
        <w:tc>
          <w:tcPr>
            <w:tcW w:w="850" w:type="dxa"/>
            <w:shd w:val="clear" w:color="auto" w:fill="E6F2FF"/>
            <w:vAlign w:val="bottom"/>
          </w:tcPr>
          <w:p w14:paraId="475951C9" w14:textId="77777777" w:rsidR="00B449D0" w:rsidRDefault="00175344">
            <w:pPr>
              <w:pStyle w:val="Summarytabletextrightaligned"/>
            </w:pPr>
            <w:r>
              <w:t>1.8</w:t>
            </w:r>
          </w:p>
        </w:tc>
        <w:tc>
          <w:tcPr>
            <w:tcW w:w="850" w:type="dxa"/>
            <w:vAlign w:val="bottom"/>
          </w:tcPr>
          <w:p w14:paraId="48A353E0" w14:textId="77777777" w:rsidR="00B449D0" w:rsidRDefault="00175344">
            <w:pPr>
              <w:pStyle w:val="Summarytabletextrightaligned"/>
            </w:pPr>
            <w:r>
              <w:t>1.5</w:t>
            </w:r>
          </w:p>
        </w:tc>
        <w:tc>
          <w:tcPr>
            <w:tcW w:w="850" w:type="dxa"/>
            <w:vAlign w:val="bottom"/>
          </w:tcPr>
          <w:p w14:paraId="3CD599A2" w14:textId="77777777" w:rsidR="00B449D0" w:rsidRDefault="00175344">
            <w:pPr>
              <w:pStyle w:val="Summarytabletextrightaligned"/>
            </w:pPr>
            <w:r>
              <w:t>0.8</w:t>
            </w:r>
          </w:p>
        </w:tc>
        <w:tc>
          <w:tcPr>
            <w:tcW w:w="850" w:type="dxa"/>
            <w:vAlign w:val="bottom"/>
          </w:tcPr>
          <w:p w14:paraId="6973ACD9" w14:textId="77777777" w:rsidR="00B449D0" w:rsidRDefault="00175344">
            <w:pPr>
              <w:pStyle w:val="Summarytabletextrightaligned"/>
            </w:pPr>
            <w:r>
              <w:t>0.9</w:t>
            </w:r>
          </w:p>
        </w:tc>
      </w:tr>
      <w:tr w:rsidR="00B449D0" w14:paraId="3FD47499" w14:textId="77777777" w:rsidTr="7F762F0D">
        <w:tc>
          <w:tcPr>
            <w:tcW w:w="3471" w:type="dxa"/>
            <w:vAlign w:val="bottom"/>
          </w:tcPr>
          <w:p w14:paraId="3E6C12C0" w14:textId="77777777" w:rsidR="00B449D0" w:rsidRDefault="00175344">
            <w:pPr>
              <w:pStyle w:val="SummaryMeasureTitlewithTheme"/>
            </w:pPr>
            <w:r>
              <w:t>Assistance for Recent Arrivals from Conflict Zones(b)</w:t>
            </w:r>
          </w:p>
        </w:tc>
        <w:tc>
          <w:tcPr>
            <w:tcW w:w="850" w:type="dxa"/>
            <w:vAlign w:val="bottom"/>
          </w:tcPr>
          <w:p w14:paraId="53181821" w14:textId="68FF4B41" w:rsidR="00B449D0" w:rsidRDefault="00076D78">
            <w:pPr>
              <w:pStyle w:val="Summarytabletextrightaligned"/>
            </w:pPr>
            <w:r>
              <w:noBreakHyphen/>
            </w:r>
          </w:p>
        </w:tc>
        <w:tc>
          <w:tcPr>
            <w:tcW w:w="850" w:type="dxa"/>
            <w:shd w:val="clear" w:color="auto" w:fill="E6F2FF"/>
            <w:vAlign w:val="bottom"/>
          </w:tcPr>
          <w:p w14:paraId="5E6295A9" w14:textId="77777777" w:rsidR="00B449D0" w:rsidRDefault="00175344">
            <w:pPr>
              <w:pStyle w:val="Summarytabletextrightaligned"/>
            </w:pPr>
            <w:r>
              <w:t>6.6</w:t>
            </w:r>
          </w:p>
        </w:tc>
        <w:tc>
          <w:tcPr>
            <w:tcW w:w="850" w:type="dxa"/>
            <w:vAlign w:val="bottom"/>
          </w:tcPr>
          <w:p w14:paraId="07144EE9" w14:textId="77777777" w:rsidR="00B449D0" w:rsidRDefault="00175344">
            <w:pPr>
              <w:pStyle w:val="Summarytabletextrightaligned"/>
            </w:pPr>
            <w:r>
              <w:t>3.5</w:t>
            </w:r>
          </w:p>
        </w:tc>
        <w:tc>
          <w:tcPr>
            <w:tcW w:w="850" w:type="dxa"/>
            <w:vAlign w:val="bottom"/>
          </w:tcPr>
          <w:p w14:paraId="3124044E" w14:textId="77777777" w:rsidR="00B449D0" w:rsidRDefault="00175344">
            <w:pPr>
              <w:pStyle w:val="Summarytabletextrightaligned"/>
            </w:pPr>
            <w:r>
              <w:t>1.9</w:t>
            </w:r>
          </w:p>
        </w:tc>
        <w:tc>
          <w:tcPr>
            <w:tcW w:w="850" w:type="dxa"/>
            <w:vAlign w:val="bottom"/>
          </w:tcPr>
          <w:p w14:paraId="4DC5FF00" w14:textId="77777777" w:rsidR="00B449D0" w:rsidRDefault="00175344">
            <w:pPr>
              <w:pStyle w:val="Summarytabletextrightaligned"/>
            </w:pPr>
            <w:r>
              <w:t>1.1</w:t>
            </w:r>
          </w:p>
        </w:tc>
      </w:tr>
      <w:tr w:rsidR="00B449D0" w14:paraId="42A87680" w14:textId="77777777" w:rsidTr="7F762F0D">
        <w:tc>
          <w:tcPr>
            <w:tcW w:w="3471" w:type="dxa"/>
            <w:vAlign w:val="bottom"/>
          </w:tcPr>
          <w:p w14:paraId="5489E401" w14:textId="3084BFE4" w:rsidR="00B449D0" w:rsidRDefault="00175344">
            <w:pPr>
              <w:pStyle w:val="SummaryMeasureTitlewithTheme"/>
            </w:pPr>
            <w:r>
              <w:t>Building Australia</w:t>
            </w:r>
            <w:r w:rsidR="00076D78">
              <w:t>’</w:t>
            </w:r>
            <w:r>
              <w:t xml:space="preserve">s Future </w:t>
            </w:r>
            <w:r w:rsidR="004C52A2">
              <w:t>–</w:t>
            </w:r>
            <w:r>
              <w:t xml:space="preserve"> delivering pay rises for early educators(b)</w:t>
            </w:r>
          </w:p>
        </w:tc>
        <w:tc>
          <w:tcPr>
            <w:tcW w:w="850" w:type="dxa"/>
            <w:vAlign w:val="bottom"/>
          </w:tcPr>
          <w:p w14:paraId="48FCCCB6" w14:textId="315C3A76" w:rsidR="00B449D0" w:rsidRDefault="00076D78">
            <w:pPr>
              <w:pStyle w:val="Summarytabletextrightaligned"/>
            </w:pPr>
            <w:r>
              <w:noBreakHyphen/>
            </w:r>
          </w:p>
        </w:tc>
        <w:tc>
          <w:tcPr>
            <w:tcW w:w="850" w:type="dxa"/>
            <w:shd w:val="clear" w:color="auto" w:fill="E6F2FF"/>
            <w:vAlign w:val="bottom"/>
          </w:tcPr>
          <w:p w14:paraId="25462D7F" w14:textId="77777777" w:rsidR="00B449D0" w:rsidRDefault="00175344">
            <w:pPr>
              <w:pStyle w:val="Summarytabletextrightaligned"/>
            </w:pPr>
            <w:r>
              <w:t>0.3</w:t>
            </w:r>
          </w:p>
        </w:tc>
        <w:tc>
          <w:tcPr>
            <w:tcW w:w="850" w:type="dxa"/>
            <w:vAlign w:val="bottom"/>
          </w:tcPr>
          <w:p w14:paraId="104C30A4" w14:textId="77777777" w:rsidR="00B449D0" w:rsidRDefault="00175344">
            <w:pPr>
              <w:pStyle w:val="Summarytabletextrightaligned"/>
            </w:pPr>
            <w:r>
              <w:t>0.1</w:t>
            </w:r>
          </w:p>
        </w:tc>
        <w:tc>
          <w:tcPr>
            <w:tcW w:w="850" w:type="dxa"/>
            <w:vAlign w:val="bottom"/>
          </w:tcPr>
          <w:p w14:paraId="55F2AC57" w14:textId="77777777" w:rsidR="00B449D0" w:rsidRDefault="00175344">
            <w:pPr>
              <w:pStyle w:val="Summarytabletextrightaligned"/>
            </w:pPr>
            <w:r>
              <w:t>0.2</w:t>
            </w:r>
          </w:p>
        </w:tc>
        <w:tc>
          <w:tcPr>
            <w:tcW w:w="850" w:type="dxa"/>
            <w:vAlign w:val="bottom"/>
          </w:tcPr>
          <w:p w14:paraId="59CA5840" w14:textId="1BBC22A7" w:rsidR="00B449D0" w:rsidRDefault="00076D78">
            <w:pPr>
              <w:pStyle w:val="Summarytabletextrightaligned"/>
            </w:pPr>
            <w:r>
              <w:noBreakHyphen/>
            </w:r>
          </w:p>
        </w:tc>
      </w:tr>
      <w:tr w:rsidR="00B449D0" w14:paraId="03F11EBC" w14:textId="77777777" w:rsidTr="7F762F0D">
        <w:tc>
          <w:tcPr>
            <w:tcW w:w="3471" w:type="dxa"/>
            <w:vAlign w:val="bottom"/>
          </w:tcPr>
          <w:p w14:paraId="53D6F1E1" w14:textId="109CB676" w:rsidR="00B449D0" w:rsidRDefault="00175344">
            <w:pPr>
              <w:pStyle w:val="SummaryMeasureTitlewithTheme"/>
            </w:pPr>
            <w:r>
              <w:t>Building Australia</w:t>
            </w:r>
            <w:r w:rsidR="00076D78">
              <w:t>’</w:t>
            </w:r>
            <w:r>
              <w:t xml:space="preserve">s Future </w:t>
            </w:r>
            <w:r w:rsidR="001C13C4">
              <w:t>–</w:t>
            </w:r>
            <w:r>
              <w:t xml:space="preserve"> Early Childhood Education and Care Reforms</w:t>
            </w:r>
          </w:p>
        </w:tc>
        <w:tc>
          <w:tcPr>
            <w:tcW w:w="850" w:type="dxa"/>
            <w:vAlign w:val="bottom"/>
          </w:tcPr>
          <w:p w14:paraId="780A155C" w14:textId="1D2D8A5B" w:rsidR="00B449D0" w:rsidRDefault="00076D78">
            <w:pPr>
              <w:pStyle w:val="Summarytabletextrightaligned"/>
            </w:pPr>
            <w:r>
              <w:noBreakHyphen/>
            </w:r>
          </w:p>
        </w:tc>
        <w:tc>
          <w:tcPr>
            <w:tcW w:w="850" w:type="dxa"/>
            <w:shd w:val="clear" w:color="auto" w:fill="E6F2FF"/>
            <w:vAlign w:val="bottom"/>
          </w:tcPr>
          <w:p w14:paraId="35E25558" w14:textId="5A92AC02" w:rsidR="00B449D0" w:rsidRDefault="00076D78">
            <w:pPr>
              <w:pStyle w:val="Summarytabletextrightaligned"/>
            </w:pPr>
            <w:r>
              <w:noBreakHyphen/>
            </w:r>
          </w:p>
        </w:tc>
        <w:tc>
          <w:tcPr>
            <w:tcW w:w="850" w:type="dxa"/>
            <w:vAlign w:val="bottom"/>
          </w:tcPr>
          <w:p w14:paraId="46F0F29A" w14:textId="77777777" w:rsidR="00B449D0" w:rsidRDefault="00175344">
            <w:pPr>
              <w:pStyle w:val="Summarytabletextrightaligned"/>
            </w:pPr>
            <w:r>
              <w:t>6.3</w:t>
            </w:r>
          </w:p>
        </w:tc>
        <w:tc>
          <w:tcPr>
            <w:tcW w:w="850" w:type="dxa"/>
            <w:vAlign w:val="bottom"/>
          </w:tcPr>
          <w:p w14:paraId="2497CB6C" w14:textId="77777777" w:rsidR="00B449D0" w:rsidRDefault="00175344">
            <w:pPr>
              <w:pStyle w:val="Summarytabletextrightaligned"/>
            </w:pPr>
            <w:r>
              <w:t>0.2</w:t>
            </w:r>
          </w:p>
        </w:tc>
        <w:tc>
          <w:tcPr>
            <w:tcW w:w="850" w:type="dxa"/>
            <w:vAlign w:val="bottom"/>
          </w:tcPr>
          <w:p w14:paraId="6E63C107" w14:textId="1F6FC6CB" w:rsidR="00B449D0" w:rsidRDefault="00076D78">
            <w:pPr>
              <w:pStyle w:val="Summarytabletextrightaligned"/>
            </w:pPr>
            <w:r>
              <w:noBreakHyphen/>
            </w:r>
          </w:p>
        </w:tc>
      </w:tr>
      <w:tr w:rsidR="00B449D0" w14:paraId="751A3F60" w14:textId="77777777" w:rsidTr="7F762F0D">
        <w:tc>
          <w:tcPr>
            <w:tcW w:w="3471" w:type="dxa"/>
            <w:vAlign w:val="bottom"/>
          </w:tcPr>
          <w:p w14:paraId="5434C912" w14:textId="7D8613BE" w:rsidR="00B449D0" w:rsidRDefault="00175344">
            <w:pPr>
              <w:pStyle w:val="SummaryMeasureTitlewithTheme"/>
            </w:pPr>
            <w:r>
              <w:t>Building Australia</w:t>
            </w:r>
            <w:r w:rsidR="00076D78">
              <w:t>’</w:t>
            </w:r>
            <w:r>
              <w:t>s Future – A fairer deal for students(b)</w:t>
            </w:r>
          </w:p>
        </w:tc>
        <w:tc>
          <w:tcPr>
            <w:tcW w:w="850" w:type="dxa"/>
            <w:vAlign w:val="bottom"/>
          </w:tcPr>
          <w:p w14:paraId="081288EA" w14:textId="52C221E8" w:rsidR="00B449D0" w:rsidRDefault="00076D78">
            <w:pPr>
              <w:pStyle w:val="Summarytabletextrightaligned"/>
            </w:pPr>
            <w:r>
              <w:noBreakHyphen/>
            </w:r>
          </w:p>
        </w:tc>
        <w:tc>
          <w:tcPr>
            <w:tcW w:w="850" w:type="dxa"/>
            <w:shd w:val="clear" w:color="auto" w:fill="E6F2FF"/>
            <w:vAlign w:val="bottom"/>
          </w:tcPr>
          <w:p w14:paraId="4A1B3686" w14:textId="77777777" w:rsidR="00B449D0" w:rsidRDefault="00175344">
            <w:pPr>
              <w:pStyle w:val="Summarytabletextrightaligned"/>
            </w:pPr>
            <w:r>
              <w:t>1.3</w:t>
            </w:r>
          </w:p>
        </w:tc>
        <w:tc>
          <w:tcPr>
            <w:tcW w:w="850" w:type="dxa"/>
            <w:vAlign w:val="bottom"/>
          </w:tcPr>
          <w:p w14:paraId="11079164" w14:textId="77777777" w:rsidR="00B449D0" w:rsidRDefault="00175344">
            <w:pPr>
              <w:pStyle w:val="Summarytabletextrightaligned"/>
            </w:pPr>
            <w:r>
              <w:t>0.3</w:t>
            </w:r>
          </w:p>
        </w:tc>
        <w:tc>
          <w:tcPr>
            <w:tcW w:w="850" w:type="dxa"/>
            <w:vAlign w:val="bottom"/>
          </w:tcPr>
          <w:p w14:paraId="6A617394" w14:textId="79F3B669" w:rsidR="00B449D0" w:rsidRDefault="00076D78">
            <w:pPr>
              <w:pStyle w:val="Summarytabletextrightaligned"/>
            </w:pPr>
            <w:r>
              <w:noBreakHyphen/>
            </w:r>
          </w:p>
        </w:tc>
        <w:tc>
          <w:tcPr>
            <w:tcW w:w="850" w:type="dxa"/>
            <w:vAlign w:val="bottom"/>
          </w:tcPr>
          <w:p w14:paraId="379BF532" w14:textId="30BFD35B" w:rsidR="00B449D0" w:rsidRDefault="00076D78">
            <w:pPr>
              <w:pStyle w:val="Summarytabletextrightaligned"/>
            </w:pPr>
            <w:r>
              <w:noBreakHyphen/>
            </w:r>
          </w:p>
        </w:tc>
      </w:tr>
      <w:tr w:rsidR="00B449D0" w14:paraId="791FC5C9" w14:textId="77777777" w:rsidTr="7F762F0D">
        <w:tc>
          <w:tcPr>
            <w:tcW w:w="3471" w:type="dxa"/>
            <w:vAlign w:val="bottom"/>
          </w:tcPr>
          <w:p w14:paraId="0AFE3945" w14:textId="77777777" w:rsidR="00B449D0" w:rsidRDefault="00175344">
            <w:pPr>
              <w:pStyle w:val="SummaryMeasureTitlewithTheme"/>
            </w:pPr>
            <w:r>
              <w:t>Eighth Community Pharmacy Agreement</w:t>
            </w:r>
          </w:p>
        </w:tc>
        <w:tc>
          <w:tcPr>
            <w:tcW w:w="850" w:type="dxa"/>
            <w:vAlign w:val="bottom"/>
          </w:tcPr>
          <w:p w14:paraId="55E7B50D" w14:textId="3235BBC6" w:rsidR="00B449D0" w:rsidRDefault="00076D78">
            <w:pPr>
              <w:pStyle w:val="Summarytabletextrightaligned"/>
            </w:pPr>
            <w:r>
              <w:noBreakHyphen/>
            </w:r>
          </w:p>
        </w:tc>
        <w:tc>
          <w:tcPr>
            <w:tcW w:w="850" w:type="dxa"/>
            <w:shd w:val="clear" w:color="auto" w:fill="E6F2FF"/>
            <w:vAlign w:val="bottom"/>
          </w:tcPr>
          <w:p w14:paraId="35199B46" w14:textId="64D8E3E7" w:rsidR="00B449D0" w:rsidRDefault="00076D78">
            <w:pPr>
              <w:pStyle w:val="Summarytabletextrightaligned"/>
            </w:pPr>
            <w:r>
              <w:noBreakHyphen/>
            </w:r>
          </w:p>
        </w:tc>
        <w:tc>
          <w:tcPr>
            <w:tcW w:w="850" w:type="dxa"/>
            <w:vAlign w:val="bottom"/>
          </w:tcPr>
          <w:p w14:paraId="3266A752" w14:textId="33046DDD" w:rsidR="00B449D0" w:rsidRDefault="00076D78">
            <w:pPr>
              <w:pStyle w:val="Summarytabletextrightaligned"/>
            </w:pPr>
            <w:r>
              <w:noBreakHyphen/>
            </w:r>
          </w:p>
        </w:tc>
        <w:tc>
          <w:tcPr>
            <w:tcW w:w="850" w:type="dxa"/>
            <w:vAlign w:val="bottom"/>
          </w:tcPr>
          <w:p w14:paraId="272DB4EE" w14:textId="724B1885" w:rsidR="00B449D0" w:rsidRDefault="00076D78">
            <w:pPr>
              <w:pStyle w:val="Summarytabletextrightaligned"/>
            </w:pPr>
            <w:r>
              <w:noBreakHyphen/>
            </w:r>
          </w:p>
        </w:tc>
        <w:tc>
          <w:tcPr>
            <w:tcW w:w="850" w:type="dxa"/>
            <w:vAlign w:val="bottom"/>
          </w:tcPr>
          <w:p w14:paraId="1F82D485" w14:textId="6DF99AFE" w:rsidR="00B449D0" w:rsidRDefault="00076D78">
            <w:pPr>
              <w:pStyle w:val="Summarytabletextrightaligned"/>
            </w:pPr>
            <w:r>
              <w:noBreakHyphen/>
            </w:r>
          </w:p>
        </w:tc>
      </w:tr>
      <w:tr w:rsidR="00B449D0" w14:paraId="71BE1D21" w14:textId="77777777" w:rsidTr="7F762F0D">
        <w:tc>
          <w:tcPr>
            <w:tcW w:w="3471" w:type="dxa"/>
            <w:vAlign w:val="bottom"/>
          </w:tcPr>
          <w:p w14:paraId="52F39732" w14:textId="77777777" w:rsidR="00B449D0" w:rsidRDefault="00175344">
            <w:pPr>
              <w:pStyle w:val="SummaryMeasureTitlewithTheme"/>
            </w:pPr>
            <w:r>
              <w:t>Employment Services Reform – additional supports</w:t>
            </w:r>
          </w:p>
        </w:tc>
        <w:tc>
          <w:tcPr>
            <w:tcW w:w="850" w:type="dxa"/>
            <w:vAlign w:val="bottom"/>
          </w:tcPr>
          <w:p w14:paraId="65FC37A6" w14:textId="163679F7" w:rsidR="00B449D0" w:rsidRDefault="00076D78">
            <w:pPr>
              <w:pStyle w:val="Summarytabletextrightaligned"/>
            </w:pPr>
            <w:r>
              <w:noBreakHyphen/>
            </w:r>
          </w:p>
        </w:tc>
        <w:tc>
          <w:tcPr>
            <w:tcW w:w="850" w:type="dxa"/>
            <w:shd w:val="clear" w:color="auto" w:fill="E6F2FF"/>
            <w:vAlign w:val="bottom"/>
          </w:tcPr>
          <w:p w14:paraId="17EFB705" w14:textId="77777777" w:rsidR="00B449D0" w:rsidRDefault="00175344">
            <w:pPr>
              <w:pStyle w:val="Summarytabletextrightaligned"/>
            </w:pPr>
            <w:r>
              <w:t>0.5</w:t>
            </w:r>
          </w:p>
        </w:tc>
        <w:tc>
          <w:tcPr>
            <w:tcW w:w="850" w:type="dxa"/>
            <w:vAlign w:val="bottom"/>
          </w:tcPr>
          <w:p w14:paraId="624CFAE1" w14:textId="4D7952A4" w:rsidR="00B449D0" w:rsidRDefault="00076D78">
            <w:pPr>
              <w:pStyle w:val="Summarytabletextrightaligned"/>
            </w:pPr>
            <w:r>
              <w:noBreakHyphen/>
            </w:r>
          </w:p>
        </w:tc>
        <w:tc>
          <w:tcPr>
            <w:tcW w:w="850" w:type="dxa"/>
            <w:vAlign w:val="bottom"/>
          </w:tcPr>
          <w:p w14:paraId="3E416F31" w14:textId="186FC3E7" w:rsidR="00B449D0" w:rsidRDefault="00076D78">
            <w:pPr>
              <w:pStyle w:val="Summarytabletextrightaligned"/>
            </w:pPr>
            <w:r>
              <w:noBreakHyphen/>
            </w:r>
          </w:p>
        </w:tc>
        <w:tc>
          <w:tcPr>
            <w:tcW w:w="850" w:type="dxa"/>
            <w:vAlign w:val="bottom"/>
          </w:tcPr>
          <w:p w14:paraId="6F538264" w14:textId="3088222F" w:rsidR="00B449D0" w:rsidRDefault="00076D78">
            <w:pPr>
              <w:pStyle w:val="Summarytabletextrightaligned"/>
            </w:pPr>
            <w:r>
              <w:noBreakHyphen/>
            </w:r>
          </w:p>
        </w:tc>
      </w:tr>
      <w:tr w:rsidR="00B449D0" w14:paraId="5002F00A" w14:textId="77777777" w:rsidTr="7F762F0D">
        <w:tc>
          <w:tcPr>
            <w:tcW w:w="3471" w:type="dxa"/>
            <w:vAlign w:val="bottom"/>
          </w:tcPr>
          <w:p w14:paraId="25705CEC" w14:textId="77777777" w:rsidR="00B449D0" w:rsidRDefault="00175344">
            <w:pPr>
              <w:pStyle w:val="SummaryMeasureTitlewithTheme"/>
            </w:pPr>
            <w:r>
              <w:t>Ending Gender‑Based Violence – additional investment</w:t>
            </w:r>
          </w:p>
        </w:tc>
        <w:tc>
          <w:tcPr>
            <w:tcW w:w="850" w:type="dxa"/>
            <w:vAlign w:val="bottom"/>
          </w:tcPr>
          <w:p w14:paraId="62A98CCB" w14:textId="5E38D472" w:rsidR="00B449D0" w:rsidRDefault="00076D78">
            <w:pPr>
              <w:pStyle w:val="Summarytabletextrightaligned"/>
            </w:pPr>
            <w:r>
              <w:noBreakHyphen/>
            </w:r>
          </w:p>
        </w:tc>
        <w:tc>
          <w:tcPr>
            <w:tcW w:w="850" w:type="dxa"/>
            <w:shd w:val="clear" w:color="auto" w:fill="E6F2FF"/>
            <w:vAlign w:val="bottom"/>
          </w:tcPr>
          <w:p w14:paraId="1D8B3764" w14:textId="05F9A398" w:rsidR="00B449D0" w:rsidRDefault="00076D78">
            <w:pPr>
              <w:pStyle w:val="Summarytabletextrightaligned"/>
            </w:pPr>
            <w:r>
              <w:noBreakHyphen/>
            </w:r>
          </w:p>
        </w:tc>
        <w:tc>
          <w:tcPr>
            <w:tcW w:w="850" w:type="dxa"/>
            <w:vAlign w:val="bottom"/>
          </w:tcPr>
          <w:p w14:paraId="00D8C389" w14:textId="55CC935A" w:rsidR="00B449D0" w:rsidRDefault="00076D78">
            <w:pPr>
              <w:pStyle w:val="Summarytabletextrightaligned"/>
            </w:pPr>
            <w:r>
              <w:noBreakHyphen/>
            </w:r>
          </w:p>
        </w:tc>
        <w:tc>
          <w:tcPr>
            <w:tcW w:w="850" w:type="dxa"/>
            <w:vAlign w:val="bottom"/>
          </w:tcPr>
          <w:p w14:paraId="16D207D5" w14:textId="73575781" w:rsidR="00B449D0" w:rsidRDefault="00076D78">
            <w:pPr>
              <w:pStyle w:val="Summarytabletextrightaligned"/>
            </w:pPr>
            <w:r>
              <w:noBreakHyphen/>
            </w:r>
          </w:p>
        </w:tc>
        <w:tc>
          <w:tcPr>
            <w:tcW w:w="850" w:type="dxa"/>
            <w:vAlign w:val="bottom"/>
          </w:tcPr>
          <w:p w14:paraId="12833E8A" w14:textId="3257FAAC" w:rsidR="00B449D0" w:rsidRDefault="00076D78">
            <w:pPr>
              <w:pStyle w:val="Summarytabletextrightaligned"/>
            </w:pPr>
            <w:r>
              <w:noBreakHyphen/>
            </w:r>
          </w:p>
        </w:tc>
      </w:tr>
      <w:tr w:rsidR="00B449D0" w14:paraId="7A3CF080" w14:textId="77777777" w:rsidTr="7F762F0D">
        <w:tc>
          <w:tcPr>
            <w:tcW w:w="3471" w:type="dxa"/>
            <w:vAlign w:val="bottom"/>
          </w:tcPr>
          <w:p w14:paraId="1BBF7ECC" w14:textId="77777777" w:rsidR="00B449D0" w:rsidRDefault="00175344">
            <w:pPr>
              <w:pStyle w:val="SummaryMeasureTitlewithTheme"/>
            </w:pPr>
            <w:r>
              <w:t>Ensuring the Viability and Quality of Aged Care</w:t>
            </w:r>
          </w:p>
        </w:tc>
        <w:tc>
          <w:tcPr>
            <w:tcW w:w="850" w:type="dxa"/>
            <w:vAlign w:val="bottom"/>
          </w:tcPr>
          <w:p w14:paraId="1C701B19" w14:textId="30BB178A" w:rsidR="00B449D0" w:rsidRDefault="00076D78">
            <w:pPr>
              <w:pStyle w:val="Summarytabletextrightaligned"/>
            </w:pPr>
            <w:r>
              <w:noBreakHyphen/>
            </w:r>
          </w:p>
        </w:tc>
        <w:tc>
          <w:tcPr>
            <w:tcW w:w="850" w:type="dxa"/>
            <w:shd w:val="clear" w:color="auto" w:fill="E6F2FF"/>
            <w:vAlign w:val="bottom"/>
          </w:tcPr>
          <w:p w14:paraId="13CC5066" w14:textId="77777777" w:rsidR="00B449D0" w:rsidRDefault="00175344">
            <w:pPr>
              <w:pStyle w:val="Summarytabletextrightaligned"/>
            </w:pPr>
            <w:r>
              <w:t>95.6</w:t>
            </w:r>
          </w:p>
        </w:tc>
        <w:tc>
          <w:tcPr>
            <w:tcW w:w="850" w:type="dxa"/>
            <w:vAlign w:val="bottom"/>
          </w:tcPr>
          <w:p w14:paraId="20350304" w14:textId="77777777" w:rsidR="00B449D0" w:rsidRDefault="00175344">
            <w:pPr>
              <w:pStyle w:val="Summarytabletextrightaligned"/>
            </w:pPr>
            <w:r>
              <w:t>34.6</w:t>
            </w:r>
          </w:p>
        </w:tc>
        <w:tc>
          <w:tcPr>
            <w:tcW w:w="850" w:type="dxa"/>
            <w:vAlign w:val="bottom"/>
          </w:tcPr>
          <w:p w14:paraId="2CC17F81" w14:textId="77777777" w:rsidR="00B449D0" w:rsidRDefault="00175344">
            <w:pPr>
              <w:pStyle w:val="Summarytabletextrightaligned"/>
            </w:pPr>
            <w:r>
              <w:t>20.0</w:t>
            </w:r>
          </w:p>
        </w:tc>
        <w:tc>
          <w:tcPr>
            <w:tcW w:w="850" w:type="dxa"/>
            <w:vAlign w:val="bottom"/>
          </w:tcPr>
          <w:p w14:paraId="1645438B" w14:textId="77777777" w:rsidR="00B449D0" w:rsidRDefault="00175344">
            <w:pPr>
              <w:pStyle w:val="Summarytabletextrightaligned"/>
            </w:pPr>
            <w:r>
              <w:t>22.2</w:t>
            </w:r>
          </w:p>
        </w:tc>
      </w:tr>
      <w:tr w:rsidR="00B449D0" w14:paraId="23915ED7" w14:textId="77777777" w:rsidTr="7F762F0D">
        <w:tc>
          <w:tcPr>
            <w:tcW w:w="3471" w:type="dxa"/>
            <w:vAlign w:val="bottom"/>
          </w:tcPr>
          <w:p w14:paraId="0EE369DF" w14:textId="77777777" w:rsidR="00B449D0" w:rsidRDefault="00175344">
            <w:pPr>
              <w:pStyle w:val="SummaryMeasureTitlewithTheme"/>
            </w:pPr>
            <w:r>
              <w:t>Improving Aged Care Support</w:t>
            </w:r>
          </w:p>
        </w:tc>
        <w:tc>
          <w:tcPr>
            <w:tcW w:w="850" w:type="dxa"/>
            <w:vAlign w:val="bottom"/>
          </w:tcPr>
          <w:p w14:paraId="45613DCB" w14:textId="783F6AAF" w:rsidR="00B449D0" w:rsidRDefault="00076D78">
            <w:pPr>
              <w:pStyle w:val="Summarytabletextrightaligned"/>
            </w:pPr>
            <w:r>
              <w:noBreakHyphen/>
            </w:r>
          </w:p>
        </w:tc>
        <w:tc>
          <w:tcPr>
            <w:tcW w:w="850" w:type="dxa"/>
            <w:shd w:val="clear" w:color="auto" w:fill="E6F2FF"/>
            <w:vAlign w:val="bottom"/>
          </w:tcPr>
          <w:p w14:paraId="3E8C6DE9" w14:textId="77777777" w:rsidR="00B449D0" w:rsidRDefault="00175344">
            <w:pPr>
              <w:pStyle w:val="Summarytabletextrightaligned"/>
            </w:pPr>
            <w:r>
              <w:t>2.3</w:t>
            </w:r>
          </w:p>
        </w:tc>
        <w:tc>
          <w:tcPr>
            <w:tcW w:w="850" w:type="dxa"/>
            <w:vAlign w:val="bottom"/>
          </w:tcPr>
          <w:p w14:paraId="2C616354" w14:textId="77777777" w:rsidR="00B449D0" w:rsidRDefault="00175344">
            <w:pPr>
              <w:pStyle w:val="Summarytabletextrightaligned"/>
            </w:pPr>
            <w:r>
              <w:t>17.7</w:t>
            </w:r>
          </w:p>
        </w:tc>
        <w:tc>
          <w:tcPr>
            <w:tcW w:w="850" w:type="dxa"/>
            <w:vAlign w:val="bottom"/>
          </w:tcPr>
          <w:p w14:paraId="2F2C65A2" w14:textId="77777777" w:rsidR="00B449D0" w:rsidRDefault="00175344">
            <w:pPr>
              <w:pStyle w:val="Summarytabletextrightaligned"/>
            </w:pPr>
            <w:r>
              <w:t>1.6</w:t>
            </w:r>
          </w:p>
        </w:tc>
        <w:tc>
          <w:tcPr>
            <w:tcW w:w="850" w:type="dxa"/>
            <w:vAlign w:val="bottom"/>
          </w:tcPr>
          <w:p w14:paraId="5543C2B4" w14:textId="77777777" w:rsidR="00B449D0" w:rsidRDefault="00175344">
            <w:pPr>
              <w:pStyle w:val="Summarytabletextrightaligned"/>
            </w:pPr>
            <w:r>
              <w:t>1.3</w:t>
            </w:r>
          </w:p>
        </w:tc>
      </w:tr>
      <w:tr w:rsidR="00B449D0" w14:paraId="70216008" w14:textId="77777777" w:rsidTr="7F762F0D">
        <w:tc>
          <w:tcPr>
            <w:tcW w:w="3471" w:type="dxa"/>
            <w:vAlign w:val="bottom"/>
          </w:tcPr>
          <w:p w14:paraId="1AF023B7" w14:textId="77777777" w:rsidR="00B449D0" w:rsidRDefault="00175344">
            <w:pPr>
              <w:pStyle w:val="SummaryMeasureTitlewithTheme"/>
            </w:pPr>
            <w:r>
              <w:t>Improving Cancer Outcomes</w:t>
            </w:r>
          </w:p>
        </w:tc>
        <w:tc>
          <w:tcPr>
            <w:tcW w:w="850" w:type="dxa"/>
            <w:vAlign w:val="bottom"/>
          </w:tcPr>
          <w:p w14:paraId="0996F382" w14:textId="19F8698C" w:rsidR="00B449D0" w:rsidRDefault="00076D78">
            <w:pPr>
              <w:pStyle w:val="Summarytabletextrightaligned"/>
            </w:pPr>
            <w:r>
              <w:noBreakHyphen/>
            </w:r>
          </w:p>
        </w:tc>
        <w:tc>
          <w:tcPr>
            <w:tcW w:w="850" w:type="dxa"/>
            <w:shd w:val="clear" w:color="auto" w:fill="E6F2FF"/>
            <w:vAlign w:val="bottom"/>
          </w:tcPr>
          <w:p w14:paraId="7F087566" w14:textId="77777777" w:rsidR="00B449D0" w:rsidRDefault="00175344">
            <w:pPr>
              <w:pStyle w:val="Summarytabletextrightaligned"/>
            </w:pPr>
            <w:r>
              <w:t>..</w:t>
            </w:r>
          </w:p>
        </w:tc>
        <w:tc>
          <w:tcPr>
            <w:tcW w:w="850" w:type="dxa"/>
            <w:vAlign w:val="bottom"/>
          </w:tcPr>
          <w:p w14:paraId="028CCC95" w14:textId="77777777" w:rsidR="00B449D0" w:rsidRDefault="00175344">
            <w:pPr>
              <w:pStyle w:val="Summarytabletextrightaligned"/>
            </w:pPr>
            <w:r>
              <w:t>..</w:t>
            </w:r>
          </w:p>
        </w:tc>
        <w:tc>
          <w:tcPr>
            <w:tcW w:w="850" w:type="dxa"/>
            <w:vAlign w:val="bottom"/>
          </w:tcPr>
          <w:p w14:paraId="6E9133C9" w14:textId="15ED4519" w:rsidR="00B449D0" w:rsidRDefault="00076D78">
            <w:pPr>
              <w:pStyle w:val="Summarytabletextrightaligned"/>
            </w:pPr>
            <w:r>
              <w:noBreakHyphen/>
            </w:r>
          </w:p>
        </w:tc>
        <w:tc>
          <w:tcPr>
            <w:tcW w:w="850" w:type="dxa"/>
            <w:vAlign w:val="bottom"/>
          </w:tcPr>
          <w:p w14:paraId="537CA70C" w14:textId="42CD4DE2" w:rsidR="00B449D0" w:rsidRDefault="00076D78">
            <w:pPr>
              <w:pStyle w:val="Summarytabletextrightaligned"/>
            </w:pPr>
            <w:r>
              <w:noBreakHyphen/>
            </w:r>
          </w:p>
        </w:tc>
      </w:tr>
      <w:tr w:rsidR="00B449D0" w14:paraId="15A0BC42" w14:textId="77777777" w:rsidTr="7F762F0D">
        <w:tc>
          <w:tcPr>
            <w:tcW w:w="3471" w:type="dxa"/>
            <w:vAlign w:val="bottom"/>
          </w:tcPr>
          <w:p w14:paraId="4B6E0998" w14:textId="77777777" w:rsidR="00B449D0" w:rsidRDefault="00175344">
            <w:pPr>
              <w:pStyle w:val="SummaryMeasureTitlewithTheme"/>
            </w:pPr>
            <w:r>
              <w:t>Income Management – maintenance</w:t>
            </w:r>
          </w:p>
        </w:tc>
        <w:tc>
          <w:tcPr>
            <w:tcW w:w="850" w:type="dxa"/>
            <w:vAlign w:val="bottom"/>
          </w:tcPr>
          <w:p w14:paraId="5772DB44" w14:textId="633B3543" w:rsidR="00B449D0" w:rsidRDefault="00076D78">
            <w:pPr>
              <w:pStyle w:val="Summarytabletextrightaligned"/>
            </w:pPr>
            <w:r>
              <w:noBreakHyphen/>
            </w:r>
          </w:p>
        </w:tc>
        <w:tc>
          <w:tcPr>
            <w:tcW w:w="850" w:type="dxa"/>
            <w:shd w:val="clear" w:color="auto" w:fill="E6F2FF"/>
            <w:vAlign w:val="bottom"/>
          </w:tcPr>
          <w:p w14:paraId="6C52B1BE" w14:textId="77777777" w:rsidR="00B449D0" w:rsidRDefault="00175344">
            <w:pPr>
              <w:pStyle w:val="Summarytabletextrightaligned"/>
            </w:pPr>
            <w:r w:rsidRPr="7F762F0D">
              <w:rPr>
                <w:lang w:val="en-US"/>
              </w:rPr>
              <w:t>nfp</w:t>
            </w:r>
          </w:p>
        </w:tc>
        <w:tc>
          <w:tcPr>
            <w:tcW w:w="850" w:type="dxa"/>
            <w:vAlign w:val="bottom"/>
          </w:tcPr>
          <w:p w14:paraId="3B79B165" w14:textId="77777777" w:rsidR="00B449D0" w:rsidRDefault="00175344">
            <w:pPr>
              <w:pStyle w:val="Summarytabletextrightaligned"/>
            </w:pPr>
            <w:r w:rsidRPr="7F762F0D">
              <w:rPr>
                <w:lang w:val="en-US"/>
              </w:rPr>
              <w:t>nfp</w:t>
            </w:r>
          </w:p>
        </w:tc>
        <w:tc>
          <w:tcPr>
            <w:tcW w:w="850" w:type="dxa"/>
            <w:vAlign w:val="bottom"/>
          </w:tcPr>
          <w:p w14:paraId="469754C5" w14:textId="06F917ED" w:rsidR="00B449D0" w:rsidRDefault="00076D78">
            <w:pPr>
              <w:pStyle w:val="Summarytabletextrightaligned"/>
            </w:pPr>
            <w:r>
              <w:noBreakHyphen/>
            </w:r>
          </w:p>
        </w:tc>
        <w:tc>
          <w:tcPr>
            <w:tcW w:w="850" w:type="dxa"/>
            <w:vAlign w:val="bottom"/>
          </w:tcPr>
          <w:p w14:paraId="369BE4AE" w14:textId="29E0BFC9" w:rsidR="00B449D0" w:rsidRDefault="00076D78">
            <w:pPr>
              <w:pStyle w:val="Summarytabletextrightaligned"/>
            </w:pPr>
            <w:r>
              <w:noBreakHyphen/>
            </w:r>
          </w:p>
        </w:tc>
      </w:tr>
      <w:tr w:rsidR="00B449D0" w14:paraId="1347CB66" w14:textId="77777777" w:rsidTr="7F762F0D">
        <w:tc>
          <w:tcPr>
            <w:tcW w:w="3471" w:type="dxa"/>
            <w:vAlign w:val="bottom"/>
          </w:tcPr>
          <w:p w14:paraId="5262E9AC" w14:textId="7C9EAB12" w:rsidR="00B449D0" w:rsidRDefault="00175344">
            <w:pPr>
              <w:pStyle w:val="SummaryMeasureTitlewithTheme"/>
            </w:pPr>
            <w:r>
              <w:t xml:space="preserve">Legacy </w:t>
            </w:r>
            <w:r w:rsidR="00893715">
              <w:t>S</w:t>
            </w:r>
            <w:r>
              <w:t xml:space="preserve">uperannuation </w:t>
            </w:r>
            <w:r w:rsidR="00893715">
              <w:t>R</w:t>
            </w:r>
            <w:r>
              <w:t xml:space="preserve">etirement </w:t>
            </w:r>
            <w:r w:rsidR="00893715">
              <w:t>P</w:t>
            </w:r>
            <w:r>
              <w:t xml:space="preserve">roduct </w:t>
            </w:r>
            <w:r w:rsidR="00893715">
              <w:t>C</w:t>
            </w:r>
            <w:r>
              <w:t xml:space="preserve">onversions and </w:t>
            </w:r>
            <w:r w:rsidR="00893715">
              <w:t>R</w:t>
            </w:r>
            <w:r>
              <w:t>eserves(b)</w:t>
            </w:r>
          </w:p>
        </w:tc>
        <w:tc>
          <w:tcPr>
            <w:tcW w:w="850" w:type="dxa"/>
            <w:vAlign w:val="bottom"/>
          </w:tcPr>
          <w:p w14:paraId="37AB4014" w14:textId="29216375" w:rsidR="00B449D0" w:rsidRDefault="00076D78">
            <w:pPr>
              <w:pStyle w:val="Summarytabletextrightaligned"/>
            </w:pPr>
            <w:r>
              <w:noBreakHyphen/>
            </w:r>
          </w:p>
        </w:tc>
        <w:tc>
          <w:tcPr>
            <w:tcW w:w="850" w:type="dxa"/>
            <w:shd w:val="clear" w:color="auto" w:fill="E6F2FF"/>
            <w:vAlign w:val="bottom"/>
          </w:tcPr>
          <w:p w14:paraId="3FC61BE1" w14:textId="77777777" w:rsidR="00B449D0" w:rsidRDefault="00175344">
            <w:pPr>
              <w:pStyle w:val="Summarytabletextrightaligned"/>
            </w:pPr>
            <w:r>
              <w:t>2.6</w:t>
            </w:r>
          </w:p>
        </w:tc>
        <w:tc>
          <w:tcPr>
            <w:tcW w:w="850" w:type="dxa"/>
            <w:vAlign w:val="bottom"/>
          </w:tcPr>
          <w:p w14:paraId="2E284DB2" w14:textId="77777777" w:rsidR="00B449D0" w:rsidRDefault="00175344">
            <w:pPr>
              <w:pStyle w:val="Summarytabletextrightaligned"/>
            </w:pPr>
            <w:r>
              <w:t>1.0</w:t>
            </w:r>
          </w:p>
        </w:tc>
        <w:tc>
          <w:tcPr>
            <w:tcW w:w="850" w:type="dxa"/>
            <w:vAlign w:val="bottom"/>
          </w:tcPr>
          <w:p w14:paraId="5B398007" w14:textId="77777777" w:rsidR="00B449D0" w:rsidRDefault="00175344">
            <w:pPr>
              <w:pStyle w:val="Summarytabletextrightaligned"/>
            </w:pPr>
            <w:r>
              <w:t>1.0</w:t>
            </w:r>
          </w:p>
        </w:tc>
        <w:tc>
          <w:tcPr>
            <w:tcW w:w="850" w:type="dxa"/>
            <w:vAlign w:val="bottom"/>
          </w:tcPr>
          <w:p w14:paraId="47F168A1" w14:textId="77777777" w:rsidR="00B449D0" w:rsidRDefault="00175344">
            <w:pPr>
              <w:pStyle w:val="Summarytabletextrightaligned"/>
            </w:pPr>
            <w:r>
              <w:t>1.0</w:t>
            </w:r>
          </w:p>
        </w:tc>
      </w:tr>
      <w:tr w:rsidR="00B449D0" w14:paraId="2C33C5FE" w14:textId="77777777" w:rsidTr="7F762F0D">
        <w:tc>
          <w:tcPr>
            <w:tcW w:w="3471" w:type="dxa"/>
            <w:vAlign w:val="bottom"/>
          </w:tcPr>
          <w:p w14:paraId="4452B28A" w14:textId="77777777" w:rsidR="00B449D0" w:rsidRDefault="00175344">
            <w:pPr>
              <w:pStyle w:val="SummaryMeasureTitlewithTheme"/>
            </w:pPr>
            <w:r>
              <w:t>New Remote Employment Service</w:t>
            </w:r>
          </w:p>
        </w:tc>
        <w:tc>
          <w:tcPr>
            <w:tcW w:w="850" w:type="dxa"/>
            <w:vAlign w:val="bottom"/>
          </w:tcPr>
          <w:p w14:paraId="33983199" w14:textId="460E95DD" w:rsidR="00B449D0" w:rsidRDefault="00076D78">
            <w:pPr>
              <w:pStyle w:val="Summarytabletextrightaligned"/>
            </w:pPr>
            <w:r>
              <w:noBreakHyphen/>
            </w:r>
          </w:p>
        </w:tc>
        <w:tc>
          <w:tcPr>
            <w:tcW w:w="850" w:type="dxa"/>
            <w:shd w:val="clear" w:color="auto" w:fill="E6F2FF"/>
            <w:vAlign w:val="bottom"/>
          </w:tcPr>
          <w:p w14:paraId="70B38FC6" w14:textId="4002A700" w:rsidR="00B449D0" w:rsidRDefault="00076D78">
            <w:pPr>
              <w:pStyle w:val="Summarytabletextrightaligned"/>
            </w:pPr>
            <w:r>
              <w:noBreakHyphen/>
            </w:r>
            <w:r w:rsidR="00175344">
              <w:t>1.5</w:t>
            </w:r>
          </w:p>
        </w:tc>
        <w:tc>
          <w:tcPr>
            <w:tcW w:w="850" w:type="dxa"/>
            <w:vAlign w:val="bottom"/>
          </w:tcPr>
          <w:p w14:paraId="339F8CED" w14:textId="77777777" w:rsidR="00B449D0" w:rsidRDefault="00175344">
            <w:pPr>
              <w:pStyle w:val="Summarytabletextrightaligned"/>
            </w:pPr>
            <w:r>
              <w:t>28.6</w:t>
            </w:r>
          </w:p>
        </w:tc>
        <w:tc>
          <w:tcPr>
            <w:tcW w:w="850" w:type="dxa"/>
            <w:vAlign w:val="bottom"/>
          </w:tcPr>
          <w:p w14:paraId="0AEE2C74" w14:textId="77777777" w:rsidR="00B449D0" w:rsidRDefault="00175344">
            <w:pPr>
              <w:pStyle w:val="Summarytabletextrightaligned"/>
            </w:pPr>
            <w:r>
              <w:t>2.3</w:t>
            </w:r>
          </w:p>
        </w:tc>
        <w:tc>
          <w:tcPr>
            <w:tcW w:w="850" w:type="dxa"/>
            <w:vAlign w:val="bottom"/>
          </w:tcPr>
          <w:p w14:paraId="6E2C1523" w14:textId="77777777" w:rsidR="00B449D0" w:rsidRDefault="00175344">
            <w:pPr>
              <w:pStyle w:val="Summarytabletextrightaligned"/>
            </w:pPr>
            <w:r>
              <w:t>0.6</w:t>
            </w:r>
          </w:p>
        </w:tc>
      </w:tr>
      <w:tr w:rsidR="00B449D0" w14:paraId="1FFC69B9" w14:textId="77777777" w:rsidTr="7F762F0D">
        <w:tc>
          <w:tcPr>
            <w:tcW w:w="3471" w:type="dxa"/>
            <w:vAlign w:val="bottom"/>
          </w:tcPr>
          <w:p w14:paraId="593F78DD" w14:textId="77777777" w:rsidR="00B449D0" w:rsidRDefault="00175344">
            <w:pPr>
              <w:pStyle w:val="SummaryMeasureTitlewithTheme"/>
            </w:pPr>
            <w:r>
              <w:t>Pharmaceutical Benefits Scheme New and Amended Listings(b)</w:t>
            </w:r>
          </w:p>
        </w:tc>
        <w:tc>
          <w:tcPr>
            <w:tcW w:w="850" w:type="dxa"/>
            <w:vAlign w:val="bottom"/>
          </w:tcPr>
          <w:p w14:paraId="730C9D15" w14:textId="77777777" w:rsidR="00B449D0" w:rsidRDefault="00175344">
            <w:pPr>
              <w:pStyle w:val="Summarytabletextrightaligned"/>
            </w:pPr>
            <w:r>
              <w:t>0.2</w:t>
            </w:r>
          </w:p>
        </w:tc>
        <w:tc>
          <w:tcPr>
            <w:tcW w:w="850" w:type="dxa"/>
            <w:shd w:val="clear" w:color="auto" w:fill="E6F2FF"/>
            <w:vAlign w:val="bottom"/>
          </w:tcPr>
          <w:p w14:paraId="45F336EC" w14:textId="77777777" w:rsidR="00B449D0" w:rsidRDefault="00175344">
            <w:pPr>
              <w:pStyle w:val="Summarytabletextrightaligned"/>
            </w:pPr>
            <w:r>
              <w:t>1.3</w:t>
            </w:r>
          </w:p>
        </w:tc>
        <w:tc>
          <w:tcPr>
            <w:tcW w:w="850" w:type="dxa"/>
            <w:vAlign w:val="bottom"/>
          </w:tcPr>
          <w:p w14:paraId="1E8EE529" w14:textId="77777777" w:rsidR="00B449D0" w:rsidRDefault="00175344">
            <w:pPr>
              <w:pStyle w:val="Summarytabletextrightaligned"/>
            </w:pPr>
            <w:r>
              <w:t>0.6</w:t>
            </w:r>
          </w:p>
        </w:tc>
        <w:tc>
          <w:tcPr>
            <w:tcW w:w="850" w:type="dxa"/>
            <w:vAlign w:val="bottom"/>
          </w:tcPr>
          <w:p w14:paraId="6AFA1F2C" w14:textId="77777777" w:rsidR="00B449D0" w:rsidRDefault="00175344">
            <w:pPr>
              <w:pStyle w:val="Summarytabletextrightaligned"/>
            </w:pPr>
            <w:r>
              <w:t>0.4</w:t>
            </w:r>
          </w:p>
        </w:tc>
        <w:tc>
          <w:tcPr>
            <w:tcW w:w="850" w:type="dxa"/>
            <w:vAlign w:val="bottom"/>
          </w:tcPr>
          <w:p w14:paraId="188ACD8D" w14:textId="77777777" w:rsidR="00B449D0" w:rsidRDefault="00175344">
            <w:pPr>
              <w:pStyle w:val="Summarytabletextrightaligned"/>
            </w:pPr>
            <w:r>
              <w:t>0.4</w:t>
            </w:r>
          </w:p>
        </w:tc>
      </w:tr>
      <w:tr w:rsidR="00B449D0" w14:paraId="03036B56" w14:textId="77777777" w:rsidTr="7F762F0D">
        <w:tc>
          <w:tcPr>
            <w:tcW w:w="3471" w:type="dxa"/>
            <w:vAlign w:val="bottom"/>
          </w:tcPr>
          <w:p w14:paraId="3170AD55" w14:textId="77777777" w:rsidR="00B449D0" w:rsidRDefault="00175344">
            <w:pPr>
              <w:pStyle w:val="SummaryMeasureTitlewithTheme"/>
            </w:pPr>
            <w:r>
              <w:t>Strengthening Medicare</w:t>
            </w:r>
          </w:p>
        </w:tc>
        <w:tc>
          <w:tcPr>
            <w:tcW w:w="850" w:type="dxa"/>
            <w:vAlign w:val="bottom"/>
          </w:tcPr>
          <w:p w14:paraId="4AB66886" w14:textId="26B3262F" w:rsidR="00B449D0" w:rsidRDefault="00076D78">
            <w:pPr>
              <w:pStyle w:val="Summarytabletextrightaligned"/>
            </w:pPr>
            <w:r>
              <w:noBreakHyphen/>
            </w:r>
          </w:p>
        </w:tc>
        <w:tc>
          <w:tcPr>
            <w:tcW w:w="850" w:type="dxa"/>
            <w:shd w:val="clear" w:color="auto" w:fill="E6F2FF"/>
            <w:vAlign w:val="bottom"/>
          </w:tcPr>
          <w:p w14:paraId="52D4C3EE" w14:textId="77777777" w:rsidR="00B449D0" w:rsidRDefault="00175344">
            <w:pPr>
              <w:pStyle w:val="Summarytabletextrightaligned"/>
            </w:pPr>
            <w:r>
              <w:t>..</w:t>
            </w:r>
          </w:p>
        </w:tc>
        <w:tc>
          <w:tcPr>
            <w:tcW w:w="850" w:type="dxa"/>
            <w:vAlign w:val="bottom"/>
          </w:tcPr>
          <w:p w14:paraId="476D66D7" w14:textId="77777777" w:rsidR="00B449D0" w:rsidRDefault="00175344">
            <w:pPr>
              <w:pStyle w:val="Summarytabletextrightaligned"/>
            </w:pPr>
            <w:r>
              <w:t>0.3</w:t>
            </w:r>
          </w:p>
        </w:tc>
        <w:tc>
          <w:tcPr>
            <w:tcW w:w="850" w:type="dxa"/>
            <w:vAlign w:val="bottom"/>
          </w:tcPr>
          <w:p w14:paraId="4B0F16BA" w14:textId="64CD6E9E" w:rsidR="00B449D0" w:rsidRDefault="00076D78">
            <w:pPr>
              <w:pStyle w:val="Summarytabletextrightaligned"/>
            </w:pPr>
            <w:r>
              <w:noBreakHyphen/>
            </w:r>
          </w:p>
        </w:tc>
        <w:tc>
          <w:tcPr>
            <w:tcW w:w="850" w:type="dxa"/>
            <w:vAlign w:val="bottom"/>
          </w:tcPr>
          <w:p w14:paraId="1CE7C87F" w14:textId="4858D721" w:rsidR="00B449D0" w:rsidRDefault="00076D78">
            <w:pPr>
              <w:pStyle w:val="Summarytabletextrightaligned"/>
            </w:pPr>
            <w:r>
              <w:noBreakHyphen/>
            </w:r>
          </w:p>
        </w:tc>
      </w:tr>
      <w:tr w:rsidR="00B449D0" w14:paraId="453E460D" w14:textId="77777777" w:rsidTr="7F762F0D">
        <w:tc>
          <w:tcPr>
            <w:tcW w:w="3471" w:type="dxa"/>
            <w:vAlign w:val="bottom"/>
          </w:tcPr>
          <w:p w14:paraId="35396263" w14:textId="77777777" w:rsidR="00B449D0" w:rsidRDefault="00175344">
            <w:pPr>
              <w:pStyle w:val="Summarytabletextleftalignedbold"/>
            </w:pPr>
            <w:r>
              <w:t>Portfolio total</w:t>
            </w:r>
          </w:p>
        </w:tc>
        <w:tc>
          <w:tcPr>
            <w:tcW w:w="850" w:type="dxa"/>
            <w:tcBorders>
              <w:top w:val="single" w:sz="4" w:space="0" w:color="000000" w:themeColor="text1"/>
              <w:bottom w:val="single" w:sz="4" w:space="0" w:color="000000" w:themeColor="text1"/>
            </w:tcBorders>
            <w:vAlign w:val="bottom"/>
          </w:tcPr>
          <w:p w14:paraId="758046E2" w14:textId="77777777" w:rsidR="00B449D0" w:rsidRDefault="00175344">
            <w:pPr>
              <w:pStyle w:val="Summarytabletextrightalignedbold"/>
            </w:pPr>
            <w:r>
              <w:t>0.2</w:t>
            </w:r>
          </w:p>
        </w:tc>
        <w:tc>
          <w:tcPr>
            <w:tcW w:w="850" w:type="dxa"/>
            <w:tcBorders>
              <w:top w:val="single" w:sz="4" w:space="0" w:color="000000" w:themeColor="text1"/>
              <w:bottom w:val="single" w:sz="4" w:space="0" w:color="000000" w:themeColor="text1"/>
            </w:tcBorders>
            <w:shd w:val="clear" w:color="auto" w:fill="E6F2FF"/>
            <w:vAlign w:val="bottom"/>
          </w:tcPr>
          <w:p w14:paraId="552C318E" w14:textId="77777777" w:rsidR="00B449D0" w:rsidRDefault="00175344">
            <w:pPr>
              <w:pStyle w:val="Summarytabletextrightalignedbold"/>
            </w:pPr>
            <w:r>
              <w:t>130.9</w:t>
            </w:r>
          </w:p>
        </w:tc>
        <w:tc>
          <w:tcPr>
            <w:tcW w:w="850" w:type="dxa"/>
            <w:tcBorders>
              <w:top w:val="single" w:sz="4" w:space="0" w:color="000000" w:themeColor="text1"/>
              <w:bottom w:val="single" w:sz="4" w:space="0" w:color="000000" w:themeColor="text1"/>
            </w:tcBorders>
            <w:vAlign w:val="bottom"/>
          </w:tcPr>
          <w:p w14:paraId="1B75EC54" w14:textId="77777777" w:rsidR="00B449D0" w:rsidRDefault="00175344">
            <w:pPr>
              <w:pStyle w:val="Summarytabletextrightalignedbold"/>
            </w:pPr>
            <w:r>
              <w:t>1,055.2</w:t>
            </w:r>
          </w:p>
        </w:tc>
        <w:tc>
          <w:tcPr>
            <w:tcW w:w="850" w:type="dxa"/>
            <w:tcBorders>
              <w:top w:val="single" w:sz="4" w:space="0" w:color="000000" w:themeColor="text1"/>
              <w:bottom w:val="single" w:sz="4" w:space="0" w:color="000000" w:themeColor="text1"/>
            </w:tcBorders>
            <w:vAlign w:val="bottom"/>
          </w:tcPr>
          <w:p w14:paraId="15F820E5" w14:textId="77777777" w:rsidR="00B449D0" w:rsidRDefault="00175344">
            <w:pPr>
              <w:pStyle w:val="Summarytabletextrightalignedbold"/>
            </w:pPr>
            <w:r>
              <w:t>207.3</w:t>
            </w:r>
          </w:p>
        </w:tc>
        <w:tc>
          <w:tcPr>
            <w:tcW w:w="850" w:type="dxa"/>
            <w:tcBorders>
              <w:top w:val="single" w:sz="4" w:space="0" w:color="000000" w:themeColor="text1"/>
              <w:bottom w:val="single" w:sz="4" w:space="0" w:color="000000" w:themeColor="text1"/>
            </w:tcBorders>
            <w:vAlign w:val="bottom"/>
          </w:tcPr>
          <w:p w14:paraId="6B12A484" w14:textId="77777777" w:rsidR="00B449D0" w:rsidRDefault="00175344">
            <w:pPr>
              <w:pStyle w:val="Summarytabletextrightalignedbold"/>
            </w:pPr>
            <w:r>
              <w:t>106.0</w:t>
            </w:r>
          </w:p>
        </w:tc>
      </w:tr>
    </w:tbl>
    <w:p w14:paraId="0112425C" w14:textId="77777777" w:rsidR="00301E48" w:rsidRDefault="00301E48" w:rsidP="002C36E4">
      <w:pPr>
        <w:pStyle w:val="SingleParagraph0"/>
        <w:sectPr w:rsidR="00301E48" w:rsidSect="00301E48">
          <w:pgSz w:w="11906" w:h="16838"/>
          <w:pgMar w:top="2835" w:right="2098" w:bottom="2466" w:left="2098" w:header="1814" w:footer="1814" w:gutter="0"/>
          <w:cols w:space="720"/>
          <w:docGrid w:linePitch="272"/>
        </w:sectPr>
      </w:pPr>
    </w:p>
    <w:p w14:paraId="34886A89" w14:textId="63CEBDB7" w:rsidR="00301E48" w:rsidRDefault="00301E48" w:rsidP="00301E48">
      <w:pPr>
        <w:pStyle w:val="TableHeadingcontinued"/>
      </w:pPr>
      <w:r>
        <w:lastRenderedPageBreak/>
        <w:t xml:space="preserve">Table </w:t>
      </w:r>
      <w:r w:rsidR="006E0A94">
        <w:t>A.</w:t>
      </w:r>
      <w:r>
        <w:t>2: Payment measures since the 2024–25 Budget</w:t>
      </w:r>
      <w:r>
        <w:rPr>
          <w:rFonts w:ascii="Cambria Math" w:hAnsi="Cambria Math" w:cs="Cambria Math"/>
        </w:rPr>
        <w:t>⁽</w:t>
      </w:r>
      <w:r>
        <w:rPr>
          <w:rFonts w:cs="Arial"/>
        </w:rPr>
        <w:t>ª</w:t>
      </w:r>
      <w:r>
        <w:rPr>
          <w:rFonts w:ascii="Cambria Math" w:hAnsi="Cambria Math" w:cs="Cambria Math"/>
        </w:rPr>
        <w:t>⁾</w:t>
      </w:r>
      <w:r>
        <w:t xml:space="preserve"> (continued)</w:t>
      </w:r>
    </w:p>
    <w:tbl>
      <w:tblPr>
        <w:tblOverlap w:val="never"/>
        <w:tblW w:w="7721" w:type="dxa"/>
        <w:tblBorders>
          <w:top w:val="single" w:sz="4" w:space="0" w:color="000000"/>
          <w:bottom w:val="single" w:sz="4" w:space="0" w:color="000000"/>
        </w:tblBorders>
        <w:tblLayout w:type="fixed"/>
        <w:tblCellMar>
          <w:left w:w="0" w:type="dxa"/>
          <w:right w:w="56" w:type="dxa"/>
        </w:tblCellMar>
        <w:tblLook w:val="04A0" w:firstRow="1" w:lastRow="0" w:firstColumn="1" w:lastColumn="0" w:noHBand="0" w:noVBand="1"/>
      </w:tblPr>
      <w:tblGrid>
        <w:gridCol w:w="3471"/>
        <w:gridCol w:w="850"/>
        <w:gridCol w:w="850"/>
        <w:gridCol w:w="850"/>
        <w:gridCol w:w="850"/>
        <w:gridCol w:w="850"/>
      </w:tblGrid>
      <w:tr w:rsidR="00301E48" w14:paraId="1DA64DFD" w14:textId="77777777" w:rsidTr="00301E48">
        <w:tc>
          <w:tcPr>
            <w:tcW w:w="3471" w:type="dxa"/>
            <w:vAlign w:val="bottom"/>
          </w:tcPr>
          <w:p w14:paraId="706BDC90" w14:textId="77777777" w:rsidR="00301E48" w:rsidRDefault="00301E48" w:rsidP="00301E48"/>
        </w:tc>
        <w:tc>
          <w:tcPr>
            <w:tcW w:w="850" w:type="dxa"/>
            <w:tcBorders>
              <w:bottom w:val="nil"/>
            </w:tcBorders>
          </w:tcPr>
          <w:p w14:paraId="74F98100" w14:textId="624F840A" w:rsidR="00301E48" w:rsidRDefault="00301E48" w:rsidP="00301E48">
            <w:pPr>
              <w:pStyle w:val="Summarytabletextrightaligned"/>
            </w:pPr>
            <w:r>
              <w:t>2023</w:t>
            </w:r>
            <w:r w:rsidR="00076D78">
              <w:noBreakHyphen/>
            </w:r>
            <w:r>
              <w:t>24</w:t>
            </w:r>
          </w:p>
        </w:tc>
        <w:tc>
          <w:tcPr>
            <w:tcW w:w="850" w:type="dxa"/>
            <w:tcBorders>
              <w:bottom w:val="nil"/>
            </w:tcBorders>
            <w:shd w:val="clear" w:color="auto" w:fill="E6F2FF"/>
          </w:tcPr>
          <w:p w14:paraId="22D6C8D3" w14:textId="7405EEC0" w:rsidR="00301E48" w:rsidRDefault="00301E48" w:rsidP="00301E48">
            <w:pPr>
              <w:pStyle w:val="Summarytabletextrightaligned"/>
            </w:pPr>
            <w:r>
              <w:t>2024</w:t>
            </w:r>
            <w:r w:rsidR="00076D78">
              <w:noBreakHyphen/>
            </w:r>
            <w:r>
              <w:t>25</w:t>
            </w:r>
          </w:p>
        </w:tc>
        <w:tc>
          <w:tcPr>
            <w:tcW w:w="850" w:type="dxa"/>
            <w:tcBorders>
              <w:bottom w:val="nil"/>
            </w:tcBorders>
          </w:tcPr>
          <w:p w14:paraId="24E308D1" w14:textId="38F9A5CE" w:rsidR="00301E48" w:rsidRDefault="00301E48" w:rsidP="00301E48">
            <w:pPr>
              <w:pStyle w:val="Summarytabletextrightaligned"/>
            </w:pPr>
            <w:r>
              <w:t>2025</w:t>
            </w:r>
            <w:r w:rsidR="00076D78">
              <w:noBreakHyphen/>
            </w:r>
            <w:r>
              <w:t>26</w:t>
            </w:r>
          </w:p>
        </w:tc>
        <w:tc>
          <w:tcPr>
            <w:tcW w:w="850" w:type="dxa"/>
            <w:tcBorders>
              <w:bottom w:val="nil"/>
            </w:tcBorders>
          </w:tcPr>
          <w:p w14:paraId="34D5FC50" w14:textId="19E1E96A" w:rsidR="00301E48" w:rsidRDefault="00301E48" w:rsidP="00301E48">
            <w:pPr>
              <w:pStyle w:val="Summarytabletextrightaligned"/>
            </w:pPr>
            <w:r>
              <w:t>2026</w:t>
            </w:r>
            <w:r w:rsidR="00076D78">
              <w:noBreakHyphen/>
            </w:r>
            <w:r>
              <w:t>27</w:t>
            </w:r>
          </w:p>
        </w:tc>
        <w:tc>
          <w:tcPr>
            <w:tcW w:w="850" w:type="dxa"/>
            <w:tcBorders>
              <w:bottom w:val="nil"/>
            </w:tcBorders>
          </w:tcPr>
          <w:p w14:paraId="103D605B" w14:textId="27C0E892" w:rsidR="00301E48" w:rsidRDefault="00301E48" w:rsidP="00301E48">
            <w:pPr>
              <w:pStyle w:val="Summarytabletextrightaligned"/>
            </w:pPr>
            <w:r>
              <w:t>2027</w:t>
            </w:r>
            <w:r w:rsidR="00076D78">
              <w:noBreakHyphen/>
            </w:r>
            <w:r>
              <w:t>28</w:t>
            </w:r>
          </w:p>
        </w:tc>
      </w:tr>
      <w:tr w:rsidR="00301E48" w14:paraId="0F115A94" w14:textId="77777777" w:rsidTr="00301E48">
        <w:tc>
          <w:tcPr>
            <w:tcW w:w="3471" w:type="dxa"/>
            <w:vAlign w:val="bottom"/>
          </w:tcPr>
          <w:p w14:paraId="100AAEF7" w14:textId="77777777" w:rsidR="00301E48" w:rsidRDefault="00301E48" w:rsidP="00301E48"/>
        </w:tc>
        <w:tc>
          <w:tcPr>
            <w:tcW w:w="850" w:type="dxa"/>
            <w:tcBorders>
              <w:top w:val="nil"/>
              <w:bottom w:val="single" w:sz="4" w:space="0" w:color="auto"/>
            </w:tcBorders>
            <w:shd w:val="clear" w:color="auto" w:fill="auto"/>
          </w:tcPr>
          <w:p w14:paraId="04E6FB39" w14:textId="77777777" w:rsidR="00301E48" w:rsidRDefault="00301E48" w:rsidP="00301E48">
            <w:pPr>
              <w:pStyle w:val="Summarytabletextrightaligned"/>
            </w:pPr>
            <w:r>
              <w:t>$m</w:t>
            </w:r>
          </w:p>
        </w:tc>
        <w:tc>
          <w:tcPr>
            <w:tcW w:w="850" w:type="dxa"/>
            <w:tcBorders>
              <w:top w:val="nil"/>
              <w:bottom w:val="single" w:sz="4" w:space="0" w:color="auto"/>
            </w:tcBorders>
            <w:shd w:val="clear" w:color="auto" w:fill="E6F2FF"/>
          </w:tcPr>
          <w:p w14:paraId="2C4063BE" w14:textId="77777777" w:rsidR="00301E48" w:rsidRDefault="00301E48" w:rsidP="00301E48">
            <w:pPr>
              <w:pStyle w:val="Summarytabletextrightaligned"/>
            </w:pPr>
            <w:r>
              <w:t>$m</w:t>
            </w:r>
          </w:p>
        </w:tc>
        <w:tc>
          <w:tcPr>
            <w:tcW w:w="850" w:type="dxa"/>
            <w:tcBorders>
              <w:top w:val="nil"/>
              <w:bottom w:val="single" w:sz="4" w:space="0" w:color="auto"/>
            </w:tcBorders>
            <w:shd w:val="clear" w:color="auto" w:fill="auto"/>
          </w:tcPr>
          <w:p w14:paraId="3D3F460B" w14:textId="77777777" w:rsidR="00301E48" w:rsidRDefault="00301E48" w:rsidP="00301E48">
            <w:pPr>
              <w:pStyle w:val="Summarytabletextrightaligned"/>
            </w:pPr>
            <w:r>
              <w:t>$m</w:t>
            </w:r>
          </w:p>
        </w:tc>
        <w:tc>
          <w:tcPr>
            <w:tcW w:w="850" w:type="dxa"/>
            <w:tcBorders>
              <w:top w:val="nil"/>
              <w:bottom w:val="single" w:sz="4" w:space="0" w:color="auto"/>
            </w:tcBorders>
            <w:shd w:val="clear" w:color="auto" w:fill="auto"/>
          </w:tcPr>
          <w:p w14:paraId="3F6EDB8E" w14:textId="77777777" w:rsidR="00301E48" w:rsidRDefault="00301E48" w:rsidP="00301E48">
            <w:pPr>
              <w:pStyle w:val="Summarytabletextrightaligned"/>
            </w:pPr>
            <w:r>
              <w:t>$m</w:t>
            </w:r>
          </w:p>
        </w:tc>
        <w:tc>
          <w:tcPr>
            <w:tcW w:w="850" w:type="dxa"/>
            <w:tcBorders>
              <w:top w:val="nil"/>
              <w:bottom w:val="single" w:sz="4" w:space="0" w:color="auto"/>
            </w:tcBorders>
            <w:shd w:val="clear" w:color="auto" w:fill="auto"/>
          </w:tcPr>
          <w:p w14:paraId="1AE99BF9" w14:textId="77777777" w:rsidR="00301E48" w:rsidRDefault="00301E48" w:rsidP="00301E48">
            <w:pPr>
              <w:pStyle w:val="Summarytabletextrightaligned"/>
            </w:pPr>
            <w:r>
              <w:t>$m</w:t>
            </w:r>
          </w:p>
        </w:tc>
      </w:tr>
      <w:tr w:rsidR="00B449D0" w14:paraId="1C4B42A7" w14:textId="77777777" w:rsidTr="00301E48">
        <w:tc>
          <w:tcPr>
            <w:tcW w:w="3471" w:type="dxa"/>
            <w:vAlign w:val="bottom"/>
          </w:tcPr>
          <w:p w14:paraId="27CC9F4E" w14:textId="77777777" w:rsidR="00B449D0" w:rsidRDefault="00175344">
            <w:pPr>
              <w:pStyle w:val="SummaryPortfolioTitle-BP2"/>
            </w:pPr>
            <w:r>
              <w:t>TREASURY</w:t>
            </w:r>
          </w:p>
        </w:tc>
        <w:tc>
          <w:tcPr>
            <w:tcW w:w="850" w:type="dxa"/>
            <w:tcBorders>
              <w:top w:val="single" w:sz="4" w:space="0" w:color="auto"/>
            </w:tcBorders>
          </w:tcPr>
          <w:p w14:paraId="70084E5F" w14:textId="77777777" w:rsidR="00B449D0" w:rsidRDefault="00B449D0">
            <w:pPr>
              <w:pStyle w:val="MeasureTableTextRightAlignedBefore6ptAfter1pt"/>
            </w:pPr>
          </w:p>
        </w:tc>
        <w:tc>
          <w:tcPr>
            <w:tcW w:w="850" w:type="dxa"/>
            <w:tcBorders>
              <w:top w:val="single" w:sz="4" w:space="0" w:color="auto"/>
            </w:tcBorders>
            <w:shd w:val="clear" w:color="auto" w:fill="E6F2FF"/>
          </w:tcPr>
          <w:p w14:paraId="09B386F4" w14:textId="77777777" w:rsidR="00B449D0" w:rsidRDefault="00B449D0">
            <w:pPr>
              <w:pStyle w:val="MeasureTableTextRightAlignedBefore6ptAfter1pt"/>
            </w:pPr>
          </w:p>
        </w:tc>
        <w:tc>
          <w:tcPr>
            <w:tcW w:w="850" w:type="dxa"/>
            <w:tcBorders>
              <w:top w:val="single" w:sz="4" w:space="0" w:color="auto"/>
            </w:tcBorders>
          </w:tcPr>
          <w:p w14:paraId="474CFC9B" w14:textId="77777777" w:rsidR="00B449D0" w:rsidRDefault="00B449D0">
            <w:pPr>
              <w:pStyle w:val="MeasureTableTextRightAlignedBefore6ptAfter1pt"/>
            </w:pPr>
          </w:p>
        </w:tc>
        <w:tc>
          <w:tcPr>
            <w:tcW w:w="850" w:type="dxa"/>
            <w:tcBorders>
              <w:top w:val="single" w:sz="4" w:space="0" w:color="auto"/>
            </w:tcBorders>
          </w:tcPr>
          <w:p w14:paraId="6F83A876" w14:textId="77777777" w:rsidR="00B449D0" w:rsidRDefault="00B449D0">
            <w:pPr>
              <w:pStyle w:val="MeasureTableTextRightAlignedBefore6ptAfter1pt"/>
            </w:pPr>
          </w:p>
        </w:tc>
        <w:tc>
          <w:tcPr>
            <w:tcW w:w="850" w:type="dxa"/>
            <w:tcBorders>
              <w:top w:val="single" w:sz="4" w:space="0" w:color="auto"/>
            </w:tcBorders>
          </w:tcPr>
          <w:p w14:paraId="28E2B520" w14:textId="77777777" w:rsidR="00B449D0" w:rsidRDefault="00B449D0">
            <w:pPr>
              <w:pStyle w:val="MeasureTableTextRightAlignedBefore6ptAfter1pt"/>
            </w:pPr>
          </w:p>
        </w:tc>
      </w:tr>
      <w:tr w:rsidR="00B449D0" w14:paraId="13F96CED" w14:textId="77777777" w:rsidTr="00301E48">
        <w:tc>
          <w:tcPr>
            <w:tcW w:w="3471" w:type="dxa"/>
            <w:vAlign w:val="bottom"/>
          </w:tcPr>
          <w:p w14:paraId="0E48B2B9" w14:textId="77777777" w:rsidR="00B449D0" w:rsidRDefault="00175344">
            <w:pPr>
              <w:pStyle w:val="SummaryAgencyTitle-BP2"/>
            </w:pPr>
            <w:r>
              <w:t>Australian Bureau of Statistics</w:t>
            </w:r>
          </w:p>
        </w:tc>
        <w:tc>
          <w:tcPr>
            <w:tcW w:w="850" w:type="dxa"/>
          </w:tcPr>
          <w:p w14:paraId="15FD2393" w14:textId="77777777" w:rsidR="00B449D0" w:rsidRDefault="00B449D0">
            <w:pPr>
              <w:pStyle w:val="SummaryAgencyTitle-BP2"/>
            </w:pPr>
          </w:p>
        </w:tc>
        <w:tc>
          <w:tcPr>
            <w:tcW w:w="850" w:type="dxa"/>
            <w:shd w:val="clear" w:color="auto" w:fill="E6F2FF"/>
          </w:tcPr>
          <w:p w14:paraId="2B4A7301" w14:textId="77777777" w:rsidR="00B449D0" w:rsidRDefault="00B449D0">
            <w:pPr>
              <w:pStyle w:val="SummaryAgencyTitle-BP2"/>
            </w:pPr>
          </w:p>
        </w:tc>
        <w:tc>
          <w:tcPr>
            <w:tcW w:w="850" w:type="dxa"/>
          </w:tcPr>
          <w:p w14:paraId="622AB478" w14:textId="77777777" w:rsidR="00B449D0" w:rsidRDefault="00B449D0">
            <w:pPr>
              <w:pStyle w:val="SummaryAgencyTitle-BP2"/>
            </w:pPr>
          </w:p>
        </w:tc>
        <w:tc>
          <w:tcPr>
            <w:tcW w:w="850" w:type="dxa"/>
          </w:tcPr>
          <w:p w14:paraId="1B5A47E6" w14:textId="77777777" w:rsidR="00B449D0" w:rsidRDefault="00B449D0">
            <w:pPr>
              <w:pStyle w:val="SummaryAgencyTitle-BP2"/>
            </w:pPr>
          </w:p>
        </w:tc>
        <w:tc>
          <w:tcPr>
            <w:tcW w:w="850" w:type="dxa"/>
          </w:tcPr>
          <w:p w14:paraId="7184F009" w14:textId="77777777" w:rsidR="00B449D0" w:rsidRDefault="00B449D0">
            <w:pPr>
              <w:pStyle w:val="SummaryAgencyTitle-BP2"/>
            </w:pPr>
          </w:p>
        </w:tc>
      </w:tr>
      <w:tr w:rsidR="00B449D0" w14:paraId="5C29EFF0" w14:textId="77777777" w:rsidTr="00301E48">
        <w:tc>
          <w:tcPr>
            <w:tcW w:w="3471" w:type="dxa"/>
            <w:vAlign w:val="bottom"/>
          </w:tcPr>
          <w:p w14:paraId="62D48A0D" w14:textId="5890A101" w:rsidR="00B449D0" w:rsidRDefault="00175344">
            <w:pPr>
              <w:pStyle w:val="SummaryMeasureTitlewithTheme"/>
            </w:pPr>
            <w:r>
              <w:t>Building Australia</w:t>
            </w:r>
            <w:r w:rsidR="00076D78">
              <w:t>’</w:t>
            </w:r>
            <w:r>
              <w:t xml:space="preserve">s Future </w:t>
            </w:r>
            <w:r w:rsidR="00D97212">
              <w:t>–</w:t>
            </w:r>
            <w:r>
              <w:t xml:space="preserve"> delivering pay rises for early educators(b)</w:t>
            </w:r>
          </w:p>
        </w:tc>
        <w:tc>
          <w:tcPr>
            <w:tcW w:w="850" w:type="dxa"/>
            <w:vAlign w:val="bottom"/>
          </w:tcPr>
          <w:p w14:paraId="0EC0F948" w14:textId="55718294" w:rsidR="00B449D0" w:rsidRDefault="00076D78">
            <w:pPr>
              <w:pStyle w:val="Summarytabletextrightaligned"/>
            </w:pPr>
            <w:r>
              <w:noBreakHyphen/>
            </w:r>
          </w:p>
        </w:tc>
        <w:tc>
          <w:tcPr>
            <w:tcW w:w="850" w:type="dxa"/>
            <w:shd w:val="clear" w:color="auto" w:fill="E6F2FF"/>
            <w:vAlign w:val="bottom"/>
          </w:tcPr>
          <w:p w14:paraId="1C27E97E" w14:textId="0A4B9122" w:rsidR="00B449D0" w:rsidRDefault="00076D78">
            <w:pPr>
              <w:pStyle w:val="Summarytabletextrightaligned"/>
            </w:pPr>
            <w:r>
              <w:noBreakHyphen/>
            </w:r>
          </w:p>
        </w:tc>
        <w:tc>
          <w:tcPr>
            <w:tcW w:w="850" w:type="dxa"/>
            <w:vAlign w:val="bottom"/>
          </w:tcPr>
          <w:p w14:paraId="4235524D" w14:textId="77777777" w:rsidR="00B449D0" w:rsidRDefault="00175344">
            <w:pPr>
              <w:pStyle w:val="Summarytabletextrightaligned"/>
            </w:pPr>
            <w:r>
              <w:t>0.2</w:t>
            </w:r>
          </w:p>
        </w:tc>
        <w:tc>
          <w:tcPr>
            <w:tcW w:w="850" w:type="dxa"/>
            <w:vAlign w:val="bottom"/>
          </w:tcPr>
          <w:p w14:paraId="12A33169" w14:textId="77777777" w:rsidR="00B449D0" w:rsidRDefault="00175344">
            <w:pPr>
              <w:pStyle w:val="Summarytabletextrightaligned"/>
            </w:pPr>
            <w:r>
              <w:t>0.2</w:t>
            </w:r>
          </w:p>
        </w:tc>
        <w:tc>
          <w:tcPr>
            <w:tcW w:w="850" w:type="dxa"/>
            <w:vAlign w:val="bottom"/>
          </w:tcPr>
          <w:p w14:paraId="19AB5008" w14:textId="77777777" w:rsidR="00B449D0" w:rsidRDefault="00175344">
            <w:pPr>
              <w:pStyle w:val="Summarytabletextrightaligned"/>
            </w:pPr>
            <w:r>
              <w:t>0.1</w:t>
            </w:r>
          </w:p>
        </w:tc>
      </w:tr>
      <w:tr w:rsidR="00B449D0" w14:paraId="766BF3F2" w14:textId="77777777" w:rsidTr="00301E48">
        <w:tc>
          <w:tcPr>
            <w:tcW w:w="3471" w:type="dxa"/>
            <w:vAlign w:val="bottom"/>
          </w:tcPr>
          <w:p w14:paraId="4FE6AA65" w14:textId="77777777" w:rsidR="00B449D0" w:rsidRDefault="00175344">
            <w:pPr>
              <w:pStyle w:val="SummaryMeasureTitlewithTheme"/>
            </w:pPr>
            <w:r>
              <w:t>Treasury Portfolio – additional resourcing</w:t>
            </w:r>
          </w:p>
        </w:tc>
        <w:tc>
          <w:tcPr>
            <w:tcW w:w="850" w:type="dxa"/>
            <w:vAlign w:val="bottom"/>
          </w:tcPr>
          <w:p w14:paraId="5F23C738" w14:textId="21C2BEBA" w:rsidR="00B449D0" w:rsidRDefault="00076D78">
            <w:pPr>
              <w:pStyle w:val="Summarytabletextrightaligned"/>
            </w:pPr>
            <w:r>
              <w:noBreakHyphen/>
            </w:r>
          </w:p>
        </w:tc>
        <w:tc>
          <w:tcPr>
            <w:tcW w:w="850" w:type="dxa"/>
            <w:shd w:val="clear" w:color="auto" w:fill="E6F2FF"/>
            <w:vAlign w:val="bottom"/>
          </w:tcPr>
          <w:p w14:paraId="7A9EAA13" w14:textId="77777777" w:rsidR="00B449D0" w:rsidRDefault="00175344">
            <w:pPr>
              <w:pStyle w:val="Summarytabletextrightaligned"/>
            </w:pPr>
            <w:r>
              <w:t>20.2</w:t>
            </w:r>
          </w:p>
        </w:tc>
        <w:tc>
          <w:tcPr>
            <w:tcW w:w="850" w:type="dxa"/>
            <w:vAlign w:val="bottom"/>
          </w:tcPr>
          <w:p w14:paraId="33EF88F9" w14:textId="77777777" w:rsidR="00B449D0" w:rsidRDefault="00175344">
            <w:pPr>
              <w:pStyle w:val="Summarytabletextrightaligned"/>
            </w:pPr>
            <w:r>
              <w:t>44.4</w:t>
            </w:r>
          </w:p>
        </w:tc>
        <w:tc>
          <w:tcPr>
            <w:tcW w:w="850" w:type="dxa"/>
            <w:vAlign w:val="bottom"/>
          </w:tcPr>
          <w:p w14:paraId="07668BDB" w14:textId="77777777" w:rsidR="00B449D0" w:rsidRDefault="00175344">
            <w:pPr>
              <w:pStyle w:val="Summarytabletextrightaligned"/>
            </w:pPr>
            <w:r>
              <w:t>33.5</w:t>
            </w:r>
          </w:p>
        </w:tc>
        <w:tc>
          <w:tcPr>
            <w:tcW w:w="850" w:type="dxa"/>
            <w:vAlign w:val="bottom"/>
          </w:tcPr>
          <w:p w14:paraId="04100A68" w14:textId="0A915E9A" w:rsidR="00B449D0" w:rsidRDefault="00076D78">
            <w:pPr>
              <w:pStyle w:val="Summarytabletextrightaligned"/>
            </w:pPr>
            <w:r>
              <w:noBreakHyphen/>
            </w:r>
            <w:r w:rsidR="00175344">
              <w:t>0.2</w:t>
            </w:r>
          </w:p>
        </w:tc>
      </w:tr>
      <w:tr w:rsidR="00B449D0" w14:paraId="1391229B" w14:textId="77777777" w:rsidTr="00301E48">
        <w:tc>
          <w:tcPr>
            <w:tcW w:w="3471" w:type="dxa"/>
            <w:vAlign w:val="bottom"/>
          </w:tcPr>
          <w:p w14:paraId="267A85A6" w14:textId="77777777" w:rsidR="00B449D0" w:rsidRDefault="00175344">
            <w:pPr>
              <w:pStyle w:val="SummaryAgencyTitle-BP2"/>
            </w:pPr>
            <w:r>
              <w:t>Australian Competition and Consumer Commission</w:t>
            </w:r>
          </w:p>
        </w:tc>
        <w:tc>
          <w:tcPr>
            <w:tcW w:w="850" w:type="dxa"/>
          </w:tcPr>
          <w:p w14:paraId="4565F929" w14:textId="77777777" w:rsidR="00B449D0" w:rsidRDefault="00B449D0">
            <w:pPr>
              <w:pStyle w:val="SummaryAgencyTitle-BP2"/>
            </w:pPr>
          </w:p>
        </w:tc>
        <w:tc>
          <w:tcPr>
            <w:tcW w:w="850" w:type="dxa"/>
            <w:shd w:val="clear" w:color="auto" w:fill="E6F2FF"/>
          </w:tcPr>
          <w:p w14:paraId="74147B26" w14:textId="77777777" w:rsidR="00B449D0" w:rsidRDefault="00B449D0">
            <w:pPr>
              <w:pStyle w:val="SummaryAgencyTitle-BP2"/>
            </w:pPr>
          </w:p>
        </w:tc>
        <w:tc>
          <w:tcPr>
            <w:tcW w:w="850" w:type="dxa"/>
          </w:tcPr>
          <w:p w14:paraId="50C5582A" w14:textId="77777777" w:rsidR="00B449D0" w:rsidRDefault="00B449D0">
            <w:pPr>
              <w:pStyle w:val="SummaryAgencyTitle-BP2"/>
            </w:pPr>
          </w:p>
        </w:tc>
        <w:tc>
          <w:tcPr>
            <w:tcW w:w="850" w:type="dxa"/>
          </w:tcPr>
          <w:p w14:paraId="3DD42ABC" w14:textId="77777777" w:rsidR="00B449D0" w:rsidRDefault="00B449D0">
            <w:pPr>
              <w:pStyle w:val="SummaryAgencyTitle-BP2"/>
            </w:pPr>
          </w:p>
        </w:tc>
        <w:tc>
          <w:tcPr>
            <w:tcW w:w="850" w:type="dxa"/>
          </w:tcPr>
          <w:p w14:paraId="0F784238" w14:textId="77777777" w:rsidR="00B449D0" w:rsidRDefault="00B449D0">
            <w:pPr>
              <w:pStyle w:val="SummaryAgencyTitle-BP2"/>
            </w:pPr>
          </w:p>
        </w:tc>
      </w:tr>
      <w:tr w:rsidR="00B449D0" w14:paraId="60542A4C" w14:textId="77777777" w:rsidTr="00301E48">
        <w:tc>
          <w:tcPr>
            <w:tcW w:w="3471" w:type="dxa"/>
            <w:vAlign w:val="bottom"/>
          </w:tcPr>
          <w:p w14:paraId="41E959FE" w14:textId="77777777" w:rsidR="00B449D0" w:rsidRDefault="00175344">
            <w:pPr>
              <w:pStyle w:val="SummaryMeasureTitlewithTheme"/>
            </w:pPr>
            <w:r>
              <w:t>Addressing Surcharges</w:t>
            </w:r>
          </w:p>
        </w:tc>
        <w:tc>
          <w:tcPr>
            <w:tcW w:w="850" w:type="dxa"/>
            <w:vAlign w:val="bottom"/>
          </w:tcPr>
          <w:p w14:paraId="302E3C44" w14:textId="074618E0" w:rsidR="00B449D0" w:rsidRDefault="00076D78">
            <w:pPr>
              <w:pStyle w:val="Summarytabletextrightaligned"/>
            </w:pPr>
            <w:r>
              <w:noBreakHyphen/>
            </w:r>
          </w:p>
        </w:tc>
        <w:tc>
          <w:tcPr>
            <w:tcW w:w="850" w:type="dxa"/>
            <w:shd w:val="clear" w:color="auto" w:fill="E6F2FF"/>
            <w:vAlign w:val="bottom"/>
          </w:tcPr>
          <w:p w14:paraId="78CAD21E" w14:textId="77777777" w:rsidR="00B449D0" w:rsidRDefault="00175344">
            <w:pPr>
              <w:pStyle w:val="Summarytabletextrightaligned"/>
            </w:pPr>
            <w:r>
              <w:t>1.1</w:t>
            </w:r>
          </w:p>
        </w:tc>
        <w:tc>
          <w:tcPr>
            <w:tcW w:w="850" w:type="dxa"/>
            <w:vAlign w:val="bottom"/>
          </w:tcPr>
          <w:p w14:paraId="17EBCBCD" w14:textId="77777777" w:rsidR="00B449D0" w:rsidRDefault="00175344">
            <w:pPr>
              <w:pStyle w:val="Summarytabletextrightaligned"/>
            </w:pPr>
            <w:r>
              <w:t>1.1</w:t>
            </w:r>
          </w:p>
        </w:tc>
        <w:tc>
          <w:tcPr>
            <w:tcW w:w="850" w:type="dxa"/>
            <w:vAlign w:val="bottom"/>
          </w:tcPr>
          <w:p w14:paraId="4BF63789" w14:textId="3792C055" w:rsidR="00B449D0" w:rsidRDefault="00076D78">
            <w:pPr>
              <w:pStyle w:val="Summarytabletextrightaligned"/>
            </w:pPr>
            <w:r>
              <w:noBreakHyphen/>
            </w:r>
          </w:p>
        </w:tc>
        <w:tc>
          <w:tcPr>
            <w:tcW w:w="850" w:type="dxa"/>
            <w:vAlign w:val="bottom"/>
          </w:tcPr>
          <w:p w14:paraId="3FBD6839" w14:textId="791B293D" w:rsidR="00B449D0" w:rsidRDefault="00076D78">
            <w:pPr>
              <w:pStyle w:val="Summarytabletextrightaligned"/>
            </w:pPr>
            <w:r>
              <w:noBreakHyphen/>
            </w:r>
          </w:p>
        </w:tc>
      </w:tr>
      <w:tr w:rsidR="00B449D0" w14:paraId="20C0C533" w14:textId="77777777" w:rsidTr="00301E48">
        <w:tc>
          <w:tcPr>
            <w:tcW w:w="3471" w:type="dxa"/>
            <w:vAlign w:val="bottom"/>
          </w:tcPr>
          <w:p w14:paraId="17E78C6A" w14:textId="77777777" w:rsidR="00B449D0" w:rsidRDefault="00175344">
            <w:pPr>
              <w:pStyle w:val="SummaryMeasureTitlewithTheme"/>
            </w:pPr>
            <w:r>
              <w:t>Ensuring a Better Deal for Consumers(b)</w:t>
            </w:r>
          </w:p>
        </w:tc>
        <w:tc>
          <w:tcPr>
            <w:tcW w:w="850" w:type="dxa"/>
            <w:vAlign w:val="bottom"/>
          </w:tcPr>
          <w:p w14:paraId="29027A14" w14:textId="73A362B9" w:rsidR="00B449D0" w:rsidRDefault="00076D78">
            <w:pPr>
              <w:pStyle w:val="Summarytabletextrightaligned"/>
            </w:pPr>
            <w:r>
              <w:noBreakHyphen/>
            </w:r>
          </w:p>
        </w:tc>
        <w:tc>
          <w:tcPr>
            <w:tcW w:w="850" w:type="dxa"/>
            <w:shd w:val="clear" w:color="auto" w:fill="E6F2FF"/>
            <w:vAlign w:val="bottom"/>
          </w:tcPr>
          <w:p w14:paraId="5F121440" w14:textId="77777777" w:rsidR="00B449D0" w:rsidRDefault="00175344">
            <w:pPr>
              <w:pStyle w:val="Summarytabletextrightaligned"/>
            </w:pPr>
            <w:r>
              <w:t>4.7</w:t>
            </w:r>
          </w:p>
        </w:tc>
        <w:tc>
          <w:tcPr>
            <w:tcW w:w="850" w:type="dxa"/>
            <w:vAlign w:val="bottom"/>
          </w:tcPr>
          <w:p w14:paraId="539FC3ED" w14:textId="77777777" w:rsidR="00B449D0" w:rsidRDefault="00175344">
            <w:pPr>
              <w:pStyle w:val="Summarytabletextrightaligned"/>
            </w:pPr>
            <w:r>
              <w:t>8.5</w:t>
            </w:r>
          </w:p>
        </w:tc>
        <w:tc>
          <w:tcPr>
            <w:tcW w:w="850" w:type="dxa"/>
            <w:vAlign w:val="bottom"/>
          </w:tcPr>
          <w:p w14:paraId="332C2B6C" w14:textId="77777777" w:rsidR="00B449D0" w:rsidRDefault="00175344">
            <w:pPr>
              <w:pStyle w:val="Summarytabletextrightaligned"/>
            </w:pPr>
            <w:r>
              <w:t>8.6</w:t>
            </w:r>
          </w:p>
        </w:tc>
        <w:tc>
          <w:tcPr>
            <w:tcW w:w="850" w:type="dxa"/>
            <w:vAlign w:val="bottom"/>
          </w:tcPr>
          <w:p w14:paraId="408A9D49" w14:textId="77777777" w:rsidR="00B449D0" w:rsidRDefault="00175344">
            <w:pPr>
              <w:pStyle w:val="Summarytabletextrightaligned"/>
            </w:pPr>
            <w:r>
              <w:t>8.7</w:t>
            </w:r>
          </w:p>
        </w:tc>
      </w:tr>
      <w:tr w:rsidR="00B449D0" w14:paraId="0DB48DB1" w14:textId="77777777" w:rsidTr="00301E48">
        <w:tc>
          <w:tcPr>
            <w:tcW w:w="3471" w:type="dxa"/>
            <w:vAlign w:val="bottom"/>
          </w:tcPr>
          <w:p w14:paraId="1E59FA8A" w14:textId="77777777" w:rsidR="00B449D0" w:rsidRDefault="00175344">
            <w:pPr>
              <w:pStyle w:val="SummaryMeasureTitlewithTheme"/>
            </w:pPr>
            <w:r>
              <w:t>Revitalising National Competition Policy</w:t>
            </w:r>
          </w:p>
        </w:tc>
        <w:tc>
          <w:tcPr>
            <w:tcW w:w="850" w:type="dxa"/>
            <w:vAlign w:val="bottom"/>
          </w:tcPr>
          <w:p w14:paraId="7CED3EC5" w14:textId="0AA1301C" w:rsidR="00B449D0" w:rsidRDefault="00076D78">
            <w:pPr>
              <w:pStyle w:val="Summarytabletextrightaligned"/>
            </w:pPr>
            <w:r>
              <w:noBreakHyphen/>
            </w:r>
          </w:p>
        </w:tc>
        <w:tc>
          <w:tcPr>
            <w:tcW w:w="850" w:type="dxa"/>
            <w:shd w:val="clear" w:color="auto" w:fill="E6F2FF"/>
            <w:vAlign w:val="bottom"/>
          </w:tcPr>
          <w:p w14:paraId="348E0613" w14:textId="1948C9DF" w:rsidR="00B449D0" w:rsidRDefault="00076D78">
            <w:pPr>
              <w:pStyle w:val="Summarytabletextrightaligned"/>
            </w:pPr>
            <w:r>
              <w:noBreakHyphen/>
            </w:r>
          </w:p>
        </w:tc>
        <w:tc>
          <w:tcPr>
            <w:tcW w:w="850" w:type="dxa"/>
            <w:vAlign w:val="bottom"/>
          </w:tcPr>
          <w:p w14:paraId="478BE024" w14:textId="77777777" w:rsidR="00B449D0" w:rsidRDefault="00175344">
            <w:pPr>
              <w:pStyle w:val="Summarytabletextrightaligned"/>
            </w:pPr>
            <w:r>
              <w:t>1.5</w:t>
            </w:r>
          </w:p>
        </w:tc>
        <w:tc>
          <w:tcPr>
            <w:tcW w:w="850" w:type="dxa"/>
            <w:vAlign w:val="bottom"/>
          </w:tcPr>
          <w:p w14:paraId="5C22ABBA" w14:textId="77777777" w:rsidR="00B449D0" w:rsidRDefault="00175344">
            <w:pPr>
              <w:pStyle w:val="Summarytabletextrightaligned"/>
            </w:pPr>
            <w:r>
              <w:t>1.5</w:t>
            </w:r>
          </w:p>
        </w:tc>
        <w:tc>
          <w:tcPr>
            <w:tcW w:w="850" w:type="dxa"/>
            <w:vAlign w:val="bottom"/>
          </w:tcPr>
          <w:p w14:paraId="3922F8EE" w14:textId="77777777" w:rsidR="00B449D0" w:rsidRDefault="00175344">
            <w:pPr>
              <w:pStyle w:val="Summarytabletextrightaligned"/>
            </w:pPr>
            <w:r>
              <w:t>1.5</w:t>
            </w:r>
          </w:p>
        </w:tc>
      </w:tr>
      <w:tr w:rsidR="00B449D0" w14:paraId="048C0AB9" w14:textId="77777777" w:rsidTr="00301E48">
        <w:tc>
          <w:tcPr>
            <w:tcW w:w="3471" w:type="dxa"/>
            <w:vAlign w:val="bottom"/>
          </w:tcPr>
          <w:p w14:paraId="62AC80DC" w14:textId="77777777" w:rsidR="00B449D0" w:rsidRDefault="00175344">
            <w:pPr>
              <w:pStyle w:val="SummaryMeasureTitlewithTheme"/>
            </w:pPr>
            <w:r>
              <w:t>Treasury Portfolio – additional resourcing</w:t>
            </w:r>
          </w:p>
        </w:tc>
        <w:tc>
          <w:tcPr>
            <w:tcW w:w="850" w:type="dxa"/>
            <w:vAlign w:val="bottom"/>
          </w:tcPr>
          <w:p w14:paraId="0ED875A8" w14:textId="60E223F3" w:rsidR="00B449D0" w:rsidRDefault="00076D78">
            <w:pPr>
              <w:pStyle w:val="Summarytabletextrightaligned"/>
            </w:pPr>
            <w:r>
              <w:noBreakHyphen/>
            </w:r>
          </w:p>
        </w:tc>
        <w:tc>
          <w:tcPr>
            <w:tcW w:w="850" w:type="dxa"/>
            <w:shd w:val="clear" w:color="auto" w:fill="E6F2FF"/>
            <w:vAlign w:val="bottom"/>
          </w:tcPr>
          <w:p w14:paraId="21265991" w14:textId="77777777" w:rsidR="00B449D0" w:rsidRDefault="00175344">
            <w:pPr>
              <w:pStyle w:val="Summarytabletextrightaligned"/>
            </w:pPr>
            <w:r>
              <w:t>2.1</w:t>
            </w:r>
          </w:p>
        </w:tc>
        <w:tc>
          <w:tcPr>
            <w:tcW w:w="850" w:type="dxa"/>
            <w:vAlign w:val="bottom"/>
          </w:tcPr>
          <w:p w14:paraId="5746D79B" w14:textId="77777777" w:rsidR="00B449D0" w:rsidRDefault="00175344">
            <w:pPr>
              <w:pStyle w:val="Summarytabletextrightaligned"/>
            </w:pPr>
            <w:r>
              <w:t>4.3</w:t>
            </w:r>
          </w:p>
        </w:tc>
        <w:tc>
          <w:tcPr>
            <w:tcW w:w="850" w:type="dxa"/>
            <w:vAlign w:val="bottom"/>
          </w:tcPr>
          <w:p w14:paraId="53CA3D88" w14:textId="77777777" w:rsidR="00B449D0" w:rsidRDefault="00175344">
            <w:pPr>
              <w:pStyle w:val="Summarytabletextrightaligned"/>
            </w:pPr>
            <w:r>
              <w:t>1.9</w:t>
            </w:r>
          </w:p>
        </w:tc>
        <w:tc>
          <w:tcPr>
            <w:tcW w:w="850" w:type="dxa"/>
            <w:vAlign w:val="bottom"/>
          </w:tcPr>
          <w:p w14:paraId="10A77DA6" w14:textId="77777777" w:rsidR="00B449D0" w:rsidRDefault="00175344">
            <w:pPr>
              <w:pStyle w:val="Summarytabletextrightaligned"/>
            </w:pPr>
            <w:r>
              <w:t>1.8</w:t>
            </w:r>
          </w:p>
        </w:tc>
      </w:tr>
      <w:tr w:rsidR="00B449D0" w14:paraId="61D14582" w14:textId="77777777" w:rsidTr="00301E48">
        <w:tc>
          <w:tcPr>
            <w:tcW w:w="3471" w:type="dxa"/>
            <w:vAlign w:val="bottom"/>
          </w:tcPr>
          <w:p w14:paraId="0B83FE47" w14:textId="77777777" w:rsidR="00B449D0" w:rsidRDefault="00175344">
            <w:pPr>
              <w:pStyle w:val="SummaryAgencyTitle-BP2"/>
            </w:pPr>
            <w:r>
              <w:t>Australian Prudential Regulation Authority</w:t>
            </w:r>
          </w:p>
        </w:tc>
        <w:tc>
          <w:tcPr>
            <w:tcW w:w="850" w:type="dxa"/>
          </w:tcPr>
          <w:p w14:paraId="61BE9D91" w14:textId="77777777" w:rsidR="00B449D0" w:rsidRDefault="00B449D0">
            <w:pPr>
              <w:pStyle w:val="SummaryAgencyTitle-BP2"/>
            </w:pPr>
          </w:p>
        </w:tc>
        <w:tc>
          <w:tcPr>
            <w:tcW w:w="850" w:type="dxa"/>
            <w:shd w:val="clear" w:color="auto" w:fill="E6F2FF"/>
          </w:tcPr>
          <w:p w14:paraId="68AFB138" w14:textId="77777777" w:rsidR="00B449D0" w:rsidRDefault="00B449D0">
            <w:pPr>
              <w:pStyle w:val="SummaryAgencyTitle-BP2"/>
            </w:pPr>
          </w:p>
        </w:tc>
        <w:tc>
          <w:tcPr>
            <w:tcW w:w="850" w:type="dxa"/>
          </w:tcPr>
          <w:p w14:paraId="372EA09D" w14:textId="77777777" w:rsidR="00B449D0" w:rsidRDefault="00B449D0">
            <w:pPr>
              <w:pStyle w:val="SummaryAgencyTitle-BP2"/>
            </w:pPr>
          </w:p>
        </w:tc>
        <w:tc>
          <w:tcPr>
            <w:tcW w:w="850" w:type="dxa"/>
          </w:tcPr>
          <w:p w14:paraId="12D476C3" w14:textId="77777777" w:rsidR="00B449D0" w:rsidRDefault="00B449D0">
            <w:pPr>
              <w:pStyle w:val="SummaryAgencyTitle-BP2"/>
            </w:pPr>
          </w:p>
        </w:tc>
        <w:tc>
          <w:tcPr>
            <w:tcW w:w="850" w:type="dxa"/>
          </w:tcPr>
          <w:p w14:paraId="7BDCD481" w14:textId="77777777" w:rsidR="00B449D0" w:rsidRDefault="00B449D0">
            <w:pPr>
              <w:pStyle w:val="SummaryAgencyTitle-BP2"/>
            </w:pPr>
          </w:p>
        </w:tc>
      </w:tr>
      <w:tr w:rsidR="00B449D0" w14:paraId="2CFEBA65" w14:textId="77777777" w:rsidTr="00301E48">
        <w:tc>
          <w:tcPr>
            <w:tcW w:w="3471" w:type="dxa"/>
            <w:vAlign w:val="bottom"/>
          </w:tcPr>
          <w:p w14:paraId="346474C1" w14:textId="77777777" w:rsidR="00B449D0" w:rsidRDefault="00175344">
            <w:pPr>
              <w:pStyle w:val="SummaryMeasureTitlewithTheme"/>
            </w:pPr>
            <w:r>
              <w:t>Superannuation in Retirement(b)</w:t>
            </w:r>
          </w:p>
        </w:tc>
        <w:tc>
          <w:tcPr>
            <w:tcW w:w="850" w:type="dxa"/>
            <w:vAlign w:val="bottom"/>
          </w:tcPr>
          <w:p w14:paraId="0CDFD281" w14:textId="7383E53E" w:rsidR="00B449D0" w:rsidRDefault="00076D78">
            <w:pPr>
              <w:pStyle w:val="Summarytabletextrightaligned"/>
            </w:pPr>
            <w:r>
              <w:noBreakHyphen/>
            </w:r>
          </w:p>
        </w:tc>
        <w:tc>
          <w:tcPr>
            <w:tcW w:w="850" w:type="dxa"/>
            <w:shd w:val="clear" w:color="auto" w:fill="E6F2FF"/>
            <w:vAlign w:val="bottom"/>
          </w:tcPr>
          <w:p w14:paraId="019B4FCC" w14:textId="77777777" w:rsidR="00B449D0" w:rsidRDefault="00175344">
            <w:pPr>
              <w:pStyle w:val="Summarytabletextrightaligned"/>
            </w:pPr>
            <w:r>
              <w:t>1.3</w:t>
            </w:r>
          </w:p>
        </w:tc>
        <w:tc>
          <w:tcPr>
            <w:tcW w:w="850" w:type="dxa"/>
            <w:vAlign w:val="bottom"/>
          </w:tcPr>
          <w:p w14:paraId="3E50E9AD" w14:textId="77777777" w:rsidR="00B449D0" w:rsidRDefault="00175344">
            <w:pPr>
              <w:pStyle w:val="Summarytabletextrightaligned"/>
            </w:pPr>
            <w:r>
              <w:t>2.0</w:t>
            </w:r>
          </w:p>
        </w:tc>
        <w:tc>
          <w:tcPr>
            <w:tcW w:w="850" w:type="dxa"/>
            <w:vAlign w:val="bottom"/>
          </w:tcPr>
          <w:p w14:paraId="41215DE7" w14:textId="77777777" w:rsidR="00B449D0" w:rsidRDefault="00175344">
            <w:pPr>
              <w:pStyle w:val="Summarytabletextrightaligned"/>
            </w:pPr>
            <w:r>
              <w:t>2.5</w:t>
            </w:r>
          </w:p>
        </w:tc>
        <w:tc>
          <w:tcPr>
            <w:tcW w:w="850" w:type="dxa"/>
            <w:vAlign w:val="bottom"/>
          </w:tcPr>
          <w:p w14:paraId="381C33DF" w14:textId="77777777" w:rsidR="00B449D0" w:rsidRDefault="00175344">
            <w:pPr>
              <w:pStyle w:val="Summarytabletextrightaligned"/>
            </w:pPr>
            <w:r>
              <w:t>0.9</w:t>
            </w:r>
          </w:p>
        </w:tc>
      </w:tr>
      <w:tr w:rsidR="00B449D0" w14:paraId="34ED4181" w14:textId="77777777" w:rsidTr="00301E48">
        <w:tc>
          <w:tcPr>
            <w:tcW w:w="3471" w:type="dxa"/>
            <w:vAlign w:val="bottom"/>
          </w:tcPr>
          <w:p w14:paraId="43417A00" w14:textId="77777777" w:rsidR="00B449D0" w:rsidRDefault="00175344">
            <w:pPr>
              <w:pStyle w:val="SummaryAgencyTitle-BP2"/>
            </w:pPr>
            <w:r>
              <w:t>Australian Securities and Investments Commission</w:t>
            </w:r>
          </w:p>
        </w:tc>
        <w:tc>
          <w:tcPr>
            <w:tcW w:w="850" w:type="dxa"/>
          </w:tcPr>
          <w:p w14:paraId="41F22C83" w14:textId="77777777" w:rsidR="00B449D0" w:rsidRDefault="00B449D0">
            <w:pPr>
              <w:pStyle w:val="SummaryAgencyTitle-BP2"/>
            </w:pPr>
          </w:p>
        </w:tc>
        <w:tc>
          <w:tcPr>
            <w:tcW w:w="850" w:type="dxa"/>
            <w:shd w:val="clear" w:color="auto" w:fill="E6F2FF"/>
          </w:tcPr>
          <w:p w14:paraId="02A2879E" w14:textId="77777777" w:rsidR="00B449D0" w:rsidRDefault="00B449D0">
            <w:pPr>
              <w:pStyle w:val="SummaryAgencyTitle-BP2"/>
            </w:pPr>
          </w:p>
        </w:tc>
        <w:tc>
          <w:tcPr>
            <w:tcW w:w="850" w:type="dxa"/>
          </w:tcPr>
          <w:p w14:paraId="30396CB3" w14:textId="77777777" w:rsidR="00B449D0" w:rsidRDefault="00B449D0">
            <w:pPr>
              <w:pStyle w:val="SummaryAgencyTitle-BP2"/>
            </w:pPr>
          </w:p>
        </w:tc>
        <w:tc>
          <w:tcPr>
            <w:tcW w:w="850" w:type="dxa"/>
          </w:tcPr>
          <w:p w14:paraId="260BE0A1" w14:textId="77777777" w:rsidR="00B449D0" w:rsidRDefault="00B449D0">
            <w:pPr>
              <w:pStyle w:val="SummaryAgencyTitle-BP2"/>
            </w:pPr>
          </w:p>
        </w:tc>
        <w:tc>
          <w:tcPr>
            <w:tcW w:w="850" w:type="dxa"/>
          </w:tcPr>
          <w:p w14:paraId="30B5438D" w14:textId="77777777" w:rsidR="00B449D0" w:rsidRDefault="00B449D0">
            <w:pPr>
              <w:pStyle w:val="SummaryAgencyTitle-BP2"/>
            </w:pPr>
          </w:p>
        </w:tc>
      </w:tr>
      <w:tr w:rsidR="00B449D0" w14:paraId="3C7EE0FE" w14:textId="77777777" w:rsidTr="00301E48">
        <w:tc>
          <w:tcPr>
            <w:tcW w:w="3471" w:type="dxa"/>
            <w:vAlign w:val="bottom"/>
          </w:tcPr>
          <w:p w14:paraId="0CF6BE12" w14:textId="77777777" w:rsidR="00B449D0" w:rsidRDefault="00175344">
            <w:pPr>
              <w:pStyle w:val="SummaryMeasureTitlewithTheme"/>
            </w:pPr>
            <w:r>
              <w:t>Combatting Illegal Phoenixing – extending and enhancing the Phoenix Compliance Program(b)</w:t>
            </w:r>
          </w:p>
        </w:tc>
        <w:tc>
          <w:tcPr>
            <w:tcW w:w="850" w:type="dxa"/>
            <w:vAlign w:val="bottom"/>
          </w:tcPr>
          <w:p w14:paraId="70E66199" w14:textId="2C39DEA3" w:rsidR="00B449D0" w:rsidRDefault="00076D78">
            <w:pPr>
              <w:pStyle w:val="Summarytabletextrightaligned"/>
            </w:pPr>
            <w:r>
              <w:noBreakHyphen/>
            </w:r>
          </w:p>
        </w:tc>
        <w:tc>
          <w:tcPr>
            <w:tcW w:w="850" w:type="dxa"/>
            <w:shd w:val="clear" w:color="auto" w:fill="E6F2FF"/>
            <w:vAlign w:val="bottom"/>
          </w:tcPr>
          <w:p w14:paraId="513B191A" w14:textId="100F5696" w:rsidR="00B449D0" w:rsidRDefault="00076D78">
            <w:pPr>
              <w:pStyle w:val="Summarytabletextrightaligned"/>
            </w:pPr>
            <w:r>
              <w:noBreakHyphen/>
            </w:r>
          </w:p>
        </w:tc>
        <w:tc>
          <w:tcPr>
            <w:tcW w:w="850" w:type="dxa"/>
            <w:vAlign w:val="bottom"/>
          </w:tcPr>
          <w:p w14:paraId="633ED149" w14:textId="77777777" w:rsidR="00B449D0" w:rsidRDefault="00175344">
            <w:pPr>
              <w:pStyle w:val="Summarytabletextrightaligned"/>
            </w:pPr>
            <w:r>
              <w:t>0.5</w:t>
            </w:r>
          </w:p>
        </w:tc>
        <w:tc>
          <w:tcPr>
            <w:tcW w:w="850" w:type="dxa"/>
            <w:vAlign w:val="bottom"/>
          </w:tcPr>
          <w:p w14:paraId="7BEFCB5C" w14:textId="77777777" w:rsidR="00B449D0" w:rsidRDefault="00175344">
            <w:pPr>
              <w:pStyle w:val="Summarytabletextrightaligned"/>
            </w:pPr>
            <w:r>
              <w:t>0.6</w:t>
            </w:r>
          </w:p>
        </w:tc>
        <w:tc>
          <w:tcPr>
            <w:tcW w:w="850" w:type="dxa"/>
            <w:vAlign w:val="bottom"/>
          </w:tcPr>
          <w:p w14:paraId="39599390" w14:textId="495DAD30" w:rsidR="00B449D0" w:rsidRDefault="00076D78">
            <w:pPr>
              <w:pStyle w:val="Summarytabletextrightaligned"/>
            </w:pPr>
            <w:r>
              <w:noBreakHyphen/>
            </w:r>
          </w:p>
        </w:tc>
      </w:tr>
      <w:tr w:rsidR="00B449D0" w14:paraId="1A4B8376" w14:textId="77777777" w:rsidTr="00301E48">
        <w:tc>
          <w:tcPr>
            <w:tcW w:w="3471" w:type="dxa"/>
            <w:vAlign w:val="bottom"/>
          </w:tcPr>
          <w:p w14:paraId="6A8A3667" w14:textId="568972DB" w:rsidR="00B449D0" w:rsidRDefault="00175344">
            <w:pPr>
              <w:pStyle w:val="SummaryMeasureTitlewithTheme"/>
            </w:pPr>
            <w:r>
              <w:t xml:space="preserve">Corporations – </w:t>
            </w:r>
            <w:r w:rsidR="00EE77F0">
              <w:t>f</w:t>
            </w:r>
            <w:r>
              <w:t>ee for takeover transactions(b)</w:t>
            </w:r>
          </w:p>
        </w:tc>
        <w:tc>
          <w:tcPr>
            <w:tcW w:w="850" w:type="dxa"/>
            <w:vAlign w:val="bottom"/>
          </w:tcPr>
          <w:p w14:paraId="53560E38" w14:textId="3F9AFCBC" w:rsidR="00B449D0" w:rsidRDefault="00076D78">
            <w:pPr>
              <w:pStyle w:val="Summarytabletextrightaligned"/>
            </w:pPr>
            <w:r>
              <w:noBreakHyphen/>
            </w:r>
          </w:p>
        </w:tc>
        <w:tc>
          <w:tcPr>
            <w:tcW w:w="850" w:type="dxa"/>
            <w:shd w:val="clear" w:color="auto" w:fill="E6F2FF"/>
            <w:vAlign w:val="bottom"/>
          </w:tcPr>
          <w:p w14:paraId="276C5D67" w14:textId="77777777" w:rsidR="00B449D0" w:rsidRDefault="00175344">
            <w:pPr>
              <w:pStyle w:val="Summarytabletextrightaligned"/>
            </w:pPr>
            <w:r>
              <w:t>0.3</w:t>
            </w:r>
          </w:p>
        </w:tc>
        <w:tc>
          <w:tcPr>
            <w:tcW w:w="850" w:type="dxa"/>
            <w:vAlign w:val="bottom"/>
          </w:tcPr>
          <w:p w14:paraId="0347F0D8" w14:textId="70907AC6" w:rsidR="00B449D0" w:rsidRDefault="00076D78">
            <w:pPr>
              <w:pStyle w:val="Summarytabletextrightaligned"/>
            </w:pPr>
            <w:r>
              <w:noBreakHyphen/>
            </w:r>
          </w:p>
        </w:tc>
        <w:tc>
          <w:tcPr>
            <w:tcW w:w="850" w:type="dxa"/>
            <w:vAlign w:val="bottom"/>
          </w:tcPr>
          <w:p w14:paraId="79EF3953" w14:textId="5CA57DD3" w:rsidR="00B449D0" w:rsidRDefault="00076D78">
            <w:pPr>
              <w:pStyle w:val="Summarytabletextrightaligned"/>
            </w:pPr>
            <w:r>
              <w:noBreakHyphen/>
            </w:r>
          </w:p>
        </w:tc>
        <w:tc>
          <w:tcPr>
            <w:tcW w:w="850" w:type="dxa"/>
            <w:vAlign w:val="bottom"/>
          </w:tcPr>
          <w:p w14:paraId="69772175" w14:textId="43E1DE57" w:rsidR="00B449D0" w:rsidRDefault="00076D78">
            <w:pPr>
              <w:pStyle w:val="Summarytabletextrightaligned"/>
            </w:pPr>
            <w:r>
              <w:noBreakHyphen/>
            </w:r>
          </w:p>
        </w:tc>
      </w:tr>
      <w:tr w:rsidR="00B449D0" w14:paraId="5C0EBC8F" w14:textId="77777777" w:rsidTr="00301E48">
        <w:tc>
          <w:tcPr>
            <w:tcW w:w="3471" w:type="dxa"/>
            <w:vAlign w:val="bottom"/>
          </w:tcPr>
          <w:p w14:paraId="5DFF064E" w14:textId="77777777" w:rsidR="00B449D0" w:rsidRDefault="00175344">
            <w:pPr>
              <w:pStyle w:val="SummaryMeasureTitlewithTheme"/>
            </w:pPr>
            <w:r>
              <w:t>Streamlining Consumer Redress under the Scams Prevention Framework</w:t>
            </w:r>
          </w:p>
        </w:tc>
        <w:tc>
          <w:tcPr>
            <w:tcW w:w="850" w:type="dxa"/>
            <w:vAlign w:val="bottom"/>
          </w:tcPr>
          <w:p w14:paraId="1BA1C045" w14:textId="7A29EF72" w:rsidR="00B449D0" w:rsidRDefault="00076D78">
            <w:pPr>
              <w:pStyle w:val="Summarytabletextrightaligned"/>
            </w:pPr>
            <w:r>
              <w:noBreakHyphen/>
            </w:r>
          </w:p>
        </w:tc>
        <w:tc>
          <w:tcPr>
            <w:tcW w:w="850" w:type="dxa"/>
            <w:shd w:val="clear" w:color="auto" w:fill="E6F2FF"/>
            <w:vAlign w:val="bottom"/>
          </w:tcPr>
          <w:p w14:paraId="2759DA0E" w14:textId="1C4DD5A2" w:rsidR="00B449D0" w:rsidRDefault="00076D78">
            <w:pPr>
              <w:pStyle w:val="Summarytabletextrightaligned"/>
            </w:pPr>
            <w:r>
              <w:noBreakHyphen/>
            </w:r>
          </w:p>
        </w:tc>
        <w:tc>
          <w:tcPr>
            <w:tcW w:w="850" w:type="dxa"/>
            <w:vAlign w:val="bottom"/>
          </w:tcPr>
          <w:p w14:paraId="3D0F0D66" w14:textId="102989DF" w:rsidR="00B449D0" w:rsidRDefault="00076D78">
            <w:pPr>
              <w:pStyle w:val="Summarytabletextrightaligned"/>
            </w:pPr>
            <w:r>
              <w:noBreakHyphen/>
            </w:r>
          </w:p>
        </w:tc>
        <w:tc>
          <w:tcPr>
            <w:tcW w:w="850" w:type="dxa"/>
            <w:vAlign w:val="bottom"/>
          </w:tcPr>
          <w:p w14:paraId="0581D262" w14:textId="64A8C8FF" w:rsidR="00B449D0" w:rsidRDefault="00076D78">
            <w:pPr>
              <w:pStyle w:val="Summarytabletextrightaligned"/>
            </w:pPr>
            <w:r>
              <w:noBreakHyphen/>
            </w:r>
          </w:p>
        </w:tc>
        <w:tc>
          <w:tcPr>
            <w:tcW w:w="850" w:type="dxa"/>
            <w:vAlign w:val="bottom"/>
          </w:tcPr>
          <w:p w14:paraId="6070A249" w14:textId="6DA06D55" w:rsidR="00B449D0" w:rsidRDefault="00076D78">
            <w:pPr>
              <w:pStyle w:val="Summarytabletextrightaligned"/>
            </w:pPr>
            <w:r>
              <w:noBreakHyphen/>
            </w:r>
          </w:p>
        </w:tc>
      </w:tr>
      <w:tr w:rsidR="00B449D0" w14:paraId="0DEF8B52" w14:textId="77777777" w:rsidTr="00301E48">
        <w:tc>
          <w:tcPr>
            <w:tcW w:w="3471" w:type="dxa"/>
            <w:vAlign w:val="bottom"/>
          </w:tcPr>
          <w:p w14:paraId="3C64A552" w14:textId="77777777" w:rsidR="00B449D0" w:rsidRDefault="00175344">
            <w:pPr>
              <w:pStyle w:val="SummaryMeasureTitlewithTheme"/>
            </w:pPr>
            <w:r>
              <w:t>Superannuation in Retirement(b)</w:t>
            </w:r>
          </w:p>
        </w:tc>
        <w:tc>
          <w:tcPr>
            <w:tcW w:w="850" w:type="dxa"/>
            <w:vAlign w:val="bottom"/>
          </w:tcPr>
          <w:p w14:paraId="7C271FCA" w14:textId="1C986D5C" w:rsidR="00B449D0" w:rsidRDefault="00076D78">
            <w:pPr>
              <w:pStyle w:val="Summarytabletextrightaligned"/>
            </w:pPr>
            <w:r>
              <w:noBreakHyphen/>
            </w:r>
          </w:p>
        </w:tc>
        <w:tc>
          <w:tcPr>
            <w:tcW w:w="850" w:type="dxa"/>
            <w:shd w:val="clear" w:color="auto" w:fill="E6F2FF"/>
            <w:vAlign w:val="bottom"/>
          </w:tcPr>
          <w:p w14:paraId="03FB82E5" w14:textId="77777777" w:rsidR="00B449D0" w:rsidRDefault="00175344">
            <w:pPr>
              <w:pStyle w:val="Summarytabletextrightaligned"/>
            </w:pPr>
            <w:r>
              <w:t>3.5</w:t>
            </w:r>
          </w:p>
        </w:tc>
        <w:tc>
          <w:tcPr>
            <w:tcW w:w="850" w:type="dxa"/>
            <w:vAlign w:val="bottom"/>
          </w:tcPr>
          <w:p w14:paraId="62D93E11" w14:textId="77777777" w:rsidR="00B449D0" w:rsidRDefault="00175344">
            <w:pPr>
              <w:pStyle w:val="Summarytabletextrightaligned"/>
            </w:pPr>
            <w:r>
              <w:t>2.9</w:t>
            </w:r>
          </w:p>
        </w:tc>
        <w:tc>
          <w:tcPr>
            <w:tcW w:w="850" w:type="dxa"/>
            <w:vAlign w:val="bottom"/>
          </w:tcPr>
          <w:p w14:paraId="432EF8D4" w14:textId="77777777" w:rsidR="00B449D0" w:rsidRDefault="00175344">
            <w:pPr>
              <w:pStyle w:val="Summarytabletextrightaligned"/>
            </w:pPr>
            <w:r>
              <w:t>2.9</w:t>
            </w:r>
          </w:p>
        </w:tc>
        <w:tc>
          <w:tcPr>
            <w:tcW w:w="850" w:type="dxa"/>
            <w:vAlign w:val="bottom"/>
          </w:tcPr>
          <w:p w14:paraId="7C0CB102" w14:textId="77777777" w:rsidR="00B449D0" w:rsidRDefault="00175344">
            <w:pPr>
              <w:pStyle w:val="Summarytabletextrightaligned"/>
            </w:pPr>
            <w:r>
              <w:t>2.9</w:t>
            </w:r>
          </w:p>
        </w:tc>
      </w:tr>
      <w:tr w:rsidR="00B449D0" w14:paraId="572787EC" w14:textId="77777777" w:rsidTr="00301E48">
        <w:tc>
          <w:tcPr>
            <w:tcW w:w="3471" w:type="dxa"/>
            <w:vAlign w:val="bottom"/>
          </w:tcPr>
          <w:p w14:paraId="39C08A5A" w14:textId="77777777" w:rsidR="00B449D0" w:rsidRDefault="00175344">
            <w:pPr>
              <w:pStyle w:val="SummaryAgencyTitle-BP2"/>
            </w:pPr>
            <w:r>
              <w:t>Australian Taxation Office</w:t>
            </w:r>
          </w:p>
        </w:tc>
        <w:tc>
          <w:tcPr>
            <w:tcW w:w="850" w:type="dxa"/>
          </w:tcPr>
          <w:p w14:paraId="2A887610" w14:textId="77777777" w:rsidR="00B449D0" w:rsidRDefault="00B449D0">
            <w:pPr>
              <w:pStyle w:val="SummaryAgencyTitle-BP2"/>
            </w:pPr>
          </w:p>
        </w:tc>
        <w:tc>
          <w:tcPr>
            <w:tcW w:w="850" w:type="dxa"/>
            <w:shd w:val="clear" w:color="auto" w:fill="E6F2FF"/>
          </w:tcPr>
          <w:p w14:paraId="502615B5" w14:textId="77777777" w:rsidR="00B449D0" w:rsidRDefault="00B449D0">
            <w:pPr>
              <w:pStyle w:val="SummaryAgencyTitle-BP2"/>
            </w:pPr>
          </w:p>
        </w:tc>
        <w:tc>
          <w:tcPr>
            <w:tcW w:w="850" w:type="dxa"/>
          </w:tcPr>
          <w:p w14:paraId="601BAF0C" w14:textId="77777777" w:rsidR="00B449D0" w:rsidRDefault="00B449D0">
            <w:pPr>
              <w:pStyle w:val="SummaryAgencyTitle-BP2"/>
            </w:pPr>
          </w:p>
        </w:tc>
        <w:tc>
          <w:tcPr>
            <w:tcW w:w="850" w:type="dxa"/>
          </w:tcPr>
          <w:p w14:paraId="21174796" w14:textId="77777777" w:rsidR="00B449D0" w:rsidRDefault="00B449D0">
            <w:pPr>
              <w:pStyle w:val="SummaryAgencyTitle-BP2"/>
            </w:pPr>
          </w:p>
        </w:tc>
        <w:tc>
          <w:tcPr>
            <w:tcW w:w="850" w:type="dxa"/>
          </w:tcPr>
          <w:p w14:paraId="1522125F" w14:textId="77777777" w:rsidR="00B449D0" w:rsidRDefault="00B449D0">
            <w:pPr>
              <w:pStyle w:val="SummaryAgencyTitle-BP2"/>
            </w:pPr>
          </w:p>
        </w:tc>
      </w:tr>
      <w:tr w:rsidR="00B449D0" w14:paraId="42544601" w14:textId="77777777" w:rsidTr="00301E48">
        <w:tc>
          <w:tcPr>
            <w:tcW w:w="3471" w:type="dxa"/>
            <w:vAlign w:val="bottom"/>
          </w:tcPr>
          <w:p w14:paraId="22965888" w14:textId="77777777" w:rsidR="00B449D0" w:rsidRDefault="00175344">
            <w:pPr>
              <w:pStyle w:val="SummaryMeasureTitlewithTheme"/>
            </w:pPr>
            <w:r>
              <w:t>Addressing Surcharges</w:t>
            </w:r>
          </w:p>
        </w:tc>
        <w:tc>
          <w:tcPr>
            <w:tcW w:w="850" w:type="dxa"/>
            <w:vAlign w:val="bottom"/>
          </w:tcPr>
          <w:p w14:paraId="7CCF0D2E" w14:textId="344B2879" w:rsidR="00B449D0" w:rsidRDefault="00076D78">
            <w:pPr>
              <w:pStyle w:val="Summarytabletextrightaligned"/>
            </w:pPr>
            <w:r>
              <w:noBreakHyphen/>
            </w:r>
          </w:p>
        </w:tc>
        <w:tc>
          <w:tcPr>
            <w:tcW w:w="850" w:type="dxa"/>
            <w:shd w:val="clear" w:color="auto" w:fill="E6F2FF"/>
            <w:vAlign w:val="bottom"/>
          </w:tcPr>
          <w:p w14:paraId="2E398B42" w14:textId="77777777" w:rsidR="00B449D0" w:rsidRDefault="00175344">
            <w:pPr>
              <w:pStyle w:val="Summarytabletextrightaligned"/>
            </w:pPr>
            <w:r>
              <w:t>5.0</w:t>
            </w:r>
          </w:p>
        </w:tc>
        <w:tc>
          <w:tcPr>
            <w:tcW w:w="850" w:type="dxa"/>
            <w:vAlign w:val="bottom"/>
          </w:tcPr>
          <w:p w14:paraId="70A02C07" w14:textId="77777777" w:rsidR="00B449D0" w:rsidRDefault="00175344">
            <w:pPr>
              <w:pStyle w:val="Summarytabletextrightaligned"/>
            </w:pPr>
            <w:r>
              <w:t>9.4</w:t>
            </w:r>
          </w:p>
        </w:tc>
        <w:tc>
          <w:tcPr>
            <w:tcW w:w="850" w:type="dxa"/>
            <w:vAlign w:val="bottom"/>
          </w:tcPr>
          <w:p w14:paraId="4BC60C91" w14:textId="77777777" w:rsidR="00B449D0" w:rsidRDefault="00175344">
            <w:pPr>
              <w:pStyle w:val="Summarytabletextrightaligned"/>
            </w:pPr>
            <w:r>
              <w:t>9.7</w:t>
            </w:r>
          </w:p>
        </w:tc>
        <w:tc>
          <w:tcPr>
            <w:tcW w:w="850" w:type="dxa"/>
            <w:vAlign w:val="bottom"/>
          </w:tcPr>
          <w:p w14:paraId="07DCF29E" w14:textId="77777777" w:rsidR="00B449D0" w:rsidRDefault="00175344">
            <w:pPr>
              <w:pStyle w:val="Summarytabletextrightaligned"/>
            </w:pPr>
            <w:r>
              <w:t>10.0</w:t>
            </w:r>
          </w:p>
        </w:tc>
      </w:tr>
      <w:tr w:rsidR="00B449D0" w14:paraId="0EFA89C8" w14:textId="77777777" w:rsidTr="00301E48">
        <w:tc>
          <w:tcPr>
            <w:tcW w:w="3471" w:type="dxa"/>
            <w:vAlign w:val="bottom"/>
          </w:tcPr>
          <w:p w14:paraId="360E6D74" w14:textId="500D3976" w:rsidR="00B449D0" w:rsidRDefault="00175344">
            <w:pPr>
              <w:pStyle w:val="SummaryMeasureTitlewithTheme"/>
            </w:pPr>
            <w:r>
              <w:t>Building Australia</w:t>
            </w:r>
            <w:r w:rsidR="00076D78">
              <w:t>’</w:t>
            </w:r>
            <w:r>
              <w:t>s Future – A fairer deal for students(b)</w:t>
            </w:r>
          </w:p>
        </w:tc>
        <w:tc>
          <w:tcPr>
            <w:tcW w:w="850" w:type="dxa"/>
            <w:vAlign w:val="bottom"/>
          </w:tcPr>
          <w:p w14:paraId="6289D3DB" w14:textId="71F11E03" w:rsidR="00B449D0" w:rsidRDefault="00076D78">
            <w:pPr>
              <w:pStyle w:val="Summarytabletextrightaligned"/>
            </w:pPr>
            <w:r>
              <w:noBreakHyphen/>
            </w:r>
          </w:p>
        </w:tc>
        <w:tc>
          <w:tcPr>
            <w:tcW w:w="850" w:type="dxa"/>
            <w:shd w:val="clear" w:color="auto" w:fill="E6F2FF"/>
            <w:vAlign w:val="bottom"/>
          </w:tcPr>
          <w:p w14:paraId="5C9154CB" w14:textId="77777777" w:rsidR="00B449D0" w:rsidRDefault="00175344">
            <w:pPr>
              <w:pStyle w:val="Summarytabletextrightaligned"/>
            </w:pPr>
            <w:r>
              <w:t>1.9</w:t>
            </w:r>
          </w:p>
        </w:tc>
        <w:tc>
          <w:tcPr>
            <w:tcW w:w="850" w:type="dxa"/>
            <w:vAlign w:val="bottom"/>
          </w:tcPr>
          <w:p w14:paraId="4E6EE096" w14:textId="77777777" w:rsidR="00B449D0" w:rsidRDefault="00175344">
            <w:pPr>
              <w:pStyle w:val="Summarytabletextrightaligned"/>
            </w:pPr>
            <w:r>
              <w:t>4.7</w:t>
            </w:r>
          </w:p>
        </w:tc>
        <w:tc>
          <w:tcPr>
            <w:tcW w:w="850" w:type="dxa"/>
            <w:vAlign w:val="bottom"/>
          </w:tcPr>
          <w:p w14:paraId="0EAAC977" w14:textId="77777777" w:rsidR="00B449D0" w:rsidRDefault="00175344">
            <w:pPr>
              <w:pStyle w:val="Summarytabletextrightaligned"/>
            </w:pPr>
            <w:r>
              <w:t>0.2</w:t>
            </w:r>
          </w:p>
        </w:tc>
        <w:tc>
          <w:tcPr>
            <w:tcW w:w="850" w:type="dxa"/>
            <w:vAlign w:val="bottom"/>
          </w:tcPr>
          <w:p w14:paraId="48FF8E15" w14:textId="77777777" w:rsidR="00B449D0" w:rsidRDefault="00175344">
            <w:pPr>
              <w:pStyle w:val="Summarytabletextrightaligned"/>
            </w:pPr>
            <w:r>
              <w:t>0.1</w:t>
            </w:r>
          </w:p>
        </w:tc>
      </w:tr>
      <w:tr w:rsidR="00B449D0" w14:paraId="1F11183F" w14:textId="77777777" w:rsidTr="00301E48">
        <w:tc>
          <w:tcPr>
            <w:tcW w:w="3471" w:type="dxa"/>
            <w:vAlign w:val="bottom"/>
          </w:tcPr>
          <w:p w14:paraId="3C848271" w14:textId="77777777" w:rsidR="00B449D0" w:rsidRDefault="00175344">
            <w:pPr>
              <w:pStyle w:val="SummaryMeasureTitlewithTheme"/>
            </w:pPr>
            <w:r>
              <w:t>Combatting Illegal Phoenixing – extending and enhancing the Phoenix Compliance Program(b)</w:t>
            </w:r>
          </w:p>
        </w:tc>
        <w:tc>
          <w:tcPr>
            <w:tcW w:w="850" w:type="dxa"/>
            <w:vAlign w:val="bottom"/>
          </w:tcPr>
          <w:p w14:paraId="428CF926" w14:textId="47A35984" w:rsidR="00B449D0" w:rsidRDefault="00076D78">
            <w:pPr>
              <w:pStyle w:val="Summarytabletextrightaligned"/>
            </w:pPr>
            <w:r>
              <w:noBreakHyphen/>
            </w:r>
          </w:p>
        </w:tc>
        <w:tc>
          <w:tcPr>
            <w:tcW w:w="850" w:type="dxa"/>
            <w:shd w:val="clear" w:color="auto" w:fill="E6F2FF"/>
            <w:vAlign w:val="bottom"/>
          </w:tcPr>
          <w:p w14:paraId="353F0750" w14:textId="0C774035" w:rsidR="00B449D0" w:rsidRDefault="00076D78">
            <w:pPr>
              <w:pStyle w:val="Summarytabletextrightaligned"/>
            </w:pPr>
            <w:r>
              <w:noBreakHyphen/>
            </w:r>
          </w:p>
        </w:tc>
        <w:tc>
          <w:tcPr>
            <w:tcW w:w="850" w:type="dxa"/>
            <w:vAlign w:val="bottom"/>
          </w:tcPr>
          <w:p w14:paraId="4E08601A" w14:textId="77777777" w:rsidR="00B449D0" w:rsidRDefault="00175344">
            <w:pPr>
              <w:pStyle w:val="Summarytabletextrightaligned"/>
            </w:pPr>
            <w:r>
              <w:t>33.2</w:t>
            </w:r>
          </w:p>
        </w:tc>
        <w:tc>
          <w:tcPr>
            <w:tcW w:w="850" w:type="dxa"/>
            <w:vAlign w:val="bottom"/>
          </w:tcPr>
          <w:p w14:paraId="325BAFB2" w14:textId="77777777" w:rsidR="00B449D0" w:rsidRDefault="00175344">
            <w:pPr>
              <w:pStyle w:val="Summarytabletextrightaligned"/>
            </w:pPr>
            <w:r>
              <w:t>34.7</w:t>
            </w:r>
          </w:p>
        </w:tc>
        <w:tc>
          <w:tcPr>
            <w:tcW w:w="850" w:type="dxa"/>
            <w:vAlign w:val="bottom"/>
          </w:tcPr>
          <w:p w14:paraId="027008E0" w14:textId="77777777" w:rsidR="00B449D0" w:rsidRDefault="00175344">
            <w:pPr>
              <w:pStyle w:val="Summarytabletextrightaligned"/>
            </w:pPr>
            <w:r>
              <w:t>1.0</w:t>
            </w:r>
          </w:p>
        </w:tc>
      </w:tr>
      <w:tr w:rsidR="00B449D0" w14:paraId="419F52F4" w14:textId="77777777" w:rsidTr="00301E48">
        <w:tc>
          <w:tcPr>
            <w:tcW w:w="3471" w:type="dxa"/>
            <w:vAlign w:val="bottom"/>
          </w:tcPr>
          <w:p w14:paraId="6DDBFC6E" w14:textId="77777777" w:rsidR="00B449D0" w:rsidRDefault="00175344">
            <w:pPr>
              <w:pStyle w:val="SummaryMeasureTitlewithTheme"/>
            </w:pPr>
            <w:r>
              <w:t>Future Made in Australia – accelerating investment in Australian industries</w:t>
            </w:r>
          </w:p>
        </w:tc>
        <w:tc>
          <w:tcPr>
            <w:tcW w:w="850" w:type="dxa"/>
            <w:vAlign w:val="bottom"/>
          </w:tcPr>
          <w:p w14:paraId="2B700D1C" w14:textId="15AB0E11" w:rsidR="00B449D0" w:rsidRDefault="00076D78">
            <w:pPr>
              <w:pStyle w:val="Summarytabletextrightaligned"/>
            </w:pPr>
            <w:r>
              <w:noBreakHyphen/>
            </w:r>
          </w:p>
        </w:tc>
        <w:tc>
          <w:tcPr>
            <w:tcW w:w="850" w:type="dxa"/>
            <w:shd w:val="clear" w:color="auto" w:fill="E6F2FF"/>
            <w:vAlign w:val="bottom"/>
          </w:tcPr>
          <w:p w14:paraId="04B3BC79" w14:textId="77777777" w:rsidR="00B449D0" w:rsidRDefault="00175344">
            <w:pPr>
              <w:pStyle w:val="Summarytabletextrightaligned"/>
            </w:pPr>
            <w:r>
              <w:t>1.1</w:t>
            </w:r>
          </w:p>
        </w:tc>
        <w:tc>
          <w:tcPr>
            <w:tcW w:w="850" w:type="dxa"/>
            <w:vAlign w:val="bottom"/>
          </w:tcPr>
          <w:p w14:paraId="7E522480" w14:textId="77777777" w:rsidR="00B449D0" w:rsidRDefault="00175344">
            <w:pPr>
              <w:pStyle w:val="Summarytabletextrightaligned"/>
            </w:pPr>
            <w:r>
              <w:t>2.4</w:t>
            </w:r>
          </w:p>
        </w:tc>
        <w:tc>
          <w:tcPr>
            <w:tcW w:w="850" w:type="dxa"/>
            <w:vAlign w:val="bottom"/>
          </w:tcPr>
          <w:p w14:paraId="304F4BB2" w14:textId="77777777" w:rsidR="00B449D0" w:rsidRDefault="00175344">
            <w:pPr>
              <w:pStyle w:val="Summarytabletextrightaligned"/>
            </w:pPr>
            <w:r>
              <w:t>5.5</w:t>
            </w:r>
          </w:p>
        </w:tc>
        <w:tc>
          <w:tcPr>
            <w:tcW w:w="850" w:type="dxa"/>
            <w:vAlign w:val="bottom"/>
          </w:tcPr>
          <w:p w14:paraId="6D17B59E" w14:textId="77777777" w:rsidR="00B449D0" w:rsidRDefault="00175344">
            <w:pPr>
              <w:pStyle w:val="Summarytabletextrightaligned"/>
            </w:pPr>
            <w:r>
              <w:t>12.3</w:t>
            </w:r>
          </w:p>
        </w:tc>
      </w:tr>
      <w:tr w:rsidR="00B449D0" w14:paraId="2AB705B9" w14:textId="77777777" w:rsidTr="00301E48">
        <w:tc>
          <w:tcPr>
            <w:tcW w:w="3471" w:type="dxa"/>
            <w:vAlign w:val="bottom"/>
          </w:tcPr>
          <w:p w14:paraId="183E2B7E" w14:textId="1BBAAEEF" w:rsidR="00B449D0" w:rsidRDefault="00175344">
            <w:pPr>
              <w:pStyle w:val="SummaryMeasureTitlewithTheme"/>
            </w:pPr>
            <w:r>
              <w:t xml:space="preserve">Modernising </w:t>
            </w:r>
            <w:r w:rsidR="00266A92">
              <w:t>T</w:t>
            </w:r>
            <w:r>
              <w:t xml:space="preserve">ax </w:t>
            </w:r>
            <w:r w:rsidR="00266A92">
              <w:t>A</w:t>
            </w:r>
            <w:r>
              <w:t xml:space="preserve">dministration </w:t>
            </w:r>
            <w:r w:rsidR="00266A92">
              <w:t>S</w:t>
            </w:r>
            <w:r>
              <w:t>ystems(b)</w:t>
            </w:r>
          </w:p>
        </w:tc>
        <w:tc>
          <w:tcPr>
            <w:tcW w:w="850" w:type="dxa"/>
            <w:vAlign w:val="bottom"/>
          </w:tcPr>
          <w:p w14:paraId="241733E0" w14:textId="71D8D766" w:rsidR="00B449D0" w:rsidRDefault="00076D78">
            <w:pPr>
              <w:pStyle w:val="Summarytabletextrightaligned"/>
            </w:pPr>
            <w:r>
              <w:noBreakHyphen/>
            </w:r>
          </w:p>
        </w:tc>
        <w:tc>
          <w:tcPr>
            <w:tcW w:w="850" w:type="dxa"/>
            <w:shd w:val="clear" w:color="auto" w:fill="E6F2FF"/>
            <w:vAlign w:val="bottom"/>
          </w:tcPr>
          <w:p w14:paraId="292DED92" w14:textId="77777777" w:rsidR="00B449D0" w:rsidRDefault="00175344">
            <w:pPr>
              <w:pStyle w:val="Summarytabletextrightaligned"/>
            </w:pPr>
            <w:r>
              <w:t>11.8</w:t>
            </w:r>
          </w:p>
        </w:tc>
        <w:tc>
          <w:tcPr>
            <w:tcW w:w="850" w:type="dxa"/>
            <w:vAlign w:val="bottom"/>
          </w:tcPr>
          <w:p w14:paraId="61FFC1AB" w14:textId="77777777" w:rsidR="00B449D0" w:rsidRDefault="00175344">
            <w:pPr>
              <w:pStyle w:val="Summarytabletextrightaligned"/>
            </w:pPr>
            <w:r>
              <w:t>34.6</w:t>
            </w:r>
          </w:p>
        </w:tc>
        <w:tc>
          <w:tcPr>
            <w:tcW w:w="850" w:type="dxa"/>
            <w:vAlign w:val="bottom"/>
          </w:tcPr>
          <w:p w14:paraId="2BB5AFD6" w14:textId="77777777" w:rsidR="00B449D0" w:rsidRDefault="00175344">
            <w:pPr>
              <w:pStyle w:val="Summarytabletextrightaligned"/>
            </w:pPr>
            <w:r>
              <w:t>22.6</w:t>
            </w:r>
          </w:p>
        </w:tc>
        <w:tc>
          <w:tcPr>
            <w:tcW w:w="850" w:type="dxa"/>
            <w:vAlign w:val="bottom"/>
          </w:tcPr>
          <w:p w14:paraId="7427821A" w14:textId="77777777" w:rsidR="00B449D0" w:rsidRDefault="00175344">
            <w:pPr>
              <w:pStyle w:val="Summarytabletextrightaligned"/>
            </w:pPr>
            <w:r>
              <w:t>6.9</w:t>
            </w:r>
          </w:p>
        </w:tc>
      </w:tr>
      <w:tr w:rsidR="00B449D0" w14:paraId="4E9F08C8" w14:textId="77777777" w:rsidTr="00301E48">
        <w:tc>
          <w:tcPr>
            <w:tcW w:w="3471" w:type="dxa"/>
            <w:vAlign w:val="bottom"/>
          </w:tcPr>
          <w:p w14:paraId="4A6361CC" w14:textId="77777777" w:rsidR="00B449D0" w:rsidRDefault="00175344">
            <w:pPr>
              <w:pStyle w:val="SummaryMeasureTitlewithTheme"/>
            </w:pPr>
            <w:r>
              <w:t>Payday Super(b)</w:t>
            </w:r>
          </w:p>
        </w:tc>
        <w:tc>
          <w:tcPr>
            <w:tcW w:w="850" w:type="dxa"/>
            <w:vAlign w:val="bottom"/>
          </w:tcPr>
          <w:p w14:paraId="61ABB5E9" w14:textId="069A12E8" w:rsidR="00B449D0" w:rsidRDefault="00076D78">
            <w:pPr>
              <w:pStyle w:val="Summarytabletextrightaligned"/>
            </w:pPr>
            <w:r>
              <w:noBreakHyphen/>
            </w:r>
          </w:p>
        </w:tc>
        <w:tc>
          <w:tcPr>
            <w:tcW w:w="850" w:type="dxa"/>
            <w:shd w:val="clear" w:color="auto" w:fill="E6F2FF"/>
            <w:vAlign w:val="bottom"/>
          </w:tcPr>
          <w:p w14:paraId="136E8D94" w14:textId="77777777" w:rsidR="00B449D0" w:rsidRDefault="00175344">
            <w:pPr>
              <w:pStyle w:val="Summarytabletextrightaligned"/>
            </w:pPr>
            <w:r>
              <w:t>63.3</w:t>
            </w:r>
          </w:p>
        </w:tc>
        <w:tc>
          <w:tcPr>
            <w:tcW w:w="850" w:type="dxa"/>
            <w:vAlign w:val="bottom"/>
          </w:tcPr>
          <w:p w14:paraId="133A29C1" w14:textId="77777777" w:rsidR="00B449D0" w:rsidRDefault="00175344">
            <w:pPr>
              <w:pStyle w:val="Summarytabletextrightaligned"/>
            </w:pPr>
            <w:r>
              <w:t>105.4</w:t>
            </w:r>
          </w:p>
        </w:tc>
        <w:tc>
          <w:tcPr>
            <w:tcW w:w="850" w:type="dxa"/>
            <w:vAlign w:val="bottom"/>
          </w:tcPr>
          <w:p w14:paraId="3960936D" w14:textId="77777777" w:rsidR="00B449D0" w:rsidRDefault="00175344">
            <w:pPr>
              <w:pStyle w:val="Summarytabletextrightaligned"/>
            </w:pPr>
            <w:r>
              <w:t>118.2</w:t>
            </w:r>
          </w:p>
        </w:tc>
        <w:tc>
          <w:tcPr>
            <w:tcW w:w="850" w:type="dxa"/>
            <w:vAlign w:val="bottom"/>
          </w:tcPr>
          <w:p w14:paraId="49048CEC" w14:textId="64CCD034" w:rsidR="00B449D0" w:rsidRDefault="00076D78">
            <w:pPr>
              <w:pStyle w:val="Summarytabletextrightaligned"/>
            </w:pPr>
            <w:r>
              <w:noBreakHyphen/>
            </w:r>
            <w:r w:rsidR="00175344">
              <w:t>32.7</w:t>
            </w:r>
          </w:p>
        </w:tc>
      </w:tr>
      <w:tr w:rsidR="00B449D0" w14:paraId="7FB5E089" w14:textId="77777777" w:rsidTr="00301E48">
        <w:tc>
          <w:tcPr>
            <w:tcW w:w="3471" w:type="dxa"/>
            <w:vAlign w:val="bottom"/>
          </w:tcPr>
          <w:p w14:paraId="4620D2B2" w14:textId="77777777" w:rsidR="00B449D0" w:rsidRDefault="00175344">
            <w:pPr>
              <w:pStyle w:val="SummaryMeasureTitlewithTheme"/>
            </w:pPr>
            <w:r>
              <w:t>Research and Development Tax Incentive – excluding activities relating to gambling and tobacco(b)</w:t>
            </w:r>
          </w:p>
        </w:tc>
        <w:tc>
          <w:tcPr>
            <w:tcW w:w="850" w:type="dxa"/>
            <w:vAlign w:val="bottom"/>
          </w:tcPr>
          <w:p w14:paraId="743FE209" w14:textId="11A3DEF4" w:rsidR="00B449D0" w:rsidRDefault="00076D78">
            <w:pPr>
              <w:pStyle w:val="Summarytabletextrightaligned"/>
            </w:pPr>
            <w:r>
              <w:noBreakHyphen/>
            </w:r>
          </w:p>
        </w:tc>
        <w:tc>
          <w:tcPr>
            <w:tcW w:w="850" w:type="dxa"/>
            <w:shd w:val="clear" w:color="auto" w:fill="E6F2FF"/>
            <w:vAlign w:val="bottom"/>
          </w:tcPr>
          <w:p w14:paraId="51CF5846" w14:textId="461C4A5A" w:rsidR="00B449D0" w:rsidRDefault="00076D78">
            <w:pPr>
              <w:pStyle w:val="Summarytabletextrightaligned"/>
            </w:pPr>
            <w:r>
              <w:noBreakHyphen/>
            </w:r>
          </w:p>
        </w:tc>
        <w:tc>
          <w:tcPr>
            <w:tcW w:w="850" w:type="dxa"/>
            <w:vAlign w:val="bottom"/>
          </w:tcPr>
          <w:p w14:paraId="1A7A4994" w14:textId="7EE4AD3E" w:rsidR="00B449D0" w:rsidRDefault="00076D78">
            <w:pPr>
              <w:pStyle w:val="Summarytabletextrightaligned"/>
            </w:pPr>
            <w:r>
              <w:noBreakHyphen/>
            </w:r>
          </w:p>
        </w:tc>
        <w:tc>
          <w:tcPr>
            <w:tcW w:w="850" w:type="dxa"/>
            <w:vAlign w:val="bottom"/>
          </w:tcPr>
          <w:p w14:paraId="60656591" w14:textId="49FE02D5" w:rsidR="00B449D0" w:rsidRDefault="00076D78">
            <w:pPr>
              <w:pStyle w:val="Summarytabletextrightaligned"/>
            </w:pPr>
            <w:r>
              <w:noBreakHyphen/>
            </w:r>
            <w:r w:rsidR="00175344">
              <w:t>4.0</w:t>
            </w:r>
          </w:p>
        </w:tc>
        <w:tc>
          <w:tcPr>
            <w:tcW w:w="850" w:type="dxa"/>
            <w:vAlign w:val="bottom"/>
          </w:tcPr>
          <w:p w14:paraId="2CF64B5C" w14:textId="3BF68ABC" w:rsidR="00B449D0" w:rsidRDefault="00076D78">
            <w:pPr>
              <w:pStyle w:val="Summarytabletextrightaligned"/>
            </w:pPr>
            <w:r>
              <w:noBreakHyphen/>
            </w:r>
            <w:r w:rsidR="00175344">
              <w:t>4.0</w:t>
            </w:r>
          </w:p>
        </w:tc>
      </w:tr>
      <w:tr w:rsidR="00B449D0" w14:paraId="61CCFAF2" w14:textId="77777777" w:rsidTr="00301E48">
        <w:tc>
          <w:tcPr>
            <w:tcW w:w="3471" w:type="dxa"/>
            <w:vAlign w:val="bottom"/>
          </w:tcPr>
          <w:p w14:paraId="7F73D8FC" w14:textId="77777777" w:rsidR="00B449D0" w:rsidRDefault="00175344">
            <w:pPr>
              <w:pStyle w:val="SummaryMeasureTitlewithTheme"/>
            </w:pPr>
            <w:r>
              <w:t>Revive – National Cultural Policy Location Offset</w:t>
            </w:r>
          </w:p>
        </w:tc>
        <w:tc>
          <w:tcPr>
            <w:tcW w:w="850" w:type="dxa"/>
            <w:vAlign w:val="bottom"/>
          </w:tcPr>
          <w:p w14:paraId="1A582712" w14:textId="1C9F8BEB" w:rsidR="00B449D0" w:rsidRDefault="00076D78">
            <w:pPr>
              <w:pStyle w:val="Summarytabletextrightaligned"/>
            </w:pPr>
            <w:r>
              <w:noBreakHyphen/>
            </w:r>
          </w:p>
        </w:tc>
        <w:tc>
          <w:tcPr>
            <w:tcW w:w="850" w:type="dxa"/>
            <w:shd w:val="clear" w:color="auto" w:fill="E6F2FF"/>
            <w:vAlign w:val="bottom"/>
          </w:tcPr>
          <w:p w14:paraId="42DFAA31" w14:textId="116AED8A" w:rsidR="00B449D0" w:rsidRDefault="00076D78">
            <w:pPr>
              <w:pStyle w:val="Summarytabletextrightaligned"/>
            </w:pPr>
            <w:r>
              <w:noBreakHyphen/>
            </w:r>
          </w:p>
        </w:tc>
        <w:tc>
          <w:tcPr>
            <w:tcW w:w="850" w:type="dxa"/>
            <w:vAlign w:val="bottom"/>
          </w:tcPr>
          <w:p w14:paraId="1990ECAD" w14:textId="5DD0AABC" w:rsidR="00B449D0" w:rsidRDefault="00076D78">
            <w:pPr>
              <w:pStyle w:val="Summarytabletextrightaligned"/>
            </w:pPr>
            <w:r>
              <w:noBreakHyphen/>
            </w:r>
          </w:p>
        </w:tc>
        <w:tc>
          <w:tcPr>
            <w:tcW w:w="850" w:type="dxa"/>
            <w:vAlign w:val="bottom"/>
          </w:tcPr>
          <w:p w14:paraId="67D45846" w14:textId="77777777" w:rsidR="00B449D0" w:rsidRDefault="00175344">
            <w:pPr>
              <w:pStyle w:val="Summarytabletextrightaligned"/>
            </w:pPr>
            <w:r>
              <w:t>4.2</w:t>
            </w:r>
          </w:p>
        </w:tc>
        <w:tc>
          <w:tcPr>
            <w:tcW w:w="850" w:type="dxa"/>
            <w:vAlign w:val="bottom"/>
          </w:tcPr>
          <w:p w14:paraId="584B74CE" w14:textId="77777777" w:rsidR="00B449D0" w:rsidRDefault="00175344">
            <w:pPr>
              <w:pStyle w:val="Summarytabletextrightaligned"/>
            </w:pPr>
            <w:r>
              <w:t>1.1</w:t>
            </w:r>
          </w:p>
        </w:tc>
      </w:tr>
      <w:tr w:rsidR="00B449D0" w14:paraId="065DD94C" w14:textId="77777777" w:rsidTr="00301E48">
        <w:tc>
          <w:tcPr>
            <w:tcW w:w="3471" w:type="dxa"/>
            <w:vAlign w:val="bottom"/>
          </w:tcPr>
          <w:p w14:paraId="0FC3F646" w14:textId="77777777" w:rsidR="00B449D0" w:rsidRDefault="00175344">
            <w:pPr>
              <w:pStyle w:val="SummaryMeasureTitlewithTheme"/>
            </w:pPr>
            <w:r>
              <w:t>Strengthening Tax Compliance – boosting the Shadow Economy Compliance Program(b)</w:t>
            </w:r>
          </w:p>
        </w:tc>
        <w:tc>
          <w:tcPr>
            <w:tcW w:w="850" w:type="dxa"/>
            <w:vAlign w:val="bottom"/>
          </w:tcPr>
          <w:p w14:paraId="6BCBA588" w14:textId="205688CC" w:rsidR="00B449D0" w:rsidRDefault="00076D78">
            <w:pPr>
              <w:pStyle w:val="Summarytabletextrightaligned"/>
            </w:pPr>
            <w:r>
              <w:noBreakHyphen/>
            </w:r>
          </w:p>
        </w:tc>
        <w:tc>
          <w:tcPr>
            <w:tcW w:w="850" w:type="dxa"/>
            <w:shd w:val="clear" w:color="auto" w:fill="E6F2FF"/>
            <w:vAlign w:val="bottom"/>
          </w:tcPr>
          <w:p w14:paraId="7E9A44E5" w14:textId="77777777" w:rsidR="00B449D0" w:rsidRDefault="00175344">
            <w:pPr>
              <w:pStyle w:val="Summarytabletextrightaligned"/>
            </w:pPr>
            <w:r>
              <w:t>7.0</w:t>
            </w:r>
          </w:p>
        </w:tc>
        <w:tc>
          <w:tcPr>
            <w:tcW w:w="850" w:type="dxa"/>
            <w:vAlign w:val="bottom"/>
          </w:tcPr>
          <w:p w14:paraId="7F51F402" w14:textId="77777777" w:rsidR="00B449D0" w:rsidRDefault="00175344">
            <w:pPr>
              <w:pStyle w:val="Summarytabletextrightaligned"/>
            </w:pPr>
            <w:r>
              <w:t>13.9</w:t>
            </w:r>
          </w:p>
        </w:tc>
        <w:tc>
          <w:tcPr>
            <w:tcW w:w="850" w:type="dxa"/>
            <w:vAlign w:val="bottom"/>
          </w:tcPr>
          <w:p w14:paraId="060AE372" w14:textId="77777777" w:rsidR="00B449D0" w:rsidRDefault="00175344">
            <w:pPr>
              <w:pStyle w:val="Summarytabletextrightaligned"/>
            </w:pPr>
            <w:r>
              <w:t>14.1</w:t>
            </w:r>
          </w:p>
        </w:tc>
        <w:tc>
          <w:tcPr>
            <w:tcW w:w="850" w:type="dxa"/>
            <w:vAlign w:val="bottom"/>
          </w:tcPr>
          <w:p w14:paraId="6AC4437C" w14:textId="77777777" w:rsidR="00B449D0" w:rsidRDefault="00175344">
            <w:pPr>
              <w:pStyle w:val="Summarytabletextrightaligned"/>
            </w:pPr>
            <w:r>
              <w:t>14.2</w:t>
            </w:r>
          </w:p>
        </w:tc>
      </w:tr>
      <w:tr w:rsidR="00B449D0" w14:paraId="0D0E691E" w14:textId="77777777" w:rsidTr="00301E48">
        <w:tc>
          <w:tcPr>
            <w:tcW w:w="3471" w:type="dxa"/>
            <w:vAlign w:val="bottom"/>
          </w:tcPr>
          <w:p w14:paraId="5965E5A4" w14:textId="77777777" w:rsidR="00B449D0" w:rsidRDefault="00175344">
            <w:pPr>
              <w:pStyle w:val="SummaryMeasureTitlewithTheme"/>
            </w:pPr>
            <w:r>
              <w:t>Supporting News and Media Diversity(b)</w:t>
            </w:r>
          </w:p>
        </w:tc>
        <w:tc>
          <w:tcPr>
            <w:tcW w:w="850" w:type="dxa"/>
            <w:vAlign w:val="bottom"/>
          </w:tcPr>
          <w:p w14:paraId="3527A4C9" w14:textId="2712C6E7" w:rsidR="00B449D0" w:rsidRDefault="00076D78">
            <w:pPr>
              <w:pStyle w:val="Summarytabletextrightaligned"/>
            </w:pPr>
            <w:r>
              <w:noBreakHyphen/>
            </w:r>
          </w:p>
        </w:tc>
        <w:tc>
          <w:tcPr>
            <w:tcW w:w="850" w:type="dxa"/>
            <w:shd w:val="clear" w:color="auto" w:fill="E6F2FF"/>
            <w:vAlign w:val="bottom"/>
          </w:tcPr>
          <w:p w14:paraId="4CE9958D" w14:textId="77777777" w:rsidR="00B449D0" w:rsidRDefault="00175344">
            <w:pPr>
              <w:pStyle w:val="Summarytabletextrightaligned"/>
            </w:pPr>
            <w:r>
              <w:t>0.8</w:t>
            </w:r>
          </w:p>
        </w:tc>
        <w:tc>
          <w:tcPr>
            <w:tcW w:w="850" w:type="dxa"/>
            <w:vAlign w:val="bottom"/>
          </w:tcPr>
          <w:p w14:paraId="381B1698" w14:textId="77777777" w:rsidR="00B449D0" w:rsidRDefault="00175344">
            <w:pPr>
              <w:pStyle w:val="Summarytabletextrightaligned"/>
            </w:pPr>
            <w:r>
              <w:t>0.8</w:t>
            </w:r>
          </w:p>
        </w:tc>
        <w:tc>
          <w:tcPr>
            <w:tcW w:w="850" w:type="dxa"/>
            <w:vAlign w:val="bottom"/>
          </w:tcPr>
          <w:p w14:paraId="023E8CEE" w14:textId="77777777" w:rsidR="00B449D0" w:rsidRDefault="00175344">
            <w:pPr>
              <w:pStyle w:val="Summarytabletextrightaligned"/>
            </w:pPr>
            <w:r>
              <w:t>0.3</w:t>
            </w:r>
          </w:p>
        </w:tc>
        <w:tc>
          <w:tcPr>
            <w:tcW w:w="850" w:type="dxa"/>
            <w:vAlign w:val="bottom"/>
          </w:tcPr>
          <w:p w14:paraId="34B1336B" w14:textId="4A231EFA" w:rsidR="00B449D0" w:rsidRDefault="00076D78">
            <w:pPr>
              <w:pStyle w:val="Summarytabletextrightaligned"/>
            </w:pPr>
            <w:r>
              <w:noBreakHyphen/>
            </w:r>
          </w:p>
        </w:tc>
      </w:tr>
      <w:tr w:rsidR="00B449D0" w14:paraId="2125EB3E" w14:textId="77777777" w:rsidTr="00301E48">
        <w:tc>
          <w:tcPr>
            <w:tcW w:w="3471" w:type="dxa"/>
            <w:vAlign w:val="bottom"/>
          </w:tcPr>
          <w:p w14:paraId="7CE354D3" w14:textId="77777777" w:rsidR="00B449D0" w:rsidRDefault="00175344">
            <w:pPr>
              <w:pStyle w:val="SummaryMeasureTitlewithTheme"/>
            </w:pPr>
            <w:r>
              <w:t>Treasury Portfolio – additional resourcing</w:t>
            </w:r>
          </w:p>
        </w:tc>
        <w:tc>
          <w:tcPr>
            <w:tcW w:w="850" w:type="dxa"/>
            <w:vAlign w:val="bottom"/>
          </w:tcPr>
          <w:p w14:paraId="383A13F2" w14:textId="79E5F8FA" w:rsidR="00B449D0" w:rsidRDefault="00076D78">
            <w:pPr>
              <w:pStyle w:val="Summarytabletextrightaligned"/>
            </w:pPr>
            <w:r>
              <w:noBreakHyphen/>
            </w:r>
          </w:p>
        </w:tc>
        <w:tc>
          <w:tcPr>
            <w:tcW w:w="850" w:type="dxa"/>
            <w:shd w:val="clear" w:color="auto" w:fill="E6F2FF"/>
            <w:vAlign w:val="bottom"/>
          </w:tcPr>
          <w:p w14:paraId="271BF6F8" w14:textId="7D75C4CA" w:rsidR="00B449D0" w:rsidRDefault="00076D78">
            <w:pPr>
              <w:pStyle w:val="Summarytabletextrightaligned"/>
            </w:pPr>
            <w:r>
              <w:noBreakHyphen/>
            </w:r>
          </w:p>
        </w:tc>
        <w:tc>
          <w:tcPr>
            <w:tcW w:w="850" w:type="dxa"/>
            <w:vAlign w:val="bottom"/>
          </w:tcPr>
          <w:p w14:paraId="76DE4994" w14:textId="13477835" w:rsidR="00B449D0" w:rsidRDefault="00076D78">
            <w:pPr>
              <w:pStyle w:val="Summarytabletextrightaligned"/>
            </w:pPr>
            <w:r>
              <w:noBreakHyphen/>
            </w:r>
            <w:r w:rsidR="00175344">
              <w:t>2.0</w:t>
            </w:r>
          </w:p>
        </w:tc>
        <w:tc>
          <w:tcPr>
            <w:tcW w:w="850" w:type="dxa"/>
            <w:vAlign w:val="bottom"/>
          </w:tcPr>
          <w:p w14:paraId="48B9A987" w14:textId="72CF2B6B" w:rsidR="00B449D0" w:rsidRDefault="00076D78">
            <w:pPr>
              <w:pStyle w:val="Summarytabletextrightaligned"/>
            </w:pPr>
            <w:r>
              <w:noBreakHyphen/>
            </w:r>
          </w:p>
        </w:tc>
        <w:tc>
          <w:tcPr>
            <w:tcW w:w="850" w:type="dxa"/>
            <w:vAlign w:val="bottom"/>
          </w:tcPr>
          <w:p w14:paraId="15A97623" w14:textId="6FC7192B" w:rsidR="00B449D0" w:rsidRDefault="00076D78">
            <w:pPr>
              <w:pStyle w:val="Summarytabletextrightaligned"/>
            </w:pPr>
            <w:r>
              <w:noBreakHyphen/>
            </w:r>
          </w:p>
        </w:tc>
      </w:tr>
    </w:tbl>
    <w:p w14:paraId="46BE6AC9" w14:textId="77777777" w:rsidR="00301E48" w:rsidRDefault="00301E48" w:rsidP="002C36E4">
      <w:pPr>
        <w:pStyle w:val="SingleParagraph0"/>
        <w:sectPr w:rsidR="00301E48" w:rsidSect="00301E48">
          <w:pgSz w:w="11906" w:h="16838"/>
          <w:pgMar w:top="2835" w:right="2098" w:bottom="2466" w:left="2098" w:header="1814" w:footer="1814" w:gutter="0"/>
          <w:cols w:space="720"/>
          <w:docGrid w:linePitch="272"/>
        </w:sectPr>
      </w:pPr>
    </w:p>
    <w:p w14:paraId="121382E1" w14:textId="0880DDEE" w:rsidR="00301E48" w:rsidRDefault="00301E48" w:rsidP="00301E48">
      <w:pPr>
        <w:pStyle w:val="TableHeadingcontinued"/>
      </w:pPr>
      <w:r>
        <w:lastRenderedPageBreak/>
        <w:t xml:space="preserve">Table </w:t>
      </w:r>
      <w:r w:rsidR="006E0A94">
        <w:t>A.</w:t>
      </w:r>
      <w:r>
        <w:t>2: Payment measures since the 2024–25 Budget</w:t>
      </w:r>
      <w:r>
        <w:rPr>
          <w:rFonts w:ascii="Cambria Math" w:hAnsi="Cambria Math" w:cs="Cambria Math"/>
        </w:rPr>
        <w:t>⁽</w:t>
      </w:r>
      <w:r>
        <w:rPr>
          <w:rFonts w:cs="Arial"/>
        </w:rPr>
        <w:t>ª</w:t>
      </w:r>
      <w:r>
        <w:rPr>
          <w:rFonts w:ascii="Cambria Math" w:hAnsi="Cambria Math" w:cs="Cambria Math"/>
        </w:rPr>
        <w:t>⁾</w:t>
      </w:r>
      <w:r>
        <w:t xml:space="preserve"> (continued)</w:t>
      </w:r>
    </w:p>
    <w:tbl>
      <w:tblPr>
        <w:tblOverlap w:val="never"/>
        <w:tblW w:w="7721" w:type="dxa"/>
        <w:tblBorders>
          <w:top w:val="single" w:sz="4" w:space="0" w:color="000000"/>
          <w:bottom w:val="single" w:sz="4" w:space="0" w:color="000000"/>
        </w:tblBorders>
        <w:tblLayout w:type="fixed"/>
        <w:tblCellMar>
          <w:left w:w="0" w:type="dxa"/>
          <w:right w:w="56" w:type="dxa"/>
        </w:tblCellMar>
        <w:tblLook w:val="04A0" w:firstRow="1" w:lastRow="0" w:firstColumn="1" w:lastColumn="0" w:noHBand="0" w:noVBand="1"/>
      </w:tblPr>
      <w:tblGrid>
        <w:gridCol w:w="3471"/>
        <w:gridCol w:w="850"/>
        <w:gridCol w:w="850"/>
        <w:gridCol w:w="850"/>
        <w:gridCol w:w="850"/>
        <w:gridCol w:w="850"/>
      </w:tblGrid>
      <w:tr w:rsidR="00301E48" w14:paraId="654CBC6D" w14:textId="77777777" w:rsidTr="7F762F0D">
        <w:tc>
          <w:tcPr>
            <w:tcW w:w="3471" w:type="dxa"/>
            <w:vAlign w:val="bottom"/>
          </w:tcPr>
          <w:p w14:paraId="1190ADC2" w14:textId="77777777" w:rsidR="00301E48" w:rsidRDefault="00301E48" w:rsidP="00301E48"/>
        </w:tc>
        <w:tc>
          <w:tcPr>
            <w:tcW w:w="850" w:type="dxa"/>
            <w:tcBorders>
              <w:bottom w:val="nil"/>
            </w:tcBorders>
          </w:tcPr>
          <w:p w14:paraId="7666B1E8" w14:textId="38B961C8" w:rsidR="00301E48" w:rsidRDefault="00301E48" w:rsidP="00301E48">
            <w:pPr>
              <w:pStyle w:val="Summarytabletextrightaligned"/>
            </w:pPr>
            <w:r>
              <w:t>2023</w:t>
            </w:r>
            <w:r w:rsidR="00076D78">
              <w:noBreakHyphen/>
            </w:r>
            <w:r>
              <w:t>24</w:t>
            </w:r>
          </w:p>
        </w:tc>
        <w:tc>
          <w:tcPr>
            <w:tcW w:w="850" w:type="dxa"/>
            <w:tcBorders>
              <w:bottom w:val="nil"/>
            </w:tcBorders>
            <w:shd w:val="clear" w:color="auto" w:fill="E6F2FF"/>
          </w:tcPr>
          <w:p w14:paraId="5CC40797" w14:textId="182A0226" w:rsidR="00301E48" w:rsidRDefault="00301E48" w:rsidP="00301E48">
            <w:pPr>
              <w:pStyle w:val="Summarytabletextrightaligned"/>
            </w:pPr>
            <w:r>
              <w:t>2024</w:t>
            </w:r>
            <w:r w:rsidR="00076D78">
              <w:noBreakHyphen/>
            </w:r>
            <w:r>
              <w:t>25</w:t>
            </w:r>
          </w:p>
        </w:tc>
        <w:tc>
          <w:tcPr>
            <w:tcW w:w="850" w:type="dxa"/>
            <w:tcBorders>
              <w:bottom w:val="nil"/>
            </w:tcBorders>
          </w:tcPr>
          <w:p w14:paraId="676424DD" w14:textId="2A530FA0" w:rsidR="00301E48" w:rsidRDefault="00301E48" w:rsidP="00301E48">
            <w:pPr>
              <w:pStyle w:val="Summarytabletextrightaligned"/>
            </w:pPr>
            <w:r>
              <w:t>2025</w:t>
            </w:r>
            <w:r w:rsidR="00076D78">
              <w:noBreakHyphen/>
            </w:r>
            <w:r>
              <w:t>26</w:t>
            </w:r>
          </w:p>
        </w:tc>
        <w:tc>
          <w:tcPr>
            <w:tcW w:w="850" w:type="dxa"/>
            <w:tcBorders>
              <w:bottom w:val="nil"/>
            </w:tcBorders>
          </w:tcPr>
          <w:p w14:paraId="07E7198A" w14:textId="2BE97205" w:rsidR="00301E48" w:rsidRDefault="00301E48" w:rsidP="00301E48">
            <w:pPr>
              <w:pStyle w:val="Summarytabletextrightaligned"/>
            </w:pPr>
            <w:r>
              <w:t>2026</w:t>
            </w:r>
            <w:r w:rsidR="00076D78">
              <w:noBreakHyphen/>
            </w:r>
            <w:r>
              <w:t>27</w:t>
            </w:r>
          </w:p>
        </w:tc>
        <w:tc>
          <w:tcPr>
            <w:tcW w:w="850" w:type="dxa"/>
            <w:tcBorders>
              <w:bottom w:val="nil"/>
            </w:tcBorders>
          </w:tcPr>
          <w:p w14:paraId="47CB8226" w14:textId="503C2F83" w:rsidR="00301E48" w:rsidRDefault="00301E48" w:rsidP="00301E48">
            <w:pPr>
              <w:pStyle w:val="Summarytabletextrightaligned"/>
            </w:pPr>
            <w:r>
              <w:t>2027</w:t>
            </w:r>
            <w:r w:rsidR="00076D78">
              <w:noBreakHyphen/>
            </w:r>
            <w:r>
              <w:t>28</w:t>
            </w:r>
          </w:p>
        </w:tc>
      </w:tr>
      <w:tr w:rsidR="00301E48" w14:paraId="0932398E" w14:textId="77777777" w:rsidTr="7F762F0D">
        <w:tc>
          <w:tcPr>
            <w:tcW w:w="3471" w:type="dxa"/>
            <w:vAlign w:val="bottom"/>
          </w:tcPr>
          <w:p w14:paraId="4BE58C85" w14:textId="77777777" w:rsidR="00301E48" w:rsidRDefault="00301E48" w:rsidP="00301E48"/>
        </w:tc>
        <w:tc>
          <w:tcPr>
            <w:tcW w:w="850" w:type="dxa"/>
            <w:tcBorders>
              <w:top w:val="nil"/>
              <w:bottom w:val="single" w:sz="4" w:space="0" w:color="auto"/>
            </w:tcBorders>
            <w:shd w:val="clear" w:color="auto" w:fill="auto"/>
          </w:tcPr>
          <w:p w14:paraId="404CABE0" w14:textId="77777777" w:rsidR="00301E48" w:rsidRDefault="00301E48" w:rsidP="00301E48">
            <w:pPr>
              <w:pStyle w:val="Summarytabletextrightaligned"/>
            </w:pPr>
            <w:r>
              <w:t>$m</w:t>
            </w:r>
          </w:p>
        </w:tc>
        <w:tc>
          <w:tcPr>
            <w:tcW w:w="850" w:type="dxa"/>
            <w:tcBorders>
              <w:top w:val="nil"/>
              <w:bottom w:val="single" w:sz="4" w:space="0" w:color="auto"/>
            </w:tcBorders>
            <w:shd w:val="clear" w:color="auto" w:fill="E6F2FF"/>
          </w:tcPr>
          <w:p w14:paraId="586A76E2" w14:textId="77777777" w:rsidR="00301E48" w:rsidRDefault="00301E48" w:rsidP="00301E48">
            <w:pPr>
              <w:pStyle w:val="Summarytabletextrightaligned"/>
            </w:pPr>
            <w:r>
              <w:t>$m</w:t>
            </w:r>
          </w:p>
        </w:tc>
        <w:tc>
          <w:tcPr>
            <w:tcW w:w="850" w:type="dxa"/>
            <w:tcBorders>
              <w:top w:val="nil"/>
              <w:bottom w:val="single" w:sz="4" w:space="0" w:color="auto"/>
            </w:tcBorders>
            <w:shd w:val="clear" w:color="auto" w:fill="auto"/>
          </w:tcPr>
          <w:p w14:paraId="075F9306" w14:textId="77777777" w:rsidR="00301E48" w:rsidRDefault="00301E48" w:rsidP="00301E48">
            <w:pPr>
              <w:pStyle w:val="Summarytabletextrightaligned"/>
            </w:pPr>
            <w:r>
              <w:t>$m</w:t>
            </w:r>
          </w:p>
        </w:tc>
        <w:tc>
          <w:tcPr>
            <w:tcW w:w="850" w:type="dxa"/>
            <w:tcBorders>
              <w:top w:val="nil"/>
              <w:bottom w:val="single" w:sz="4" w:space="0" w:color="auto"/>
            </w:tcBorders>
            <w:shd w:val="clear" w:color="auto" w:fill="auto"/>
          </w:tcPr>
          <w:p w14:paraId="7897F543" w14:textId="77777777" w:rsidR="00301E48" w:rsidRDefault="00301E48" w:rsidP="00301E48">
            <w:pPr>
              <w:pStyle w:val="Summarytabletextrightaligned"/>
            </w:pPr>
            <w:r>
              <w:t>$m</w:t>
            </w:r>
          </w:p>
        </w:tc>
        <w:tc>
          <w:tcPr>
            <w:tcW w:w="850" w:type="dxa"/>
            <w:tcBorders>
              <w:top w:val="nil"/>
              <w:bottom w:val="single" w:sz="4" w:space="0" w:color="auto"/>
            </w:tcBorders>
            <w:shd w:val="clear" w:color="auto" w:fill="auto"/>
          </w:tcPr>
          <w:p w14:paraId="78A9125C" w14:textId="77777777" w:rsidR="00301E48" w:rsidRDefault="00301E48" w:rsidP="00301E48">
            <w:pPr>
              <w:pStyle w:val="Summarytabletextrightaligned"/>
            </w:pPr>
            <w:r>
              <w:t>$m</w:t>
            </w:r>
          </w:p>
        </w:tc>
      </w:tr>
      <w:tr w:rsidR="00301E48" w14:paraId="04A51873" w14:textId="77777777" w:rsidTr="7F762F0D">
        <w:tc>
          <w:tcPr>
            <w:tcW w:w="3471" w:type="dxa"/>
            <w:tcBorders>
              <w:bottom w:val="nil"/>
            </w:tcBorders>
            <w:vAlign w:val="bottom"/>
          </w:tcPr>
          <w:p w14:paraId="66D69FE0" w14:textId="77777777" w:rsidR="00301E48" w:rsidRPr="00301E48" w:rsidRDefault="00301E48" w:rsidP="00301E48">
            <w:pPr>
              <w:pStyle w:val="SummaryMeasureTitlewithTheme"/>
              <w:rPr>
                <w:b/>
              </w:rPr>
            </w:pPr>
            <w:r w:rsidRPr="00301E48">
              <w:rPr>
                <w:b/>
              </w:rPr>
              <w:t>TREASURY (continued)</w:t>
            </w:r>
          </w:p>
        </w:tc>
        <w:tc>
          <w:tcPr>
            <w:tcW w:w="850" w:type="dxa"/>
            <w:tcBorders>
              <w:top w:val="single" w:sz="4" w:space="0" w:color="auto"/>
              <w:bottom w:val="nil"/>
            </w:tcBorders>
          </w:tcPr>
          <w:p w14:paraId="52C0436B" w14:textId="77777777" w:rsidR="00301E48" w:rsidRDefault="00301E48">
            <w:pPr>
              <w:pStyle w:val="SummaryAgencyTitle-BP2"/>
            </w:pPr>
          </w:p>
        </w:tc>
        <w:tc>
          <w:tcPr>
            <w:tcW w:w="850" w:type="dxa"/>
            <w:tcBorders>
              <w:top w:val="single" w:sz="4" w:space="0" w:color="auto"/>
              <w:bottom w:val="nil"/>
            </w:tcBorders>
            <w:shd w:val="clear" w:color="auto" w:fill="E6F2FF"/>
          </w:tcPr>
          <w:p w14:paraId="34E7410E" w14:textId="77777777" w:rsidR="00301E48" w:rsidRDefault="00301E48">
            <w:pPr>
              <w:pStyle w:val="SummaryAgencyTitle-BP2"/>
            </w:pPr>
          </w:p>
        </w:tc>
        <w:tc>
          <w:tcPr>
            <w:tcW w:w="850" w:type="dxa"/>
            <w:tcBorders>
              <w:top w:val="single" w:sz="4" w:space="0" w:color="auto"/>
              <w:bottom w:val="nil"/>
            </w:tcBorders>
          </w:tcPr>
          <w:p w14:paraId="26B7801E" w14:textId="77777777" w:rsidR="00301E48" w:rsidRDefault="00301E48">
            <w:pPr>
              <w:pStyle w:val="SummaryAgencyTitle-BP2"/>
            </w:pPr>
          </w:p>
        </w:tc>
        <w:tc>
          <w:tcPr>
            <w:tcW w:w="850" w:type="dxa"/>
            <w:tcBorders>
              <w:top w:val="single" w:sz="4" w:space="0" w:color="auto"/>
              <w:bottom w:val="nil"/>
            </w:tcBorders>
          </w:tcPr>
          <w:p w14:paraId="68BAC40E" w14:textId="77777777" w:rsidR="00301E48" w:rsidRDefault="00301E48">
            <w:pPr>
              <w:pStyle w:val="SummaryAgencyTitle-BP2"/>
            </w:pPr>
          </w:p>
        </w:tc>
        <w:tc>
          <w:tcPr>
            <w:tcW w:w="850" w:type="dxa"/>
            <w:tcBorders>
              <w:top w:val="single" w:sz="4" w:space="0" w:color="auto"/>
              <w:bottom w:val="nil"/>
            </w:tcBorders>
          </w:tcPr>
          <w:p w14:paraId="60004006" w14:textId="77777777" w:rsidR="00301E48" w:rsidRDefault="00301E48">
            <w:pPr>
              <w:pStyle w:val="SummaryAgencyTitle-BP2"/>
            </w:pPr>
          </w:p>
        </w:tc>
      </w:tr>
      <w:tr w:rsidR="00B449D0" w14:paraId="0BF0EDC0" w14:textId="77777777" w:rsidTr="7F762F0D">
        <w:tc>
          <w:tcPr>
            <w:tcW w:w="3471" w:type="dxa"/>
            <w:tcBorders>
              <w:top w:val="nil"/>
            </w:tcBorders>
            <w:vAlign w:val="bottom"/>
          </w:tcPr>
          <w:p w14:paraId="4CA7A754" w14:textId="77777777" w:rsidR="00B449D0" w:rsidRDefault="00175344">
            <w:pPr>
              <w:pStyle w:val="SummaryAgencyTitle-BP2"/>
            </w:pPr>
            <w:r>
              <w:t>Department of the Treasury</w:t>
            </w:r>
          </w:p>
        </w:tc>
        <w:tc>
          <w:tcPr>
            <w:tcW w:w="850" w:type="dxa"/>
            <w:tcBorders>
              <w:top w:val="nil"/>
            </w:tcBorders>
          </w:tcPr>
          <w:p w14:paraId="56CB1A28" w14:textId="77777777" w:rsidR="00B449D0" w:rsidRDefault="00B449D0">
            <w:pPr>
              <w:pStyle w:val="SummaryAgencyTitle-BP2"/>
            </w:pPr>
          </w:p>
        </w:tc>
        <w:tc>
          <w:tcPr>
            <w:tcW w:w="850" w:type="dxa"/>
            <w:tcBorders>
              <w:top w:val="nil"/>
            </w:tcBorders>
            <w:shd w:val="clear" w:color="auto" w:fill="E6F2FF"/>
          </w:tcPr>
          <w:p w14:paraId="48B745CD" w14:textId="77777777" w:rsidR="00B449D0" w:rsidRDefault="00B449D0">
            <w:pPr>
              <w:pStyle w:val="SummaryAgencyTitle-BP2"/>
            </w:pPr>
          </w:p>
        </w:tc>
        <w:tc>
          <w:tcPr>
            <w:tcW w:w="850" w:type="dxa"/>
            <w:tcBorders>
              <w:top w:val="nil"/>
            </w:tcBorders>
          </w:tcPr>
          <w:p w14:paraId="39FD9813" w14:textId="77777777" w:rsidR="00B449D0" w:rsidRDefault="00B449D0">
            <w:pPr>
              <w:pStyle w:val="SummaryAgencyTitle-BP2"/>
            </w:pPr>
          </w:p>
        </w:tc>
        <w:tc>
          <w:tcPr>
            <w:tcW w:w="850" w:type="dxa"/>
            <w:tcBorders>
              <w:top w:val="nil"/>
            </w:tcBorders>
          </w:tcPr>
          <w:p w14:paraId="50BFD922" w14:textId="77777777" w:rsidR="00B449D0" w:rsidRDefault="00B449D0">
            <w:pPr>
              <w:pStyle w:val="SummaryAgencyTitle-BP2"/>
            </w:pPr>
          </w:p>
        </w:tc>
        <w:tc>
          <w:tcPr>
            <w:tcW w:w="850" w:type="dxa"/>
            <w:tcBorders>
              <w:top w:val="nil"/>
            </w:tcBorders>
          </w:tcPr>
          <w:p w14:paraId="6AF9CB16" w14:textId="77777777" w:rsidR="00B449D0" w:rsidRDefault="00B449D0">
            <w:pPr>
              <w:pStyle w:val="SummaryAgencyTitle-BP2"/>
            </w:pPr>
          </w:p>
        </w:tc>
      </w:tr>
      <w:tr w:rsidR="00B449D0" w14:paraId="0D43900A" w14:textId="77777777" w:rsidTr="7F762F0D">
        <w:tc>
          <w:tcPr>
            <w:tcW w:w="3471" w:type="dxa"/>
            <w:vAlign w:val="bottom"/>
          </w:tcPr>
          <w:p w14:paraId="34DDA1D0" w14:textId="77777777" w:rsidR="00B449D0" w:rsidRDefault="00175344">
            <w:pPr>
              <w:pStyle w:val="SummaryMeasureTitlewithTheme"/>
            </w:pPr>
            <w:r>
              <w:t>Adding Maternal Vaccine for Respiratory Syncytial Virus to the National Immunisation Program</w:t>
            </w:r>
          </w:p>
        </w:tc>
        <w:tc>
          <w:tcPr>
            <w:tcW w:w="850" w:type="dxa"/>
            <w:vAlign w:val="bottom"/>
          </w:tcPr>
          <w:p w14:paraId="359571D8" w14:textId="4728833F" w:rsidR="00B449D0" w:rsidRDefault="00076D78">
            <w:pPr>
              <w:pStyle w:val="Summarytabletextrightaligned"/>
            </w:pPr>
            <w:r>
              <w:noBreakHyphen/>
            </w:r>
          </w:p>
        </w:tc>
        <w:tc>
          <w:tcPr>
            <w:tcW w:w="850" w:type="dxa"/>
            <w:shd w:val="clear" w:color="auto" w:fill="E6F2FF"/>
            <w:vAlign w:val="bottom"/>
          </w:tcPr>
          <w:p w14:paraId="413D37AC" w14:textId="43D7E45B" w:rsidR="00B449D0" w:rsidRDefault="00076D78">
            <w:pPr>
              <w:pStyle w:val="Summarytabletextrightaligned"/>
            </w:pPr>
            <w:r>
              <w:noBreakHyphen/>
            </w:r>
          </w:p>
        </w:tc>
        <w:tc>
          <w:tcPr>
            <w:tcW w:w="850" w:type="dxa"/>
            <w:vAlign w:val="bottom"/>
          </w:tcPr>
          <w:p w14:paraId="648D90E8" w14:textId="77777777" w:rsidR="00B449D0" w:rsidRDefault="00175344">
            <w:pPr>
              <w:pStyle w:val="Summarytabletextrightaligned"/>
            </w:pPr>
            <w:r>
              <w:t>1.8</w:t>
            </w:r>
          </w:p>
        </w:tc>
        <w:tc>
          <w:tcPr>
            <w:tcW w:w="850" w:type="dxa"/>
            <w:vAlign w:val="bottom"/>
          </w:tcPr>
          <w:p w14:paraId="25FD02CD" w14:textId="77777777" w:rsidR="00B449D0" w:rsidRDefault="00175344">
            <w:pPr>
              <w:pStyle w:val="Summarytabletextrightaligned"/>
            </w:pPr>
            <w:r>
              <w:t>1.8</w:t>
            </w:r>
          </w:p>
        </w:tc>
        <w:tc>
          <w:tcPr>
            <w:tcW w:w="850" w:type="dxa"/>
            <w:vAlign w:val="bottom"/>
          </w:tcPr>
          <w:p w14:paraId="7661493D" w14:textId="77777777" w:rsidR="00B449D0" w:rsidRDefault="00175344">
            <w:pPr>
              <w:pStyle w:val="Summarytabletextrightaligned"/>
            </w:pPr>
            <w:r>
              <w:t>1.9</w:t>
            </w:r>
          </w:p>
        </w:tc>
      </w:tr>
      <w:tr w:rsidR="00B449D0" w14:paraId="2230200B" w14:textId="77777777" w:rsidTr="7F762F0D">
        <w:tc>
          <w:tcPr>
            <w:tcW w:w="3471" w:type="dxa"/>
            <w:vAlign w:val="bottom"/>
          </w:tcPr>
          <w:p w14:paraId="73F9923E" w14:textId="77777777" w:rsidR="00B449D0" w:rsidRDefault="00175344">
            <w:pPr>
              <w:pStyle w:val="SummaryMeasureTitlewithTheme"/>
            </w:pPr>
            <w:r>
              <w:t>Additional Support for Seamless</w:t>
            </w:r>
          </w:p>
        </w:tc>
        <w:tc>
          <w:tcPr>
            <w:tcW w:w="850" w:type="dxa"/>
            <w:vAlign w:val="bottom"/>
          </w:tcPr>
          <w:p w14:paraId="486C40B8" w14:textId="281D416F" w:rsidR="00B449D0" w:rsidRDefault="00076D78">
            <w:pPr>
              <w:pStyle w:val="Summarytabletextrightaligned"/>
            </w:pPr>
            <w:r>
              <w:noBreakHyphen/>
            </w:r>
          </w:p>
        </w:tc>
        <w:tc>
          <w:tcPr>
            <w:tcW w:w="850" w:type="dxa"/>
            <w:shd w:val="clear" w:color="auto" w:fill="E6F2FF"/>
            <w:vAlign w:val="bottom"/>
          </w:tcPr>
          <w:p w14:paraId="7BFBB7C5" w14:textId="67AE2566" w:rsidR="00B449D0" w:rsidRDefault="00076D78">
            <w:pPr>
              <w:pStyle w:val="Summarytabletextrightaligned"/>
            </w:pPr>
            <w:r>
              <w:noBreakHyphen/>
            </w:r>
            <w:r w:rsidR="00175344">
              <w:t>1.3</w:t>
            </w:r>
          </w:p>
        </w:tc>
        <w:tc>
          <w:tcPr>
            <w:tcW w:w="850" w:type="dxa"/>
            <w:vAlign w:val="bottom"/>
          </w:tcPr>
          <w:p w14:paraId="02C5F41C" w14:textId="39C3D8B8" w:rsidR="00B449D0" w:rsidRDefault="00076D78">
            <w:pPr>
              <w:pStyle w:val="Summarytabletextrightaligned"/>
            </w:pPr>
            <w:r>
              <w:noBreakHyphen/>
            </w:r>
            <w:r w:rsidR="00175344">
              <w:t>0.7</w:t>
            </w:r>
          </w:p>
        </w:tc>
        <w:tc>
          <w:tcPr>
            <w:tcW w:w="850" w:type="dxa"/>
            <w:vAlign w:val="bottom"/>
          </w:tcPr>
          <w:p w14:paraId="7F328D3E" w14:textId="13121421" w:rsidR="00B449D0" w:rsidRDefault="00076D78">
            <w:pPr>
              <w:pStyle w:val="Summarytabletextrightaligned"/>
            </w:pPr>
            <w:r>
              <w:noBreakHyphen/>
            </w:r>
            <w:r w:rsidR="00175344">
              <w:t>11.9</w:t>
            </w:r>
          </w:p>
        </w:tc>
        <w:tc>
          <w:tcPr>
            <w:tcW w:w="850" w:type="dxa"/>
            <w:vAlign w:val="bottom"/>
          </w:tcPr>
          <w:p w14:paraId="516170C5" w14:textId="4B8B5C75" w:rsidR="00B449D0" w:rsidRDefault="00076D78">
            <w:pPr>
              <w:pStyle w:val="Summarytabletextrightaligned"/>
            </w:pPr>
            <w:r>
              <w:noBreakHyphen/>
            </w:r>
          </w:p>
        </w:tc>
      </w:tr>
      <w:tr w:rsidR="00B449D0" w14:paraId="5E80F624" w14:textId="77777777" w:rsidTr="7F762F0D">
        <w:tc>
          <w:tcPr>
            <w:tcW w:w="3471" w:type="dxa"/>
            <w:vAlign w:val="bottom"/>
          </w:tcPr>
          <w:p w14:paraId="2B49FDBF" w14:textId="77777777" w:rsidR="00B449D0" w:rsidRDefault="00175344">
            <w:pPr>
              <w:pStyle w:val="SummaryMeasureTitlewithTheme"/>
            </w:pPr>
            <w:r>
              <w:t>Assistance for Recent Arrivals from Conflict Zones(b)</w:t>
            </w:r>
          </w:p>
        </w:tc>
        <w:tc>
          <w:tcPr>
            <w:tcW w:w="850" w:type="dxa"/>
            <w:vAlign w:val="bottom"/>
          </w:tcPr>
          <w:p w14:paraId="50984142" w14:textId="4D85A8F8" w:rsidR="00B449D0" w:rsidRDefault="00076D78">
            <w:pPr>
              <w:pStyle w:val="Summarytabletextrightaligned"/>
            </w:pPr>
            <w:r>
              <w:noBreakHyphen/>
            </w:r>
          </w:p>
        </w:tc>
        <w:tc>
          <w:tcPr>
            <w:tcW w:w="850" w:type="dxa"/>
            <w:shd w:val="clear" w:color="auto" w:fill="E6F2FF"/>
            <w:vAlign w:val="bottom"/>
          </w:tcPr>
          <w:p w14:paraId="7C0C55A4" w14:textId="25E3973B" w:rsidR="00B449D0" w:rsidRDefault="008659E5">
            <w:pPr>
              <w:pStyle w:val="Summarytabletextrightaligned"/>
            </w:pPr>
            <w:r>
              <w:t>..</w:t>
            </w:r>
          </w:p>
        </w:tc>
        <w:tc>
          <w:tcPr>
            <w:tcW w:w="850" w:type="dxa"/>
            <w:vAlign w:val="bottom"/>
          </w:tcPr>
          <w:p w14:paraId="003E7E86" w14:textId="17126622" w:rsidR="00B449D0" w:rsidRDefault="008659E5">
            <w:pPr>
              <w:pStyle w:val="Summarytabletextrightaligned"/>
            </w:pPr>
            <w:r>
              <w:t>..</w:t>
            </w:r>
          </w:p>
        </w:tc>
        <w:tc>
          <w:tcPr>
            <w:tcW w:w="850" w:type="dxa"/>
            <w:vAlign w:val="bottom"/>
          </w:tcPr>
          <w:p w14:paraId="78889D96" w14:textId="640C2E96" w:rsidR="00B449D0" w:rsidRDefault="008659E5">
            <w:pPr>
              <w:pStyle w:val="Summarytabletextrightaligned"/>
            </w:pPr>
            <w:r>
              <w:t>..</w:t>
            </w:r>
          </w:p>
        </w:tc>
        <w:tc>
          <w:tcPr>
            <w:tcW w:w="850" w:type="dxa"/>
            <w:vAlign w:val="bottom"/>
          </w:tcPr>
          <w:p w14:paraId="2C128B91" w14:textId="17A19A5E" w:rsidR="00B449D0" w:rsidRDefault="008659E5">
            <w:pPr>
              <w:pStyle w:val="Summarytabletextrightaligned"/>
            </w:pPr>
            <w:r>
              <w:t>..</w:t>
            </w:r>
          </w:p>
        </w:tc>
      </w:tr>
      <w:tr w:rsidR="00B449D0" w14:paraId="658BB960" w14:textId="77777777" w:rsidTr="7F762F0D">
        <w:tc>
          <w:tcPr>
            <w:tcW w:w="3471" w:type="dxa"/>
            <w:vAlign w:val="bottom"/>
          </w:tcPr>
          <w:p w14:paraId="146FB353" w14:textId="23F422C3" w:rsidR="00B449D0" w:rsidRDefault="00175344">
            <w:pPr>
              <w:pStyle w:val="SummaryMeasureTitlewithTheme"/>
            </w:pPr>
            <w:r>
              <w:t>Australia</w:t>
            </w:r>
            <w:r w:rsidR="00076D78">
              <w:t>’</w:t>
            </w:r>
            <w:r>
              <w:t>s Counter‑Terrorism and Violent Extremism Strategy 2024</w:t>
            </w:r>
          </w:p>
        </w:tc>
        <w:tc>
          <w:tcPr>
            <w:tcW w:w="850" w:type="dxa"/>
            <w:vAlign w:val="bottom"/>
          </w:tcPr>
          <w:p w14:paraId="1C3F2E61" w14:textId="4DFA0826" w:rsidR="00B449D0" w:rsidRDefault="00076D78">
            <w:pPr>
              <w:pStyle w:val="Summarytabletextrightaligned"/>
            </w:pPr>
            <w:r>
              <w:noBreakHyphen/>
            </w:r>
          </w:p>
        </w:tc>
        <w:tc>
          <w:tcPr>
            <w:tcW w:w="850" w:type="dxa"/>
            <w:shd w:val="clear" w:color="auto" w:fill="E6F2FF"/>
            <w:vAlign w:val="bottom"/>
          </w:tcPr>
          <w:p w14:paraId="3EE2EDB2" w14:textId="7A5A9702" w:rsidR="00B449D0" w:rsidRDefault="00076D78">
            <w:pPr>
              <w:pStyle w:val="Summarytabletextrightaligned"/>
            </w:pPr>
            <w:r>
              <w:noBreakHyphen/>
            </w:r>
          </w:p>
        </w:tc>
        <w:tc>
          <w:tcPr>
            <w:tcW w:w="850" w:type="dxa"/>
            <w:vAlign w:val="bottom"/>
          </w:tcPr>
          <w:p w14:paraId="22C590D2" w14:textId="77777777" w:rsidR="00B449D0" w:rsidRDefault="00175344">
            <w:pPr>
              <w:pStyle w:val="Summarytabletextrightaligned"/>
            </w:pPr>
            <w:r>
              <w:t>26.7</w:t>
            </w:r>
          </w:p>
        </w:tc>
        <w:tc>
          <w:tcPr>
            <w:tcW w:w="850" w:type="dxa"/>
            <w:vAlign w:val="bottom"/>
          </w:tcPr>
          <w:p w14:paraId="105182E3" w14:textId="77777777" w:rsidR="00B449D0" w:rsidRDefault="00175344">
            <w:pPr>
              <w:pStyle w:val="Summarytabletextrightaligned"/>
            </w:pPr>
            <w:r>
              <w:t>26.9</w:t>
            </w:r>
          </w:p>
        </w:tc>
        <w:tc>
          <w:tcPr>
            <w:tcW w:w="850" w:type="dxa"/>
            <w:vAlign w:val="bottom"/>
          </w:tcPr>
          <w:p w14:paraId="2216F397" w14:textId="77777777" w:rsidR="00B449D0" w:rsidRDefault="00175344">
            <w:pPr>
              <w:pStyle w:val="Summarytabletextrightaligned"/>
            </w:pPr>
            <w:r>
              <w:t>28.1</w:t>
            </w:r>
          </w:p>
        </w:tc>
      </w:tr>
      <w:tr w:rsidR="00B449D0" w14:paraId="21AD54D3" w14:textId="77777777" w:rsidTr="7F762F0D">
        <w:tc>
          <w:tcPr>
            <w:tcW w:w="3471" w:type="dxa"/>
            <w:vAlign w:val="bottom"/>
          </w:tcPr>
          <w:p w14:paraId="3C5389B1" w14:textId="0A0A2D3F" w:rsidR="00B449D0" w:rsidRDefault="00175344">
            <w:pPr>
              <w:pStyle w:val="SummaryMeasureTitlewithTheme"/>
            </w:pPr>
            <w:r>
              <w:t>Building Australia</w:t>
            </w:r>
            <w:r w:rsidR="00076D78">
              <w:t>’</w:t>
            </w:r>
            <w:r>
              <w:t>s Future – Building a Better Future Through Considered Infrastructure Investment</w:t>
            </w:r>
          </w:p>
        </w:tc>
        <w:tc>
          <w:tcPr>
            <w:tcW w:w="850" w:type="dxa"/>
            <w:vAlign w:val="bottom"/>
          </w:tcPr>
          <w:p w14:paraId="6BD621C4" w14:textId="01D7BF02" w:rsidR="00B449D0" w:rsidRDefault="00076D78">
            <w:pPr>
              <w:pStyle w:val="Summarytabletextrightaligned"/>
            </w:pPr>
            <w:r>
              <w:noBreakHyphen/>
            </w:r>
          </w:p>
        </w:tc>
        <w:tc>
          <w:tcPr>
            <w:tcW w:w="850" w:type="dxa"/>
            <w:shd w:val="clear" w:color="auto" w:fill="E6F2FF"/>
            <w:vAlign w:val="bottom"/>
          </w:tcPr>
          <w:p w14:paraId="10DA4D93" w14:textId="77777777" w:rsidR="00B449D0" w:rsidRDefault="00175344">
            <w:pPr>
              <w:pStyle w:val="Summarytabletextrightaligned"/>
            </w:pPr>
            <w:r>
              <w:t>375.0</w:t>
            </w:r>
          </w:p>
        </w:tc>
        <w:tc>
          <w:tcPr>
            <w:tcW w:w="850" w:type="dxa"/>
            <w:vAlign w:val="bottom"/>
          </w:tcPr>
          <w:p w14:paraId="21DEAD23" w14:textId="77777777" w:rsidR="00B449D0" w:rsidRDefault="00175344">
            <w:pPr>
              <w:pStyle w:val="Summarytabletextrightaligned"/>
            </w:pPr>
            <w:r>
              <w:t>160.1</w:t>
            </w:r>
          </w:p>
        </w:tc>
        <w:tc>
          <w:tcPr>
            <w:tcW w:w="850" w:type="dxa"/>
            <w:vAlign w:val="bottom"/>
          </w:tcPr>
          <w:p w14:paraId="76A4DC0C" w14:textId="77777777" w:rsidR="00B449D0" w:rsidRDefault="00175344">
            <w:pPr>
              <w:pStyle w:val="Summarytabletextrightaligned"/>
            </w:pPr>
            <w:r>
              <w:t>155.9</w:t>
            </w:r>
          </w:p>
        </w:tc>
        <w:tc>
          <w:tcPr>
            <w:tcW w:w="850" w:type="dxa"/>
            <w:vAlign w:val="bottom"/>
          </w:tcPr>
          <w:p w14:paraId="2D9AAB60" w14:textId="77777777" w:rsidR="00B449D0" w:rsidRDefault="00175344">
            <w:pPr>
              <w:pStyle w:val="Summarytabletextrightaligned"/>
            </w:pPr>
            <w:r>
              <w:t>35.4</w:t>
            </w:r>
          </w:p>
        </w:tc>
      </w:tr>
      <w:tr w:rsidR="00B449D0" w14:paraId="4D59C73C" w14:textId="77777777" w:rsidTr="7F762F0D">
        <w:tc>
          <w:tcPr>
            <w:tcW w:w="3471" w:type="dxa"/>
            <w:vAlign w:val="bottom"/>
          </w:tcPr>
          <w:p w14:paraId="119BD90E" w14:textId="32BFD573" w:rsidR="00B449D0" w:rsidRDefault="00175344">
            <w:pPr>
              <w:pStyle w:val="SummaryMeasureTitlewithTheme"/>
            </w:pPr>
            <w:r>
              <w:t>Building Australia</w:t>
            </w:r>
            <w:r w:rsidR="00076D78">
              <w:t>’</w:t>
            </w:r>
            <w:r>
              <w:t>s Future – Free TAFE</w:t>
            </w:r>
          </w:p>
        </w:tc>
        <w:tc>
          <w:tcPr>
            <w:tcW w:w="850" w:type="dxa"/>
            <w:vAlign w:val="bottom"/>
          </w:tcPr>
          <w:p w14:paraId="22E29C9E" w14:textId="17D6C635" w:rsidR="00B449D0" w:rsidRDefault="00076D78">
            <w:pPr>
              <w:pStyle w:val="Summarytabletextrightaligned"/>
            </w:pPr>
            <w:r>
              <w:noBreakHyphen/>
            </w:r>
          </w:p>
        </w:tc>
        <w:tc>
          <w:tcPr>
            <w:tcW w:w="850" w:type="dxa"/>
            <w:shd w:val="clear" w:color="auto" w:fill="E6F2FF"/>
            <w:vAlign w:val="bottom"/>
          </w:tcPr>
          <w:p w14:paraId="6A9F2B84" w14:textId="062B8673" w:rsidR="00B449D0" w:rsidRDefault="00076D78">
            <w:pPr>
              <w:pStyle w:val="Summarytabletextrightaligned"/>
            </w:pPr>
            <w:r>
              <w:noBreakHyphen/>
            </w:r>
          </w:p>
        </w:tc>
        <w:tc>
          <w:tcPr>
            <w:tcW w:w="850" w:type="dxa"/>
            <w:vAlign w:val="bottom"/>
          </w:tcPr>
          <w:p w14:paraId="77556A26" w14:textId="5D02FBD5" w:rsidR="00B449D0" w:rsidRDefault="00076D78">
            <w:pPr>
              <w:pStyle w:val="Summarytabletextrightaligned"/>
            </w:pPr>
            <w:r>
              <w:noBreakHyphen/>
            </w:r>
          </w:p>
        </w:tc>
        <w:tc>
          <w:tcPr>
            <w:tcW w:w="850" w:type="dxa"/>
            <w:vAlign w:val="bottom"/>
          </w:tcPr>
          <w:p w14:paraId="22D63608" w14:textId="77777777" w:rsidR="00B449D0" w:rsidRDefault="00175344">
            <w:pPr>
              <w:pStyle w:val="Summarytabletextrightaligned"/>
            </w:pPr>
            <w:r>
              <w:t>82.7</w:t>
            </w:r>
          </w:p>
        </w:tc>
        <w:tc>
          <w:tcPr>
            <w:tcW w:w="850" w:type="dxa"/>
            <w:vAlign w:val="bottom"/>
          </w:tcPr>
          <w:p w14:paraId="0EE39F0F" w14:textId="77777777" w:rsidR="00B449D0" w:rsidRDefault="00175344">
            <w:pPr>
              <w:pStyle w:val="Summarytabletextrightaligned"/>
            </w:pPr>
            <w:r>
              <w:t>171.1</w:t>
            </w:r>
          </w:p>
        </w:tc>
      </w:tr>
      <w:tr w:rsidR="00B449D0" w14:paraId="64A219DD" w14:textId="77777777" w:rsidTr="7F762F0D">
        <w:tc>
          <w:tcPr>
            <w:tcW w:w="3471" w:type="dxa"/>
            <w:vAlign w:val="bottom"/>
          </w:tcPr>
          <w:p w14:paraId="083D18E6" w14:textId="77777777" w:rsidR="00B449D0" w:rsidRDefault="00175344">
            <w:pPr>
              <w:pStyle w:val="SummaryMeasureTitlewithTheme"/>
            </w:pPr>
            <w:r>
              <w:t>Combatting Illegal Phoenixing – extending and enhancing the Phoenix Compliance Program(b)</w:t>
            </w:r>
          </w:p>
        </w:tc>
        <w:tc>
          <w:tcPr>
            <w:tcW w:w="850" w:type="dxa"/>
            <w:vAlign w:val="bottom"/>
          </w:tcPr>
          <w:p w14:paraId="2AF0E9B3" w14:textId="2148027B" w:rsidR="00B449D0" w:rsidRDefault="00076D78">
            <w:pPr>
              <w:pStyle w:val="Summarytabletextrightaligned"/>
            </w:pPr>
            <w:r>
              <w:noBreakHyphen/>
            </w:r>
          </w:p>
        </w:tc>
        <w:tc>
          <w:tcPr>
            <w:tcW w:w="850" w:type="dxa"/>
            <w:shd w:val="clear" w:color="auto" w:fill="E6F2FF"/>
            <w:vAlign w:val="bottom"/>
          </w:tcPr>
          <w:p w14:paraId="77425011" w14:textId="5FF5C599" w:rsidR="00B449D0" w:rsidRDefault="00076D78">
            <w:pPr>
              <w:pStyle w:val="Summarytabletextrightaligned"/>
            </w:pPr>
            <w:r>
              <w:noBreakHyphen/>
            </w:r>
          </w:p>
        </w:tc>
        <w:tc>
          <w:tcPr>
            <w:tcW w:w="850" w:type="dxa"/>
            <w:vAlign w:val="bottom"/>
          </w:tcPr>
          <w:p w14:paraId="4606866D" w14:textId="77777777" w:rsidR="00B449D0" w:rsidRDefault="00175344">
            <w:pPr>
              <w:pStyle w:val="Summarytabletextrightaligned"/>
            </w:pPr>
            <w:r>
              <w:t>12.4</w:t>
            </w:r>
          </w:p>
        </w:tc>
        <w:tc>
          <w:tcPr>
            <w:tcW w:w="850" w:type="dxa"/>
            <w:vAlign w:val="bottom"/>
          </w:tcPr>
          <w:p w14:paraId="035FCCF5" w14:textId="77777777" w:rsidR="00B449D0" w:rsidRDefault="00175344">
            <w:pPr>
              <w:pStyle w:val="Summarytabletextrightaligned"/>
            </w:pPr>
            <w:r>
              <w:t>33.1</w:t>
            </w:r>
          </w:p>
        </w:tc>
        <w:tc>
          <w:tcPr>
            <w:tcW w:w="850" w:type="dxa"/>
            <w:vAlign w:val="bottom"/>
          </w:tcPr>
          <w:p w14:paraId="0D467FD0" w14:textId="77777777" w:rsidR="00B449D0" w:rsidRDefault="00175344">
            <w:pPr>
              <w:pStyle w:val="Summarytabletextrightaligned"/>
            </w:pPr>
            <w:r>
              <w:t>35.4</w:t>
            </w:r>
          </w:p>
        </w:tc>
      </w:tr>
      <w:tr w:rsidR="00B449D0" w14:paraId="76543BC5" w14:textId="77777777" w:rsidTr="7F762F0D">
        <w:tc>
          <w:tcPr>
            <w:tcW w:w="3471" w:type="dxa"/>
            <w:vAlign w:val="bottom"/>
          </w:tcPr>
          <w:p w14:paraId="39C7222E" w14:textId="77777777" w:rsidR="00B449D0" w:rsidRDefault="00175344">
            <w:pPr>
              <w:pStyle w:val="SummaryMeasureTitlewithTheme"/>
            </w:pPr>
            <w:r>
              <w:t>Community Infrastructure</w:t>
            </w:r>
          </w:p>
        </w:tc>
        <w:tc>
          <w:tcPr>
            <w:tcW w:w="850" w:type="dxa"/>
            <w:vAlign w:val="bottom"/>
          </w:tcPr>
          <w:p w14:paraId="277711F5" w14:textId="0BA1BDD3" w:rsidR="00B449D0" w:rsidRDefault="00076D78">
            <w:pPr>
              <w:pStyle w:val="Summarytabletextrightaligned"/>
            </w:pPr>
            <w:r>
              <w:noBreakHyphen/>
            </w:r>
          </w:p>
        </w:tc>
        <w:tc>
          <w:tcPr>
            <w:tcW w:w="850" w:type="dxa"/>
            <w:shd w:val="clear" w:color="auto" w:fill="E6F2FF"/>
            <w:vAlign w:val="bottom"/>
          </w:tcPr>
          <w:p w14:paraId="1DF8B647" w14:textId="77777777" w:rsidR="00B449D0" w:rsidRDefault="00175344">
            <w:pPr>
              <w:pStyle w:val="Summarytabletextrightaligned"/>
            </w:pPr>
            <w:r>
              <w:t>12.7</w:t>
            </w:r>
          </w:p>
        </w:tc>
        <w:tc>
          <w:tcPr>
            <w:tcW w:w="850" w:type="dxa"/>
            <w:vAlign w:val="bottom"/>
          </w:tcPr>
          <w:p w14:paraId="69758633" w14:textId="77777777" w:rsidR="00B449D0" w:rsidRDefault="00175344">
            <w:pPr>
              <w:pStyle w:val="Summarytabletextrightaligned"/>
            </w:pPr>
            <w:r>
              <w:t>1.9</w:t>
            </w:r>
          </w:p>
        </w:tc>
        <w:tc>
          <w:tcPr>
            <w:tcW w:w="850" w:type="dxa"/>
            <w:vAlign w:val="bottom"/>
          </w:tcPr>
          <w:p w14:paraId="5CAA4C82" w14:textId="77777777" w:rsidR="00B449D0" w:rsidRDefault="00175344">
            <w:pPr>
              <w:pStyle w:val="Summarytabletextrightaligned"/>
            </w:pPr>
            <w:r>
              <w:t>0.7</w:t>
            </w:r>
          </w:p>
        </w:tc>
        <w:tc>
          <w:tcPr>
            <w:tcW w:w="850" w:type="dxa"/>
            <w:vAlign w:val="bottom"/>
          </w:tcPr>
          <w:p w14:paraId="0C460C58" w14:textId="1C456E02" w:rsidR="00B449D0" w:rsidRDefault="00076D78">
            <w:pPr>
              <w:pStyle w:val="Summarytabletextrightaligned"/>
            </w:pPr>
            <w:r>
              <w:noBreakHyphen/>
            </w:r>
          </w:p>
        </w:tc>
      </w:tr>
      <w:tr w:rsidR="00B449D0" w14:paraId="621A2352" w14:textId="77777777" w:rsidTr="7F762F0D">
        <w:tc>
          <w:tcPr>
            <w:tcW w:w="3471" w:type="dxa"/>
            <w:vAlign w:val="bottom"/>
          </w:tcPr>
          <w:p w14:paraId="1885F06D" w14:textId="77777777" w:rsidR="00B449D0" w:rsidRDefault="00175344">
            <w:pPr>
              <w:pStyle w:val="SummaryMeasureTitlewithTheme"/>
            </w:pPr>
            <w:r>
              <w:t>Enabling a Reliable and Secure Energy Transition</w:t>
            </w:r>
          </w:p>
        </w:tc>
        <w:tc>
          <w:tcPr>
            <w:tcW w:w="850" w:type="dxa"/>
            <w:vAlign w:val="bottom"/>
          </w:tcPr>
          <w:p w14:paraId="656542D0" w14:textId="6439328B" w:rsidR="00B449D0" w:rsidRDefault="00076D78">
            <w:pPr>
              <w:pStyle w:val="Summarytabletextrightaligned"/>
            </w:pPr>
            <w:r>
              <w:noBreakHyphen/>
            </w:r>
          </w:p>
        </w:tc>
        <w:tc>
          <w:tcPr>
            <w:tcW w:w="850" w:type="dxa"/>
            <w:shd w:val="clear" w:color="auto" w:fill="E6F2FF"/>
            <w:vAlign w:val="bottom"/>
          </w:tcPr>
          <w:p w14:paraId="78C10EC2" w14:textId="30DF1730" w:rsidR="00B449D0" w:rsidRDefault="00076D78">
            <w:pPr>
              <w:pStyle w:val="Summarytabletextrightaligned"/>
            </w:pPr>
            <w:r>
              <w:noBreakHyphen/>
            </w:r>
          </w:p>
        </w:tc>
        <w:tc>
          <w:tcPr>
            <w:tcW w:w="850" w:type="dxa"/>
            <w:vAlign w:val="bottom"/>
          </w:tcPr>
          <w:p w14:paraId="21602995" w14:textId="77777777" w:rsidR="00B449D0" w:rsidRDefault="00175344">
            <w:pPr>
              <w:pStyle w:val="Summarytabletextrightaligned"/>
            </w:pPr>
            <w:r w:rsidRPr="7F762F0D">
              <w:rPr>
                <w:lang w:val="en-US"/>
              </w:rPr>
              <w:t>nfp</w:t>
            </w:r>
          </w:p>
        </w:tc>
        <w:tc>
          <w:tcPr>
            <w:tcW w:w="850" w:type="dxa"/>
            <w:vAlign w:val="bottom"/>
          </w:tcPr>
          <w:p w14:paraId="0127EB69" w14:textId="77777777" w:rsidR="00B449D0" w:rsidRDefault="00175344">
            <w:pPr>
              <w:pStyle w:val="Summarytabletextrightaligned"/>
            </w:pPr>
            <w:r w:rsidRPr="7F762F0D">
              <w:rPr>
                <w:lang w:val="en-US"/>
              </w:rPr>
              <w:t>nfp</w:t>
            </w:r>
          </w:p>
        </w:tc>
        <w:tc>
          <w:tcPr>
            <w:tcW w:w="850" w:type="dxa"/>
            <w:vAlign w:val="bottom"/>
          </w:tcPr>
          <w:p w14:paraId="737ECA0C" w14:textId="77777777" w:rsidR="00B449D0" w:rsidRDefault="00175344">
            <w:pPr>
              <w:pStyle w:val="Summarytabletextrightaligned"/>
            </w:pPr>
            <w:r w:rsidRPr="7F762F0D">
              <w:rPr>
                <w:lang w:val="en-US"/>
              </w:rPr>
              <w:t>nfp</w:t>
            </w:r>
          </w:p>
        </w:tc>
      </w:tr>
      <w:tr w:rsidR="00B449D0" w14:paraId="5CD85490" w14:textId="77777777" w:rsidTr="7F762F0D">
        <w:tc>
          <w:tcPr>
            <w:tcW w:w="3471" w:type="dxa"/>
            <w:vAlign w:val="bottom"/>
          </w:tcPr>
          <w:p w14:paraId="1FC9FB00" w14:textId="77777777" w:rsidR="00B449D0" w:rsidRDefault="00175344">
            <w:pPr>
              <w:pStyle w:val="SummaryMeasureTitlewithTheme"/>
            </w:pPr>
            <w:r>
              <w:t>Ending Gender‑Based Violence – National Cabinet</w:t>
            </w:r>
          </w:p>
        </w:tc>
        <w:tc>
          <w:tcPr>
            <w:tcW w:w="850" w:type="dxa"/>
            <w:vAlign w:val="bottom"/>
          </w:tcPr>
          <w:p w14:paraId="22AEEC4B" w14:textId="26CF52D9" w:rsidR="00B449D0" w:rsidRDefault="00076D78">
            <w:pPr>
              <w:pStyle w:val="Summarytabletextrightaligned"/>
            </w:pPr>
            <w:r>
              <w:noBreakHyphen/>
            </w:r>
          </w:p>
        </w:tc>
        <w:tc>
          <w:tcPr>
            <w:tcW w:w="850" w:type="dxa"/>
            <w:shd w:val="clear" w:color="auto" w:fill="E6F2FF"/>
            <w:vAlign w:val="bottom"/>
          </w:tcPr>
          <w:p w14:paraId="2BABC30D" w14:textId="77777777" w:rsidR="00B449D0" w:rsidRDefault="00175344">
            <w:pPr>
              <w:pStyle w:val="Summarytabletextrightaligned"/>
            </w:pPr>
            <w:r>
              <w:t>4.6</w:t>
            </w:r>
          </w:p>
        </w:tc>
        <w:tc>
          <w:tcPr>
            <w:tcW w:w="850" w:type="dxa"/>
            <w:vAlign w:val="bottom"/>
          </w:tcPr>
          <w:p w14:paraId="7766A056" w14:textId="77777777" w:rsidR="00B449D0" w:rsidRDefault="00175344">
            <w:pPr>
              <w:pStyle w:val="Summarytabletextrightaligned"/>
            </w:pPr>
            <w:r>
              <w:t>20.6</w:t>
            </w:r>
          </w:p>
        </w:tc>
        <w:tc>
          <w:tcPr>
            <w:tcW w:w="850" w:type="dxa"/>
            <w:vAlign w:val="bottom"/>
          </w:tcPr>
          <w:p w14:paraId="3722028C" w14:textId="77777777" w:rsidR="00B449D0" w:rsidRDefault="00175344">
            <w:pPr>
              <w:pStyle w:val="Summarytabletextrightaligned"/>
            </w:pPr>
            <w:r>
              <w:t>23.8</w:t>
            </w:r>
          </w:p>
        </w:tc>
        <w:tc>
          <w:tcPr>
            <w:tcW w:w="850" w:type="dxa"/>
            <w:vAlign w:val="bottom"/>
          </w:tcPr>
          <w:p w14:paraId="2EC87FB7" w14:textId="77777777" w:rsidR="00B449D0" w:rsidRDefault="00175344">
            <w:pPr>
              <w:pStyle w:val="Summarytabletextrightaligned"/>
            </w:pPr>
            <w:r>
              <w:t>21.6</w:t>
            </w:r>
          </w:p>
        </w:tc>
      </w:tr>
      <w:tr w:rsidR="00B449D0" w14:paraId="533B036F" w14:textId="77777777" w:rsidTr="7F762F0D">
        <w:tc>
          <w:tcPr>
            <w:tcW w:w="3471" w:type="dxa"/>
            <w:vAlign w:val="bottom"/>
          </w:tcPr>
          <w:p w14:paraId="72310448" w14:textId="77777777" w:rsidR="00B449D0" w:rsidRDefault="00175344">
            <w:pPr>
              <w:pStyle w:val="SummaryMeasureTitlewithTheme"/>
            </w:pPr>
            <w:r>
              <w:t>Ensuring a Better Deal for Consumers(b)</w:t>
            </w:r>
          </w:p>
        </w:tc>
        <w:tc>
          <w:tcPr>
            <w:tcW w:w="850" w:type="dxa"/>
            <w:vAlign w:val="bottom"/>
          </w:tcPr>
          <w:p w14:paraId="5D7E348B" w14:textId="6A913B0E" w:rsidR="00B449D0" w:rsidRDefault="00076D78">
            <w:pPr>
              <w:pStyle w:val="Summarytabletextrightaligned"/>
            </w:pPr>
            <w:r>
              <w:noBreakHyphen/>
            </w:r>
          </w:p>
        </w:tc>
        <w:tc>
          <w:tcPr>
            <w:tcW w:w="850" w:type="dxa"/>
            <w:shd w:val="clear" w:color="auto" w:fill="E6F2FF"/>
            <w:vAlign w:val="bottom"/>
          </w:tcPr>
          <w:p w14:paraId="4DB29209" w14:textId="130EFC87" w:rsidR="00B449D0" w:rsidRDefault="00076D78">
            <w:pPr>
              <w:pStyle w:val="Summarytabletextrightaligned"/>
            </w:pPr>
            <w:r>
              <w:noBreakHyphen/>
            </w:r>
          </w:p>
        </w:tc>
        <w:tc>
          <w:tcPr>
            <w:tcW w:w="850" w:type="dxa"/>
            <w:vAlign w:val="bottom"/>
          </w:tcPr>
          <w:p w14:paraId="56993F6E" w14:textId="672C301A" w:rsidR="00B449D0" w:rsidRDefault="00076D78">
            <w:pPr>
              <w:pStyle w:val="Summarytabletextrightaligned"/>
            </w:pPr>
            <w:r>
              <w:noBreakHyphen/>
            </w:r>
          </w:p>
        </w:tc>
        <w:tc>
          <w:tcPr>
            <w:tcW w:w="850" w:type="dxa"/>
            <w:vAlign w:val="bottom"/>
          </w:tcPr>
          <w:p w14:paraId="502348D5" w14:textId="62829D52" w:rsidR="00B449D0" w:rsidRDefault="00076D78">
            <w:pPr>
              <w:pStyle w:val="Summarytabletextrightaligned"/>
            </w:pPr>
            <w:r>
              <w:noBreakHyphen/>
            </w:r>
          </w:p>
        </w:tc>
        <w:tc>
          <w:tcPr>
            <w:tcW w:w="850" w:type="dxa"/>
            <w:vAlign w:val="bottom"/>
          </w:tcPr>
          <w:p w14:paraId="74AE0677" w14:textId="1B4787A0" w:rsidR="00B449D0" w:rsidRDefault="00076D78">
            <w:pPr>
              <w:pStyle w:val="Summarytabletextrightaligned"/>
            </w:pPr>
            <w:r>
              <w:noBreakHyphen/>
            </w:r>
          </w:p>
        </w:tc>
      </w:tr>
      <w:tr w:rsidR="00B449D0" w14:paraId="60B7C6DE" w14:textId="77777777" w:rsidTr="7F762F0D">
        <w:tc>
          <w:tcPr>
            <w:tcW w:w="3471" w:type="dxa"/>
            <w:vAlign w:val="bottom"/>
          </w:tcPr>
          <w:p w14:paraId="19FF8B13" w14:textId="77777777" w:rsidR="00B449D0" w:rsidRDefault="00175344">
            <w:pPr>
              <w:pStyle w:val="SummaryMeasureTitlewithTheme"/>
            </w:pPr>
            <w:r>
              <w:t>Expansion of the Social Housing Energy Performance Initiative</w:t>
            </w:r>
          </w:p>
        </w:tc>
        <w:tc>
          <w:tcPr>
            <w:tcW w:w="850" w:type="dxa"/>
            <w:vAlign w:val="bottom"/>
          </w:tcPr>
          <w:p w14:paraId="7B8711E5" w14:textId="5BD63F2B" w:rsidR="00B449D0" w:rsidRDefault="00076D78">
            <w:pPr>
              <w:pStyle w:val="Summarytabletextrightaligned"/>
            </w:pPr>
            <w:r>
              <w:noBreakHyphen/>
            </w:r>
          </w:p>
        </w:tc>
        <w:tc>
          <w:tcPr>
            <w:tcW w:w="850" w:type="dxa"/>
            <w:shd w:val="clear" w:color="auto" w:fill="E6F2FF"/>
            <w:vAlign w:val="bottom"/>
          </w:tcPr>
          <w:p w14:paraId="07C66EAA" w14:textId="1895642D" w:rsidR="00B449D0" w:rsidRDefault="00076D78">
            <w:pPr>
              <w:pStyle w:val="Summarytabletextrightaligned"/>
            </w:pPr>
            <w:r>
              <w:noBreakHyphen/>
            </w:r>
          </w:p>
        </w:tc>
        <w:tc>
          <w:tcPr>
            <w:tcW w:w="850" w:type="dxa"/>
            <w:vAlign w:val="bottom"/>
          </w:tcPr>
          <w:p w14:paraId="62901598" w14:textId="77777777" w:rsidR="00B449D0" w:rsidRDefault="00175344">
            <w:pPr>
              <w:pStyle w:val="Summarytabletextrightaligned"/>
            </w:pPr>
            <w:r>
              <w:t>50.0</w:t>
            </w:r>
          </w:p>
        </w:tc>
        <w:tc>
          <w:tcPr>
            <w:tcW w:w="850" w:type="dxa"/>
            <w:vAlign w:val="bottom"/>
          </w:tcPr>
          <w:p w14:paraId="4C995E01" w14:textId="77777777" w:rsidR="00B449D0" w:rsidRDefault="00175344">
            <w:pPr>
              <w:pStyle w:val="Summarytabletextrightaligned"/>
            </w:pPr>
            <w:r>
              <w:t>122.8</w:t>
            </w:r>
          </w:p>
        </w:tc>
        <w:tc>
          <w:tcPr>
            <w:tcW w:w="850" w:type="dxa"/>
            <w:vAlign w:val="bottom"/>
          </w:tcPr>
          <w:p w14:paraId="32B83AE2" w14:textId="77777777" w:rsidR="00B449D0" w:rsidRDefault="00175344">
            <w:pPr>
              <w:pStyle w:val="Summarytabletextrightaligned"/>
            </w:pPr>
            <w:r>
              <w:t>156.7</w:t>
            </w:r>
          </w:p>
        </w:tc>
      </w:tr>
      <w:tr w:rsidR="00B449D0" w14:paraId="0C526B55" w14:textId="77777777" w:rsidTr="7F762F0D">
        <w:tc>
          <w:tcPr>
            <w:tcW w:w="3471" w:type="dxa"/>
            <w:vAlign w:val="bottom"/>
          </w:tcPr>
          <w:p w14:paraId="05551987" w14:textId="77777777" w:rsidR="00B449D0" w:rsidRDefault="00175344">
            <w:pPr>
              <w:pStyle w:val="SummaryMeasureTitlewithTheme"/>
            </w:pPr>
            <w:r>
              <w:t>Future Made in Australia – accelerating investment in Australian industries</w:t>
            </w:r>
          </w:p>
        </w:tc>
        <w:tc>
          <w:tcPr>
            <w:tcW w:w="850" w:type="dxa"/>
            <w:vAlign w:val="bottom"/>
          </w:tcPr>
          <w:p w14:paraId="2CC11295" w14:textId="0C5AD0B3" w:rsidR="00B449D0" w:rsidRDefault="00076D78">
            <w:pPr>
              <w:pStyle w:val="Summarytabletextrightaligned"/>
            </w:pPr>
            <w:r>
              <w:noBreakHyphen/>
            </w:r>
          </w:p>
        </w:tc>
        <w:tc>
          <w:tcPr>
            <w:tcW w:w="850" w:type="dxa"/>
            <w:shd w:val="clear" w:color="auto" w:fill="E6F2FF"/>
            <w:vAlign w:val="bottom"/>
          </w:tcPr>
          <w:p w14:paraId="05F29CFF" w14:textId="48ACBCF6" w:rsidR="00B449D0" w:rsidRDefault="00076D78">
            <w:pPr>
              <w:pStyle w:val="Summarytabletextrightaligned"/>
            </w:pPr>
            <w:r>
              <w:noBreakHyphen/>
            </w:r>
          </w:p>
        </w:tc>
        <w:tc>
          <w:tcPr>
            <w:tcW w:w="850" w:type="dxa"/>
            <w:vAlign w:val="bottom"/>
          </w:tcPr>
          <w:p w14:paraId="477DA553" w14:textId="3866522B" w:rsidR="00B449D0" w:rsidRDefault="00076D78">
            <w:pPr>
              <w:pStyle w:val="Summarytabletextrightaligned"/>
            </w:pPr>
            <w:r>
              <w:noBreakHyphen/>
            </w:r>
          </w:p>
        </w:tc>
        <w:tc>
          <w:tcPr>
            <w:tcW w:w="850" w:type="dxa"/>
            <w:vAlign w:val="bottom"/>
          </w:tcPr>
          <w:p w14:paraId="3A3C2DF4" w14:textId="4C827FCD" w:rsidR="00B449D0" w:rsidRDefault="00076D78">
            <w:pPr>
              <w:pStyle w:val="Summarytabletextrightaligned"/>
            </w:pPr>
            <w:r>
              <w:noBreakHyphen/>
            </w:r>
          </w:p>
        </w:tc>
        <w:tc>
          <w:tcPr>
            <w:tcW w:w="850" w:type="dxa"/>
            <w:vAlign w:val="bottom"/>
          </w:tcPr>
          <w:p w14:paraId="31BBCA73" w14:textId="1D898776" w:rsidR="00B449D0" w:rsidRDefault="00076D78">
            <w:pPr>
              <w:pStyle w:val="Summarytabletextrightaligned"/>
            </w:pPr>
            <w:r>
              <w:noBreakHyphen/>
            </w:r>
          </w:p>
        </w:tc>
      </w:tr>
      <w:tr w:rsidR="00B449D0" w14:paraId="5692F7FA" w14:textId="77777777" w:rsidTr="7F762F0D">
        <w:tc>
          <w:tcPr>
            <w:tcW w:w="3471" w:type="dxa"/>
            <w:vAlign w:val="bottom"/>
          </w:tcPr>
          <w:p w14:paraId="50EC4F47" w14:textId="77777777" w:rsidR="00B449D0" w:rsidRDefault="00175344">
            <w:pPr>
              <w:pStyle w:val="SummaryMeasureTitlewithTheme"/>
            </w:pPr>
            <w:r>
              <w:t>Housing Support</w:t>
            </w:r>
          </w:p>
        </w:tc>
        <w:tc>
          <w:tcPr>
            <w:tcW w:w="850" w:type="dxa"/>
            <w:vAlign w:val="bottom"/>
          </w:tcPr>
          <w:p w14:paraId="14AA47DD" w14:textId="6AFC5323" w:rsidR="00B449D0" w:rsidRDefault="00076D78">
            <w:pPr>
              <w:pStyle w:val="Summarytabletextrightaligned"/>
            </w:pPr>
            <w:r>
              <w:noBreakHyphen/>
            </w:r>
          </w:p>
        </w:tc>
        <w:tc>
          <w:tcPr>
            <w:tcW w:w="850" w:type="dxa"/>
            <w:shd w:val="clear" w:color="auto" w:fill="E6F2FF"/>
            <w:vAlign w:val="bottom"/>
          </w:tcPr>
          <w:p w14:paraId="6393A06E" w14:textId="77777777" w:rsidR="00B449D0" w:rsidRDefault="00175344">
            <w:pPr>
              <w:pStyle w:val="Summarytabletextrightaligned"/>
            </w:pPr>
            <w:r>
              <w:t>10.0</w:t>
            </w:r>
          </w:p>
        </w:tc>
        <w:tc>
          <w:tcPr>
            <w:tcW w:w="850" w:type="dxa"/>
            <w:vAlign w:val="bottom"/>
          </w:tcPr>
          <w:p w14:paraId="317E902D" w14:textId="5B044A27" w:rsidR="00B449D0" w:rsidRDefault="00076D78">
            <w:pPr>
              <w:pStyle w:val="Summarytabletextrightaligned"/>
            </w:pPr>
            <w:r>
              <w:noBreakHyphen/>
            </w:r>
          </w:p>
        </w:tc>
        <w:tc>
          <w:tcPr>
            <w:tcW w:w="850" w:type="dxa"/>
            <w:vAlign w:val="bottom"/>
          </w:tcPr>
          <w:p w14:paraId="5F6DDD9F" w14:textId="111841D0" w:rsidR="00B449D0" w:rsidRDefault="00076D78">
            <w:pPr>
              <w:pStyle w:val="Summarytabletextrightaligned"/>
            </w:pPr>
            <w:r>
              <w:noBreakHyphen/>
            </w:r>
          </w:p>
        </w:tc>
        <w:tc>
          <w:tcPr>
            <w:tcW w:w="850" w:type="dxa"/>
            <w:vAlign w:val="bottom"/>
          </w:tcPr>
          <w:p w14:paraId="14DBFD59" w14:textId="4FA7A2BC" w:rsidR="00B449D0" w:rsidRDefault="00076D78">
            <w:pPr>
              <w:pStyle w:val="Summarytabletextrightaligned"/>
            </w:pPr>
            <w:r>
              <w:noBreakHyphen/>
            </w:r>
          </w:p>
        </w:tc>
      </w:tr>
      <w:tr w:rsidR="00B449D0" w14:paraId="16A59515" w14:textId="77777777" w:rsidTr="7F762F0D">
        <w:tc>
          <w:tcPr>
            <w:tcW w:w="3471" w:type="dxa"/>
            <w:vAlign w:val="bottom"/>
          </w:tcPr>
          <w:p w14:paraId="5F4017F2" w14:textId="77777777" w:rsidR="00B449D0" w:rsidRDefault="00175344">
            <w:pPr>
              <w:pStyle w:val="SummaryMeasureTitlewithTheme"/>
            </w:pPr>
            <w:r>
              <w:t>Indirect Tax Concession Scheme – diplomatic and consular concessions(b)</w:t>
            </w:r>
          </w:p>
        </w:tc>
        <w:tc>
          <w:tcPr>
            <w:tcW w:w="850" w:type="dxa"/>
            <w:vAlign w:val="bottom"/>
          </w:tcPr>
          <w:p w14:paraId="38E38EDC" w14:textId="3DF54F48" w:rsidR="00B449D0" w:rsidRDefault="00076D78">
            <w:pPr>
              <w:pStyle w:val="Summarytabletextrightaligned"/>
            </w:pPr>
            <w:r>
              <w:noBreakHyphen/>
            </w:r>
          </w:p>
        </w:tc>
        <w:tc>
          <w:tcPr>
            <w:tcW w:w="850" w:type="dxa"/>
            <w:shd w:val="clear" w:color="auto" w:fill="E6F2FF"/>
            <w:vAlign w:val="bottom"/>
          </w:tcPr>
          <w:p w14:paraId="0CEC4FA3" w14:textId="23FDE7EF" w:rsidR="00B449D0" w:rsidRDefault="00076D78">
            <w:pPr>
              <w:pStyle w:val="Summarytabletextrightaligned"/>
            </w:pPr>
            <w:r>
              <w:noBreakHyphen/>
            </w:r>
            <w:r w:rsidR="00175344">
              <w:t>1.4</w:t>
            </w:r>
          </w:p>
        </w:tc>
        <w:tc>
          <w:tcPr>
            <w:tcW w:w="850" w:type="dxa"/>
            <w:vAlign w:val="bottom"/>
          </w:tcPr>
          <w:p w14:paraId="60B7DF27" w14:textId="437CB1DD" w:rsidR="00B449D0" w:rsidRDefault="00076D78">
            <w:pPr>
              <w:pStyle w:val="Summarytabletextrightaligned"/>
            </w:pPr>
            <w:r>
              <w:noBreakHyphen/>
            </w:r>
            <w:r w:rsidR="00175344">
              <w:t>0.7</w:t>
            </w:r>
          </w:p>
        </w:tc>
        <w:tc>
          <w:tcPr>
            <w:tcW w:w="850" w:type="dxa"/>
            <w:vAlign w:val="bottom"/>
          </w:tcPr>
          <w:p w14:paraId="08F8CB30" w14:textId="6548CF67" w:rsidR="00B449D0" w:rsidRDefault="00076D78">
            <w:pPr>
              <w:pStyle w:val="Summarytabletextrightaligned"/>
            </w:pPr>
            <w:r>
              <w:noBreakHyphen/>
            </w:r>
            <w:r w:rsidR="00175344">
              <w:t>0.2</w:t>
            </w:r>
          </w:p>
        </w:tc>
        <w:tc>
          <w:tcPr>
            <w:tcW w:w="850" w:type="dxa"/>
            <w:vAlign w:val="bottom"/>
          </w:tcPr>
          <w:p w14:paraId="4B97B91E" w14:textId="5F7F572D" w:rsidR="00B449D0" w:rsidRDefault="00607D7A">
            <w:pPr>
              <w:pStyle w:val="Summarytabletextrightaligned"/>
            </w:pPr>
            <w:r>
              <w:t>..</w:t>
            </w:r>
          </w:p>
        </w:tc>
      </w:tr>
      <w:tr w:rsidR="00B449D0" w14:paraId="325AF3DB" w14:textId="77777777" w:rsidTr="7F762F0D">
        <w:tc>
          <w:tcPr>
            <w:tcW w:w="3471" w:type="dxa"/>
            <w:vAlign w:val="bottom"/>
          </w:tcPr>
          <w:p w14:paraId="695510A8" w14:textId="77777777" w:rsidR="00B449D0" w:rsidRDefault="00175344">
            <w:pPr>
              <w:pStyle w:val="SummaryMeasureTitlewithTheme"/>
            </w:pPr>
            <w:r>
              <w:t>Infrastructure Funding for The Greek Orthodox Archdiocese of Australia</w:t>
            </w:r>
          </w:p>
        </w:tc>
        <w:tc>
          <w:tcPr>
            <w:tcW w:w="850" w:type="dxa"/>
            <w:vAlign w:val="bottom"/>
          </w:tcPr>
          <w:p w14:paraId="7F6CE88D" w14:textId="61FF6151" w:rsidR="00B449D0" w:rsidRDefault="00076D78">
            <w:pPr>
              <w:pStyle w:val="Summarytabletextrightaligned"/>
            </w:pPr>
            <w:r>
              <w:noBreakHyphen/>
            </w:r>
          </w:p>
        </w:tc>
        <w:tc>
          <w:tcPr>
            <w:tcW w:w="850" w:type="dxa"/>
            <w:shd w:val="clear" w:color="auto" w:fill="E6F2FF"/>
            <w:vAlign w:val="bottom"/>
          </w:tcPr>
          <w:p w14:paraId="10225C2A" w14:textId="77777777" w:rsidR="00B449D0" w:rsidRDefault="00175344">
            <w:pPr>
              <w:pStyle w:val="Summarytabletextrightaligned"/>
            </w:pPr>
            <w:r>
              <w:t>6.3</w:t>
            </w:r>
          </w:p>
        </w:tc>
        <w:tc>
          <w:tcPr>
            <w:tcW w:w="850" w:type="dxa"/>
            <w:vAlign w:val="bottom"/>
          </w:tcPr>
          <w:p w14:paraId="11368350" w14:textId="77777777" w:rsidR="00B449D0" w:rsidRDefault="00175344">
            <w:pPr>
              <w:pStyle w:val="Summarytabletextrightaligned"/>
            </w:pPr>
            <w:r>
              <w:t>16.3</w:t>
            </w:r>
          </w:p>
        </w:tc>
        <w:tc>
          <w:tcPr>
            <w:tcW w:w="850" w:type="dxa"/>
            <w:vAlign w:val="bottom"/>
          </w:tcPr>
          <w:p w14:paraId="7358558C" w14:textId="77777777" w:rsidR="00B449D0" w:rsidRDefault="00175344">
            <w:pPr>
              <w:pStyle w:val="Summarytabletextrightaligned"/>
            </w:pPr>
            <w:r>
              <w:t>2.5</w:t>
            </w:r>
          </w:p>
        </w:tc>
        <w:tc>
          <w:tcPr>
            <w:tcW w:w="850" w:type="dxa"/>
            <w:vAlign w:val="bottom"/>
          </w:tcPr>
          <w:p w14:paraId="1ED6D2A0" w14:textId="049C8B96" w:rsidR="00B449D0" w:rsidRDefault="00076D78">
            <w:pPr>
              <w:pStyle w:val="Summarytabletextrightaligned"/>
            </w:pPr>
            <w:r>
              <w:noBreakHyphen/>
            </w:r>
          </w:p>
        </w:tc>
      </w:tr>
      <w:tr w:rsidR="00B449D0" w14:paraId="5BBF3CE2" w14:textId="77777777" w:rsidTr="7F762F0D">
        <w:tc>
          <w:tcPr>
            <w:tcW w:w="3471" w:type="dxa"/>
            <w:vAlign w:val="bottom"/>
          </w:tcPr>
          <w:p w14:paraId="6649E715" w14:textId="77777777" w:rsidR="00B449D0" w:rsidRDefault="00175344">
            <w:pPr>
              <w:pStyle w:val="SummaryMeasureTitlewithTheme"/>
            </w:pPr>
            <w:r>
              <w:t>Investment in Sports</w:t>
            </w:r>
          </w:p>
        </w:tc>
        <w:tc>
          <w:tcPr>
            <w:tcW w:w="850" w:type="dxa"/>
            <w:vAlign w:val="bottom"/>
          </w:tcPr>
          <w:p w14:paraId="3C32F841" w14:textId="145DCCB8" w:rsidR="00B449D0" w:rsidRDefault="00076D78">
            <w:pPr>
              <w:pStyle w:val="Summarytabletextrightaligned"/>
            </w:pPr>
            <w:r>
              <w:noBreakHyphen/>
            </w:r>
          </w:p>
        </w:tc>
        <w:tc>
          <w:tcPr>
            <w:tcW w:w="850" w:type="dxa"/>
            <w:shd w:val="clear" w:color="auto" w:fill="E6F2FF"/>
            <w:vAlign w:val="bottom"/>
          </w:tcPr>
          <w:p w14:paraId="0A6AB779" w14:textId="77777777" w:rsidR="00B449D0" w:rsidRDefault="00175344">
            <w:pPr>
              <w:pStyle w:val="Summarytabletextrightaligned"/>
            </w:pPr>
            <w:r>
              <w:t>0.8</w:t>
            </w:r>
          </w:p>
        </w:tc>
        <w:tc>
          <w:tcPr>
            <w:tcW w:w="850" w:type="dxa"/>
            <w:vAlign w:val="bottom"/>
          </w:tcPr>
          <w:p w14:paraId="3B0D58FA" w14:textId="77777777" w:rsidR="00B449D0" w:rsidRDefault="00175344">
            <w:pPr>
              <w:pStyle w:val="Summarytabletextrightaligned"/>
            </w:pPr>
            <w:r>
              <w:t>0.4</w:t>
            </w:r>
          </w:p>
        </w:tc>
        <w:tc>
          <w:tcPr>
            <w:tcW w:w="850" w:type="dxa"/>
            <w:vAlign w:val="bottom"/>
          </w:tcPr>
          <w:p w14:paraId="0A1B3542" w14:textId="669E9B98" w:rsidR="00B449D0" w:rsidRDefault="00076D78">
            <w:pPr>
              <w:pStyle w:val="Summarytabletextrightaligned"/>
            </w:pPr>
            <w:r>
              <w:noBreakHyphen/>
            </w:r>
          </w:p>
        </w:tc>
        <w:tc>
          <w:tcPr>
            <w:tcW w:w="850" w:type="dxa"/>
            <w:vAlign w:val="bottom"/>
          </w:tcPr>
          <w:p w14:paraId="50D6CE90" w14:textId="13C89F80" w:rsidR="00B449D0" w:rsidRDefault="00076D78">
            <w:pPr>
              <w:pStyle w:val="Summarytabletextrightaligned"/>
            </w:pPr>
            <w:r>
              <w:noBreakHyphen/>
            </w:r>
          </w:p>
        </w:tc>
      </w:tr>
      <w:tr w:rsidR="00B449D0" w14:paraId="48384810" w14:textId="77777777" w:rsidTr="7F762F0D">
        <w:tc>
          <w:tcPr>
            <w:tcW w:w="3471" w:type="dxa"/>
            <w:vAlign w:val="bottom"/>
          </w:tcPr>
          <w:p w14:paraId="528F8A62" w14:textId="77777777" w:rsidR="00B449D0" w:rsidRDefault="00175344">
            <w:pPr>
              <w:pStyle w:val="SummaryMeasureTitlewithTheme"/>
            </w:pPr>
            <w:r>
              <w:t>Migration – uplift of Visa Application Charges(b)</w:t>
            </w:r>
          </w:p>
        </w:tc>
        <w:tc>
          <w:tcPr>
            <w:tcW w:w="850" w:type="dxa"/>
            <w:vAlign w:val="bottom"/>
          </w:tcPr>
          <w:p w14:paraId="67BCBB19" w14:textId="7870D85A" w:rsidR="00B449D0" w:rsidRDefault="00076D78">
            <w:pPr>
              <w:pStyle w:val="Summarytabletextrightaligned"/>
            </w:pPr>
            <w:r>
              <w:noBreakHyphen/>
            </w:r>
          </w:p>
        </w:tc>
        <w:tc>
          <w:tcPr>
            <w:tcW w:w="850" w:type="dxa"/>
            <w:shd w:val="clear" w:color="auto" w:fill="E6F2FF"/>
            <w:vAlign w:val="bottom"/>
          </w:tcPr>
          <w:p w14:paraId="4E62A4B1" w14:textId="67B2CB0B" w:rsidR="00B449D0" w:rsidRDefault="00076D78">
            <w:pPr>
              <w:pStyle w:val="Summarytabletextrightaligned"/>
            </w:pPr>
            <w:r>
              <w:noBreakHyphen/>
            </w:r>
          </w:p>
        </w:tc>
        <w:tc>
          <w:tcPr>
            <w:tcW w:w="850" w:type="dxa"/>
            <w:vAlign w:val="bottom"/>
          </w:tcPr>
          <w:p w14:paraId="395508BF" w14:textId="7B960F58" w:rsidR="00B449D0" w:rsidRDefault="00076D78">
            <w:pPr>
              <w:pStyle w:val="Summarytabletextrightaligned"/>
            </w:pPr>
            <w:r>
              <w:noBreakHyphen/>
            </w:r>
          </w:p>
        </w:tc>
        <w:tc>
          <w:tcPr>
            <w:tcW w:w="850" w:type="dxa"/>
            <w:vAlign w:val="bottom"/>
          </w:tcPr>
          <w:p w14:paraId="0E3D5730" w14:textId="583450F8" w:rsidR="00B449D0" w:rsidRDefault="00076D78">
            <w:pPr>
              <w:pStyle w:val="Summarytabletextrightaligned"/>
            </w:pPr>
            <w:r>
              <w:noBreakHyphen/>
            </w:r>
          </w:p>
        </w:tc>
        <w:tc>
          <w:tcPr>
            <w:tcW w:w="850" w:type="dxa"/>
            <w:vAlign w:val="bottom"/>
          </w:tcPr>
          <w:p w14:paraId="62469112" w14:textId="7D6B75E4" w:rsidR="00B449D0" w:rsidRDefault="00076D78">
            <w:pPr>
              <w:pStyle w:val="Summarytabletextrightaligned"/>
            </w:pPr>
            <w:r>
              <w:noBreakHyphen/>
            </w:r>
          </w:p>
        </w:tc>
      </w:tr>
      <w:tr w:rsidR="00B449D0" w14:paraId="51C2364A" w14:textId="77777777" w:rsidTr="7F762F0D">
        <w:tc>
          <w:tcPr>
            <w:tcW w:w="3471" w:type="dxa"/>
            <w:vAlign w:val="bottom"/>
          </w:tcPr>
          <w:p w14:paraId="32317690" w14:textId="77777777" w:rsidR="00B449D0" w:rsidRDefault="00175344">
            <w:pPr>
              <w:pStyle w:val="SummaryMeasureTitlewithTheme"/>
            </w:pPr>
            <w:r>
              <w:t>Murray‑Darling Basin Plan – additional funding</w:t>
            </w:r>
          </w:p>
        </w:tc>
        <w:tc>
          <w:tcPr>
            <w:tcW w:w="850" w:type="dxa"/>
            <w:vAlign w:val="bottom"/>
          </w:tcPr>
          <w:p w14:paraId="2E9E499B" w14:textId="160D582D" w:rsidR="00B449D0" w:rsidRDefault="00076D78">
            <w:pPr>
              <w:pStyle w:val="Summarytabletextrightaligned"/>
            </w:pPr>
            <w:r>
              <w:noBreakHyphen/>
            </w:r>
          </w:p>
        </w:tc>
        <w:tc>
          <w:tcPr>
            <w:tcW w:w="850" w:type="dxa"/>
            <w:shd w:val="clear" w:color="auto" w:fill="E6F2FF"/>
            <w:vAlign w:val="bottom"/>
          </w:tcPr>
          <w:p w14:paraId="097A8A3E" w14:textId="267D34F0" w:rsidR="00B449D0" w:rsidRDefault="00076D78">
            <w:pPr>
              <w:pStyle w:val="Summarytabletextrightaligned"/>
            </w:pPr>
            <w:r>
              <w:noBreakHyphen/>
            </w:r>
          </w:p>
        </w:tc>
        <w:tc>
          <w:tcPr>
            <w:tcW w:w="850" w:type="dxa"/>
            <w:vAlign w:val="bottom"/>
          </w:tcPr>
          <w:p w14:paraId="3D161236" w14:textId="2C961555" w:rsidR="00B449D0" w:rsidRDefault="00076D78">
            <w:pPr>
              <w:pStyle w:val="Summarytabletextrightaligned"/>
            </w:pPr>
            <w:r>
              <w:noBreakHyphen/>
            </w:r>
          </w:p>
        </w:tc>
        <w:tc>
          <w:tcPr>
            <w:tcW w:w="850" w:type="dxa"/>
            <w:vAlign w:val="bottom"/>
          </w:tcPr>
          <w:p w14:paraId="12C58979" w14:textId="365DAA11" w:rsidR="00B449D0" w:rsidRDefault="00076D78">
            <w:pPr>
              <w:pStyle w:val="Summarytabletextrightaligned"/>
            </w:pPr>
            <w:r>
              <w:noBreakHyphen/>
            </w:r>
          </w:p>
        </w:tc>
        <w:tc>
          <w:tcPr>
            <w:tcW w:w="850" w:type="dxa"/>
            <w:vAlign w:val="bottom"/>
          </w:tcPr>
          <w:p w14:paraId="3F3790FE" w14:textId="60FBFF7B" w:rsidR="00B449D0" w:rsidRDefault="00076D78">
            <w:pPr>
              <w:pStyle w:val="Summarytabletextrightaligned"/>
            </w:pPr>
            <w:r>
              <w:noBreakHyphen/>
            </w:r>
          </w:p>
        </w:tc>
      </w:tr>
      <w:tr w:rsidR="00B449D0" w14:paraId="3E2E71B5" w14:textId="77777777" w:rsidTr="7F762F0D">
        <w:tc>
          <w:tcPr>
            <w:tcW w:w="3471" w:type="dxa"/>
            <w:vAlign w:val="bottom"/>
          </w:tcPr>
          <w:p w14:paraId="22A9A2CE" w14:textId="77777777" w:rsidR="00B449D0" w:rsidRDefault="00175344">
            <w:pPr>
              <w:pStyle w:val="SummaryMeasureTitlewithTheme"/>
            </w:pPr>
            <w:r>
              <w:t>National Access to Justice Partnership</w:t>
            </w:r>
          </w:p>
        </w:tc>
        <w:tc>
          <w:tcPr>
            <w:tcW w:w="850" w:type="dxa"/>
            <w:vAlign w:val="bottom"/>
          </w:tcPr>
          <w:p w14:paraId="60D77E38" w14:textId="1117AE22" w:rsidR="00B449D0" w:rsidRDefault="00076D78">
            <w:pPr>
              <w:pStyle w:val="Summarytabletextrightaligned"/>
            </w:pPr>
            <w:r>
              <w:noBreakHyphen/>
            </w:r>
          </w:p>
        </w:tc>
        <w:tc>
          <w:tcPr>
            <w:tcW w:w="850" w:type="dxa"/>
            <w:shd w:val="clear" w:color="auto" w:fill="E6F2FF"/>
            <w:vAlign w:val="bottom"/>
          </w:tcPr>
          <w:p w14:paraId="46120BD3" w14:textId="4E824BCC" w:rsidR="00B449D0" w:rsidRDefault="00076D78">
            <w:pPr>
              <w:pStyle w:val="Summarytabletextrightaligned"/>
            </w:pPr>
            <w:r>
              <w:noBreakHyphen/>
            </w:r>
          </w:p>
        </w:tc>
        <w:tc>
          <w:tcPr>
            <w:tcW w:w="850" w:type="dxa"/>
            <w:vAlign w:val="bottom"/>
          </w:tcPr>
          <w:p w14:paraId="3D5C838E" w14:textId="77777777" w:rsidR="00B449D0" w:rsidRDefault="00175344">
            <w:pPr>
              <w:pStyle w:val="Summarytabletextrightaligned"/>
            </w:pPr>
            <w:r>
              <w:t>207.7</w:t>
            </w:r>
          </w:p>
        </w:tc>
        <w:tc>
          <w:tcPr>
            <w:tcW w:w="850" w:type="dxa"/>
            <w:vAlign w:val="bottom"/>
          </w:tcPr>
          <w:p w14:paraId="212FB9A0" w14:textId="77777777" w:rsidR="00B449D0" w:rsidRDefault="00175344">
            <w:pPr>
              <w:pStyle w:val="Summarytabletextrightaligned"/>
            </w:pPr>
            <w:r>
              <w:t>228.4</w:t>
            </w:r>
          </w:p>
        </w:tc>
        <w:tc>
          <w:tcPr>
            <w:tcW w:w="850" w:type="dxa"/>
            <w:vAlign w:val="bottom"/>
          </w:tcPr>
          <w:p w14:paraId="3EF0FD33" w14:textId="77777777" w:rsidR="00B449D0" w:rsidRDefault="00175344">
            <w:pPr>
              <w:pStyle w:val="Summarytabletextrightaligned"/>
            </w:pPr>
            <w:r>
              <w:t>243.6</w:t>
            </w:r>
          </w:p>
        </w:tc>
      </w:tr>
      <w:tr w:rsidR="00B449D0" w14:paraId="7917E180" w14:textId="77777777" w:rsidTr="7F762F0D">
        <w:tc>
          <w:tcPr>
            <w:tcW w:w="3471" w:type="dxa"/>
            <w:vAlign w:val="bottom"/>
          </w:tcPr>
          <w:p w14:paraId="16CD00FA" w14:textId="77777777" w:rsidR="00B449D0" w:rsidRDefault="00175344">
            <w:pPr>
              <w:pStyle w:val="SummaryMeasureTitlewithTheme"/>
            </w:pPr>
            <w:r>
              <w:t>National Water Grid Fund – continuing delivery</w:t>
            </w:r>
          </w:p>
        </w:tc>
        <w:tc>
          <w:tcPr>
            <w:tcW w:w="850" w:type="dxa"/>
            <w:vAlign w:val="bottom"/>
          </w:tcPr>
          <w:p w14:paraId="51AB3097" w14:textId="3906011C" w:rsidR="00B449D0" w:rsidRDefault="00076D78">
            <w:pPr>
              <w:pStyle w:val="Summarytabletextrightaligned"/>
            </w:pPr>
            <w:r>
              <w:noBreakHyphen/>
            </w:r>
          </w:p>
        </w:tc>
        <w:tc>
          <w:tcPr>
            <w:tcW w:w="850" w:type="dxa"/>
            <w:shd w:val="clear" w:color="auto" w:fill="E6F2FF"/>
            <w:vAlign w:val="bottom"/>
          </w:tcPr>
          <w:p w14:paraId="2F73EC6B" w14:textId="6BAE276E" w:rsidR="00B449D0" w:rsidRDefault="00076D78">
            <w:pPr>
              <w:pStyle w:val="Summarytabletextrightaligned"/>
            </w:pPr>
            <w:r>
              <w:noBreakHyphen/>
            </w:r>
            <w:r w:rsidR="00175344">
              <w:t>46.6</w:t>
            </w:r>
          </w:p>
        </w:tc>
        <w:tc>
          <w:tcPr>
            <w:tcW w:w="850" w:type="dxa"/>
            <w:vAlign w:val="bottom"/>
          </w:tcPr>
          <w:p w14:paraId="0D419D5D" w14:textId="77777777" w:rsidR="00B449D0" w:rsidRDefault="00175344">
            <w:pPr>
              <w:pStyle w:val="Summarytabletextrightaligned"/>
            </w:pPr>
            <w:r>
              <w:t>8.0</w:t>
            </w:r>
          </w:p>
        </w:tc>
        <w:tc>
          <w:tcPr>
            <w:tcW w:w="850" w:type="dxa"/>
            <w:vAlign w:val="bottom"/>
          </w:tcPr>
          <w:p w14:paraId="293EC01E" w14:textId="77777777" w:rsidR="00B449D0" w:rsidRDefault="00175344">
            <w:pPr>
              <w:pStyle w:val="Summarytabletextrightaligned"/>
            </w:pPr>
            <w:r>
              <w:t>41.3</w:t>
            </w:r>
          </w:p>
        </w:tc>
        <w:tc>
          <w:tcPr>
            <w:tcW w:w="850" w:type="dxa"/>
            <w:vAlign w:val="bottom"/>
          </w:tcPr>
          <w:p w14:paraId="675D15BD" w14:textId="77777777" w:rsidR="00B449D0" w:rsidRDefault="00175344">
            <w:pPr>
              <w:pStyle w:val="Summarytabletextrightaligned"/>
            </w:pPr>
            <w:r>
              <w:t>36.1</w:t>
            </w:r>
          </w:p>
        </w:tc>
      </w:tr>
      <w:tr w:rsidR="00B449D0" w14:paraId="730E2647" w14:textId="77777777" w:rsidTr="7F762F0D">
        <w:tc>
          <w:tcPr>
            <w:tcW w:w="3471" w:type="dxa"/>
            <w:vAlign w:val="bottom"/>
          </w:tcPr>
          <w:p w14:paraId="2432F6A5" w14:textId="77777777" w:rsidR="00B449D0" w:rsidRDefault="00175344">
            <w:pPr>
              <w:pStyle w:val="SummaryMeasureTitlewithTheme"/>
            </w:pPr>
            <w:r>
              <w:t>Northern Heart Centre in Launceston</w:t>
            </w:r>
          </w:p>
        </w:tc>
        <w:tc>
          <w:tcPr>
            <w:tcW w:w="850" w:type="dxa"/>
            <w:vAlign w:val="bottom"/>
          </w:tcPr>
          <w:p w14:paraId="522CD741" w14:textId="0D094463" w:rsidR="00B449D0" w:rsidRDefault="00076D78">
            <w:pPr>
              <w:pStyle w:val="Summarytabletextrightaligned"/>
            </w:pPr>
            <w:r>
              <w:noBreakHyphen/>
            </w:r>
          </w:p>
        </w:tc>
        <w:tc>
          <w:tcPr>
            <w:tcW w:w="850" w:type="dxa"/>
            <w:shd w:val="clear" w:color="auto" w:fill="E6F2FF"/>
            <w:vAlign w:val="bottom"/>
          </w:tcPr>
          <w:p w14:paraId="1D4AC51D" w14:textId="77777777" w:rsidR="00B449D0" w:rsidRDefault="00175344">
            <w:pPr>
              <w:pStyle w:val="Summarytabletextrightaligned"/>
            </w:pPr>
            <w:r>
              <w:t>22.0</w:t>
            </w:r>
          </w:p>
        </w:tc>
        <w:tc>
          <w:tcPr>
            <w:tcW w:w="850" w:type="dxa"/>
            <w:vAlign w:val="bottom"/>
          </w:tcPr>
          <w:p w14:paraId="58789D9C" w14:textId="77777777" w:rsidR="00B449D0" w:rsidRDefault="00175344">
            <w:pPr>
              <w:pStyle w:val="Summarytabletextrightaligned"/>
            </w:pPr>
            <w:r>
              <w:t>48.0</w:t>
            </w:r>
          </w:p>
        </w:tc>
        <w:tc>
          <w:tcPr>
            <w:tcW w:w="850" w:type="dxa"/>
            <w:vAlign w:val="bottom"/>
          </w:tcPr>
          <w:p w14:paraId="26434CBB" w14:textId="77777777" w:rsidR="00B449D0" w:rsidRDefault="00175344">
            <w:pPr>
              <w:pStyle w:val="Summarytabletextrightaligned"/>
            </w:pPr>
            <w:r>
              <w:t>20.0</w:t>
            </w:r>
          </w:p>
        </w:tc>
        <w:tc>
          <w:tcPr>
            <w:tcW w:w="850" w:type="dxa"/>
            <w:vAlign w:val="bottom"/>
          </w:tcPr>
          <w:p w14:paraId="7EE35A5A" w14:textId="77777777" w:rsidR="00B449D0" w:rsidRDefault="00175344">
            <w:pPr>
              <w:pStyle w:val="Summarytabletextrightaligned"/>
            </w:pPr>
            <w:r>
              <w:t>20.0</w:t>
            </w:r>
          </w:p>
        </w:tc>
      </w:tr>
      <w:tr w:rsidR="00B449D0" w14:paraId="3E30AC26" w14:textId="77777777" w:rsidTr="7F762F0D">
        <w:tc>
          <w:tcPr>
            <w:tcW w:w="3471" w:type="dxa"/>
            <w:vAlign w:val="bottom"/>
          </w:tcPr>
          <w:p w14:paraId="00DF6E1A" w14:textId="77777777" w:rsidR="00B449D0" w:rsidRDefault="00175344">
            <w:pPr>
              <w:pStyle w:val="SummaryMeasureTitlewithTheme"/>
            </w:pPr>
            <w:r>
              <w:t>Phase Out of Live Sheep Exports by Sea – additional transition support</w:t>
            </w:r>
          </w:p>
        </w:tc>
        <w:tc>
          <w:tcPr>
            <w:tcW w:w="850" w:type="dxa"/>
            <w:vAlign w:val="bottom"/>
          </w:tcPr>
          <w:p w14:paraId="168F9C1C" w14:textId="5ADD7EFD" w:rsidR="00B449D0" w:rsidRDefault="00076D78">
            <w:pPr>
              <w:pStyle w:val="Summarytabletextrightaligned"/>
            </w:pPr>
            <w:r>
              <w:noBreakHyphen/>
            </w:r>
          </w:p>
        </w:tc>
        <w:tc>
          <w:tcPr>
            <w:tcW w:w="850" w:type="dxa"/>
            <w:shd w:val="clear" w:color="auto" w:fill="E6F2FF"/>
            <w:vAlign w:val="bottom"/>
          </w:tcPr>
          <w:p w14:paraId="1E64AEA6" w14:textId="65E4B7A3" w:rsidR="00B449D0" w:rsidRDefault="00076D78">
            <w:pPr>
              <w:pStyle w:val="Summarytabletextrightaligned"/>
            </w:pPr>
            <w:r>
              <w:noBreakHyphen/>
            </w:r>
          </w:p>
        </w:tc>
        <w:tc>
          <w:tcPr>
            <w:tcW w:w="850" w:type="dxa"/>
            <w:vAlign w:val="bottom"/>
          </w:tcPr>
          <w:p w14:paraId="178CD86F" w14:textId="64E963B9" w:rsidR="00B449D0" w:rsidRDefault="00076D78">
            <w:pPr>
              <w:pStyle w:val="Summarytabletextrightaligned"/>
            </w:pPr>
            <w:r>
              <w:noBreakHyphen/>
            </w:r>
          </w:p>
        </w:tc>
        <w:tc>
          <w:tcPr>
            <w:tcW w:w="850" w:type="dxa"/>
            <w:vAlign w:val="bottom"/>
          </w:tcPr>
          <w:p w14:paraId="1157C60C" w14:textId="65B1777E" w:rsidR="00B449D0" w:rsidRDefault="00076D78">
            <w:pPr>
              <w:pStyle w:val="Summarytabletextrightaligned"/>
            </w:pPr>
            <w:r>
              <w:noBreakHyphen/>
            </w:r>
          </w:p>
        </w:tc>
        <w:tc>
          <w:tcPr>
            <w:tcW w:w="850" w:type="dxa"/>
            <w:vAlign w:val="bottom"/>
          </w:tcPr>
          <w:p w14:paraId="6F558087" w14:textId="56C8FB37" w:rsidR="00B449D0" w:rsidRDefault="00076D78">
            <w:pPr>
              <w:pStyle w:val="Summarytabletextrightaligned"/>
            </w:pPr>
            <w:r>
              <w:noBreakHyphen/>
            </w:r>
          </w:p>
        </w:tc>
      </w:tr>
      <w:tr w:rsidR="00B449D0" w14:paraId="2A304D42" w14:textId="77777777" w:rsidTr="7F762F0D">
        <w:tc>
          <w:tcPr>
            <w:tcW w:w="3471" w:type="dxa"/>
            <w:vAlign w:val="bottom"/>
          </w:tcPr>
          <w:p w14:paraId="6C48FBA7" w14:textId="77777777" w:rsidR="00B449D0" w:rsidRDefault="00175344">
            <w:pPr>
              <w:pStyle w:val="SummaryMeasureTitlewithTheme"/>
            </w:pPr>
            <w:r>
              <w:t>Preventive Health</w:t>
            </w:r>
          </w:p>
        </w:tc>
        <w:tc>
          <w:tcPr>
            <w:tcW w:w="850" w:type="dxa"/>
            <w:vAlign w:val="bottom"/>
          </w:tcPr>
          <w:p w14:paraId="46EB2B4E" w14:textId="60A8D1F0" w:rsidR="00B449D0" w:rsidRDefault="00076D78">
            <w:pPr>
              <w:pStyle w:val="Summarytabletextrightaligned"/>
            </w:pPr>
            <w:r>
              <w:noBreakHyphen/>
            </w:r>
          </w:p>
        </w:tc>
        <w:tc>
          <w:tcPr>
            <w:tcW w:w="850" w:type="dxa"/>
            <w:shd w:val="clear" w:color="auto" w:fill="E6F2FF"/>
            <w:vAlign w:val="bottom"/>
          </w:tcPr>
          <w:p w14:paraId="46E93011" w14:textId="32FEC951" w:rsidR="00B449D0" w:rsidRDefault="00076D78">
            <w:pPr>
              <w:pStyle w:val="Summarytabletextrightaligned"/>
            </w:pPr>
            <w:r>
              <w:noBreakHyphen/>
            </w:r>
          </w:p>
        </w:tc>
        <w:tc>
          <w:tcPr>
            <w:tcW w:w="850" w:type="dxa"/>
            <w:vAlign w:val="bottom"/>
          </w:tcPr>
          <w:p w14:paraId="7AE5E91E" w14:textId="421E93EA" w:rsidR="00B449D0" w:rsidRDefault="00076D78">
            <w:pPr>
              <w:pStyle w:val="Summarytabletextrightaligned"/>
            </w:pPr>
            <w:r>
              <w:noBreakHyphen/>
            </w:r>
          </w:p>
        </w:tc>
        <w:tc>
          <w:tcPr>
            <w:tcW w:w="850" w:type="dxa"/>
            <w:vAlign w:val="bottom"/>
          </w:tcPr>
          <w:p w14:paraId="612D2825" w14:textId="3F336206" w:rsidR="00B449D0" w:rsidRDefault="00076D78">
            <w:pPr>
              <w:pStyle w:val="Summarytabletextrightaligned"/>
            </w:pPr>
            <w:r>
              <w:noBreakHyphen/>
            </w:r>
          </w:p>
        </w:tc>
        <w:tc>
          <w:tcPr>
            <w:tcW w:w="850" w:type="dxa"/>
            <w:vAlign w:val="bottom"/>
          </w:tcPr>
          <w:p w14:paraId="1C6A0436" w14:textId="28326CFD" w:rsidR="00B449D0" w:rsidRDefault="00076D78">
            <w:pPr>
              <w:pStyle w:val="Summarytabletextrightaligned"/>
            </w:pPr>
            <w:r>
              <w:noBreakHyphen/>
            </w:r>
          </w:p>
        </w:tc>
      </w:tr>
      <w:tr w:rsidR="00B449D0" w14:paraId="01F06CD8" w14:textId="77777777" w:rsidTr="7F762F0D">
        <w:tc>
          <w:tcPr>
            <w:tcW w:w="3471" w:type="dxa"/>
            <w:vAlign w:val="bottom"/>
          </w:tcPr>
          <w:p w14:paraId="1A1094F3" w14:textId="77777777" w:rsidR="00B449D0" w:rsidRDefault="00175344">
            <w:pPr>
              <w:pStyle w:val="SummaryMeasureTitlewithTheme"/>
            </w:pPr>
            <w:r>
              <w:t>Rebuilding the Great Barrier Reef Aquarium</w:t>
            </w:r>
          </w:p>
        </w:tc>
        <w:tc>
          <w:tcPr>
            <w:tcW w:w="850" w:type="dxa"/>
            <w:vAlign w:val="bottom"/>
          </w:tcPr>
          <w:p w14:paraId="092EFC0E" w14:textId="5ED468FA" w:rsidR="00B449D0" w:rsidRDefault="00076D78">
            <w:pPr>
              <w:pStyle w:val="Summarytabletextrightaligned"/>
            </w:pPr>
            <w:r>
              <w:noBreakHyphen/>
            </w:r>
          </w:p>
        </w:tc>
        <w:tc>
          <w:tcPr>
            <w:tcW w:w="850" w:type="dxa"/>
            <w:shd w:val="clear" w:color="auto" w:fill="E6F2FF"/>
            <w:vAlign w:val="bottom"/>
          </w:tcPr>
          <w:p w14:paraId="6A886D64" w14:textId="55A6715A" w:rsidR="00B449D0" w:rsidRDefault="00076D78">
            <w:pPr>
              <w:pStyle w:val="Summarytabletextrightaligned"/>
            </w:pPr>
            <w:r>
              <w:noBreakHyphen/>
            </w:r>
            <w:r w:rsidR="00175344">
              <w:t>44.0</w:t>
            </w:r>
          </w:p>
        </w:tc>
        <w:tc>
          <w:tcPr>
            <w:tcW w:w="850" w:type="dxa"/>
            <w:vAlign w:val="bottom"/>
          </w:tcPr>
          <w:p w14:paraId="0ED97A09" w14:textId="507AA36F" w:rsidR="00B449D0" w:rsidRDefault="00076D78">
            <w:pPr>
              <w:pStyle w:val="Summarytabletextrightaligned"/>
            </w:pPr>
            <w:r>
              <w:noBreakHyphen/>
            </w:r>
            <w:r w:rsidR="00175344">
              <w:t>19.5</w:t>
            </w:r>
          </w:p>
        </w:tc>
        <w:tc>
          <w:tcPr>
            <w:tcW w:w="850" w:type="dxa"/>
            <w:vAlign w:val="bottom"/>
          </w:tcPr>
          <w:p w14:paraId="482B638A" w14:textId="3052FB95" w:rsidR="00B449D0" w:rsidRDefault="00076D78">
            <w:pPr>
              <w:pStyle w:val="Summarytabletextrightaligned"/>
            </w:pPr>
            <w:r>
              <w:noBreakHyphen/>
            </w:r>
            <w:r w:rsidR="00175344">
              <w:t>36.5</w:t>
            </w:r>
          </w:p>
        </w:tc>
        <w:tc>
          <w:tcPr>
            <w:tcW w:w="850" w:type="dxa"/>
            <w:vAlign w:val="bottom"/>
          </w:tcPr>
          <w:p w14:paraId="43968EC8" w14:textId="26154AAF" w:rsidR="00B449D0" w:rsidRDefault="00076D78">
            <w:pPr>
              <w:pStyle w:val="Summarytabletextrightaligned"/>
            </w:pPr>
            <w:r>
              <w:noBreakHyphen/>
            </w:r>
          </w:p>
        </w:tc>
      </w:tr>
      <w:tr w:rsidR="00B449D0" w14:paraId="3DD764A5" w14:textId="77777777" w:rsidTr="7F762F0D">
        <w:tc>
          <w:tcPr>
            <w:tcW w:w="3471" w:type="dxa"/>
            <w:vAlign w:val="bottom"/>
          </w:tcPr>
          <w:p w14:paraId="7F8C5A4E" w14:textId="77777777" w:rsidR="00B449D0" w:rsidRDefault="00175344">
            <w:pPr>
              <w:pStyle w:val="SummaryMeasureTitlewithTheme"/>
            </w:pPr>
            <w:r>
              <w:t>Revitalising National Competition Policy</w:t>
            </w:r>
          </w:p>
        </w:tc>
        <w:tc>
          <w:tcPr>
            <w:tcW w:w="850" w:type="dxa"/>
            <w:vAlign w:val="bottom"/>
          </w:tcPr>
          <w:p w14:paraId="46715940" w14:textId="196E35B3" w:rsidR="00B449D0" w:rsidRDefault="00076D78">
            <w:pPr>
              <w:pStyle w:val="Summarytabletextrightaligned"/>
            </w:pPr>
            <w:r>
              <w:noBreakHyphen/>
            </w:r>
          </w:p>
        </w:tc>
        <w:tc>
          <w:tcPr>
            <w:tcW w:w="850" w:type="dxa"/>
            <w:shd w:val="clear" w:color="auto" w:fill="E6F2FF"/>
            <w:vAlign w:val="bottom"/>
          </w:tcPr>
          <w:p w14:paraId="0579C0D9" w14:textId="386F95DC" w:rsidR="00B449D0" w:rsidRDefault="00076D78">
            <w:pPr>
              <w:pStyle w:val="Summarytabletextrightaligned"/>
            </w:pPr>
            <w:r>
              <w:noBreakHyphen/>
            </w:r>
          </w:p>
        </w:tc>
        <w:tc>
          <w:tcPr>
            <w:tcW w:w="850" w:type="dxa"/>
            <w:vAlign w:val="bottom"/>
          </w:tcPr>
          <w:p w14:paraId="2AE7FB15" w14:textId="77777777" w:rsidR="00B449D0" w:rsidRDefault="00175344">
            <w:pPr>
              <w:pStyle w:val="Summarytabletextrightaligned"/>
            </w:pPr>
            <w:r w:rsidRPr="7F762F0D">
              <w:rPr>
                <w:lang w:val="en-US"/>
              </w:rPr>
              <w:t>nfp</w:t>
            </w:r>
          </w:p>
        </w:tc>
        <w:tc>
          <w:tcPr>
            <w:tcW w:w="850" w:type="dxa"/>
            <w:vAlign w:val="bottom"/>
          </w:tcPr>
          <w:p w14:paraId="20981B97" w14:textId="77777777" w:rsidR="00B449D0" w:rsidRDefault="00175344">
            <w:pPr>
              <w:pStyle w:val="Summarytabletextrightaligned"/>
            </w:pPr>
            <w:r w:rsidRPr="7F762F0D">
              <w:rPr>
                <w:lang w:val="en-US"/>
              </w:rPr>
              <w:t>nfp</w:t>
            </w:r>
          </w:p>
        </w:tc>
        <w:tc>
          <w:tcPr>
            <w:tcW w:w="850" w:type="dxa"/>
            <w:vAlign w:val="bottom"/>
          </w:tcPr>
          <w:p w14:paraId="066723DC" w14:textId="77777777" w:rsidR="00B449D0" w:rsidRDefault="00175344">
            <w:pPr>
              <w:pStyle w:val="Summarytabletextrightaligned"/>
            </w:pPr>
            <w:r w:rsidRPr="7F762F0D">
              <w:rPr>
                <w:lang w:val="en-US"/>
              </w:rPr>
              <w:t>nfp</w:t>
            </w:r>
          </w:p>
        </w:tc>
      </w:tr>
      <w:tr w:rsidR="00B449D0" w14:paraId="38CEFD78" w14:textId="77777777" w:rsidTr="7F762F0D">
        <w:tc>
          <w:tcPr>
            <w:tcW w:w="3471" w:type="dxa"/>
            <w:vAlign w:val="bottom"/>
          </w:tcPr>
          <w:p w14:paraId="0B3CF0DA" w14:textId="77777777" w:rsidR="00B449D0" w:rsidRDefault="00175344">
            <w:pPr>
              <w:pStyle w:val="SummaryMeasureTitlewithTheme"/>
            </w:pPr>
            <w:r>
              <w:t>Securing Access to Medicines</w:t>
            </w:r>
          </w:p>
        </w:tc>
        <w:tc>
          <w:tcPr>
            <w:tcW w:w="850" w:type="dxa"/>
            <w:vAlign w:val="bottom"/>
          </w:tcPr>
          <w:p w14:paraId="3BF085AE" w14:textId="2371F484" w:rsidR="00B449D0" w:rsidRDefault="00076D78">
            <w:pPr>
              <w:pStyle w:val="Summarytabletextrightaligned"/>
            </w:pPr>
            <w:r>
              <w:noBreakHyphen/>
            </w:r>
          </w:p>
        </w:tc>
        <w:tc>
          <w:tcPr>
            <w:tcW w:w="850" w:type="dxa"/>
            <w:shd w:val="clear" w:color="auto" w:fill="E6F2FF"/>
            <w:vAlign w:val="bottom"/>
          </w:tcPr>
          <w:p w14:paraId="15453DAE" w14:textId="77777777" w:rsidR="00B449D0" w:rsidRDefault="00175344">
            <w:pPr>
              <w:pStyle w:val="Summarytabletextrightaligned"/>
            </w:pPr>
            <w:r>
              <w:t>15.0</w:t>
            </w:r>
          </w:p>
        </w:tc>
        <w:tc>
          <w:tcPr>
            <w:tcW w:w="850" w:type="dxa"/>
            <w:vAlign w:val="bottom"/>
          </w:tcPr>
          <w:p w14:paraId="1C5BEB0B" w14:textId="77777777" w:rsidR="00B449D0" w:rsidRDefault="00175344">
            <w:pPr>
              <w:pStyle w:val="Summarytabletextrightaligned"/>
            </w:pPr>
            <w:r>
              <w:t>5.0</w:t>
            </w:r>
          </w:p>
        </w:tc>
        <w:tc>
          <w:tcPr>
            <w:tcW w:w="850" w:type="dxa"/>
            <w:vAlign w:val="bottom"/>
          </w:tcPr>
          <w:p w14:paraId="0D54CCA2" w14:textId="49B75169" w:rsidR="00B449D0" w:rsidRDefault="00076D78">
            <w:pPr>
              <w:pStyle w:val="Summarytabletextrightaligned"/>
            </w:pPr>
            <w:r>
              <w:noBreakHyphen/>
            </w:r>
          </w:p>
        </w:tc>
        <w:tc>
          <w:tcPr>
            <w:tcW w:w="850" w:type="dxa"/>
            <w:vAlign w:val="bottom"/>
          </w:tcPr>
          <w:p w14:paraId="093B08D8" w14:textId="5751E788" w:rsidR="00B449D0" w:rsidRDefault="00076D78">
            <w:pPr>
              <w:pStyle w:val="Summarytabletextrightaligned"/>
            </w:pPr>
            <w:r>
              <w:noBreakHyphen/>
            </w:r>
          </w:p>
        </w:tc>
      </w:tr>
      <w:tr w:rsidR="00B449D0" w14:paraId="64ED1BA4" w14:textId="77777777" w:rsidTr="7F762F0D">
        <w:tc>
          <w:tcPr>
            <w:tcW w:w="3471" w:type="dxa"/>
            <w:vAlign w:val="bottom"/>
          </w:tcPr>
          <w:p w14:paraId="77DEA481" w14:textId="77777777" w:rsidR="00B449D0" w:rsidRDefault="00175344">
            <w:pPr>
              <w:pStyle w:val="SummaryMeasureTitlewithTheme"/>
            </w:pPr>
            <w:r>
              <w:t>Securing the Future of Antarctic Operations</w:t>
            </w:r>
          </w:p>
        </w:tc>
        <w:tc>
          <w:tcPr>
            <w:tcW w:w="850" w:type="dxa"/>
            <w:vAlign w:val="bottom"/>
          </w:tcPr>
          <w:p w14:paraId="3359E6BE" w14:textId="45D24467" w:rsidR="00B449D0" w:rsidRDefault="00076D78">
            <w:pPr>
              <w:pStyle w:val="Summarytabletextrightaligned"/>
            </w:pPr>
            <w:r>
              <w:noBreakHyphen/>
            </w:r>
          </w:p>
        </w:tc>
        <w:tc>
          <w:tcPr>
            <w:tcW w:w="850" w:type="dxa"/>
            <w:shd w:val="clear" w:color="auto" w:fill="E6F2FF"/>
            <w:vAlign w:val="bottom"/>
          </w:tcPr>
          <w:p w14:paraId="1AF5E6DC" w14:textId="70DDA5E3" w:rsidR="00B449D0" w:rsidRDefault="00076D78">
            <w:pPr>
              <w:pStyle w:val="Summarytabletextrightaligned"/>
            </w:pPr>
            <w:r>
              <w:noBreakHyphen/>
            </w:r>
          </w:p>
        </w:tc>
        <w:tc>
          <w:tcPr>
            <w:tcW w:w="850" w:type="dxa"/>
            <w:vAlign w:val="bottom"/>
          </w:tcPr>
          <w:p w14:paraId="66A6459C" w14:textId="77777777" w:rsidR="00B449D0" w:rsidRDefault="00175344">
            <w:pPr>
              <w:pStyle w:val="Summarytabletextrightaligned"/>
            </w:pPr>
            <w:r>
              <w:t>47.0</w:t>
            </w:r>
          </w:p>
        </w:tc>
        <w:tc>
          <w:tcPr>
            <w:tcW w:w="850" w:type="dxa"/>
            <w:vAlign w:val="bottom"/>
          </w:tcPr>
          <w:p w14:paraId="13C95AA6" w14:textId="77777777" w:rsidR="00B449D0" w:rsidRDefault="00175344">
            <w:pPr>
              <w:pStyle w:val="Summarytabletextrightaligned"/>
            </w:pPr>
            <w:r>
              <w:t>47.0</w:t>
            </w:r>
          </w:p>
        </w:tc>
        <w:tc>
          <w:tcPr>
            <w:tcW w:w="850" w:type="dxa"/>
            <w:vAlign w:val="bottom"/>
          </w:tcPr>
          <w:p w14:paraId="2EA75824" w14:textId="77777777" w:rsidR="00B449D0" w:rsidRDefault="00175344">
            <w:pPr>
              <w:pStyle w:val="Summarytabletextrightaligned"/>
            </w:pPr>
            <w:r>
              <w:t>47.0</w:t>
            </w:r>
          </w:p>
        </w:tc>
      </w:tr>
    </w:tbl>
    <w:p w14:paraId="774A561D" w14:textId="77777777" w:rsidR="00301E48" w:rsidRDefault="00301E48" w:rsidP="002C36E4">
      <w:pPr>
        <w:pStyle w:val="SingleParagraph0"/>
        <w:sectPr w:rsidR="00301E48" w:rsidSect="00301E48">
          <w:pgSz w:w="11906" w:h="16838"/>
          <w:pgMar w:top="2835" w:right="2098" w:bottom="2466" w:left="2098" w:header="1814" w:footer="1814" w:gutter="0"/>
          <w:cols w:space="720"/>
          <w:docGrid w:linePitch="272"/>
        </w:sectPr>
      </w:pPr>
    </w:p>
    <w:p w14:paraId="79D69A2E" w14:textId="6AF3332E" w:rsidR="00301E48" w:rsidRDefault="00301E48" w:rsidP="00301E48">
      <w:pPr>
        <w:pStyle w:val="TableHeadingcontinued"/>
      </w:pPr>
      <w:r>
        <w:lastRenderedPageBreak/>
        <w:t xml:space="preserve">Table </w:t>
      </w:r>
      <w:r w:rsidR="006E0A94">
        <w:t>A.</w:t>
      </w:r>
      <w:r>
        <w:t>2: Payment measures since the 2024–25 Budget</w:t>
      </w:r>
      <w:r>
        <w:rPr>
          <w:rFonts w:ascii="Cambria Math" w:hAnsi="Cambria Math" w:cs="Cambria Math"/>
        </w:rPr>
        <w:t>⁽</w:t>
      </w:r>
      <w:r>
        <w:rPr>
          <w:rFonts w:cs="Arial"/>
        </w:rPr>
        <w:t>ª</w:t>
      </w:r>
      <w:r>
        <w:rPr>
          <w:rFonts w:ascii="Cambria Math" w:hAnsi="Cambria Math" w:cs="Cambria Math"/>
        </w:rPr>
        <w:t>⁾</w:t>
      </w:r>
      <w:r>
        <w:t xml:space="preserve"> (continued)</w:t>
      </w:r>
    </w:p>
    <w:tbl>
      <w:tblPr>
        <w:tblOverlap w:val="never"/>
        <w:tblW w:w="7721" w:type="dxa"/>
        <w:tblBorders>
          <w:top w:val="single" w:sz="4" w:space="0" w:color="000000"/>
          <w:bottom w:val="single" w:sz="4" w:space="0" w:color="000000"/>
        </w:tblBorders>
        <w:tblLayout w:type="fixed"/>
        <w:tblCellMar>
          <w:left w:w="0" w:type="dxa"/>
          <w:right w:w="56" w:type="dxa"/>
        </w:tblCellMar>
        <w:tblLook w:val="04A0" w:firstRow="1" w:lastRow="0" w:firstColumn="1" w:lastColumn="0" w:noHBand="0" w:noVBand="1"/>
      </w:tblPr>
      <w:tblGrid>
        <w:gridCol w:w="3471"/>
        <w:gridCol w:w="850"/>
        <w:gridCol w:w="850"/>
        <w:gridCol w:w="850"/>
        <w:gridCol w:w="850"/>
        <w:gridCol w:w="850"/>
      </w:tblGrid>
      <w:tr w:rsidR="00301E48" w14:paraId="63243D31" w14:textId="77777777" w:rsidTr="7F762F0D">
        <w:tc>
          <w:tcPr>
            <w:tcW w:w="3471" w:type="dxa"/>
            <w:vAlign w:val="bottom"/>
          </w:tcPr>
          <w:p w14:paraId="38E5DC75" w14:textId="77777777" w:rsidR="00301E48" w:rsidRDefault="00301E48" w:rsidP="00301E48"/>
        </w:tc>
        <w:tc>
          <w:tcPr>
            <w:tcW w:w="850" w:type="dxa"/>
            <w:tcBorders>
              <w:bottom w:val="nil"/>
            </w:tcBorders>
            <w:vAlign w:val="bottom"/>
          </w:tcPr>
          <w:p w14:paraId="6547572F" w14:textId="51B0329C" w:rsidR="00301E48" w:rsidRDefault="00301E48" w:rsidP="00301E48">
            <w:pPr>
              <w:pStyle w:val="Summarytabletextrightaligned"/>
            </w:pPr>
            <w:r>
              <w:t>2023</w:t>
            </w:r>
            <w:r w:rsidR="00076D78">
              <w:noBreakHyphen/>
            </w:r>
            <w:r>
              <w:t>24</w:t>
            </w:r>
          </w:p>
        </w:tc>
        <w:tc>
          <w:tcPr>
            <w:tcW w:w="850" w:type="dxa"/>
            <w:tcBorders>
              <w:bottom w:val="nil"/>
            </w:tcBorders>
            <w:shd w:val="clear" w:color="auto" w:fill="E6F2FF"/>
            <w:vAlign w:val="bottom"/>
          </w:tcPr>
          <w:p w14:paraId="7CE88860" w14:textId="5DE4C13D" w:rsidR="00301E48" w:rsidRDefault="00301E48" w:rsidP="00301E48">
            <w:pPr>
              <w:pStyle w:val="Summarytabletextrightaligned"/>
            </w:pPr>
            <w:r>
              <w:t>2024</w:t>
            </w:r>
            <w:r w:rsidR="00076D78">
              <w:noBreakHyphen/>
            </w:r>
            <w:r>
              <w:t>25</w:t>
            </w:r>
          </w:p>
        </w:tc>
        <w:tc>
          <w:tcPr>
            <w:tcW w:w="850" w:type="dxa"/>
            <w:tcBorders>
              <w:bottom w:val="nil"/>
            </w:tcBorders>
            <w:vAlign w:val="bottom"/>
          </w:tcPr>
          <w:p w14:paraId="7FC4D710" w14:textId="512411AB" w:rsidR="00301E48" w:rsidRDefault="00301E48" w:rsidP="00301E48">
            <w:pPr>
              <w:pStyle w:val="Summarytabletextrightaligned"/>
            </w:pPr>
            <w:r>
              <w:t>2025</w:t>
            </w:r>
            <w:r w:rsidR="00076D78">
              <w:noBreakHyphen/>
            </w:r>
            <w:r>
              <w:t>26</w:t>
            </w:r>
          </w:p>
        </w:tc>
        <w:tc>
          <w:tcPr>
            <w:tcW w:w="850" w:type="dxa"/>
            <w:tcBorders>
              <w:bottom w:val="nil"/>
            </w:tcBorders>
            <w:vAlign w:val="bottom"/>
          </w:tcPr>
          <w:p w14:paraId="3D7B7B52" w14:textId="36081A1F" w:rsidR="00301E48" w:rsidRDefault="00301E48" w:rsidP="00301E48">
            <w:pPr>
              <w:pStyle w:val="Summarytabletextrightaligned"/>
            </w:pPr>
            <w:r>
              <w:t>2026</w:t>
            </w:r>
            <w:r w:rsidR="00076D78">
              <w:noBreakHyphen/>
            </w:r>
            <w:r>
              <w:t>27</w:t>
            </w:r>
          </w:p>
        </w:tc>
        <w:tc>
          <w:tcPr>
            <w:tcW w:w="850" w:type="dxa"/>
            <w:tcBorders>
              <w:bottom w:val="nil"/>
            </w:tcBorders>
            <w:vAlign w:val="bottom"/>
          </w:tcPr>
          <w:p w14:paraId="4536D207" w14:textId="56BD4527" w:rsidR="00301E48" w:rsidRDefault="00301E48" w:rsidP="00301E48">
            <w:pPr>
              <w:pStyle w:val="Summarytabletextrightaligned"/>
            </w:pPr>
            <w:r>
              <w:t>2027</w:t>
            </w:r>
            <w:r w:rsidR="00076D78">
              <w:noBreakHyphen/>
            </w:r>
            <w:r>
              <w:t>28</w:t>
            </w:r>
          </w:p>
        </w:tc>
      </w:tr>
      <w:tr w:rsidR="00301E48" w14:paraId="214F5264" w14:textId="77777777" w:rsidTr="7F762F0D">
        <w:tc>
          <w:tcPr>
            <w:tcW w:w="3471" w:type="dxa"/>
            <w:vAlign w:val="bottom"/>
          </w:tcPr>
          <w:p w14:paraId="004C7B2A" w14:textId="77777777" w:rsidR="00301E48" w:rsidRDefault="00301E48" w:rsidP="00301E48"/>
        </w:tc>
        <w:tc>
          <w:tcPr>
            <w:tcW w:w="850" w:type="dxa"/>
            <w:tcBorders>
              <w:top w:val="nil"/>
              <w:bottom w:val="single" w:sz="4" w:space="0" w:color="auto"/>
            </w:tcBorders>
            <w:shd w:val="clear" w:color="auto" w:fill="auto"/>
            <w:vAlign w:val="bottom"/>
          </w:tcPr>
          <w:p w14:paraId="111D9F20" w14:textId="77777777" w:rsidR="00301E48" w:rsidRDefault="00301E48" w:rsidP="00301E48">
            <w:pPr>
              <w:pStyle w:val="Summarytabletextrightaligned"/>
            </w:pPr>
            <w:r>
              <w:t>$m</w:t>
            </w:r>
          </w:p>
        </w:tc>
        <w:tc>
          <w:tcPr>
            <w:tcW w:w="850" w:type="dxa"/>
            <w:tcBorders>
              <w:top w:val="nil"/>
              <w:bottom w:val="single" w:sz="4" w:space="0" w:color="auto"/>
            </w:tcBorders>
            <w:shd w:val="clear" w:color="auto" w:fill="E6F2FF"/>
            <w:vAlign w:val="bottom"/>
          </w:tcPr>
          <w:p w14:paraId="386E5031" w14:textId="77777777" w:rsidR="00301E48" w:rsidRDefault="00301E48" w:rsidP="00301E48">
            <w:pPr>
              <w:pStyle w:val="Summarytabletextrightaligned"/>
            </w:pPr>
            <w:r>
              <w:t>$m</w:t>
            </w:r>
          </w:p>
        </w:tc>
        <w:tc>
          <w:tcPr>
            <w:tcW w:w="850" w:type="dxa"/>
            <w:tcBorders>
              <w:top w:val="nil"/>
              <w:bottom w:val="single" w:sz="4" w:space="0" w:color="auto"/>
            </w:tcBorders>
            <w:shd w:val="clear" w:color="auto" w:fill="auto"/>
            <w:vAlign w:val="bottom"/>
          </w:tcPr>
          <w:p w14:paraId="7B07272B" w14:textId="77777777" w:rsidR="00301E48" w:rsidRDefault="00301E48" w:rsidP="00301E48">
            <w:pPr>
              <w:pStyle w:val="Summarytabletextrightaligned"/>
            </w:pPr>
            <w:r>
              <w:t>$m</w:t>
            </w:r>
          </w:p>
        </w:tc>
        <w:tc>
          <w:tcPr>
            <w:tcW w:w="850" w:type="dxa"/>
            <w:tcBorders>
              <w:top w:val="nil"/>
              <w:bottom w:val="single" w:sz="4" w:space="0" w:color="auto"/>
            </w:tcBorders>
            <w:shd w:val="clear" w:color="auto" w:fill="auto"/>
            <w:vAlign w:val="bottom"/>
          </w:tcPr>
          <w:p w14:paraId="5C7697F4" w14:textId="77777777" w:rsidR="00301E48" w:rsidRDefault="00301E48" w:rsidP="00301E48">
            <w:pPr>
              <w:pStyle w:val="Summarytabletextrightaligned"/>
            </w:pPr>
            <w:r>
              <w:t>$m</w:t>
            </w:r>
          </w:p>
        </w:tc>
        <w:tc>
          <w:tcPr>
            <w:tcW w:w="850" w:type="dxa"/>
            <w:tcBorders>
              <w:top w:val="nil"/>
              <w:bottom w:val="single" w:sz="4" w:space="0" w:color="auto"/>
            </w:tcBorders>
            <w:shd w:val="clear" w:color="auto" w:fill="auto"/>
            <w:vAlign w:val="bottom"/>
          </w:tcPr>
          <w:p w14:paraId="4CB044E1" w14:textId="77777777" w:rsidR="00301E48" w:rsidRDefault="00301E48" w:rsidP="00301E48">
            <w:pPr>
              <w:pStyle w:val="Summarytabletextrightaligned"/>
            </w:pPr>
            <w:r>
              <w:t>$m</w:t>
            </w:r>
          </w:p>
        </w:tc>
      </w:tr>
      <w:tr w:rsidR="00301E48" w14:paraId="30AE6C1A" w14:textId="77777777" w:rsidTr="7F762F0D">
        <w:tc>
          <w:tcPr>
            <w:tcW w:w="3471" w:type="dxa"/>
            <w:tcBorders>
              <w:bottom w:val="nil"/>
            </w:tcBorders>
            <w:vAlign w:val="bottom"/>
          </w:tcPr>
          <w:p w14:paraId="7B189A52" w14:textId="77777777" w:rsidR="00301E48" w:rsidRPr="00301E48" w:rsidRDefault="00301E48" w:rsidP="00301E48">
            <w:pPr>
              <w:pStyle w:val="SummaryMeasureTitlewithTheme"/>
              <w:rPr>
                <w:b/>
              </w:rPr>
            </w:pPr>
            <w:r w:rsidRPr="00301E48">
              <w:rPr>
                <w:b/>
              </w:rPr>
              <w:t>TREASURY (continued)</w:t>
            </w:r>
          </w:p>
        </w:tc>
        <w:tc>
          <w:tcPr>
            <w:tcW w:w="850" w:type="dxa"/>
            <w:tcBorders>
              <w:top w:val="single" w:sz="4" w:space="0" w:color="auto"/>
              <w:bottom w:val="nil"/>
            </w:tcBorders>
            <w:vAlign w:val="bottom"/>
          </w:tcPr>
          <w:p w14:paraId="79E52D61" w14:textId="77777777" w:rsidR="00301E48" w:rsidRDefault="00301E48">
            <w:pPr>
              <w:pStyle w:val="Summarytabletextrightaligned"/>
            </w:pPr>
          </w:p>
        </w:tc>
        <w:tc>
          <w:tcPr>
            <w:tcW w:w="850" w:type="dxa"/>
            <w:tcBorders>
              <w:top w:val="single" w:sz="4" w:space="0" w:color="auto"/>
              <w:bottom w:val="nil"/>
            </w:tcBorders>
            <w:shd w:val="clear" w:color="auto" w:fill="E6F2FF"/>
            <w:vAlign w:val="bottom"/>
          </w:tcPr>
          <w:p w14:paraId="680ACA29" w14:textId="77777777" w:rsidR="00301E48" w:rsidRDefault="00301E48">
            <w:pPr>
              <w:pStyle w:val="Summarytabletextrightaligned"/>
            </w:pPr>
          </w:p>
        </w:tc>
        <w:tc>
          <w:tcPr>
            <w:tcW w:w="850" w:type="dxa"/>
            <w:tcBorders>
              <w:top w:val="single" w:sz="4" w:space="0" w:color="auto"/>
              <w:bottom w:val="nil"/>
            </w:tcBorders>
            <w:vAlign w:val="bottom"/>
          </w:tcPr>
          <w:p w14:paraId="00FA84B4" w14:textId="77777777" w:rsidR="00301E48" w:rsidRDefault="00301E48">
            <w:pPr>
              <w:pStyle w:val="Summarytabletextrightaligned"/>
            </w:pPr>
          </w:p>
        </w:tc>
        <w:tc>
          <w:tcPr>
            <w:tcW w:w="850" w:type="dxa"/>
            <w:tcBorders>
              <w:top w:val="single" w:sz="4" w:space="0" w:color="auto"/>
              <w:bottom w:val="nil"/>
            </w:tcBorders>
            <w:vAlign w:val="bottom"/>
          </w:tcPr>
          <w:p w14:paraId="25C19FE5" w14:textId="77777777" w:rsidR="00301E48" w:rsidRDefault="00301E48">
            <w:pPr>
              <w:pStyle w:val="Summarytabletextrightaligned"/>
            </w:pPr>
          </w:p>
        </w:tc>
        <w:tc>
          <w:tcPr>
            <w:tcW w:w="850" w:type="dxa"/>
            <w:tcBorders>
              <w:top w:val="single" w:sz="4" w:space="0" w:color="auto"/>
              <w:bottom w:val="nil"/>
            </w:tcBorders>
            <w:vAlign w:val="bottom"/>
          </w:tcPr>
          <w:p w14:paraId="101FD802" w14:textId="77777777" w:rsidR="00301E48" w:rsidRDefault="00301E48">
            <w:pPr>
              <w:pStyle w:val="Summarytabletextrightaligned"/>
            </w:pPr>
          </w:p>
        </w:tc>
      </w:tr>
      <w:tr w:rsidR="00B449D0" w14:paraId="47E6F6E5" w14:textId="77777777" w:rsidTr="7F762F0D">
        <w:tc>
          <w:tcPr>
            <w:tcW w:w="3471" w:type="dxa"/>
            <w:tcBorders>
              <w:top w:val="nil"/>
            </w:tcBorders>
            <w:vAlign w:val="bottom"/>
          </w:tcPr>
          <w:p w14:paraId="2E75F973" w14:textId="77777777" w:rsidR="00B449D0" w:rsidRDefault="00175344">
            <w:pPr>
              <w:pStyle w:val="SummaryMeasureTitlewithTheme"/>
            </w:pPr>
            <w:r>
              <w:t>Streamlining Consumer Redress under the Scams Prevention Framework</w:t>
            </w:r>
          </w:p>
        </w:tc>
        <w:tc>
          <w:tcPr>
            <w:tcW w:w="850" w:type="dxa"/>
            <w:tcBorders>
              <w:top w:val="nil"/>
            </w:tcBorders>
            <w:vAlign w:val="bottom"/>
          </w:tcPr>
          <w:p w14:paraId="7EEF845B" w14:textId="07F57F3B" w:rsidR="00B449D0" w:rsidRDefault="00076D78">
            <w:pPr>
              <w:pStyle w:val="Summarytabletextrightaligned"/>
            </w:pPr>
            <w:r>
              <w:noBreakHyphen/>
            </w:r>
          </w:p>
        </w:tc>
        <w:tc>
          <w:tcPr>
            <w:tcW w:w="850" w:type="dxa"/>
            <w:tcBorders>
              <w:top w:val="nil"/>
            </w:tcBorders>
            <w:shd w:val="clear" w:color="auto" w:fill="E6F2FF"/>
            <w:vAlign w:val="bottom"/>
          </w:tcPr>
          <w:p w14:paraId="45B59BDE" w14:textId="77777777" w:rsidR="00B449D0" w:rsidRDefault="00175344">
            <w:pPr>
              <w:pStyle w:val="Summarytabletextrightaligned"/>
            </w:pPr>
            <w:r>
              <w:t>5.2</w:t>
            </w:r>
          </w:p>
        </w:tc>
        <w:tc>
          <w:tcPr>
            <w:tcW w:w="850" w:type="dxa"/>
            <w:tcBorders>
              <w:top w:val="nil"/>
            </w:tcBorders>
            <w:vAlign w:val="bottom"/>
          </w:tcPr>
          <w:p w14:paraId="63297F2B" w14:textId="77777777" w:rsidR="00B449D0" w:rsidRDefault="00175344">
            <w:pPr>
              <w:pStyle w:val="Summarytabletextrightaligned"/>
            </w:pPr>
            <w:r>
              <w:t>9.5</w:t>
            </w:r>
          </w:p>
        </w:tc>
        <w:tc>
          <w:tcPr>
            <w:tcW w:w="850" w:type="dxa"/>
            <w:tcBorders>
              <w:top w:val="nil"/>
            </w:tcBorders>
            <w:vAlign w:val="bottom"/>
          </w:tcPr>
          <w:p w14:paraId="4A008790" w14:textId="64E2CB3A" w:rsidR="00B449D0" w:rsidRDefault="00076D78">
            <w:pPr>
              <w:pStyle w:val="Summarytabletextrightaligned"/>
            </w:pPr>
            <w:r>
              <w:noBreakHyphen/>
            </w:r>
          </w:p>
        </w:tc>
        <w:tc>
          <w:tcPr>
            <w:tcW w:w="850" w:type="dxa"/>
            <w:tcBorders>
              <w:top w:val="nil"/>
            </w:tcBorders>
            <w:vAlign w:val="bottom"/>
          </w:tcPr>
          <w:p w14:paraId="115D6B38" w14:textId="42F018F8" w:rsidR="00B449D0" w:rsidRDefault="00076D78">
            <w:pPr>
              <w:pStyle w:val="Summarytabletextrightaligned"/>
            </w:pPr>
            <w:r>
              <w:noBreakHyphen/>
            </w:r>
          </w:p>
        </w:tc>
      </w:tr>
      <w:tr w:rsidR="00B449D0" w14:paraId="3EE77FD8" w14:textId="77777777" w:rsidTr="7F762F0D">
        <w:tc>
          <w:tcPr>
            <w:tcW w:w="3471" w:type="dxa"/>
            <w:vAlign w:val="bottom"/>
          </w:tcPr>
          <w:p w14:paraId="029A87D6" w14:textId="50BEB52E" w:rsidR="00B449D0" w:rsidRDefault="00175344">
            <w:pPr>
              <w:pStyle w:val="SummaryMeasureTitlewithTheme"/>
            </w:pPr>
            <w:r>
              <w:t>Strengthening Australia</w:t>
            </w:r>
            <w:r w:rsidR="00076D78">
              <w:t>’</w:t>
            </w:r>
            <w:r>
              <w:t>s Arrangements for High Risk Terrorist Offenders – continuation</w:t>
            </w:r>
          </w:p>
        </w:tc>
        <w:tc>
          <w:tcPr>
            <w:tcW w:w="850" w:type="dxa"/>
            <w:vAlign w:val="bottom"/>
          </w:tcPr>
          <w:p w14:paraId="7D59CBA5" w14:textId="1E063428" w:rsidR="00B449D0" w:rsidRDefault="00076D78">
            <w:pPr>
              <w:pStyle w:val="Summarytabletextrightaligned"/>
            </w:pPr>
            <w:r>
              <w:noBreakHyphen/>
            </w:r>
          </w:p>
        </w:tc>
        <w:tc>
          <w:tcPr>
            <w:tcW w:w="850" w:type="dxa"/>
            <w:shd w:val="clear" w:color="auto" w:fill="E6F2FF"/>
            <w:vAlign w:val="bottom"/>
          </w:tcPr>
          <w:p w14:paraId="78E66DE7" w14:textId="2EFEA8EE" w:rsidR="00B449D0" w:rsidRDefault="00076D78">
            <w:pPr>
              <w:pStyle w:val="Summarytabletextrightaligned"/>
            </w:pPr>
            <w:r>
              <w:noBreakHyphen/>
            </w:r>
          </w:p>
        </w:tc>
        <w:tc>
          <w:tcPr>
            <w:tcW w:w="850" w:type="dxa"/>
            <w:vAlign w:val="bottom"/>
          </w:tcPr>
          <w:p w14:paraId="3B133C84" w14:textId="77777777" w:rsidR="00B449D0" w:rsidRDefault="00175344">
            <w:pPr>
              <w:pStyle w:val="Summarytabletextrightaligned"/>
            </w:pPr>
            <w:r>
              <w:t>4.0</w:t>
            </w:r>
          </w:p>
        </w:tc>
        <w:tc>
          <w:tcPr>
            <w:tcW w:w="850" w:type="dxa"/>
            <w:vAlign w:val="bottom"/>
          </w:tcPr>
          <w:p w14:paraId="6C0568B2" w14:textId="6AE36A57" w:rsidR="00B449D0" w:rsidRDefault="00076D78">
            <w:pPr>
              <w:pStyle w:val="Summarytabletextrightaligned"/>
            </w:pPr>
            <w:r>
              <w:noBreakHyphen/>
            </w:r>
          </w:p>
        </w:tc>
        <w:tc>
          <w:tcPr>
            <w:tcW w:w="850" w:type="dxa"/>
            <w:vAlign w:val="bottom"/>
          </w:tcPr>
          <w:p w14:paraId="268E5F37" w14:textId="339D1170" w:rsidR="00B449D0" w:rsidRDefault="00076D78">
            <w:pPr>
              <w:pStyle w:val="Summarytabletextrightaligned"/>
            </w:pPr>
            <w:r>
              <w:noBreakHyphen/>
            </w:r>
          </w:p>
        </w:tc>
      </w:tr>
      <w:tr w:rsidR="00B449D0" w14:paraId="78AB8263" w14:textId="77777777" w:rsidTr="7F762F0D">
        <w:tc>
          <w:tcPr>
            <w:tcW w:w="3471" w:type="dxa"/>
            <w:vAlign w:val="bottom"/>
          </w:tcPr>
          <w:p w14:paraId="52206A84" w14:textId="77777777" w:rsidR="00B449D0" w:rsidRDefault="00175344">
            <w:pPr>
              <w:pStyle w:val="SummaryMeasureTitlewithTheme"/>
            </w:pPr>
            <w:r>
              <w:t>Strengthening Medicare</w:t>
            </w:r>
          </w:p>
        </w:tc>
        <w:tc>
          <w:tcPr>
            <w:tcW w:w="850" w:type="dxa"/>
            <w:vAlign w:val="bottom"/>
          </w:tcPr>
          <w:p w14:paraId="40A33D1E" w14:textId="036BFB44" w:rsidR="00B449D0" w:rsidRDefault="00076D78">
            <w:pPr>
              <w:pStyle w:val="Summarytabletextrightaligned"/>
            </w:pPr>
            <w:r>
              <w:noBreakHyphen/>
            </w:r>
          </w:p>
        </w:tc>
        <w:tc>
          <w:tcPr>
            <w:tcW w:w="850" w:type="dxa"/>
            <w:shd w:val="clear" w:color="auto" w:fill="E6F2FF"/>
            <w:vAlign w:val="bottom"/>
          </w:tcPr>
          <w:p w14:paraId="516C88B4" w14:textId="0493060D" w:rsidR="00B449D0" w:rsidRDefault="00076D78">
            <w:pPr>
              <w:pStyle w:val="Summarytabletextrightaligned"/>
            </w:pPr>
            <w:r>
              <w:noBreakHyphen/>
            </w:r>
          </w:p>
        </w:tc>
        <w:tc>
          <w:tcPr>
            <w:tcW w:w="850" w:type="dxa"/>
            <w:vAlign w:val="bottom"/>
          </w:tcPr>
          <w:p w14:paraId="4BC5554E" w14:textId="77777777" w:rsidR="00B449D0" w:rsidRDefault="00175344">
            <w:pPr>
              <w:pStyle w:val="Summarytabletextrightaligned"/>
            </w:pPr>
            <w:r>
              <w:t>12.5</w:t>
            </w:r>
          </w:p>
        </w:tc>
        <w:tc>
          <w:tcPr>
            <w:tcW w:w="850" w:type="dxa"/>
            <w:vAlign w:val="bottom"/>
          </w:tcPr>
          <w:p w14:paraId="6C666B19" w14:textId="77777777" w:rsidR="00B449D0" w:rsidRDefault="00175344">
            <w:pPr>
              <w:pStyle w:val="Summarytabletextrightaligned"/>
            </w:pPr>
            <w:r>
              <w:t>4.9</w:t>
            </w:r>
          </w:p>
        </w:tc>
        <w:tc>
          <w:tcPr>
            <w:tcW w:w="850" w:type="dxa"/>
            <w:vAlign w:val="bottom"/>
          </w:tcPr>
          <w:p w14:paraId="30278F26" w14:textId="77777777" w:rsidR="00B449D0" w:rsidRDefault="00175344">
            <w:pPr>
              <w:pStyle w:val="Summarytabletextrightaligned"/>
            </w:pPr>
            <w:r>
              <w:t>4.9</w:t>
            </w:r>
          </w:p>
        </w:tc>
      </w:tr>
      <w:tr w:rsidR="00B449D0" w14:paraId="09854C65" w14:textId="77777777" w:rsidTr="7F762F0D">
        <w:tc>
          <w:tcPr>
            <w:tcW w:w="3471" w:type="dxa"/>
            <w:vAlign w:val="bottom"/>
          </w:tcPr>
          <w:p w14:paraId="66B60B25" w14:textId="77777777" w:rsidR="00B449D0" w:rsidRDefault="00175344">
            <w:pPr>
              <w:pStyle w:val="SummaryMeasureTitlewithTheme"/>
            </w:pPr>
            <w:r>
              <w:t>Strengthening Tax Compliance – boosting the Shadow Economy Compliance Program(b)</w:t>
            </w:r>
          </w:p>
        </w:tc>
        <w:tc>
          <w:tcPr>
            <w:tcW w:w="850" w:type="dxa"/>
            <w:vAlign w:val="bottom"/>
          </w:tcPr>
          <w:p w14:paraId="70D67BF5" w14:textId="39F98DEA" w:rsidR="00B449D0" w:rsidRDefault="00076D78">
            <w:pPr>
              <w:pStyle w:val="Summarytabletextrightaligned"/>
            </w:pPr>
            <w:r>
              <w:noBreakHyphen/>
            </w:r>
          </w:p>
        </w:tc>
        <w:tc>
          <w:tcPr>
            <w:tcW w:w="850" w:type="dxa"/>
            <w:shd w:val="clear" w:color="auto" w:fill="E6F2FF"/>
            <w:vAlign w:val="bottom"/>
          </w:tcPr>
          <w:p w14:paraId="6F5E46F5" w14:textId="77777777" w:rsidR="00B449D0" w:rsidRDefault="00175344">
            <w:pPr>
              <w:pStyle w:val="Summarytabletextrightaligned"/>
            </w:pPr>
            <w:r>
              <w:t>3.3</w:t>
            </w:r>
          </w:p>
        </w:tc>
        <w:tc>
          <w:tcPr>
            <w:tcW w:w="850" w:type="dxa"/>
            <w:vAlign w:val="bottom"/>
          </w:tcPr>
          <w:p w14:paraId="0ED52702" w14:textId="77777777" w:rsidR="00B449D0" w:rsidRDefault="00175344">
            <w:pPr>
              <w:pStyle w:val="Summarytabletextrightaligned"/>
            </w:pPr>
            <w:r>
              <w:t>16.5</w:t>
            </w:r>
          </w:p>
        </w:tc>
        <w:tc>
          <w:tcPr>
            <w:tcW w:w="850" w:type="dxa"/>
            <w:vAlign w:val="bottom"/>
          </w:tcPr>
          <w:p w14:paraId="224630E6" w14:textId="77777777" w:rsidR="00B449D0" w:rsidRDefault="00175344">
            <w:pPr>
              <w:pStyle w:val="Summarytabletextrightaligned"/>
            </w:pPr>
            <w:r>
              <w:t>29.6</w:t>
            </w:r>
          </w:p>
        </w:tc>
        <w:tc>
          <w:tcPr>
            <w:tcW w:w="850" w:type="dxa"/>
            <w:vAlign w:val="bottom"/>
          </w:tcPr>
          <w:p w14:paraId="79CEB1BB" w14:textId="77777777" w:rsidR="00B449D0" w:rsidRDefault="00175344">
            <w:pPr>
              <w:pStyle w:val="Summarytabletextrightaligned"/>
            </w:pPr>
            <w:r>
              <w:t>39.2</w:t>
            </w:r>
          </w:p>
        </w:tc>
      </w:tr>
      <w:tr w:rsidR="00B449D0" w14:paraId="0A9CA13A" w14:textId="77777777" w:rsidTr="7F762F0D">
        <w:tc>
          <w:tcPr>
            <w:tcW w:w="3471" w:type="dxa"/>
            <w:vAlign w:val="bottom"/>
          </w:tcPr>
          <w:p w14:paraId="59D0831A" w14:textId="1E60190F" w:rsidR="00B449D0" w:rsidRDefault="00175344">
            <w:pPr>
              <w:pStyle w:val="SummaryMeasureTitlewithTheme"/>
            </w:pPr>
            <w:r>
              <w:t>Supporting Australia</w:t>
            </w:r>
            <w:r w:rsidR="00076D78">
              <w:t>’</w:t>
            </w:r>
            <w:r>
              <w:t>s Avian Influenza Preparedness and Response</w:t>
            </w:r>
          </w:p>
        </w:tc>
        <w:tc>
          <w:tcPr>
            <w:tcW w:w="850" w:type="dxa"/>
            <w:vAlign w:val="bottom"/>
          </w:tcPr>
          <w:p w14:paraId="2F425011" w14:textId="0C1AFBDD" w:rsidR="00B449D0" w:rsidRDefault="00076D78">
            <w:pPr>
              <w:pStyle w:val="Summarytabletextrightaligned"/>
            </w:pPr>
            <w:r>
              <w:noBreakHyphen/>
            </w:r>
          </w:p>
        </w:tc>
        <w:tc>
          <w:tcPr>
            <w:tcW w:w="850" w:type="dxa"/>
            <w:shd w:val="clear" w:color="auto" w:fill="E6F2FF"/>
            <w:vAlign w:val="bottom"/>
          </w:tcPr>
          <w:p w14:paraId="1E066AEE" w14:textId="77777777" w:rsidR="00B449D0" w:rsidRDefault="00175344">
            <w:pPr>
              <w:pStyle w:val="Summarytabletextrightaligned"/>
            </w:pPr>
            <w:r>
              <w:t>163.6</w:t>
            </w:r>
          </w:p>
        </w:tc>
        <w:tc>
          <w:tcPr>
            <w:tcW w:w="850" w:type="dxa"/>
            <w:vAlign w:val="bottom"/>
          </w:tcPr>
          <w:p w14:paraId="7740DC43" w14:textId="77777777" w:rsidR="00B449D0" w:rsidRDefault="00175344">
            <w:pPr>
              <w:pStyle w:val="Summarytabletextrightaligned"/>
            </w:pPr>
            <w:r>
              <w:t>3.0</w:t>
            </w:r>
          </w:p>
        </w:tc>
        <w:tc>
          <w:tcPr>
            <w:tcW w:w="850" w:type="dxa"/>
            <w:vAlign w:val="bottom"/>
          </w:tcPr>
          <w:p w14:paraId="0E4EF233" w14:textId="78D1B054" w:rsidR="00B449D0" w:rsidRDefault="00076D78">
            <w:pPr>
              <w:pStyle w:val="Summarytabletextrightaligned"/>
            </w:pPr>
            <w:r>
              <w:noBreakHyphen/>
            </w:r>
          </w:p>
        </w:tc>
        <w:tc>
          <w:tcPr>
            <w:tcW w:w="850" w:type="dxa"/>
            <w:vAlign w:val="bottom"/>
          </w:tcPr>
          <w:p w14:paraId="05AE4BBF" w14:textId="3A45955D" w:rsidR="00B449D0" w:rsidRDefault="00076D78">
            <w:pPr>
              <w:pStyle w:val="Summarytabletextrightaligned"/>
            </w:pPr>
            <w:r>
              <w:noBreakHyphen/>
            </w:r>
          </w:p>
        </w:tc>
      </w:tr>
      <w:tr w:rsidR="00B449D0" w14:paraId="78DBB0A3" w14:textId="77777777" w:rsidTr="7F762F0D">
        <w:tc>
          <w:tcPr>
            <w:tcW w:w="3471" w:type="dxa"/>
            <w:vAlign w:val="bottom"/>
          </w:tcPr>
          <w:p w14:paraId="35E1E272" w14:textId="77777777" w:rsidR="00B449D0" w:rsidRDefault="00175344">
            <w:pPr>
              <w:pStyle w:val="SummaryMeasureTitlewithTheme"/>
            </w:pPr>
            <w:r>
              <w:t>Supporting Aviation Priorities(b)</w:t>
            </w:r>
          </w:p>
        </w:tc>
        <w:tc>
          <w:tcPr>
            <w:tcW w:w="850" w:type="dxa"/>
            <w:vAlign w:val="bottom"/>
          </w:tcPr>
          <w:p w14:paraId="35B907FB" w14:textId="36AC8111" w:rsidR="00B449D0" w:rsidRDefault="00076D78">
            <w:pPr>
              <w:pStyle w:val="Summarytabletextrightaligned"/>
            </w:pPr>
            <w:r>
              <w:noBreakHyphen/>
            </w:r>
          </w:p>
        </w:tc>
        <w:tc>
          <w:tcPr>
            <w:tcW w:w="850" w:type="dxa"/>
            <w:shd w:val="clear" w:color="auto" w:fill="E6F2FF"/>
            <w:vAlign w:val="bottom"/>
          </w:tcPr>
          <w:p w14:paraId="1673F67D" w14:textId="77777777" w:rsidR="00B449D0" w:rsidRDefault="00175344">
            <w:pPr>
              <w:pStyle w:val="Summarytabletextrightaligned"/>
            </w:pPr>
            <w:r>
              <w:t>10.0</w:t>
            </w:r>
          </w:p>
        </w:tc>
        <w:tc>
          <w:tcPr>
            <w:tcW w:w="850" w:type="dxa"/>
            <w:vAlign w:val="bottom"/>
          </w:tcPr>
          <w:p w14:paraId="79C3C5C4" w14:textId="77777777" w:rsidR="00B449D0" w:rsidRDefault="00175344">
            <w:pPr>
              <w:pStyle w:val="Summarytabletextrightaligned"/>
            </w:pPr>
            <w:r>
              <w:t>6.2</w:t>
            </w:r>
          </w:p>
        </w:tc>
        <w:tc>
          <w:tcPr>
            <w:tcW w:w="850" w:type="dxa"/>
            <w:vAlign w:val="bottom"/>
          </w:tcPr>
          <w:p w14:paraId="6686DE6C" w14:textId="406F2283" w:rsidR="00B449D0" w:rsidRDefault="00076D78">
            <w:pPr>
              <w:pStyle w:val="Summarytabletextrightaligned"/>
            </w:pPr>
            <w:r>
              <w:noBreakHyphen/>
            </w:r>
          </w:p>
        </w:tc>
        <w:tc>
          <w:tcPr>
            <w:tcW w:w="850" w:type="dxa"/>
            <w:vAlign w:val="bottom"/>
          </w:tcPr>
          <w:p w14:paraId="5F0FB691" w14:textId="4B50BA12" w:rsidR="00B449D0" w:rsidRDefault="00076D78">
            <w:pPr>
              <w:pStyle w:val="Summarytabletextrightaligned"/>
            </w:pPr>
            <w:r>
              <w:noBreakHyphen/>
            </w:r>
          </w:p>
        </w:tc>
      </w:tr>
      <w:tr w:rsidR="00B449D0" w14:paraId="69F0ADCD" w14:textId="77777777" w:rsidTr="7F762F0D">
        <w:tc>
          <w:tcPr>
            <w:tcW w:w="3471" w:type="dxa"/>
            <w:vAlign w:val="bottom"/>
          </w:tcPr>
          <w:p w14:paraId="1F1466DC" w14:textId="77777777" w:rsidR="00B449D0" w:rsidRDefault="00175344">
            <w:pPr>
              <w:pStyle w:val="SummaryMeasureTitlewithTheme"/>
            </w:pPr>
            <w:r>
              <w:t>Supporting Connectivity</w:t>
            </w:r>
          </w:p>
        </w:tc>
        <w:tc>
          <w:tcPr>
            <w:tcW w:w="850" w:type="dxa"/>
            <w:vAlign w:val="bottom"/>
          </w:tcPr>
          <w:p w14:paraId="6CBAD352" w14:textId="3FB63DFE" w:rsidR="00B449D0" w:rsidRDefault="00076D78">
            <w:pPr>
              <w:pStyle w:val="Summarytabletextrightaligned"/>
            </w:pPr>
            <w:r>
              <w:noBreakHyphen/>
            </w:r>
          </w:p>
        </w:tc>
        <w:tc>
          <w:tcPr>
            <w:tcW w:w="850" w:type="dxa"/>
            <w:shd w:val="clear" w:color="auto" w:fill="E6F2FF"/>
            <w:vAlign w:val="bottom"/>
          </w:tcPr>
          <w:p w14:paraId="5649E2FB" w14:textId="77777777" w:rsidR="00B449D0" w:rsidRDefault="00175344">
            <w:pPr>
              <w:pStyle w:val="Summarytabletextrightaligned"/>
            </w:pPr>
            <w:r>
              <w:t>2.0</w:t>
            </w:r>
          </w:p>
        </w:tc>
        <w:tc>
          <w:tcPr>
            <w:tcW w:w="850" w:type="dxa"/>
            <w:vAlign w:val="bottom"/>
          </w:tcPr>
          <w:p w14:paraId="6B958A20" w14:textId="1E4B9E24" w:rsidR="00B449D0" w:rsidRDefault="00076D78">
            <w:pPr>
              <w:pStyle w:val="Summarytabletextrightaligned"/>
            </w:pPr>
            <w:r>
              <w:noBreakHyphen/>
            </w:r>
          </w:p>
        </w:tc>
        <w:tc>
          <w:tcPr>
            <w:tcW w:w="850" w:type="dxa"/>
            <w:vAlign w:val="bottom"/>
          </w:tcPr>
          <w:p w14:paraId="62E0F0BF" w14:textId="237CEEE4" w:rsidR="00B449D0" w:rsidRDefault="00076D78">
            <w:pPr>
              <w:pStyle w:val="Summarytabletextrightaligned"/>
            </w:pPr>
            <w:r>
              <w:noBreakHyphen/>
            </w:r>
          </w:p>
        </w:tc>
        <w:tc>
          <w:tcPr>
            <w:tcW w:w="850" w:type="dxa"/>
            <w:vAlign w:val="bottom"/>
          </w:tcPr>
          <w:p w14:paraId="6A80CACB" w14:textId="1F8BD036" w:rsidR="00B449D0" w:rsidRDefault="00076D78">
            <w:pPr>
              <w:pStyle w:val="Summarytabletextrightaligned"/>
            </w:pPr>
            <w:r>
              <w:noBreakHyphen/>
            </w:r>
          </w:p>
        </w:tc>
      </w:tr>
      <w:tr w:rsidR="00B449D0" w14:paraId="757A4753" w14:textId="77777777" w:rsidTr="7F762F0D">
        <w:tc>
          <w:tcPr>
            <w:tcW w:w="3471" w:type="dxa"/>
            <w:vAlign w:val="bottom"/>
          </w:tcPr>
          <w:p w14:paraId="51488C6E" w14:textId="77777777" w:rsidR="00B449D0" w:rsidRDefault="00175344">
            <w:pPr>
              <w:pStyle w:val="SummaryMeasureTitlewithTheme"/>
            </w:pPr>
            <w:r>
              <w:t>Supporting Education and Training for Defence Industry</w:t>
            </w:r>
          </w:p>
        </w:tc>
        <w:tc>
          <w:tcPr>
            <w:tcW w:w="850" w:type="dxa"/>
            <w:vAlign w:val="bottom"/>
          </w:tcPr>
          <w:p w14:paraId="67403492" w14:textId="36D1257A" w:rsidR="00B449D0" w:rsidRDefault="00076D78">
            <w:pPr>
              <w:pStyle w:val="Summarytabletextrightaligned"/>
            </w:pPr>
            <w:r>
              <w:noBreakHyphen/>
            </w:r>
          </w:p>
        </w:tc>
        <w:tc>
          <w:tcPr>
            <w:tcW w:w="850" w:type="dxa"/>
            <w:shd w:val="clear" w:color="auto" w:fill="E6F2FF"/>
            <w:vAlign w:val="bottom"/>
          </w:tcPr>
          <w:p w14:paraId="252DB25D" w14:textId="77777777" w:rsidR="00B449D0" w:rsidRDefault="00175344">
            <w:pPr>
              <w:pStyle w:val="Summarytabletextrightaligned"/>
            </w:pPr>
            <w:r>
              <w:t>1.0</w:t>
            </w:r>
          </w:p>
        </w:tc>
        <w:tc>
          <w:tcPr>
            <w:tcW w:w="850" w:type="dxa"/>
            <w:vAlign w:val="bottom"/>
          </w:tcPr>
          <w:p w14:paraId="65204DC9" w14:textId="1EC5024C" w:rsidR="00B449D0" w:rsidRDefault="00076D78">
            <w:pPr>
              <w:pStyle w:val="Summarytabletextrightaligned"/>
            </w:pPr>
            <w:r>
              <w:noBreakHyphen/>
            </w:r>
          </w:p>
        </w:tc>
        <w:tc>
          <w:tcPr>
            <w:tcW w:w="850" w:type="dxa"/>
            <w:vAlign w:val="bottom"/>
          </w:tcPr>
          <w:p w14:paraId="2354F41C" w14:textId="223D29D1" w:rsidR="00B449D0" w:rsidRDefault="00076D78">
            <w:pPr>
              <w:pStyle w:val="Summarytabletextrightaligned"/>
            </w:pPr>
            <w:r>
              <w:noBreakHyphen/>
            </w:r>
          </w:p>
        </w:tc>
        <w:tc>
          <w:tcPr>
            <w:tcW w:w="850" w:type="dxa"/>
            <w:vAlign w:val="bottom"/>
          </w:tcPr>
          <w:p w14:paraId="0D2592B8" w14:textId="272D1489" w:rsidR="00B449D0" w:rsidRDefault="00076D78">
            <w:pPr>
              <w:pStyle w:val="Summarytabletextrightaligned"/>
            </w:pPr>
            <w:r>
              <w:noBreakHyphen/>
            </w:r>
          </w:p>
        </w:tc>
      </w:tr>
      <w:tr w:rsidR="00B449D0" w14:paraId="6ED6608A" w14:textId="77777777" w:rsidTr="7F762F0D">
        <w:tc>
          <w:tcPr>
            <w:tcW w:w="3471" w:type="dxa"/>
            <w:vAlign w:val="bottom"/>
          </w:tcPr>
          <w:p w14:paraId="6F0F3AFA" w14:textId="77777777" w:rsidR="00B449D0" w:rsidRDefault="00175344">
            <w:pPr>
              <w:pStyle w:val="SummaryMeasureTitlewithTheme"/>
            </w:pPr>
            <w:r>
              <w:t>Supporting Safety and Remediation in the Resources Sector</w:t>
            </w:r>
          </w:p>
        </w:tc>
        <w:tc>
          <w:tcPr>
            <w:tcW w:w="850" w:type="dxa"/>
            <w:vAlign w:val="bottom"/>
          </w:tcPr>
          <w:p w14:paraId="36568487" w14:textId="5CE5109B" w:rsidR="00B449D0" w:rsidRDefault="00076D78">
            <w:pPr>
              <w:pStyle w:val="Summarytabletextrightaligned"/>
            </w:pPr>
            <w:r>
              <w:noBreakHyphen/>
            </w:r>
          </w:p>
        </w:tc>
        <w:tc>
          <w:tcPr>
            <w:tcW w:w="850" w:type="dxa"/>
            <w:shd w:val="clear" w:color="auto" w:fill="E6F2FF"/>
            <w:vAlign w:val="bottom"/>
          </w:tcPr>
          <w:p w14:paraId="302704B0" w14:textId="77777777" w:rsidR="00B449D0" w:rsidRDefault="00175344">
            <w:pPr>
              <w:pStyle w:val="Summarytabletextrightaligned"/>
            </w:pPr>
            <w:r w:rsidRPr="7F762F0D">
              <w:rPr>
                <w:lang w:val="en-US"/>
              </w:rPr>
              <w:t>nfp</w:t>
            </w:r>
          </w:p>
        </w:tc>
        <w:tc>
          <w:tcPr>
            <w:tcW w:w="850" w:type="dxa"/>
            <w:vAlign w:val="bottom"/>
          </w:tcPr>
          <w:p w14:paraId="63EB9F04" w14:textId="77777777" w:rsidR="00B449D0" w:rsidRDefault="00175344">
            <w:pPr>
              <w:pStyle w:val="Summarytabletextrightaligned"/>
            </w:pPr>
            <w:r w:rsidRPr="7F762F0D">
              <w:rPr>
                <w:lang w:val="en-US"/>
              </w:rPr>
              <w:t>nfp</w:t>
            </w:r>
          </w:p>
        </w:tc>
        <w:tc>
          <w:tcPr>
            <w:tcW w:w="850" w:type="dxa"/>
            <w:vAlign w:val="bottom"/>
          </w:tcPr>
          <w:p w14:paraId="61403671" w14:textId="77777777" w:rsidR="00B449D0" w:rsidRDefault="00175344">
            <w:pPr>
              <w:pStyle w:val="Summarytabletextrightaligned"/>
            </w:pPr>
            <w:r w:rsidRPr="7F762F0D">
              <w:rPr>
                <w:lang w:val="en-US"/>
              </w:rPr>
              <w:t>nfp</w:t>
            </w:r>
          </w:p>
        </w:tc>
        <w:tc>
          <w:tcPr>
            <w:tcW w:w="850" w:type="dxa"/>
            <w:vAlign w:val="bottom"/>
          </w:tcPr>
          <w:p w14:paraId="77756CA8" w14:textId="77777777" w:rsidR="00B449D0" w:rsidRDefault="00175344">
            <w:pPr>
              <w:pStyle w:val="Summarytabletextrightaligned"/>
            </w:pPr>
            <w:r w:rsidRPr="7F762F0D">
              <w:rPr>
                <w:lang w:val="en-US"/>
              </w:rPr>
              <w:t>nfp</w:t>
            </w:r>
          </w:p>
        </w:tc>
      </w:tr>
      <w:tr w:rsidR="00B449D0" w14:paraId="04A76534" w14:textId="77777777" w:rsidTr="7F762F0D">
        <w:tc>
          <w:tcPr>
            <w:tcW w:w="3471" w:type="dxa"/>
            <w:vAlign w:val="bottom"/>
          </w:tcPr>
          <w:p w14:paraId="3142838C" w14:textId="77777777" w:rsidR="00B449D0" w:rsidRDefault="00175344">
            <w:pPr>
              <w:pStyle w:val="SummaryMeasureTitlewithTheme"/>
            </w:pPr>
            <w:r>
              <w:t>Temporary Financial Assistance to the NSW Government for NSW Police Officers(b)</w:t>
            </w:r>
          </w:p>
        </w:tc>
        <w:tc>
          <w:tcPr>
            <w:tcW w:w="850" w:type="dxa"/>
            <w:vAlign w:val="bottom"/>
          </w:tcPr>
          <w:p w14:paraId="5FBD5D9C" w14:textId="522DB0AE" w:rsidR="00B449D0" w:rsidRDefault="00076D78">
            <w:pPr>
              <w:pStyle w:val="Summarytabletextrightaligned"/>
            </w:pPr>
            <w:r>
              <w:noBreakHyphen/>
            </w:r>
          </w:p>
        </w:tc>
        <w:tc>
          <w:tcPr>
            <w:tcW w:w="850" w:type="dxa"/>
            <w:shd w:val="clear" w:color="auto" w:fill="E6F2FF"/>
            <w:vAlign w:val="bottom"/>
          </w:tcPr>
          <w:p w14:paraId="7EBD1C02" w14:textId="77777777" w:rsidR="00B449D0" w:rsidRDefault="00175344">
            <w:pPr>
              <w:pStyle w:val="Summarytabletextrightaligned"/>
            </w:pPr>
            <w:r>
              <w:t>53.0</w:t>
            </w:r>
          </w:p>
        </w:tc>
        <w:tc>
          <w:tcPr>
            <w:tcW w:w="850" w:type="dxa"/>
            <w:vAlign w:val="bottom"/>
          </w:tcPr>
          <w:p w14:paraId="37E87FF9" w14:textId="77777777" w:rsidR="00B449D0" w:rsidRDefault="00175344">
            <w:pPr>
              <w:pStyle w:val="Summarytabletextrightaligned"/>
            </w:pPr>
            <w:r>
              <w:t>15.0</w:t>
            </w:r>
          </w:p>
        </w:tc>
        <w:tc>
          <w:tcPr>
            <w:tcW w:w="850" w:type="dxa"/>
            <w:vAlign w:val="bottom"/>
          </w:tcPr>
          <w:p w14:paraId="6D82480C" w14:textId="4ED15D2C" w:rsidR="00B449D0" w:rsidRDefault="00076D78">
            <w:pPr>
              <w:pStyle w:val="Summarytabletextrightaligned"/>
            </w:pPr>
            <w:r>
              <w:noBreakHyphen/>
            </w:r>
          </w:p>
        </w:tc>
        <w:tc>
          <w:tcPr>
            <w:tcW w:w="850" w:type="dxa"/>
            <w:vAlign w:val="bottom"/>
          </w:tcPr>
          <w:p w14:paraId="3A12F756" w14:textId="2B977C1E" w:rsidR="00B449D0" w:rsidRDefault="00076D78">
            <w:pPr>
              <w:pStyle w:val="Summarytabletextrightaligned"/>
            </w:pPr>
            <w:r>
              <w:noBreakHyphen/>
            </w:r>
          </w:p>
        </w:tc>
      </w:tr>
      <w:tr w:rsidR="00B449D0" w14:paraId="5C13B365" w14:textId="77777777" w:rsidTr="7F762F0D">
        <w:tc>
          <w:tcPr>
            <w:tcW w:w="3471" w:type="dxa"/>
            <w:vAlign w:val="bottom"/>
          </w:tcPr>
          <w:p w14:paraId="24E22FE5" w14:textId="77777777" w:rsidR="00B449D0" w:rsidRDefault="00175344">
            <w:pPr>
              <w:pStyle w:val="SummaryMeasureTitlewithTheme"/>
            </w:pPr>
            <w:r>
              <w:t>Treasury Portfolio – additional resourcing</w:t>
            </w:r>
          </w:p>
        </w:tc>
        <w:tc>
          <w:tcPr>
            <w:tcW w:w="850" w:type="dxa"/>
            <w:vAlign w:val="bottom"/>
          </w:tcPr>
          <w:p w14:paraId="145419EB" w14:textId="170B4375" w:rsidR="00B449D0" w:rsidRDefault="00076D78">
            <w:pPr>
              <w:pStyle w:val="Summarytabletextrightaligned"/>
            </w:pPr>
            <w:r>
              <w:noBreakHyphen/>
            </w:r>
          </w:p>
        </w:tc>
        <w:tc>
          <w:tcPr>
            <w:tcW w:w="850" w:type="dxa"/>
            <w:shd w:val="clear" w:color="auto" w:fill="E6F2FF"/>
            <w:vAlign w:val="bottom"/>
          </w:tcPr>
          <w:p w14:paraId="797308E9" w14:textId="588BE9DA" w:rsidR="00B449D0" w:rsidRDefault="00076D78">
            <w:pPr>
              <w:pStyle w:val="Summarytabletextrightaligned"/>
            </w:pPr>
            <w:r>
              <w:noBreakHyphen/>
            </w:r>
          </w:p>
        </w:tc>
        <w:tc>
          <w:tcPr>
            <w:tcW w:w="850" w:type="dxa"/>
            <w:vAlign w:val="bottom"/>
          </w:tcPr>
          <w:p w14:paraId="4D29C9DB" w14:textId="77777777" w:rsidR="00B449D0" w:rsidRDefault="00175344">
            <w:pPr>
              <w:pStyle w:val="Summarytabletextrightaligned"/>
            </w:pPr>
            <w:r>
              <w:t>2.0</w:t>
            </w:r>
          </w:p>
        </w:tc>
        <w:tc>
          <w:tcPr>
            <w:tcW w:w="850" w:type="dxa"/>
            <w:vAlign w:val="bottom"/>
          </w:tcPr>
          <w:p w14:paraId="5731B019" w14:textId="673C8A05" w:rsidR="00B449D0" w:rsidRDefault="00076D78">
            <w:pPr>
              <w:pStyle w:val="Summarytabletextrightaligned"/>
            </w:pPr>
            <w:r>
              <w:noBreakHyphen/>
            </w:r>
          </w:p>
        </w:tc>
        <w:tc>
          <w:tcPr>
            <w:tcW w:w="850" w:type="dxa"/>
            <w:vAlign w:val="bottom"/>
          </w:tcPr>
          <w:p w14:paraId="283D8B3F" w14:textId="2FDFAC86" w:rsidR="00B449D0" w:rsidRDefault="00076D78">
            <w:pPr>
              <w:pStyle w:val="Summarytabletextrightaligned"/>
            </w:pPr>
            <w:r>
              <w:noBreakHyphen/>
            </w:r>
          </w:p>
        </w:tc>
      </w:tr>
      <w:tr w:rsidR="00B449D0" w14:paraId="0EA2A863" w14:textId="77777777" w:rsidTr="7F762F0D">
        <w:tc>
          <w:tcPr>
            <w:tcW w:w="3471" w:type="dxa"/>
            <w:vAlign w:val="bottom"/>
          </w:tcPr>
          <w:p w14:paraId="7AD61CC7" w14:textId="77777777" w:rsidR="00B449D0" w:rsidRDefault="00175344">
            <w:pPr>
              <w:pStyle w:val="SummaryMeasureTitlewithTheme"/>
            </w:pPr>
            <w:r>
              <w:t>Vaping Regulation Reform Package</w:t>
            </w:r>
          </w:p>
        </w:tc>
        <w:tc>
          <w:tcPr>
            <w:tcW w:w="850" w:type="dxa"/>
            <w:vAlign w:val="bottom"/>
          </w:tcPr>
          <w:p w14:paraId="031AFE80" w14:textId="65250C13" w:rsidR="00B449D0" w:rsidRDefault="00076D78">
            <w:pPr>
              <w:pStyle w:val="Summarytabletextrightaligned"/>
            </w:pPr>
            <w:r>
              <w:noBreakHyphen/>
            </w:r>
          </w:p>
        </w:tc>
        <w:tc>
          <w:tcPr>
            <w:tcW w:w="850" w:type="dxa"/>
            <w:shd w:val="clear" w:color="auto" w:fill="E6F2FF"/>
            <w:vAlign w:val="bottom"/>
          </w:tcPr>
          <w:p w14:paraId="3DA21FE2" w14:textId="77777777" w:rsidR="00B449D0" w:rsidRDefault="00175344">
            <w:pPr>
              <w:pStyle w:val="Summarytabletextrightaligned"/>
            </w:pPr>
            <w:r>
              <w:t>1.0</w:t>
            </w:r>
          </w:p>
        </w:tc>
        <w:tc>
          <w:tcPr>
            <w:tcW w:w="850" w:type="dxa"/>
            <w:vAlign w:val="bottom"/>
          </w:tcPr>
          <w:p w14:paraId="0FAE0177" w14:textId="77777777" w:rsidR="00B449D0" w:rsidRDefault="00175344">
            <w:pPr>
              <w:pStyle w:val="Summarytabletextrightaligned"/>
            </w:pPr>
            <w:r>
              <w:t>1.0</w:t>
            </w:r>
          </w:p>
        </w:tc>
        <w:tc>
          <w:tcPr>
            <w:tcW w:w="850" w:type="dxa"/>
            <w:vAlign w:val="bottom"/>
          </w:tcPr>
          <w:p w14:paraId="217AECFA" w14:textId="7E57C861" w:rsidR="00B449D0" w:rsidRDefault="00076D78">
            <w:pPr>
              <w:pStyle w:val="Summarytabletextrightaligned"/>
            </w:pPr>
            <w:r>
              <w:noBreakHyphen/>
            </w:r>
          </w:p>
        </w:tc>
        <w:tc>
          <w:tcPr>
            <w:tcW w:w="850" w:type="dxa"/>
            <w:vAlign w:val="bottom"/>
          </w:tcPr>
          <w:p w14:paraId="03E1F5E3" w14:textId="42D7DB82" w:rsidR="00B449D0" w:rsidRDefault="00076D78">
            <w:pPr>
              <w:pStyle w:val="Summarytabletextrightaligned"/>
            </w:pPr>
            <w:r>
              <w:noBreakHyphen/>
            </w:r>
          </w:p>
        </w:tc>
      </w:tr>
      <w:tr w:rsidR="00B449D0" w14:paraId="0C9FCBD7" w14:textId="77777777" w:rsidTr="7F762F0D">
        <w:tc>
          <w:tcPr>
            <w:tcW w:w="3471" w:type="dxa"/>
            <w:vAlign w:val="bottom"/>
          </w:tcPr>
          <w:p w14:paraId="112283CF" w14:textId="77777777" w:rsidR="00B449D0" w:rsidRDefault="00175344">
            <w:pPr>
              <w:pStyle w:val="SummaryMeasureTitlewithTheme"/>
            </w:pPr>
            <w:r>
              <w:t>Workplace Relations – additional supports</w:t>
            </w:r>
          </w:p>
        </w:tc>
        <w:tc>
          <w:tcPr>
            <w:tcW w:w="850" w:type="dxa"/>
            <w:vAlign w:val="bottom"/>
          </w:tcPr>
          <w:p w14:paraId="74274542" w14:textId="7D09AF34" w:rsidR="00B449D0" w:rsidRDefault="00076D78">
            <w:pPr>
              <w:pStyle w:val="Summarytabletextrightaligned"/>
            </w:pPr>
            <w:r>
              <w:noBreakHyphen/>
            </w:r>
          </w:p>
        </w:tc>
        <w:tc>
          <w:tcPr>
            <w:tcW w:w="850" w:type="dxa"/>
            <w:shd w:val="clear" w:color="auto" w:fill="E6F2FF"/>
            <w:vAlign w:val="bottom"/>
          </w:tcPr>
          <w:p w14:paraId="2198E37F" w14:textId="77777777" w:rsidR="00B449D0" w:rsidRDefault="00175344">
            <w:pPr>
              <w:pStyle w:val="Summarytabletextrightaligned"/>
            </w:pPr>
            <w:r>
              <w:t>2.0</w:t>
            </w:r>
          </w:p>
        </w:tc>
        <w:tc>
          <w:tcPr>
            <w:tcW w:w="850" w:type="dxa"/>
            <w:vAlign w:val="bottom"/>
          </w:tcPr>
          <w:p w14:paraId="015C55FC" w14:textId="67F5B9D9" w:rsidR="00B449D0" w:rsidRDefault="00076D78">
            <w:pPr>
              <w:pStyle w:val="Summarytabletextrightaligned"/>
            </w:pPr>
            <w:r>
              <w:noBreakHyphen/>
            </w:r>
          </w:p>
        </w:tc>
        <w:tc>
          <w:tcPr>
            <w:tcW w:w="850" w:type="dxa"/>
            <w:vAlign w:val="bottom"/>
          </w:tcPr>
          <w:p w14:paraId="4E5B45AA" w14:textId="4A3DDAF2" w:rsidR="00B449D0" w:rsidRDefault="00076D78">
            <w:pPr>
              <w:pStyle w:val="Summarytabletextrightaligned"/>
            </w:pPr>
            <w:r>
              <w:noBreakHyphen/>
            </w:r>
          </w:p>
        </w:tc>
        <w:tc>
          <w:tcPr>
            <w:tcW w:w="850" w:type="dxa"/>
            <w:vAlign w:val="bottom"/>
          </w:tcPr>
          <w:p w14:paraId="1E8C6F8A" w14:textId="604D36BC" w:rsidR="00B449D0" w:rsidRDefault="00076D78">
            <w:pPr>
              <w:pStyle w:val="Summarytabletextrightaligned"/>
            </w:pPr>
            <w:r>
              <w:noBreakHyphen/>
            </w:r>
          </w:p>
        </w:tc>
      </w:tr>
      <w:tr w:rsidR="00B449D0" w14:paraId="615A28C5" w14:textId="77777777" w:rsidTr="7F762F0D">
        <w:tc>
          <w:tcPr>
            <w:tcW w:w="3471" w:type="dxa"/>
            <w:vAlign w:val="bottom"/>
          </w:tcPr>
          <w:p w14:paraId="695BAE40" w14:textId="77777777" w:rsidR="00B449D0" w:rsidRDefault="00175344">
            <w:pPr>
              <w:pStyle w:val="SummaryAgencyTitle-BP2"/>
            </w:pPr>
            <w:r>
              <w:t>Housing Australia</w:t>
            </w:r>
          </w:p>
        </w:tc>
        <w:tc>
          <w:tcPr>
            <w:tcW w:w="850" w:type="dxa"/>
          </w:tcPr>
          <w:p w14:paraId="7D38C176" w14:textId="77777777" w:rsidR="00B449D0" w:rsidRDefault="00B449D0">
            <w:pPr>
              <w:pStyle w:val="SummaryAgencyTitle-BP2"/>
            </w:pPr>
          </w:p>
        </w:tc>
        <w:tc>
          <w:tcPr>
            <w:tcW w:w="850" w:type="dxa"/>
            <w:shd w:val="clear" w:color="auto" w:fill="E6F2FF"/>
          </w:tcPr>
          <w:p w14:paraId="0562C182" w14:textId="77777777" w:rsidR="00B449D0" w:rsidRDefault="00B449D0">
            <w:pPr>
              <w:pStyle w:val="SummaryAgencyTitle-BP2"/>
            </w:pPr>
          </w:p>
        </w:tc>
        <w:tc>
          <w:tcPr>
            <w:tcW w:w="850" w:type="dxa"/>
          </w:tcPr>
          <w:p w14:paraId="38A65299" w14:textId="77777777" w:rsidR="00B449D0" w:rsidRDefault="00B449D0">
            <w:pPr>
              <w:pStyle w:val="SummaryAgencyTitle-BP2"/>
            </w:pPr>
          </w:p>
        </w:tc>
        <w:tc>
          <w:tcPr>
            <w:tcW w:w="850" w:type="dxa"/>
          </w:tcPr>
          <w:p w14:paraId="5FBB7E2A" w14:textId="77777777" w:rsidR="00B449D0" w:rsidRDefault="00B449D0">
            <w:pPr>
              <w:pStyle w:val="SummaryAgencyTitle-BP2"/>
            </w:pPr>
          </w:p>
        </w:tc>
        <w:tc>
          <w:tcPr>
            <w:tcW w:w="850" w:type="dxa"/>
          </w:tcPr>
          <w:p w14:paraId="36E3EF25" w14:textId="77777777" w:rsidR="00B449D0" w:rsidRDefault="00B449D0">
            <w:pPr>
              <w:pStyle w:val="SummaryAgencyTitle-BP2"/>
            </w:pPr>
          </w:p>
        </w:tc>
      </w:tr>
      <w:tr w:rsidR="00B449D0" w14:paraId="280B101A" w14:textId="77777777" w:rsidTr="7F762F0D">
        <w:tc>
          <w:tcPr>
            <w:tcW w:w="3471" w:type="dxa"/>
            <w:vAlign w:val="bottom"/>
          </w:tcPr>
          <w:p w14:paraId="5ADAEE99" w14:textId="77777777" w:rsidR="00B449D0" w:rsidRDefault="00175344">
            <w:pPr>
              <w:pStyle w:val="SummaryMeasureTitlewithTheme"/>
            </w:pPr>
            <w:r>
              <w:t>Housing Support</w:t>
            </w:r>
          </w:p>
        </w:tc>
        <w:tc>
          <w:tcPr>
            <w:tcW w:w="850" w:type="dxa"/>
            <w:vAlign w:val="bottom"/>
          </w:tcPr>
          <w:p w14:paraId="1C00460A" w14:textId="76F3290A" w:rsidR="00B449D0" w:rsidRDefault="00076D78">
            <w:pPr>
              <w:pStyle w:val="Summarytabletextrightaligned"/>
            </w:pPr>
            <w:r>
              <w:noBreakHyphen/>
            </w:r>
          </w:p>
        </w:tc>
        <w:tc>
          <w:tcPr>
            <w:tcW w:w="850" w:type="dxa"/>
            <w:shd w:val="clear" w:color="auto" w:fill="E6F2FF"/>
            <w:vAlign w:val="bottom"/>
          </w:tcPr>
          <w:p w14:paraId="518BBB08" w14:textId="77777777" w:rsidR="00B449D0" w:rsidRDefault="00175344">
            <w:pPr>
              <w:pStyle w:val="Summarytabletextrightaligned"/>
            </w:pPr>
            <w:r>
              <w:t>10.0</w:t>
            </w:r>
          </w:p>
        </w:tc>
        <w:tc>
          <w:tcPr>
            <w:tcW w:w="850" w:type="dxa"/>
            <w:vAlign w:val="bottom"/>
          </w:tcPr>
          <w:p w14:paraId="78931418" w14:textId="16A68110" w:rsidR="00B449D0" w:rsidRDefault="00076D78">
            <w:pPr>
              <w:pStyle w:val="Summarytabletextrightaligned"/>
            </w:pPr>
            <w:r>
              <w:noBreakHyphen/>
            </w:r>
          </w:p>
        </w:tc>
        <w:tc>
          <w:tcPr>
            <w:tcW w:w="850" w:type="dxa"/>
            <w:vAlign w:val="bottom"/>
          </w:tcPr>
          <w:p w14:paraId="3D76D607" w14:textId="22F19EAB" w:rsidR="00B449D0" w:rsidRDefault="00076D78">
            <w:pPr>
              <w:pStyle w:val="Summarytabletextrightaligned"/>
            </w:pPr>
            <w:r>
              <w:noBreakHyphen/>
            </w:r>
          </w:p>
        </w:tc>
        <w:tc>
          <w:tcPr>
            <w:tcW w:w="850" w:type="dxa"/>
            <w:vAlign w:val="bottom"/>
          </w:tcPr>
          <w:p w14:paraId="12FDA762" w14:textId="5E3DF76A" w:rsidR="00B449D0" w:rsidRDefault="00076D78">
            <w:pPr>
              <w:pStyle w:val="Summarytabletextrightaligned"/>
            </w:pPr>
            <w:r>
              <w:noBreakHyphen/>
            </w:r>
          </w:p>
        </w:tc>
      </w:tr>
      <w:tr w:rsidR="00B449D0" w14:paraId="38240E2C" w14:textId="77777777" w:rsidTr="7F762F0D">
        <w:tc>
          <w:tcPr>
            <w:tcW w:w="3471" w:type="dxa"/>
            <w:vAlign w:val="bottom"/>
          </w:tcPr>
          <w:p w14:paraId="4B758372" w14:textId="77777777" w:rsidR="00B449D0" w:rsidRDefault="00175344">
            <w:pPr>
              <w:pStyle w:val="Summarytabletextleftalignedbold"/>
            </w:pPr>
            <w:r>
              <w:t>Portfolio total</w:t>
            </w:r>
          </w:p>
        </w:tc>
        <w:tc>
          <w:tcPr>
            <w:tcW w:w="850" w:type="dxa"/>
            <w:tcBorders>
              <w:top w:val="single" w:sz="4" w:space="0" w:color="000000" w:themeColor="text1"/>
              <w:bottom w:val="single" w:sz="4" w:space="0" w:color="000000" w:themeColor="text1"/>
            </w:tcBorders>
            <w:vAlign w:val="bottom"/>
          </w:tcPr>
          <w:p w14:paraId="7640899F" w14:textId="3FA540CE" w:rsidR="00B449D0" w:rsidRDefault="00076D78">
            <w:pPr>
              <w:pStyle w:val="Summarytabletextrightalignedbold"/>
            </w:pPr>
            <w:r>
              <w:noBreakHyphen/>
            </w:r>
          </w:p>
        </w:tc>
        <w:tc>
          <w:tcPr>
            <w:tcW w:w="850" w:type="dxa"/>
            <w:tcBorders>
              <w:top w:val="single" w:sz="4" w:space="0" w:color="000000" w:themeColor="text1"/>
              <w:bottom w:val="single" w:sz="4" w:space="0" w:color="000000" w:themeColor="text1"/>
            </w:tcBorders>
            <w:shd w:val="clear" w:color="auto" w:fill="E6F2FF"/>
            <w:vAlign w:val="bottom"/>
          </w:tcPr>
          <w:p w14:paraId="24EC9778" w14:textId="77777777" w:rsidR="00B449D0" w:rsidRDefault="00175344">
            <w:pPr>
              <w:pStyle w:val="Summarytabletextrightalignedbold"/>
            </w:pPr>
            <w:r>
              <w:t>728.2</w:t>
            </w:r>
          </w:p>
        </w:tc>
        <w:tc>
          <w:tcPr>
            <w:tcW w:w="850" w:type="dxa"/>
            <w:tcBorders>
              <w:top w:val="single" w:sz="4" w:space="0" w:color="000000" w:themeColor="text1"/>
              <w:bottom w:val="single" w:sz="4" w:space="0" w:color="000000" w:themeColor="text1"/>
            </w:tcBorders>
            <w:vAlign w:val="bottom"/>
          </w:tcPr>
          <w:p w14:paraId="237B9011" w14:textId="77777777" w:rsidR="00B449D0" w:rsidRDefault="00175344">
            <w:pPr>
              <w:pStyle w:val="Summarytabletextrightalignedbold"/>
            </w:pPr>
            <w:r>
              <w:t>922.6</w:t>
            </w:r>
          </w:p>
        </w:tc>
        <w:tc>
          <w:tcPr>
            <w:tcW w:w="850" w:type="dxa"/>
            <w:tcBorders>
              <w:top w:val="single" w:sz="4" w:space="0" w:color="000000" w:themeColor="text1"/>
              <w:bottom w:val="single" w:sz="4" w:space="0" w:color="000000" w:themeColor="text1"/>
            </w:tcBorders>
            <w:vAlign w:val="bottom"/>
          </w:tcPr>
          <w:p w14:paraId="56529BDD" w14:textId="77777777" w:rsidR="00B449D0" w:rsidRDefault="00175344">
            <w:pPr>
              <w:pStyle w:val="Summarytabletextrightalignedbold"/>
            </w:pPr>
            <w:r>
              <w:t>1,030.0</w:t>
            </w:r>
          </w:p>
        </w:tc>
        <w:tc>
          <w:tcPr>
            <w:tcW w:w="850" w:type="dxa"/>
            <w:tcBorders>
              <w:top w:val="single" w:sz="4" w:space="0" w:color="000000" w:themeColor="text1"/>
              <w:bottom w:val="single" w:sz="4" w:space="0" w:color="000000" w:themeColor="text1"/>
            </w:tcBorders>
            <w:vAlign w:val="bottom"/>
          </w:tcPr>
          <w:p w14:paraId="3A325643" w14:textId="77777777" w:rsidR="00B449D0" w:rsidRDefault="00175344">
            <w:pPr>
              <w:pStyle w:val="Summarytabletextrightalignedbold"/>
            </w:pPr>
            <w:r>
              <w:t>865.7</w:t>
            </w:r>
          </w:p>
        </w:tc>
      </w:tr>
      <w:tr w:rsidR="00B449D0" w14:paraId="4A6622EA" w14:textId="77777777" w:rsidTr="7F762F0D">
        <w:tc>
          <w:tcPr>
            <w:tcW w:w="3471" w:type="dxa"/>
            <w:vAlign w:val="bottom"/>
          </w:tcPr>
          <w:p w14:paraId="5A4092E9" w14:textId="09AB7062" w:rsidR="00B449D0" w:rsidRDefault="00175344">
            <w:pPr>
              <w:pStyle w:val="Summarytabletextleftalignedbold"/>
            </w:pPr>
            <w:r>
              <w:t>Decisions taken but not yet announced</w:t>
            </w:r>
            <w:r w:rsidR="00C50BBD">
              <w:t xml:space="preserve"> and not for publication (nfp) </w:t>
            </w:r>
            <w:r>
              <w:t>(c)</w:t>
            </w:r>
          </w:p>
        </w:tc>
        <w:tc>
          <w:tcPr>
            <w:tcW w:w="850" w:type="dxa"/>
            <w:tcBorders>
              <w:top w:val="single" w:sz="4" w:space="0" w:color="000000" w:themeColor="text1"/>
              <w:bottom w:val="single" w:sz="4" w:space="0" w:color="000000" w:themeColor="text1"/>
            </w:tcBorders>
            <w:vAlign w:val="bottom"/>
          </w:tcPr>
          <w:p w14:paraId="7A50E82E" w14:textId="31466BC9" w:rsidR="00B449D0" w:rsidRDefault="00076D78">
            <w:pPr>
              <w:pStyle w:val="Summarytabletextrightalignedbold"/>
            </w:pPr>
            <w:r>
              <w:noBreakHyphen/>
            </w:r>
            <w:r w:rsidR="00C50BBD">
              <w:t>4.0</w:t>
            </w:r>
          </w:p>
        </w:tc>
        <w:tc>
          <w:tcPr>
            <w:tcW w:w="850" w:type="dxa"/>
            <w:tcBorders>
              <w:top w:val="single" w:sz="4" w:space="0" w:color="000000" w:themeColor="text1"/>
              <w:bottom w:val="single" w:sz="4" w:space="0" w:color="000000" w:themeColor="text1"/>
            </w:tcBorders>
            <w:shd w:val="clear" w:color="auto" w:fill="E6F2FF"/>
            <w:vAlign w:val="bottom"/>
          </w:tcPr>
          <w:p w14:paraId="0CE8305D" w14:textId="77777777" w:rsidR="00B449D0" w:rsidRDefault="00175344">
            <w:pPr>
              <w:pStyle w:val="Summarytabletextrightalignedbold"/>
            </w:pPr>
            <w:r>
              <w:t>218.6</w:t>
            </w:r>
          </w:p>
        </w:tc>
        <w:tc>
          <w:tcPr>
            <w:tcW w:w="850" w:type="dxa"/>
            <w:tcBorders>
              <w:top w:val="single" w:sz="4" w:space="0" w:color="000000" w:themeColor="text1"/>
              <w:bottom w:val="single" w:sz="4" w:space="0" w:color="000000" w:themeColor="text1"/>
            </w:tcBorders>
            <w:vAlign w:val="bottom"/>
          </w:tcPr>
          <w:p w14:paraId="429418CE" w14:textId="77777777" w:rsidR="00B449D0" w:rsidRDefault="00175344">
            <w:pPr>
              <w:pStyle w:val="Summarytabletextrightalignedbold"/>
            </w:pPr>
            <w:r>
              <w:t>828.1</w:t>
            </w:r>
          </w:p>
        </w:tc>
        <w:tc>
          <w:tcPr>
            <w:tcW w:w="850" w:type="dxa"/>
            <w:tcBorders>
              <w:top w:val="single" w:sz="4" w:space="0" w:color="000000" w:themeColor="text1"/>
              <w:bottom w:val="single" w:sz="4" w:space="0" w:color="000000" w:themeColor="text1"/>
            </w:tcBorders>
            <w:vAlign w:val="bottom"/>
          </w:tcPr>
          <w:p w14:paraId="46887971" w14:textId="77777777" w:rsidR="00B449D0" w:rsidRDefault="00175344">
            <w:pPr>
              <w:pStyle w:val="Summarytabletextrightalignedbold"/>
            </w:pPr>
            <w:r>
              <w:t>1,187.3</w:t>
            </w:r>
          </w:p>
        </w:tc>
        <w:tc>
          <w:tcPr>
            <w:tcW w:w="850" w:type="dxa"/>
            <w:tcBorders>
              <w:top w:val="single" w:sz="4" w:space="0" w:color="000000" w:themeColor="text1"/>
              <w:bottom w:val="single" w:sz="4" w:space="0" w:color="000000" w:themeColor="text1"/>
            </w:tcBorders>
            <w:vAlign w:val="bottom"/>
          </w:tcPr>
          <w:p w14:paraId="7CA7BF63" w14:textId="77777777" w:rsidR="00B449D0" w:rsidRDefault="00175344">
            <w:pPr>
              <w:pStyle w:val="Summarytabletextrightalignedbold"/>
            </w:pPr>
            <w:r>
              <w:t>3,321.6</w:t>
            </w:r>
          </w:p>
        </w:tc>
      </w:tr>
      <w:tr w:rsidR="00B449D0" w14:paraId="59710514" w14:textId="77777777" w:rsidTr="7F762F0D">
        <w:tc>
          <w:tcPr>
            <w:tcW w:w="3471" w:type="dxa"/>
            <w:tcBorders>
              <w:bottom w:val="single" w:sz="4" w:space="0" w:color="000000" w:themeColor="text1"/>
            </w:tcBorders>
            <w:vAlign w:val="bottom"/>
          </w:tcPr>
          <w:p w14:paraId="4B563EDA" w14:textId="77777777" w:rsidR="00B449D0" w:rsidRDefault="00175344">
            <w:pPr>
              <w:pStyle w:val="Summarytabletextleftalignedbold"/>
            </w:pPr>
            <w:r>
              <w:t>Total impact of payment measures(d)</w:t>
            </w:r>
          </w:p>
        </w:tc>
        <w:tc>
          <w:tcPr>
            <w:tcW w:w="850" w:type="dxa"/>
            <w:tcBorders>
              <w:top w:val="single" w:sz="4" w:space="0" w:color="000000" w:themeColor="text1"/>
              <w:bottom w:val="single" w:sz="4" w:space="0" w:color="000000" w:themeColor="text1"/>
            </w:tcBorders>
            <w:vAlign w:val="bottom"/>
          </w:tcPr>
          <w:p w14:paraId="46B614DA" w14:textId="2E042533" w:rsidR="00B449D0" w:rsidRDefault="00C50BBD">
            <w:pPr>
              <w:pStyle w:val="Summarytabletextrightalignedbold"/>
            </w:pPr>
            <w:r>
              <w:t>0</w:t>
            </w:r>
            <w:r w:rsidR="00175344">
              <w:t>.4</w:t>
            </w:r>
          </w:p>
        </w:tc>
        <w:tc>
          <w:tcPr>
            <w:tcW w:w="850" w:type="dxa"/>
            <w:tcBorders>
              <w:top w:val="single" w:sz="4" w:space="0" w:color="000000" w:themeColor="text1"/>
              <w:bottom w:val="single" w:sz="4" w:space="0" w:color="000000" w:themeColor="text1"/>
            </w:tcBorders>
            <w:shd w:val="clear" w:color="auto" w:fill="E6F2FF"/>
            <w:vAlign w:val="bottom"/>
          </w:tcPr>
          <w:p w14:paraId="524AB900" w14:textId="77777777" w:rsidR="00B449D0" w:rsidRDefault="00175344">
            <w:pPr>
              <w:pStyle w:val="Summarytabletextrightalignedbold"/>
            </w:pPr>
            <w:r>
              <w:t>2,466.0</w:t>
            </w:r>
          </w:p>
        </w:tc>
        <w:tc>
          <w:tcPr>
            <w:tcW w:w="850" w:type="dxa"/>
            <w:tcBorders>
              <w:top w:val="single" w:sz="4" w:space="0" w:color="000000" w:themeColor="text1"/>
              <w:bottom w:val="single" w:sz="4" w:space="0" w:color="000000" w:themeColor="text1"/>
            </w:tcBorders>
            <w:vAlign w:val="bottom"/>
          </w:tcPr>
          <w:p w14:paraId="17A80B9F" w14:textId="77777777" w:rsidR="00B449D0" w:rsidRDefault="00175344">
            <w:pPr>
              <w:pStyle w:val="Summarytabletextrightalignedbold"/>
            </w:pPr>
            <w:r>
              <w:t>8,556.6</w:t>
            </w:r>
          </w:p>
        </w:tc>
        <w:tc>
          <w:tcPr>
            <w:tcW w:w="850" w:type="dxa"/>
            <w:tcBorders>
              <w:top w:val="single" w:sz="4" w:space="0" w:color="000000" w:themeColor="text1"/>
              <w:bottom w:val="single" w:sz="4" w:space="0" w:color="000000" w:themeColor="text1"/>
            </w:tcBorders>
            <w:vAlign w:val="bottom"/>
          </w:tcPr>
          <w:p w14:paraId="24D28557" w14:textId="77777777" w:rsidR="00B449D0" w:rsidRDefault="00175344">
            <w:pPr>
              <w:pStyle w:val="Summarytabletextrightalignedbold"/>
            </w:pPr>
            <w:r>
              <w:t>5,175.4</w:t>
            </w:r>
          </w:p>
        </w:tc>
        <w:tc>
          <w:tcPr>
            <w:tcW w:w="850" w:type="dxa"/>
            <w:tcBorders>
              <w:top w:val="single" w:sz="4" w:space="0" w:color="000000" w:themeColor="text1"/>
              <w:bottom w:val="single" w:sz="4" w:space="0" w:color="000000" w:themeColor="text1"/>
            </w:tcBorders>
            <w:vAlign w:val="bottom"/>
          </w:tcPr>
          <w:p w14:paraId="3B522562" w14:textId="77777777" w:rsidR="00B449D0" w:rsidRDefault="00175344">
            <w:pPr>
              <w:pStyle w:val="Summarytabletextrightalignedbold"/>
            </w:pPr>
            <w:r>
              <w:t>2,919.8</w:t>
            </w:r>
          </w:p>
        </w:tc>
      </w:tr>
    </w:tbl>
    <w:p w14:paraId="01E3CB55" w14:textId="77777777" w:rsidR="004F71CE" w:rsidRPr="004F71CE" w:rsidRDefault="004F71CE" w:rsidP="004F71CE">
      <w:pPr>
        <w:pStyle w:val="ChartandTableFootnote"/>
      </w:pPr>
      <w:r w:rsidRPr="004F71CE">
        <w:t>*</w:t>
      </w:r>
      <w:r w:rsidRPr="004F71CE">
        <w:tab/>
        <w:t>The nature of the measure is such that a reliable estimate cannot be provided.</w:t>
      </w:r>
    </w:p>
    <w:p w14:paraId="1AFC24A4" w14:textId="77777777" w:rsidR="004F71CE" w:rsidRPr="004F71CE" w:rsidRDefault="004F71CE" w:rsidP="004F71CE">
      <w:pPr>
        <w:pStyle w:val="ChartandTableFootnote"/>
      </w:pPr>
      <w:r w:rsidRPr="004F71CE">
        <w:t>..</w:t>
      </w:r>
      <w:r w:rsidRPr="004F71CE">
        <w:tab/>
        <w:t>Not zero, but rounded to zero.</w:t>
      </w:r>
    </w:p>
    <w:p w14:paraId="56167A3A" w14:textId="5D4D3FCF" w:rsidR="004F71CE" w:rsidRPr="004F71CE" w:rsidRDefault="00076D78" w:rsidP="004F71CE">
      <w:pPr>
        <w:pStyle w:val="ChartandTableFootnote"/>
      </w:pPr>
      <w:r>
        <w:noBreakHyphen/>
      </w:r>
      <w:r w:rsidR="004F71CE" w:rsidRPr="004F71CE">
        <w:tab/>
        <w:t>Nil.</w:t>
      </w:r>
    </w:p>
    <w:p w14:paraId="55B7475C" w14:textId="375BDAF6" w:rsidR="004F71CE" w:rsidRPr="004F71CE" w:rsidRDefault="004F71CE" w:rsidP="004F71CE">
      <w:pPr>
        <w:pStyle w:val="ChartandTableFootnote"/>
      </w:pPr>
      <w:r w:rsidRPr="004F71CE">
        <w:t>nfp</w:t>
      </w:r>
      <w:r w:rsidRPr="004F71CE">
        <w:tab/>
        <w:t>not for publication.</w:t>
      </w:r>
    </w:p>
    <w:p w14:paraId="76E59089" w14:textId="67B3AA52" w:rsidR="00B449D0" w:rsidRDefault="00175344" w:rsidP="004333EA">
      <w:pPr>
        <w:pStyle w:val="ChartandTableFootnoteAlpha"/>
        <w:numPr>
          <w:ilvl w:val="0"/>
          <w:numId w:val="40"/>
        </w:numPr>
      </w:pPr>
      <w:r w:rsidRPr="7F762F0D">
        <w:t>A minus sign before an estimate indicates a reduction in payments, no sign before an estimate indicates increased payments.</w:t>
      </w:r>
    </w:p>
    <w:p w14:paraId="5FE6C384" w14:textId="204C58BA" w:rsidR="00B449D0" w:rsidRDefault="00175344" w:rsidP="00577007">
      <w:pPr>
        <w:pStyle w:val="ChartandTableFootnoteAlpha"/>
      </w:pPr>
      <w:r>
        <w:t>These measures can also be found in the receipt measures summary table.</w:t>
      </w:r>
    </w:p>
    <w:p w14:paraId="32E78096" w14:textId="1D4A2623" w:rsidR="00B449D0" w:rsidRDefault="00175344" w:rsidP="00577007">
      <w:pPr>
        <w:pStyle w:val="ChartandTableFootnoteAlpha"/>
      </w:pPr>
      <w:r w:rsidRPr="7F762F0D">
        <w:t>Includes the impact of measures that are not for publication (nfp).</w:t>
      </w:r>
    </w:p>
    <w:p w14:paraId="763CC7F7" w14:textId="0E36CAA5" w:rsidR="00B449D0" w:rsidRDefault="00175344" w:rsidP="00577007">
      <w:pPr>
        <w:pStyle w:val="ChartandTableFootnoteAlpha"/>
      </w:pPr>
      <w:r>
        <w:t>Measures may not add due to rounding.</w:t>
      </w:r>
    </w:p>
    <w:p w14:paraId="37E10A54" w14:textId="77777777" w:rsidR="00A72877" w:rsidRPr="00A72877" w:rsidRDefault="00A72877" w:rsidP="00A72877">
      <w:pPr>
        <w:pBdr>
          <w:bottom w:val="single" w:sz="4" w:space="2" w:color="626A77"/>
        </w:pBdr>
        <w:autoSpaceDE/>
        <w:autoSpaceDN/>
        <w:adjustRightInd/>
        <w:spacing w:after="240"/>
        <w:rPr>
          <w:rFonts w:ascii="Book Antiqua" w:hAnsi="Book Antiqua" w:cs="Times New Roman"/>
          <w:noProof/>
          <w:sz w:val="4"/>
          <w:szCs w:val="4"/>
          <w:lang w:val="en-AU"/>
        </w:rPr>
      </w:pPr>
    </w:p>
    <w:p w14:paraId="77CB0CDC" w14:textId="77777777" w:rsidR="00B449D0" w:rsidRDefault="00B449D0" w:rsidP="009F634E">
      <w:pPr>
        <w:pStyle w:val="SingleParagraph0"/>
      </w:pPr>
    </w:p>
    <w:p w14:paraId="14D047E4" w14:textId="77777777" w:rsidR="009F634E" w:rsidRDefault="009F634E" w:rsidP="009F634E">
      <w:pPr>
        <w:pStyle w:val="SingleParagraph0"/>
        <w:sectPr w:rsidR="009F634E" w:rsidSect="00301E48">
          <w:pgSz w:w="11906" w:h="16838"/>
          <w:pgMar w:top="2835" w:right="2098" w:bottom="2466" w:left="2098" w:header="1814" w:footer="1814" w:gutter="0"/>
          <w:cols w:space="720"/>
          <w:docGrid w:linePitch="272"/>
        </w:sectPr>
      </w:pPr>
    </w:p>
    <w:p w14:paraId="1562C4BB" w14:textId="77777777" w:rsidR="00B449D0" w:rsidRDefault="00175344">
      <w:pPr>
        <w:pStyle w:val="PortfolioName"/>
      </w:pPr>
      <w:r>
        <w:lastRenderedPageBreak/>
        <w:t>Agriculture, Fisheries and Forestry</w:t>
      </w:r>
    </w:p>
    <w:p w14:paraId="0921F7AE" w14:textId="77777777" w:rsidR="00B449D0" w:rsidRDefault="00175344">
      <w:pPr>
        <w:pStyle w:val="MeasureTitle"/>
      </w:pPr>
      <w:r w:rsidRPr="7F762F0D">
        <w:rPr>
          <w:lang w:val="en-US"/>
        </w:rPr>
        <w:t>Phase Out of Live Sheep Exports by Sea – additional transition support</w:t>
      </w:r>
    </w:p>
    <w:p w14:paraId="77277518"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296DF7CA" w14:textId="77777777">
        <w:trPr>
          <w:cantSplit/>
        </w:trPr>
        <w:tc>
          <w:tcPr>
            <w:tcW w:w="2494" w:type="dxa"/>
            <w:tcBorders>
              <w:top w:val="single" w:sz="4" w:space="0" w:color="000000"/>
              <w:bottom w:val="single" w:sz="4" w:space="0" w:color="000000"/>
            </w:tcBorders>
          </w:tcPr>
          <w:p w14:paraId="3FC42456" w14:textId="77777777" w:rsidR="00B449D0" w:rsidRDefault="00B449D0">
            <w:pPr>
              <w:pStyle w:val="MeasureTableYearHeadings"/>
              <w:keepNext/>
            </w:pPr>
          </w:p>
        </w:tc>
        <w:tc>
          <w:tcPr>
            <w:tcW w:w="1043" w:type="dxa"/>
            <w:tcBorders>
              <w:top w:val="single" w:sz="4" w:space="0" w:color="000000"/>
              <w:bottom w:val="single" w:sz="4" w:space="0" w:color="000000"/>
            </w:tcBorders>
          </w:tcPr>
          <w:p w14:paraId="62B2D294" w14:textId="4758CA45"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014561B8" w14:textId="2C581729"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5DC27D2D" w14:textId="4416A7EB"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0948FD12" w14:textId="68641B6C"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502152B0" w14:textId="4A5FC135" w:rsidR="00B449D0" w:rsidRDefault="00175344">
            <w:pPr>
              <w:pStyle w:val="MeasureTableYearHeadings"/>
              <w:keepNext/>
            </w:pPr>
            <w:r>
              <w:t>2027</w:t>
            </w:r>
            <w:r w:rsidR="00076D78">
              <w:noBreakHyphen/>
            </w:r>
            <w:r>
              <w:t>28</w:t>
            </w:r>
          </w:p>
        </w:tc>
      </w:tr>
      <w:tr w:rsidR="00B449D0" w14:paraId="1275A968" w14:textId="77777777">
        <w:trPr>
          <w:cantSplit/>
        </w:trPr>
        <w:tc>
          <w:tcPr>
            <w:tcW w:w="2494" w:type="dxa"/>
            <w:tcBorders>
              <w:top w:val="single" w:sz="4" w:space="0" w:color="000000"/>
              <w:bottom w:val="single" w:sz="4" w:space="0" w:color="000000"/>
            </w:tcBorders>
          </w:tcPr>
          <w:p w14:paraId="7AC7CFA7" w14:textId="77777777" w:rsidR="00B449D0" w:rsidRDefault="00175344">
            <w:pPr>
              <w:pStyle w:val="MeasureTableHeadingleftalignedwith2ptsspacing"/>
              <w:keepNext/>
            </w:pPr>
            <w:r>
              <w:t>Department of Agriculture, Fisheries and Forestry</w:t>
            </w:r>
          </w:p>
        </w:tc>
        <w:tc>
          <w:tcPr>
            <w:tcW w:w="1043" w:type="dxa"/>
            <w:tcBorders>
              <w:top w:val="single" w:sz="4" w:space="0" w:color="000000"/>
              <w:bottom w:val="single" w:sz="4" w:space="0" w:color="000000"/>
            </w:tcBorders>
          </w:tcPr>
          <w:p w14:paraId="5E76409D" w14:textId="1EFE204A"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999A61E" w14:textId="4D976075"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686B9FF" w14:textId="44280A20"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99A3118" w14:textId="17F4309D"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B5A4E2B" w14:textId="3D90BAF4" w:rsidR="00B449D0" w:rsidRDefault="00076D78">
            <w:pPr>
              <w:pStyle w:val="MeasureTableDataRightAlignedwith2ptsspacing"/>
              <w:keepNext/>
            </w:pPr>
            <w:r>
              <w:noBreakHyphen/>
            </w:r>
          </w:p>
        </w:tc>
      </w:tr>
      <w:tr w:rsidR="00B449D0" w14:paraId="5FE76FEF" w14:textId="77777777">
        <w:trPr>
          <w:cantSplit/>
        </w:trPr>
        <w:tc>
          <w:tcPr>
            <w:tcW w:w="2494" w:type="dxa"/>
            <w:tcBorders>
              <w:top w:val="single" w:sz="4" w:space="0" w:color="000000"/>
              <w:bottom w:val="single" w:sz="4" w:space="0" w:color="000000"/>
            </w:tcBorders>
          </w:tcPr>
          <w:p w14:paraId="46F0AFD5" w14:textId="77777777" w:rsidR="00B449D0" w:rsidRDefault="00175344">
            <w:pPr>
              <w:pStyle w:val="MeasureTableHeadingleftalignedwith2ptsspacing"/>
              <w:keepNext/>
            </w:pPr>
            <w:r>
              <w:t>Department of the Treasury</w:t>
            </w:r>
          </w:p>
        </w:tc>
        <w:tc>
          <w:tcPr>
            <w:tcW w:w="1043" w:type="dxa"/>
            <w:tcBorders>
              <w:top w:val="single" w:sz="4" w:space="0" w:color="000000"/>
              <w:bottom w:val="single" w:sz="4" w:space="0" w:color="000000"/>
            </w:tcBorders>
          </w:tcPr>
          <w:p w14:paraId="1A9648EF" w14:textId="461F1F3D"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278C867" w14:textId="5D2D8466"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EACC726" w14:textId="60D7DE89"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560CB55" w14:textId="755E39B8"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6D653D24" w14:textId="3C910766" w:rsidR="00B449D0" w:rsidRDefault="00076D78">
            <w:pPr>
              <w:pStyle w:val="MeasureTableDataRightAlignedwith2ptsspacing"/>
              <w:keepNext/>
            </w:pPr>
            <w:r>
              <w:noBreakHyphen/>
            </w:r>
          </w:p>
        </w:tc>
      </w:tr>
      <w:tr w:rsidR="00B449D0" w14:paraId="0F33FFC4" w14:textId="77777777">
        <w:trPr>
          <w:cantSplit/>
        </w:trPr>
        <w:tc>
          <w:tcPr>
            <w:tcW w:w="2494" w:type="dxa"/>
            <w:tcBorders>
              <w:top w:val="single" w:sz="4" w:space="0" w:color="000000"/>
              <w:bottom w:val="single" w:sz="4" w:space="0" w:color="000000"/>
            </w:tcBorders>
          </w:tcPr>
          <w:p w14:paraId="4CBE065B"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3106A56E" w14:textId="7BE44BB2"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670534AA" w14:textId="2036B292"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4DC25771" w14:textId="1603AB7C"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33A1634B" w14:textId="2E5C8532"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516AF489" w14:textId="65B56447" w:rsidR="00B449D0" w:rsidRDefault="00076D78">
            <w:pPr>
              <w:pStyle w:val="Totaldatarowrightaligned"/>
              <w:keepNext/>
            </w:pPr>
            <w:r>
              <w:noBreakHyphen/>
            </w:r>
          </w:p>
        </w:tc>
      </w:tr>
    </w:tbl>
    <w:p w14:paraId="58E7CD6E" w14:textId="77777777" w:rsidR="00B449D0" w:rsidRPr="00ED3A9B" w:rsidRDefault="00B449D0" w:rsidP="00380A42">
      <w:pPr>
        <w:pStyle w:val="SingleParagraph0"/>
      </w:pPr>
    </w:p>
    <w:p w14:paraId="4FC0DCE3" w14:textId="77777777" w:rsidR="00B449D0" w:rsidRDefault="00175344">
      <w:pPr>
        <w:pStyle w:val="Normal2"/>
      </w:pPr>
      <w:r w:rsidRPr="7F762F0D">
        <w:rPr>
          <w:lang w:val="en-US"/>
        </w:rPr>
        <w:t>The Government will provide an additional $32.6 million over three years from 2025–26 (and $0.2 million in 2028–29) to support the phase out of live sheep exports by sea, including to assist sheep producers and businesses in associated supply chains to adapt.</w:t>
      </w:r>
    </w:p>
    <w:p w14:paraId="34E6C7D5" w14:textId="77777777" w:rsidR="00B449D0" w:rsidRDefault="00175344">
      <w:pPr>
        <w:pStyle w:val="Normal2"/>
      </w:pPr>
      <w:r>
        <w:t>The Government has already provided funding for this measure.</w:t>
      </w:r>
    </w:p>
    <w:p w14:paraId="148D0847" w14:textId="77777777" w:rsidR="00B449D0" w:rsidRDefault="00175344">
      <w:pPr>
        <w:pStyle w:val="Normal2"/>
      </w:pPr>
      <w:r w:rsidRPr="7F762F0D">
        <w:rPr>
          <w:lang w:val="en-US"/>
        </w:rPr>
        <w:t>Partial funding for this measure will be held in the Contingency Reserve pending the finalisation of a co‑design process with industry.</w:t>
      </w:r>
    </w:p>
    <w:p w14:paraId="018353BA" w14:textId="77777777" w:rsidR="00B449D0" w:rsidRDefault="00175344">
      <w:pPr>
        <w:pStyle w:val="Normal2"/>
      </w:pPr>
      <w:r>
        <w:t>The Treasury manages Commonwealth payments to the states and territories.</w:t>
      </w:r>
    </w:p>
    <w:p w14:paraId="262FC86F" w14:textId="77777777" w:rsidR="00B449D0" w:rsidRDefault="00175344">
      <w:pPr>
        <w:pStyle w:val="Normal2"/>
      </w:pPr>
      <w:r>
        <w:t xml:space="preserve">This measure builds on the 2024–25 Budget measure titled </w:t>
      </w:r>
      <w:r w:rsidRPr="00175344">
        <w:rPr>
          <w:i/>
        </w:rPr>
        <w:t>Phase Out of Live Sheep Exports by Sea – transition support</w:t>
      </w:r>
      <w:r>
        <w:t>.</w:t>
      </w:r>
    </w:p>
    <w:p w14:paraId="12291734" w14:textId="77777777" w:rsidR="00B449D0" w:rsidRDefault="00175344">
      <w:pPr>
        <w:pStyle w:val="MeasureTitle"/>
      </w:pPr>
      <w:r>
        <w:t>Supporting Agriculture Priorities</w:t>
      </w:r>
    </w:p>
    <w:p w14:paraId="4D6BF2CE"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480EBF12" w14:textId="77777777">
        <w:trPr>
          <w:cantSplit/>
        </w:trPr>
        <w:tc>
          <w:tcPr>
            <w:tcW w:w="2494" w:type="dxa"/>
            <w:tcBorders>
              <w:top w:val="single" w:sz="4" w:space="0" w:color="000000"/>
              <w:bottom w:val="single" w:sz="4" w:space="0" w:color="000000"/>
            </w:tcBorders>
          </w:tcPr>
          <w:p w14:paraId="414EA0EA" w14:textId="77777777" w:rsidR="00B449D0" w:rsidRDefault="00B449D0">
            <w:pPr>
              <w:pStyle w:val="MeasureTableYearHeadings"/>
              <w:keepNext/>
            </w:pPr>
          </w:p>
        </w:tc>
        <w:tc>
          <w:tcPr>
            <w:tcW w:w="1043" w:type="dxa"/>
            <w:tcBorders>
              <w:top w:val="single" w:sz="4" w:space="0" w:color="000000"/>
              <w:bottom w:val="single" w:sz="4" w:space="0" w:color="000000"/>
            </w:tcBorders>
          </w:tcPr>
          <w:p w14:paraId="00800B86" w14:textId="5180C544"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4B46D757" w14:textId="673A842B"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77BFFF44" w14:textId="0D3D85CC"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1BB0D721" w14:textId="7335B78A"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6A39D78A" w14:textId="19AE79CE" w:rsidR="00B449D0" w:rsidRDefault="00175344">
            <w:pPr>
              <w:pStyle w:val="MeasureTableYearHeadings"/>
              <w:keepNext/>
            </w:pPr>
            <w:r>
              <w:t>2027</w:t>
            </w:r>
            <w:r w:rsidR="00076D78">
              <w:noBreakHyphen/>
            </w:r>
            <w:r>
              <w:t>28</w:t>
            </w:r>
          </w:p>
        </w:tc>
      </w:tr>
      <w:tr w:rsidR="00B449D0" w14:paraId="1C57294B" w14:textId="77777777">
        <w:trPr>
          <w:cantSplit/>
        </w:trPr>
        <w:tc>
          <w:tcPr>
            <w:tcW w:w="2494" w:type="dxa"/>
            <w:tcBorders>
              <w:top w:val="single" w:sz="4" w:space="0" w:color="000000"/>
              <w:bottom w:val="single" w:sz="4" w:space="0" w:color="000000"/>
            </w:tcBorders>
          </w:tcPr>
          <w:p w14:paraId="78C4EBA1" w14:textId="77777777" w:rsidR="00B449D0" w:rsidRDefault="00175344">
            <w:pPr>
              <w:pStyle w:val="MeasureTableHeadingleftalignedwith2ptsspacing"/>
              <w:keepNext/>
            </w:pPr>
            <w:r>
              <w:t>Australian Pesticides and Veterinary Medicines Authority</w:t>
            </w:r>
          </w:p>
        </w:tc>
        <w:tc>
          <w:tcPr>
            <w:tcW w:w="1043" w:type="dxa"/>
            <w:tcBorders>
              <w:top w:val="single" w:sz="4" w:space="0" w:color="000000"/>
              <w:bottom w:val="single" w:sz="4" w:space="0" w:color="000000"/>
            </w:tcBorders>
          </w:tcPr>
          <w:p w14:paraId="35907461" w14:textId="355A7229"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1CD6E81" w14:textId="7B9D3E35"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115065B" w14:textId="77777777" w:rsidR="00B449D0" w:rsidRDefault="00175344">
            <w:pPr>
              <w:pStyle w:val="MeasureTableDataRightAlignedwith2ptsspacing"/>
              <w:keepNext/>
            </w:pPr>
            <w:r>
              <w:t>5.2</w:t>
            </w:r>
          </w:p>
        </w:tc>
        <w:tc>
          <w:tcPr>
            <w:tcW w:w="1043" w:type="dxa"/>
            <w:tcBorders>
              <w:top w:val="single" w:sz="4" w:space="0" w:color="000000"/>
              <w:bottom w:val="single" w:sz="4" w:space="0" w:color="000000"/>
            </w:tcBorders>
          </w:tcPr>
          <w:p w14:paraId="5EA1B371" w14:textId="721AF383"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C6DD37C" w14:textId="137F1355" w:rsidR="00B449D0" w:rsidRDefault="00076D78">
            <w:pPr>
              <w:pStyle w:val="MeasureTableDataRightAlignedwith2ptsspacing"/>
              <w:keepNext/>
            </w:pPr>
            <w:r>
              <w:noBreakHyphen/>
            </w:r>
          </w:p>
        </w:tc>
      </w:tr>
      <w:tr w:rsidR="00B449D0" w14:paraId="405E594A" w14:textId="77777777">
        <w:trPr>
          <w:cantSplit/>
        </w:trPr>
        <w:tc>
          <w:tcPr>
            <w:tcW w:w="2494" w:type="dxa"/>
            <w:tcBorders>
              <w:top w:val="single" w:sz="4" w:space="0" w:color="000000"/>
              <w:bottom w:val="single" w:sz="4" w:space="0" w:color="000000"/>
            </w:tcBorders>
          </w:tcPr>
          <w:p w14:paraId="56D7F5CA" w14:textId="77777777" w:rsidR="00B449D0" w:rsidRDefault="00175344">
            <w:pPr>
              <w:pStyle w:val="MeasureTableHeadingleftalignedwith2ptsspacing"/>
              <w:keepNext/>
            </w:pPr>
            <w:r>
              <w:t>Department of Agriculture, Fisheries and Forestry</w:t>
            </w:r>
          </w:p>
        </w:tc>
        <w:tc>
          <w:tcPr>
            <w:tcW w:w="1043" w:type="dxa"/>
            <w:tcBorders>
              <w:top w:val="single" w:sz="4" w:space="0" w:color="000000"/>
              <w:bottom w:val="single" w:sz="4" w:space="0" w:color="000000"/>
            </w:tcBorders>
          </w:tcPr>
          <w:p w14:paraId="35FD3487" w14:textId="077A2796"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DD4F955" w14:textId="579FC527" w:rsidR="00B449D0" w:rsidRDefault="00076D78">
            <w:pPr>
              <w:pStyle w:val="MeasureTableDataRightAlignedwith2ptsspacing"/>
              <w:keepNext/>
            </w:pPr>
            <w:r>
              <w:noBreakHyphen/>
            </w:r>
            <w:r w:rsidR="00175344">
              <w:t>0.7</w:t>
            </w:r>
          </w:p>
        </w:tc>
        <w:tc>
          <w:tcPr>
            <w:tcW w:w="1043" w:type="dxa"/>
            <w:tcBorders>
              <w:top w:val="single" w:sz="4" w:space="0" w:color="000000"/>
              <w:bottom w:val="single" w:sz="4" w:space="0" w:color="000000"/>
            </w:tcBorders>
          </w:tcPr>
          <w:p w14:paraId="7E6E06FE" w14:textId="77777777" w:rsidR="00B449D0" w:rsidRDefault="00175344">
            <w:pPr>
              <w:pStyle w:val="MeasureTableDataRightAlignedwith2ptsspacing"/>
              <w:keepNext/>
            </w:pPr>
            <w:r>
              <w:t>52.3</w:t>
            </w:r>
          </w:p>
        </w:tc>
        <w:tc>
          <w:tcPr>
            <w:tcW w:w="1043" w:type="dxa"/>
            <w:tcBorders>
              <w:top w:val="single" w:sz="4" w:space="0" w:color="000000"/>
              <w:bottom w:val="single" w:sz="4" w:space="0" w:color="000000"/>
            </w:tcBorders>
          </w:tcPr>
          <w:p w14:paraId="5E0F4BA9" w14:textId="77777777" w:rsidR="00B449D0" w:rsidRDefault="00175344">
            <w:pPr>
              <w:pStyle w:val="MeasureTableDataRightAlignedwith2ptsspacing"/>
              <w:keepNext/>
            </w:pPr>
            <w:r>
              <w:t>0.3</w:t>
            </w:r>
          </w:p>
        </w:tc>
        <w:tc>
          <w:tcPr>
            <w:tcW w:w="1043" w:type="dxa"/>
            <w:tcBorders>
              <w:top w:val="single" w:sz="4" w:space="0" w:color="000000"/>
              <w:bottom w:val="single" w:sz="4" w:space="0" w:color="000000"/>
            </w:tcBorders>
          </w:tcPr>
          <w:p w14:paraId="0BD6894F" w14:textId="77777777" w:rsidR="00B449D0" w:rsidRDefault="00175344">
            <w:pPr>
              <w:pStyle w:val="MeasureTableDataRightAlignedwith2ptsspacing"/>
              <w:keepNext/>
            </w:pPr>
            <w:r>
              <w:t>4.2</w:t>
            </w:r>
          </w:p>
        </w:tc>
      </w:tr>
      <w:tr w:rsidR="00B449D0" w14:paraId="1CDFBFB8" w14:textId="77777777">
        <w:trPr>
          <w:cantSplit/>
        </w:trPr>
        <w:tc>
          <w:tcPr>
            <w:tcW w:w="2494" w:type="dxa"/>
            <w:tcBorders>
              <w:top w:val="single" w:sz="4" w:space="0" w:color="000000"/>
              <w:bottom w:val="single" w:sz="4" w:space="0" w:color="000000"/>
            </w:tcBorders>
          </w:tcPr>
          <w:p w14:paraId="7E94518F"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1B09C773" w14:textId="724BFF39"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61353ADA" w14:textId="3F4D4B4E" w:rsidR="00B449D0" w:rsidRDefault="00076D78">
            <w:pPr>
              <w:pStyle w:val="Totaldatarowrightaligned"/>
              <w:keepNext/>
            </w:pPr>
            <w:r>
              <w:noBreakHyphen/>
            </w:r>
            <w:r w:rsidR="00175344">
              <w:t>0.7</w:t>
            </w:r>
          </w:p>
        </w:tc>
        <w:tc>
          <w:tcPr>
            <w:tcW w:w="1043" w:type="dxa"/>
            <w:tcBorders>
              <w:top w:val="single" w:sz="4" w:space="0" w:color="000000"/>
              <w:bottom w:val="single" w:sz="4" w:space="0" w:color="000000"/>
            </w:tcBorders>
          </w:tcPr>
          <w:p w14:paraId="521FA040" w14:textId="77777777" w:rsidR="00B449D0" w:rsidRDefault="00175344">
            <w:pPr>
              <w:pStyle w:val="Totaldatarowrightaligned"/>
              <w:keepNext/>
            </w:pPr>
            <w:r>
              <w:t>57.5</w:t>
            </w:r>
          </w:p>
        </w:tc>
        <w:tc>
          <w:tcPr>
            <w:tcW w:w="1043" w:type="dxa"/>
            <w:tcBorders>
              <w:top w:val="single" w:sz="4" w:space="0" w:color="000000"/>
              <w:bottom w:val="single" w:sz="4" w:space="0" w:color="000000"/>
            </w:tcBorders>
          </w:tcPr>
          <w:p w14:paraId="22539609" w14:textId="77777777" w:rsidR="00B449D0" w:rsidRDefault="00175344">
            <w:pPr>
              <w:pStyle w:val="Totaldatarowrightaligned"/>
              <w:keepNext/>
            </w:pPr>
            <w:r>
              <w:t>0.3</w:t>
            </w:r>
          </w:p>
        </w:tc>
        <w:tc>
          <w:tcPr>
            <w:tcW w:w="1043" w:type="dxa"/>
            <w:tcBorders>
              <w:top w:val="single" w:sz="4" w:space="0" w:color="000000"/>
              <w:bottom w:val="single" w:sz="4" w:space="0" w:color="000000"/>
            </w:tcBorders>
          </w:tcPr>
          <w:p w14:paraId="7BAFA87D" w14:textId="77777777" w:rsidR="00B449D0" w:rsidRDefault="00175344">
            <w:pPr>
              <w:pStyle w:val="Totaldatarowrightaligned"/>
              <w:keepNext/>
            </w:pPr>
            <w:r>
              <w:t>4.2</w:t>
            </w:r>
          </w:p>
        </w:tc>
      </w:tr>
    </w:tbl>
    <w:p w14:paraId="4ECAB682" w14:textId="77777777" w:rsidR="00B449D0" w:rsidRPr="00ED3A9B" w:rsidRDefault="00B449D0" w:rsidP="00380A42">
      <w:pPr>
        <w:pStyle w:val="SingleParagraph0"/>
      </w:pPr>
    </w:p>
    <w:p w14:paraId="51C869B3" w14:textId="77777777" w:rsidR="00B449D0" w:rsidRDefault="00175344">
      <w:pPr>
        <w:pStyle w:val="Normal2"/>
      </w:pPr>
      <w:r w:rsidRPr="7F762F0D">
        <w:rPr>
          <w:lang w:val="en-US"/>
        </w:rPr>
        <w:t>The Government will provide $62.6 million over four years from 2024–25 (and an additional $0.4 million in 2028–29) to support priorities in the Agriculture, Fisheries and Forestry portfolio. Funding includes:</w:t>
      </w:r>
    </w:p>
    <w:p w14:paraId="108BD504" w14:textId="77777777" w:rsidR="00B449D0" w:rsidRDefault="00175344">
      <w:pPr>
        <w:pStyle w:val="Bullet"/>
      </w:pPr>
      <w:r>
        <w:t>$46.6 million in 2025–26 to sustain export regulatory functions, including assurance and verification to meet trading partner requirements and exporter demand</w:t>
      </w:r>
    </w:p>
    <w:p w14:paraId="5F77BDE3" w14:textId="77777777" w:rsidR="00B449D0" w:rsidRDefault="00175344">
      <w:pPr>
        <w:pStyle w:val="Bullet"/>
      </w:pPr>
      <w:r>
        <w:t xml:space="preserve">$7.9 million over three years from 2025–26 (and an additional $0.2 million in 2028–29) to continue the </w:t>
      </w:r>
      <w:r w:rsidRPr="00175344">
        <w:rPr>
          <w:i/>
        </w:rPr>
        <w:t xml:space="preserve">Improved Access to Agricultural and Veterinary Chemicals </w:t>
      </w:r>
      <w:r>
        <w:t>program to help farmers gain access to safe and effective agricultural and veterinary chemicals</w:t>
      </w:r>
    </w:p>
    <w:p w14:paraId="0FBC9997" w14:textId="77777777" w:rsidR="00B449D0" w:rsidRDefault="00175344">
      <w:pPr>
        <w:pStyle w:val="Bullet"/>
      </w:pPr>
      <w:r>
        <w:t>$5.2 million in 2025–26 to support the Australian Pesticides and Veterinary Medicines Authority to continue to regulate and control agricultural and veterinary chemicals</w:t>
      </w:r>
    </w:p>
    <w:p w14:paraId="515CED74" w14:textId="77777777" w:rsidR="00B449D0" w:rsidRDefault="00175344">
      <w:pPr>
        <w:pStyle w:val="Bullet"/>
      </w:pPr>
      <w:r>
        <w:lastRenderedPageBreak/>
        <w:t>$2.2 million over two years from 2024–25 for climate policy and technical capabilities within the Department of Agriculture, Fisheries and Forestry</w:t>
      </w:r>
    </w:p>
    <w:p w14:paraId="750E4C6F" w14:textId="77777777" w:rsidR="00B449D0" w:rsidRDefault="00175344">
      <w:pPr>
        <w:pStyle w:val="Bullet"/>
      </w:pPr>
      <w:r>
        <w:t xml:space="preserve">$0.6 million over three years from 2025–26 (and an additional $0.2 million in 2028–29) to continue the </w:t>
      </w:r>
      <w:r w:rsidRPr="00175344">
        <w:rPr>
          <w:i/>
        </w:rPr>
        <w:t>AgFAIR</w:t>
      </w:r>
      <w:r>
        <w:t xml:space="preserve"> program to support fair employment practices in the horticulture sector.</w:t>
      </w:r>
    </w:p>
    <w:p w14:paraId="40974199" w14:textId="77777777" w:rsidR="00B449D0" w:rsidRDefault="00175344">
      <w:pPr>
        <w:pStyle w:val="Normal2"/>
      </w:pPr>
      <w:r w:rsidRPr="7F762F0D">
        <w:rPr>
          <w:lang w:val="en-US"/>
        </w:rPr>
        <w:t>The cost of this measure will be partially met from savings identified in the Agriculture, Fisheries and Forestry portfolio.</w:t>
      </w:r>
    </w:p>
    <w:p w14:paraId="05BC6D6B" w14:textId="1AA3BE93" w:rsidR="00B449D0" w:rsidRDefault="00175344">
      <w:pPr>
        <w:pStyle w:val="MeasureTitle"/>
      </w:pPr>
      <w:r>
        <w:t>Supporting Australia</w:t>
      </w:r>
      <w:r w:rsidR="00076D78">
        <w:t>’</w:t>
      </w:r>
      <w:r>
        <w:t>s Avian Influenza Preparedness and Response</w:t>
      </w:r>
    </w:p>
    <w:p w14:paraId="28BE4564"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25C9C085" w14:textId="77777777">
        <w:trPr>
          <w:cantSplit/>
        </w:trPr>
        <w:tc>
          <w:tcPr>
            <w:tcW w:w="2494" w:type="dxa"/>
            <w:tcBorders>
              <w:top w:val="single" w:sz="4" w:space="0" w:color="000000"/>
              <w:bottom w:val="single" w:sz="4" w:space="0" w:color="000000"/>
            </w:tcBorders>
          </w:tcPr>
          <w:p w14:paraId="2678C48D" w14:textId="77777777" w:rsidR="00B449D0" w:rsidRDefault="00B449D0">
            <w:pPr>
              <w:pStyle w:val="MeasureTableYearHeadings"/>
              <w:keepNext/>
            </w:pPr>
          </w:p>
        </w:tc>
        <w:tc>
          <w:tcPr>
            <w:tcW w:w="1043" w:type="dxa"/>
            <w:tcBorders>
              <w:top w:val="single" w:sz="4" w:space="0" w:color="000000"/>
              <w:bottom w:val="single" w:sz="4" w:space="0" w:color="000000"/>
            </w:tcBorders>
          </w:tcPr>
          <w:p w14:paraId="02192A0C" w14:textId="4F5502DB"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1A6EB327" w14:textId="4F13CBC8"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23DB99C4" w14:textId="7FE148AC"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3AA6C055" w14:textId="2B6E4A7A"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2A2D4556" w14:textId="4E66B010" w:rsidR="00B449D0" w:rsidRDefault="00175344">
            <w:pPr>
              <w:pStyle w:val="MeasureTableYearHeadings"/>
              <w:keepNext/>
            </w:pPr>
            <w:r>
              <w:t>2027</w:t>
            </w:r>
            <w:r w:rsidR="00076D78">
              <w:noBreakHyphen/>
            </w:r>
            <w:r>
              <w:t>28</w:t>
            </w:r>
          </w:p>
        </w:tc>
      </w:tr>
      <w:tr w:rsidR="00B449D0" w14:paraId="0F814D0D" w14:textId="77777777">
        <w:trPr>
          <w:cantSplit/>
        </w:trPr>
        <w:tc>
          <w:tcPr>
            <w:tcW w:w="2494" w:type="dxa"/>
            <w:tcBorders>
              <w:top w:val="single" w:sz="4" w:space="0" w:color="000000"/>
              <w:bottom w:val="single" w:sz="4" w:space="0" w:color="000000"/>
            </w:tcBorders>
          </w:tcPr>
          <w:p w14:paraId="47EB84B5" w14:textId="77777777" w:rsidR="00B449D0" w:rsidRDefault="00175344">
            <w:pPr>
              <w:pStyle w:val="MeasureTableHeadingleftalignedwith2ptsspacing"/>
              <w:keepNext/>
            </w:pPr>
            <w:r>
              <w:t>Department of the Treasury</w:t>
            </w:r>
          </w:p>
        </w:tc>
        <w:tc>
          <w:tcPr>
            <w:tcW w:w="1043" w:type="dxa"/>
            <w:tcBorders>
              <w:top w:val="single" w:sz="4" w:space="0" w:color="000000"/>
              <w:bottom w:val="single" w:sz="4" w:space="0" w:color="000000"/>
            </w:tcBorders>
          </w:tcPr>
          <w:p w14:paraId="314EFE27" w14:textId="61634DCC"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E78F54F" w14:textId="77777777" w:rsidR="00B449D0" w:rsidRDefault="00175344">
            <w:pPr>
              <w:pStyle w:val="MeasureTableDataRightAlignedwith2ptsspacing"/>
              <w:keepNext/>
            </w:pPr>
            <w:r>
              <w:t>163.6</w:t>
            </w:r>
          </w:p>
        </w:tc>
        <w:tc>
          <w:tcPr>
            <w:tcW w:w="1043" w:type="dxa"/>
            <w:tcBorders>
              <w:top w:val="single" w:sz="4" w:space="0" w:color="000000"/>
              <w:bottom w:val="single" w:sz="4" w:space="0" w:color="000000"/>
            </w:tcBorders>
          </w:tcPr>
          <w:p w14:paraId="4167BB0E" w14:textId="77777777" w:rsidR="00B449D0" w:rsidRDefault="00175344">
            <w:pPr>
              <w:pStyle w:val="MeasureTableDataRightAlignedwith2ptsspacing"/>
              <w:keepNext/>
            </w:pPr>
            <w:r>
              <w:t>3.0</w:t>
            </w:r>
          </w:p>
        </w:tc>
        <w:tc>
          <w:tcPr>
            <w:tcW w:w="1043" w:type="dxa"/>
            <w:tcBorders>
              <w:top w:val="single" w:sz="4" w:space="0" w:color="000000"/>
              <w:bottom w:val="single" w:sz="4" w:space="0" w:color="000000"/>
            </w:tcBorders>
          </w:tcPr>
          <w:p w14:paraId="437FDC61" w14:textId="25D4AE03"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B365C58" w14:textId="6F2ABF63" w:rsidR="00B449D0" w:rsidRDefault="00076D78">
            <w:pPr>
              <w:pStyle w:val="MeasureTableDataRightAlignedwith2ptsspacing"/>
              <w:keepNext/>
            </w:pPr>
            <w:r>
              <w:noBreakHyphen/>
            </w:r>
          </w:p>
        </w:tc>
      </w:tr>
      <w:tr w:rsidR="00B449D0" w14:paraId="26BB1997" w14:textId="77777777">
        <w:trPr>
          <w:cantSplit/>
        </w:trPr>
        <w:tc>
          <w:tcPr>
            <w:tcW w:w="2494" w:type="dxa"/>
            <w:tcBorders>
              <w:top w:val="single" w:sz="4" w:space="0" w:color="000000"/>
              <w:bottom w:val="single" w:sz="4" w:space="0" w:color="000000"/>
            </w:tcBorders>
          </w:tcPr>
          <w:p w14:paraId="6E759E39" w14:textId="77777777" w:rsidR="00B449D0" w:rsidRDefault="00175344">
            <w:pPr>
              <w:pStyle w:val="MeasureTableHeadingleftalignedwith2ptsspacing"/>
              <w:keepNext/>
            </w:pPr>
            <w:r>
              <w:t>Department of Agriculture, Fisheries and Forestry</w:t>
            </w:r>
          </w:p>
        </w:tc>
        <w:tc>
          <w:tcPr>
            <w:tcW w:w="1043" w:type="dxa"/>
            <w:tcBorders>
              <w:top w:val="single" w:sz="4" w:space="0" w:color="000000"/>
              <w:bottom w:val="single" w:sz="4" w:space="0" w:color="000000"/>
            </w:tcBorders>
          </w:tcPr>
          <w:p w14:paraId="3143DAE2" w14:textId="6A42A982"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330D26B" w14:textId="77777777" w:rsidR="00B449D0" w:rsidRDefault="00175344">
            <w:pPr>
              <w:pStyle w:val="MeasureTableDataRightAlignedwith2ptsspacing"/>
              <w:keepNext/>
            </w:pPr>
            <w:r>
              <w:t>21.7</w:t>
            </w:r>
          </w:p>
        </w:tc>
        <w:tc>
          <w:tcPr>
            <w:tcW w:w="1043" w:type="dxa"/>
            <w:tcBorders>
              <w:top w:val="single" w:sz="4" w:space="0" w:color="000000"/>
              <w:bottom w:val="single" w:sz="4" w:space="0" w:color="000000"/>
            </w:tcBorders>
          </w:tcPr>
          <w:p w14:paraId="5304FCD5" w14:textId="77777777" w:rsidR="00B449D0" w:rsidRDefault="00175344">
            <w:pPr>
              <w:pStyle w:val="MeasureTableDataRightAlignedwith2ptsspacing"/>
              <w:keepNext/>
            </w:pPr>
            <w:r>
              <w:t>2.9</w:t>
            </w:r>
          </w:p>
        </w:tc>
        <w:tc>
          <w:tcPr>
            <w:tcW w:w="1043" w:type="dxa"/>
            <w:tcBorders>
              <w:top w:val="single" w:sz="4" w:space="0" w:color="000000"/>
              <w:bottom w:val="single" w:sz="4" w:space="0" w:color="000000"/>
            </w:tcBorders>
          </w:tcPr>
          <w:p w14:paraId="0164466F" w14:textId="04394E49"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EEEB5A3" w14:textId="43D4FCBC" w:rsidR="00B449D0" w:rsidRDefault="00076D78">
            <w:pPr>
              <w:pStyle w:val="MeasureTableDataRightAlignedwith2ptsspacing"/>
              <w:keepNext/>
            </w:pPr>
            <w:r>
              <w:noBreakHyphen/>
            </w:r>
          </w:p>
        </w:tc>
      </w:tr>
      <w:tr w:rsidR="00B449D0" w14:paraId="32EA3F3E" w14:textId="77777777">
        <w:trPr>
          <w:cantSplit/>
        </w:trPr>
        <w:tc>
          <w:tcPr>
            <w:tcW w:w="2494" w:type="dxa"/>
            <w:tcBorders>
              <w:top w:val="single" w:sz="4" w:space="0" w:color="000000"/>
              <w:bottom w:val="single" w:sz="4" w:space="0" w:color="000000"/>
            </w:tcBorders>
          </w:tcPr>
          <w:p w14:paraId="72D1801B" w14:textId="77777777" w:rsidR="00B449D0" w:rsidRDefault="00175344">
            <w:pPr>
              <w:pStyle w:val="MeasureTableHeadingleftalignedwith2ptsspacing"/>
              <w:keepNext/>
            </w:pPr>
            <w:r>
              <w:t>Department of Climate Change, Energy, the Environment and Water</w:t>
            </w:r>
          </w:p>
        </w:tc>
        <w:tc>
          <w:tcPr>
            <w:tcW w:w="1043" w:type="dxa"/>
            <w:tcBorders>
              <w:top w:val="single" w:sz="4" w:space="0" w:color="000000"/>
              <w:bottom w:val="single" w:sz="4" w:space="0" w:color="000000"/>
            </w:tcBorders>
          </w:tcPr>
          <w:p w14:paraId="6A2C8C3C" w14:textId="14AA3450"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A0CC086" w14:textId="77777777" w:rsidR="00B449D0" w:rsidRDefault="00175344">
            <w:pPr>
              <w:pStyle w:val="MeasureTableDataRightAlignedwith2ptsspacing"/>
              <w:keepNext/>
            </w:pPr>
            <w:r>
              <w:t>10.5</w:t>
            </w:r>
          </w:p>
        </w:tc>
        <w:tc>
          <w:tcPr>
            <w:tcW w:w="1043" w:type="dxa"/>
            <w:tcBorders>
              <w:top w:val="single" w:sz="4" w:space="0" w:color="000000"/>
              <w:bottom w:val="single" w:sz="4" w:space="0" w:color="000000"/>
            </w:tcBorders>
          </w:tcPr>
          <w:p w14:paraId="6642AFA4" w14:textId="77777777" w:rsidR="00B449D0" w:rsidRDefault="00175344">
            <w:pPr>
              <w:pStyle w:val="MeasureTableDataRightAlignedwith2ptsspacing"/>
              <w:keepNext/>
            </w:pPr>
            <w:r>
              <w:t>25.4</w:t>
            </w:r>
          </w:p>
        </w:tc>
        <w:tc>
          <w:tcPr>
            <w:tcW w:w="1043" w:type="dxa"/>
            <w:tcBorders>
              <w:top w:val="single" w:sz="4" w:space="0" w:color="000000"/>
              <w:bottom w:val="single" w:sz="4" w:space="0" w:color="000000"/>
            </w:tcBorders>
          </w:tcPr>
          <w:p w14:paraId="2759140D" w14:textId="4AE727D0"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F62F8A9" w14:textId="14F53C03" w:rsidR="00B449D0" w:rsidRDefault="00076D78">
            <w:pPr>
              <w:pStyle w:val="MeasureTableDataRightAlignedwith2ptsspacing"/>
              <w:keepNext/>
            </w:pPr>
            <w:r>
              <w:noBreakHyphen/>
            </w:r>
          </w:p>
        </w:tc>
      </w:tr>
      <w:tr w:rsidR="00B449D0" w14:paraId="179F557B" w14:textId="77777777">
        <w:trPr>
          <w:cantSplit/>
        </w:trPr>
        <w:tc>
          <w:tcPr>
            <w:tcW w:w="2494" w:type="dxa"/>
            <w:tcBorders>
              <w:top w:val="single" w:sz="4" w:space="0" w:color="000000"/>
              <w:bottom w:val="single" w:sz="4" w:space="0" w:color="000000"/>
            </w:tcBorders>
          </w:tcPr>
          <w:p w14:paraId="5F88EAD0" w14:textId="77777777" w:rsidR="00B449D0" w:rsidRDefault="00175344">
            <w:pPr>
              <w:pStyle w:val="MeasureTableHeadingleftalignedwith2ptsspacing"/>
              <w:keepNext/>
            </w:pPr>
            <w:r>
              <w:t>Department of Health and Aged Care</w:t>
            </w:r>
          </w:p>
        </w:tc>
        <w:tc>
          <w:tcPr>
            <w:tcW w:w="1043" w:type="dxa"/>
            <w:tcBorders>
              <w:top w:val="single" w:sz="4" w:space="0" w:color="000000"/>
              <w:bottom w:val="single" w:sz="4" w:space="0" w:color="000000"/>
            </w:tcBorders>
          </w:tcPr>
          <w:p w14:paraId="22A51DBB" w14:textId="2B25B6AA"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372658D" w14:textId="77777777" w:rsidR="00B449D0" w:rsidRDefault="00175344">
            <w:pPr>
              <w:pStyle w:val="MeasureTableDataRightAlignedwith2ptsspacing"/>
              <w:keepNext/>
            </w:pPr>
            <w:r>
              <w:t>4.4</w:t>
            </w:r>
          </w:p>
        </w:tc>
        <w:tc>
          <w:tcPr>
            <w:tcW w:w="1043" w:type="dxa"/>
            <w:tcBorders>
              <w:top w:val="single" w:sz="4" w:space="0" w:color="000000"/>
              <w:bottom w:val="single" w:sz="4" w:space="0" w:color="000000"/>
            </w:tcBorders>
          </w:tcPr>
          <w:p w14:paraId="46AEAB2A" w14:textId="77777777" w:rsidR="00B449D0" w:rsidRDefault="00175344">
            <w:pPr>
              <w:pStyle w:val="MeasureTableDataRightAlignedwith2ptsspacing"/>
              <w:keepNext/>
            </w:pPr>
            <w:r>
              <w:t>17.7</w:t>
            </w:r>
          </w:p>
        </w:tc>
        <w:tc>
          <w:tcPr>
            <w:tcW w:w="1043" w:type="dxa"/>
            <w:tcBorders>
              <w:top w:val="single" w:sz="4" w:space="0" w:color="000000"/>
              <w:bottom w:val="single" w:sz="4" w:space="0" w:color="000000"/>
            </w:tcBorders>
          </w:tcPr>
          <w:p w14:paraId="35E9350A" w14:textId="2876021D"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EA47EBF" w14:textId="5AFA0952" w:rsidR="00B449D0" w:rsidRDefault="00076D78">
            <w:pPr>
              <w:pStyle w:val="MeasureTableDataRightAlignedwith2ptsspacing"/>
              <w:keepNext/>
            </w:pPr>
            <w:r>
              <w:noBreakHyphen/>
            </w:r>
          </w:p>
        </w:tc>
      </w:tr>
      <w:tr w:rsidR="00B449D0" w14:paraId="6AB2E153" w14:textId="77777777">
        <w:trPr>
          <w:cantSplit/>
        </w:trPr>
        <w:tc>
          <w:tcPr>
            <w:tcW w:w="2494" w:type="dxa"/>
            <w:tcBorders>
              <w:top w:val="single" w:sz="4" w:space="0" w:color="000000"/>
              <w:bottom w:val="single" w:sz="4" w:space="0" w:color="000000"/>
            </w:tcBorders>
          </w:tcPr>
          <w:p w14:paraId="569F1F55"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3181DCF1" w14:textId="6D465075"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5E05D3F4" w14:textId="77777777" w:rsidR="00B449D0" w:rsidRDefault="00175344">
            <w:pPr>
              <w:pStyle w:val="Totaldatarowrightaligned"/>
              <w:keepNext/>
            </w:pPr>
            <w:r>
              <w:t>200.3</w:t>
            </w:r>
          </w:p>
        </w:tc>
        <w:tc>
          <w:tcPr>
            <w:tcW w:w="1043" w:type="dxa"/>
            <w:tcBorders>
              <w:top w:val="single" w:sz="4" w:space="0" w:color="000000"/>
              <w:bottom w:val="single" w:sz="4" w:space="0" w:color="000000"/>
            </w:tcBorders>
          </w:tcPr>
          <w:p w14:paraId="20A11FA5" w14:textId="77777777" w:rsidR="00B449D0" w:rsidRDefault="00175344">
            <w:pPr>
              <w:pStyle w:val="Totaldatarowrightaligned"/>
              <w:keepNext/>
            </w:pPr>
            <w:r>
              <w:t>48.9</w:t>
            </w:r>
          </w:p>
        </w:tc>
        <w:tc>
          <w:tcPr>
            <w:tcW w:w="1043" w:type="dxa"/>
            <w:tcBorders>
              <w:top w:val="single" w:sz="4" w:space="0" w:color="000000"/>
              <w:bottom w:val="single" w:sz="4" w:space="0" w:color="000000"/>
            </w:tcBorders>
          </w:tcPr>
          <w:p w14:paraId="6047B4E9" w14:textId="624F8DF3"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39F442C9" w14:textId="6EEAA809" w:rsidR="00B449D0" w:rsidRDefault="00076D78">
            <w:pPr>
              <w:pStyle w:val="Totaldatarowrightaligned"/>
              <w:keepNext/>
            </w:pPr>
            <w:r>
              <w:noBreakHyphen/>
            </w:r>
          </w:p>
        </w:tc>
      </w:tr>
    </w:tbl>
    <w:p w14:paraId="6B7B11DB" w14:textId="77777777" w:rsidR="00B449D0" w:rsidRPr="00ED3A9B" w:rsidRDefault="00B449D0" w:rsidP="00380A42">
      <w:pPr>
        <w:pStyle w:val="SingleParagraph0"/>
      </w:pPr>
    </w:p>
    <w:p w14:paraId="6B68DD31" w14:textId="63D5BFEB" w:rsidR="00B449D0" w:rsidRDefault="00175344">
      <w:pPr>
        <w:pStyle w:val="Normal2"/>
      </w:pPr>
      <w:r>
        <w:t>The Government will provide $249.6 million over two years from 2024–25 for High</w:t>
      </w:r>
      <w:r w:rsidR="006F4B98">
        <w:t> </w:t>
      </w:r>
      <w:r>
        <w:t>Pathogenicity Avian Influenza (HPAI H7 and HPAI H5) preparedness and response activities. Funding includes:</w:t>
      </w:r>
    </w:p>
    <w:p w14:paraId="30FA8A87" w14:textId="2F2CDEAD" w:rsidR="00B449D0" w:rsidRDefault="00175344">
      <w:pPr>
        <w:pStyle w:val="Bullet"/>
      </w:pPr>
      <w:r>
        <w:t>$154.6 million in 2024–25 for the Commonwealth</w:t>
      </w:r>
      <w:r w:rsidR="00076D78">
        <w:t>’</w:t>
      </w:r>
      <w:r>
        <w:t>s share of HPAI H7 responses in Victoria, New South Wales, and the Australian Capital Territory, and for potential further detections in the high‑risk period over spring</w:t>
      </w:r>
    </w:p>
    <w:p w14:paraId="16A11BE9" w14:textId="77777777" w:rsidR="00B449D0" w:rsidRDefault="00175344">
      <w:pPr>
        <w:pStyle w:val="Bullet"/>
      </w:pPr>
      <w:r>
        <w:t>$37.0 million over two years from 2024–25 for initiatives to protect Australian agriculture against HPAI H5N1, including improved national biosecurity response, surveillance and scientific capabilities, vaccines for priority threatened bird species, enhanced wild bird surveillance through Wildlife Health Australia, and a national communications campaign</w:t>
      </w:r>
    </w:p>
    <w:p w14:paraId="3DB87C55" w14:textId="64C95CEB" w:rsidR="00B449D0" w:rsidRDefault="00175344">
      <w:pPr>
        <w:pStyle w:val="Bullet"/>
      </w:pPr>
      <w:r>
        <w:t xml:space="preserve">$35.9 million over two years from 2024–25 for initiatives to protect threatened species and priority biodiversity against HPAI H5N1, including preparedness and response planning for the most vulnerable species and places, including Commonwealth </w:t>
      </w:r>
      <w:r w:rsidR="009B508A">
        <w:t>n</w:t>
      </w:r>
      <w:r>
        <w:t>ational</w:t>
      </w:r>
      <w:r w:rsidR="00093FDE">
        <w:t> </w:t>
      </w:r>
      <w:r>
        <w:t>parks</w:t>
      </w:r>
    </w:p>
    <w:p w14:paraId="698695AE" w14:textId="77777777" w:rsidR="00B449D0" w:rsidRDefault="00175344">
      <w:pPr>
        <w:pStyle w:val="Bullet"/>
      </w:pPr>
      <w:r>
        <w:t>$22.1 million over two years from 2024–25 to strengthen public health HPAI H5N1 preparedness by increasing the number of HPAI vaccines for human infections in the National Medical Stockpile.</w:t>
      </w:r>
    </w:p>
    <w:p w14:paraId="6B291504" w14:textId="77777777" w:rsidR="00B449D0" w:rsidRDefault="00175344">
      <w:pPr>
        <w:pStyle w:val="Normal2"/>
      </w:pPr>
      <w:r>
        <w:t>The Treasury manages Commonwealth payments to the states and territories.</w:t>
      </w:r>
    </w:p>
    <w:p w14:paraId="22182E5F" w14:textId="77777777" w:rsidR="00B449D0" w:rsidRDefault="00175344">
      <w:pPr>
        <w:pStyle w:val="Normal2"/>
      </w:pPr>
      <w:r w:rsidRPr="7F762F0D">
        <w:rPr>
          <w:lang w:val="en-US"/>
        </w:rPr>
        <w:t>The cost of this measure will be partially met from within the existing resourcing of the Department of Agriculture, Fisheries and Forestry.</w:t>
      </w:r>
    </w:p>
    <w:p w14:paraId="2525966D" w14:textId="77777777" w:rsidR="00B449D0" w:rsidRDefault="00B449D0" w:rsidP="009F634E">
      <w:pPr>
        <w:pStyle w:val="SingleParagraph0"/>
        <w:sectPr w:rsidR="00B449D0" w:rsidSect="00301E48">
          <w:headerReference w:type="even" r:id="rId42"/>
          <w:headerReference w:type="default" r:id="rId43"/>
          <w:footerReference w:type="even" r:id="rId44"/>
          <w:footerReference w:type="default" r:id="rId45"/>
          <w:headerReference w:type="first" r:id="rId46"/>
          <w:footerReference w:type="first" r:id="rId47"/>
          <w:pgSz w:w="11906" w:h="16838"/>
          <w:pgMar w:top="2835" w:right="2098" w:bottom="2466" w:left="2098" w:header="1814" w:footer="1814" w:gutter="0"/>
          <w:cols w:space="720"/>
          <w:docGrid w:linePitch="272"/>
        </w:sectPr>
      </w:pPr>
    </w:p>
    <w:p w14:paraId="2E08A472" w14:textId="1B39405B" w:rsidR="00B449D0" w:rsidRDefault="00175344">
      <w:pPr>
        <w:pStyle w:val="PortfolioName"/>
      </w:pPr>
      <w:r>
        <w:lastRenderedPageBreak/>
        <w:t>Attorney</w:t>
      </w:r>
      <w:r w:rsidR="004C0683">
        <w:t>-</w:t>
      </w:r>
      <w:r>
        <w:t>General</w:t>
      </w:r>
      <w:r w:rsidR="00076D78">
        <w:t>’</w:t>
      </w:r>
      <w:r>
        <w:t>s</w:t>
      </w:r>
    </w:p>
    <w:p w14:paraId="1C9982E2" w14:textId="77337289" w:rsidR="00B449D0" w:rsidRDefault="00175344">
      <w:pPr>
        <w:pStyle w:val="MeasureTitle"/>
      </w:pPr>
      <w:r w:rsidRPr="7F762F0D">
        <w:rPr>
          <w:lang w:val="en-US"/>
        </w:rPr>
        <w:t>Attorney‑General</w:t>
      </w:r>
      <w:r w:rsidR="00076D78">
        <w:rPr>
          <w:lang w:val="en-US"/>
        </w:rPr>
        <w:t>’</w:t>
      </w:r>
      <w:r w:rsidRPr="7F762F0D">
        <w:rPr>
          <w:lang w:val="en-US"/>
        </w:rPr>
        <w:t>s Portfolio – additional resourcing</w:t>
      </w:r>
    </w:p>
    <w:p w14:paraId="483EC6EE"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7EB64BB7" w14:textId="77777777">
        <w:trPr>
          <w:cantSplit/>
        </w:trPr>
        <w:tc>
          <w:tcPr>
            <w:tcW w:w="2494" w:type="dxa"/>
            <w:tcBorders>
              <w:top w:val="single" w:sz="4" w:space="0" w:color="000000"/>
              <w:bottom w:val="single" w:sz="4" w:space="0" w:color="000000"/>
            </w:tcBorders>
          </w:tcPr>
          <w:p w14:paraId="2B628675" w14:textId="77777777" w:rsidR="00B449D0" w:rsidRDefault="00B449D0">
            <w:pPr>
              <w:pStyle w:val="MeasureTableYearHeadings"/>
              <w:keepNext/>
            </w:pPr>
          </w:p>
        </w:tc>
        <w:tc>
          <w:tcPr>
            <w:tcW w:w="1043" w:type="dxa"/>
            <w:tcBorders>
              <w:top w:val="single" w:sz="4" w:space="0" w:color="000000"/>
              <w:bottom w:val="single" w:sz="4" w:space="0" w:color="000000"/>
            </w:tcBorders>
          </w:tcPr>
          <w:p w14:paraId="7DCD02DA" w14:textId="70B4EAF1"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3CF368EB" w14:textId="6A73686A"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610CE5CC" w14:textId="1AB72669"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46D8A890" w14:textId="3815AB34"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00C773E8" w14:textId="1B435CA6" w:rsidR="00B449D0" w:rsidRDefault="00175344">
            <w:pPr>
              <w:pStyle w:val="MeasureTableYearHeadings"/>
              <w:keepNext/>
            </w:pPr>
            <w:r>
              <w:t>2027</w:t>
            </w:r>
            <w:r w:rsidR="00076D78">
              <w:noBreakHyphen/>
            </w:r>
            <w:r>
              <w:t>28</w:t>
            </w:r>
          </w:p>
        </w:tc>
      </w:tr>
      <w:tr w:rsidR="00B449D0" w14:paraId="66D8D8C9" w14:textId="77777777">
        <w:trPr>
          <w:cantSplit/>
        </w:trPr>
        <w:tc>
          <w:tcPr>
            <w:tcW w:w="2494" w:type="dxa"/>
            <w:tcBorders>
              <w:top w:val="single" w:sz="4" w:space="0" w:color="000000"/>
              <w:bottom w:val="single" w:sz="4" w:space="0" w:color="000000"/>
            </w:tcBorders>
          </w:tcPr>
          <w:p w14:paraId="3283B3C7" w14:textId="77777777" w:rsidR="00B449D0" w:rsidRDefault="00175344">
            <w:pPr>
              <w:pStyle w:val="MeasureTableHeadingleftalignedwith2ptsspacing"/>
              <w:keepNext/>
            </w:pPr>
            <w:r>
              <w:t>Australian Federal Police</w:t>
            </w:r>
          </w:p>
        </w:tc>
        <w:tc>
          <w:tcPr>
            <w:tcW w:w="1043" w:type="dxa"/>
            <w:tcBorders>
              <w:top w:val="single" w:sz="4" w:space="0" w:color="000000"/>
              <w:bottom w:val="single" w:sz="4" w:space="0" w:color="000000"/>
            </w:tcBorders>
          </w:tcPr>
          <w:p w14:paraId="0194A7E6" w14:textId="53C59E11"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EF9C46C" w14:textId="77777777" w:rsidR="00B449D0" w:rsidRDefault="00175344">
            <w:pPr>
              <w:pStyle w:val="MeasureTableDataRightAlignedwith2ptsspacing"/>
              <w:keepNext/>
            </w:pPr>
            <w:r>
              <w:t>15.1</w:t>
            </w:r>
          </w:p>
        </w:tc>
        <w:tc>
          <w:tcPr>
            <w:tcW w:w="1043" w:type="dxa"/>
            <w:tcBorders>
              <w:top w:val="single" w:sz="4" w:space="0" w:color="000000"/>
              <w:bottom w:val="single" w:sz="4" w:space="0" w:color="000000"/>
            </w:tcBorders>
          </w:tcPr>
          <w:p w14:paraId="0EF140F9" w14:textId="77777777" w:rsidR="00B449D0" w:rsidRDefault="00175344">
            <w:pPr>
              <w:pStyle w:val="MeasureTableDataRightAlignedwith2ptsspacing"/>
              <w:keepNext/>
            </w:pPr>
            <w:r>
              <w:t>14.5</w:t>
            </w:r>
          </w:p>
        </w:tc>
        <w:tc>
          <w:tcPr>
            <w:tcW w:w="1043" w:type="dxa"/>
            <w:tcBorders>
              <w:top w:val="single" w:sz="4" w:space="0" w:color="000000"/>
              <w:bottom w:val="single" w:sz="4" w:space="0" w:color="000000"/>
            </w:tcBorders>
          </w:tcPr>
          <w:p w14:paraId="58565850" w14:textId="48648970"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386D653" w14:textId="1F84748F" w:rsidR="00B449D0" w:rsidRDefault="00076D78">
            <w:pPr>
              <w:pStyle w:val="MeasureTableDataRightAlignedwith2ptsspacing"/>
              <w:keepNext/>
            </w:pPr>
            <w:r>
              <w:noBreakHyphen/>
            </w:r>
          </w:p>
        </w:tc>
      </w:tr>
      <w:tr w:rsidR="00B449D0" w14:paraId="37A1A9B0" w14:textId="77777777">
        <w:trPr>
          <w:cantSplit/>
        </w:trPr>
        <w:tc>
          <w:tcPr>
            <w:tcW w:w="2494" w:type="dxa"/>
            <w:tcBorders>
              <w:top w:val="single" w:sz="4" w:space="0" w:color="000000"/>
              <w:bottom w:val="single" w:sz="4" w:space="0" w:color="000000"/>
            </w:tcBorders>
          </w:tcPr>
          <w:p w14:paraId="28017E6C" w14:textId="77777777" w:rsidR="00B449D0" w:rsidRDefault="00175344">
            <w:pPr>
              <w:pStyle w:val="MeasureTableHeadingleftalignedwith2ptsspacing"/>
              <w:keepNext/>
            </w:pPr>
            <w:r>
              <w:t>Office of the Australian Information Commissioner</w:t>
            </w:r>
          </w:p>
        </w:tc>
        <w:tc>
          <w:tcPr>
            <w:tcW w:w="1043" w:type="dxa"/>
            <w:tcBorders>
              <w:top w:val="single" w:sz="4" w:space="0" w:color="000000"/>
              <w:bottom w:val="single" w:sz="4" w:space="0" w:color="000000"/>
            </w:tcBorders>
          </w:tcPr>
          <w:p w14:paraId="5C5BC22F" w14:textId="1BB8DC06"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73573D1" w14:textId="77777777" w:rsidR="00B449D0" w:rsidRDefault="00175344">
            <w:pPr>
              <w:pStyle w:val="MeasureTableDataRightAlignedwith2ptsspacing"/>
              <w:keepNext/>
            </w:pPr>
            <w:r>
              <w:t>0.5</w:t>
            </w:r>
          </w:p>
        </w:tc>
        <w:tc>
          <w:tcPr>
            <w:tcW w:w="1043" w:type="dxa"/>
            <w:tcBorders>
              <w:top w:val="single" w:sz="4" w:space="0" w:color="000000"/>
              <w:bottom w:val="single" w:sz="4" w:space="0" w:color="000000"/>
            </w:tcBorders>
          </w:tcPr>
          <w:p w14:paraId="68A90498" w14:textId="77777777" w:rsidR="00B449D0" w:rsidRDefault="00175344">
            <w:pPr>
              <w:pStyle w:val="MeasureTableDataRightAlignedwith2ptsspacing"/>
              <w:keepNext/>
            </w:pPr>
            <w:r>
              <w:t>1.2</w:t>
            </w:r>
          </w:p>
        </w:tc>
        <w:tc>
          <w:tcPr>
            <w:tcW w:w="1043" w:type="dxa"/>
            <w:tcBorders>
              <w:top w:val="single" w:sz="4" w:space="0" w:color="000000"/>
              <w:bottom w:val="single" w:sz="4" w:space="0" w:color="000000"/>
            </w:tcBorders>
          </w:tcPr>
          <w:p w14:paraId="37223C19" w14:textId="77777777" w:rsidR="00B449D0" w:rsidRDefault="00175344">
            <w:pPr>
              <w:pStyle w:val="MeasureTableDataRightAlignedwith2ptsspacing"/>
              <w:keepNext/>
            </w:pPr>
            <w:r>
              <w:t>1.3</w:t>
            </w:r>
          </w:p>
        </w:tc>
        <w:tc>
          <w:tcPr>
            <w:tcW w:w="1043" w:type="dxa"/>
            <w:tcBorders>
              <w:top w:val="single" w:sz="4" w:space="0" w:color="000000"/>
              <w:bottom w:val="single" w:sz="4" w:space="0" w:color="000000"/>
            </w:tcBorders>
          </w:tcPr>
          <w:p w14:paraId="37684EBE" w14:textId="56F5A8D9" w:rsidR="00B449D0" w:rsidRDefault="00076D78">
            <w:pPr>
              <w:pStyle w:val="MeasureTableDataRightAlignedwith2ptsspacing"/>
              <w:keepNext/>
            </w:pPr>
            <w:r>
              <w:noBreakHyphen/>
            </w:r>
          </w:p>
        </w:tc>
      </w:tr>
      <w:tr w:rsidR="00B449D0" w14:paraId="5A7BA8B0" w14:textId="77777777">
        <w:trPr>
          <w:cantSplit/>
        </w:trPr>
        <w:tc>
          <w:tcPr>
            <w:tcW w:w="2494" w:type="dxa"/>
            <w:tcBorders>
              <w:top w:val="single" w:sz="4" w:space="0" w:color="000000"/>
              <w:bottom w:val="single" w:sz="4" w:space="0" w:color="000000"/>
            </w:tcBorders>
          </w:tcPr>
          <w:p w14:paraId="4FF79689" w14:textId="77777777" w:rsidR="00B449D0" w:rsidRDefault="00175344">
            <w:pPr>
              <w:pStyle w:val="MeasureTableHeadingleftalignedwith2ptsspacing"/>
              <w:keepNext/>
            </w:pPr>
            <w:r>
              <w:t>Australian Security Intelligence Organisation</w:t>
            </w:r>
          </w:p>
        </w:tc>
        <w:tc>
          <w:tcPr>
            <w:tcW w:w="1043" w:type="dxa"/>
            <w:tcBorders>
              <w:top w:val="single" w:sz="4" w:space="0" w:color="000000"/>
              <w:bottom w:val="single" w:sz="4" w:space="0" w:color="000000"/>
            </w:tcBorders>
          </w:tcPr>
          <w:p w14:paraId="6856D830" w14:textId="3430B2A1"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66B0A225" w14:textId="2EF3EB94"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149572F" w14:textId="77777777" w:rsidR="00B449D0" w:rsidRDefault="00175344">
            <w:pPr>
              <w:pStyle w:val="MeasureTableDataRightAlignedwith2ptsspacing"/>
              <w:keepNext/>
            </w:pPr>
            <w:r>
              <w:t>3.9</w:t>
            </w:r>
          </w:p>
        </w:tc>
        <w:tc>
          <w:tcPr>
            <w:tcW w:w="1043" w:type="dxa"/>
            <w:tcBorders>
              <w:top w:val="single" w:sz="4" w:space="0" w:color="000000"/>
              <w:bottom w:val="single" w:sz="4" w:space="0" w:color="000000"/>
            </w:tcBorders>
          </w:tcPr>
          <w:p w14:paraId="15A27593" w14:textId="6F99C91C"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4855788" w14:textId="1B5DACE8" w:rsidR="00B449D0" w:rsidRDefault="00076D78">
            <w:pPr>
              <w:pStyle w:val="MeasureTableDataRightAlignedwith2ptsspacing"/>
              <w:keepNext/>
            </w:pPr>
            <w:r>
              <w:noBreakHyphen/>
            </w:r>
          </w:p>
        </w:tc>
      </w:tr>
      <w:tr w:rsidR="00B449D0" w14:paraId="6E7B8053" w14:textId="77777777">
        <w:trPr>
          <w:cantSplit/>
        </w:trPr>
        <w:tc>
          <w:tcPr>
            <w:tcW w:w="2494" w:type="dxa"/>
            <w:tcBorders>
              <w:top w:val="single" w:sz="4" w:space="0" w:color="000000"/>
              <w:bottom w:val="single" w:sz="4" w:space="0" w:color="000000"/>
            </w:tcBorders>
          </w:tcPr>
          <w:p w14:paraId="55034F30" w14:textId="12547F7C" w:rsidR="00B449D0" w:rsidRDefault="00175344">
            <w:pPr>
              <w:pStyle w:val="MeasureTableHeadingleftalignedwith2ptsspacing"/>
              <w:keepNext/>
            </w:pPr>
            <w:r>
              <w:t>Attorney</w:t>
            </w:r>
            <w:r w:rsidR="00076D78">
              <w:noBreakHyphen/>
            </w:r>
            <w:r>
              <w:t>General</w:t>
            </w:r>
            <w:r w:rsidR="00076D78">
              <w:t>’</w:t>
            </w:r>
            <w:r>
              <w:t>s Department</w:t>
            </w:r>
          </w:p>
        </w:tc>
        <w:tc>
          <w:tcPr>
            <w:tcW w:w="1043" w:type="dxa"/>
            <w:tcBorders>
              <w:top w:val="single" w:sz="4" w:space="0" w:color="000000"/>
              <w:bottom w:val="single" w:sz="4" w:space="0" w:color="000000"/>
            </w:tcBorders>
          </w:tcPr>
          <w:p w14:paraId="7B01C9D0" w14:textId="417F7510"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EA8278D" w14:textId="06BF0256"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640210C8" w14:textId="77777777" w:rsidR="00B449D0" w:rsidRDefault="00175344">
            <w:pPr>
              <w:pStyle w:val="MeasureTableDataRightAlignedwith2ptsspacing"/>
              <w:keepNext/>
            </w:pPr>
            <w:r>
              <w:t>1.8</w:t>
            </w:r>
          </w:p>
        </w:tc>
        <w:tc>
          <w:tcPr>
            <w:tcW w:w="1043" w:type="dxa"/>
            <w:tcBorders>
              <w:top w:val="single" w:sz="4" w:space="0" w:color="000000"/>
              <w:bottom w:val="single" w:sz="4" w:space="0" w:color="000000"/>
            </w:tcBorders>
          </w:tcPr>
          <w:p w14:paraId="3E4AAA37" w14:textId="10217DE3"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170C67D" w14:textId="11FE62AE" w:rsidR="00B449D0" w:rsidRDefault="00076D78">
            <w:pPr>
              <w:pStyle w:val="MeasureTableDataRightAlignedwith2ptsspacing"/>
              <w:keepNext/>
            </w:pPr>
            <w:r>
              <w:noBreakHyphen/>
            </w:r>
          </w:p>
        </w:tc>
      </w:tr>
      <w:tr w:rsidR="00B449D0" w14:paraId="40959C90" w14:textId="77777777">
        <w:trPr>
          <w:cantSplit/>
        </w:trPr>
        <w:tc>
          <w:tcPr>
            <w:tcW w:w="2494" w:type="dxa"/>
            <w:tcBorders>
              <w:top w:val="single" w:sz="4" w:space="0" w:color="000000"/>
              <w:bottom w:val="single" w:sz="4" w:space="0" w:color="000000"/>
            </w:tcBorders>
          </w:tcPr>
          <w:p w14:paraId="12F6E4F8" w14:textId="77777777" w:rsidR="00B449D0" w:rsidRDefault="00175344">
            <w:pPr>
              <w:pStyle w:val="MeasureTableHeadingleftalignedwith2ptsspacing"/>
              <w:keepNext/>
            </w:pPr>
            <w:r>
              <w:t>Various Agencies</w:t>
            </w:r>
          </w:p>
        </w:tc>
        <w:tc>
          <w:tcPr>
            <w:tcW w:w="1043" w:type="dxa"/>
            <w:tcBorders>
              <w:top w:val="single" w:sz="4" w:space="0" w:color="000000"/>
              <w:bottom w:val="single" w:sz="4" w:space="0" w:color="000000"/>
            </w:tcBorders>
          </w:tcPr>
          <w:p w14:paraId="24BAB877" w14:textId="49FD6BD9"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A4373D1" w14:textId="39601A3F"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8BED072" w14:textId="25E708A0"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B4F961B" w14:textId="36FBA964"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73E6AD7" w14:textId="22A7456F" w:rsidR="00B449D0" w:rsidRDefault="00076D78">
            <w:pPr>
              <w:pStyle w:val="MeasureTableDataRightAlignedwith2ptsspacing"/>
              <w:keepNext/>
            </w:pPr>
            <w:r>
              <w:noBreakHyphen/>
            </w:r>
          </w:p>
        </w:tc>
      </w:tr>
      <w:tr w:rsidR="00B449D0" w14:paraId="41E7AC6A" w14:textId="77777777">
        <w:trPr>
          <w:cantSplit/>
        </w:trPr>
        <w:tc>
          <w:tcPr>
            <w:tcW w:w="2494" w:type="dxa"/>
            <w:tcBorders>
              <w:top w:val="single" w:sz="4" w:space="0" w:color="000000"/>
              <w:bottom w:val="single" w:sz="4" w:space="0" w:color="000000"/>
            </w:tcBorders>
          </w:tcPr>
          <w:p w14:paraId="46A40DB7"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1EAEF14F" w14:textId="02D65D2D"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386C36A5" w14:textId="77777777" w:rsidR="00B449D0" w:rsidRDefault="00175344">
            <w:pPr>
              <w:pStyle w:val="Totaldatarowrightaligned"/>
              <w:keepNext/>
            </w:pPr>
            <w:r>
              <w:t>15.6</w:t>
            </w:r>
          </w:p>
        </w:tc>
        <w:tc>
          <w:tcPr>
            <w:tcW w:w="1043" w:type="dxa"/>
            <w:tcBorders>
              <w:top w:val="single" w:sz="4" w:space="0" w:color="000000"/>
              <w:bottom w:val="single" w:sz="4" w:space="0" w:color="000000"/>
            </w:tcBorders>
          </w:tcPr>
          <w:p w14:paraId="2A7934B4" w14:textId="77777777" w:rsidR="00B449D0" w:rsidRDefault="00175344">
            <w:pPr>
              <w:pStyle w:val="Totaldatarowrightaligned"/>
              <w:keepNext/>
            </w:pPr>
            <w:r>
              <w:t>21.3</w:t>
            </w:r>
          </w:p>
        </w:tc>
        <w:tc>
          <w:tcPr>
            <w:tcW w:w="1043" w:type="dxa"/>
            <w:tcBorders>
              <w:top w:val="single" w:sz="4" w:space="0" w:color="000000"/>
              <w:bottom w:val="single" w:sz="4" w:space="0" w:color="000000"/>
            </w:tcBorders>
          </w:tcPr>
          <w:p w14:paraId="06E7B24A" w14:textId="77777777" w:rsidR="00B449D0" w:rsidRDefault="00175344">
            <w:pPr>
              <w:pStyle w:val="Totaldatarowrightaligned"/>
              <w:keepNext/>
            </w:pPr>
            <w:r>
              <w:t>1.3</w:t>
            </w:r>
          </w:p>
        </w:tc>
        <w:tc>
          <w:tcPr>
            <w:tcW w:w="1043" w:type="dxa"/>
            <w:tcBorders>
              <w:top w:val="single" w:sz="4" w:space="0" w:color="000000"/>
              <w:bottom w:val="single" w:sz="4" w:space="0" w:color="000000"/>
            </w:tcBorders>
          </w:tcPr>
          <w:p w14:paraId="01AF6CA5" w14:textId="34004212" w:rsidR="00B449D0" w:rsidRDefault="00076D78">
            <w:pPr>
              <w:pStyle w:val="Totaldatarowrightaligned"/>
              <w:keepNext/>
            </w:pPr>
            <w:r>
              <w:noBreakHyphen/>
            </w:r>
          </w:p>
        </w:tc>
      </w:tr>
    </w:tbl>
    <w:p w14:paraId="6FCE3A5F" w14:textId="77777777" w:rsidR="00B449D0" w:rsidRPr="00ED3A9B" w:rsidRDefault="00B449D0" w:rsidP="00380A42">
      <w:pPr>
        <w:pStyle w:val="SingleParagraph0"/>
      </w:pPr>
    </w:p>
    <w:p w14:paraId="55A23384" w14:textId="213A6600" w:rsidR="00B449D0" w:rsidRDefault="00175344">
      <w:pPr>
        <w:pStyle w:val="Normal2"/>
      </w:pPr>
      <w:r>
        <w:t>The Government will provide $78.0 million over three years from 2024–25 to support the delivery of Government priorities in the Attorney‑General</w:t>
      </w:r>
      <w:r w:rsidR="00076D78">
        <w:t>’</w:t>
      </w:r>
      <w:r>
        <w:t>s portfolio, including:</w:t>
      </w:r>
    </w:p>
    <w:p w14:paraId="4A9F2319" w14:textId="77777777" w:rsidR="00B449D0" w:rsidRDefault="00175344">
      <w:pPr>
        <w:pStyle w:val="Bullet"/>
      </w:pPr>
      <w:r>
        <w:t xml:space="preserve">$39.8 million over three years from 2024–25 for crime prevention and law enforcement initiatives, with costs to be met from the Confiscated Assets Account under the </w:t>
      </w:r>
      <w:r w:rsidRPr="00175344">
        <w:rPr>
          <w:i/>
        </w:rPr>
        <w:t>Proceeds of Crime Act 2002</w:t>
      </w:r>
    </w:p>
    <w:p w14:paraId="56124F3F" w14:textId="77777777" w:rsidR="00B449D0" w:rsidRDefault="00175344">
      <w:pPr>
        <w:pStyle w:val="Bullet"/>
      </w:pPr>
      <w:r>
        <w:t>$26.7 million over two years from 2024–25 for the Australian Federal Police (AFP) to enhance capabilities to counter people smuggling in support of border protection activities</w:t>
      </w:r>
    </w:p>
    <w:p w14:paraId="17770393" w14:textId="227B7435" w:rsidR="00B449D0" w:rsidRDefault="00175344">
      <w:pPr>
        <w:pStyle w:val="Bullet"/>
      </w:pPr>
      <w:r>
        <w:t>$8.6 million in 2025–26 for the Attorney‑General</w:t>
      </w:r>
      <w:r w:rsidR="00076D78">
        <w:t>’</w:t>
      </w:r>
      <w:r>
        <w:t>s Department, the Australian Security Intelligence Organisation and the AFP to continue facilitating access to data for law enforcement and national security purposes under the AUS‑US Data Access Agreement</w:t>
      </w:r>
    </w:p>
    <w:p w14:paraId="4BD0D028" w14:textId="46199987" w:rsidR="00B449D0" w:rsidRDefault="00175344">
      <w:pPr>
        <w:pStyle w:val="Bullet"/>
      </w:pPr>
      <w:r>
        <w:t>$3.0 million over three years from 2024–25 for the Office of the Australian Information Commissioner to develop a Children</w:t>
      </w:r>
      <w:r w:rsidR="00076D78">
        <w:t>’</w:t>
      </w:r>
      <w:r>
        <w:t>s Online Privacy Code.</w:t>
      </w:r>
    </w:p>
    <w:p w14:paraId="24CE5963" w14:textId="77777777" w:rsidR="00B449D0" w:rsidRDefault="00175344">
      <w:pPr>
        <w:pStyle w:val="Normal2"/>
      </w:pPr>
      <w:r w:rsidRPr="7F762F0D">
        <w:rPr>
          <w:lang w:val="en-US"/>
        </w:rPr>
        <w:t>The Government has also provided for additional crime prevention and community safety initiatives. Funding for these initiatives is not for publication (nfp) pending finalisation of grant details.</w:t>
      </w:r>
    </w:p>
    <w:p w14:paraId="1B47F00D" w14:textId="77777777" w:rsidR="00B449D0" w:rsidRDefault="00175344">
      <w:pPr>
        <w:pStyle w:val="MeasureTitle"/>
      </w:pPr>
      <w:r>
        <w:t>Family Law System – improving access</w:t>
      </w:r>
    </w:p>
    <w:p w14:paraId="31D0E855"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1B7CF3FC" w14:textId="77777777">
        <w:trPr>
          <w:cantSplit/>
        </w:trPr>
        <w:tc>
          <w:tcPr>
            <w:tcW w:w="2494" w:type="dxa"/>
            <w:tcBorders>
              <w:top w:val="single" w:sz="4" w:space="0" w:color="000000"/>
              <w:bottom w:val="single" w:sz="4" w:space="0" w:color="000000"/>
            </w:tcBorders>
          </w:tcPr>
          <w:p w14:paraId="366DD4E7" w14:textId="77777777" w:rsidR="00B449D0" w:rsidRDefault="00B449D0">
            <w:pPr>
              <w:pStyle w:val="MeasureTableYearHeadings"/>
              <w:keepNext/>
            </w:pPr>
          </w:p>
        </w:tc>
        <w:tc>
          <w:tcPr>
            <w:tcW w:w="1043" w:type="dxa"/>
            <w:tcBorders>
              <w:top w:val="single" w:sz="4" w:space="0" w:color="000000"/>
              <w:bottom w:val="single" w:sz="4" w:space="0" w:color="000000"/>
            </w:tcBorders>
          </w:tcPr>
          <w:p w14:paraId="2E8D7B75" w14:textId="7DDF324A"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04C613AB" w14:textId="727962AE"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3DED4AA2" w14:textId="62E24094"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5354F594" w14:textId="1A7D8C6F"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7D5E089A" w14:textId="4417CC56" w:rsidR="00B449D0" w:rsidRDefault="00175344">
            <w:pPr>
              <w:pStyle w:val="MeasureTableYearHeadings"/>
              <w:keepNext/>
            </w:pPr>
            <w:r>
              <w:t>2027</w:t>
            </w:r>
            <w:r w:rsidR="00076D78">
              <w:noBreakHyphen/>
            </w:r>
            <w:r>
              <w:t>28</w:t>
            </w:r>
          </w:p>
        </w:tc>
      </w:tr>
      <w:tr w:rsidR="00B449D0" w14:paraId="567D7636" w14:textId="77777777">
        <w:trPr>
          <w:cantSplit/>
        </w:trPr>
        <w:tc>
          <w:tcPr>
            <w:tcW w:w="2494" w:type="dxa"/>
            <w:tcBorders>
              <w:top w:val="single" w:sz="4" w:space="0" w:color="000000"/>
              <w:bottom w:val="single" w:sz="4" w:space="0" w:color="000000"/>
            </w:tcBorders>
          </w:tcPr>
          <w:p w14:paraId="23A8BDBA" w14:textId="77777777" w:rsidR="00B449D0" w:rsidRDefault="00175344">
            <w:pPr>
              <w:pStyle w:val="MeasureTableHeadingleftalignedwith2ptsspacing"/>
              <w:keepNext/>
            </w:pPr>
            <w:r>
              <w:t>Federal Court of Australia</w:t>
            </w:r>
          </w:p>
        </w:tc>
        <w:tc>
          <w:tcPr>
            <w:tcW w:w="1043" w:type="dxa"/>
            <w:tcBorders>
              <w:top w:val="single" w:sz="4" w:space="0" w:color="000000"/>
              <w:bottom w:val="single" w:sz="4" w:space="0" w:color="000000"/>
            </w:tcBorders>
          </w:tcPr>
          <w:p w14:paraId="1B833E5F" w14:textId="043E0FB9"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4FC8606" w14:textId="51181DD2"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6AE60E8" w14:textId="77777777" w:rsidR="00B449D0" w:rsidRDefault="00175344">
            <w:pPr>
              <w:pStyle w:val="MeasureTableDataRightAlignedwith2ptsspacing"/>
              <w:keepNext/>
            </w:pPr>
            <w:r>
              <w:t>14.7</w:t>
            </w:r>
          </w:p>
        </w:tc>
        <w:tc>
          <w:tcPr>
            <w:tcW w:w="1043" w:type="dxa"/>
            <w:tcBorders>
              <w:top w:val="single" w:sz="4" w:space="0" w:color="000000"/>
              <w:bottom w:val="single" w:sz="4" w:space="0" w:color="000000"/>
            </w:tcBorders>
          </w:tcPr>
          <w:p w14:paraId="5AC87E1E" w14:textId="77777777" w:rsidR="00B449D0" w:rsidRDefault="00175344">
            <w:pPr>
              <w:pStyle w:val="MeasureTableDataRightAlignedwith2ptsspacing"/>
              <w:keepNext/>
            </w:pPr>
            <w:r>
              <w:t>14.9</w:t>
            </w:r>
          </w:p>
        </w:tc>
        <w:tc>
          <w:tcPr>
            <w:tcW w:w="1043" w:type="dxa"/>
            <w:tcBorders>
              <w:top w:val="single" w:sz="4" w:space="0" w:color="000000"/>
              <w:bottom w:val="single" w:sz="4" w:space="0" w:color="000000"/>
            </w:tcBorders>
          </w:tcPr>
          <w:p w14:paraId="589B3CEF" w14:textId="77777777" w:rsidR="00B449D0" w:rsidRDefault="00175344">
            <w:pPr>
              <w:pStyle w:val="MeasureTableDataRightAlignedwith2ptsspacing"/>
              <w:keepNext/>
            </w:pPr>
            <w:r>
              <w:t>15.0</w:t>
            </w:r>
          </w:p>
        </w:tc>
      </w:tr>
    </w:tbl>
    <w:p w14:paraId="262CEA35" w14:textId="77777777" w:rsidR="00B449D0" w:rsidRPr="00ED3A9B" w:rsidRDefault="00B449D0" w:rsidP="00380A42">
      <w:pPr>
        <w:pStyle w:val="SingleParagraph0"/>
      </w:pPr>
    </w:p>
    <w:p w14:paraId="2421BF02" w14:textId="77777777" w:rsidR="00B449D0" w:rsidRDefault="00175344">
      <w:pPr>
        <w:pStyle w:val="Normal2"/>
      </w:pPr>
      <w:r>
        <w:t>The Government will provide $44.5 million over three years from 2025–26 (and $15.2 million per year ongoing) to the Federal Circuit and Family Court of Australia to continue providing family law case management services to improve outcomes for vulnerable groups and victims of family and domestic violence.</w:t>
      </w:r>
    </w:p>
    <w:p w14:paraId="3DA97BB4" w14:textId="77777777" w:rsidR="00B449D0" w:rsidRDefault="00175344">
      <w:pPr>
        <w:pStyle w:val="MeasureTitle"/>
      </w:pPr>
      <w:r>
        <w:lastRenderedPageBreak/>
        <w:t>National Access to Justice Partnership</w:t>
      </w:r>
    </w:p>
    <w:p w14:paraId="29FB8946"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774CD9C7" w14:textId="77777777">
        <w:trPr>
          <w:cantSplit/>
        </w:trPr>
        <w:tc>
          <w:tcPr>
            <w:tcW w:w="2494" w:type="dxa"/>
            <w:tcBorders>
              <w:top w:val="single" w:sz="4" w:space="0" w:color="000000"/>
              <w:bottom w:val="single" w:sz="4" w:space="0" w:color="000000"/>
            </w:tcBorders>
          </w:tcPr>
          <w:p w14:paraId="31CE16F3" w14:textId="77777777" w:rsidR="00B449D0" w:rsidRDefault="00B449D0">
            <w:pPr>
              <w:pStyle w:val="MeasureTableYearHeadings"/>
              <w:keepNext/>
            </w:pPr>
          </w:p>
        </w:tc>
        <w:tc>
          <w:tcPr>
            <w:tcW w:w="1043" w:type="dxa"/>
            <w:tcBorders>
              <w:top w:val="single" w:sz="4" w:space="0" w:color="000000"/>
              <w:bottom w:val="single" w:sz="4" w:space="0" w:color="000000"/>
            </w:tcBorders>
          </w:tcPr>
          <w:p w14:paraId="4A533DEC" w14:textId="2CAC1BC5"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767B51CF" w14:textId="0B85BF23"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73FE728C" w14:textId="67C150FE"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037D6AE9" w14:textId="6EE3E580"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7D7B1E78" w14:textId="66172BE1" w:rsidR="00B449D0" w:rsidRDefault="00175344">
            <w:pPr>
              <w:pStyle w:val="MeasureTableYearHeadings"/>
              <w:keepNext/>
            </w:pPr>
            <w:r>
              <w:t>2027</w:t>
            </w:r>
            <w:r w:rsidR="00076D78">
              <w:noBreakHyphen/>
            </w:r>
            <w:r>
              <w:t>28</w:t>
            </w:r>
          </w:p>
        </w:tc>
      </w:tr>
      <w:tr w:rsidR="00B449D0" w14:paraId="57C5A346" w14:textId="77777777">
        <w:trPr>
          <w:cantSplit/>
        </w:trPr>
        <w:tc>
          <w:tcPr>
            <w:tcW w:w="2494" w:type="dxa"/>
            <w:tcBorders>
              <w:top w:val="single" w:sz="4" w:space="0" w:color="000000"/>
              <w:bottom w:val="single" w:sz="4" w:space="0" w:color="000000"/>
            </w:tcBorders>
          </w:tcPr>
          <w:p w14:paraId="5A4B8E9E" w14:textId="77777777" w:rsidR="00B449D0" w:rsidRDefault="00175344">
            <w:pPr>
              <w:pStyle w:val="MeasureTableHeadingleftalignedwith2ptsspacing"/>
              <w:keepNext/>
            </w:pPr>
            <w:r>
              <w:t>Department of the Treasury</w:t>
            </w:r>
          </w:p>
        </w:tc>
        <w:tc>
          <w:tcPr>
            <w:tcW w:w="1043" w:type="dxa"/>
            <w:tcBorders>
              <w:top w:val="single" w:sz="4" w:space="0" w:color="000000"/>
              <w:bottom w:val="single" w:sz="4" w:space="0" w:color="000000"/>
            </w:tcBorders>
          </w:tcPr>
          <w:p w14:paraId="1FAB2FD2" w14:textId="418E155F"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5565EC3" w14:textId="00DD7989"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D7E1FA7" w14:textId="77777777" w:rsidR="00B449D0" w:rsidRDefault="00175344">
            <w:pPr>
              <w:pStyle w:val="MeasureTableDataRightAlignedwith2ptsspacing"/>
              <w:keepNext/>
            </w:pPr>
            <w:r>
              <w:t>207.7</w:t>
            </w:r>
          </w:p>
        </w:tc>
        <w:tc>
          <w:tcPr>
            <w:tcW w:w="1043" w:type="dxa"/>
            <w:tcBorders>
              <w:top w:val="single" w:sz="4" w:space="0" w:color="000000"/>
              <w:bottom w:val="single" w:sz="4" w:space="0" w:color="000000"/>
            </w:tcBorders>
          </w:tcPr>
          <w:p w14:paraId="4A912814" w14:textId="77777777" w:rsidR="00B449D0" w:rsidRDefault="00175344">
            <w:pPr>
              <w:pStyle w:val="MeasureTableDataRightAlignedwith2ptsspacing"/>
              <w:keepNext/>
            </w:pPr>
            <w:r>
              <w:t>228.4</w:t>
            </w:r>
          </w:p>
        </w:tc>
        <w:tc>
          <w:tcPr>
            <w:tcW w:w="1043" w:type="dxa"/>
            <w:tcBorders>
              <w:top w:val="single" w:sz="4" w:space="0" w:color="000000"/>
              <w:bottom w:val="single" w:sz="4" w:space="0" w:color="000000"/>
            </w:tcBorders>
          </w:tcPr>
          <w:p w14:paraId="3DBB5C03" w14:textId="77777777" w:rsidR="00B449D0" w:rsidRDefault="00175344">
            <w:pPr>
              <w:pStyle w:val="MeasureTableDataRightAlignedwith2ptsspacing"/>
              <w:keepNext/>
            </w:pPr>
            <w:r>
              <w:t>243.6</w:t>
            </w:r>
          </w:p>
        </w:tc>
      </w:tr>
      <w:tr w:rsidR="00B449D0" w14:paraId="69879426" w14:textId="77777777">
        <w:trPr>
          <w:cantSplit/>
        </w:trPr>
        <w:tc>
          <w:tcPr>
            <w:tcW w:w="2494" w:type="dxa"/>
            <w:tcBorders>
              <w:top w:val="single" w:sz="4" w:space="0" w:color="000000"/>
              <w:bottom w:val="single" w:sz="4" w:space="0" w:color="000000"/>
            </w:tcBorders>
          </w:tcPr>
          <w:p w14:paraId="54159982" w14:textId="75E2D8A6" w:rsidR="00B449D0" w:rsidRDefault="00175344">
            <w:pPr>
              <w:pStyle w:val="MeasureTableHeadingleftalignedwith2ptsspacing"/>
              <w:keepNext/>
            </w:pPr>
            <w:r>
              <w:t>Attorney</w:t>
            </w:r>
            <w:r w:rsidR="00076D78">
              <w:noBreakHyphen/>
            </w:r>
            <w:r>
              <w:t>General</w:t>
            </w:r>
            <w:r w:rsidR="00076D78">
              <w:t>’</w:t>
            </w:r>
            <w:r>
              <w:t>s Department</w:t>
            </w:r>
          </w:p>
        </w:tc>
        <w:tc>
          <w:tcPr>
            <w:tcW w:w="1043" w:type="dxa"/>
            <w:tcBorders>
              <w:top w:val="single" w:sz="4" w:space="0" w:color="000000"/>
              <w:bottom w:val="single" w:sz="4" w:space="0" w:color="000000"/>
            </w:tcBorders>
          </w:tcPr>
          <w:p w14:paraId="5BAEEB57" w14:textId="01DB5FA7"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60873DA6" w14:textId="59B88929"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F54E95D" w14:textId="77777777" w:rsidR="00B449D0" w:rsidRDefault="00175344">
            <w:pPr>
              <w:pStyle w:val="MeasureTableDataRightAlignedwith2ptsspacing"/>
              <w:keepNext/>
            </w:pPr>
            <w:r>
              <w:t>5.9</w:t>
            </w:r>
          </w:p>
        </w:tc>
        <w:tc>
          <w:tcPr>
            <w:tcW w:w="1043" w:type="dxa"/>
            <w:tcBorders>
              <w:top w:val="single" w:sz="4" w:space="0" w:color="000000"/>
              <w:bottom w:val="single" w:sz="4" w:space="0" w:color="000000"/>
            </w:tcBorders>
          </w:tcPr>
          <w:p w14:paraId="37896961" w14:textId="77777777" w:rsidR="00B449D0" w:rsidRDefault="00175344">
            <w:pPr>
              <w:pStyle w:val="MeasureTableDataRightAlignedwith2ptsspacing"/>
              <w:keepNext/>
            </w:pPr>
            <w:r>
              <w:t>7.1</w:t>
            </w:r>
          </w:p>
        </w:tc>
        <w:tc>
          <w:tcPr>
            <w:tcW w:w="1043" w:type="dxa"/>
            <w:tcBorders>
              <w:top w:val="single" w:sz="4" w:space="0" w:color="000000"/>
              <w:bottom w:val="single" w:sz="4" w:space="0" w:color="000000"/>
            </w:tcBorders>
          </w:tcPr>
          <w:p w14:paraId="2D9C8ADA" w14:textId="77777777" w:rsidR="00B449D0" w:rsidRDefault="00175344">
            <w:pPr>
              <w:pStyle w:val="MeasureTableDataRightAlignedwith2ptsspacing"/>
              <w:keepNext/>
            </w:pPr>
            <w:r>
              <w:t>7.7</w:t>
            </w:r>
          </w:p>
        </w:tc>
      </w:tr>
      <w:tr w:rsidR="00B449D0" w14:paraId="70AE6F85" w14:textId="77777777">
        <w:trPr>
          <w:cantSplit/>
        </w:trPr>
        <w:tc>
          <w:tcPr>
            <w:tcW w:w="2494" w:type="dxa"/>
            <w:tcBorders>
              <w:top w:val="single" w:sz="4" w:space="0" w:color="000000"/>
              <w:bottom w:val="single" w:sz="4" w:space="0" w:color="000000"/>
            </w:tcBorders>
          </w:tcPr>
          <w:p w14:paraId="114B7689" w14:textId="77777777" w:rsidR="00B449D0" w:rsidRDefault="00175344">
            <w:pPr>
              <w:pStyle w:val="MeasureTableHeadingleftalignedwith2ptsspacing"/>
              <w:keepNext/>
            </w:pPr>
            <w:r>
              <w:t>National Indigenous Australians Agency</w:t>
            </w:r>
          </w:p>
        </w:tc>
        <w:tc>
          <w:tcPr>
            <w:tcW w:w="1043" w:type="dxa"/>
            <w:tcBorders>
              <w:top w:val="single" w:sz="4" w:space="0" w:color="000000"/>
              <w:bottom w:val="single" w:sz="4" w:space="0" w:color="000000"/>
            </w:tcBorders>
          </w:tcPr>
          <w:p w14:paraId="170F1B7F" w14:textId="2CD0E6AC"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99E93AE" w14:textId="350216DD"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3944B10" w14:textId="5F22CA8E" w:rsidR="00B449D0" w:rsidRDefault="00076D78">
            <w:pPr>
              <w:pStyle w:val="MeasureTableDataRightAlignedwith2ptsspacing"/>
              <w:keepNext/>
            </w:pPr>
            <w:r>
              <w:noBreakHyphen/>
            </w:r>
            <w:r w:rsidR="00175344">
              <w:t>27.5</w:t>
            </w:r>
          </w:p>
        </w:tc>
        <w:tc>
          <w:tcPr>
            <w:tcW w:w="1043" w:type="dxa"/>
            <w:tcBorders>
              <w:top w:val="single" w:sz="4" w:space="0" w:color="000000"/>
              <w:bottom w:val="single" w:sz="4" w:space="0" w:color="000000"/>
            </w:tcBorders>
          </w:tcPr>
          <w:p w14:paraId="3B1057EA" w14:textId="22AD124D" w:rsidR="00B449D0" w:rsidRDefault="00076D78">
            <w:pPr>
              <w:pStyle w:val="MeasureTableDataRightAlignedwith2ptsspacing"/>
              <w:keepNext/>
            </w:pPr>
            <w:r>
              <w:noBreakHyphen/>
            </w:r>
            <w:r w:rsidR="00175344">
              <w:t>28.1</w:t>
            </w:r>
          </w:p>
        </w:tc>
        <w:tc>
          <w:tcPr>
            <w:tcW w:w="1043" w:type="dxa"/>
            <w:tcBorders>
              <w:top w:val="single" w:sz="4" w:space="0" w:color="000000"/>
              <w:bottom w:val="single" w:sz="4" w:space="0" w:color="000000"/>
            </w:tcBorders>
          </w:tcPr>
          <w:p w14:paraId="7D098133" w14:textId="7CD379AB" w:rsidR="00B449D0" w:rsidRDefault="00076D78">
            <w:pPr>
              <w:pStyle w:val="MeasureTableDataRightAlignedwith2ptsspacing"/>
              <w:keepNext/>
            </w:pPr>
            <w:r>
              <w:noBreakHyphen/>
            </w:r>
            <w:r w:rsidR="00175344">
              <w:t>28.7</w:t>
            </w:r>
          </w:p>
        </w:tc>
      </w:tr>
      <w:tr w:rsidR="00B449D0" w14:paraId="2E7C507D" w14:textId="77777777">
        <w:trPr>
          <w:cantSplit/>
        </w:trPr>
        <w:tc>
          <w:tcPr>
            <w:tcW w:w="2494" w:type="dxa"/>
            <w:tcBorders>
              <w:top w:val="single" w:sz="4" w:space="0" w:color="000000"/>
              <w:bottom w:val="single" w:sz="4" w:space="0" w:color="000000"/>
            </w:tcBorders>
          </w:tcPr>
          <w:p w14:paraId="6EF93407"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694DF457" w14:textId="19ED892F"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6EA39AEC" w14:textId="4FF6AC18"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157B5077" w14:textId="77777777" w:rsidR="00B449D0" w:rsidRDefault="00175344">
            <w:pPr>
              <w:pStyle w:val="Totaldatarowrightaligned"/>
              <w:keepNext/>
            </w:pPr>
            <w:r>
              <w:t>186.1</w:t>
            </w:r>
          </w:p>
        </w:tc>
        <w:tc>
          <w:tcPr>
            <w:tcW w:w="1043" w:type="dxa"/>
            <w:tcBorders>
              <w:top w:val="single" w:sz="4" w:space="0" w:color="000000"/>
              <w:bottom w:val="single" w:sz="4" w:space="0" w:color="000000"/>
            </w:tcBorders>
          </w:tcPr>
          <w:p w14:paraId="36CA9B1B" w14:textId="77777777" w:rsidR="00B449D0" w:rsidRDefault="00175344">
            <w:pPr>
              <w:pStyle w:val="Totaldatarowrightaligned"/>
              <w:keepNext/>
            </w:pPr>
            <w:r>
              <w:t>207.4</w:t>
            </w:r>
          </w:p>
        </w:tc>
        <w:tc>
          <w:tcPr>
            <w:tcW w:w="1043" w:type="dxa"/>
            <w:tcBorders>
              <w:top w:val="single" w:sz="4" w:space="0" w:color="000000"/>
              <w:bottom w:val="single" w:sz="4" w:space="0" w:color="000000"/>
            </w:tcBorders>
          </w:tcPr>
          <w:p w14:paraId="15AD254A" w14:textId="77777777" w:rsidR="00B449D0" w:rsidRDefault="00175344">
            <w:pPr>
              <w:pStyle w:val="Totaldatarowrightaligned"/>
              <w:keepNext/>
            </w:pPr>
            <w:r>
              <w:t>222.6</w:t>
            </w:r>
          </w:p>
        </w:tc>
      </w:tr>
    </w:tbl>
    <w:p w14:paraId="7228A59F" w14:textId="77777777" w:rsidR="00B449D0" w:rsidRPr="00ED3A9B" w:rsidRDefault="00B449D0" w:rsidP="00380A42">
      <w:pPr>
        <w:pStyle w:val="SingleParagraph0"/>
      </w:pPr>
    </w:p>
    <w:p w14:paraId="1C66B947" w14:textId="48ECB702" w:rsidR="00B449D0" w:rsidRDefault="00175344">
      <w:pPr>
        <w:pStyle w:val="Normal2"/>
      </w:pPr>
      <w:r w:rsidRPr="7F762F0D">
        <w:rPr>
          <w:lang w:val="en-US"/>
        </w:rPr>
        <w:t>The Government will provide $3.9</w:t>
      </w:r>
      <w:r w:rsidR="002A7001">
        <w:rPr>
          <w:lang w:val="en-US"/>
        </w:rPr>
        <w:t> billion</w:t>
      </w:r>
      <w:r w:rsidRPr="7F762F0D">
        <w:rPr>
          <w:lang w:val="en-US"/>
        </w:rPr>
        <w:t xml:space="preserve"> over five years from 2025–26 (and $812.3 million per year ongoing from 2030–31) to establish a new National Access to Justice Partnership (NAJP) from 1 July 2025 following the expiry of the National Legal Assistance Partnership (NLAP). This funding represents an increase of $800.0 million to the legal assistance sector, with a focus on supporting frontline service delivery, including indexation to ensure funding does not reduce in real terms over time and funding to reduce community legal sector pay disparity. Funding will benefit Legal Aid Commissions, Community Legal Centres including Women</w:t>
      </w:r>
      <w:r w:rsidR="00076D78">
        <w:rPr>
          <w:lang w:val="en-US"/>
        </w:rPr>
        <w:t>’</w:t>
      </w:r>
      <w:r w:rsidRPr="7F762F0D">
        <w:rPr>
          <w:lang w:val="en-US"/>
        </w:rPr>
        <w:t>s Legal Services, Aboriginal and Torres Strait Islander Legal Services and Family Violence Prevention Legal Services.</w:t>
      </w:r>
    </w:p>
    <w:p w14:paraId="2BDE9DA7" w14:textId="6E08C5ED" w:rsidR="00B449D0" w:rsidRDefault="00175344">
      <w:pPr>
        <w:pStyle w:val="Normal2"/>
      </w:pPr>
      <w:r w:rsidRPr="7F762F0D">
        <w:rPr>
          <w:lang w:val="en-US"/>
        </w:rPr>
        <w:t xml:space="preserve">The NAJP also includes ongoing funding for programs currently provided outside the existing NLAP, including the </w:t>
      </w:r>
      <w:r w:rsidRPr="7F762F0D">
        <w:rPr>
          <w:i/>
          <w:iCs/>
          <w:lang w:val="en-US"/>
        </w:rPr>
        <w:t>Temporary Visa Holders Experiencing Family and Domestic Violence Program</w:t>
      </w:r>
      <w:r w:rsidRPr="7F762F0D">
        <w:rPr>
          <w:lang w:val="en-US"/>
        </w:rPr>
        <w:t xml:space="preserve"> (formerly the legal assistance component of the Leaving Violence Program), Family Violence Prevention Legal Services, Supplementary Legal Assistance, and the </w:t>
      </w:r>
      <w:r w:rsidRPr="7F762F0D">
        <w:rPr>
          <w:i/>
          <w:iCs/>
          <w:lang w:val="en-US"/>
        </w:rPr>
        <w:t>Indigenous Women</w:t>
      </w:r>
      <w:r w:rsidR="00076D78">
        <w:rPr>
          <w:i/>
          <w:iCs/>
          <w:lang w:val="en-US"/>
        </w:rPr>
        <w:t>’</w:t>
      </w:r>
      <w:r w:rsidRPr="7F762F0D">
        <w:rPr>
          <w:i/>
          <w:iCs/>
          <w:lang w:val="en-US"/>
        </w:rPr>
        <w:t>s Program</w:t>
      </w:r>
      <w:r w:rsidRPr="7F762F0D">
        <w:rPr>
          <w:lang w:val="en-US"/>
        </w:rPr>
        <w:t>. Funding for Specialist Elder Abuse Units and Health Justice Units will also become part of the NAJP from 1 July 2026.</w:t>
      </w:r>
    </w:p>
    <w:p w14:paraId="1652E6BD" w14:textId="77777777" w:rsidR="00B449D0" w:rsidRDefault="00175344">
      <w:pPr>
        <w:pStyle w:val="Normal2"/>
      </w:pPr>
      <w:r>
        <w:t>The Treasury manages Commonwealth payments to the states and territories.</w:t>
      </w:r>
    </w:p>
    <w:p w14:paraId="056A96B0" w14:textId="07146EA0" w:rsidR="00B449D0" w:rsidRDefault="00175344">
      <w:pPr>
        <w:pStyle w:val="Normal2"/>
      </w:pPr>
      <w:r>
        <w:t>The cost of this measure will be partially met from within the existing resourcing of the National Indigenous Australians Agency</w:t>
      </w:r>
      <w:r w:rsidR="00076D78">
        <w:t>’</w:t>
      </w:r>
      <w:r>
        <w:t xml:space="preserve">s </w:t>
      </w:r>
      <w:r w:rsidRPr="00175344">
        <w:rPr>
          <w:i/>
        </w:rPr>
        <w:t xml:space="preserve">Indigenous Advancement Strategy. </w:t>
      </w:r>
      <w:r>
        <w:t>The Government has already provided partial funding for this measure.</w:t>
      </w:r>
    </w:p>
    <w:p w14:paraId="65238FFD" w14:textId="79855E37" w:rsidR="00B449D0" w:rsidRDefault="00175344">
      <w:pPr>
        <w:pStyle w:val="Normal2"/>
      </w:pPr>
      <w:r w:rsidRPr="7F762F0D">
        <w:rPr>
          <w:lang w:val="en-US"/>
        </w:rPr>
        <w:t>This funding is a component of the $4.4</w:t>
      </w:r>
      <w:r w:rsidR="002A7001">
        <w:rPr>
          <w:lang w:val="en-US"/>
        </w:rPr>
        <w:t> billion</w:t>
      </w:r>
      <w:r w:rsidRPr="7F762F0D">
        <w:rPr>
          <w:lang w:val="en-US"/>
        </w:rPr>
        <w:t xml:space="preserve"> Commonwealth package agreed at National</w:t>
      </w:r>
      <w:r w:rsidR="009718DA">
        <w:rPr>
          <w:lang w:val="en-US"/>
        </w:rPr>
        <w:t> </w:t>
      </w:r>
      <w:r w:rsidRPr="7F762F0D">
        <w:rPr>
          <w:lang w:val="en-US"/>
        </w:rPr>
        <w:t>Cabinet on 6 September 2024.</w:t>
      </w:r>
    </w:p>
    <w:p w14:paraId="2057C3A4" w14:textId="77777777" w:rsidR="00B449D0" w:rsidRDefault="00175344">
      <w:pPr>
        <w:pStyle w:val="Normal2"/>
      </w:pPr>
      <w:r>
        <w:t xml:space="preserve">This measure supports the implementation of the </w:t>
      </w:r>
      <w:r w:rsidRPr="00175344">
        <w:rPr>
          <w:i/>
        </w:rPr>
        <w:t>National Plan to End Violence against Women and Children 2022</w:t>
      </w:r>
      <w:r>
        <w:t>–</w:t>
      </w:r>
      <w:r w:rsidRPr="00175344">
        <w:rPr>
          <w:i/>
        </w:rPr>
        <w:t>2032</w:t>
      </w:r>
      <w:r>
        <w:t>.</w:t>
      </w:r>
    </w:p>
    <w:p w14:paraId="61F91F2D" w14:textId="63B8864F" w:rsidR="00B449D0" w:rsidRDefault="00175344">
      <w:pPr>
        <w:pStyle w:val="Normal2"/>
      </w:pPr>
      <w:r w:rsidRPr="7F762F0D">
        <w:rPr>
          <w:lang w:val="en-US"/>
        </w:rPr>
        <w:t xml:space="preserve">See also the related payment measures titled </w:t>
      </w:r>
      <w:r w:rsidRPr="7F762F0D">
        <w:rPr>
          <w:i/>
          <w:iCs/>
          <w:lang w:val="en-US"/>
        </w:rPr>
        <w:t xml:space="preserve">Ending Gender‑Based Violence – National Cabinet </w:t>
      </w:r>
      <w:r w:rsidRPr="7F762F0D">
        <w:rPr>
          <w:lang w:val="en-US"/>
        </w:rPr>
        <w:t xml:space="preserve">in Cross Portfolio and </w:t>
      </w:r>
      <w:r w:rsidRPr="7F762F0D">
        <w:rPr>
          <w:i/>
          <w:iCs/>
          <w:lang w:val="en-US"/>
        </w:rPr>
        <w:t>Ending Gender‑Based Violence – additional investment</w:t>
      </w:r>
      <w:r w:rsidRPr="7F762F0D">
        <w:rPr>
          <w:lang w:val="en-US"/>
        </w:rPr>
        <w:t xml:space="preserve"> in the Social</w:t>
      </w:r>
      <w:r w:rsidR="00526C88">
        <w:rPr>
          <w:lang w:val="en-US"/>
        </w:rPr>
        <w:t> </w:t>
      </w:r>
      <w:r w:rsidRPr="7F762F0D">
        <w:rPr>
          <w:lang w:val="en-US"/>
        </w:rPr>
        <w:t>Services portfolio.</w:t>
      </w:r>
    </w:p>
    <w:p w14:paraId="354B1BCC" w14:textId="77777777" w:rsidR="00404AD8" w:rsidRDefault="00404AD8">
      <w:pPr>
        <w:pStyle w:val="MeasureTitle"/>
        <w:rPr>
          <w:lang w:val="en-US"/>
        </w:rPr>
      </w:pPr>
      <w:r>
        <w:rPr>
          <w:lang w:val="en-US"/>
        </w:rPr>
        <w:br w:type="page"/>
      </w:r>
    </w:p>
    <w:p w14:paraId="2D2DEED2" w14:textId="4C42AF47" w:rsidR="00B449D0" w:rsidRDefault="00175344">
      <w:pPr>
        <w:pStyle w:val="MeasureTitle"/>
      </w:pPr>
      <w:r w:rsidRPr="7F762F0D">
        <w:rPr>
          <w:lang w:val="en-US"/>
        </w:rPr>
        <w:lastRenderedPageBreak/>
        <w:t>Pacific Policing Initiative – Centres of Excellence</w:t>
      </w:r>
    </w:p>
    <w:p w14:paraId="562FB03A"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08D6FB62" w14:textId="77777777">
        <w:trPr>
          <w:cantSplit/>
        </w:trPr>
        <w:tc>
          <w:tcPr>
            <w:tcW w:w="2494" w:type="dxa"/>
            <w:tcBorders>
              <w:top w:val="single" w:sz="4" w:space="0" w:color="000000"/>
              <w:bottom w:val="single" w:sz="4" w:space="0" w:color="000000"/>
            </w:tcBorders>
          </w:tcPr>
          <w:p w14:paraId="7E8874E9" w14:textId="77777777" w:rsidR="00B449D0" w:rsidRDefault="00B449D0">
            <w:pPr>
              <w:pStyle w:val="MeasureTableYearHeadings"/>
              <w:keepNext/>
            </w:pPr>
          </w:p>
        </w:tc>
        <w:tc>
          <w:tcPr>
            <w:tcW w:w="1043" w:type="dxa"/>
            <w:tcBorders>
              <w:top w:val="single" w:sz="4" w:space="0" w:color="000000"/>
              <w:bottom w:val="single" w:sz="4" w:space="0" w:color="000000"/>
            </w:tcBorders>
          </w:tcPr>
          <w:p w14:paraId="53FA18A9" w14:textId="199FA1E9"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3C90FBB6" w14:textId="2520D922"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211559AC" w14:textId="64CCFF47"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4B1DEC2F" w14:textId="30979450"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55FA929A" w14:textId="1DBC278B" w:rsidR="00B449D0" w:rsidRDefault="00175344">
            <w:pPr>
              <w:pStyle w:val="MeasureTableYearHeadings"/>
              <w:keepNext/>
            </w:pPr>
            <w:r>
              <w:t>2027</w:t>
            </w:r>
            <w:r w:rsidR="00076D78">
              <w:noBreakHyphen/>
            </w:r>
            <w:r>
              <w:t>28</w:t>
            </w:r>
          </w:p>
        </w:tc>
      </w:tr>
      <w:tr w:rsidR="00B449D0" w14:paraId="1279F448" w14:textId="77777777">
        <w:trPr>
          <w:cantSplit/>
        </w:trPr>
        <w:tc>
          <w:tcPr>
            <w:tcW w:w="2494" w:type="dxa"/>
            <w:tcBorders>
              <w:top w:val="single" w:sz="4" w:space="0" w:color="000000"/>
              <w:bottom w:val="single" w:sz="4" w:space="0" w:color="000000"/>
            </w:tcBorders>
          </w:tcPr>
          <w:p w14:paraId="3A76A57C" w14:textId="77777777" w:rsidR="00B449D0" w:rsidRDefault="00175344">
            <w:pPr>
              <w:pStyle w:val="MeasureTableHeadingleftalignedwith2ptsspacing"/>
              <w:keepNext/>
            </w:pPr>
            <w:r>
              <w:t>Australian Federal Police</w:t>
            </w:r>
          </w:p>
        </w:tc>
        <w:tc>
          <w:tcPr>
            <w:tcW w:w="1043" w:type="dxa"/>
            <w:tcBorders>
              <w:top w:val="single" w:sz="4" w:space="0" w:color="000000"/>
              <w:bottom w:val="single" w:sz="4" w:space="0" w:color="000000"/>
            </w:tcBorders>
          </w:tcPr>
          <w:p w14:paraId="74B75970" w14:textId="4A8850C9"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8EF2442" w14:textId="31DBFB2A"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94EDA82" w14:textId="1B2E18E5"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1218198" w14:textId="3F2E619A"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D75924A" w14:textId="01F4CF26" w:rsidR="00B449D0" w:rsidRDefault="00076D78">
            <w:pPr>
              <w:pStyle w:val="MeasureTableDataRightAlignedwith2ptsspacing"/>
              <w:keepNext/>
            </w:pPr>
            <w:r>
              <w:noBreakHyphen/>
            </w:r>
          </w:p>
        </w:tc>
      </w:tr>
    </w:tbl>
    <w:p w14:paraId="6B9D2800" w14:textId="77777777" w:rsidR="00B449D0" w:rsidRDefault="00B449D0" w:rsidP="00380A42">
      <w:pPr>
        <w:pStyle w:val="SingleParagraph0"/>
      </w:pPr>
    </w:p>
    <w:p w14:paraId="07146A89" w14:textId="77777777" w:rsidR="00B449D0" w:rsidRDefault="00175344">
      <w:pPr>
        <w:pStyle w:val="Normal2"/>
      </w:pPr>
      <w:r w:rsidRPr="7F762F0D">
        <w:rPr>
          <w:lang w:val="en-US"/>
        </w:rPr>
        <w:t>The Government will provide $219.5 million over four years from 2024–25 (and $59.4 million per year ongoing) to establish three additional police training Centres of Excellence in the Pacific as part of the Pacific Policing Initiative to enhance policing capabilities through specialist training and operational support for Pacific police personnel.</w:t>
      </w:r>
    </w:p>
    <w:p w14:paraId="3547B7DA" w14:textId="77777777" w:rsidR="00B449D0" w:rsidRDefault="00175344">
      <w:pPr>
        <w:pStyle w:val="Normal2"/>
      </w:pPr>
      <w:r>
        <w:t>The Government has already provided funding for this measure.</w:t>
      </w:r>
    </w:p>
    <w:p w14:paraId="1B64F4DF" w14:textId="77777777" w:rsidR="00B449D0" w:rsidRDefault="00175344">
      <w:pPr>
        <w:pStyle w:val="Normal2"/>
      </w:pPr>
      <w:r>
        <w:t>This measure builds on the 2024–25 Budget measure titled</w:t>
      </w:r>
      <w:r w:rsidRPr="00175344">
        <w:rPr>
          <w:i/>
        </w:rPr>
        <w:t xml:space="preserve"> Policing Engagement and Training</w:t>
      </w:r>
      <w:r>
        <w:t xml:space="preserve"> and the 2023–24 MYEFO measure titled</w:t>
      </w:r>
      <w:r w:rsidRPr="00175344">
        <w:rPr>
          <w:i/>
        </w:rPr>
        <w:t xml:space="preserve"> Enhancing Pacific Engagement</w:t>
      </w:r>
      <w:r>
        <w:t>.</w:t>
      </w:r>
    </w:p>
    <w:p w14:paraId="0B12DE37" w14:textId="39057B3D" w:rsidR="00B449D0" w:rsidRDefault="00175344">
      <w:pPr>
        <w:pStyle w:val="Normal2"/>
      </w:pPr>
      <w:r>
        <w:t xml:space="preserve">See also the related payment measure titled </w:t>
      </w:r>
      <w:r w:rsidRPr="00175344">
        <w:rPr>
          <w:i/>
        </w:rPr>
        <w:t>Enhancing Pacific Engagement</w:t>
      </w:r>
      <w:r>
        <w:t xml:space="preserve"> in the Foreign</w:t>
      </w:r>
      <w:r w:rsidR="00526C88">
        <w:t> </w:t>
      </w:r>
      <w:r>
        <w:t>Affairs and Trade portfolio.</w:t>
      </w:r>
    </w:p>
    <w:p w14:paraId="6DE3973B" w14:textId="1EEF41EC" w:rsidR="00B449D0" w:rsidRDefault="00175344">
      <w:pPr>
        <w:pStyle w:val="MeasureTitle"/>
      </w:pPr>
      <w:r w:rsidRPr="7F762F0D">
        <w:rPr>
          <w:lang w:val="en-US"/>
        </w:rPr>
        <w:t>Strengthening Australia</w:t>
      </w:r>
      <w:r w:rsidR="00076D78">
        <w:rPr>
          <w:lang w:val="en-US"/>
        </w:rPr>
        <w:t>’</w:t>
      </w:r>
      <w:r w:rsidRPr="7F762F0D">
        <w:rPr>
          <w:lang w:val="en-US"/>
        </w:rPr>
        <w:t>s Arrangements for High Risk Terrorist Offenders – continuation</w:t>
      </w:r>
    </w:p>
    <w:p w14:paraId="4F2D9590"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16A2CBC5" w14:textId="77777777">
        <w:trPr>
          <w:cantSplit/>
        </w:trPr>
        <w:tc>
          <w:tcPr>
            <w:tcW w:w="2494" w:type="dxa"/>
            <w:tcBorders>
              <w:top w:val="single" w:sz="4" w:space="0" w:color="000000"/>
              <w:bottom w:val="single" w:sz="4" w:space="0" w:color="000000"/>
            </w:tcBorders>
          </w:tcPr>
          <w:p w14:paraId="22CF9B24" w14:textId="77777777" w:rsidR="00B449D0" w:rsidRDefault="00B449D0">
            <w:pPr>
              <w:pStyle w:val="MeasureTableYearHeadings"/>
              <w:keepNext/>
            </w:pPr>
          </w:p>
        </w:tc>
        <w:tc>
          <w:tcPr>
            <w:tcW w:w="1043" w:type="dxa"/>
            <w:tcBorders>
              <w:top w:val="single" w:sz="4" w:space="0" w:color="000000"/>
              <w:bottom w:val="single" w:sz="4" w:space="0" w:color="000000"/>
            </w:tcBorders>
          </w:tcPr>
          <w:p w14:paraId="117F8827" w14:textId="60A5ECA9"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6496EC00" w14:textId="195DC660"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0CE89FCF" w14:textId="5A9ECFDF"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53477993" w14:textId="33326E5B"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780FF123" w14:textId="5F2D73F2" w:rsidR="00B449D0" w:rsidRDefault="00175344">
            <w:pPr>
              <w:pStyle w:val="MeasureTableYearHeadings"/>
              <w:keepNext/>
            </w:pPr>
            <w:r>
              <w:t>2027</w:t>
            </w:r>
            <w:r w:rsidR="00076D78">
              <w:noBreakHyphen/>
            </w:r>
            <w:r>
              <w:t>28</w:t>
            </w:r>
          </w:p>
        </w:tc>
      </w:tr>
      <w:tr w:rsidR="00B449D0" w14:paraId="4C3AA6C6" w14:textId="77777777">
        <w:trPr>
          <w:cantSplit/>
        </w:trPr>
        <w:tc>
          <w:tcPr>
            <w:tcW w:w="2494" w:type="dxa"/>
            <w:tcBorders>
              <w:top w:val="single" w:sz="4" w:space="0" w:color="000000"/>
              <w:bottom w:val="single" w:sz="4" w:space="0" w:color="000000"/>
            </w:tcBorders>
          </w:tcPr>
          <w:p w14:paraId="7E70085F" w14:textId="77777777" w:rsidR="00B449D0" w:rsidRDefault="00175344">
            <w:pPr>
              <w:pStyle w:val="MeasureTableHeadingleftalignedwith2ptsspacing"/>
              <w:keepNext/>
            </w:pPr>
            <w:r>
              <w:t>Australian Federal Police</w:t>
            </w:r>
          </w:p>
        </w:tc>
        <w:tc>
          <w:tcPr>
            <w:tcW w:w="1043" w:type="dxa"/>
            <w:tcBorders>
              <w:top w:val="single" w:sz="4" w:space="0" w:color="000000"/>
              <w:bottom w:val="single" w:sz="4" w:space="0" w:color="000000"/>
            </w:tcBorders>
          </w:tcPr>
          <w:p w14:paraId="2AFE337A" w14:textId="5CD9E6CA"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50998AC" w14:textId="452DFC7A"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C32F806" w14:textId="77777777" w:rsidR="00B449D0" w:rsidRDefault="00175344">
            <w:pPr>
              <w:pStyle w:val="MeasureTableDataRightAlignedwith2ptsspacing"/>
              <w:keepNext/>
            </w:pPr>
            <w:r>
              <w:t>8.1</w:t>
            </w:r>
          </w:p>
        </w:tc>
        <w:tc>
          <w:tcPr>
            <w:tcW w:w="1043" w:type="dxa"/>
            <w:tcBorders>
              <w:top w:val="single" w:sz="4" w:space="0" w:color="000000"/>
              <w:bottom w:val="single" w:sz="4" w:space="0" w:color="000000"/>
            </w:tcBorders>
          </w:tcPr>
          <w:p w14:paraId="1A61A346" w14:textId="5AFCFEEE"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EC16489" w14:textId="6ADE2D9B" w:rsidR="00B449D0" w:rsidRDefault="00076D78">
            <w:pPr>
              <w:pStyle w:val="MeasureTableDataRightAlignedwith2ptsspacing"/>
              <w:keepNext/>
            </w:pPr>
            <w:r>
              <w:noBreakHyphen/>
            </w:r>
          </w:p>
        </w:tc>
      </w:tr>
      <w:tr w:rsidR="00B449D0" w14:paraId="6D4B4752" w14:textId="77777777">
        <w:trPr>
          <w:cantSplit/>
        </w:trPr>
        <w:tc>
          <w:tcPr>
            <w:tcW w:w="2494" w:type="dxa"/>
            <w:tcBorders>
              <w:top w:val="single" w:sz="4" w:space="0" w:color="000000"/>
              <w:bottom w:val="single" w:sz="4" w:space="0" w:color="000000"/>
            </w:tcBorders>
          </w:tcPr>
          <w:p w14:paraId="011CCCF4" w14:textId="0C29E54C" w:rsidR="00B449D0" w:rsidRDefault="00175344">
            <w:pPr>
              <w:pStyle w:val="MeasureTableHeadingleftalignedwith2ptsspacing"/>
              <w:keepNext/>
            </w:pPr>
            <w:r>
              <w:t>Attorney</w:t>
            </w:r>
            <w:r w:rsidR="00076D78">
              <w:noBreakHyphen/>
            </w:r>
            <w:r>
              <w:t>General</w:t>
            </w:r>
            <w:r w:rsidR="00076D78">
              <w:t>’</w:t>
            </w:r>
            <w:r>
              <w:t>s Department</w:t>
            </w:r>
          </w:p>
        </w:tc>
        <w:tc>
          <w:tcPr>
            <w:tcW w:w="1043" w:type="dxa"/>
            <w:tcBorders>
              <w:top w:val="single" w:sz="4" w:space="0" w:color="000000"/>
              <w:bottom w:val="single" w:sz="4" w:space="0" w:color="000000"/>
            </w:tcBorders>
          </w:tcPr>
          <w:p w14:paraId="48EF6A02" w14:textId="0AA89C95"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3C29F81" w14:textId="68E3228E"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C6DCF75" w14:textId="77777777" w:rsidR="00B449D0" w:rsidRDefault="00175344">
            <w:pPr>
              <w:pStyle w:val="MeasureTableDataRightAlignedwith2ptsspacing"/>
              <w:keepNext/>
            </w:pPr>
            <w:r>
              <w:t>6.0</w:t>
            </w:r>
          </w:p>
        </w:tc>
        <w:tc>
          <w:tcPr>
            <w:tcW w:w="1043" w:type="dxa"/>
            <w:tcBorders>
              <w:top w:val="single" w:sz="4" w:space="0" w:color="000000"/>
              <w:bottom w:val="single" w:sz="4" w:space="0" w:color="000000"/>
            </w:tcBorders>
          </w:tcPr>
          <w:p w14:paraId="1BBCB32B" w14:textId="71D5AAD7"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1322F3F" w14:textId="24C189F8" w:rsidR="00B449D0" w:rsidRDefault="00076D78">
            <w:pPr>
              <w:pStyle w:val="MeasureTableDataRightAlignedwith2ptsspacing"/>
              <w:keepNext/>
            </w:pPr>
            <w:r>
              <w:noBreakHyphen/>
            </w:r>
          </w:p>
        </w:tc>
      </w:tr>
      <w:tr w:rsidR="00B449D0" w14:paraId="3A5039B7" w14:textId="77777777">
        <w:trPr>
          <w:cantSplit/>
        </w:trPr>
        <w:tc>
          <w:tcPr>
            <w:tcW w:w="2494" w:type="dxa"/>
            <w:tcBorders>
              <w:top w:val="single" w:sz="4" w:space="0" w:color="000000"/>
              <w:bottom w:val="single" w:sz="4" w:space="0" w:color="000000"/>
            </w:tcBorders>
          </w:tcPr>
          <w:p w14:paraId="7BFC00E8" w14:textId="77777777" w:rsidR="00B449D0" w:rsidRDefault="00175344">
            <w:pPr>
              <w:pStyle w:val="MeasureTableHeadingleftalignedwith2ptsspacing"/>
              <w:keepNext/>
            </w:pPr>
            <w:r>
              <w:t>Department of the Treasury</w:t>
            </w:r>
          </w:p>
        </w:tc>
        <w:tc>
          <w:tcPr>
            <w:tcW w:w="1043" w:type="dxa"/>
            <w:tcBorders>
              <w:top w:val="single" w:sz="4" w:space="0" w:color="000000"/>
              <w:bottom w:val="single" w:sz="4" w:space="0" w:color="000000"/>
            </w:tcBorders>
          </w:tcPr>
          <w:p w14:paraId="0DBBC8AF" w14:textId="5880A8B3"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80E938C" w14:textId="30F42EBD"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623F67FB" w14:textId="77777777" w:rsidR="00B449D0" w:rsidRDefault="00175344">
            <w:pPr>
              <w:pStyle w:val="MeasureTableDataRightAlignedwith2ptsspacing"/>
              <w:keepNext/>
            </w:pPr>
            <w:r>
              <w:t>4.0</w:t>
            </w:r>
          </w:p>
        </w:tc>
        <w:tc>
          <w:tcPr>
            <w:tcW w:w="1043" w:type="dxa"/>
            <w:tcBorders>
              <w:top w:val="single" w:sz="4" w:space="0" w:color="000000"/>
              <w:bottom w:val="single" w:sz="4" w:space="0" w:color="000000"/>
            </w:tcBorders>
          </w:tcPr>
          <w:p w14:paraId="3584E76B" w14:textId="1C11C845"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6AEC88A" w14:textId="449C8200" w:rsidR="00B449D0" w:rsidRDefault="00076D78">
            <w:pPr>
              <w:pStyle w:val="MeasureTableDataRightAlignedwith2ptsspacing"/>
              <w:keepNext/>
            </w:pPr>
            <w:r>
              <w:noBreakHyphen/>
            </w:r>
          </w:p>
        </w:tc>
      </w:tr>
      <w:tr w:rsidR="00B449D0" w14:paraId="66D2DC89" w14:textId="77777777">
        <w:trPr>
          <w:cantSplit/>
        </w:trPr>
        <w:tc>
          <w:tcPr>
            <w:tcW w:w="2494" w:type="dxa"/>
            <w:tcBorders>
              <w:top w:val="single" w:sz="4" w:space="0" w:color="000000"/>
              <w:bottom w:val="single" w:sz="4" w:space="0" w:color="000000"/>
            </w:tcBorders>
          </w:tcPr>
          <w:p w14:paraId="32C2E451" w14:textId="77777777" w:rsidR="00B449D0" w:rsidRDefault="00175344">
            <w:pPr>
              <w:pStyle w:val="MeasureTableHeadingleftalignedwith2ptsspacing"/>
              <w:keepNext/>
            </w:pPr>
            <w:r>
              <w:t>Australian Security Intelligence Organisation</w:t>
            </w:r>
          </w:p>
        </w:tc>
        <w:tc>
          <w:tcPr>
            <w:tcW w:w="1043" w:type="dxa"/>
            <w:tcBorders>
              <w:top w:val="single" w:sz="4" w:space="0" w:color="000000"/>
              <w:bottom w:val="single" w:sz="4" w:space="0" w:color="000000"/>
            </w:tcBorders>
          </w:tcPr>
          <w:p w14:paraId="79BDD229" w14:textId="3DD90893"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2346DD4" w14:textId="650CF17D"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066061B" w14:textId="77777777" w:rsidR="00B449D0" w:rsidRDefault="00175344">
            <w:pPr>
              <w:pStyle w:val="MeasureTableDataRightAlignedwith2ptsspacing"/>
              <w:keepNext/>
            </w:pPr>
            <w:r>
              <w:t>0.7</w:t>
            </w:r>
          </w:p>
        </w:tc>
        <w:tc>
          <w:tcPr>
            <w:tcW w:w="1043" w:type="dxa"/>
            <w:tcBorders>
              <w:top w:val="single" w:sz="4" w:space="0" w:color="000000"/>
              <w:bottom w:val="single" w:sz="4" w:space="0" w:color="000000"/>
            </w:tcBorders>
          </w:tcPr>
          <w:p w14:paraId="5504F41B" w14:textId="5CC62043"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A15866D" w14:textId="5690DD31" w:rsidR="00B449D0" w:rsidRDefault="00076D78">
            <w:pPr>
              <w:pStyle w:val="MeasureTableDataRightAlignedwith2ptsspacing"/>
              <w:keepNext/>
            </w:pPr>
            <w:r>
              <w:noBreakHyphen/>
            </w:r>
          </w:p>
        </w:tc>
      </w:tr>
      <w:tr w:rsidR="00B449D0" w14:paraId="7ED5DA39" w14:textId="77777777">
        <w:trPr>
          <w:cantSplit/>
        </w:trPr>
        <w:tc>
          <w:tcPr>
            <w:tcW w:w="2494" w:type="dxa"/>
            <w:tcBorders>
              <w:top w:val="single" w:sz="4" w:space="0" w:color="000000"/>
              <w:bottom w:val="single" w:sz="4" w:space="0" w:color="000000"/>
            </w:tcBorders>
          </w:tcPr>
          <w:p w14:paraId="426364E9" w14:textId="77777777" w:rsidR="00B449D0" w:rsidRDefault="00175344">
            <w:pPr>
              <w:pStyle w:val="MeasureTableHeadingleftalignedwith2ptsspacing"/>
              <w:keepNext/>
            </w:pPr>
            <w:r>
              <w:t>Department of Home Affairs</w:t>
            </w:r>
          </w:p>
        </w:tc>
        <w:tc>
          <w:tcPr>
            <w:tcW w:w="1043" w:type="dxa"/>
            <w:tcBorders>
              <w:top w:val="single" w:sz="4" w:space="0" w:color="000000"/>
              <w:bottom w:val="single" w:sz="4" w:space="0" w:color="000000"/>
            </w:tcBorders>
          </w:tcPr>
          <w:p w14:paraId="7A23231F" w14:textId="3ED5B52E"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1074C5B" w14:textId="087AC40D"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0090EB6" w14:textId="77777777" w:rsidR="00B449D0" w:rsidRDefault="00175344">
            <w:pPr>
              <w:pStyle w:val="MeasureTableDataRightAlignedwith2ptsspacing"/>
              <w:keepNext/>
            </w:pPr>
            <w:r>
              <w:t>0.4</w:t>
            </w:r>
          </w:p>
        </w:tc>
        <w:tc>
          <w:tcPr>
            <w:tcW w:w="1043" w:type="dxa"/>
            <w:tcBorders>
              <w:top w:val="single" w:sz="4" w:space="0" w:color="000000"/>
              <w:bottom w:val="single" w:sz="4" w:space="0" w:color="000000"/>
            </w:tcBorders>
          </w:tcPr>
          <w:p w14:paraId="768612D0" w14:textId="24141D56"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08CA656" w14:textId="1577A7A2" w:rsidR="00B449D0" w:rsidRDefault="00076D78">
            <w:pPr>
              <w:pStyle w:val="MeasureTableDataRightAlignedwith2ptsspacing"/>
              <w:keepNext/>
            </w:pPr>
            <w:r>
              <w:noBreakHyphen/>
            </w:r>
          </w:p>
        </w:tc>
      </w:tr>
      <w:tr w:rsidR="00B449D0" w14:paraId="21EB8473" w14:textId="77777777">
        <w:trPr>
          <w:cantSplit/>
        </w:trPr>
        <w:tc>
          <w:tcPr>
            <w:tcW w:w="2494" w:type="dxa"/>
            <w:tcBorders>
              <w:top w:val="single" w:sz="4" w:space="0" w:color="000000"/>
              <w:bottom w:val="single" w:sz="4" w:space="0" w:color="000000"/>
            </w:tcBorders>
          </w:tcPr>
          <w:p w14:paraId="6D21CA9E" w14:textId="77777777" w:rsidR="00B449D0" w:rsidRDefault="00175344">
            <w:pPr>
              <w:pStyle w:val="MeasureTableHeadingleftalignedwith2ptsspacing"/>
              <w:keepNext/>
            </w:pPr>
            <w:r>
              <w:t>Office of the Director of Public Prosecutions</w:t>
            </w:r>
          </w:p>
        </w:tc>
        <w:tc>
          <w:tcPr>
            <w:tcW w:w="1043" w:type="dxa"/>
            <w:tcBorders>
              <w:top w:val="single" w:sz="4" w:space="0" w:color="000000"/>
              <w:bottom w:val="single" w:sz="4" w:space="0" w:color="000000"/>
            </w:tcBorders>
          </w:tcPr>
          <w:p w14:paraId="446710CD" w14:textId="3E6E5E5C"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0FC56A0" w14:textId="0BA78E22"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B93FCE9" w14:textId="77777777" w:rsidR="00B449D0" w:rsidRDefault="00175344">
            <w:pPr>
              <w:pStyle w:val="MeasureTableDataRightAlignedwith2ptsspacing"/>
              <w:keepNext/>
            </w:pPr>
            <w:r>
              <w:t>0.1</w:t>
            </w:r>
          </w:p>
        </w:tc>
        <w:tc>
          <w:tcPr>
            <w:tcW w:w="1043" w:type="dxa"/>
            <w:tcBorders>
              <w:top w:val="single" w:sz="4" w:space="0" w:color="000000"/>
              <w:bottom w:val="single" w:sz="4" w:space="0" w:color="000000"/>
            </w:tcBorders>
          </w:tcPr>
          <w:p w14:paraId="675A46BE" w14:textId="62EA3F83"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D58C789" w14:textId="64EDA45F" w:rsidR="00B449D0" w:rsidRDefault="00076D78">
            <w:pPr>
              <w:pStyle w:val="MeasureTableDataRightAlignedwith2ptsspacing"/>
              <w:keepNext/>
            </w:pPr>
            <w:r>
              <w:noBreakHyphen/>
            </w:r>
          </w:p>
        </w:tc>
      </w:tr>
      <w:tr w:rsidR="00B449D0" w14:paraId="7DB76B6A" w14:textId="77777777">
        <w:trPr>
          <w:cantSplit/>
        </w:trPr>
        <w:tc>
          <w:tcPr>
            <w:tcW w:w="2494" w:type="dxa"/>
            <w:tcBorders>
              <w:top w:val="single" w:sz="4" w:space="0" w:color="000000"/>
              <w:bottom w:val="single" w:sz="4" w:space="0" w:color="000000"/>
            </w:tcBorders>
          </w:tcPr>
          <w:p w14:paraId="6344F3A9"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674489F6" w14:textId="07AAFBAE"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4B6D8DF7" w14:textId="3E09FFCD"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44EC1047" w14:textId="77777777" w:rsidR="00B449D0" w:rsidRDefault="00175344">
            <w:pPr>
              <w:pStyle w:val="Totaldatarowrightaligned"/>
              <w:keepNext/>
            </w:pPr>
            <w:r>
              <w:t>19.3</w:t>
            </w:r>
          </w:p>
        </w:tc>
        <w:tc>
          <w:tcPr>
            <w:tcW w:w="1043" w:type="dxa"/>
            <w:tcBorders>
              <w:top w:val="single" w:sz="4" w:space="0" w:color="000000"/>
              <w:bottom w:val="single" w:sz="4" w:space="0" w:color="000000"/>
            </w:tcBorders>
          </w:tcPr>
          <w:p w14:paraId="2F393B93" w14:textId="4964935B"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41AF50B1" w14:textId="6FAF007C" w:rsidR="00B449D0" w:rsidRDefault="00076D78">
            <w:pPr>
              <w:pStyle w:val="Totaldatarowrightaligned"/>
              <w:keepNext/>
            </w:pPr>
            <w:r>
              <w:noBreakHyphen/>
            </w:r>
          </w:p>
        </w:tc>
      </w:tr>
    </w:tbl>
    <w:p w14:paraId="00A0CEE7" w14:textId="77777777" w:rsidR="00B449D0" w:rsidRDefault="00B449D0" w:rsidP="00380A42">
      <w:pPr>
        <w:pStyle w:val="SingleParagraph0"/>
      </w:pPr>
    </w:p>
    <w:p w14:paraId="342E1E1B" w14:textId="77777777" w:rsidR="00B449D0" w:rsidRDefault="00175344">
      <w:pPr>
        <w:pStyle w:val="Normal2"/>
      </w:pPr>
      <w:r w:rsidRPr="7F762F0D">
        <w:rPr>
          <w:lang w:val="en-US"/>
        </w:rPr>
        <w:t>The Government will provide $69.3 million in 2025–26 to continue to protect the Australian community from the threats posed by convicted high risk terrorist offenders, including the assessment of ongoing risks, and seeking and implementing post‑sentence supervision orders after the completion of custodial sentences.</w:t>
      </w:r>
    </w:p>
    <w:p w14:paraId="6845AF66" w14:textId="5E77CB69" w:rsidR="00B449D0" w:rsidRDefault="00175344">
      <w:pPr>
        <w:pStyle w:val="Normal2"/>
      </w:pPr>
      <w:r w:rsidRPr="7F762F0D">
        <w:rPr>
          <w:lang w:val="en-US"/>
        </w:rPr>
        <w:t xml:space="preserve">The Government previously included funding in the Contingency Reserve for this purpose and this measure builds on the 2023–24 Budget measure titled </w:t>
      </w:r>
      <w:r w:rsidRPr="7F762F0D">
        <w:rPr>
          <w:i/>
          <w:iCs/>
          <w:lang w:val="en-US"/>
        </w:rPr>
        <w:t>Strengthening Australia</w:t>
      </w:r>
      <w:r w:rsidR="00076D78">
        <w:rPr>
          <w:i/>
          <w:iCs/>
          <w:lang w:val="en-US"/>
        </w:rPr>
        <w:t>’</w:t>
      </w:r>
      <w:r w:rsidRPr="7F762F0D">
        <w:rPr>
          <w:i/>
          <w:iCs/>
          <w:lang w:val="en-US"/>
        </w:rPr>
        <w:t>s Arrangements for High Risk Terrorist Offenders</w:t>
      </w:r>
      <w:r w:rsidRPr="7F762F0D">
        <w:rPr>
          <w:lang w:val="en-US"/>
        </w:rPr>
        <w:t>.</w:t>
      </w:r>
    </w:p>
    <w:p w14:paraId="5466CD3C" w14:textId="77777777" w:rsidR="00B449D0" w:rsidRDefault="00175344">
      <w:pPr>
        <w:pStyle w:val="Normal2"/>
      </w:pPr>
      <w:r>
        <w:t>The Treasury manages Commonwealth payments to the states and territories.</w:t>
      </w:r>
    </w:p>
    <w:p w14:paraId="0172C65B" w14:textId="77777777" w:rsidR="00B449D0" w:rsidRDefault="00B449D0">
      <w:pPr>
        <w:sectPr w:rsidR="00B449D0" w:rsidSect="00301E48">
          <w:headerReference w:type="even" r:id="rId48"/>
          <w:headerReference w:type="default" r:id="rId49"/>
          <w:footerReference w:type="even" r:id="rId50"/>
          <w:footerReference w:type="default" r:id="rId51"/>
          <w:headerReference w:type="first" r:id="rId52"/>
          <w:footerReference w:type="first" r:id="rId53"/>
          <w:pgSz w:w="11906" w:h="16838"/>
          <w:pgMar w:top="2835" w:right="2098" w:bottom="2466" w:left="2098" w:header="1814" w:footer="1814" w:gutter="0"/>
          <w:cols w:space="720"/>
          <w:docGrid w:linePitch="272"/>
        </w:sectPr>
      </w:pPr>
    </w:p>
    <w:p w14:paraId="2B3043B6" w14:textId="77777777" w:rsidR="00B449D0" w:rsidRDefault="00175344" w:rsidP="00ED3A9B">
      <w:pPr>
        <w:pStyle w:val="PortfolioName"/>
      </w:pPr>
      <w:r w:rsidRPr="00ED3A9B">
        <w:lastRenderedPageBreak/>
        <w:t>Climate</w:t>
      </w:r>
      <w:r>
        <w:t xml:space="preserve"> Change, Energy, the Environment and Water</w:t>
      </w:r>
    </w:p>
    <w:p w14:paraId="75A26EDD" w14:textId="77777777" w:rsidR="00B449D0" w:rsidRDefault="00175344">
      <w:pPr>
        <w:pStyle w:val="MeasureTitle"/>
      </w:pPr>
      <w:r>
        <w:t>Additional Support for Seamless</w:t>
      </w:r>
    </w:p>
    <w:p w14:paraId="73840024"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72AF96E9" w14:textId="77777777">
        <w:trPr>
          <w:cantSplit/>
        </w:trPr>
        <w:tc>
          <w:tcPr>
            <w:tcW w:w="2494" w:type="dxa"/>
            <w:tcBorders>
              <w:top w:val="single" w:sz="4" w:space="0" w:color="000000"/>
              <w:bottom w:val="single" w:sz="4" w:space="0" w:color="000000"/>
            </w:tcBorders>
          </w:tcPr>
          <w:p w14:paraId="2A06643C" w14:textId="77777777" w:rsidR="00B449D0" w:rsidRDefault="00B449D0">
            <w:pPr>
              <w:pStyle w:val="MeasureTableYearHeadings"/>
              <w:keepNext/>
            </w:pPr>
          </w:p>
        </w:tc>
        <w:tc>
          <w:tcPr>
            <w:tcW w:w="1043" w:type="dxa"/>
            <w:tcBorders>
              <w:top w:val="single" w:sz="4" w:space="0" w:color="000000"/>
              <w:bottom w:val="single" w:sz="4" w:space="0" w:color="000000"/>
            </w:tcBorders>
          </w:tcPr>
          <w:p w14:paraId="52400EB6" w14:textId="047FBEC4"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7E814FCE" w14:textId="51AABD03"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41DF7D0F" w14:textId="187156CC"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35CD7F97" w14:textId="71BE532E"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27A4A736" w14:textId="24BE38C2" w:rsidR="00B449D0" w:rsidRDefault="00175344">
            <w:pPr>
              <w:pStyle w:val="MeasureTableYearHeadings"/>
              <w:keepNext/>
            </w:pPr>
            <w:r>
              <w:t>2027</w:t>
            </w:r>
            <w:r w:rsidR="00076D78">
              <w:noBreakHyphen/>
            </w:r>
            <w:r>
              <w:t>28</w:t>
            </w:r>
          </w:p>
        </w:tc>
      </w:tr>
      <w:tr w:rsidR="00B449D0" w14:paraId="389821B2" w14:textId="77777777">
        <w:trPr>
          <w:cantSplit/>
        </w:trPr>
        <w:tc>
          <w:tcPr>
            <w:tcW w:w="2494" w:type="dxa"/>
            <w:tcBorders>
              <w:top w:val="single" w:sz="4" w:space="0" w:color="000000"/>
              <w:bottom w:val="single" w:sz="4" w:space="0" w:color="000000"/>
            </w:tcBorders>
          </w:tcPr>
          <w:p w14:paraId="553D4FBF" w14:textId="77777777" w:rsidR="00B449D0" w:rsidRDefault="00175344">
            <w:pPr>
              <w:pStyle w:val="MeasureTableHeadingleftalignedwith2ptsspacing"/>
              <w:keepNext/>
            </w:pPr>
            <w:r>
              <w:t>Department of Climate Change, Energy, the Environment and Water</w:t>
            </w:r>
          </w:p>
        </w:tc>
        <w:tc>
          <w:tcPr>
            <w:tcW w:w="1043" w:type="dxa"/>
            <w:tcBorders>
              <w:top w:val="single" w:sz="4" w:space="0" w:color="000000"/>
              <w:bottom w:val="single" w:sz="4" w:space="0" w:color="000000"/>
            </w:tcBorders>
          </w:tcPr>
          <w:p w14:paraId="2C2929D4" w14:textId="409DE529"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23682E1" w14:textId="77777777" w:rsidR="00B449D0" w:rsidRDefault="00175344">
            <w:pPr>
              <w:pStyle w:val="MeasureTableDataRightAlignedwith2ptsspacing"/>
              <w:keepNext/>
            </w:pPr>
            <w:r>
              <w:t>0.5</w:t>
            </w:r>
          </w:p>
        </w:tc>
        <w:tc>
          <w:tcPr>
            <w:tcW w:w="1043" w:type="dxa"/>
            <w:tcBorders>
              <w:top w:val="single" w:sz="4" w:space="0" w:color="000000"/>
              <w:bottom w:val="single" w:sz="4" w:space="0" w:color="000000"/>
            </w:tcBorders>
          </w:tcPr>
          <w:p w14:paraId="4047DBE9" w14:textId="77777777" w:rsidR="00B449D0" w:rsidRDefault="00175344">
            <w:pPr>
              <w:pStyle w:val="MeasureTableDataRightAlignedwith2ptsspacing"/>
              <w:keepNext/>
            </w:pPr>
            <w:r>
              <w:t>0.5</w:t>
            </w:r>
          </w:p>
        </w:tc>
        <w:tc>
          <w:tcPr>
            <w:tcW w:w="1043" w:type="dxa"/>
            <w:tcBorders>
              <w:top w:val="single" w:sz="4" w:space="0" w:color="000000"/>
              <w:bottom w:val="single" w:sz="4" w:space="0" w:color="000000"/>
            </w:tcBorders>
          </w:tcPr>
          <w:p w14:paraId="1FCC623F" w14:textId="6D84DD2E"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EE1D43D" w14:textId="5A29F972" w:rsidR="00B449D0" w:rsidRDefault="00076D78">
            <w:pPr>
              <w:pStyle w:val="MeasureTableDataRightAlignedwith2ptsspacing"/>
              <w:keepNext/>
            </w:pPr>
            <w:r>
              <w:noBreakHyphen/>
            </w:r>
          </w:p>
        </w:tc>
      </w:tr>
      <w:tr w:rsidR="00B449D0" w14:paraId="64169256" w14:textId="77777777">
        <w:trPr>
          <w:cantSplit/>
        </w:trPr>
        <w:tc>
          <w:tcPr>
            <w:tcW w:w="2494" w:type="dxa"/>
            <w:tcBorders>
              <w:top w:val="single" w:sz="4" w:space="0" w:color="000000"/>
              <w:bottom w:val="single" w:sz="4" w:space="0" w:color="000000"/>
            </w:tcBorders>
          </w:tcPr>
          <w:p w14:paraId="3F51751E" w14:textId="77777777" w:rsidR="00B449D0" w:rsidRDefault="00175344">
            <w:pPr>
              <w:pStyle w:val="MeasureTableHeadingleftalignedwith2ptsspacing"/>
              <w:keepNext/>
            </w:pPr>
            <w:r>
              <w:t>Department of the Treasury</w:t>
            </w:r>
          </w:p>
        </w:tc>
        <w:tc>
          <w:tcPr>
            <w:tcW w:w="1043" w:type="dxa"/>
            <w:tcBorders>
              <w:top w:val="single" w:sz="4" w:space="0" w:color="000000"/>
              <w:bottom w:val="single" w:sz="4" w:space="0" w:color="000000"/>
            </w:tcBorders>
          </w:tcPr>
          <w:p w14:paraId="3306D65E" w14:textId="74F20684"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85A9F27" w14:textId="4C4023CD" w:rsidR="00B449D0" w:rsidRDefault="00076D78">
            <w:pPr>
              <w:pStyle w:val="MeasureTableDataRightAlignedwith2ptsspacing"/>
              <w:keepNext/>
            </w:pPr>
            <w:r>
              <w:noBreakHyphen/>
            </w:r>
            <w:r w:rsidR="00175344">
              <w:t>1.3</w:t>
            </w:r>
          </w:p>
        </w:tc>
        <w:tc>
          <w:tcPr>
            <w:tcW w:w="1043" w:type="dxa"/>
            <w:tcBorders>
              <w:top w:val="single" w:sz="4" w:space="0" w:color="000000"/>
              <w:bottom w:val="single" w:sz="4" w:space="0" w:color="000000"/>
            </w:tcBorders>
          </w:tcPr>
          <w:p w14:paraId="37986E30" w14:textId="4660F885" w:rsidR="00B449D0" w:rsidRDefault="00076D78">
            <w:pPr>
              <w:pStyle w:val="MeasureTableDataRightAlignedwith2ptsspacing"/>
              <w:keepNext/>
            </w:pPr>
            <w:r>
              <w:noBreakHyphen/>
            </w:r>
            <w:r w:rsidR="00175344">
              <w:t>0.7</w:t>
            </w:r>
          </w:p>
        </w:tc>
        <w:tc>
          <w:tcPr>
            <w:tcW w:w="1043" w:type="dxa"/>
            <w:tcBorders>
              <w:top w:val="single" w:sz="4" w:space="0" w:color="000000"/>
              <w:bottom w:val="single" w:sz="4" w:space="0" w:color="000000"/>
            </w:tcBorders>
          </w:tcPr>
          <w:p w14:paraId="6DC80B2A" w14:textId="34AF92A9" w:rsidR="00B449D0" w:rsidRDefault="00076D78">
            <w:pPr>
              <w:pStyle w:val="MeasureTableDataRightAlignedwith2ptsspacing"/>
              <w:keepNext/>
            </w:pPr>
            <w:r>
              <w:noBreakHyphen/>
            </w:r>
            <w:r w:rsidR="00175344">
              <w:t>11.9</w:t>
            </w:r>
          </w:p>
        </w:tc>
        <w:tc>
          <w:tcPr>
            <w:tcW w:w="1043" w:type="dxa"/>
            <w:tcBorders>
              <w:top w:val="single" w:sz="4" w:space="0" w:color="000000"/>
              <w:bottom w:val="single" w:sz="4" w:space="0" w:color="000000"/>
            </w:tcBorders>
          </w:tcPr>
          <w:p w14:paraId="2E614165" w14:textId="0D70E888" w:rsidR="00B449D0" w:rsidRDefault="00076D78">
            <w:pPr>
              <w:pStyle w:val="MeasureTableDataRightAlignedwith2ptsspacing"/>
              <w:keepNext/>
            </w:pPr>
            <w:r>
              <w:noBreakHyphen/>
            </w:r>
          </w:p>
        </w:tc>
      </w:tr>
      <w:tr w:rsidR="00B449D0" w14:paraId="6F4AE4F1" w14:textId="77777777">
        <w:trPr>
          <w:cantSplit/>
        </w:trPr>
        <w:tc>
          <w:tcPr>
            <w:tcW w:w="2494" w:type="dxa"/>
            <w:tcBorders>
              <w:top w:val="single" w:sz="4" w:space="0" w:color="000000"/>
              <w:bottom w:val="single" w:sz="4" w:space="0" w:color="000000"/>
            </w:tcBorders>
          </w:tcPr>
          <w:p w14:paraId="50F8D47E"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74FCCB26" w14:textId="6243E2D0"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210A67CB" w14:textId="67771325" w:rsidR="00B449D0" w:rsidRDefault="00076D78">
            <w:pPr>
              <w:pStyle w:val="Totaldatarowrightaligned"/>
              <w:keepNext/>
            </w:pPr>
            <w:r>
              <w:noBreakHyphen/>
            </w:r>
            <w:r w:rsidR="00175344">
              <w:t>0.8</w:t>
            </w:r>
          </w:p>
        </w:tc>
        <w:tc>
          <w:tcPr>
            <w:tcW w:w="1043" w:type="dxa"/>
            <w:tcBorders>
              <w:top w:val="single" w:sz="4" w:space="0" w:color="000000"/>
              <w:bottom w:val="single" w:sz="4" w:space="0" w:color="000000"/>
            </w:tcBorders>
          </w:tcPr>
          <w:p w14:paraId="273C9B4F" w14:textId="038D5B2E" w:rsidR="00B449D0" w:rsidRDefault="00076D78">
            <w:pPr>
              <w:pStyle w:val="Totaldatarowrightaligned"/>
              <w:keepNext/>
            </w:pPr>
            <w:r>
              <w:noBreakHyphen/>
            </w:r>
            <w:r w:rsidR="00175344">
              <w:t>0.2</w:t>
            </w:r>
          </w:p>
        </w:tc>
        <w:tc>
          <w:tcPr>
            <w:tcW w:w="1043" w:type="dxa"/>
            <w:tcBorders>
              <w:top w:val="single" w:sz="4" w:space="0" w:color="000000"/>
              <w:bottom w:val="single" w:sz="4" w:space="0" w:color="000000"/>
            </w:tcBorders>
          </w:tcPr>
          <w:p w14:paraId="5B1EE0E4" w14:textId="62ABE81A" w:rsidR="00B449D0" w:rsidRDefault="00076D78">
            <w:pPr>
              <w:pStyle w:val="Totaldatarowrightaligned"/>
              <w:keepNext/>
            </w:pPr>
            <w:r>
              <w:noBreakHyphen/>
            </w:r>
            <w:r w:rsidR="00175344">
              <w:t>11.9</w:t>
            </w:r>
          </w:p>
        </w:tc>
        <w:tc>
          <w:tcPr>
            <w:tcW w:w="1043" w:type="dxa"/>
            <w:tcBorders>
              <w:top w:val="single" w:sz="4" w:space="0" w:color="000000"/>
              <w:bottom w:val="single" w:sz="4" w:space="0" w:color="000000"/>
            </w:tcBorders>
          </w:tcPr>
          <w:p w14:paraId="4AA677B3" w14:textId="6B1E06C7" w:rsidR="00B449D0" w:rsidRDefault="00076D78">
            <w:pPr>
              <w:pStyle w:val="Totaldatarowrightaligned"/>
              <w:keepNext/>
            </w:pPr>
            <w:r>
              <w:noBreakHyphen/>
            </w:r>
          </w:p>
        </w:tc>
      </w:tr>
    </w:tbl>
    <w:p w14:paraId="273DE65E" w14:textId="77777777" w:rsidR="00B449D0" w:rsidRDefault="00B449D0" w:rsidP="00380A42">
      <w:pPr>
        <w:pStyle w:val="SingleParagraph0"/>
      </w:pPr>
    </w:p>
    <w:p w14:paraId="0CBB5E85" w14:textId="77777777" w:rsidR="00B449D0" w:rsidRDefault="00175344">
      <w:pPr>
        <w:pStyle w:val="Normal2"/>
      </w:pPr>
      <w:r>
        <w:t xml:space="preserve">The Government will provide $1.0 million over two years from 2024–25 to support </w:t>
      </w:r>
      <w:r w:rsidRPr="00175344">
        <w:rPr>
          <w:i/>
        </w:rPr>
        <w:t>Seamless</w:t>
      </w:r>
      <w:r>
        <w:t>, an industry‑led voluntary product stewardship scheme that addresses the environmental impacts of clothing textiles and supports circular economy outcomes.</w:t>
      </w:r>
    </w:p>
    <w:p w14:paraId="0B25DAE7" w14:textId="77777777" w:rsidR="00B449D0" w:rsidRDefault="00175344">
      <w:pPr>
        <w:pStyle w:val="Normal2"/>
      </w:pPr>
      <w:r w:rsidRPr="7F762F0D">
        <w:rPr>
          <w:lang w:val="en-US"/>
        </w:rPr>
        <w:t xml:space="preserve">The Government will also achieve savings of $14.0 million over three years from 2024–25 by redirecting uncommitted funding from the </w:t>
      </w:r>
      <w:r w:rsidRPr="7F762F0D">
        <w:rPr>
          <w:i/>
          <w:iCs/>
          <w:lang w:val="en-US"/>
        </w:rPr>
        <w:t>Recycling Modernisation Fund – Plastics Technology</w:t>
      </w:r>
      <w:r w:rsidRPr="7F762F0D">
        <w:rPr>
          <w:lang w:val="en-US"/>
        </w:rPr>
        <w:t xml:space="preserve"> stream to support other priorities in the Climate Change, Energy, the Environment and Water portfolio, including </w:t>
      </w:r>
      <w:r w:rsidRPr="7F762F0D">
        <w:rPr>
          <w:i/>
          <w:iCs/>
          <w:lang w:val="en-US"/>
        </w:rPr>
        <w:t>Seamless</w:t>
      </w:r>
      <w:r w:rsidRPr="7F762F0D">
        <w:rPr>
          <w:lang w:val="en-US"/>
        </w:rPr>
        <w:t>.</w:t>
      </w:r>
    </w:p>
    <w:p w14:paraId="464B8771" w14:textId="77777777" w:rsidR="00B449D0" w:rsidRDefault="00175344">
      <w:pPr>
        <w:pStyle w:val="MeasureTitle"/>
      </w:pPr>
      <w:r>
        <w:t>Enabling a Reliable and Secure Energy Transition</w:t>
      </w:r>
    </w:p>
    <w:p w14:paraId="5A97C461"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6A67683A" w14:textId="77777777">
        <w:trPr>
          <w:cantSplit/>
        </w:trPr>
        <w:tc>
          <w:tcPr>
            <w:tcW w:w="2494" w:type="dxa"/>
            <w:tcBorders>
              <w:top w:val="single" w:sz="4" w:space="0" w:color="000000"/>
              <w:bottom w:val="single" w:sz="4" w:space="0" w:color="000000"/>
            </w:tcBorders>
          </w:tcPr>
          <w:p w14:paraId="0B559E46" w14:textId="77777777" w:rsidR="00B449D0" w:rsidRDefault="00B449D0">
            <w:pPr>
              <w:pStyle w:val="MeasureTableYearHeadings"/>
              <w:keepNext/>
            </w:pPr>
          </w:p>
        </w:tc>
        <w:tc>
          <w:tcPr>
            <w:tcW w:w="1043" w:type="dxa"/>
            <w:tcBorders>
              <w:top w:val="single" w:sz="4" w:space="0" w:color="000000"/>
              <w:bottom w:val="single" w:sz="4" w:space="0" w:color="000000"/>
            </w:tcBorders>
          </w:tcPr>
          <w:p w14:paraId="6EA59F85" w14:textId="14595432"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62E5A514" w14:textId="0C7788C4"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1EFAE289" w14:textId="3C375609"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19D15553" w14:textId="55072480"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0EC3036F" w14:textId="1CEDB254" w:rsidR="00B449D0" w:rsidRDefault="00175344">
            <w:pPr>
              <w:pStyle w:val="MeasureTableYearHeadings"/>
              <w:keepNext/>
            </w:pPr>
            <w:r>
              <w:t>2027</w:t>
            </w:r>
            <w:r w:rsidR="00076D78">
              <w:noBreakHyphen/>
            </w:r>
            <w:r>
              <w:t>28</w:t>
            </w:r>
          </w:p>
        </w:tc>
      </w:tr>
      <w:tr w:rsidR="00B449D0" w14:paraId="57C328E9" w14:textId="77777777">
        <w:trPr>
          <w:cantSplit/>
        </w:trPr>
        <w:tc>
          <w:tcPr>
            <w:tcW w:w="2494" w:type="dxa"/>
            <w:tcBorders>
              <w:top w:val="single" w:sz="4" w:space="0" w:color="000000"/>
              <w:bottom w:val="single" w:sz="4" w:space="0" w:color="000000"/>
            </w:tcBorders>
          </w:tcPr>
          <w:p w14:paraId="1C166E09" w14:textId="77777777" w:rsidR="00B449D0" w:rsidRDefault="00175344">
            <w:pPr>
              <w:pStyle w:val="MeasureTableHeadingleftalignedwith2ptsspacing"/>
              <w:keepNext/>
            </w:pPr>
            <w:r>
              <w:t>Department of Climate Change, Energy, the Environment and Water</w:t>
            </w:r>
          </w:p>
        </w:tc>
        <w:tc>
          <w:tcPr>
            <w:tcW w:w="1043" w:type="dxa"/>
            <w:tcBorders>
              <w:top w:val="single" w:sz="4" w:space="0" w:color="000000"/>
              <w:bottom w:val="single" w:sz="4" w:space="0" w:color="000000"/>
            </w:tcBorders>
          </w:tcPr>
          <w:p w14:paraId="23881781" w14:textId="38A18226"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6FA673C" w14:textId="77777777" w:rsidR="00B449D0" w:rsidRDefault="00175344">
            <w:pPr>
              <w:pStyle w:val="MeasureTableDataRightAlignedwith2ptsspacing"/>
              <w:keepNext/>
            </w:pPr>
            <w:r>
              <w:t>31.3</w:t>
            </w:r>
          </w:p>
        </w:tc>
        <w:tc>
          <w:tcPr>
            <w:tcW w:w="1043" w:type="dxa"/>
            <w:tcBorders>
              <w:top w:val="single" w:sz="4" w:space="0" w:color="000000"/>
              <w:bottom w:val="single" w:sz="4" w:space="0" w:color="000000"/>
            </w:tcBorders>
          </w:tcPr>
          <w:p w14:paraId="3F574B8D" w14:textId="77777777" w:rsidR="00B449D0" w:rsidRDefault="00175344">
            <w:pPr>
              <w:pStyle w:val="MeasureTableDataRightAlignedwith2ptsspacing"/>
              <w:keepNext/>
            </w:pPr>
            <w:r>
              <w:t>296.7</w:t>
            </w:r>
          </w:p>
        </w:tc>
        <w:tc>
          <w:tcPr>
            <w:tcW w:w="1043" w:type="dxa"/>
            <w:tcBorders>
              <w:top w:val="single" w:sz="4" w:space="0" w:color="000000"/>
              <w:bottom w:val="single" w:sz="4" w:space="0" w:color="000000"/>
            </w:tcBorders>
          </w:tcPr>
          <w:p w14:paraId="12FA4980" w14:textId="77777777" w:rsidR="00B449D0" w:rsidRDefault="00175344">
            <w:pPr>
              <w:pStyle w:val="MeasureTableDataRightAlignedwith2ptsspacing"/>
              <w:keepNext/>
            </w:pPr>
            <w:r>
              <w:t>303.0</w:t>
            </w:r>
          </w:p>
        </w:tc>
        <w:tc>
          <w:tcPr>
            <w:tcW w:w="1043" w:type="dxa"/>
            <w:tcBorders>
              <w:top w:val="single" w:sz="4" w:space="0" w:color="000000"/>
              <w:bottom w:val="single" w:sz="4" w:space="0" w:color="000000"/>
            </w:tcBorders>
          </w:tcPr>
          <w:p w14:paraId="26E26ED8" w14:textId="77777777" w:rsidR="00B449D0" w:rsidRDefault="00175344">
            <w:pPr>
              <w:pStyle w:val="MeasureTableDataRightAlignedwith2ptsspacing"/>
              <w:keepNext/>
            </w:pPr>
            <w:r>
              <w:t>132.9</w:t>
            </w:r>
          </w:p>
        </w:tc>
      </w:tr>
      <w:tr w:rsidR="00B449D0" w14:paraId="728849E2" w14:textId="77777777">
        <w:trPr>
          <w:cantSplit/>
        </w:trPr>
        <w:tc>
          <w:tcPr>
            <w:tcW w:w="2494" w:type="dxa"/>
            <w:tcBorders>
              <w:top w:val="single" w:sz="4" w:space="0" w:color="000000"/>
              <w:bottom w:val="single" w:sz="4" w:space="0" w:color="000000"/>
            </w:tcBorders>
          </w:tcPr>
          <w:p w14:paraId="750567AE" w14:textId="77777777" w:rsidR="00B449D0" w:rsidRDefault="00175344">
            <w:pPr>
              <w:pStyle w:val="MeasureTableHeadingleftalignedwith2ptsspacing"/>
              <w:keepNext/>
            </w:pPr>
            <w:r>
              <w:t>Digital Transformation Agency</w:t>
            </w:r>
          </w:p>
        </w:tc>
        <w:tc>
          <w:tcPr>
            <w:tcW w:w="1043" w:type="dxa"/>
            <w:tcBorders>
              <w:top w:val="single" w:sz="4" w:space="0" w:color="000000"/>
              <w:bottom w:val="single" w:sz="4" w:space="0" w:color="000000"/>
            </w:tcBorders>
          </w:tcPr>
          <w:p w14:paraId="6B6773C5" w14:textId="61EE6C64"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AD14C9E" w14:textId="77777777" w:rsidR="00B449D0" w:rsidRDefault="00175344">
            <w:pPr>
              <w:pStyle w:val="MeasureTableDataRightAlignedwith2ptsspacing"/>
              <w:keepNext/>
            </w:pPr>
            <w:r>
              <w:t>0.1</w:t>
            </w:r>
          </w:p>
        </w:tc>
        <w:tc>
          <w:tcPr>
            <w:tcW w:w="1043" w:type="dxa"/>
            <w:tcBorders>
              <w:top w:val="single" w:sz="4" w:space="0" w:color="000000"/>
              <w:bottom w:val="single" w:sz="4" w:space="0" w:color="000000"/>
            </w:tcBorders>
          </w:tcPr>
          <w:p w14:paraId="4A753392" w14:textId="77777777" w:rsidR="00B449D0" w:rsidRDefault="00175344">
            <w:pPr>
              <w:pStyle w:val="MeasureTableDataRightAlignedwith2ptsspacing"/>
              <w:keepNext/>
            </w:pPr>
            <w:r>
              <w:t>0.1</w:t>
            </w:r>
          </w:p>
        </w:tc>
        <w:tc>
          <w:tcPr>
            <w:tcW w:w="1043" w:type="dxa"/>
            <w:tcBorders>
              <w:top w:val="single" w:sz="4" w:space="0" w:color="000000"/>
              <w:bottom w:val="single" w:sz="4" w:space="0" w:color="000000"/>
            </w:tcBorders>
          </w:tcPr>
          <w:p w14:paraId="0D4850B8" w14:textId="77777777" w:rsidR="00B449D0" w:rsidRDefault="00175344">
            <w:pPr>
              <w:pStyle w:val="MeasureTableDataRightAlignedwith2ptsspacing"/>
              <w:keepNext/>
            </w:pPr>
            <w:r>
              <w:t>0.1</w:t>
            </w:r>
          </w:p>
        </w:tc>
        <w:tc>
          <w:tcPr>
            <w:tcW w:w="1043" w:type="dxa"/>
            <w:tcBorders>
              <w:top w:val="single" w:sz="4" w:space="0" w:color="000000"/>
              <w:bottom w:val="single" w:sz="4" w:space="0" w:color="000000"/>
            </w:tcBorders>
          </w:tcPr>
          <w:p w14:paraId="2A4D4CCE" w14:textId="77777777" w:rsidR="00B449D0" w:rsidRDefault="00175344">
            <w:pPr>
              <w:pStyle w:val="MeasureTableDataRightAlignedwith2ptsspacing"/>
              <w:keepNext/>
            </w:pPr>
            <w:r>
              <w:t>0.1</w:t>
            </w:r>
          </w:p>
        </w:tc>
      </w:tr>
      <w:tr w:rsidR="00B449D0" w14:paraId="3EA8EB0E" w14:textId="77777777">
        <w:trPr>
          <w:cantSplit/>
        </w:trPr>
        <w:tc>
          <w:tcPr>
            <w:tcW w:w="2494" w:type="dxa"/>
            <w:tcBorders>
              <w:top w:val="single" w:sz="4" w:space="0" w:color="000000"/>
              <w:bottom w:val="single" w:sz="4" w:space="0" w:color="000000"/>
            </w:tcBorders>
          </w:tcPr>
          <w:p w14:paraId="71875524" w14:textId="77777777" w:rsidR="00B449D0" w:rsidRDefault="00175344">
            <w:pPr>
              <w:pStyle w:val="MeasureTableHeadingleftalignedwith2ptsspacing"/>
              <w:keepNext/>
            </w:pPr>
            <w:r>
              <w:t>Department of the Treasury</w:t>
            </w:r>
          </w:p>
        </w:tc>
        <w:tc>
          <w:tcPr>
            <w:tcW w:w="1043" w:type="dxa"/>
            <w:tcBorders>
              <w:top w:val="single" w:sz="4" w:space="0" w:color="000000"/>
              <w:bottom w:val="single" w:sz="4" w:space="0" w:color="000000"/>
            </w:tcBorders>
          </w:tcPr>
          <w:p w14:paraId="6FDA3199" w14:textId="146CC717"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0ADAD99" w14:textId="25E4382D"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1E99987" w14:textId="77777777" w:rsidR="00B449D0" w:rsidRDefault="00175344">
            <w:pPr>
              <w:pStyle w:val="MeasureTableDataRightAlignedwith2ptsspacing"/>
              <w:keepNext/>
            </w:pPr>
            <w:r>
              <w:t>nfp</w:t>
            </w:r>
          </w:p>
        </w:tc>
        <w:tc>
          <w:tcPr>
            <w:tcW w:w="1043" w:type="dxa"/>
            <w:tcBorders>
              <w:top w:val="single" w:sz="4" w:space="0" w:color="000000"/>
              <w:bottom w:val="single" w:sz="4" w:space="0" w:color="000000"/>
            </w:tcBorders>
          </w:tcPr>
          <w:p w14:paraId="39B3ACCE" w14:textId="77777777" w:rsidR="00B449D0" w:rsidRDefault="00175344">
            <w:pPr>
              <w:pStyle w:val="MeasureTableDataRightAlignedwith2ptsspacing"/>
              <w:keepNext/>
            </w:pPr>
            <w:r>
              <w:t>nfp</w:t>
            </w:r>
          </w:p>
        </w:tc>
        <w:tc>
          <w:tcPr>
            <w:tcW w:w="1043" w:type="dxa"/>
            <w:tcBorders>
              <w:top w:val="single" w:sz="4" w:space="0" w:color="000000"/>
              <w:bottom w:val="single" w:sz="4" w:space="0" w:color="000000"/>
            </w:tcBorders>
          </w:tcPr>
          <w:p w14:paraId="3CF92FBB" w14:textId="77777777" w:rsidR="00B449D0" w:rsidRDefault="00175344">
            <w:pPr>
              <w:pStyle w:val="MeasureTableDataRightAlignedwith2ptsspacing"/>
              <w:keepNext/>
            </w:pPr>
            <w:r>
              <w:t>nfp</w:t>
            </w:r>
          </w:p>
        </w:tc>
      </w:tr>
      <w:tr w:rsidR="00B449D0" w14:paraId="13AA4D4F" w14:textId="77777777">
        <w:trPr>
          <w:cantSplit/>
        </w:trPr>
        <w:tc>
          <w:tcPr>
            <w:tcW w:w="2494" w:type="dxa"/>
            <w:tcBorders>
              <w:top w:val="single" w:sz="4" w:space="0" w:color="000000"/>
              <w:bottom w:val="single" w:sz="4" w:space="0" w:color="000000"/>
            </w:tcBorders>
          </w:tcPr>
          <w:p w14:paraId="714E54EB"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651CBD98" w14:textId="5AD7E652"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1AA264BC" w14:textId="77777777" w:rsidR="00B449D0" w:rsidRDefault="00175344">
            <w:pPr>
              <w:pStyle w:val="Totaldatarowrightaligned"/>
              <w:keepNext/>
            </w:pPr>
            <w:r>
              <w:t>31.3</w:t>
            </w:r>
          </w:p>
        </w:tc>
        <w:tc>
          <w:tcPr>
            <w:tcW w:w="1043" w:type="dxa"/>
            <w:tcBorders>
              <w:top w:val="single" w:sz="4" w:space="0" w:color="000000"/>
              <w:bottom w:val="single" w:sz="4" w:space="0" w:color="000000"/>
            </w:tcBorders>
          </w:tcPr>
          <w:p w14:paraId="62FF4514" w14:textId="77777777" w:rsidR="00B449D0" w:rsidRDefault="00175344">
            <w:pPr>
              <w:pStyle w:val="Totaldatarowrightaligned"/>
              <w:keepNext/>
            </w:pPr>
            <w:r>
              <w:t>296.8</w:t>
            </w:r>
          </w:p>
        </w:tc>
        <w:tc>
          <w:tcPr>
            <w:tcW w:w="1043" w:type="dxa"/>
            <w:tcBorders>
              <w:top w:val="single" w:sz="4" w:space="0" w:color="000000"/>
              <w:bottom w:val="single" w:sz="4" w:space="0" w:color="000000"/>
            </w:tcBorders>
          </w:tcPr>
          <w:p w14:paraId="760A06B9" w14:textId="77777777" w:rsidR="00B449D0" w:rsidRDefault="00175344">
            <w:pPr>
              <w:pStyle w:val="Totaldatarowrightaligned"/>
              <w:keepNext/>
            </w:pPr>
            <w:r>
              <w:t>303.0</w:t>
            </w:r>
          </w:p>
        </w:tc>
        <w:tc>
          <w:tcPr>
            <w:tcW w:w="1043" w:type="dxa"/>
            <w:tcBorders>
              <w:top w:val="single" w:sz="4" w:space="0" w:color="000000"/>
              <w:bottom w:val="single" w:sz="4" w:space="0" w:color="000000"/>
            </w:tcBorders>
          </w:tcPr>
          <w:p w14:paraId="79B0EE13" w14:textId="77777777" w:rsidR="00B449D0" w:rsidRDefault="00175344">
            <w:pPr>
              <w:pStyle w:val="Totaldatarowrightaligned"/>
              <w:keepNext/>
            </w:pPr>
            <w:r>
              <w:t>133.0</w:t>
            </w:r>
          </w:p>
        </w:tc>
      </w:tr>
    </w:tbl>
    <w:p w14:paraId="076493AA" w14:textId="77777777" w:rsidR="00B449D0" w:rsidRDefault="00B449D0" w:rsidP="00380A42">
      <w:pPr>
        <w:pStyle w:val="SingleParagraph0"/>
      </w:pPr>
    </w:p>
    <w:p w14:paraId="38818A92" w14:textId="77777777" w:rsidR="00B449D0" w:rsidRDefault="00175344">
      <w:pPr>
        <w:pStyle w:val="Normal2"/>
      </w:pPr>
      <w:r>
        <w:t>The Government will provide $768.5 million over five years from 2024–25 (and $0.7 million per year ongoing) to support actions to accelerate a reliable and secure energy transition across Australia. Funding includes:</w:t>
      </w:r>
    </w:p>
    <w:p w14:paraId="5CADC426" w14:textId="77777777" w:rsidR="00B449D0" w:rsidRDefault="00175344">
      <w:pPr>
        <w:pStyle w:val="Bullet"/>
      </w:pPr>
      <w:r>
        <w:t>$728.1 million over five years from 2024–25 to support the Australian Energy Market Operator to uplift core digital systems to enhance energy security and reliability</w:t>
      </w:r>
    </w:p>
    <w:p w14:paraId="114AE017" w14:textId="77777777" w:rsidR="00B449D0" w:rsidRDefault="00175344">
      <w:pPr>
        <w:pStyle w:val="Bullet"/>
      </w:pPr>
      <w:r>
        <w:t xml:space="preserve">$34.9 million in 2025–26 to further fund the Australian Energy Market Operator to deliver </w:t>
      </w:r>
      <w:r w:rsidRPr="0022710B">
        <w:t>Capacity Investment Scheme</w:t>
      </w:r>
      <w:r>
        <w:t xml:space="preserve"> tenders and undertake contract management activities for selected projects</w:t>
      </w:r>
    </w:p>
    <w:p w14:paraId="0083969F" w14:textId="03A4E5A1" w:rsidR="00B449D0" w:rsidRDefault="00175344">
      <w:pPr>
        <w:pStyle w:val="Bullet"/>
      </w:pPr>
      <w:r>
        <w:t>$2.5 million over four years from 2024–25 (and $0.7 million per year ongoing from 2028</w:t>
      </w:r>
      <w:r w:rsidR="00526C88">
        <w:t>‍</w:t>
      </w:r>
      <w:r>
        <w:t>–</w:t>
      </w:r>
      <w:r w:rsidR="00526C88">
        <w:t>‍</w:t>
      </w:r>
      <w:r>
        <w:t>29) for the Australian Energy Infrastructure Commissioner to continue delivering community engagement and support for communities affected by the energy transition</w:t>
      </w:r>
    </w:p>
    <w:p w14:paraId="5335F115" w14:textId="77777777" w:rsidR="00B449D0" w:rsidRDefault="00175344">
      <w:pPr>
        <w:pStyle w:val="Bullet"/>
      </w:pPr>
      <w:r>
        <w:lastRenderedPageBreak/>
        <w:t>$2.3 million over two years from 2024–25 for an expert panel led review into wholesale market settings in the National Electricity Market to promote investments in firmed, renewable generation and storage capacity.</w:t>
      </w:r>
    </w:p>
    <w:p w14:paraId="576E899F" w14:textId="77777777" w:rsidR="00B449D0" w:rsidRDefault="00175344">
      <w:pPr>
        <w:pStyle w:val="Normal2"/>
      </w:pPr>
      <w:r>
        <w:t>Partial savings in this measure have already been provided for by the Government.</w:t>
      </w:r>
    </w:p>
    <w:p w14:paraId="46A279A5" w14:textId="45AB6D31" w:rsidR="00B449D0" w:rsidRDefault="00175344">
      <w:pPr>
        <w:pStyle w:val="Normal2"/>
      </w:pPr>
      <w:r w:rsidRPr="7F762F0D">
        <w:rPr>
          <w:lang w:val="en-US"/>
        </w:rPr>
        <w:t>The cost of this measure will also be partially met from savings identified in the Climate</w:t>
      </w:r>
      <w:r w:rsidR="00526C88">
        <w:rPr>
          <w:lang w:val="en-US"/>
        </w:rPr>
        <w:t> </w:t>
      </w:r>
      <w:r w:rsidRPr="7F762F0D">
        <w:rPr>
          <w:lang w:val="en-US"/>
        </w:rPr>
        <w:t>Change</w:t>
      </w:r>
      <w:r w:rsidR="003E3AF4">
        <w:rPr>
          <w:lang w:val="en-US"/>
        </w:rPr>
        <w:t xml:space="preserve">, </w:t>
      </w:r>
      <w:r w:rsidRPr="7F762F0D">
        <w:rPr>
          <w:lang w:val="en-US"/>
        </w:rPr>
        <w:t>Energy</w:t>
      </w:r>
      <w:r w:rsidR="00236336">
        <w:rPr>
          <w:lang w:val="en-US"/>
        </w:rPr>
        <w:t>, the Environment and Water</w:t>
      </w:r>
      <w:r w:rsidRPr="7F762F0D">
        <w:rPr>
          <w:lang w:val="en-US"/>
        </w:rPr>
        <w:t xml:space="preserve"> portfolio, including savings from the 2023–24 Budget measure titled </w:t>
      </w:r>
      <w:r w:rsidRPr="7F762F0D">
        <w:rPr>
          <w:i/>
          <w:lang w:val="en-US"/>
        </w:rPr>
        <w:t>Capacity Investment Scheme</w:t>
      </w:r>
      <w:r w:rsidRPr="7F762F0D">
        <w:rPr>
          <w:lang w:val="en-US"/>
        </w:rPr>
        <w:t xml:space="preserve"> through amendments to the Federation Funding Agreement with New South Wales. The financial implications of this measure are not for publication (nfp) as the disclosure would impair the Commonwealth</w:t>
      </w:r>
      <w:r w:rsidR="00076D78">
        <w:rPr>
          <w:lang w:val="en-US"/>
        </w:rPr>
        <w:t>’</w:t>
      </w:r>
      <w:r w:rsidRPr="7F762F0D">
        <w:rPr>
          <w:lang w:val="en-US"/>
        </w:rPr>
        <w:t>s position in negotiating contracts with industry.</w:t>
      </w:r>
    </w:p>
    <w:p w14:paraId="62218375" w14:textId="06CFE762" w:rsidR="00B449D0" w:rsidRDefault="00175344">
      <w:pPr>
        <w:pStyle w:val="Normal2"/>
      </w:pPr>
      <w:r>
        <w:t xml:space="preserve">This measure builds on the 2023–24 Budget measures titled </w:t>
      </w:r>
      <w:r w:rsidRPr="00175344">
        <w:rPr>
          <w:i/>
        </w:rPr>
        <w:t xml:space="preserve">Capacity Investment Scheme </w:t>
      </w:r>
      <w:r>
        <w:t>and</w:t>
      </w:r>
      <w:r w:rsidRPr="00175344">
        <w:rPr>
          <w:i/>
        </w:rPr>
        <w:t xml:space="preserve"> Ensuring the Supply of Reliable, Secure and Affordable Energy, </w:t>
      </w:r>
      <w:r>
        <w:t xml:space="preserve">the 2023–24 MYEFO measures titled </w:t>
      </w:r>
      <w:r w:rsidRPr="00175344">
        <w:rPr>
          <w:i/>
        </w:rPr>
        <w:t>Capacity Investment Scheme – expansion</w:t>
      </w:r>
      <w:r>
        <w:t xml:space="preserve"> and </w:t>
      </w:r>
      <w:r w:rsidRPr="00175344">
        <w:rPr>
          <w:i/>
        </w:rPr>
        <w:t>Enabling Australia</w:t>
      </w:r>
      <w:r w:rsidR="00076D78">
        <w:rPr>
          <w:i/>
        </w:rPr>
        <w:t>’</w:t>
      </w:r>
      <w:r w:rsidRPr="00175344">
        <w:rPr>
          <w:i/>
        </w:rPr>
        <w:t xml:space="preserve">s Energy Transformation </w:t>
      </w:r>
      <w:r>
        <w:t xml:space="preserve">and the 2024–25 Budget measure titled </w:t>
      </w:r>
      <w:r w:rsidRPr="00175344">
        <w:rPr>
          <w:i/>
        </w:rPr>
        <w:t>Harnessing the Energy Transition to Benefit Consumers</w:t>
      </w:r>
      <w:r>
        <w:t>.</w:t>
      </w:r>
    </w:p>
    <w:p w14:paraId="3ABD1B83" w14:textId="77777777" w:rsidR="00B449D0" w:rsidRDefault="00175344">
      <w:pPr>
        <w:pStyle w:val="MeasureTitle"/>
      </w:pPr>
      <w:r>
        <w:t>Expansion of the Social Housing Energy Performance Initiative</w:t>
      </w:r>
    </w:p>
    <w:p w14:paraId="03D53BAC"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11C9A0E1" w14:textId="77777777">
        <w:trPr>
          <w:cantSplit/>
        </w:trPr>
        <w:tc>
          <w:tcPr>
            <w:tcW w:w="2494" w:type="dxa"/>
            <w:tcBorders>
              <w:top w:val="single" w:sz="4" w:space="0" w:color="000000"/>
              <w:bottom w:val="single" w:sz="4" w:space="0" w:color="000000"/>
            </w:tcBorders>
          </w:tcPr>
          <w:p w14:paraId="265EE91D" w14:textId="77777777" w:rsidR="00B449D0" w:rsidRDefault="00B449D0">
            <w:pPr>
              <w:pStyle w:val="MeasureTableYearHeadings"/>
              <w:keepNext/>
            </w:pPr>
          </w:p>
        </w:tc>
        <w:tc>
          <w:tcPr>
            <w:tcW w:w="1043" w:type="dxa"/>
            <w:tcBorders>
              <w:top w:val="single" w:sz="4" w:space="0" w:color="000000"/>
              <w:bottom w:val="single" w:sz="4" w:space="0" w:color="000000"/>
            </w:tcBorders>
          </w:tcPr>
          <w:p w14:paraId="2221B6C8" w14:textId="03D25C3F"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026DE7CF" w14:textId="2D7D127E"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4D6298CF" w14:textId="260A33CC"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5A8D2846" w14:textId="5ADECFD9"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744EE58F" w14:textId="03EE1065" w:rsidR="00B449D0" w:rsidRDefault="00175344">
            <w:pPr>
              <w:pStyle w:val="MeasureTableYearHeadings"/>
              <w:keepNext/>
            </w:pPr>
            <w:r>
              <w:t>2027</w:t>
            </w:r>
            <w:r w:rsidR="00076D78">
              <w:noBreakHyphen/>
            </w:r>
            <w:r>
              <w:t>28</w:t>
            </w:r>
          </w:p>
        </w:tc>
      </w:tr>
      <w:tr w:rsidR="00B449D0" w14:paraId="1BEAFCE3" w14:textId="77777777">
        <w:trPr>
          <w:cantSplit/>
        </w:trPr>
        <w:tc>
          <w:tcPr>
            <w:tcW w:w="2494" w:type="dxa"/>
            <w:tcBorders>
              <w:top w:val="single" w:sz="4" w:space="0" w:color="000000"/>
              <w:bottom w:val="single" w:sz="4" w:space="0" w:color="000000"/>
            </w:tcBorders>
          </w:tcPr>
          <w:p w14:paraId="7F2D8A03" w14:textId="77777777" w:rsidR="00B449D0" w:rsidRDefault="00175344">
            <w:pPr>
              <w:pStyle w:val="MeasureTableHeadingleftalignedwith2ptsspacing"/>
              <w:keepNext/>
            </w:pPr>
            <w:r>
              <w:t>Department of the Treasury</w:t>
            </w:r>
          </w:p>
        </w:tc>
        <w:tc>
          <w:tcPr>
            <w:tcW w:w="1043" w:type="dxa"/>
            <w:tcBorders>
              <w:top w:val="single" w:sz="4" w:space="0" w:color="000000"/>
              <w:bottom w:val="single" w:sz="4" w:space="0" w:color="000000"/>
            </w:tcBorders>
          </w:tcPr>
          <w:p w14:paraId="111490BA" w14:textId="5E9A46B0"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D00D7F5" w14:textId="32B7C311"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469A82D" w14:textId="77777777" w:rsidR="00B449D0" w:rsidRDefault="00175344">
            <w:pPr>
              <w:pStyle w:val="MeasureTableDataRightAlignedwith2ptsspacing"/>
              <w:keepNext/>
            </w:pPr>
            <w:r>
              <w:t>50.0</w:t>
            </w:r>
          </w:p>
        </w:tc>
        <w:tc>
          <w:tcPr>
            <w:tcW w:w="1043" w:type="dxa"/>
            <w:tcBorders>
              <w:top w:val="single" w:sz="4" w:space="0" w:color="000000"/>
              <w:bottom w:val="single" w:sz="4" w:space="0" w:color="000000"/>
            </w:tcBorders>
          </w:tcPr>
          <w:p w14:paraId="6465757A" w14:textId="77777777" w:rsidR="00B449D0" w:rsidRDefault="00175344">
            <w:pPr>
              <w:pStyle w:val="MeasureTableDataRightAlignedwith2ptsspacing"/>
              <w:keepNext/>
            </w:pPr>
            <w:r>
              <w:t>122.8</w:t>
            </w:r>
          </w:p>
        </w:tc>
        <w:tc>
          <w:tcPr>
            <w:tcW w:w="1043" w:type="dxa"/>
            <w:tcBorders>
              <w:top w:val="single" w:sz="4" w:space="0" w:color="000000"/>
              <w:bottom w:val="single" w:sz="4" w:space="0" w:color="000000"/>
            </w:tcBorders>
          </w:tcPr>
          <w:p w14:paraId="2358ACD4" w14:textId="77777777" w:rsidR="00B449D0" w:rsidRDefault="00175344">
            <w:pPr>
              <w:pStyle w:val="MeasureTableDataRightAlignedwith2ptsspacing"/>
              <w:keepNext/>
            </w:pPr>
            <w:r>
              <w:t>156.7</w:t>
            </w:r>
          </w:p>
        </w:tc>
      </w:tr>
      <w:tr w:rsidR="00B449D0" w14:paraId="698A84DE" w14:textId="77777777">
        <w:trPr>
          <w:cantSplit/>
        </w:trPr>
        <w:tc>
          <w:tcPr>
            <w:tcW w:w="2494" w:type="dxa"/>
            <w:tcBorders>
              <w:top w:val="single" w:sz="4" w:space="0" w:color="000000"/>
              <w:bottom w:val="single" w:sz="4" w:space="0" w:color="000000"/>
            </w:tcBorders>
          </w:tcPr>
          <w:p w14:paraId="20F448F7" w14:textId="77777777" w:rsidR="00B449D0" w:rsidRDefault="00175344">
            <w:pPr>
              <w:pStyle w:val="MeasureTableHeadingleftalignedwith2ptsspacing"/>
              <w:keepNext/>
            </w:pPr>
            <w:r>
              <w:t>Department of Climate Change, Energy, the Environment and Water</w:t>
            </w:r>
          </w:p>
        </w:tc>
        <w:tc>
          <w:tcPr>
            <w:tcW w:w="1043" w:type="dxa"/>
            <w:tcBorders>
              <w:top w:val="single" w:sz="4" w:space="0" w:color="000000"/>
              <w:bottom w:val="single" w:sz="4" w:space="0" w:color="000000"/>
            </w:tcBorders>
          </w:tcPr>
          <w:p w14:paraId="569FDD8F" w14:textId="33A3CD24"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E0388C5" w14:textId="140D77A1"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8A2D4E4" w14:textId="77777777" w:rsidR="00B449D0" w:rsidRDefault="00175344">
            <w:pPr>
              <w:pStyle w:val="MeasureTableDataRightAlignedwith2ptsspacing"/>
              <w:keepNext/>
            </w:pPr>
            <w:r>
              <w:t>1.4</w:t>
            </w:r>
          </w:p>
        </w:tc>
        <w:tc>
          <w:tcPr>
            <w:tcW w:w="1043" w:type="dxa"/>
            <w:tcBorders>
              <w:top w:val="single" w:sz="4" w:space="0" w:color="000000"/>
              <w:bottom w:val="single" w:sz="4" w:space="0" w:color="000000"/>
            </w:tcBorders>
          </w:tcPr>
          <w:p w14:paraId="19CE1B2D" w14:textId="77777777" w:rsidR="00B449D0" w:rsidRDefault="00175344">
            <w:pPr>
              <w:pStyle w:val="MeasureTableDataRightAlignedwith2ptsspacing"/>
              <w:keepNext/>
            </w:pPr>
            <w:r>
              <w:t>2.6</w:t>
            </w:r>
          </w:p>
        </w:tc>
        <w:tc>
          <w:tcPr>
            <w:tcW w:w="1043" w:type="dxa"/>
            <w:tcBorders>
              <w:top w:val="single" w:sz="4" w:space="0" w:color="000000"/>
              <w:bottom w:val="single" w:sz="4" w:space="0" w:color="000000"/>
            </w:tcBorders>
          </w:tcPr>
          <w:p w14:paraId="12F55A01" w14:textId="77777777" w:rsidR="00B449D0" w:rsidRDefault="00175344">
            <w:pPr>
              <w:pStyle w:val="MeasureTableDataRightAlignedwith2ptsspacing"/>
              <w:keepNext/>
            </w:pPr>
            <w:r>
              <w:t>2.3</w:t>
            </w:r>
          </w:p>
        </w:tc>
      </w:tr>
      <w:tr w:rsidR="00B449D0" w14:paraId="4DC75B71" w14:textId="77777777">
        <w:trPr>
          <w:cantSplit/>
        </w:trPr>
        <w:tc>
          <w:tcPr>
            <w:tcW w:w="2494" w:type="dxa"/>
            <w:tcBorders>
              <w:top w:val="single" w:sz="4" w:space="0" w:color="000000"/>
              <w:bottom w:val="single" w:sz="4" w:space="0" w:color="000000"/>
            </w:tcBorders>
          </w:tcPr>
          <w:p w14:paraId="021834CF"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75AE9BD9" w14:textId="6B347EA7"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469DCBF2" w14:textId="0B16E4A9"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2EA5D3EA" w14:textId="77777777" w:rsidR="00B449D0" w:rsidRDefault="00175344">
            <w:pPr>
              <w:pStyle w:val="Totaldatarowrightaligned"/>
              <w:keepNext/>
            </w:pPr>
            <w:r>
              <w:t>51.4</w:t>
            </w:r>
          </w:p>
        </w:tc>
        <w:tc>
          <w:tcPr>
            <w:tcW w:w="1043" w:type="dxa"/>
            <w:tcBorders>
              <w:top w:val="single" w:sz="4" w:space="0" w:color="000000"/>
              <w:bottom w:val="single" w:sz="4" w:space="0" w:color="000000"/>
            </w:tcBorders>
          </w:tcPr>
          <w:p w14:paraId="2ABF790C" w14:textId="77777777" w:rsidR="00B449D0" w:rsidRDefault="00175344">
            <w:pPr>
              <w:pStyle w:val="Totaldatarowrightaligned"/>
              <w:keepNext/>
            </w:pPr>
            <w:r>
              <w:t>125.3</w:t>
            </w:r>
          </w:p>
        </w:tc>
        <w:tc>
          <w:tcPr>
            <w:tcW w:w="1043" w:type="dxa"/>
            <w:tcBorders>
              <w:top w:val="single" w:sz="4" w:space="0" w:color="000000"/>
              <w:bottom w:val="single" w:sz="4" w:space="0" w:color="000000"/>
            </w:tcBorders>
          </w:tcPr>
          <w:p w14:paraId="0E938E50" w14:textId="77777777" w:rsidR="00B449D0" w:rsidRDefault="00175344">
            <w:pPr>
              <w:pStyle w:val="Totaldatarowrightaligned"/>
              <w:keepNext/>
            </w:pPr>
            <w:r>
              <w:t>159.0</w:t>
            </w:r>
          </w:p>
        </w:tc>
      </w:tr>
    </w:tbl>
    <w:p w14:paraId="740BE9B8" w14:textId="77777777" w:rsidR="00B449D0" w:rsidRDefault="00B449D0" w:rsidP="00380A42">
      <w:pPr>
        <w:pStyle w:val="SingleParagraph0"/>
      </w:pPr>
    </w:p>
    <w:p w14:paraId="081238B9" w14:textId="77777777" w:rsidR="00B449D0" w:rsidRDefault="00175344">
      <w:pPr>
        <w:pStyle w:val="Normal2"/>
      </w:pPr>
      <w:r w:rsidRPr="7F762F0D">
        <w:rPr>
          <w:lang w:val="en-US"/>
        </w:rPr>
        <w:t xml:space="preserve">The Government will provide additional funding of $499.3 million over four years from 2025–26 to extend the </w:t>
      </w:r>
      <w:r w:rsidRPr="7F762F0D">
        <w:rPr>
          <w:i/>
          <w:iCs/>
          <w:lang w:val="en-US"/>
        </w:rPr>
        <w:t xml:space="preserve">Social Housing Energy Performance Initiative </w:t>
      </w:r>
      <w:r w:rsidRPr="7F762F0D">
        <w:rPr>
          <w:lang w:val="en-US"/>
        </w:rPr>
        <w:t>to fund social housing energy performance upgrades for additional homes in partnership with states and territories.</w:t>
      </w:r>
    </w:p>
    <w:p w14:paraId="3E16D4DE" w14:textId="77777777" w:rsidR="00B449D0" w:rsidRDefault="00175344">
      <w:pPr>
        <w:pStyle w:val="Normal2"/>
      </w:pPr>
      <w:r>
        <w:t>The Treasury manages Commonwealth payments to the states and territories.</w:t>
      </w:r>
    </w:p>
    <w:p w14:paraId="0CF12351" w14:textId="77777777" w:rsidR="00B449D0" w:rsidRDefault="00175344">
      <w:pPr>
        <w:pStyle w:val="Normal2"/>
      </w:pPr>
      <w:r>
        <w:t xml:space="preserve">This measure builds on the 2023–24 Budget measure titled </w:t>
      </w:r>
      <w:r w:rsidRPr="00175344">
        <w:rPr>
          <w:i/>
        </w:rPr>
        <w:t>Household Energy Upgrades Fund – establishment</w:t>
      </w:r>
      <w:r>
        <w:t>.</w:t>
      </w:r>
    </w:p>
    <w:p w14:paraId="7C328620" w14:textId="77777777" w:rsidR="002D3FA9" w:rsidRDefault="002D3FA9">
      <w:pPr>
        <w:pStyle w:val="MeasureTitle"/>
        <w:rPr>
          <w:lang w:val="en-US"/>
        </w:rPr>
      </w:pPr>
      <w:r>
        <w:rPr>
          <w:lang w:val="en-US"/>
        </w:rPr>
        <w:br w:type="page"/>
      </w:r>
    </w:p>
    <w:p w14:paraId="19E485A9" w14:textId="72247893" w:rsidR="00B449D0" w:rsidRDefault="00175344">
      <w:pPr>
        <w:pStyle w:val="MeasureTitle"/>
      </w:pPr>
      <w:r w:rsidRPr="7F762F0D">
        <w:rPr>
          <w:lang w:val="en-US"/>
        </w:rPr>
        <w:lastRenderedPageBreak/>
        <w:t>Murray‑Darling Basin Plan – additional funding</w:t>
      </w:r>
    </w:p>
    <w:p w14:paraId="6EE876D0"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2D4D6FD9" w14:textId="77777777">
        <w:trPr>
          <w:cantSplit/>
        </w:trPr>
        <w:tc>
          <w:tcPr>
            <w:tcW w:w="2494" w:type="dxa"/>
            <w:tcBorders>
              <w:top w:val="single" w:sz="4" w:space="0" w:color="000000"/>
              <w:bottom w:val="single" w:sz="4" w:space="0" w:color="000000"/>
            </w:tcBorders>
          </w:tcPr>
          <w:p w14:paraId="67230245" w14:textId="77777777" w:rsidR="00B449D0" w:rsidRDefault="00B449D0">
            <w:pPr>
              <w:pStyle w:val="MeasureTableYearHeadings"/>
              <w:keepNext/>
            </w:pPr>
          </w:p>
        </w:tc>
        <w:tc>
          <w:tcPr>
            <w:tcW w:w="1043" w:type="dxa"/>
            <w:tcBorders>
              <w:top w:val="single" w:sz="4" w:space="0" w:color="000000"/>
              <w:bottom w:val="single" w:sz="4" w:space="0" w:color="000000"/>
            </w:tcBorders>
          </w:tcPr>
          <w:p w14:paraId="451B02E2" w14:textId="547D0B31"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384A6E92" w14:textId="4D8F2F6E"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1A80A20B" w14:textId="7C7367ED"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53D55304" w14:textId="6F1A2F9F"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39DEA42F" w14:textId="0C9A0C59" w:rsidR="00B449D0" w:rsidRDefault="00175344">
            <w:pPr>
              <w:pStyle w:val="MeasureTableYearHeadings"/>
              <w:keepNext/>
            </w:pPr>
            <w:r>
              <w:t>2027</w:t>
            </w:r>
            <w:r w:rsidR="00076D78">
              <w:noBreakHyphen/>
            </w:r>
            <w:r>
              <w:t>28</w:t>
            </w:r>
          </w:p>
        </w:tc>
      </w:tr>
      <w:tr w:rsidR="00B449D0" w14:paraId="6E3292E7" w14:textId="77777777">
        <w:trPr>
          <w:cantSplit/>
        </w:trPr>
        <w:tc>
          <w:tcPr>
            <w:tcW w:w="2494" w:type="dxa"/>
            <w:tcBorders>
              <w:top w:val="single" w:sz="4" w:space="0" w:color="000000"/>
              <w:bottom w:val="single" w:sz="4" w:space="0" w:color="000000"/>
            </w:tcBorders>
          </w:tcPr>
          <w:p w14:paraId="0EC8AA55" w14:textId="77777777" w:rsidR="00B449D0" w:rsidRDefault="00175344">
            <w:pPr>
              <w:pStyle w:val="MeasureTableHeadingleftalignedwith2ptsspacing"/>
              <w:keepNext/>
            </w:pPr>
            <w:r>
              <w:t>Department of the Treasury</w:t>
            </w:r>
          </w:p>
        </w:tc>
        <w:tc>
          <w:tcPr>
            <w:tcW w:w="1043" w:type="dxa"/>
            <w:tcBorders>
              <w:top w:val="single" w:sz="4" w:space="0" w:color="000000"/>
              <w:bottom w:val="single" w:sz="4" w:space="0" w:color="000000"/>
            </w:tcBorders>
          </w:tcPr>
          <w:p w14:paraId="433B31D5" w14:textId="6570203D"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0F37FA3" w14:textId="06246C9C"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8746017" w14:textId="1DB9A520"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3971DF6" w14:textId="0A3842DA"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7652469" w14:textId="060AF2AC" w:rsidR="00B449D0" w:rsidRDefault="00076D78">
            <w:pPr>
              <w:pStyle w:val="MeasureTableDataRightAlignedwith2ptsspacing"/>
              <w:keepNext/>
            </w:pPr>
            <w:r>
              <w:noBreakHyphen/>
            </w:r>
          </w:p>
        </w:tc>
      </w:tr>
      <w:tr w:rsidR="00B449D0" w14:paraId="227D5C94" w14:textId="77777777">
        <w:trPr>
          <w:cantSplit/>
        </w:trPr>
        <w:tc>
          <w:tcPr>
            <w:tcW w:w="2494" w:type="dxa"/>
            <w:tcBorders>
              <w:top w:val="single" w:sz="4" w:space="0" w:color="000000"/>
              <w:bottom w:val="single" w:sz="4" w:space="0" w:color="000000"/>
            </w:tcBorders>
          </w:tcPr>
          <w:p w14:paraId="253AA20E" w14:textId="77777777" w:rsidR="00B449D0" w:rsidRDefault="00175344">
            <w:pPr>
              <w:pStyle w:val="MeasureTableHeadingleftalignedwith2ptsspacing"/>
              <w:keepNext/>
            </w:pPr>
            <w:r>
              <w:t>Department of Climate Change, Energy, the Environment and Water</w:t>
            </w:r>
          </w:p>
        </w:tc>
        <w:tc>
          <w:tcPr>
            <w:tcW w:w="1043" w:type="dxa"/>
            <w:tcBorders>
              <w:top w:val="single" w:sz="4" w:space="0" w:color="000000"/>
              <w:bottom w:val="single" w:sz="4" w:space="0" w:color="000000"/>
            </w:tcBorders>
          </w:tcPr>
          <w:p w14:paraId="5567A98F" w14:textId="123DC532"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4E0AED1" w14:textId="77777777" w:rsidR="00B449D0" w:rsidRDefault="00175344">
            <w:pPr>
              <w:pStyle w:val="MeasureTableDataRightAlignedwith2ptsspacing"/>
              <w:keepNext/>
            </w:pPr>
            <w:r>
              <w:t>nfp</w:t>
            </w:r>
          </w:p>
        </w:tc>
        <w:tc>
          <w:tcPr>
            <w:tcW w:w="1043" w:type="dxa"/>
            <w:tcBorders>
              <w:top w:val="single" w:sz="4" w:space="0" w:color="000000"/>
              <w:bottom w:val="single" w:sz="4" w:space="0" w:color="000000"/>
            </w:tcBorders>
          </w:tcPr>
          <w:p w14:paraId="3A9F2F90" w14:textId="77777777" w:rsidR="00B449D0" w:rsidRDefault="00175344">
            <w:pPr>
              <w:pStyle w:val="MeasureTableDataRightAlignedwith2ptsspacing"/>
              <w:keepNext/>
            </w:pPr>
            <w:r>
              <w:t>nfp</w:t>
            </w:r>
          </w:p>
        </w:tc>
        <w:tc>
          <w:tcPr>
            <w:tcW w:w="1043" w:type="dxa"/>
            <w:tcBorders>
              <w:top w:val="single" w:sz="4" w:space="0" w:color="000000"/>
              <w:bottom w:val="single" w:sz="4" w:space="0" w:color="000000"/>
            </w:tcBorders>
          </w:tcPr>
          <w:p w14:paraId="07F08487" w14:textId="77777777" w:rsidR="00B449D0" w:rsidRDefault="00175344">
            <w:pPr>
              <w:pStyle w:val="MeasureTableDataRightAlignedwith2ptsspacing"/>
              <w:keepNext/>
            </w:pPr>
            <w:r>
              <w:t>nfp</w:t>
            </w:r>
          </w:p>
        </w:tc>
        <w:tc>
          <w:tcPr>
            <w:tcW w:w="1043" w:type="dxa"/>
            <w:tcBorders>
              <w:top w:val="single" w:sz="4" w:space="0" w:color="000000"/>
              <w:bottom w:val="single" w:sz="4" w:space="0" w:color="000000"/>
            </w:tcBorders>
          </w:tcPr>
          <w:p w14:paraId="3118E105" w14:textId="77777777" w:rsidR="00B449D0" w:rsidRDefault="00175344">
            <w:pPr>
              <w:pStyle w:val="MeasureTableDataRightAlignedwith2ptsspacing"/>
              <w:keepNext/>
            </w:pPr>
            <w:r>
              <w:t>nfp</w:t>
            </w:r>
          </w:p>
        </w:tc>
      </w:tr>
      <w:tr w:rsidR="00B449D0" w14:paraId="41CC7E1D" w14:textId="77777777">
        <w:trPr>
          <w:cantSplit/>
        </w:trPr>
        <w:tc>
          <w:tcPr>
            <w:tcW w:w="2494" w:type="dxa"/>
            <w:tcBorders>
              <w:top w:val="single" w:sz="4" w:space="0" w:color="000000"/>
              <w:bottom w:val="single" w:sz="4" w:space="0" w:color="000000"/>
            </w:tcBorders>
          </w:tcPr>
          <w:p w14:paraId="3E55527D"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6A4A4C24" w14:textId="56FCF2E8"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3F57ECE6" w14:textId="27E789FC"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2B281C02" w14:textId="795ADD0D"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3CC73425" w14:textId="66B1D45D"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41284ADB" w14:textId="053260CB" w:rsidR="00B449D0" w:rsidRDefault="00076D78">
            <w:pPr>
              <w:pStyle w:val="Totaldatarowrightaligned"/>
              <w:keepNext/>
            </w:pPr>
            <w:r>
              <w:noBreakHyphen/>
            </w:r>
          </w:p>
        </w:tc>
      </w:tr>
    </w:tbl>
    <w:p w14:paraId="5D0EEE1C" w14:textId="77777777" w:rsidR="00B449D0" w:rsidRDefault="00B449D0" w:rsidP="00380A42">
      <w:pPr>
        <w:pStyle w:val="SingleParagraph0"/>
      </w:pPr>
    </w:p>
    <w:p w14:paraId="20D17E44" w14:textId="77777777" w:rsidR="00B449D0" w:rsidRDefault="00175344">
      <w:pPr>
        <w:pStyle w:val="Normal2"/>
      </w:pPr>
      <w:r>
        <w:t>The Government will provide funding over four years from 2024–25 to continue implementation of the Murray‑Darling Basin Plan, including:</w:t>
      </w:r>
    </w:p>
    <w:p w14:paraId="1FE5C53B" w14:textId="77777777" w:rsidR="00B449D0" w:rsidRDefault="00175344">
      <w:pPr>
        <w:pStyle w:val="Bullet"/>
      </w:pPr>
      <w:r>
        <w:t>$3.0 million over two years from 2024–25 for Murray‑Darling Basin states to undertake business cases investigating land and water partnerships</w:t>
      </w:r>
    </w:p>
    <w:p w14:paraId="4CCC29B2" w14:textId="77777777" w:rsidR="00B449D0" w:rsidRDefault="00175344">
      <w:pPr>
        <w:pStyle w:val="Bullet"/>
      </w:pPr>
      <w:r>
        <w:t>funding for additional voluntary water purchases to contribute towards environmental outcomes under the Basin Plan.</w:t>
      </w:r>
    </w:p>
    <w:p w14:paraId="4F687385" w14:textId="77777777" w:rsidR="00B449D0" w:rsidRDefault="00175344">
      <w:pPr>
        <w:pStyle w:val="Normal2"/>
      </w:pPr>
      <w:r>
        <w:t xml:space="preserve">The Government will also achieve a saving of $12.8 million over two years from 2024–25 by reducing funding from the 2023–24 Budget measure titled </w:t>
      </w:r>
      <w:r w:rsidRPr="00175344">
        <w:rPr>
          <w:i/>
        </w:rPr>
        <w:t xml:space="preserve">Future‑proofing the Murray‑Darling Basin. </w:t>
      </w:r>
    </w:p>
    <w:p w14:paraId="752497B2" w14:textId="77777777" w:rsidR="00B449D0" w:rsidRDefault="00175344">
      <w:pPr>
        <w:pStyle w:val="Normal2"/>
      </w:pPr>
      <w:r w:rsidRPr="7F762F0D">
        <w:rPr>
          <w:lang w:val="en-US"/>
        </w:rPr>
        <w:t xml:space="preserve">The Government has already provided partial funding for this measure and the remainder of the cost will be met by reprioritising funding from the </w:t>
      </w:r>
      <w:r w:rsidRPr="7F762F0D">
        <w:rPr>
          <w:i/>
          <w:iCs/>
          <w:lang w:val="en-US"/>
        </w:rPr>
        <w:t>On‑farm Emergency Water Infrastructure Rebate Scheme.</w:t>
      </w:r>
    </w:p>
    <w:p w14:paraId="17DC7476" w14:textId="3509009A" w:rsidR="00B449D0" w:rsidRDefault="00175344">
      <w:pPr>
        <w:pStyle w:val="Normal2"/>
      </w:pPr>
      <w:r w:rsidRPr="7F762F0D">
        <w:rPr>
          <w:lang w:val="en-US"/>
        </w:rPr>
        <w:t>The financial implications for some elements of this measure are not for publication (nfp) because they would impair the Commonwealth</w:t>
      </w:r>
      <w:r w:rsidR="00076D78">
        <w:rPr>
          <w:lang w:val="en-US"/>
        </w:rPr>
        <w:t>’</w:t>
      </w:r>
      <w:r w:rsidRPr="7F762F0D">
        <w:rPr>
          <w:lang w:val="en-US"/>
        </w:rPr>
        <w:t>s position in negotiating contracts.</w:t>
      </w:r>
    </w:p>
    <w:p w14:paraId="7F6CA2D0" w14:textId="77777777" w:rsidR="00B449D0" w:rsidRDefault="00175344">
      <w:pPr>
        <w:pStyle w:val="Normal2"/>
      </w:pPr>
      <w:r>
        <w:t xml:space="preserve">This measure builds on the 2024–25 Budget measure titled </w:t>
      </w:r>
      <w:r w:rsidRPr="00175344">
        <w:rPr>
          <w:i/>
        </w:rPr>
        <w:t>Murray‑Darling Basin Plan – continuing delivery</w:t>
      </w:r>
      <w:r>
        <w:t>.</w:t>
      </w:r>
    </w:p>
    <w:p w14:paraId="05AEFE80" w14:textId="77777777" w:rsidR="00B449D0" w:rsidRDefault="00175344">
      <w:pPr>
        <w:pStyle w:val="MeasureTitle"/>
      </w:pPr>
      <w:r>
        <w:t>National Water Grid Fund – continuing delivery</w:t>
      </w:r>
    </w:p>
    <w:p w14:paraId="25662E92"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4610CBE3" w14:textId="77777777">
        <w:trPr>
          <w:cantSplit/>
        </w:trPr>
        <w:tc>
          <w:tcPr>
            <w:tcW w:w="2494" w:type="dxa"/>
            <w:tcBorders>
              <w:top w:val="single" w:sz="4" w:space="0" w:color="000000"/>
              <w:bottom w:val="single" w:sz="4" w:space="0" w:color="000000"/>
            </w:tcBorders>
          </w:tcPr>
          <w:p w14:paraId="5C15681C" w14:textId="77777777" w:rsidR="00B449D0" w:rsidRDefault="00B449D0">
            <w:pPr>
              <w:pStyle w:val="MeasureTableYearHeadings"/>
              <w:keepNext/>
            </w:pPr>
          </w:p>
        </w:tc>
        <w:tc>
          <w:tcPr>
            <w:tcW w:w="1043" w:type="dxa"/>
            <w:tcBorders>
              <w:top w:val="single" w:sz="4" w:space="0" w:color="000000"/>
              <w:bottom w:val="single" w:sz="4" w:space="0" w:color="000000"/>
            </w:tcBorders>
          </w:tcPr>
          <w:p w14:paraId="3C47E88B" w14:textId="43CFF603"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2DB0E554" w14:textId="37FCCC1A"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765A9045" w14:textId="3643AC5A"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0B5D8F38" w14:textId="3EF9C172"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1F4C1D67" w14:textId="3A81B13C" w:rsidR="00B449D0" w:rsidRDefault="00175344">
            <w:pPr>
              <w:pStyle w:val="MeasureTableYearHeadings"/>
              <w:keepNext/>
            </w:pPr>
            <w:r>
              <w:t>2027</w:t>
            </w:r>
            <w:r w:rsidR="00076D78">
              <w:noBreakHyphen/>
            </w:r>
            <w:r>
              <w:t>28</w:t>
            </w:r>
          </w:p>
        </w:tc>
      </w:tr>
      <w:tr w:rsidR="00B449D0" w14:paraId="1102403B" w14:textId="77777777">
        <w:trPr>
          <w:cantSplit/>
        </w:trPr>
        <w:tc>
          <w:tcPr>
            <w:tcW w:w="2494" w:type="dxa"/>
            <w:tcBorders>
              <w:top w:val="single" w:sz="4" w:space="0" w:color="000000"/>
              <w:bottom w:val="single" w:sz="4" w:space="0" w:color="000000"/>
            </w:tcBorders>
          </w:tcPr>
          <w:p w14:paraId="0D6AAAA5" w14:textId="77777777" w:rsidR="00B449D0" w:rsidRDefault="00175344">
            <w:pPr>
              <w:pStyle w:val="MeasureTableHeadingleftalignedwith2ptsspacing"/>
              <w:keepNext/>
            </w:pPr>
            <w:r>
              <w:t>Department of Climate Change, Energy, the Environment and Water</w:t>
            </w:r>
          </w:p>
        </w:tc>
        <w:tc>
          <w:tcPr>
            <w:tcW w:w="1043" w:type="dxa"/>
            <w:tcBorders>
              <w:top w:val="single" w:sz="4" w:space="0" w:color="000000"/>
              <w:bottom w:val="single" w:sz="4" w:space="0" w:color="000000"/>
            </w:tcBorders>
          </w:tcPr>
          <w:p w14:paraId="502133FD" w14:textId="6E17D78A"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4D445A8" w14:textId="68C8038F"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E810236" w14:textId="3A19952B"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63EDD0F" w14:textId="771B01E9"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4B363A4" w14:textId="4B731662" w:rsidR="00B449D0" w:rsidRDefault="00076D78">
            <w:pPr>
              <w:pStyle w:val="MeasureTableDataRightAlignedwith2ptsspacing"/>
              <w:keepNext/>
            </w:pPr>
            <w:r>
              <w:noBreakHyphen/>
            </w:r>
          </w:p>
        </w:tc>
      </w:tr>
      <w:tr w:rsidR="00B449D0" w14:paraId="360C2D53" w14:textId="77777777">
        <w:trPr>
          <w:cantSplit/>
        </w:trPr>
        <w:tc>
          <w:tcPr>
            <w:tcW w:w="2494" w:type="dxa"/>
            <w:tcBorders>
              <w:top w:val="single" w:sz="4" w:space="0" w:color="000000"/>
              <w:bottom w:val="single" w:sz="4" w:space="0" w:color="000000"/>
            </w:tcBorders>
          </w:tcPr>
          <w:p w14:paraId="1E66CD02" w14:textId="77777777" w:rsidR="00B449D0" w:rsidRDefault="00175344">
            <w:pPr>
              <w:pStyle w:val="MeasureTableHeadingleftalignedwith2ptsspacing"/>
              <w:keepNext/>
            </w:pPr>
            <w:r>
              <w:t>Department of the Treasury</w:t>
            </w:r>
          </w:p>
        </w:tc>
        <w:tc>
          <w:tcPr>
            <w:tcW w:w="1043" w:type="dxa"/>
            <w:tcBorders>
              <w:top w:val="single" w:sz="4" w:space="0" w:color="000000"/>
              <w:bottom w:val="single" w:sz="4" w:space="0" w:color="000000"/>
            </w:tcBorders>
          </w:tcPr>
          <w:p w14:paraId="68D39AB1" w14:textId="29ACE49D"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8E277C2" w14:textId="516E63F5" w:rsidR="00B449D0" w:rsidRDefault="00076D78">
            <w:pPr>
              <w:pStyle w:val="MeasureTableDataRightAlignedwith2ptsspacing"/>
              <w:keepNext/>
            </w:pPr>
            <w:r>
              <w:noBreakHyphen/>
            </w:r>
            <w:r w:rsidR="00175344">
              <w:t>46.6</w:t>
            </w:r>
          </w:p>
        </w:tc>
        <w:tc>
          <w:tcPr>
            <w:tcW w:w="1043" w:type="dxa"/>
            <w:tcBorders>
              <w:top w:val="single" w:sz="4" w:space="0" w:color="000000"/>
              <w:bottom w:val="single" w:sz="4" w:space="0" w:color="000000"/>
            </w:tcBorders>
          </w:tcPr>
          <w:p w14:paraId="4318FFD4" w14:textId="77777777" w:rsidR="00B449D0" w:rsidRDefault="00175344">
            <w:pPr>
              <w:pStyle w:val="MeasureTableDataRightAlignedwith2ptsspacing"/>
              <w:keepNext/>
            </w:pPr>
            <w:r>
              <w:t>8.0</w:t>
            </w:r>
          </w:p>
        </w:tc>
        <w:tc>
          <w:tcPr>
            <w:tcW w:w="1043" w:type="dxa"/>
            <w:tcBorders>
              <w:top w:val="single" w:sz="4" w:space="0" w:color="000000"/>
              <w:bottom w:val="single" w:sz="4" w:space="0" w:color="000000"/>
            </w:tcBorders>
          </w:tcPr>
          <w:p w14:paraId="311B4441" w14:textId="77777777" w:rsidR="00B449D0" w:rsidRDefault="00175344">
            <w:pPr>
              <w:pStyle w:val="MeasureTableDataRightAlignedwith2ptsspacing"/>
              <w:keepNext/>
            </w:pPr>
            <w:r>
              <w:t>41.3</w:t>
            </w:r>
          </w:p>
        </w:tc>
        <w:tc>
          <w:tcPr>
            <w:tcW w:w="1043" w:type="dxa"/>
            <w:tcBorders>
              <w:top w:val="single" w:sz="4" w:space="0" w:color="000000"/>
              <w:bottom w:val="single" w:sz="4" w:space="0" w:color="000000"/>
            </w:tcBorders>
          </w:tcPr>
          <w:p w14:paraId="7E163C17" w14:textId="77777777" w:rsidR="00B449D0" w:rsidRDefault="00175344">
            <w:pPr>
              <w:pStyle w:val="MeasureTableDataRightAlignedwith2ptsspacing"/>
              <w:keepNext/>
            </w:pPr>
            <w:r>
              <w:t>36.1</w:t>
            </w:r>
          </w:p>
        </w:tc>
      </w:tr>
      <w:tr w:rsidR="00B449D0" w14:paraId="49BED3FA" w14:textId="77777777">
        <w:trPr>
          <w:cantSplit/>
        </w:trPr>
        <w:tc>
          <w:tcPr>
            <w:tcW w:w="2494" w:type="dxa"/>
            <w:tcBorders>
              <w:top w:val="single" w:sz="4" w:space="0" w:color="000000"/>
              <w:bottom w:val="single" w:sz="4" w:space="0" w:color="000000"/>
            </w:tcBorders>
          </w:tcPr>
          <w:p w14:paraId="0C33A372"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3411FB2C" w14:textId="26ACB479"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30DD87A6" w14:textId="386B4F72" w:rsidR="00B449D0" w:rsidRDefault="00076D78">
            <w:pPr>
              <w:pStyle w:val="Totaldatarowrightaligned"/>
              <w:keepNext/>
            </w:pPr>
            <w:r>
              <w:noBreakHyphen/>
            </w:r>
            <w:r w:rsidR="00175344">
              <w:t>46.6</w:t>
            </w:r>
          </w:p>
        </w:tc>
        <w:tc>
          <w:tcPr>
            <w:tcW w:w="1043" w:type="dxa"/>
            <w:tcBorders>
              <w:top w:val="single" w:sz="4" w:space="0" w:color="000000"/>
              <w:bottom w:val="single" w:sz="4" w:space="0" w:color="000000"/>
            </w:tcBorders>
          </w:tcPr>
          <w:p w14:paraId="3DA9BBC7" w14:textId="77777777" w:rsidR="00B449D0" w:rsidRDefault="00175344">
            <w:pPr>
              <w:pStyle w:val="Totaldatarowrightaligned"/>
              <w:keepNext/>
            </w:pPr>
            <w:r>
              <w:t>8.0</w:t>
            </w:r>
          </w:p>
        </w:tc>
        <w:tc>
          <w:tcPr>
            <w:tcW w:w="1043" w:type="dxa"/>
            <w:tcBorders>
              <w:top w:val="single" w:sz="4" w:space="0" w:color="000000"/>
              <w:bottom w:val="single" w:sz="4" w:space="0" w:color="000000"/>
            </w:tcBorders>
          </w:tcPr>
          <w:p w14:paraId="33959E48" w14:textId="77777777" w:rsidR="00B449D0" w:rsidRDefault="00175344">
            <w:pPr>
              <w:pStyle w:val="Totaldatarowrightaligned"/>
              <w:keepNext/>
            </w:pPr>
            <w:r>
              <w:t>41.3</w:t>
            </w:r>
          </w:p>
        </w:tc>
        <w:tc>
          <w:tcPr>
            <w:tcW w:w="1043" w:type="dxa"/>
            <w:tcBorders>
              <w:top w:val="single" w:sz="4" w:space="0" w:color="000000"/>
              <w:bottom w:val="single" w:sz="4" w:space="0" w:color="000000"/>
            </w:tcBorders>
          </w:tcPr>
          <w:p w14:paraId="0DE5F398" w14:textId="77777777" w:rsidR="00B449D0" w:rsidRDefault="00175344">
            <w:pPr>
              <w:pStyle w:val="Totaldatarowrightaligned"/>
              <w:keepNext/>
            </w:pPr>
            <w:r>
              <w:t>36.1</w:t>
            </w:r>
          </w:p>
        </w:tc>
      </w:tr>
    </w:tbl>
    <w:p w14:paraId="38D6FBC8" w14:textId="77777777" w:rsidR="00B449D0" w:rsidRDefault="00B449D0" w:rsidP="00380A42">
      <w:pPr>
        <w:pStyle w:val="SingleParagraph0"/>
      </w:pPr>
    </w:p>
    <w:p w14:paraId="2A85F8F5" w14:textId="77777777" w:rsidR="00B449D0" w:rsidRDefault="00175344">
      <w:pPr>
        <w:pStyle w:val="Normal2"/>
      </w:pPr>
      <w:r>
        <w:t>The Government will provide $278.2 million over six years from 2024–25 to deliver new water infrastructure projects to drive economic growth, create jobs and support renewable industries. Funding includes:</w:t>
      </w:r>
    </w:p>
    <w:p w14:paraId="70AC858D" w14:textId="77777777" w:rsidR="00B449D0" w:rsidRDefault="00175344">
      <w:pPr>
        <w:pStyle w:val="Bullet"/>
      </w:pPr>
      <w:r>
        <w:t>$150.6 million over five years from 2025–26 to support construction of the Greater South East Irrigation Scheme, Tasmania</w:t>
      </w:r>
    </w:p>
    <w:p w14:paraId="258C550E" w14:textId="77777777" w:rsidR="00B449D0" w:rsidRDefault="00175344">
      <w:pPr>
        <w:pStyle w:val="Bullet"/>
      </w:pPr>
      <w:r>
        <w:lastRenderedPageBreak/>
        <w:t>$65.0 million over two years from 2024–25 for planning works for the Northern Water Supply Project, South Australia</w:t>
      </w:r>
    </w:p>
    <w:p w14:paraId="13A7C40B" w14:textId="48261559" w:rsidR="00B449D0" w:rsidRDefault="00175344">
      <w:pPr>
        <w:pStyle w:val="Bullet"/>
      </w:pPr>
      <w:r>
        <w:t>$34.8 million over four years from 2024–25 for new water infrastructure projects in New</w:t>
      </w:r>
      <w:r w:rsidR="00F53236">
        <w:t> </w:t>
      </w:r>
      <w:r>
        <w:t>South Wales, including $18.1 million for the Yass Water Treatment Plant Upgrade</w:t>
      </w:r>
    </w:p>
    <w:p w14:paraId="26189830" w14:textId="77777777" w:rsidR="00B449D0" w:rsidRDefault="00175344">
      <w:pPr>
        <w:pStyle w:val="Bullet"/>
      </w:pPr>
      <w:r>
        <w:t>$27.8 million over two years from 2025–26 to support First Nations communities through the Better Bores for Communities – Phase 1 package, Northern Territory.</w:t>
      </w:r>
    </w:p>
    <w:p w14:paraId="18933A23" w14:textId="77777777" w:rsidR="00B449D0" w:rsidRDefault="00175344">
      <w:pPr>
        <w:pStyle w:val="Normal2"/>
      </w:pPr>
      <w:r w:rsidRPr="7F762F0D">
        <w:rPr>
          <w:lang w:val="en-US"/>
        </w:rPr>
        <w:t>The Government will also achieve savings of $34.1 million over two years from 2024–25 by redirecting uncommitted funding from the National Water Grid Fund to support other priorities in the Climate Change, Energy, the Environment and Water portfolio.</w:t>
      </w:r>
    </w:p>
    <w:p w14:paraId="632A1C3E" w14:textId="77777777" w:rsidR="00B449D0" w:rsidRDefault="00175344">
      <w:pPr>
        <w:pStyle w:val="Normal2"/>
      </w:pPr>
      <w:r w:rsidRPr="7F762F0D">
        <w:rPr>
          <w:lang w:val="en-US"/>
        </w:rPr>
        <w:t xml:space="preserve">The Government has already provided partial funding for this measure. Further expenditure will be met by reallocating funding from within the National Water Grid Fund and the $150.0 million allocated to improve water security for First Nations communities under the 2023–24 Budget measure titled </w:t>
      </w:r>
      <w:r w:rsidRPr="7F762F0D">
        <w:rPr>
          <w:i/>
          <w:iCs/>
          <w:lang w:val="en-US"/>
        </w:rPr>
        <w:t>Closing the Gap – further investment</w:t>
      </w:r>
      <w:r w:rsidRPr="7F762F0D">
        <w:rPr>
          <w:lang w:val="en-US"/>
        </w:rPr>
        <w:t>.</w:t>
      </w:r>
    </w:p>
    <w:p w14:paraId="618A53F5" w14:textId="430F320E" w:rsidR="00B449D0" w:rsidRDefault="00175344">
      <w:pPr>
        <w:pStyle w:val="Normal2"/>
      </w:pPr>
      <w:r>
        <w:t>The Treasury manages Commonwealth payments to the states and territories.</w:t>
      </w:r>
    </w:p>
    <w:p w14:paraId="12C3CB41" w14:textId="77777777" w:rsidR="00B449D0" w:rsidRDefault="00175344">
      <w:pPr>
        <w:pStyle w:val="Normal2"/>
      </w:pPr>
      <w:r>
        <w:t xml:space="preserve">This measure builds on the 2024–25 Budget measure titled </w:t>
      </w:r>
      <w:r w:rsidRPr="00175344">
        <w:rPr>
          <w:i/>
        </w:rPr>
        <w:t>National Water Grid Fund – responsible investment in water infrastructure for the regions.</w:t>
      </w:r>
    </w:p>
    <w:p w14:paraId="7C5929A4" w14:textId="77777777" w:rsidR="00B449D0" w:rsidRDefault="00175344">
      <w:pPr>
        <w:pStyle w:val="MeasureTitle"/>
      </w:pPr>
      <w:r w:rsidRPr="7F762F0D">
        <w:rPr>
          <w:lang w:val="en-US"/>
        </w:rPr>
        <w:t>Priority Conservation and Recovery Actions for the Maugean Skate</w:t>
      </w:r>
    </w:p>
    <w:p w14:paraId="039F7F27"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347F3847" w14:textId="77777777">
        <w:trPr>
          <w:cantSplit/>
        </w:trPr>
        <w:tc>
          <w:tcPr>
            <w:tcW w:w="2494" w:type="dxa"/>
            <w:tcBorders>
              <w:top w:val="single" w:sz="4" w:space="0" w:color="000000"/>
              <w:bottom w:val="single" w:sz="4" w:space="0" w:color="000000"/>
            </w:tcBorders>
          </w:tcPr>
          <w:p w14:paraId="18DDB757" w14:textId="77777777" w:rsidR="00B449D0" w:rsidRDefault="00B449D0">
            <w:pPr>
              <w:pStyle w:val="MeasureTableYearHeadings"/>
              <w:keepNext/>
            </w:pPr>
          </w:p>
        </w:tc>
        <w:tc>
          <w:tcPr>
            <w:tcW w:w="1043" w:type="dxa"/>
            <w:tcBorders>
              <w:top w:val="single" w:sz="4" w:space="0" w:color="000000"/>
              <w:bottom w:val="single" w:sz="4" w:space="0" w:color="000000"/>
            </w:tcBorders>
          </w:tcPr>
          <w:p w14:paraId="0CCF329D" w14:textId="5E157CFF"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03D578BF" w14:textId="54F6F222"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2F85E458" w14:textId="2E949B2A"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3E95DD35" w14:textId="34FC07A3"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165420E9" w14:textId="624D4A7C" w:rsidR="00B449D0" w:rsidRDefault="00175344">
            <w:pPr>
              <w:pStyle w:val="MeasureTableYearHeadings"/>
              <w:keepNext/>
            </w:pPr>
            <w:r>
              <w:t>2027</w:t>
            </w:r>
            <w:r w:rsidR="00076D78">
              <w:noBreakHyphen/>
            </w:r>
            <w:r>
              <w:t>28</w:t>
            </w:r>
          </w:p>
        </w:tc>
      </w:tr>
      <w:tr w:rsidR="00B449D0" w14:paraId="028B90D7" w14:textId="77777777">
        <w:trPr>
          <w:cantSplit/>
        </w:trPr>
        <w:tc>
          <w:tcPr>
            <w:tcW w:w="2494" w:type="dxa"/>
            <w:tcBorders>
              <w:top w:val="single" w:sz="4" w:space="0" w:color="000000"/>
              <w:bottom w:val="single" w:sz="4" w:space="0" w:color="000000"/>
            </w:tcBorders>
          </w:tcPr>
          <w:p w14:paraId="0F9EC706" w14:textId="77777777" w:rsidR="00B449D0" w:rsidRDefault="00175344">
            <w:pPr>
              <w:pStyle w:val="MeasureTableHeadingleftalignedwith2ptsspacing"/>
              <w:keepNext/>
            </w:pPr>
            <w:r>
              <w:t>Department of Climate Change, Energy, the Environment and Water</w:t>
            </w:r>
          </w:p>
        </w:tc>
        <w:tc>
          <w:tcPr>
            <w:tcW w:w="1043" w:type="dxa"/>
            <w:tcBorders>
              <w:top w:val="single" w:sz="4" w:space="0" w:color="000000"/>
              <w:bottom w:val="single" w:sz="4" w:space="0" w:color="000000"/>
            </w:tcBorders>
          </w:tcPr>
          <w:p w14:paraId="5945F2BE" w14:textId="1472A3D0"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6B7E3A63" w14:textId="77777777" w:rsidR="00B449D0" w:rsidRDefault="00175344">
            <w:pPr>
              <w:pStyle w:val="MeasureTableDataRightAlignedwith2ptsspacing"/>
              <w:keepNext/>
            </w:pPr>
            <w:r>
              <w:t>5.9</w:t>
            </w:r>
          </w:p>
        </w:tc>
        <w:tc>
          <w:tcPr>
            <w:tcW w:w="1043" w:type="dxa"/>
            <w:tcBorders>
              <w:top w:val="single" w:sz="4" w:space="0" w:color="000000"/>
              <w:bottom w:val="single" w:sz="4" w:space="0" w:color="000000"/>
            </w:tcBorders>
          </w:tcPr>
          <w:p w14:paraId="6492E039" w14:textId="77777777" w:rsidR="00B449D0" w:rsidRDefault="00175344">
            <w:pPr>
              <w:pStyle w:val="MeasureTableDataRightAlignedwith2ptsspacing"/>
              <w:keepNext/>
            </w:pPr>
            <w:r>
              <w:t>15.1</w:t>
            </w:r>
          </w:p>
        </w:tc>
        <w:tc>
          <w:tcPr>
            <w:tcW w:w="1043" w:type="dxa"/>
            <w:tcBorders>
              <w:top w:val="single" w:sz="4" w:space="0" w:color="000000"/>
              <w:bottom w:val="single" w:sz="4" w:space="0" w:color="000000"/>
            </w:tcBorders>
          </w:tcPr>
          <w:p w14:paraId="71B0D913" w14:textId="77777777" w:rsidR="00B449D0" w:rsidRDefault="00175344">
            <w:pPr>
              <w:pStyle w:val="MeasureTableDataRightAlignedwith2ptsspacing"/>
              <w:keepNext/>
            </w:pPr>
            <w:r>
              <w:t>7.6</w:t>
            </w:r>
          </w:p>
        </w:tc>
        <w:tc>
          <w:tcPr>
            <w:tcW w:w="1043" w:type="dxa"/>
            <w:tcBorders>
              <w:top w:val="single" w:sz="4" w:space="0" w:color="000000"/>
              <w:bottom w:val="single" w:sz="4" w:space="0" w:color="000000"/>
            </w:tcBorders>
          </w:tcPr>
          <w:p w14:paraId="28849D19" w14:textId="4AC1CBAF" w:rsidR="00B449D0" w:rsidRDefault="00076D78">
            <w:pPr>
              <w:pStyle w:val="MeasureTableDataRightAlignedwith2ptsspacing"/>
              <w:keepNext/>
            </w:pPr>
            <w:r>
              <w:noBreakHyphen/>
            </w:r>
          </w:p>
        </w:tc>
      </w:tr>
    </w:tbl>
    <w:p w14:paraId="3F4049E5" w14:textId="77777777" w:rsidR="00B449D0" w:rsidRDefault="00B449D0" w:rsidP="00380A42">
      <w:pPr>
        <w:pStyle w:val="SingleParagraph0"/>
      </w:pPr>
    </w:p>
    <w:p w14:paraId="205F9C1B" w14:textId="77777777" w:rsidR="00B449D0" w:rsidRDefault="00175344">
      <w:pPr>
        <w:pStyle w:val="Normal2"/>
      </w:pPr>
      <w:r w:rsidRPr="7F762F0D">
        <w:rPr>
          <w:lang w:val="en-US"/>
        </w:rPr>
        <w:t>The Government will provide $28.6 million over three years from 2024–25 to support the conservation of the Maugean skate. Funding includes:</w:t>
      </w:r>
    </w:p>
    <w:p w14:paraId="0EF46DFC" w14:textId="77777777" w:rsidR="00B449D0" w:rsidRDefault="00175344">
      <w:pPr>
        <w:pStyle w:val="Bullet"/>
      </w:pPr>
      <w:r>
        <w:t>$21.2 million over three years from 2024–25 to scale up the reoxygenation of water in Macquarie Harbour</w:t>
      </w:r>
    </w:p>
    <w:p w14:paraId="522C1C89" w14:textId="77777777" w:rsidR="00B449D0" w:rsidRDefault="00175344">
      <w:pPr>
        <w:pStyle w:val="Bullet"/>
      </w:pPr>
      <w:r>
        <w:t>$4.9 million over three years from 2024–25 to expand the Maugean skate captive breeding program</w:t>
      </w:r>
    </w:p>
    <w:p w14:paraId="014F9242" w14:textId="77777777" w:rsidR="00B449D0" w:rsidRDefault="00175344">
      <w:pPr>
        <w:pStyle w:val="Bullet"/>
      </w:pPr>
      <w:r>
        <w:t>$2.5 million over three years from 2024–25 to monitor the population of the Maugean skate and environmental conditions in Macquarie Harbour, as well as undertake compliance activities and engagement with the local community of Strahan.</w:t>
      </w:r>
    </w:p>
    <w:p w14:paraId="64AAA353" w14:textId="77777777" w:rsidR="00B449D0" w:rsidRDefault="00175344">
      <w:pPr>
        <w:pStyle w:val="Normal2"/>
      </w:pPr>
      <w:r w:rsidRPr="7F762F0D">
        <w:rPr>
          <w:lang w:val="en-US"/>
        </w:rPr>
        <w:t>The cost of this measure will be met from savings identified in the Climate Change, Energy, the Environment and Water portfolio.</w:t>
      </w:r>
    </w:p>
    <w:p w14:paraId="01488D96" w14:textId="13E49BCD" w:rsidR="00B449D0" w:rsidRDefault="00175344">
      <w:pPr>
        <w:pStyle w:val="MeasureTitle"/>
      </w:pPr>
      <w:r w:rsidRPr="7F762F0D">
        <w:rPr>
          <w:lang w:val="en-US"/>
        </w:rPr>
        <w:lastRenderedPageBreak/>
        <w:t>Protecting Australia</w:t>
      </w:r>
      <w:r w:rsidR="00076D78">
        <w:rPr>
          <w:lang w:val="en-US"/>
        </w:rPr>
        <w:t>’</w:t>
      </w:r>
      <w:r w:rsidRPr="7F762F0D">
        <w:rPr>
          <w:lang w:val="en-US"/>
        </w:rPr>
        <w:t>s Iconic National Parks – additional funding</w:t>
      </w:r>
    </w:p>
    <w:p w14:paraId="576C57AE"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2F7D06DD" w14:textId="77777777">
        <w:trPr>
          <w:cantSplit/>
        </w:trPr>
        <w:tc>
          <w:tcPr>
            <w:tcW w:w="2494" w:type="dxa"/>
            <w:tcBorders>
              <w:top w:val="single" w:sz="4" w:space="0" w:color="000000"/>
              <w:bottom w:val="single" w:sz="4" w:space="0" w:color="000000"/>
            </w:tcBorders>
          </w:tcPr>
          <w:p w14:paraId="726CA425" w14:textId="77777777" w:rsidR="00B449D0" w:rsidRDefault="00B449D0">
            <w:pPr>
              <w:pStyle w:val="MeasureTableYearHeadings"/>
              <w:keepNext/>
            </w:pPr>
          </w:p>
        </w:tc>
        <w:tc>
          <w:tcPr>
            <w:tcW w:w="1043" w:type="dxa"/>
            <w:tcBorders>
              <w:top w:val="single" w:sz="4" w:space="0" w:color="000000"/>
              <w:bottom w:val="single" w:sz="4" w:space="0" w:color="000000"/>
            </w:tcBorders>
          </w:tcPr>
          <w:p w14:paraId="4CE2275C" w14:textId="7F0B3F78"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1B0CE172" w14:textId="1D6205B8"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583190E7" w14:textId="21FE45D6"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0090DA7E" w14:textId="079B8C72"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501ACED1" w14:textId="24DA08BE" w:rsidR="00B449D0" w:rsidRDefault="00175344">
            <w:pPr>
              <w:pStyle w:val="MeasureTableYearHeadings"/>
              <w:keepNext/>
            </w:pPr>
            <w:r>
              <w:t>2027</w:t>
            </w:r>
            <w:r w:rsidR="00076D78">
              <w:noBreakHyphen/>
            </w:r>
            <w:r>
              <w:t>28</w:t>
            </w:r>
          </w:p>
        </w:tc>
      </w:tr>
      <w:tr w:rsidR="00B449D0" w14:paraId="184D94E4" w14:textId="77777777">
        <w:trPr>
          <w:cantSplit/>
        </w:trPr>
        <w:tc>
          <w:tcPr>
            <w:tcW w:w="2494" w:type="dxa"/>
            <w:tcBorders>
              <w:top w:val="single" w:sz="4" w:space="0" w:color="000000"/>
              <w:bottom w:val="single" w:sz="4" w:space="0" w:color="000000"/>
            </w:tcBorders>
          </w:tcPr>
          <w:p w14:paraId="6A7D108B" w14:textId="77777777" w:rsidR="00B449D0" w:rsidRDefault="00175344">
            <w:pPr>
              <w:pStyle w:val="MeasureTableHeadingleftalignedwith2ptsspacing"/>
              <w:keepNext/>
            </w:pPr>
            <w:r>
              <w:t>Department of Climate Change, Energy, the Environment and Water</w:t>
            </w:r>
          </w:p>
        </w:tc>
        <w:tc>
          <w:tcPr>
            <w:tcW w:w="1043" w:type="dxa"/>
            <w:tcBorders>
              <w:top w:val="single" w:sz="4" w:space="0" w:color="000000"/>
              <w:bottom w:val="single" w:sz="4" w:space="0" w:color="000000"/>
            </w:tcBorders>
          </w:tcPr>
          <w:p w14:paraId="5AF0908B" w14:textId="77DA1FF5"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9E5FB7D" w14:textId="77777777" w:rsidR="00B449D0" w:rsidRDefault="00175344">
            <w:pPr>
              <w:pStyle w:val="MeasureTableDataRightAlignedwith2ptsspacing"/>
              <w:keepNext/>
            </w:pPr>
            <w:r>
              <w:t>2.5</w:t>
            </w:r>
          </w:p>
        </w:tc>
        <w:tc>
          <w:tcPr>
            <w:tcW w:w="1043" w:type="dxa"/>
            <w:tcBorders>
              <w:top w:val="single" w:sz="4" w:space="0" w:color="000000"/>
              <w:bottom w:val="single" w:sz="4" w:space="0" w:color="000000"/>
            </w:tcBorders>
          </w:tcPr>
          <w:p w14:paraId="66EDBFD4" w14:textId="77777777" w:rsidR="00B449D0" w:rsidRDefault="00175344">
            <w:pPr>
              <w:pStyle w:val="MeasureTableDataRightAlignedwith2ptsspacing"/>
              <w:keepNext/>
            </w:pPr>
            <w:r>
              <w:t>4.9</w:t>
            </w:r>
          </w:p>
        </w:tc>
        <w:tc>
          <w:tcPr>
            <w:tcW w:w="1043" w:type="dxa"/>
            <w:tcBorders>
              <w:top w:val="single" w:sz="4" w:space="0" w:color="000000"/>
              <w:bottom w:val="single" w:sz="4" w:space="0" w:color="000000"/>
            </w:tcBorders>
          </w:tcPr>
          <w:p w14:paraId="49E5048D" w14:textId="77777777" w:rsidR="00B449D0" w:rsidRDefault="00175344">
            <w:pPr>
              <w:pStyle w:val="MeasureTableDataRightAlignedwith2ptsspacing"/>
              <w:keepNext/>
            </w:pPr>
            <w:r>
              <w:t>5.0</w:t>
            </w:r>
          </w:p>
        </w:tc>
        <w:tc>
          <w:tcPr>
            <w:tcW w:w="1043" w:type="dxa"/>
            <w:tcBorders>
              <w:top w:val="single" w:sz="4" w:space="0" w:color="000000"/>
              <w:bottom w:val="single" w:sz="4" w:space="0" w:color="000000"/>
            </w:tcBorders>
          </w:tcPr>
          <w:p w14:paraId="71EC7B92" w14:textId="77777777" w:rsidR="00B449D0" w:rsidRDefault="00175344">
            <w:pPr>
              <w:pStyle w:val="MeasureTableDataRightAlignedwith2ptsspacing"/>
              <w:keepNext/>
            </w:pPr>
            <w:r>
              <w:t>5.1</w:t>
            </w:r>
          </w:p>
        </w:tc>
      </w:tr>
      <w:tr w:rsidR="00B449D0" w14:paraId="5A3D99A9" w14:textId="77777777">
        <w:trPr>
          <w:cantSplit/>
        </w:trPr>
        <w:tc>
          <w:tcPr>
            <w:tcW w:w="2494" w:type="dxa"/>
            <w:tcBorders>
              <w:top w:val="single" w:sz="4" w:space="0" w:color="000000"/>
              <w:bottom w:val="single" w:sz="4" w:space="0" w:color="000000"/>
            </w:tcBorders>
          </w:tcPr>
          <w:p w14:paraId="7355A440" w14:textId="77777777" w:rsidR="00B449D0" w:rsidRDefault="00175344">
            <w:pPr>
              <w:pStyle w:val="MeasureTableHeadingleftalignedwith2ptsspacing"/>
              <w:keepNext/>
            </w:pPr>
            <w:r>
              <w:t>Director of National Parks</w:t>
            </w:r>
          </w:p>
        </w:tc>
        <w:tc>
          <w:tcPr>
            <w:tcW w:w="1043" w:type="dxa"/>
            <w:tcBorders>
              <w:top w:val="single" w:sz="4" w:space="0" w:color="000000"/>
              <w:bottom w:val="single" w:sz="4" w:space="0" w:color="000000"/>
            </w:tcBorders>
          </w:tcPr>
          <w:p w14:paraId="378B18A5" w14:textId="20EF5AF4"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6E3D5345" w14:textId="77777777" w:rsidR="00B449D0" w:rsidRDefault="00175344">
            <w:pPr>
              <w:pStyle w:val="MeasureTableDataRightAlignedwith2ptsspacing"/>
              <w:keepNext/>
            </w:pPr>
            <w:r>
              <w:t>1.7</w:t>
            </w:r>
          </w:p>
        </w:tc>
        <w:tc>
          <w:tcPr>
            <w:tcW w:w="1043" w:type="dxa"/>
            <w:tcBorders>
              <w:top w:val="single" w:sz="4" w:space="0" w:color="000000"/>
              <w:bottom w:val="single" w:sz="4" w:space="0" w:color="000000"/>
            </w:tcBorders>
          </w:tcPr>
          <w:p w14:paraId="41B07C65" w14:textId="77777777" w:rsidR="00B449D0" w:rsidRDefault="00175344">
            <w:pPr>
              <w:pStyle w:val="MeasureTableDataRightAlignedwith2ptsspacing"/>
              <w:keepNext/>
            </w:pPr>
            <w:r>
              <w:t>10.5</w:t>
            </w:r>
          </w:p>
        </w:tc>
        <w:tc>
          <w:tcPr>
            <w:tcW w:w="1043" w:type="dxa"/>
            <w:tcBorders>
              <w:top w:val="single" w:sz="4" w:space="0" w:color="000000"/>
              <w:bottom w:val="single" w:sz="4" w:space="0" w:color="000000"/>
            </w:tcBorders>
          </w:tcPr>
          <w:p w14:paraId="2AA1121F" w14:textId="04128734"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0410A87" w14:textId="14B155BF" w:rsidR="00B449D0" w:rsidRDefault="00076D78">
            <w:pPr>
              <w:pStyle w:val="MeasureTableDataRightAlignedwith2ptsspacing"/>
              <w:keepNext/>
            </w:pPr>
            <w:r>
              <w:noBreakHyphen/>
            </w:r>
          </w:p>
        </w:tc>
      </w:tr>
      <w:tr w:rsidR="00B449D0" w14:paraId="6240A9F8" w14:textId="77777777">
        <w:trPr>
          <w:cantSplit/>
        </w:trPr>
        <w:tc>
          <w:tcPr>
            <w:tcW w:w="2494" w:type="dxa"/>
            <w:tcBorders>
              <w:top w:val="single" w:sz="4" w:space="0" w:color="000000"/>
              <w:bottom w:val="single" w:sz="4" w:space="0" w:color="000000"/>
            </w:tcBorders>
          </w:tcPr>
          <w:p w14:paraId="083CC037"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1DA6BB59" w14:textId="33A6BC72"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206E161B" w14:textId="77777777" w:rsidR="00B449D0" w:rsidRDefault="00175344">
            <w:pPr>
              <w:pStyle w:val="Totaldatarowrightaligned"/>
              <w:keepNext/>
            </w:pPr>
            <w:r>
              <w:t>4.1</w:t>
            </w:r>
          </w:p>
        </w:tc>
        <w:tc>
          <w:tcPr>
            <w:tcW w:w="1043" w:type="dxa"/>
            <w:tcBorders>
              <w:top w:val="single" w:sz="4" w:space="0" w:color="000000"/>
              <w:bottom w:val="single" w:sz="4" w:space="0" w:color="000000"/>
            </w:tcBorders>
          </w:tcPr>
          <w:p w14:paraId="3A52DC4E" w14:textId="77777777" w:rsidR="00B449D0" w:rsidRDefault="00175344">
            <w:pPr>
              <w:pStyle w:val="Totaldatarowrightaligned"/>
              <w:keepNext/>
            </w:pPr>
            <w:r>
              <w:t>15.5</w:t>
            </w:r>
          </w:p>
        </w:tc>
        <w:tc>
          <w:tcPr>
            <w:tcW w:w="1043" w:type="dxa"/>
            <w:tcBorders>
              <w:top w:val="single" w:sz="4" w:space="0" w:color="000000"/>
              <w:bottom w:val="single" w:sz="4" w:space="0" w:color="000000"/>
            </w:tcBorders>
          </w:tcPr>
          <w:p w14:paraId="17DA75A7" w14:textId="77777777" w:rsidR="00B449D0" w:rsidRDefault="00175344">
            <w:pPr>
              <w:pStyle w:val="Totaldatarowrightaligned"/>
              <w:keepNext/>
            </w:pPr>
            <w:r>
              <w:t>5.0</w:t>
            </w:r>
          </w:p>
        </w:tc>
        <w:tc>
          <w:tcPr>
            <w:tcW w:w="1043" w:type="dxa"/>
            <w:tcBorders>
              <w:top w:val="single" w:sz="4" w:space="0" w:color="000000"/>
              <w:bottom w:val="single" w:sz="4" w:space="0" w:color="000000"/>
            </w:tcBorders>
          </w:tcPr>
          <w:p w14:paraId="32E04EED" w14:textId="77777777" w:rsidR="00B449D0" w:rsidRDefault="00175344">
            <w:pPr>
              <w:pStyle w:val="Totaldatarowrightaligned"/>
              <w:keepNext/>
            </w:pPr>
            <w:r>
              <w:t>5.1</w:t>
            </w:r>
          </w:p>
        </w:tc>
      </w:tr>
    </w:tbl>
    <w:p w14:paraId="65C5810F" w14:textId="77777777" w:rsidR="00B449D0" w:rsidRDefault="00B449D0" w:rsidP="00380A42">
      <w:pPr>
        <w:pStyle w:val="SingleParagraph0"/>
      </w:pPr>
    </w:p>
    <w:p w14:paraId="64F500DA" w14:textId="6DD11D42" w:rsidR="00B449D0" w:rsidRDefault="00175344">
      <w:pPr>
        <w:pStyle w:val="Normal2"/>
      </w:pPr>
      <w:r>
        <w:t>The Government will provide $30.2 million over four years from 2024–25 to meet the Commonwealth</w:t>
      </w:r>
      <w:r w:rsidR="00076D78">
        <w:t>’</w:t>
      </w:r>
      <w:r>
        <w:t>s obligations and protect the cultural and environmental values of Australia</w:t>
      </w:r>
      <w:r w:rsidR="00076D78">
        <w:t>’</w:t>
      </w:r>
      <w:r>
        <w:t>s iconic national parks. Funding includes:</w:t>
      </w:r>
    </w:p>
    <w:p w14:paraId="262E9452" w14:textId="14208EB4" w:rsidR="00B449D0" w:rsidRDefault="00175344">
      <w:pPr>
        <w:pStyle w:val="Bullet"/>
      </w:pPr>
      <w:r>
        <w:t>$17.5 million over four years from 2024–25 to sustain the Office of the Supervising Scientist</w:t>
      </w:r>
      <w:r w:rsidR="00076D78">
        <w:t>’</w:t>
      </w:r>
      <w:r>
        <w:t xml:space="preserve">s core functions under the </w:t>
      </w:r>
      <w:r w:rsidRPr="00175344">
        <w:rPr>
          <w:i/>
        </w:rPr>
        <w:t>Environment Protection (Alligator Rivers Region) Act 1978</w:t>
      </w:r>
      <w:r>
        <w:t>, and undertake essential monitoring and oversee remediation of the Ranger Uranium and Jabiluka mines</w:t>
      </w:r>
    </w:p>
    <w:p w14:paraId="63FCE18F" w14:textId="77777777" w:rsidR="00B449D0" w:rsidRDefault="00175344">
      <w:pPr>
        <w:pStyle w:val="Bullet"/>
      </w:pPr>
      <w:r>
        <w:t>$12.7 million over two years from 2024–25 to provide waste management services within the Muṯitjulu community in the Uluṟu‑Kata Tjuṯa National Park and develop a Weed Management Plan to achieve better environmental outcomes in the Jabiru township in the Kakadu National Park.</w:t>
      </w:r>
    </w:p>
    <w:p w14:paraId="776607A2" w14:textId="174A76F4" w:rsidR="00B449D0" w:rsidRDefault="00175344">
      <w:pPr>
        <w:pStyle w:val="Normal2"/>
      </w:pPr>
      <w:r w:rsidRPr="7F762F0D">
        <w:rPr>
          <w:lang w:val="en-US"/>
        </w:rPr>
        <w:t>The cost of this measure will be partially met from reprioritising funding from the 2024</w:t>
      </w:r>
      <w:r w:rsidR="00F53236">
        <w:t>‍</w:t>
      </w:r>
      <w:r w:rsidRPr="7F762F0D">
        <w:rPr>
          <w:lang w:val="en-US"/>
        </w:rPr>
        <w:t>–</w:t>
      </w:r>
      <w:r w:rsidR="00F53236">
        <w:t>‍</w:t>
      </w:r>
      <w:r w:rsidRPr="7F762F0D">
        <w:rPr>
          <w:lang w:val="en-US"/>
        </w:rPr>
        <w:t xml:space="preserve">25 Budget measure titled </w:t>
      </w:r>
      <w:r w:rsidRPr="7F762F0D">
        <w:rPr>
          <w:i/>
          <w:iCs/>
          <w:lang w:val="en-US"/>
        </w:rPr>
        <w:t>Jabiru Remediation – continuing delivery</w:t>
      </w:r>
      <w:r w:rsidRPr="7F762F0D">
        <w:rPr>
          <w:lang w:val="en-US"/>
        </w:rPr>
        <w:t xml:space="preserve"> and from savings identified in the Climate Change, Energy, the Environment and Water portfolio.</w:t>
      </w:r>
    </w:p>
    <w:p w14:paraId="203FC624" w14:textId="25E6A06A" w:rsidR="00B449D0" w:rsidRDefault="00175344">
      <w:pPr>
        <w:pStyle w:val="Normal2"/>
      </w:pPr>
      <w:r>
        <w:t xml:space="preserve">This measure builds on the 2023–24 Budget measure titled </w:t>
      </w:r>
      <w:r w:rsidRPr="00175344">
        <w:rPr>
          <w:i/>
        </w:rPr>
        <w:t>Protecting Australia</w:t>
      </w:r>
      <w:r w:rsidR="00076D78">
        <w:rPr>
          <w:i/>
        </w:rPr>
        <w:t>’</w:t>
      </w:r>
      <w:r w:rsidRPr="00175344">
        <w:rPr>
          <w:i/>
        </w:rPr>
        <w:t>s Iconic National Parks.</w:t>
      </w:r>
    </w:p>
    <w:p w14:paraId="49A12952" w14:textId="77777777" w:rsidR="00B449D0" w:rsidRDefault="00175344">
      <w:pPr>
        <w:pStyle w:val="MeasureTitle"/>
      </w:pPr>
      <w:r>
        <w:t>Rebuilding the Great Barrier Reef Aquarium</w:t>
      </w:r>
    </w:p>
    <w:p w14:paraId="46BB0B40"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182309B5" w14:textId="77777777">
        <w:trPr>
          <w:cantSplit/>
        </w:trPr>
        <w:tc>
          <w:tcPr>
            <w:tcW w:w="2494" w:type="dxa"/>
            <w:tcBorders>
              <w:top w:val="single" w:sz="4" w:space="0" w:color="000000"/>
              <w:bottom w:val="single" w:sz="4" w:space="0" w:color="000000"/>
            </w:tcBorders>
          </w:tcPr>
          <w:p w14:paraId="10AB75A3" w14:textId="77777777" w:rsidR="00B449D0" w:rsidRDefault="00B449D0">
            <w:pPr>
              <w:pStyle w:val="MeasureTableYearHeadings"/>
              <w:keepNext/>
            </w:pPr>
          </w:p>
        </w:tc>
        <w:tc>
          <w:tcPr>
            <w:tcW w:w="1043" w:type="dxa"/>
            <w:tcBorders>
              <w:top w:val="single" w:sz="4" w:space="0" w:color="000000"/>
              <w:bottom w:val="single" w:sz="4" w:space="0" w:color="000000"/>
            </w:tcBorders>
          </w:tcPr>
          <w:p w14:paraId="1CCCAA76" w14:textId="50F8005B"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72B425D7" w14:textId="0B3F28A1"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041C930F" w14:textId="3C985DAE"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574253EE" w14:textId="2F3B49F8"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269AB51E" w14:textId="397013CF" w:rsidR="00B449D0" w:rsidRDefault="00175344">
            <w:pPr>
              <w:pStyle w:val="MeasureTableYearHeadings"/>
              <w:keepNext/>
            </w:pPr>
            <w:r>
              <w:t>2027</w:t>
            </w:r>
            <w:r w:rsidR="00076D78">
              <w:noBreakHyphen/>
            </w:r>
            <w:r>
              <w:t>28</w:t>
            </w:r>
          </w:p>
        </w:tc>
      </w:tr>
      <w:tr w:rsidR="00B449D0" w14:paraId="0E280F72" w14:textId="77777777">
        <w:trPr>
          <w:cantSplit/>
        </w:trPr>
        <w:tc>
          <w:tcPr>
            <w:tcW w:w="2494" w:type="dxa"/>
            <w:tcBorders>
              <w:top w:val="single" w:sz="4" w:space="0" w:color="000000"/>
              <w:bottom w:val="single" w:sz="4" w:space="0" w:color="000000"/>
            </w:tcBorders>
          </w:tcPr>
          <w:p w14:paraId="13381503" w14:textId="77777777" w:rsidR="00B449D0" w:rsidRDefault="00175344">
            <w:pPr>
              <w:pStyle w:val="MeasureTableHeadingleftalignedwith2ptsspacing"/>
              <w:keepNext/>
            </w:pPr>
            <w:r>
              <w:t>Department of Infrastructure, Transport, Regional Development, Communications and the Arts</w:t>
            </w:r>
          </w:p>
        </w:tc>
        <w:tc>
          <w:tcPr>
            <w:tcW w:w="1043" w:type="dxa"/>
            <w:tcBorders>
              <w:top w:val="single" w:sz="4" w:space="0" w:color="000000"/>
              <w:bottom w:val="single" w:sz="4" w:space="0" w:color="000000"/>
            </w:tcBorders>
          </w:tcPr>
          <w:p w14:paraId="698AC6AA" w14:textId="7F8611AA"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BF458E7" w14:textId="79566D13"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8035409" w14:textId="2F7FF197"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2BBA6FF" w14:textId="485D424C"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4027AA7" w14:textId="7351FAF1" w:rsidR="00B449D0" w:rsidRDefault="00076D78">
            <w:pPr>
              <w:pStyle w:val="MeasureTableDataRightAlignedwith2ptsspacing"/>
              <w:keepNext/>
            </w:pPr>
            <w:r>
              <w:noBreakHyphen/>
            </w:r>
          </w:p>
        </w:tc>
      </w:tr>
      <w:tr w:rsidR="00B449D0" w14:paraId="45300FE0" w14:textId="77777777">
        <w:trPr>
          <w:cantSplit/>
        </w:trPr>
        <w:tc>
          <w:tcPr>
            <w:tcW w:w="2494" w:type="dxa"/>
            <w:tcBorders>
              <w:top w:val="single" w:sz="4" w:space="0" w:color="000000"/>
              <w:bottom w:val="single" w:sz="4" w:space="0" w:color="000000"/>
            </w:tcBorders>
          </w:tcPr>
          <w:p w14:paraId="31E5336D" w14:textId="77777777" w:rsidR="00B449D0" w:rsidRDefault="00175344">
            <w:pPr>
              <w:pStyle w:val="MeasureTableHeadingleftalignedwith2ptsspacing"/>
              <w:keepNext/>
            </w:pPr>
            <w:r>
              <w:t>Great Barrier Reef Marine Park Authority</w:t>
            </w:r>
          </w:p>
        </w:tc>
        <w:tc>
          <w:tcPr>
            <w:tcW w:w="1043" w:type="dxa"/>
            <w:tcBorders>
              <w:top w:val="single" w:sz="4" w:space="0" w:color="000000"/>
              <w:bottom w:val="single" w:sz="4" w:space="0" w:color="000000"/>
            </w:tcBorders>
          </w:tcPr>
          <w:p w14:paraId="40F29A1D" w14:textId="59815C00"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60F293F" w14:textId="434032A1" w:rsidR="00B449D0" w:rsidRDefault="00076D78">
            <w:pPr>
              <w:pStyle w:val="MeasureTableDataRightAlignedwith2ptsspacing"/>
              <w:keepNext/>
            </w:pPr>
            <w:r>
              <w:noBreakHyphen/>
            </w:r>
            <w:r w:rsidR="00175344">
              <w:t>39.0</w:t>
            </w:r>
          </w:p>
        </w:tc>
        <w:tc>
          <w:tcPr>
            <w:tcW w:w="1043" w:type="dxa"/>
            <w:tcBorders>
              <w:top w:val="single" w:sz="4" w:space="0" w:color="000000"/>
              <w:bottom w:val="single" w:sz="4" w:space="0" w:color="000000"/>
            </w:tcBorders>
          </w:tcPr>
          <w:p w14:paraId="7EAE2023" w14:textId="77777777" w:rsidR="00B449D0" w:rsidRDefault="00175344">
            <w:pPr>
              <w:pStyle w:val="MeasureTableDataRightAlignedwith2ptsspacing"/>
              <w:keepNext/>
            </w:pPr>
            <w:r>
              <w:t>12.2</w:t>
            </w:r>
          </w:p>
        </w:tc>
        <w:tc>
          <w:tcPr>
            <w:tcW w:w="1043" w:type="dxa"/>
            <w:tcBorders>
              <w:top w:val="single" w:sz="4" w:space="0" w:color="000000"/>
              <w:bottom w:val="single" w:sz="4" w:space="0" w:color="000000"/>
            </w:tcBorders>
          </w:tcPr>
          <w:p w14:paraId="7913DF24" w14:textId="77777777" w:rsidR="00B449D0" w:rsidRDefault="00175344">
            <w:pPr>
              <w:pStyle w:val="MeasureTableDataRightAlignedwith2ptsspacing"/>
              <w:keepNext/>
            </w:pPr>
            <w:r>
              <w:t>46.6</w:t>
            </w:r>
          </w:p>
        </w:tc>
        <w:tc>
          <w:tcPr>
            <w:tcW w:w="1043" w:type="dxa"/>
            <w:tcBorders>
              <w:top w:val="single" w:sz="4" w:space="0" w:color="000000"/>
              <w:bottom w:val="single" w:sz="4" w:space="0" w:color="000000"/>
            </w:tcBorders>
          </w:tcPr>
          <w:p w14:paraId="0A644ECF" w14:textId="77777777" w:rsidR="00B449D0" w:rsidRDefault="00175344">
            <w:pPr>
              <w:pStyle w:val="MeasureTableDataRightAlignedwith2ptsspacing"/>
              <w:keepNext/>
            </w:pPr>
            <w:r>
              <w:t>80.4</w:t>
            </w:r>
          </w:p>
        </w:tc>
      </w:tr>
      <w:tr w:rsidR="00B449D0" w14:paraId="17E3935F" w14:textId="77777777">
        <w:trPr>
          <w:cantSplit/>
        </w:trPr>
        <w:tc>
          <w:tcPr>
            <w:tcW w:w="2494" w:type="dxa"/>
            <w:tcBorders>
              <w:top w:val="single" w:sz="4" w:space="0" w:color="000000"/>
              <w:bottom w:val="single" w:sz="4" w:space="0" w:color="000000"/>
            </w:tcBorders>
          </w:tcPr>
          <w:p w14:paraId="5FDDD273" w14:textId="77777777" w:rsidR="00B449D0" w:rsidRDefault="00175344">
            <w:pPr>
              <w:pStyle w:val="MeasureTableHeadingleftalignedwith2ptsspacing"/>
              <w:keepNext/>
            </w:pPr>
            <w:r>
              <w:t>Department of the Treasury</w:t>
            </w:r>
          </w:p>
        </w:tc>
        <w:tc>
          <w:tcPr>
            <w:tcW w:w="1043" w:type="dxa"/>
            <w:tcBorders>
              <w:top w:val="single" w:sz="4" w:space="0" w:color="000000"/>
              <w:bottom w:val="single" w:sz="4" w:space="0" w:color="000000"/>
            </w:tcBorders>
          </w:tcPr>
          <w:p w14:paraId="5BDF69F5" w14:textId="763A4D92"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4F0B03A" w14:textId="74E9F84D" w:rsidR="00B449D0" w:rsidRDefault="00076D78">
            <w:pPr>
              <w:pStyle w:val="MeasureTableDataRightAlignedwith2ptsspacing"/>
              <w:keepNext/>
            </w:pPr>
            <w:r>
              <w:noBreakHyphen/>
            </w:r>
            <w:r w:rsidR="00175344">
              <w:t>44.0</w:t>
            </w:r>
          </w:p>
        </w:tc>
        <w:tc>
          <w:tcPr>
            <w:tcW w:w="1043" w:type="dxa"/>
            <w:tcBorders>
              <w:top w:val="single" w:sz="4" w:space="0" w:color="000000"/>
              <w:bottom w:val="single" w:sz="4" w:space="0" w:color="000000"/>
            </w:tcBorders>
          </w:tcPr>
          <w:p w14:paraId="40A55AD7" w14:textId="251AA322" w:rsidR="00B449D0" w:rsidRDefault="00076D78">
            <w:pPr>
              <w:pStyle w:val="MeasureTableDataRightAlignedwith2ptsspacing"/>
              <w:keepNext/>
            </w:pPr>
            <w:r>
              <w:noBreakHyphen/>
            </w:r>
            <w:r w:rsidR="00175344">
              <w:t>19.5</w:t>
            </w:r>
          </w:p>
        </w:tc>
        <w:tc>
          <w:tcPr>
            <w:tcW w:w="1043" w:type="dxa"/>
            <w:tcBorders>
              <w:top w:val="single" w:sz="4" w:space="0" w:color="000000"/>
              <w:bottom w:val="single" w:sz="4" w:space="0" w:color="000000"/>
            </w:tcBorders>
          </w:tcPr>
          <w:p w14:paraId="229AC5AC" w14:textId="7E81EB1F" w:rsidR="00B449D0" w:rsidRDefault="00076D78">
            <w:pPr>
              <w:pStyle w:val="MeasureTableDataRightAlignedwith2ptsspacing"/>
              <w:keepNext/>
            </w:pPr>
            <w:r>
              <w:noBreakHyphen/>
            </w:r>
            <w:r w:rsidR="00175344">
              <w:t>36.5</w:t>
            </w:r>
          </w:p>
        </w:tc>
        <w:tc>
          <w:tcPr>
            <w:tcW w:w="1043" w:type="dxa"/>
            <w:tcBorders>
              <w:top w:val="single" w:sz="4" w:space="0" w:color="000000"/>
              <w:bottom w:val="single" w:sz="4" w:space="0" w:color="000000"/>
            </w:tcBorders>
          </w:tcPr>
          <w:p w14:paraId="269E099D" w14:textId="24A56276" w:rsidR="00B449D0" w:rsidRDefault="00076D78">
            <w:pPr>
              <w:pStyle w:val="MeasureTableDataRightAlignedwith2ptsspacing"/>
              <w:keepNext/>
            </w:pPr>
            <w:r>
              <w:noBreakHyphen/>
            </w:r>
          </w:p>
        </w:tc>
      </w:tr>
      <w:tr w:rsidR="00B449D0" w14:paraId="73AFF0B8" w14:textId="77777777">
        <w:trPr>
          <w:cantSplit/>
        </w:trPr>
        <w:tc>
          <w:tcPr>
            <w:tcW w:w="2494" w:type="dxa"/>
            <w:tcBorders>
              <w:top w:val="single" w:sz="4" w:space="0" w:color="000000"/>
              <w:bottom w:val="single" w:sz="4" w:space="0" w:color="000000"/>
            </w:tcBorders>
          </w:tcPr>
          <w:p w14:paraId="109953FE"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6537FEC1" w14:textId="78D4803E"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303516E5" w14:textId="0439C071" w:rsidR="00B449D0" w:rsidRDefault="00076D78">
            <w:pPr>
              <w:pStyle w:val="Totaldatarowrightaligned"/>
              <w:keepNext/>
            </w:pPr>
            <w:r>
              <w:noBreakHyphen/>
            </w:r>
            <w:r w:rsidR="00175344">
              <w:t>82.9</w:t>
            </w:r>
          </w:p>
        </w:tc>
        <w:tc>
          <w:tcPr>
            <w:tcW w:w="1043" w:type="dxa"/>
            <w:tcBorders>
              <w:top w:val="single" w:sz="4" w:space="0" w:color="000000"/>
              <w:bottom w:val="single" w:sz="4" w:space="0" w:color="000000"/>
            </w:tcBorders>
          </w:tcPr>
          <w:p w14:paraId="7FBC0E6D" w14:textId="0C14A8BB" w:rsidR="00B449D0" w:rsidRDefault="00076D78">
            <w:pPr>
              <w:pStyle w:val="Totaldatarowrightaligned"/>
              <w:keepNext/>
            </w:pPr>
            <w:r>
              <w:noBreakHyphen/>
            </w:r>
            <w:r w:rsidR="00175344">
              <w:t>7.3</w:t>
            </w:r>
          </w:p>
        </w:tc>
        <w:tc>
          <w:tcPr>
            <w:tcW w:w="1043" w:type="dxa"/>
            <w:tcBorders>
              <w:top w:val="single" w:sz="4" w:space="0" w:color="000000"/>
              <w:bottom w:val="single" w:sz="4" w:space="0" w:color="000000"/>
            </w:tcBorders>
          </w:tcPr>
          <w:p w14:paraId="6C82777D" w14:textId="77777777" w:rsidR="00B449D0" w:rsidRDefault="00175344">
            <w:pPr>
              <w:pStyle w:val="Totaldatarowrightaligned"/>
              <w:keepNext/>
            </w:pPr>
            <w:r>
              <w:t>10.1</w:t>
            </w:r>
          </w:p>
        </w:tc>
        <w:tc>
          <w:tcPr>
            <w:tcW w:w="1043" w:type="dxa"/>
            <w:tcBorders>
              <w:top w:val="single" w:sz="4" w:space="0" w:color="000000"/>
              <w:bottom w:val="single" w:sz="4" w:space="0" w:color="000000"/>
            </w:tcBorders>
          </w:tcPr>
          <w:p w14:paraId="642ED50B" w14:textId="77777777" w:rsidR="00B449D0" w:rsidRDefault="00175344">
            <w:pPr>
              <w:pStyle w:val="Totaldatarowrightaligned"/>
              <w:keepNext/>
            </w:pPr>
            <w:r>
              <w:t>80.4</w:t>
            </w:r>
          </w:p>
        </w:tc>
      </w:tr>
    </w:tbl>
    <w:p w14:paraId="3FB2A7FF" w14:textId="77777777" w:rsidR="00B449D0" w:rsidRDefault="00B449D0" w:rsidP="00380A42">
      <w:pPr>
        <w:pStyle w:val="SingleParagraph0"/>
      </w:pPr>
    </w:p>
    <w:p w14:paraId="43E3C3DE" w14:textId="1D5B82E1" w:rsidR="00B449D0" w:rsidRDefault="00175344">
      <w:pPr>
        <w:pStyle w:val="Normal2"/>
      </w:pPr>
      <w:r w:rsidRPr="7F762F0D">
        <w:rPr>
          <w:lang w:val="en-US"/>
        </w:rPr>
        <w:t>The Government will provide $149.6 million over four years from 2024–25 (and an additional $11.5 million in 2028</w:t>
      </w:r>
      <w:r w:rsidR="00776B6E">
        <w:rPr>
          <w:lang w:val="en-US"/>
        </w:rPr>
        <w:t>–</w:t>
      </w:r>
      <w:r w:rsidRPr="7F762F0D">
        <w:rPr>
          <w:lang w:val="en-US"/>
        </w:rPr>
        <w:t>29) for a redeveloped aquarium in Townsville, enhancing its role as Australia</w:t>
      </w:r>
      <w:r w:rsidR="00076D78">
        <w:rPr>
          <w:lang w:val="en-US"/>
        </w:rPr>
        <w:t>’</w:t>
      </w:r>
      <w:r w:rsidRPr="7F762F0D">
        <w:rPr>
          <w:lang w:val="en-US"/>
        </w:rPr>
        <w:t>s national education centre for the Great Barrier Reef and boosting the local and regional economy.</w:t>
      </w:r>
    </w:p>
    <w:p w14:paraId="13DDFA83" w14:textId="58933D89" w:rsidR="00B449D0" w:rsidRDefault="00175344">
      <w:pPr>
        <w:pStyle w:val="Normal2"/>
      </w:pPr>
      <w:r w:rsidRPr="7F762F0D">
        <w:rPr>
          <w:lang w:val="en-US"/>
        </w:rPr>
        <w:lastRenderedPageBreak/>
        <w:t>The cost of this measure will be met from within the existing resourcing of the Great</w:t>
      </w:r>
      <w:r w:rsidRPr="7F762F0D" w:rsidDel="00F53236">
        <w:rPr>
          <w:lang w:val="en-US"/>
        </w:rPr>
        <w:t xml:space="preserve"> </w:t>
      </w:r>
      <w:r w:rsidRPr="7F762F0D">
        <w:rPr>
          <w:lang w:val="en-US"/>
        </w:rPr>
        <w:t>Barrier</w:t>
      </w:r>
      <w:r w:rsidRPr="7F762F0D" w:rsidDel="00F53236">
        <w:rPr>
          <w:lang w:val="en-US"/>
        </w:rPr>
        <w:t xml:space="preserve"> Reef </w:t>
      </w:r>
      <w:r w:rsidRPr="7F762F0D">
        <w:rPr>
          <w:lang w:val="en-US"/>
        </w:rPr>
        <w:t xml:space="preserve">Marine </w:t>
      </w:r>
      <w:r w:rsidRPr="7F762F0D" w:rsidDel="00F53236">
        <w:rPr>
          <w:lang w:val="en-US"/>
        </w:rPr>
        <w:t xml:space="preserve">Park </w:t>
      </w:r>
      <w:r w:rsidRPr="7F762F0D">
        <w:rPr>
          <w:lang w:val="en-US"/>
        </w:rPr>
        <w:t>Authority and the redirection of existing funding for the Townsville</w:t>
      </w:r>
      <w:r w:rsidRPr="7F762F0D" w:rsidDel="00F53236">
        <w:rPr>
          <w:lang w:val="en-US"/>
        </w:rPr>
        <w:t xml:space="preserve"> </w:t>
      </w:r>
      <w:r w:rsidRPr="7F762F0D">
        <w:rPr>
          <w:lang w:val="en-US"/>
        </w:rPr>
        <w:t>City</w:t>
      </w:r>
      <w:r w:rsidRPr="7F762F0D" w:rsidDel="00F53236">
        <w:rPr>
          <w:lang w:val="en-US"/>
        </w:rPr>
        <w:t xml:space="preserve"> </w:t>
      </w:r>
      <w:r w:rsidRPr="7F762F0D">
        <w:rPr>
          <w:lang w:val="en-US"/>
        </w:rPr>
        <w:t>Deal.</w:t>
      </w:r>
    </w:p>
    <w:p w14:paraId="45E0256B" w14:textId="77777777" w:rsidR="00B449D0" w:rsidRDefault="00175344">
      <w:pPr>
        <w:pStyle w:val="MeasureTitle"/>
      </w:pPr>
      <w:r w:rsidRPr="7F762F0D">
        <w:rPr>
          <w:lang w:val="en-US"/>
        </w:rPr>
        <w:t>Rewiring the Nation – recapitalisation</w:t>
      </w:r>
    </w:p>
    <w:p w14:paraId="43084BB1"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0CE6EE91" w14:textId="77777777">
        <w:trPr>
          <w:cantSplit/>
        </w:trPr>
        <w:tc>
          <w:tcPr>
            <w:tcW w:w="2494" w:type="dxa"/>
            <w:tcBorders>
              <w:top w:val="single" w:sz="4" w:space="0" w:color="000000"/>
              <w:bottom w:val="single" w:sz="4" w:space="0" w:color="000000"/>
            </w:tcBorders>
          </w:tcPr>
          <w:p w14:paraId="304CACA1" w14:textId="77777777" w:rsidR="00B449D0" w:rsidRDefault="00B449D0">
            <w:pPr>
              <w:pStyle w:val="MeasureTableYearHeadings"/>
              <w:keepNext/>
            </w:pPr>
          </w:p>
        </w:tc>
        <w:tc>
          <w:tcPr>
            <w:tcW w:w="1043" w:type="dxa"/>
            <w:tcBorders>
              <w:top w:val="single" w:sz="4" w:space="0" w:color="000000"/>
              <w:bottom w:val="single" w:sz="4" w:space="0" w:color="000000"/>
            </w:tcBorders>
          </w:tcPr>
          <w:p w14:paraId="0887627A" w14:textId="19FF3AE9"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4CD98875" w14:textId="2E7D9398"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5054DBCD" w14:textId="20402494"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62812582" w14:textId="2D90D7C4"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0F88C47F" w14:textId="594C9E53" w:rsidR="00B449D0" w:rsidRDefault="00175344">
            <w:pPr>
              <w:pStyle w:val="MeasureTableYearHeadings"/>
              <w:keepNext/>
            </w:pPr>
            <w:r>
              <w:t>2027</w:t>
            </w:r>
            <w:r w:rsidR="00076D78">
              <w:noBreakHyphen/>
            </w:r>
            <w:r>
              <w:t>28</w:t>
            </w:r>
          </w:p>
        </w:tc>
      </w:tr>
      <w:tr w:rsidR="00B449D0" w14:paraId="0577D35D" w14:textId="77777777">
        <w:trPr>
          <w:cantSplit/>
        </w:trPr>
        <w:tc>
          <w:tcPr>
            <w:tcW w:w="2494" w:type="dxa"/>
            <w:tcBorders>
              <w:top w:val="single" w:sz="4" w:space="0" w:color="000000"/>
              <w:bottom w:val="single" w:sz="4" w:space="0" w:color="000000"/>
            </w:tcBorders>
          </w:tcPr>
          <w:p w14:paraId="125AED85" w14:textId="77777777" w:rsidR="00B449D0" w:rsidRDefault="00175344">
            <w:pPr>
              <w:pStyle w:val="MeasureTableHeadingleftalignedwith2ptsspacing"/>
              <w:keepNext/>
            </w:pPr>
            <w:r>
              <w:t>Department of Climate Change, Energy, the Environment and Water</w:t>
            </w:r>
          </w:p>
        </w:tc>
        <w:tc>
          <w:tcPr>
            <w:tcW w:w="1043" w:type="dxa"/>
            <w:tcBorders>
              <w:top w:val="single" w:sz="4" w:space="0" w:color="000000"/>
              <w:bottom w:val="single" w:sz="4" w:space="0" w:color="000000"/>
            </w:tcBorders>
          </w:tcPr>
          <w:p w14:paraId="4556CDAD" w14:textId="487E8179"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E1D2ED4" w14:textId="77777777" w:rsidR="00B449D0" w:rsidRDefault="00175344">
            <w:pPr>
              <w:pStyle w:val="MeasureTableDataRightAlignedwith2ptsspacing"/>
              <w:keepNext/>
            </w:pPr>
            <w:r>
              <w:t>1.6</w:t>
            </w:r>
          </w:p>
        </w:tc>
        <w:tc>
          <w:tcPr>
            <w:tcW w:w="1043" w:type="dxa"/>
            <w:tcBorders>
              <w:top w:val="single" w:sz="4" w:space="0" w:color="000000"/>
              <w:bottom w:val="single" w:sz="4" w:space="0" w:color="000000"/>
            </w:tcBorders>
          </w:tcPr>
          <w:p w14:paraId="309A51B5" w14:textId="77777777" w:rsidR="00B449D0" w:rsidRDefault="00175344">
            <w:pPr>
              <w:pStyle w:val="MeasureTableDataRightAlignedwith2ptsspacing"/>
              <w:keepNext/>
            </w:pPr>
            <w:r>
              <w:t>23.4</w:t>
            </w:r>
          </w:p>
        </w:tc>
        <w:tc>
          <w:tcPr>
            <w:tcW w:w="1043" w:type="dxa"/>
            <w:tcBorders>
              <w:top w:val="single" w:sz="4" w:space="0" w:color="000000"/>
              <w:bottom w:val="single" w:sz="4" w:space="0" w:color="000000"/>
            </w:tcBorders>
          </w:tcPr>
          <w:p w14:paraId="2B3D6CAA" w14:textId="77777777" w:rsidR="00B449D0" w:rsidRDefault="00175344">
            <w:pPr>
              <w:pStyle w:val="MeasureTableDataRightAlignedwith2ptsspacing"/>
              <w:keepNext/>
            </w:pPr>
            <w:r>
              <w:t>11.7</w:t>
            </w:r>
          </w:p>
        </w:tc>
        <w:tc>
          <w:tcPr>
            <w:tcW w:w="1043" w:type="dxa"/>
            <w:tcBorders>
              <w:top w:val="single" w:sz="4" w:space="0" w:color="000000"/>
              <w:bottom w:val="single" w:sz="4" w:space="0" w:color="000000"/>
            </w:tcBorders>
          </w:tcPr>
          <w:p w14:paraId="6E7E7C6A" w14:textId="77777777" w:rsidR="00B449D0" w:rsidRDefault="00175344">
            <w:pPr>
              <w:pStyle w:val="MeasureTableDataRightAlignedwith2ptsspacing"/>
              <w:keepNext/>
            </w:pPr>
            <w:r>
              <w:t>9.1</w:t>
            </w:r>
          </w:p>
        </w:tc>
      </w:tr>
      <w:tr w:rsidR="00B449D0" w14:paraId="4140DFB6" w14:textId="77777777">
        <w:trPr>
          <w:cantSplit/>
        </w:trPr>
        <w:tc>
          <w:tcPr>
            <w:tcW w:w="2494" w:type="dxa"/>
            <w:tcBorders>
              <w:top w:val="single" w:sz="4" w:space="0" w:color="000000"/>
              <w:bottom w:val="single" w:sz="4" w:space="0" w:color="000000"/>
            </w:tcBorders>
          </w:tcPr>
          <w:p w14:paraId="60F45D24" w14:textId="77777777" w:rsidR="00B449D0" w:rsidRDefault="00175344">
            <w:pPr>
              <w:pStyle w:val="MeasureTableHeadingleftalignedwith2ptsspacing"/>
              <w:keepNext/>
            </w:pPr>
            <w:r>
              <w:t>Bureau of Meteorology</w:t>
            </w:r>
          </w:p>
        </w:tc>
        <w:tc>
          <w:tcPr>
            <w:tcW w:w="1043" w:type="dxa"/>
            <w:tcBorders>
              <w:top w:val="single" w:sz="4" w:space="0" w:color="000000"/>
              <w:bottom w:val="single" w:sz="4" w:space="0" w:color="000000"/>
            </w:tcBorders>
          </w:tcPr>
          <w:p w14:paraId="19A61D6D" w14:textId="1F97CC44"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4C38EEE" w14:textId="77777777" w:rsidR="00B449D0" w:rsidRDefault="00175344">
            <w:pPr>
              <w:pStyle w:val="MeasureTableDataRightAlignedwith2ptsspacing"/>
              <w:keepNext/>
            </w:pPr>
            <w:r>
              <w:t>0.8</w:t>
            </w:r>
          </w:p>
        </w:tc>
        <w:tc>
          <w:tcPr>
            <w:tcW w:w="1043" w:type="dxa"/>
            <w:tcBorders>
              <w:top w:val="single" w:sz="4" w:space="0" w:color="000000"/>
              <w:bottom w:val="single" w:sz="4" w:space="0" w:color="000000"/>
            </w:tcBorders>
          </w:tcPr>
          <w:p w14:paraId="2D4EFA02" w14:textId="6C976FEA"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9D9E562" w14:textId="7CB6D6B5"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741C574" w14:textId="003562F5" w:rsidR="00B449D0" w:rsidRDefault="00076D78">
            <w:pPr>
              <w:pStyle w:val="MeasureTableDataRightAlignedwith2ptsspacing"/>
              <w:keepNext/>
            </w:pPr>
            <w:r>
              <w:noBreakHyphen/>
            </w:r>
          </w:p>
        </w:tc>
      </w:tr>
      <w:tr w:rsidR="00B449D0" w14:paraId="3B3E7958" w14:textId="77777777">
        <w:trPr>
          <w:cantSplit/>
        </w:trPr>
        <w:tc>
          <w:tcPr>
            <w:tcW w:w="2494" w:type="dxa"/>
            <w:tcBorders>
              <w:top w:val="single" w:sz="4" w:space="0" w:color="000000"/>
              <w:bottom w:val="single" w:sz="4" w:space="0" w:color="000000"/>
            </w:tcBorders>
          </w:tcPr>
          <w:p w14:paraId="70D32A85" w14:textId="77777777" w:rsidR="00B449D0" w:rsidRDefault="00175344">
            <w:pPr>
              <w:pStyle w:val="MeasureTableHeadingleftalignedwith2ptsspacing"/>
              <w:keepNext/>
            </w:pPr>
            <w:r>
              <w:t>Clean Energy Finance Corporation</w:t>
            </w:r>
          </w:p>
        </w:tc>
        <w:tc>
          <w:tcPr>
            <w:tcW w:w="1043" w:type="dxa"/>
            <w:tcBorders>
              <w:top w:val="single" w:sz="4" w:space="0" w:color="000000"/>
              <w:bottom w:val="single" w:sz="4" w:space="0" w:color="000000"/>
            </w:tcBorders>
          </w:tcPr>
          <w:p w14:paraId="7013359C" w14:textId="030FD47E"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BFCA745" w14:textId="659400F8"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6A9D6D0" w14:textId="7206CB32"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CA2ADC0" w14:textId="79C32FEE"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7F05D77" w14:textId="79BB17CF" w:rsidR="00B449D0" w:rsidRDefault="00076D78">
            <w:pPr>
              <w:pStyle w:val="MeasureTableDataRightAlignedwith2ptsspacing"/>
              <w:keepNext/>
            </w:pPr>
            <w:r>
              <w:noBreakHyphen/>
            </w:r>
          </w:p>
        </w:tc>
      </w:tr>
      <w:tr w:rsidR="00B449D0" w14:paraId="64281093" w14:textId="77777777">
        <w:trPr>
          <w:cantSplit/>
        </w:trPr>
        <w:tc>
          <w:tcPr>
            <w:tcW w:w="2494" w:type="dxa"/>
            <w:tcBorders>
              <w:top w:val="single" w:sz="4" w:space="0" w:color="000000"/>
              <w:bottom w:val="single" w:sz="4" w:space="0" w:color="000000"/>
            </w:tcBorders>
          </w:tcPr>
          <w:p w14:paraId="66C1FA03"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3AA12526" w14:textId="5FEEBEC8"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531AF766" w14:textId="77777777" w:rsidR="00B449D0" w:rsidRDefault="00175344">
            <w:pPr>
              <w:pStyle w:val="Totaldatarowrightaligned"/>
              <w:keepNext/>
            </w:pPr>
            <w:r>
              <w:t>2.4</w:t>
            </w:r>
          </w:p>
        </w:tc>
        <w:tc>
          <w:tcPr>
            <w:tcW w:w="1043" w:type="dxa"/>
            <w:tcBorders>
              <w:top w:val="single" w:sz="4" w:space="0" w:color="000000"/>
              <w:bottom w:val="single" w:sz="4" w:space="0" w:color="000000"/>
            </w:tcBorders>
          </w:tcPr>
          <w:p w14:paraId="4C91E0AA" w14:textId="77777777" w:rsidR="00B449D0" w:rsidRDefault="00175344">
            <w:pPr>
              <w:pStyle w:val="Totaldatarowrightaligned"/>
              <w:keepNext/>
            </w:pPr>
            <w:r>
              <w:t>23.4</w:t>
            </w:r>
          </w:p>
        </w:tc>
        <w:tc>
          <w:tcPr>
            <w:tcW w:w="1043" w:type="dxa"/>
            <w:tcBorders>
              <w:top w:val="single" w:sz="4" w:space="0" w:color="000000"/>
              <w:bottom w:val="single" w:sz="4" w:space="0" w:color="000000"/>
            </w:tcBorders>
          </w:tcPr>
          <w:p w14:paraId="1364C715" w14:textId="77777777" w:rsidR="00B449D0" w:rsidRDefault="00175344">
            <w:pPr>
              <w:pStyle w:val="Totaldatarowrightaligned"/>
              <w:keepNext/>
            </w:pPr>
            <w:r>
              <w:t>11.7</w:t>
            </w:r>
          </w:p>
        </w:tc>
        <w:tc>
          <w:tcPr>
            <w:tcW w:w="1043" w:type="dxa"/>
            <w:tcBorders>
              <w:top w:val="single" w:sz="4" w:space="0" w:color="000000"/>
              <w:bottom w:val="single" w:sz="4" w:space="0" w:color="000000"/>
            </w:tcBorders>
          </w:tcPr>
          <w:p w14:paraId="1C3624A2" w14:textId="77777777" w:rsidR="00B449D0" w:rsidRDefault="00175344">
            <w:pPr>
              <w:pStyle w:val="Totaldatarowrightaligned"/>
              <w:keepNext/>
            </w:pPr>
            <w:r>
              <w:t>9.1</w:t>
            </w:r>
          </w:p>
        </w:tc>
      </w:tr>
      <w:tr w:rsidR="00B449D0" w14:paraId="5E1C615B" w14:textId="77777777">
        <w:trPr>
          <w:cantSplit/>
        </w:trPr>
        <w:tc>
          <w:tcPr>
            <w:tcW w:w="2494" w:type="dxa"/>
          </w:tcPr>
          <w:p w14:paraId="7010BA4E" w14:textId="77777777" w:rsidR="00B449D0" w:rsidRDefault="00175344">
            <w:pPr>
              <w:pStyle w:val="AgencyName"/>
              <w:keepNext/>
            </w:pPr>
            <w:r>
              <w:t>Related receipts ($m)</w:t>
            </w:r>
          </w:p>
        </w:tc>
        <w:tc>
          <w:tcPr>
            <w:tcW w:w="1043" w:type="dxa"/>
          </w:tcPr>
          <w:p w14:paraId="4CC8398C" w14:textId="77777777" w:rsidR="00B449D0" w:rsidRDefault="00B449D0">
            <w:pPr>
              <w:pStyle w:val="AgencyName"/>
              <w:keepNext/>
            </w:pPr>
          </w:p>
        </w:tc>
        <w:tc>
          <w:tcPr>
            <w:tcW w:w="1043" w:type="dxa"/>
          </w:tcPr>
          <w:p w14:paraId="38548966" w14:textId="77777777" w:rsidR="00B449D0" w:rsidRDefault="00B449D0">
            <w:pPr>
              <w:pStyle w:val="AgencyName"/>
              <w:keepNext/>
            </w:pPr>
          </w:p>
        </w:tc>
        <w:tc>
          <w:tcPr>
            <w:tcW w:w="1043" w:type="dxa"/>
          </w:tcPr>
          <w:p w14:paraId="1E27EA38" w14:textId="77777777" w:rsidR="00B449D0" w:rsidRDefault="00B449D0">
            <w:pPr>
              <w:pStyle w:val="AgencyName"/>
              <w:keepNext/>
            </w:pPr>
          </w:p>
        </w:tc>
        <w:tc>
          <w:tcPr>
            <w:tcW w:w="1043" w:type="dxa"/>
          </w:tcPr>
          <w:p w14:paraId="7C5129DA" w14:textId="77777777" w:rsidR="00B449D0" w:rsidRDefault="00B449D0">
            <w:pPr>
              <w:pStyle w:val="AgencyName"/>
              <w:keepNext/>
            </w:pPr>
          </w:p>
        </w:tc>
        <w:tc>
          <w:tcPr>
            <w:tcW w:w="1043" w:type="dxa"/>
          </w:tcPr>
          <w:p w14:paraId="50BF8349" w14:textId="77777777" w:rsidR="00B449D0" w:rsidRDefault="00B449D0">
            <w:pPr>
              <w:pStyle w:val="AgencyName"/>
              <w:keepNext/>
            </w:pPr>
          </w:p>
        </w:tc>
      </w:tr>
      <w:tr w:rsidR="00B449D0" w14:paraId="32D3BC34" w14:textId="77777777">
        <w:tc>
          <w:tcPr>
            <w:tcW w:w="2494" w:type="dxa"/>
          </w:tcPr>
          <w:p w14:paraId="01CFD819" w14:textId="77777777" w:rsidR="00B449D0" w:rsidRDefault="00175344">
            <w:pPr>
              <w:pStyle w:val="AgencyNamewith2ptsspacing"/>
              <w:keepNext/>
            </w:pPr>
            <w:r>
              <w:t>Clean Energy Finance Corporation</w:t>
            </w:r>
          </w:p>
        </w:tc>
        <w:tc>
          <w:tcPr>
            <w:tcW w:w="1043" w:type="dxa"/>
          </w:tcPr>
          <w:p w14:paraId="1DA1EA1C" w14:textId="2D5C5D3F" w:rsidR="00B449D0" w:rsidRDefault="00076D78">
            <w:pPr>
              <w:pStyle w:val="Measuretabledatarightaligneditalics"/>
              <w:keepNext/>
            </w:pPr>
            <w:r>
              <w:noBreakHyphen/>
            </w:r>
          </w:p>
        </w:tc>
        <w:tc>
          <w:tcPr>
            <w:tcW w:w="1043" w:type="dxa"/>
          </w:tcPr>
          <w:p w14:paraId="679F0266" w14:textId="71E47E51" w:rsidR="00B449D0" w:rsidRDefault="00076D78">
            <w:pPr>
              <w:pStyle w:val="Measuretabledatarightaligneditalics"/>
              <w:keepNext/>
            </w:pPr>
            <w:r>
              <w:noBreakHyphen/>
            </w:r>
          </w:p>
        </w:tc>
        <w:tc>
          <w:tcPr>
            <w:tcW w:w="1043" w:type="dxa"/>
          </w:tcPr>
          <w:p w14:paraId="5A2BE5CF" w14:textId="77777777" w:rsidR="00B449D0" w:rsidRDefault="00175344">
            <w:pPr>
              <w:pStyle w:val="Measuretabledatarightaligneditalics"/>
              <w:keepNext/>
            </w:pPr>
            <w:r>
              <w:t>1.0</w:t>
            </w:r>
          </w:p>
        </w:tc>
        <w:tc>
          <w:tcPr>
            <w:tcW w:w="1043" w:type="dxa"/>
          </w:tcPr>
          <w:p w14:paraId="611C1F79" w14:textId="77777777" w:rsidR="00B449D0" w:rsidRDefault="00175344">
            <w:pPr>
              <w:pStyle w:val="Measuretabledatarightaligneditalics"/>
              <w:keepNext/>
            </w:pPr>
            <w:r>
              <w:t>11.7</w:t>
            </w:r>
          </w:p>
        </w:tc>
        <w:tc>
          <w:tcPr>
            <w:tcW w:w="1043" w:type="dxa"/>
          </w:tcPr>
          <w:p w14:paraId="0EF046AB" w14:textId="77777777" w:rsidR="00B449D0" w:rsidRDefault="00175344">
            <w:pPr>
              <w:pStyle w:val="Measuretabledatarightaligneditalics"/>
              <w:keepNext/>
            </w:pPr>
            <w:r>
              <w:t>23.3</w:t>
            </w:r>
          </w:p>
        </w:tc>
      </w:tr>
    </w:tbl>
    <w:p w14:paraId="7FE7E590" w14:textId="77777777" w:rsidR="00B449D0" w:rsidRDefault="00B449D0" w:rsidP="00380A42">
      <w:pPr>
        <w:pStyle w:val="SingleParagraph0"/>
      </w:pPr>
    </w:p>
    <w:p w14:paraId="7E5EBADF" w14:textId="7A9E0A04" w:rsidR="00B449D0" w:rsidRDefault="00175344">
      <w:pPr>
        <w:pStyle w:val="Normal2"/>
      </w:pPr>
      <w:r w:rsidRPr="7F762F0D">
        <w:rPr>
          <w:lang w:val="en-US"/>
        </w:rPr>
        <w:t>The Government will provide additional funding of $1.2</w:t>
      </w:r>
      <w:r w:rsidR="002A7001">
        <w:rPr>
          <w:lang w:val="en-US"/>
        </w:rPr>
        <w:t> billion</w:t>
      </w:r>
      <w:r w:rsidRPr="7F762F0D">
        <w:rPr>
          <w:lang w:val="en-US"/>
        </w:rPr>
        <w:t xml:space="preserve"> over six years from 2024–25 to optimise and expand Australia</w:t>
      </w:r>
      <w:r w:rsidR="00076D78">
        <w:rPr>
          <w:lang w:val="en-US"/>
        </w:rPr>
        <w:t>’</w:t>
      </w:r>
      <w:r w:rsidRPr="7F762F0D">
        <w:rPr>
          <w:lang w:val="en-US"/>
        </w:rPr>
        <w:t>s energy grid, and boost connection times for new renewable and storage projects. Funding includes:</w:t>
      </w:r>
    </w:p>
    <w:p w14:paraId="1333FD11" w14:textId="5E5B4128" w:rsidR="00B449D0" w:rsidRDefault="00175344">
      <w:pPr>
        <w:pStyle w:val="Bullet"/>
      </w:pPr>
      <w:r>
        <w:t xml:space="preserve">$1.2 billion to recapitalise the </w:t>
      </w:r>
      <w:r w:rsidRPr="00175344">
        <w:rPr>
          <w:i/>
        </w:rPr>
        <w:t>Rewiring the Nation</w:t>
      </w:r>
      <w:r>
        <w:t xml:space="preserve"> program to provide additional concessional finance and underwriting support for transmission and distribution projects critical to Australia</w:t>
      </w:r>
      <w:r w:rsidR="00076D78">
        <w:t>’</w:t>
      </w:r>
      <w:r>
        <w:t>s energy transformation</w:t>
      </w:r>
    </w:p>
    <w:p w14:paraId="4C8038FC" w14:textId="77777777" w:rsidR="00B449D0" w:rsidRDefault="00175344">
      <w:pPr>
        <w:pStyle w:val="Bullet"/>
      </w:pPr>
      <w:r>
        <w:t>$36.9 million over six years from 2024–25 to support the optimisation and utilisation of existing grid infrastructure through regulatory reforms and grid enhancing technologies</w:t>
      </w:r>
    </w:p>
    <w:p w14:paraId="6E170425" w14:textId="77777777" w:rsidR="00B449D0" w:rsidRDefault="00175344">
      <w:pPr>
        <w:pStyle w:val="Bullet"/>
      </w:pPr>
      <w:r>
        <w:t>$10.1 million over two years from 2024–25 to establish the Accelerated Connections Fund to reduce grid bottlenecks and fast‑track connections for new critical renewable generation and clean storage projects.</w:t>
      </w:r>
    </w:p>
    <w:p w14:paraId="0406EF2A" w14:textId="546E0140" w:rsidR="00B449D0" w:rsidRDefault="00175344">
      <w:pPr>
        <w:pStyle w:val="Normal2"/>
      </w:pPr>
      <w:r w:rsidRPr="7F762F0D">
        <w:rPr>
          <w:lang w:val="en-US"/>
        </w:rPr>
        <w:t>The cost of this measure will be met from savings identified in the Climate Change</w:t>
      </w:r>
      <w:r w:rsidR="003E3AF4">
        <w:rPr>
          <w:lang w:val="en-US"/>
        </w:rPr>
        <w:t xml:space="preserve">, </w:t>
      </w:r>
      <w:r w:rsidRPr="7F762F0D">
        <w:rPr>
          <w:lang w:val="en-US"/>
        </w:rPr>
        <w:t>Energy</w:t>
      </w:r>
      <w:r w:rsidR="003E3AF4">
        <w:rPr>
          <w:lang w:val="en-US"/>
        </w:rPr>
        <w:t>, the Environment and Water</w:t>
      </w:r>
      <w:r w:rsidR="00EB0E34">
        <w:rPr>
          <w:lang w:val="en-US"/>
        </w:rPr>
        <w:t xml:space="preserve"> </w:t>
      </w:r>
      <w:r w:rsidRPr="7F762F0D">
        <w:rPr>
          <w:lang w:val="en-US"/>
        </w:rPr>
        <w:t>portfolio.</w:t>
      </w:r>
    </w:p>
    <w:p w14:paraId="1911CB24" w14:textId="77777777" w:rsidR="00B449D0" w:rsidRDefault="00175344">
      <w:pPr>
        <w:pStyle w:val="Normal2"/>
      </w:pPr>
      <w:r>
        <w:t xml:space="preserve">This measure builds on the 2022–23 October Budget measure titled </w:t>
      </w:r>
      <w:r w:rsidRPr="00175344">
        <w:rPr>
          <w:i/>
        </w:rPr>
        <w:t>Powering Australia – Rewiring the Nation</w:t>
      </w:r>
      <w:r>
        <w:t>.</w:t>
      </w:r>
    </w:p>
    <w:p w14:paraId="314BBE5F" w14:textId="77777777" w:rsidR="00CD7ECC" w:rsidRDefault="00CD7ECC">
      <w:pPr>
        <w:pStyle w:val="MeasureTitle"/>
      </w:pPr>
      <w:r>
        <w:br w:type="page"/>
      </w:r>
    </w:p>
    <w:p w14:paraId="5AAAF659" w14:textId="79D3114D" w:rsidR="00B449D0" w:rsidRDefault="00175344">
      <w:pPr>
        <w:pStyle w:val="MeasureTitle"/>
      </w:pPr>
      <w:r>
        <w:lastRenderedPageBreak/>
        <w:t>Securing the Future of Antarctic Operations</w:t>
      </w:r>
    </w:p>
    <w:p w14:paraId="6BB99F1A"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58DF13A3" w14:textId="77777777">
        <w:trPr>
          <w:cantSplit/>
        </w:trPr>
        <w:tc>
          <w:tcPr>
            <w:tcW w:w="2494" w:type="dxa"/>
            <w:tcBorders>
              <w:top w:val="single" w:sz="4" w:space="0" w:color="000000"/>
              <w:bottom w:val="single" w:sz="4" w:space="0" w:color="000000"/>
            </w:tcBorders>
          </w:tcPr>
          <w:p w14:paraId="4B19A26E" w14:textId="77777777" w:rsidR="00B449D0" w:rsidRDefault="00B449D0">
            <w:pPr>
              <w:pStyle w:val="MeasureTableYearHeadings"/>
              <w:keepNext/>
            </w:pPr>
          </w:p>
        </w:tc>
        <w:tc>
          <w:tcPr>
            <w:tcW w:w="1043" w:type="dxa"/>
            <w:tcBorders>
              <w:top w:val="single" w:sz="4" w:space="0" w:color="000000"/>
              <w:bottom w:val="single" w:sz="4" w:space="0" w:color="000000"/>
            </w:tcBorders>
          </w:tcPr>
          <w:p w14:paraId="317924B6" w14:textId="4E1C34DA"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0F82304A" w14:textId="30A75B61"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10833604" w14:textId="2AC32104"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14BBF499" w14:textId="2FD55C76"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09A34D74" w14:textId="3492F8EB" w:rsidR="00B449D0" w:rsidRDefault="00175344">
            <w:pPr>
              <w:pStyle w:val="MeasureTableYearHeadings"/>
              <w:keepNext/>
            </w:pPr>
            <w:r>
              <w:t>2027</w:t>
            </w:r>
            <w:r w:rsidR="00076D78">
              <w:noBreakHyphen/>
            </w:r>
            <w:r>
              <w:t>28</w:t>
            </w:r>
          </w:p>
        </w:tc>
      </w:tr>
      <w:tr w:rsidR="00B449D0" w14:paraId="761B7B60" w14:textId="77777777">
        <w:trPr>
          <w:cantSplit/>
        </w:trPr>
        <w:tc>
          <w:tcPr>
            <w:tcW w:w="2494" w:type="dxa"/>
            <w:tcBorders>
              <w:top w:val="single" w:sz="4" w:space="0" w:color="000000"/>
              <w:bottom w:val="single" w:sz="4" w:space="0" w:color="000000"/>
            </w:tcBorders>
          </w:tcPr>
          <w:p w14:paraId="01012C69" w14:textId="77777777" w:rsidR="00B449D0" w:rsidRDefault="00175344">
            <w:pPr>
              <w:pStyle w:val="MeasureTableHeadingleftalignedwith2ptsspacing"/>
              <w:keepNext/>
            </w:pPr>
            <w:r>
              <w:t>Department of Climate Change, Energy, the Environment and Water</w:t>
            </w:r>
          </w:p>
        </w:tc>
        <w:tc>
          <w:tcPr>
            <w:tcW w:w="1043" w:type="dxa"/>
            <w:tcBorders>
              <w:top w:val="single" w:sz="4" w:space="0" w:color="000000"/>
              <w:bottom w:val="single" w:sz="4" w:space="0" w:color="000000"/>
            </w:tcBorders>
          </w:tcPr>
          <w:p w14:paraId="2511639B" w14:textId="6DE9F5A8"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726F246" w14:textId="77777777" w:rsidR="00B449D0" w:rsidRDefault="00175344">
            <w:pPr>
              <w:pStyle w:val="MeasureTableDataRightAlignedwith2ptsspacing"/>
              <w:keepNext/>
            </w:pPr>
            <w:r>
              <w:t>0.1</w:t>
            </w:r>
          </w:p>
        </w:tc>
        <w:tc>
          <w:tcPr>
            <w:tcW w:w="1043" w:type="dxa"/>
            <w:tcBorders>
              <w:top w:val="single" w:sz="4" w:space="0" w:color="000000"/>
              <w:bottom w:val="single" w:sz="4" w:space="0" w:color="000000"/>
            </w:tcBorders>
          </w:tcPr>
          <w:p w14:paraId="1C2938EB" w14:textId="77777777" w:rsidR="00B449D0" w:rsidRDefault="00175344">
            <w:pPr>
              <w:pStyle w:val="MeasureTableDataRightAlignedwith2ptsspacing"/>
              <w:keepNext/>
            </w:pPr>
            <w:r>
              <w:t>0.1</w:t>
            </w:r>
          </w:p>
        </w:tc>
        <w:tc>
          <w:tcPr>
            <w:tcW w:w="1043" w:type="dxa"/>
            <w:tcBorders>
              <w:top w:val="single" w:sz="4" w:space="0" w:color="000000"/>
              <w:bottom w:val="single" w:sz="4" w:space="0" w:color="000000"/>
            </w:tcBorders>
          </w:tcPr>
          <w:p w14:paraId="74794428" w14:textId="74D85E18"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6B389E3D" w14:textId="0348DE7C" w:rsidR="00B449D0" w:rsidRDefault="00076D78">
            <w:pPr>
              <w:pStyle w:val="MeasureTableDataRightAlignedwith2ptsspacing"/>
              <w:keepNext/>
            </w:pPr>
            <w:r>
              <w:noBreakHyphen/>
            </w:r>
          </w:p>
        </w:tc>
      </w:tr>
      <w:tr w:rsidR="00B449D0" w14:paraId="3CA1247A" w14:textId="77777777">
        <w:trPr>
          <w:cantSplit/>
        </w:trPr>
        <w:tc>
          <w:tcPr>
            <w:tcW w:w="2494" w:type="dxa"/>
            <w:tcBorders>
              <w:top w:val="single" w:sz="4" w:space="0" w:color="000000"/>
              <w:bottom w:val="single" w:sz="4" w:space="0" w:color="000000"/>
            </w:tcBorders>
          </w:tcPr>
          <w:p w14:paraId="1758FD66" w14:textId="77777777" w:rsidR="00B449D0" w:rsidRDefault="00175344">
            <w:pPr>
              <w:pStyle w:val="MeasureTableHeadingleftalignedwith2ptsspacing"/>
              <w:keepNext/>
            </w:pPr>
            <w:r>
              <w:t>Department of the Treasury</w:t>
            </w:r>
          </w:p>
        </w:tc>
        <w:tc>
          <w:tcPr>
            <w:tcW w:w="1043" w:type="dxa"/>
            <w:tcBorders>
              <w:top w:val="single" w:sz="4" w:space="0" w:color="000000"/>
              <w:bottom w:val="single" w:sz="4" w:space="0" w:color="000000"/>
            </w:tcBorders>
          </w:tcPr>
          <w:p w14:paraId="4BFDFEB5" w14:textId="1AEE8C01"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6A21389F" w14:textId="111423FC"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78627EC" w14:textId="77777777" w:rsidR="00B449D0" w:rsidRDefault="00175344">
            <w:pPr>
              <w:pStyle w:val="MeasureTableDataRightAlignedwith2ptsspacing"/>
              <w:keepNext/>
            </w:pPr>
            <w:r>
              <w:t>47.0</w:t>
            </w:r>
          </w:p>
        </w:tc>
        <w:tc>
          <w:tcPr>
            <w:tcW w:w="1043" w:type="dxa"/>
            <w:tcBorders>
              <w:top w:val="single" w:sz="4" w:space="0" w:color="000000"/>
              <w:bottom w:val="single" w:sz="4" w:space="0" w:color="000000"/>
            </w:tcBorders>
          </w:tcPr>
          <w:p w14:paraId="10B63B64" w14:textId="77777777" w:rsidR="00B449D0" w:rsidRDefault="00175344">
            <w:pPr>
              <w:pStyle w:val="MeasureTableDataRightAlignedwith2ptsspacing"/>
              <w:keepNext/>
            </w:pPr>
            <w:r>
              <w:t>47.0</w:t>
            </w:r>
          </w:p>
        </w:tc>
        <w:tc>
          <w:tcPr>
            <w:tcW w:w="1043" w:type="dxa"/>
            <w:tcBorders>
              <w:top w:val="single" w:sz="4" w:space="0" w:color="000000"/>
              <w:bottom w:val="single" w:sz="4" w:space="0" w:color="000000"/>
            </w:tcBorders>
          </w:tcPr>
          <w:p w14:paraId="3A1116B6" w14:textId="77777777" w:rsidR="00B449D0" w:rsidRDefault="00175344">
            <w:pPr>
              <w:pStyle w:val="MeasureTableDataRightAlignedwith2ptsspacing"/>
              <w:keepNext/>
            </w:pPr>
            <w:r>
              <w:t>47.0</w:t>
            </w:r>
          </w:p>
        </w:tc>
      </w:tr>
      <w:tr w:rsidR="00B449D0" w14:paraId="7A096CD1" w14:textId="77777777">
        <w:trPr>
          <w:cantSplit/>
        </w:trPr>
        <w:tc>
          <w:tcPr>
            <w:tcW w:w="2494" w:type="dxa"/>
            <w:tcBorders>
              <w:top w:val="single" w:sz="4" w:space="0" w:color="000000"/>
              <w:bottom w:val="single" w:sz="4" w:space="0" w:color="000000"/>
            </w:tcBorders>
          </w:tcPr>
          <w:p w14:paraId="0D01266E"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002BEFBB" w14:textId="5C54BDA1"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30987B07" w14:textId="77777777" w:rsidR="00B449D0" w:rsidRDefault="00175344">
            <w:pPr>
              <w:pStyle w:val="Totaldatarowrightaligned"/>
              <w:keepNext/>
            </w:pPr>
            <w:r>
              <w:t>0.1</w:t>
            </w:r>
          </w:p>
        </w:tc>
        <w:tc>
          <w:tcPr>
            <w:tcW w:w="1043" w:type="dxa"/>
            <w:tcBorders>
              <w:top w:val="single" w:sz="4" w:space="0" w:color="000000"/>
              <w:bottom w:val="single" w:sz="4" w:space="0" w:color="000000"/>
            </w:tcBorders>
          </w:tcPr>
          <w:p w14:paraId="64B487D2" w14:textId="77777777" w:rsidR="00B449D0" w:rsidRDefault="00175344">
            <w:pPr>
              <w:pStyle w:val="Totaldatarowrightaligned"/>
              <w:keepNext/>
            </w:pPr>
            <w:r>
              <w:t>47.1</w:t>
            </w:r>
          </w:p>
        </w:tc>
        <w:tc>
          <w:tcPr>
            <w:tcW w:w="1043" w:type="dxa"/>
            <w:tcBorders>
              <w:top w:val="single" w:sz="4" w:space="0" w:color="000000"/>
              <w:bottom w:val="single" w:sz="4" w:space="0" w:color="000000"/>
            </w:tcBorders>
          </w:tcPr>
          <w:p w14:paraId="7CCB6810" w14:textId="77777777" w:rsidR="00B449D0" w:rsidRDefault="00175344">
            <w:pPr>
              <w:pStyle w:val="Totaldatarowrightaligned"/>
              <w:keepNext/>
            </w:pPr>
            <w:r>
              <w:t>47.0</w:t>
            </w:r>
          </w:p>
        </w:tc>
        <w:tc>
          <w:tcPr>
            <w:tcW w:w="1043" w:type="dxa"/>
            <w:tcBorders>
              <w:top w:val="single" w:sz="4" w:space="0" w:color="000000"/>
              <w:bottom w:val="single" w:sz="4" w:space="0" w:color="000000"/>
            </w:tcBorders>
          </w:tcPr>
          <w:p w14:paraId="226439C8" w14:textId="77777777" w:rsidR="00B449D0" w:rsidRDefault="00175344">
            <w:pPr>
              <w:pStyle w:val="Totaldatarowrightaligned"/>
              <w:keepNext/>
            </w:pPr>
            <w:r>
              <w:t>47.0</w:t>
            </w:r>
          </w:p>
        </w:tc>
      </w:tr>
    </w:tbl>
    <w:p w14:paraId="56A092D9" w14:textId="77777777" w:rsidR="00B449D0" w:rsidRDefault="00B449D0" w:rsidP="00380A42">
      <w:pPr>
        <w:pStyle w:val="SingleParagraph0"/>
      </w:pPr>
    </w:p>
    <w:p w14:paraId="692E71A9" w14:textId="77777777" w:rsidR="00B449D0" w:rsidRDefault="00175344">
      <w:pPr>
        <w:pStyle w:val="Normal2"/>
      </w:pPr>
      <w:r>
        <w:t xml:space="preserve">The Government will provide $188.2 million over five years from 2024–25 for an agreement with the Tasmanian Government to construct a new Macquarie Wharf 6 in the Port of Hobart to support </w:t>
      </w:r>
      <w:r w:rsidRPr="00175344">
        <w:rPr>
          <w:i/>
        </w:rPr>
        <w:t>Australian Antarctic Program</w:t>
      </w:r>
      <w:r>
        <w:t xml:space="preserve"> operations.</w:t>
      </w:r>
    </w:p>
    <w:p w14:paraId="35CB50A3" w14:textId="77777777" w:rsidR="00B449D0" w:rsidRDefault="00175344">
      <w:pPr>
        <w:pStyle w:val="Normal2"/>
      </w:pPr>
      <w:r w:rsidRPr="7F762F0D">
        <w:rPr>
          <w:lang w:val="en-US"/>
        </w:rPr>
        <w:t>The cost of this measure will be partially met from savings identified in the Climate Change, Energy, the Environment and Water portfolio.</w:t>
      </w:r>
    </w:p>
    <w:p w14:paraId="53E15ACD" w14:textId="77777777" w:rsidR="00B449D0" w:rsidRDefault="00175344">
      <w:pPr>
        <w:pStyle w:val="Normal2"/>
      </w:pPr>
      <w:r>
        <w:t xml:space="preserve">This measure builds on the 2023–24 MYEFO measure titled </w:t>
      </w:r>
      <w:r w:rsidRPr="00175344">
        <w:rPr>
          <w:i/>
        </w:rPr>
        <w:t>Australian Antarctic Program –continuing delivery</w:t>
      </w:r>
      <w:r>
        <w:t>.</w:t>
      </w:r>
    </w:p>
    <w:p w14:paraId="07653F4C" w14:textId="77777777" w:rsidR="00B449D0" w:rsidRDefault="00175344">
      <w:pPr>
        <w:pStyle w:val="MeasureTitle"/>
      </w:pPr>
      <w:r w:rsidRPr="7F762F0D">
        <w:rPr>
          <w:lang w:val="en-US"/>
        </w:rPr>
        <w:t>South‑east Marine Parks – adjustment assistance</w:t>
      </w:r>
    </w:p>
    <w:p w14:paraId="5239EB66"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15DE1649" w14:textId="77777777">
        <w:trPr>
          <w:cantSplit/>
        </w:trPr>
        <w:tc>
          <w:tcPr>
            <w:tcW w:w="2494" w:type="dxa"/>
            <w:tcBorders>
              <w:top w:val="single" w:sz="4" w:space="0" w:color="000000"/>
              <w:bottom w:val="single" w:sz="4" w:space="0" w:color="000000"/>
            </w:tcBorders>
          </w:tcPr>
          <w:p w14:paraId="13088904" w14:textId="77777777" w:rsidR="00B449D0" w:rsidRDefault="00B449D0">
            <w:pPr>
              <w:pStyle w:val="MeasureTableYearHeadings"/>
              <w:keepNext/>
            </w:pPr>
          </w:p>
        </w:tc>
        <w:tc>
          <w:tcPr>
            <w:tcW w:w="1043" w:type="dxa"/>
            <w:tcBorders>
              <w:top w:val="single" w:sz="4" w:space="0" w:color="000000"/>
              <w:bottom w:val="single" w:sz="4" w:space="0" w:color="000000"/>
            </w:tcBorders>
          </w:tcPr>
          <w:p w14:paraId="497D1394" w14:textId="063F98FC"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5E64E649" w14:textId="3C3C15F9"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5FE37055" w14:textId="41886548"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335969B6" w14:textId="73EBEB9A"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08393620" w14:textId="57C94B96" w:rsidR="00B449D0" w:rsidRDefault="00175344">
            <w:pPr>
              <w:pStyle w:val="MeasureTableYearHeadings"/>
              <w:keepNext/>
            </w:pPr>
            <w:r>
              <w:t>2027</w:t>
            </w:r>
            <w:r w:rsidR="00076D78">
              <w:noBreakHyphen/>
            </w:r>
            <w:r>
              <w:t>28</w:t>
            </w:r>
          </w:p>
        </w:tc>
      </w:tr>
      <w:tr w:rsidR="00B449D0" w14:paraId="77021AF7" w14:textId="77777777">
        <w:trPr>
          <w:cantSplit/>
        </w:trPr>
        <w:tc>
          <w:tcPr>
            <w:tcW w:w="2494" w:type="dxa"/>
            <w:tcBorders>
              <w:top w:val="single" w:sz="4" w:space="0" w:color="000000"/>
              <w:bottom w:val="single" w:sz="4" w:space="0" w:color="000000"/>
            </w:tcBorders>
          </w:tcPr>
          <w:p w14:paraId="0409ABE4" w14:textId="77777777" w:rsidR="00B449D0" w:rsidRDefault="00175344">
            <w:pPr>
              <w:pStyle w:val="MeasureTableHeadingleftalignedwith2ptsspacing"/>
              <w:keepNext/>
            </w:pPr>
            <w:r>
              <w:t>Director of National Parks</w:t>
            </w:r>
          </w:p>
        </w:tc>
        <w:tc>
          <w:tcPr>
            <w:tcW w:w="1043" w:type="dxa"/>
            <w:tcBorders>
              <w:top w:val="single" w:sz="4" w:space="0" w:color="000000"/>
              <w:bottom w:val="single" w:sz="4" w:space="0" w:color="000000"/>
            </w:tcBorders>
          </w:tcPr>
          <w:p w14:paraId="0213F43E" w14:textId="33FD139D"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28D9AA8" w14:textId="77777777" w:rsidR="00B449D0" w:rsidRDefault="00175344">
            <w:pPr>
              <w:pStyle w:val="MeasureTableDataRightAlignedwith2ptsspacing"/>
              <w:keepNext/>
            </w:pPr>
            <w:r>
              <w:t>nfp</w:t>
            </w:r>
          </w:p>
        </w:tc>
        <w:tc>
          <w:tcPr>
            <w:tcW w:w="1043" w:type="dxa"/>
            <w:tcBorders>
              <w:top w:val="single" w:sz="4" w:space="0" w:color="000000"/>
              <w:bottom w:val="single" w:sz="4" w:space="0" w:color="000000"/>
            </w:tcBorders>
          </w:tcPr>
          <w:p w14:paraId="1D72F85A" w14:textId="77777777" w:rsidR="00B449D0" w:rsidRDefault="00175344">
            <w:pPr>
              <w:pStyle w:val="MeasureTableDataRightAlignedwith2ptsspacing"/>
              <w:keepNext/>
            </w:pPr>
            <w:r>
              <w:t>nfp</w:t>
            </w:r>
          </w:p>
        </w:tc>
        <w:tc>
          <w:tcPr>
            <w:tcW w:w="1043" w:type="dxa"/>
            <w:tcBorders>
              <w:top w:val="single" w:sz="4" w:space="0" w:color="000000"/>
              <w:bottom w:val="single" w:sz="4" w:space="0" w:color="000000"/>
            </w:tcBorders>
          </w:tcPr>
          <w:p w14:paraId="5EAE4C97" w14:textId="2FCB374E"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FBD2A06" w14:textId="2A5BB24B" w:rsidR="00B449D0" w:rsidRDefault="00076D78">
            <w:pPr>
              <w:pStyle w:val="MeasureTableDataRightAlignedwith2ptsspacing"/>
              <w:keepNext/>
            </w:pPr>
            <w:r>
              <w:noBreakHyphen/>
            </w:r>
          </w:p>
        </w:tc>
      </w:tr>
    </w:tbl>
    <w:p w14:paraId="26D1806D" w14:textId="77777777" w:rsidR="00B449D0" w:rsidRDefault="00B449D0" w:rsidP="00380A42">
      <w:pPr>
        <w:pStyle w:val="SingleParagraph0"/>
      </w:pPr>
    </w:p>
    <w:p w14:paraId="4E389177" w14:textId="77777777" w:rsidR="00B449D0" w:rsidRDefault="00175344">
      <w:pPr>
        <w:pStyle w:val="Normal2"/>
      </w:pPr>
      <w:r w:rsidRPr="7F762F0D">
        <w:rPr>
          <w:lang w:val="en-US"/>
        </w:rPr>
        <w:t>The Government will establish a new grants program to support commercial fishers impacted by planned changes to the South‑east Marine Parks management arrangements.</w:t>
      </w:r>
    </w:p>
    <w:p w14:paraId="6B316116" w14:textId="77777777" w:rsidR="00B449D0" w:rsidRDefault="00175344">
      <w:pPr>
        <w:pStyle w:val="Normal2"/>
      </w:pPr>
      <w:r w:rsidRPr="7F762F0D">
        <w:rPr>
          <w:lang w:val="en-US"/>
        </w:rPr>
        <w:t xml:space="preserve">The cost of this measure will be met from reprioritising funding from the 2021–22 Budget measure titled </w:t>
      </w:r>
      <w:r w:rsidRPr="7F762F0D">
        <w:rPr>
          <w:i/>
          <w:iCs/>
          <w:lang w:val="en-US"/>
        </w:rPr>
        <w:t>Oceans Leadership Package</w:t>
      </w:r>
      <w:r w:rsidRPr="7F762F0D">
        <w:rPr>
          <w:lang w:val="en-US"/>
        </w:rPr>
        <w:t xml:space="preserve"> and from savings identified within the Director of National Parks.</w:t>
      </w:r>
    </w:p>
    <w:p w14:paraId="6066878B" w14:textId="77777777" w:rsidR="00B449D0" w:rsidRDefault="00175344">
      <w:pPr>
        <w:pStyle w:val="Normal2"/>
      </w:pPr>
      <w:r w:rsidRPr="7F762F0D">
        <w:rPr>
          <w:lang w:val="en-US"/>
        </w:rPr>
        <w:t xml:space="preserve">The financial implications of this measure are not for publication (nfp) due to an ongoing consultation process required under the </w:t>
      </w:r>
      <w:r w:rsidRPr="7F762F0D">
        <w:rPr>
          <w:i/>
          <w:iCs/>
          <w:lang w:val="en-US"/>
        </w:rPr>
        <w:t>Environment Protection and Biodiversity Conservation Act 1999</w:t>
      </w:r>
      <w:r w:rsidRPr="7F762F0D">
        <w:rPr>
          <w:lang w:val="en-US"/>
        </w:rPr>
        <w:t>.</w:t>
      </w:r>
    </w:p>
    <w:p w14:paraId="0B711B78" w14:textId="77777777" w:rsidR="008850C0" w:rsidRDefault="008850C0">
      <w:pPr>
        <w:autoSpaceDE/>
        <w:autoSpaceDN/>
        <w:adjustRightInd/>
        <w:rPr>
          <w:rFonts w:cs="Times New Roman"/>
          <w:b/>
          <w:color w:val="000000"/>
          <w:lang w:val="en-AU"/>
        </w:rPr>
      </w:pPr>
      <w:r>
        <w:br w:type="page"/>
      </w:r>
    </w:p>
    <w:p w14:paraId="586AD7C1" w14:textId="610156F0" w:rsidR="00B449D0" w:rsidRDefault="00175344">
      <w:pPr>
        <w:pStyle w:val="MeasureTitle"/>
      </w:pPr>
      <w:r>
        <w:lastRenderedPageBreak/>
        <w:t>Strengthening Australia</w:t>
      </w:r>
      <w:r w:rsidR="00076D78">
        <w:t>’</w:t>
      </w:r>
      <w:r>
        <w:t>s Climate Information and Reporting</w:t>
      </w:r>
    </w:p>
    <w:p w14:paraId="15E3F569"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1510A5A2" w14:textId="77777777">
        <w:trPr>
          <w:cantSplit/>
        </w:trPr>
        <w:tc>
          <w:tcPr>
            <w:tcW w:w="2494" w:type="dxa"/>
            <w:tcBorders>
              <w:top w:val="single" w:sz="4" w:space="0" w:color="000000"/>
              <w:bottom w:val="single" w:sz="4" w:space="0" w:color="000000"/>
            </w:tcBorders>
          </w:tcPr>
          <w:p w14:paraId="654A7F01" w14:textId="77777777" w:rsidR="00B449D0" w:rsidRDefault="00B449D0">
            <w:pPr>
              <w:pStyle w:val="MeasureTableYearHeadings"/>
              <w:keepNext/>
            </w:pPr>
          </w:p>
        </w:tc>
        <w:tc>
          <w:tcPr>
            <w:tcW w:w="1043" w:type="dxa"/>
            <w:tcBorders>
              <w:top w:val="single" w:sz="4" w:space="0" w:color="000000"/>
              <w:bottom w:val="single" w:sz="4" w:space="0" w:color="000000"/>
            </w:tcBorders>
          </w:tcPr>
          <w:p w14:paraId="75F73C9A" w14:textId="4827A03A"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28DCC7B9" w14:textId="6A79B84F"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38E6CDB6" w14:textId="5EF8A165"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096EA03A" w14:textId="5B42C284"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74059421" w14:textId="7EAF6AFA" w:rsidR="00B449D0" w:rsidRDefault="00175344">
            <w:pPr>
              <w:pStyle w:val="MeasureTableYearHeadings"/>
              <w:keepNext/>
            </w:pPr>
            <w:r>
              <w:t>2027</w:t>
            </w:r>
            <w:r w:rsidR="00076D78">
              <w:noBreakHyphen/>
            </w:r>
            <w:r>
              <w:t>28</w:t>
            </w:r>
          </w:p>
        </w:tc>
      </w:tr>
      <w:tr w:rsidR="00B449D0" w14:paraId="57A976E1" w14:textId="77777777">
        <w:trPr>
          <w:cantSplit/>
        </w:trPr>
        <w:tc>
          <w:tcPr>
            <w:tcW w:w="2494" w:type="dxa"/>
            <w:tcBorders>
              <w:top w:val="single" w:sz="4" w:space="0" w:color="000000"/>
              <w:bottom w:val="single" w:sz="4" w:space="0" w:color="000000"/>
            </w:tcBorders>
          </w:tcPr>
          <w:p w14:paraId="3AAF0434" w14:textId="77777777" w:rsidR="00B449D0" w:rsidRDefault="00175344">
            <w:pPr>
              <w:pStyle w:val="MeasureTableHeadingleftalignedwith2ptsspacing"/>
              <w:keepNext/>
            </w:pPr>
            <w:r>
              <w:t>Department of Climate Change, Energy, the Environment and Water</w:t>
            </w:r>
          </w:p>
        </w:tc>
        <w:tc>
          <w:tcPr>
            <w:tcW w:w="1043" w:type="dxa"/>
            <w:tcBorders>
              <w:top w:val="single" w:sz="4" w:space="0" w:color="000000"/>
              <w:bottom w:val="single" w:sz="4" w:space="0" w:color="000000"/>
            </w:tcBorders>
          </w:tcPr>
          <w:p w14:paraId="67411C40" w14:textId="05DE9166"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7E5A987" w14:textId="77777777" w:rsidR="00B449D0" w:rsidRDefault="00175344">
            <w:pPr>
              <w:pStyle w:val="MeasureTableDataRightAlignedwith2ptsspacing"/>
              <w:keepNext/>
            </w:pPr>
            <w:r>
              <w:t>4.0</w:t>
            </w:r>
          </w:p>
        </w:tc>
        <w:tc>
          <w:tcPr>
            <w:tcW w:w="1043" w:type="dxa"/>
            <w:tcBorders>
              <w:top w:val="single" w:sz="4" w:space="0" w:color="000000"/>
              <w:bottom w:val="single" w:sz="4" w:space="0" w:color="000000"/>
            </w:tcBorders>
          </w:tcPr>
          <w:p w14:paraId="50A5778F" w14:textId="77777777" w:rsidR="00B449D0" w:rsidRDefault="00175344">
            <w:pPr>
              <w:pStyle w:val="MeasureTableDataRightAlignedwith2ptsspacing"/>
              <w:keepNext/>
            </w:pPr>
            <w:r>
              <w:t>5.5</w:t>
            </w:r>
          </w:p>
        </w:tc>
        <w:tc>
          <w:tcPr>
            <w:tcW w:w="1043" w:type="dxa"/>
            <w:tcBorders>
              <w:top w:val="single" w:sz="4" w:space="0" w:color="000000"/>
              <w:bottom w:val="single" w:sz="4" w:space="0" w:color="000000"/>
            </w:tcBorders>
          </w:tcPr>
          <w:p w14:paraId="76E888C8" w14:textId="77777777" w:rsidR="00B449D0" w:rsidRDefault="00175344">
            <w:pPr>
              <w:pStyle w:val="MeasureTableDataRightAlignedwith2ptsspacing"/>
              <w:keepNext/>
            </w:pPr>
            <w:r>
              <w:t>0.8</w:t>
            </w:r>
          </w:p>
        </w:tc>
        <w:tc>
          <w:tcPr>
            <w:tcW w:w="1043" w:type="dxa"/>
            <w:tcBorders>
              <w:top w:val="single" w:sz="4" w:space="0" w:color="000000"/>
              <w:bottom w:val="single" w:sz="4" w:space="0" w:color="000000"/>
            </w:tcBorders>
          </w:tcPr>
          <w:p w14:paraId="51D446B5" w14:textId="3A29D96E" w:rsidR="00B449D0" w:rsidRDefault="00076D78">
            <w:pPr>
              <w:pStyle w:val="MeasureTableDataRightAlignedwith2ptsspacing"/>
              <w:keepNext/>
            </w:pPr>
            <w:r>
              <w:noBreakHyphen/>
            </w:r>
          </w:p>
        </w:tc>
      </w:tr>
      <w:tr w:rsidR="00B449D0" w14:paraId="464B6130" w14:textId="77777777">
        <w:trPr>
          <w:cantSplit/>
        </w:trPr>
        <w:tc>
          <w:tcPr>
            <w:tcW w:w="2494" w:type="dxa"/>
            <w:tcBorders>
              <w:top w:val="single" w:sz="4" w:space="0" w:color="000000"/>
              <w:bottom w:val="single" w:sz="4" w:space="0" w:color="000000"/>
            </w:tcBorders>
          </w:tcPr>
          <w:p w14:paraId="1B426983" w14:textId="77777777" w:rsidR="00B449D0" w:rsidRDefault="00175344">
            <w:pPr>
              <w:pStyle w:val="MeasureTableHeadingleftalignedwith2ptsspacing"/>
              <w:keepNext/>
            </w:pPr>
            <w:r>
              <w:t>Bureau of Meteorology</w:t>
            </w:r>
          </w:p>
        </w:tc>
        <w:tc>
          <w:tcPr>
            <w:tcW w:w="1043" w:type="dxa"/>
            <w:tcBorders>
              <w:top w:val="single" w:sz="4" w:space="0" w:color="000000"/>
              <w:bottom w:val="single" w:sz="4" w:space="0" w:color="000000"/>
            </w:tcBorders>
          </w:tcPr>
          <w:p w14:paraId="5DD67CE9" w14:textId="43CD0B50"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882EAF0" w14:textId="7463989B"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17BA912" w14:textId="274A749E"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011CDA4" w14:textId="3DA6D58D"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660AC599" w14:textId="00DED85E" w:rsidR="00B449D0" w:rsidRDefault="00076D78">
            <w:pPr>
              <w:pStyle w:val="MeasureTableDataRightAlignedwith2ptsspacing"/>
              <w:keepNext/>
            </w:pPr>
            <w:r>
              <w:noBreakHyphen/>
            </w:r>
          </w:p>
        </w:tc>
      </w:tr>
      <w:tr w:rsidR="00B449D0" w14:paraId="2E91CA45" w14:textId="77777777">
        <w:trPr>
          <w:cantSplit/>
        </w:trPr>
        <w:tc>
          <w:tcPr>
            <w:tcW w:w="2494" w:type="dxa"/>
            <w:tcBorders>
              <w:top w:val="single" w:sz="4" w:space="0" w:color="000000"/>
              <w:bottom w:val="single" w:sz="4" w:space="0" w:color="000000"/>
            </w:tcBorders>
          </w:tcPr>
          <w:p w14:paraId="54DC49C6"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22071AE1" w14:textId="48B5795A"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059EFD70" w14:textId="77777777" w:rsidR="00B449D0" w:rsidRDefault="00175344">
            <w:pPr>
              <w:pStyle w:val="Totaldatarowrightaligned"/>
              <w:keepNext/>
            </w:pPr>
            <w:r>
              <w:t>4.0</w:t>
            </w:r>
          </w:p>
        </w:tc>
        <w:tc>
          <w:tcPr>
            <w:tcW w:w="1043" w:type="dxa"/>
            <w:tcBorders>
              <w:top w:val="single" w:sz="4" w:space="0" w:color="000000"/>
              <w:bottom w:val="single" w:sz="4" w:space="0" w:color="000000"/>
            </w:tcBorders>
          </w:tcPr>
          <w:p w14:paraId="3F6D610B" w14:textId="77777777" w:rsidR="00B449D0" w:rsidRDefault="00175344">
            <w:pPr>
              <w:pStyle w:val="Totaldatarowrightaligned"/>
              <w:keepNext/>
            </w:pPr>
            <w:r>
              <w:t>5.5</w:t>
            </w:r>
          </w:p>
        </w:tc>
        <w:tc>
          <w:tcPr>
            <w:tcW w:w="1043" w:type="dxa"/>
            <w:tcBorders>
              <w:top w:val="single" w:sz="4" w:space="0" w:color="000000"/>
              <w:bottom w:val="single" w:sz="4" w:space="0" w:color="000000"/>
            </w:tcBorders>
          </w:tcPr>
          <w:p w14:paraId="6230B50A" w14:textId="77777777" w:rsidR="00B449D0" w:rsidRDefault="00175344">
            <w:pPr>
              <w:pStyle w:val="Totaldatarowrightaligned"/>
              <w:keepNext/>
            </w:pPr>
            <w:r>
              <w:t>0.8</w:t>
            </w:r>
          </w:p>
        </w:tc>
        <w:tc>
          <w:tcPr>
            <w:tcW w:w="1043" w:type="dxa"/>
            <w:tcBorders>
              <w:top w:val="single" w:sz="4" w:space="0" w:color="000000"/>
              <w:bottom w:val="single" w:sz="4" w:space="0" w:color="000000"/>
            </w:tcBorders>
          </w:tcPr>
          <w:p w14:paraId="019E3CDE" w14:textId="347F91CD" w:rsidR="00B449D0" w:rsidRDefault="00076D78">
            <w:pPr>
              <w:pStyle w:val="Totaldatarowrightaligned"/>
              <w:keepNext/>
            </w:pPr>
            <w:r>
              <w:noBreakHyphen/>
            </w:r>
          </w:p>
        </w:tc>
      </w:tr>
    </w:tbl>
    <w:p w14:paraId="2A0986B2" w14:textId="77777777" w:rsidR="00B449D0" w:rsidRDefault="00B449D0" w:rsidP="00380A42">
      <w:pPr>
        <w:pStyle w:val="SingleParagraph0"/>
      </w:pPr>
    </w:p>
    <w:p w14:paraId="4A812089" w14:textId="004BC956" w:rsidR="00B449D0" w:rsidRDefault="00175344">
      <w:pPr>
        <w:pStyle w:val="Normal2"/>
      </w:pPr>
      <w:r>
        <w:t>The Government will provide $10.5 million over three years from 2024–25 to strengthen Australia</w:t>
      </w:r>
      <w:r w:rsidR="00076D78">
        <w:t>’</w:t>
      </w:r>
      <w:r>
        <w:t>s climate information and emissions reporting mechanisms in response to reviews of the Australian Climate Service and the National Greenhouse and Energy Reporting (NGER) scheme. Funding includes:</w:t>
      </w:r>
    </w:p>
    <w:p w14:paraId="56C9FD00" w14:textId="6489BFEE" w:rsidR="00B449D0" w:rsidRDefault="00175344">
      <w:pPr>
        <w:pStyle w:val="Bullet"/>
      </w:pPr>
      <w:r>
        <w:t>$10.2 million over three years from 2024–25 to implement key improvements to fugitive methane emissions reporting under the NGER scheme in response to the Climate</w:t>
      </w:r>
      <w:r w:rsidR="00C201F5">
        <w:t> </w:t>
      </w:r>
      <w:r>
        <w:t>Change Authority</w:t>
      </w:r>
      <w:r w:rsidR="00076D78">
        <w:t>’</w:t>
      </w:r>
      <w:r>
        <w:t>s 2023 review of the NGER legislation, including through the work of an expert panel</w:t>
      </w:r>
    </w:p>
    <w:p w14:paraId="1DFBC743" w14:textId="77777777" w:rsidR="00B449D0" w:rsidRDefault="00175344">
      <w:pPr>
        <w:pStyle w:val="Bullet"/>
      </w:pPr>
      <w:r>
        <w:t>$0.3 million in 2024–25 to develop actions in response to the recommendations of the Independent Review of the Australian Climate Service.</w:t>
      </w:r>
    </w:p>
    <w:p w14:paraId="5F181C25" w14:textId="77777777" w:rsidR="00B449D0" w:rsidRDefault="00175344">
      <w:pPr>
        <w:pStyle w:val="Normal2"/>
      </w:pPr>
      <w:r w:rsidRPr="7F762F0D">
        <w:rPr>
          <w:lang w:val="en-US"/>
        </w:rPr>
        <w:t>The Government has already provided partial funding for this measure. The remainder of the cost will be met from savings identified in the Department of Climate Change, Energy, the Environment and Water.</w:t>
      </w:r>
    </w:p>
    <w:p w14:paraId="3AFCAA3B" w14:textId="77777777" w:rsidR="00B449D0" w:rsidRDefault="00175344">
      <w:pPr>
        <w:pStyle w:val="Normal2"/>
      </w:pPr>
      <w:r>
        <w:t xml:space="preserve">This measure builds on the 2023–24 Budget measure titled </w:t>
      </w:r>
      <w:r w:rsidRPr="00175344">
        <w:rPr>
          <w:i/>
        </w:rPr>
        <w:t>National Climate Adaptation and Risk Program</w:t>
      </w:r>
      <w:r>
        <w:t>.</w:t>
      </w:r>
    </w:p>
    <w:p w14:paraId="0A1B7DC4" w14:textId="77777777" w:rsidR="00B449D0" w:rsidRDefault="00175344">
      <w:pPr>
        <w:pStyle w:val="MeasureTitle"/>
      </w:pPr>
      <w:r>
        <w:t>Supporting Timely Environmental Approvals</w:t>
      </w:r>
    </w:p>
    <w:p w14:paraId="5BB483FF"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52B4FF25" w14:textId="77777777">
        <w:trPr>
          <w:cantSplit/>
        </w:trPr>
        <w:tc>
          <w:tcPr>
            <w:tcW w:w="2494" w:type="dxa"/>
            <w:tcBorders>
              <w:top w:val="single" w:sz="4" w:space="0" w:color="000000"/>
              <w:bottom w:val="single" w:sz="4" w:space="0" w:color="000000"/>
            </w:tcBorders>
          </w:tcPr>
          <w:p w14:paraId="3738A587" w14:textId="77777777" w:rsidR="00B449D0" w:rsidRDefault="00B449D0">
            <w:pPr>
              <w:pStyle w:val="MeasureTableYearHeadings"/>
              <w:keepNext/>
            </w:pPr>
          </w:p>
        </w:tc>
        <w:tc>
          <w:tcPr>
            <w:tcW w:w="1043" w:type="dxa"/>
            <w:tcBorders>
              <w:top w:val="single" w:sz="4" w:space="0" w:color="000000"/>
              <w:bottom w:val="single" w:sz="4" w:space="0" w:color="000000"/>
            </w:tcBorders>
          </w:tcPr>
          <w:p w14:paraId="1333085C" w14:textId="0786A976"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27D45C82" w14:textId="62D60523"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18EDABB7" w14:textId="7B5B0C13"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70E13FB4" w14:textId="52274A1F"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0C55CD63" w14:textId="42E626ED" w:rsidR="00B449D0" w:rsidRDefault="00175344">
            <w:pPr>
              <w:pStyle w:val="MeasureTableYearHeadings"/>
              <w:keepNext/>
            </w:pPr>
            <w:r>
              <w:t>2027</w:t>
            </w:r>
            <w:r w:rsidR="00076D78">
              <w:noBreakHyphen/>
            </w:r>
            <w:r>
              <w:t>28</w:t>
            </w:r>
          </w:p>
        </w:tc>
      </w:tr>
      <w:tr w:rsidR="00B449D0" w14:paraId="695E46CC" w14:textId="77777777">
        <w:trPr>
          <w:cantSplit/>
        </w:trPr>
        <w:tc>
          <w:tcPr>
            <w:tcW w:w="2494" w:type="dxa"/>
            <w:tcBorders>
              <w:top w:val="single" w:sz="4" w:space="0" w:color="000000"/>
              <w:bottom w:val="single" w:sz="4" w:space="0" w:color="000000"/>
            </w:tcBorders>
          </w:tcPr>
          <w:p w14:paraId="04AD006B" w14:textId="77777777" w:rsidR="00B449D0" w:rsidRDefault="00175344">
            <w:pPr>
              <w:pStyle w:val="MeasureTableHeadingleftalignedwith2ptsspacing"/>
              <w:keepNext/>
            </w:pPr>
            <w:r>
              <w:t>Department of Climate Change, Energy, the Environment and Water</w:t>
            </w:r>
          </w:p>
        </w:tc>
        <w:tc>
          <w:tcPr>
            <w:tcW w:w="1043" w:type="dxa"/>
            <w:tcBorders>
              <w:top w:val="single" w:sz="4" w:space="0" w:color="000000"/>
              <w:bottom w:val="single" w:sz="4" w:space="0" w:color="000000"/>
            </w:tcBorders>
          </w:tcPr>
          <w:p w14:paraId="7BF5B167" w14:textId="748065CA"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BA3C6E3" w14:textId="00469A9C"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511BFB7" w14:textId="77777777" w:rsidR="00B449D0" w:rsidRDefault="00175344">
            <w:pPr>
              <w:pStyle w:val="MeasureTableDataRightAlignedwith2ptsspacing"/>
              <w:keepNext/>
            </w:pPr>
            <w:r>
              <w:t>68.5</w:t>
            </w:r>
          </w:p>
        </w:tc>
        <w:tc>
          <w:tcPr>
            <w:tcW w:w="1043" w:type="dxa"/>
            <w:tcBorders>
              <w:top w:val="single" w:sz="4" w:space="0" w:color="000000"/>
              <w:bottom w:val="single" w:sz="4" w:space="0" w:color="000000"/>
            </w:tcBorders>
          </w:tcPr>
          <w:p w14:paraId="44F4B3BC" w14:textId="11465A76"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AA00EA2" w14:textId="1FC2B59B" w:rsidR="00B449D0" w:rsidRDefault="00076D78">
            <w:pPr>
              <w:pStyle w:val="MeasureTableDataRightAlignedwith2ptsspacing"/>
              <w:keepNext/>
            </w:pPr>
            <w:r>
              <w:noBreakHyphen/>
            </w:r>
          </w:p>
        </w:tc>
      </w:tr>
    </w:tbl>
    <w:p w14:paraId="60CEFA51" w14:textId="77777777" w:rsidR="00B449D0" w:rsidRDefault="00B449D0" w:rsidP="00380A42">
      <w:pPr>
        <w:pStyle w:val="SingleParagraph0"/>
      </w:pPr>
    </w:p>
    <w:p w14:paraId="7F65D914" w14:textId="77777777" w:rsidR="00B449D0" w:rsidRDefault="00175344">
      <w:pPr>
        <w:pStyle w:val="Normal2"/>
      </w:pPr>
      <w:r w:rsidRPr="7F762F0D">
        <w:rPr>
          <w:lang w:val="en-US"/>
        </w:rPr>
        <w:t>The Government will provide $68.5 million in 2025–26 for the Department of Climate Change, Energy, the Environment and Water to maintain resourcing for environmental assessment, approval and compliance functions to support the timely delivery of approvals, including in priority areas such as renewable energy, transmission, critical minerals and housing.</w:t>
      </w:r>
    </w:p>
    <w:p w14:paraId="0145C470" w14:textId="77777777" w:rsidR="00B449D0" w:rsidRDefault="00175344">
      <w:pPr>
        <w:pStyle w:val="Normal2"/>
      </w:pPr>
      <w:r>
        <w:t xml:space="preserve">This measure extends the 2022–23 October Budget measure titled </w:t>
      </w:r>
      <w:r w:rsidRPr="00175344">
        <w:rPr>
          <w:i/>
        </w:rPr>
        <w:t>Sustaining Environmental Assessments</w:t>
      </w:r>
      <w:r>
        <w:t xml:space="preserve"> and builds on the 2024–25 Budget measure titled </w:t>
      </w:r>
      <w:r w:rsidRPr="00175344">
        <w:rPr>
          <w:i/>
        </w:rPr>
        <w:t>Future Made in Australia – Strengthening Approvals Processes.</w:t>
      </w:r>
    </w:p>
    <w:p w14:paraId="685483BD" w14:textId="77777777" w:rsidR="00B449D0" w:rsidRDefault="00B449D0">
      <w:pPr>
        <w:sectPr w:rsidR="00B449D0" w:rsidSect="00301E48">
          <w:headerReference w:type="even" r:id="rId54"/>
          <w:headerReference w:type="default" r:id="rId55"/>
          <w:footerReference w:type="even" r:id="rId56"/>
          <w:footerReference w:type="default" r:id="rId57"/>
          <w:headerReference w:type="first" r:id="rId58"/>
          <w:footerReference w:type="first" r:id="rId59"/>
          <w:pgSz w:w="11906" w:h="16838"/>
          <w:pgMar w:top="2835" w:right="2098" w:bottom="2466" w:left="2098" w:header="1814" w:footer="1814" w:gutter="0"/>
          <w:cols w:space="720"/>
          <w:docGrid w:linePitch="272"/>
        </w:sectPr>
      </w:pPr>
    </w:p>
    <w:p w14:paraId="0D4EE346" w14:textId="77777777" w:rsidR="00B449D0" w:rsidRDefault="00175344">
      <w:pPr>
        <w:pStyle w:val="PortfolioName"/>
      </w:pPr>
      <w:r>
        <w:lastRenderedPageBreak/>
        <w:t>Cross Portfolio</w:t>
      </w:r>
    </w:p>
    <w:p w14:paraId="2671A057" w14:textId="77777777" w:rsidR="00B449D0" w:rsidRDefault="00175344">
      <w:pPr>
        <w:pStyle w:val="MeasureTitle"/>
      </w:pPr>
      <w:r>
        <w:t>Ending Gender‑Based Violence – National Cabinet</w:t>
      </w:r>
    </w:p>
    <w:p w14:paraId="7020EE03"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5C3273C0" w14:textId="77777777">
        <w:trPr>
          <w:cantSplit/>
        </w:trPr>
        <w:tc>
          <w:tcPr>
            <w:tcW w:w="2494" w:type="dxa"/>
            <w:tcBorders>
              <w:top w:val="single" w:sz="4" w:space="0" w:color="000000"/>
              <w:bottom w:val="single" w:sz="4" w:space="0" w:color="000000"/>
            </w:tcBorders>
          </w:tcPr>
          <w:p w14:paraId="3A57E313" w14:textId="77777777" w:rsidR="00B449D0" w:rsidRDefault="00B449D0">
            <w:pPr>
              <w:pStyle w:val="MeasureTableYearHeadings"/>
              <w:keepNext/>
            </w:pPr>
          </w:p>
        </w:tc>
        <w:tc>
          <w:tcPr>
            <w:tcW w:w="1043" w:type="dxa"/>
            <w:tcBorders>
              <w:top w:val="single" w:sz="4" w:space="0" w:color="000000"/>
              <w:bottom w:val="single" w:sz="4" w:space="0" w:color="000000"/>
            </w:tcBorders>
          </w:tcPr>
          <w:p w14:paraId="58AF1EA7" w14:textId="0ABE3A77"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5137C2D6" w14:textId="250CD2E0"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633A613C" w14:textId="168DC318"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51B11E4D" w14:textId="35E08E99"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12E45235" w14:textId="4B8A2F69" w:rsidR="00B449D0" w:rsidRDefault="00175344">
            <w:pPr>
              <w:pStyle w:val="MeasureTableYearHeadings"/>
              <w:keepNext/>
            </w:pPr>
            <w:r>
              <w:t>2027</w:t>
            </w:r>
            <w:r w:rsidR="00076D78">
              <w:noBreakHyphen/>
            </w:r>
            <w:r>
              <w:t>28</w:t>
            </w:r>
          </w:p>
        </w:tc>
      </w:tr>
      <w:tr w:rsidR="00B449D0" w14:paraId="4C660D86" w14:textId="77777777">
        <w:trPr>
          <w:cantSplit/>
        </w:trPr>
        <w:tc>
          <w:tcPr>
            <w:tcW w:w="2494" w:type="dxa"/>
            <w:tcBorders>
              <w:top w:val="single" w:sz="4" w:space="0" w:color="000000"/>
              <w:bottom w:val="single" w:sz="4" w:space="0" w:color="000000"/>
            </w:tcBorders>
          </w:tcPr>
          <w:p w14:paraId="168F64F2" w14:textId="77777777" w:rsidR="00B449D0" w:rsidRDefault="00175344">
            <w:pPr>
              <w:pStyle w:val="MeasureTableHeadingleftalignedwith2ptsspacing"/>
              <w:keepNext/>
            </w:pPr>
            <w:r>
              <w:t>Department of the Treasury</w:t>
            </w:r>
          </w:p>
        </w:tc>
        <w:tc>
          <w:tcPr>
            <w:tcW w:w="1043" w:type="dxa"/>
            <w:tcBorders>
              <w:top w:val="single" w:sz="4" w:space="0" w:color="000000"/>
              <w:bottom w:val="single" w:sz="4" w:space="0" w:color="000000"/>
            </w:tcBorders>
          </w:tcPr>
          <w:p w14:paraId="16204360" w14:textId="18B3AAEA"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6EC57AD6" w14:textId="77777777" w:rsidR="00B449D0" w:rsidRDefault="00175344">
            <w:pPr>
              <w:pStyle w:val="MeasureTableDataRightAlignedwith2ptsspacing"/>
              <w:keepNext/>
            </w:pPr>
            <w:r>
              <w:t>4.6</w:t>
            </w:r>
          </w:p>
        </w:tc>
        <w:tc>
          <w:tcPr>
            <w:tcW w:w="1043" w:type="dxa"/>
            <w:tcBorders>
              <w:top w:val="single" w:sz="4" w:space="0" w:color="000000"/>
              <w:bottom w:val="single" w:sz="4" w:space="0" w:color="000000"/>
            </w:tcBorders>
          </w:tcPr>
          <w:p w14:paraId="29065017" w14:textId="77777777" w:rsidR="00B449D0" w:rsidRDefault="00175344">
            <w:pPr>
              <w:pStyle w:val="MeasureTableDataRightAlignedwith2ptsspacing"/>
              <w:keepNext/>
            </w:pPr>
            <w:r>
              <w:t>20.6</w:t>
            </w:r>
          </w:p>
        </w:tc>
        <w:tc>
          <w:tcPr>
            <w:tcW w:w="1043" w:type="dxa"/>
            <w:tcBorders>
              <w:top w:val="single" w:sz="4" w:space="0" w:color="000000"/>
              <w:bottom w:val="single" w:sz="4" w:space="0" w:color="000000"/>
            </w:tcBorders>
          </w:tcPr>
          <w:p w14:paraId="723B4F01" w14:textId="77777777" w:rsidR="00B449D0" w:rsidRDefault="00175344">
            <w:pPr>
              <w:pStyle w:val="MeasureTableDataRightAlignedwith2ptsspacing"/>
              <w:keepNext/>
            </w:pPr>
            <w:r>
              <w:t>23.8</w:t>
            </w:r>
          </w:p>
        </w:tc>
        <w:tc>
          <w:tcPr>
            <w:tcW w:w="1043" w:type="dxa"/>
            <w:tcBorders>
              <w:top w:val="single" w:sz="4" w:space="0" w:color="000000"/>
              <w:bottom w:val="single" w:sz="4" w:space="0" w:color="000000"/>
            </w:tcBorders>
          </w:tcPr>
          <w:p w14:paraId="6852D298" w14:textId="77777777" w:rsidR="00B449D0" w:rsidRDefault="00175344">
            <w:pPr>
              <w:pStyle w:val="MeasureTableDataRightAlignedwith2ptsspacing"/>
              <w:keepNext/>
            </w:pPr>
            <w:r>
              <w:t>21.6</w:t>
            </w:r>
          </w:p>
        </w:tc>
      </w:tr>
      <w:tr w:rsidR="00B449D0" w14:paraId="5504FD83" w14:textId="77777777">
        <w:trPr>
          <w:cantSplit/>
        </w:trPr>
        <w:tc>
          <w:tcPr>
            <w:tcW w:w="2494" w:type="dxa"/>
            <w:tcBorders>
              <w:top w:val="single" w:sz="4" w:space="0" w:color="000000"/>
              <w:bottom w:val="single" w:sz="4" w:space="0" w:color="000000"/>
            </w:tcBorders>
          </w:tcPr>
          <w:p w14:paraId="0221B4A3" w14:textId="77777777" w:rsidR="00B449D0" w:rsidRDefault="00175344">
            <w:pPr>
              <w:pStyle w:val="MeasureTableHeadingleftalignedwith2ptsspacing"/>
              <w:keepNext/>
            </w:pPr>
            <w:r>
              <w:t>Department of Social Services</w:t>
            </w:r>
          </w:p>
        </w:tc>
        <w:tc>
          <w:tcPr>
            <w:tcW w:w="1043" w:type="dxa"/>
            <w:tcBorders>
              <w:top w:val="single" w:sz="4" w:space="0" w:color="000000"/>
              <w:bottom w:val="single" w:sz="4" w:space="0" w:color="000000"/>
            </w:tcBorders>
          </w:tcPr>
          <w:p w14:paraId="621B745B" w14:textId="723DF38D"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24BA82B" w14:textId="77777777" w:rsidR="00B449D0" w:rsidRDefault="00175344">
            <w:pPr>
              <w:pStyle w:val="MeasureTableDataRightAlignedwith2ptsspacing"/>
              <w:keepNext/>
            </w:pPr>
            <w:r>
              <w:t>3.7</w:t>
            </w:r>
          </w:p>
        </w:tc>
        <w:tc>
          <w:tcPr>
            <w:tcW w:w="1043" w:type="dxa"/>
            <w:tcBorders>
              <w:top w:val="single" w:sz="4" w:space="0" w:color="000000"/>
              <w:bottom w:val="single" w:sz="4" w:space="0" w:color="000000"/>
            </w:tcBorders>
          </w:tcPr>
          <w:p w14:paraId="3B7F53AF" w14:textId="77777777" w:rsidR="00B449D0" w:rsidRDefault="00175344">
            <w:pPr>
              <w:pStyle w:val="MeasureTableDataRightAlignedwith2ptsspacing"/>
              <w:keepNext/>
            </w:pPr>
            <w:r>
              <w:t>5.1</w:t>
            </w:r>
          </w:p>
        </w:tc>
        <w:tc>
          <w:tcPr>
            <w:tcW w:w="1043" w:type="dxa"/>
            <w:tcBorders>
              <w:top w:val="single" w:sz="4" w:space="0" w:color="000000"/>
              <w:bottom w:val="single" w:sz="4" w:space="0" w:color="000000"/>
            </w:tcBorders>
          </w:tcPr>
          <w:p w14:paraId="1EBA4727" w14:textId="77777777" w:rsidR="00B449D0" w:rsidRDefault="00175344">
            <w:pPr>
              <w:pStyle w:val="MeasureTableDataRightAlignedwith2ptsspacing"/>
              <w:keepNext/>
            </w:pPr>
            <w:r>
              <w:t>8.6</w:t>
            </w:r>
          </w:p>
        </w:tc>
        <w:tc>
          <w:tcPr>
            <w:tcW w:w="1043" w:type="dxa"/>
            <w:tcBorders>
              <w:top w:val="single" w:sz="4" w:space="0" w:color="000000"/>
              <w:bottom w:val="single" w:sz="4" w:space="0" w:color="000000"/>
            </w:tcBorders>
          </w:tcPr>
          <w:p w14:paraId="6B487031" w14:textId="77777777" w:rsidR="00B449D0" w:rsidRDefault="00175344">
            <w:pPr>
              <w:pStyle w:val="MeasureTableDataRightAlignedwith2ptsspacing"/>
              <w:keepNext/>
            </w:pPr>
            <w:r>
              <w:t>15.5</w:t>
            </w:r>
          </w:p>
        </w:tc>
      </w:tr>
      <w:tr w:rsidR="00B449D0" w14:paraId="7C20A39B" w14:textId="77777777">
        <w:trPr>
          <w:cantSplit/>
        </w:trPr>
        <w:tc>
          <w:tcPr>
            <w:tcW w:w="2494" w:type="dxa"/>
            <w:tcBorders>
              <w:top w:val="single" w:sz="4" w:space="0" w:color="000000"/>
              <w:bottom w:val="single" w:sz="4" w:space="0" w:color="000000"/>
            </w:tcBorders>
          </w:tcPr>
          <w:p w14:paraId="3B7E7237" w14:textId="565CD9E6" w:rsidR="00B449D0" w:rsidRDefault="00175344">
            <w:pPr>
              <w:pStyle w:val="MeasureTableHeadingleftalignedwith2ptsspacing"/>
              <w:keepNext/>
            </w:pPr>
            <w:r>
              <w:t>Attorney</w:t>
            </w:r>
            <w:r w:rsidR="00076D78">
              <w:noBreakHyphen/>
            </w:r>
            <w:r>
              <w:t>General</w:t>
            </w:r>
            <w:r w:rsidR="00076D78">
              <w:t>’</w:t>
            </w:r>
            <w:r>
              <w:t>s Department</w:t>
            </w:r>
          </w:p>
        </w:tc>
        <w:tc>
          <w:tcPr>
            <w:tcW w:w="1043" w:type="dxa"/>
            <w:tcBorders>
              <w:top w:val="single" w:sz="4" w:space="0" w:color="000000"/>
              <w:bottom w:val="single" w:sz="4" w:space="0" w:color="000000"/>
            </w:tcBorders>
          </w:tcPr>
          <w:p w14:paraId="7CF089D5" w14:textId="42F8B3BE"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2E4B920" w14:textId="77777777" w:rsidR="00B449D0" w:rsidRDefault="00175344">
            <w:pPr>
              <w:pStyle w:val="MeasureTableDataRightAlignedwith2ptsspacing"/>
              <w:keepNext/>
            </w:pPr>
            <w:r>
              <w:t>0.6</w:t>
            </w:r>
          </w:p>
        </w:tc>
        <w:tc>
          <w:tcPr>
            <w:tcW w:w="1043" w:type="dxa"/>
            <w:tcBorders>
              <w:top w:val="single" w:sz="4" w:space="0" w:color="000000"/>
              <w:bottom w:val="single" w:sz="4" w:space="0" w:color="000000"/>
            </w:tcBorders>
          </w:tcPr>
          <w:p w14:paraId="0B9EC723" w14:textId="77777777" w:rsidR="00B449D0" w:rsidRDefault="00175344">
            <w:pPr>
              <w:pStyle w:val="MeasureTableDataRightAlignedwith2ptsspacing"/>
              <w:keepNext/>
            </w:pPr>
            <w:r>
              <w:t>9.1</w:t>
            </w:r>
          </w:p>
        </w:tc>
        <w:tc>
          <w:tcPr>
            <w:tcW w:w="1043" w:type="dxa"/>
            <w:tcBorders>
              <w:top w:val="single" w:sz="4" w:space="0" w:color="000000"/>
              <w:bottom w:val="single" w:sz="4" w:space="0" w:color="000000"/>
            </w:tcBorders>
          </w:tcPr>
          <w:p w14:paraId="654A3A44" w14:textId="77777777" w:rsidR="00B449D0" w:rsidRDefault="00175344">
            <w:pPr>
              <w:pStyle w:val="MeasureTableDataRightAlignedwith2ptsspacing"/>
              <w:keepNext/>
            </w:pPr>
            <w:r>
              <w:t>7.7</w:t>
            </w:r>
          </w:p>
        </w:tc>
        <w:tc>
          <w:tcPr>
            <w:tcW w:w="1043" w:type="dxa"/>
            <w:tcBorders>
              <w:top w:val="single" w:sz="4" w:space="0" w:color="000000"/>
              <w:bottom w:val="single" w:sz="4" w:space="0" w:color="000000"/>
            </w:tcBorders>
          </w:tcPr>
          <w:p w14:paraId="6BAA3784" w14:textId="77777777" w:rsidR="00B449D0" w:rsidRDefault="00175344">
            <w:pPr>
              <w:pStyle w:val="MeasureTableDataRightAlignedwith2ptsspacing"/>
              <w:keepNext/>
            </w:pPr>
            <w:r>
              <w:t>5.2</w:t>
            </w:r>
          </w:p>
        </w:tc>
      </w:tr>
      <w:tr w:rsidR="00B449D0" w14:paraId="6EA1EA46" w14:textId="77777777">
        <w:trPr>
          <w:cantSplit/>
        </w:trPr>
        <w:tc>
          <w:tcPr>
            <w:tcW w:w="2494" w:type="dxa"/>
            <w:tcBorders>
              <w:top w:val="single" w:sz="4" w:space="0" w:color="000000"/>
              <w:bottom w:val="single" w:sz="4" w:space="0" w:color="000000"/>
            </w:tcBorders>
          </w:tcPr>
          <w:p w14:paraId="0B317DCD" w14:textId="77777777" w:rsidR="00B449D0" w:rsidRDefault="00175344">
            <w:pPr>
              <w:pStyle w:val="MeasureTableHeadingleftalignedwith2ptsspacing"/>
              <w:keepNext/>
            </w:pPr>
            <w:r>
              <w:t>Federal Court of Australia</w:t>
            </w:r>
          </w:p>
        </w:tc>
        <w:tc>
          <w:tcPr>
            <w:tcW w:w="1043" w:type="dxa"/>
            <w:tcBorders>
              <w:top w:val="single" w:sz="4" w:space="0" w:color="000000"/>
              <w:bottom w:val="single" w:sz="4" w:space="0" w:color="000000"/>
            </w:tcBorders>
          </w:tcPr>
          <w:p w14:paraId="04B3EB22" w14:textId="57BA3C9F"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55019AC" w14:textId="77777777" w:rsidR="00B449D0" w:rsidRDefault="00175344">
            <w:pPr>
              <w:pStyle w:val="MeasureTableDataRightAlignedwith2ptsspacing"/>
              <w:keepNext/>
            </w:pPr>
            <w:r>
              <w:t>0.4</w:t>
            </w:r>
          </w:p>
        </w:tc>
        <w:tc>
          <w:tcPr>
            <w:tcW w:w="1043" w:type="dxa"/>
            <w:tcBorders>
              <w:top w:val="single" w:sz="4" w:space="0" w:color="000000"/>
              <w:bottom w:val="single" w:sz="4" w:space="0" w:color="000000"/>
            </w:tcBorders>
          </w:tcPr>
          <w:p w14:paraId="6CF5964D" w14:textId="77777777" w:rsidR="00B449D0" w:rsidRDefault="00175344">
            <w:pPr>
              <w:pStyle w:val="MeasureTableDataRightAlignedwith2ptsspacing"/>
              <w:keepNext/>
            </w:pPr>
            <w:r>
              <w:t>3.5</w:t>
            </w:r>
          </w:p>
        </w:tc>
        <w:tc>
          <w:tcPr>
            <w:tcW w:w="1043" w:type="dxa"/>
            <w:tcBorders>
              <w:top w:val="single" w:sz="4" w:space="0" w:color="000000"/>
              <w:bottom w:val="single" w:sz="4" w:space="0" w:color="000000"/>
            </w:tcBorders>
          </w:tcPr>
          <w:p w14:paraId="2493F85E" w14:textId="77777777" w:rsidR="00B449D0" w:rsidRDefault="00175344">
            <w:pPr>
              <w:pStyle w:val="MeasureTableDataRightAlignedwith2ptsspacing"/>
              <w:keepNext/>
            </w:pPr>
            <w:r>
              <w:t>3.3</w:t>
            </w:r>
          </w:p>
        </w:tc>
        <w:tc>
          <w:tcPr>
            <w:tcW w:w="1043" w:type="dxa"/>
            <w:tcBorders>
              <w:top w:val="single" w:sz="4" w:space="0" w:color="000000"/>
              <w:bottom w:val="single" w:sz="4" w:space="0" w:color="000000"/>
            </w:tcBorders>
          </w:tcPr>
          <w:p w14:paraId="5BABF34E" w14:textId="77777777" w:rsidR="00B449D0" w:rsidRDefault="00175344">
            <w:pPr>
              <w:pStyle w:val="MeasureTableDataRightAlignedwith2ptsspacing"/>
              <w:keepNext/>
            </w:pPr>
            <w:r>
              <w:t>3.4</w:t>
            </w:r>
          </w:p>
        </w:tc>
      </w:tr>
      <w:tr w:rsidR="00B449D0" w14:paraId="2A2CC552" w14:textId="77777777">
        <w:trPr>
          <w:cantSplit/>
        </w:trPr>
        <w:tc>
          <w:tcPr>
            <w:tcW w:w="2494" w:type="dxa"/>
            <w:tcBorders>
              <w:top w:val="single" w:sz="4" w:space="0" w:color="000000"/>
              <w:bottom w:val="single" w:sz="4" w:space="0" w:color="000000"/>
            </w:tcBorders>
          </w:tcPr>
          <w:p w14:paraId="54A571B2" w14:textId="77777777" w:rsidR="00B449D0" w:rsidRDefault="00175344">
            <w:pPr>
              <w:pStyle w:val="MeasureTableHeadingleftalignedwith2ptsspacing"/>
              <w:keepNext/>
            </w:pPr>
            <w:r>
              <w:t>Australian Criminal Intelligence Commission</w:t>
            </w:r>
          </w:p>
        </w:tc>
        <w:tc>
          <w:tcPr>
            <w:tcW w:w="1043" w:type="dxa"/>
            <w:tcBorders>
              <w:top w:val="single" w:sz="4" w:space="0" w:color="000000"/>
              <w:bottom w:val="single" w:sz="4" w:space="0" w:color="000000"/>
            </w:tcBorders>
          </w:tcPr>
          <w:p w14:paraId="6A0793A7" w14:textId="10614FD0"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FB84D47" w14:textId="244D9EBA"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C796DF1" w14:textId="30A230FF"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97B8586" w14:textId="4958AD98"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2BE50C1" w14:textId="61620D14" w:rsidR="00B449D0" w:rsidRDefault="00076D78">
            <w:pPr>
              <w:pStyle w:val="MeasureTableDataRightAlignedwith2ptsspacing"/>
              <w:keepNext/>
            </w:pPr>
            <w:r>
              <w:noBreakHyphen/>
            </w:r>
          </w:p>
        </w:tc>
      </w:tr>
      <w:tr w:rsidR="00B449D0" w14:paraId="1C0C1192" w14:textId="77777777">
        <w:trPr>
          <w:cantSplit/>
        </w:trPr>
        <w:tc>
          <w:tcPr>
            <w:tcW w:w="2494" w:type="dxa"/>
            <w:tcBorders>
              <w:top w:val="single" w:sz="4" w:space="0" w:color="000000"/>
              <w:bottom w:val="single" w:sz="4" w:space="0" w:color="000000"/>
            </w:tcBorders>
          </w:tcPr>
          <w:p w14:paraId="129AA007" w14:textId="77777777" w:rsidR="00B449D0" w:rsidRDefault="00175344">
            <w:pPr>
              <w:pStyle w:val="MeasureTableHeadingleftalignedwith2ptsspacing"/>
              <w:keepNext/>
            </w:pPr>
            <w:r>
              <w:t>Department of Health and Aged Care</w:t>
            </w:r>
          </w:p>
        </w:tc>
        <w:tc>
          <w:tcPr>
            <w:tcW w:w="1043" w:type="dxa"/>
            <w:tcBorders>
              <w:top w:val="single" w:sz="4" w:space="0" w:color="000000"/>
              <w:bottom w:val="single" w:sz="4" w:space="0" w:color="000000"/>
            </w:tcBorders>
          </w:tcPr>
          <w:p w14:paraId="50F9D9B9" w14:textId="581C3647"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C227C5B" w14:textId="3F47D919"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20962FB" w14:textId="0515CE90"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6D2732AA" w14:textId="54835564"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3CF8ACA" w14:textId="55EBEF17" w:rsidR="00B449D0" w:rsidRDefault="00076D78">
            <w:pPr>
              <w:pStyle w:val="MeasureTableDataRightAlignedwith2ptsspacing"/>
              <w:keepNext/>
            </w:pPr>
            <w:r>
              <w:noBreakHyphen/>
            </w:r>
          </w:p>
        </w:tc>
      </w:tr>
      <w:tr w:rsidR="00B449D0" w14:paraId="31A082FD" w14:textId="77777777">
        <w:trPr>
          <w:cantSplit/>
        </w:trPr>
        <w:tc>
          <w:tcPr>
            <w:tcW w:w="2494" w:type="dxa"/>
            <w:tcBorders>
              <w:top w:val="single" w:sz="4" w:space="0" w:color="000000"/>
              <w:bottom w:val="single" w:sz="4" w:space="0" w:color="000000"/>
            </w:tcBorders>
          </w:tcPr>
          <w:p w14:paraId="160ACBA2" w14:textId="77777777" w:rsidR="00B449D0" w:rsidRDefault="00175344">
            <w:pPr>
              <w:pStyle w:val="MeasureTableHeadingleftalignedwith2ptsspacing"/>
              <w:keepNext/>
            </w:pPr>
            <w:r>
              <w:t>Department of the Prime Minister and Cabinet</w:t>
            </w:r>
          </w:p>
        </w:tc>
        <w:tc>
          <w:tcPr>
            <w:tcW w:w="1043" w:type="dxa"/>
            <w:tcBorders>
              <w:top w:val="single" w:sz="4" w:space="0" w:color="000000"/>
              <w:bottom w:val="single" w:sz="4" w:space="0" w:color="000000"/>
            </w:tcBorders>
          </w:tcPr>
          <w:p w14:paraId="3732C52B" w14:textId="50B4C173"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1C2C8C1" w14:textId="3C5380AA"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89C6E8E" w14:textId="2B7A05DE"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449FA47" w14:textId="44E7D632"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65135493" w14:textId="6594155F" w:rsidR="00B449D0" w:rsidRDefault="00076D78">
            <w:pPr>
              <w:pStyle w:val="MeasureTableDataRightAlignedwith2ptsspacing"/>
              <w:keepNext/>
            </w:pPr>
            <w:r>
              <w:noBreakHyphen/>
            </w:r>
          </w:p>
        </w:tc>
      </w:tr>
      <w:tr w:rsidR="00B449D0" w14:paraId="7033C6E7" w14:textId="77777777">
        <w:trPr>
          <w:cantSplit/>
        </w:trPr>
        <w:tc>
          <w:tcPr>
            <w:tcW w:w="2494" w:type="dxa"/>
            <w:tcBorders>
              <w:top w:val="single" w:sz="4" w:space="0" w:color="000000"/>
              <w:bottom w:val="single" w:sz="4" w:space="0" w:color="000000"/>
            </w:tcBorders>
          </w:tcPr>
          <w:p w14:paraId="75CDF9DA"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79F70725" w14:textId="3984C329"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14DA0676" w14:textId="77777777" w:rsidR="00B449D0" w:rsidRDefault="00175344">
            <w:pPr>
              <w:pStyle w:val="Totaldatarowrightaligned"/>
              <w:keepNext/>
            </w:pPr>
            <w:r>
              <w:t>9.4</w:t>
            </w:r>
          </w:p>
        </w:tc>
        <w:tc>
          <w:tcPr>
            <w:tcW w:w="1043" w:type="dxa"/>
            <w:tcBorders>
              <w:top w:val="single" w:sz="4" w:space="0" w:color="000000"/>
              <w:bottom w:val="single" w:sz="4" w:space="0" w:color="000000"/>
            </w:tcBorders>
          </w:tcPr>
          <w:p w14:paraId="0B36A5A0" w14:textId="77777777" w:rsidR="00B449D0" w:rsidRDefault="00175344">
            <w:pPr>
              <w:pStyle w:val="Totaldatarowrightaligned"/>
              <w:keepNext/>
            </w:pPr>
            <w:r>
              <w:t>38.2</w:t>
            </w:r>
          </w:p>
        </w:tc>
        <w:tc>
          <w:tcPr>
            <w:tcW w:w="1043" w:type="dxa"/>
            <w:tcBorders>
              <w:top w:val="single" w:sz="4" w:space="0" w:color="000000"/>
              <w:bottom w:val="single" w:sz="4" w:space="0" w:color="000000"/>
            </w:tcBorders>
          </w:tcPr>
          <w:p w14:paraId="4A7CACE9" w14:textId="77777777" w:rsidR="00B449D0" w:rsidRDefault="00175344">
            <w:pPr>
              <w:pStyle w:val="Totaldatarowrightaligned"/>
              <w:keepNext/>
            </w:pPr>
            <w:r>
              <w:t>43.5</w:t>
            </w:r>
          </w:p>
        </w:tc>
        <w:tc>
          <w:tcPr>
            <w:tcW w:w="1043" w:type="dxa"/>
            <w:tcBorders>
              <w:top w:val="single" w:sz="4" w:space="0" w:color="000000"/>
              <w:bottom w:val="single" w:sz="4" w:space="0" w:color="000000"/>
            </w:tcBorders>
          </w:tcPr>
          <w:p w14:paraId="2C0252EB" w14:textId="77777777" w:rsidR="00B449D0" w:rsidRDefault="00175344">
            <w:pPr>
              <w:pStyle w:val="Totaldatarowrightaligned"/>
              <w:keepNext/>
            </w:pPr>
            <w:r>
              <w:t>45.7</w:t>
            </w:r>
          </w:p>
        </w:tc>
      </w:tr>
    </w:tbl>
    <w:p w14:paraId="0D627B57" w14:textId="77777777" w:rsidR="00B449D0" w:rsidRDefault="00B449D0" w:rsidP="00380A42">
      <w:pPr>
        <w:pStyle w:val="SingleParagraph0"/>
      </w:pPr>
    </w:p>
    <w:p w14:paraId="16226FFB" w14:textId="77777777" w:rsidR="00B449D0" w:rsidRDefault="00175344">
      <w:pPr>
        <w:pStyle w:val="Normal2"/>
      </w:pPr>
      <w:r>
        <w:t>The Government will provide $350.4 million over four years from 2024–25 to address the national crisis of gender‑based violence, including violence against children and young people. Funding includes:</w:t>
      </w:r>
    </w:p>
    <w:p w14:paraId="422EAC93" w14:textId="77777777" w:rsidR="00B449D0" w:rsidRDefault="00175344">
      <w:pPr>
        <w:pStyle w:val="Bullet"/>
      </w:pPr>
      <w:r>
        <w:t>$214.7 million over three years from 2025–26 (and an additional $152.2 million from 2028–29 to 2029–30) to extend the National Partnership Agreement on Family, Domestic and Sexual Violence Responses to support frontline service delivery, with a focus on specialist services for women and children and working with men, with funding to be matched by states and territories bringing the total investment to over $700 million across governments</w:t>
      </w:r>
    </w:p>
    <w:p w14:paraId="139F6CAE" w14:textId="77777777" w:rsidR="00B449D0" w:rsidRDefault="00175344">
      <w:pPr>
        <w:pStyle w:val="Bullet"/>
      </w:pPr>
      <w:r>
        <w:t>$82.4 million over four years from 2024–25 to strengthen responses to high‑risk and serial perpetrators of family and domestic violence, including by improving information sharing across systems and jurisdictions and intervening early to stop violence escalating</w:t>
      </w:r>
    </w:p>
    <w:p w14:paraId="66190A8D" w14:textId="77777777" w:rsidR="00B449D0" w:rsidRDefault="00175344">
      <w:pPr>
        <w:pStyle w:val="Bullet"/>
      </w:pPr>
      <w:r>
        <w:t>$49.4 million over four years from 2024–25 (and $15.8 million per year ongoing) to enhance and expand child centric trauma‑informed supports for children and young people, with a specific focus on First Nations children and young people</w:t>
      </w:r>
    </w:p>
    <w:p w14:paraId="69B6BE07" w14:textId="42654E43" w:rsidR="00B449D0" w:rsidRDefault="00175344">
      <w:pPr>
        <w:pStyle w:val="Bullet"/>
      </w:pPr>
      <w:r>
        <w:t>$2.6 million over three years from 2024–25 to develop national standards for men</w:t>
      </w:r>
      <w:r w:rsidR="00076D78">
        <w:t>’</w:t>
      </w:r>
      <w:r>
        <w:t>s behaviour change programs</w:t>
      </w:r>
    </w:p>
    <w:p w14:paraId="22A50795" w14:textId="77777777" w:rsidR="00B449D0" w:rsidRDefault="00175344">
      <w:pPr>
        <w:pStyle w:val="Bullet"/>
      </w:pPr>
      <w:r>
        <w:t xml:space="preserve">$1.0 million over two years from 2025–26 to review and update the </w:t>
      </w:r>
      <w:r w:rsidRPr="00175344">
        <w:rPr>
          <w:i/>
        </w:rPr>
        <w:t>National framework for action to prevent alcohol‑related family violence</w:t>
      </w:r>
      <w:r>
        <w:t>, to address the role of alcohol and other drugs in exacerbating violence</w:t>
      </w:r>
    </w:p>
    <w:p w14:paraId="3020AE54" w14:textId="5737A131" w:rsidR="00B449D0" w:rsidRDefault="00175344">
      <w:pPr>
        <w:pStyle w:val="Bullet"/>
      </w:pPr>
      <w:r>
        <w:t xml:space="preserve">$0.2 million in 2024–25 to conduct an audit of key Commonwealth government systems to identify areas where they are being weaponised by perpetrators and to embed </w:t>
      </w:r>
      <w:r w:rsidR="00076D78">
        <w:t>‘</w:t>
      </w:r>
      <w:r>
        <w:t>safety by design</w:t>
      </w:r>
      <w:r w:rsidR="00076D78">
        <w:t>’</w:t>
      </w:r>
      <w:r>
        <w:t xml:space="preserve"> principles within new and existing systems.</w:t>
      </w:r>
    </w:p>
    <w:p w14:paraId="70CCA621" w14:textId="77777777" w:rsidR="00B449D0" w:rsidRDefault="00175344">
      <w:pPr>
        <w:pStyle w:val="Normal2"/>
      </w:pPr>
      <w:r>
        <w:lastRenderedPageBreak/>
        <w:t>The Government has already provided partial funding for this measure.</w:t>
      </w:r>
    </w:p>
    <w:p w14:paraId="760E231E" w14:textId="1B93A388" w:rsidR="00B449D0" w:rsidRDefault="00175344">
      <w:pPr>
        <w:pStyle w:val="Normal2"/>
      </w:pPr>
      <w:r w:rsidRPr="7F762F0D">
        <w:rPr>
          <w:lang w:val="en-US"/>
        </w:rPr>
        <w:t>The cost of this measure will be partially met from within the existing resourcing of the Department of Social Services, the Department of the Prime Minister and Cabinet, the Department of Health and Aged Care, the Australian Criminal Intelligence Commission and the Attorney‑General</w:t>
      </w:r>
      <w:r w:rsidR="00076D78">
        <w:rPr>
          <w:lang w:val="en-US"/>
        </w:rPr>
        <w:t>’</w:t>
      </w:r>
      <w:r w:rsidRPr="7F762F0D">
        <w:rPr>
          <w:lang w:val="en-US"/>
        </w:rPr>
        <w:t>s Department.</w:t>
      </w:r>
    </w:p>
    <w:p w14:paraId="17661BBB" w14:textId="77777777" w:rsidR="00B449D0" w:rsidRDefault="00175344">
      <w:pPr>
        <w:pStyle w:val="Normal2"/>
      </w:pPr>
      <w:r>
        <w:t>The Treasury manages Commonwealth payments to the states and territories.</w:t>
      </w:r>
    </w:p>
    <w:p w14:paraId="434282B7" w14:textId="77777777" w:rsidR="00B449D0" w:rsidRDefault="00175344">
      <w:pPr>
        <w:pStyle w:val="Normal2"/>
      </w:pPr>
      <w:r w:rsidRPr="7F762F0D">
        <w:rPr>
          <w:lang w:val="en-US"/>
        </w:rPr>
        <w:t xml:space="preserve">This measure builds on the 2024–25 Budget measures titled </w:t>
      </w:r>
      <w:r w:rsidRPr="7F762F0D">
        <w:rPr>
          <w:i/>
          <w:iCs/>
          <w:lang w:val="en-US"/>
        </w:rPr>
        <w:t>The Leaving Violence Program – financial support for victim‑survivors of intimate partner violence</w:t>
      </w:r>
      <w:r w:rsidRPr="7F762F0D">
        <w:rPr>
          <w:lang w:val="en-US"/>
        </w:rPr>
        <w:t xml:space="preserve"> and </w:t>
      </w:r>
      <w:r w:rsidRPr="7F762F0D">
        <w:rPr>
          <w:i/>
          <w:iCs/>
          <w:lang w:val="en-US"/>
        </w:rPr>
        <w:t>Ending Gender‑Based Violence – additional resourcing</w:t>
      </w:r>
      <w:r w:rsidRPr="7F762F0D">
        <w:rPr>
          <w:lang w:val="en-US"/>
        </w:rPr>
        <w:t>.</w:t>
      </w:r>
    </w:p>
    <w:p w14:paraId="699D7FA5" w14:textId="21A3B7D4" w:rsidR="00B449D0" w:rsidRDefault="00175344">
      <w:pPr>
        <w:pStyle w:val="Normal2"/>
      </w:pPr>
      <w:r w:rsidRPr="7F762F0D">
        <w:rPr>
          <w:lang w:val="en-US"/>
        </w:rPr>
        <w:t xml:space="preserve">See also the related payment measures titled </w:t>
      </w:r>
      <w:r w:rsidRPr="7F762F0D">
        <w:rPr>
          <w:i/>
          <w:iCs/>
          <w:lang w:val="en-US"/>
        </w:rPr>
        <w:t>Ending Gender‑Based Violence – additional investment</w:t>
      </w:r>
      <w:r w:rsidRPr="7F762F0D">
        <w:rPr>
          <w:lang w:val="en-US"/>
        </w:rPr>
        <w:t xml:space="preserve"> in the Social Services portfolio and </w:t>
      </w:r>
      <w:r w:rsidRPr="7F762F0D">
        <w:rPr>
          <w:i/>
          <w:iCs/>
          <w:lang w:val="en-US"/>
        </w:rPr>
        <w:t>National Access to Justice Partnership</w:t>
      </w:r>
      <w:r w:rsidRPr="7F762F0D">
        <w:rPr>
          <w:lang w:val="en-US"/>
        </w:rPr>
        <w:t xml:space="preserve"> in the Attorney‑General</w:t>
      </w:r>
      <w:r w:rsidR="00076D78">
        <w:rPr>
          <w:lang w:val="en-US"/>
        </w:rPr>
        <w:t>’</w:t>
      </w:r>
      <w:r w:rsidRPr="7F762F0D">
        <w:rPr>
          <w:lang w:val="en-US"/>
        </w:rPr>
        <w:t>s portfolio.</w:t>
      </w:r>
    </w:p>
    <w:p w14:paraId="5A36BCA0" w14:textId="79FC0C56" w:rsidR="00B449D0" w:rsidRDefault="00175344">
      <w:pPr>
        <w:pStyle w:val="Normal2"/>
      </w:pPr>
      <w:r w:rsidRPr="7F762F0D">
        <w:rPr>
          <w:lang w:val="en-US"/>
        </w:rPr>
        <w:t>This funding is a component of the $4.4</w:t>
      </w:r>
      <w:r w:rsidR="002A7001">
        <w:rPr>
          <w:lang w:val="en-US"/>
        </w:rPr>
        <w:t> billion</w:t>
      </w:r>
      <w:r w:rsidRPr="7F762F0D">
        <w:rPr>
          <w:lang w:val="en-US"/>
        </w:rPr>
        <w:t xml:space="preserve"> Commonwealth package agreed at National Cabinet on 6 September 2024.</w:t>
      </w:r>
    </w:p>
    <w:p w14:paraId="00EF1E3F" w14:textId="77777777" w:rsidR="00B449D0" w:rsidRDefault="00175344">
      <w:pPr>
        <w:pStyle w:val="Normal2"/>
      </w:pPr>
      <w:r>
        <w:t xml:space="preserve">This measure supports the implementation of the </w:t>
      </w:r>
      <w:r w:rsidRPr="00175344">
        <w:rPr>
          <w:i/>
        </w:rPr>
        <w:t>National Plan to End Violence against Women and Children 2022</w:t>
      </w:r>
      <w:r>
        <w:t>–</w:t>
      </w:r>
      <w:r w:rsidRPr="00175344">
        <w:rPr>
          <w:i/>
        </w:rPr>
        <w:t>2032</w:t>
      </w:r>
      <w:r>
        <w:t>.</w:t>
      </w:r>
    </w:p>
    <w:p w14:paraId="7067FB60" w14:textId="77777777" w:rsidR="00B449D0" w:rsidRDefault="00175344">
      <w:pPr>
        <w:pStyle w:val="MeasureTitle"/>
      </w:pPr>
      <w:r>
        <w:t>Future Made in Australia – accelerating investment in Australian industries</w:t>
      </w:r>
    </w:p>
    <w:p w14:paraId="60237D52"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4774D122" w14:textId="77777777">
        <w:trPr>
          <w:cantSplit/>
        </w:trPr>
        <w:tc>
          <w:tcPr>
            <w:tcW w:w="2494" w:type="dxa"/>
            <w:tcBorders>
              <w:top w:val="single" w:sz="4" w:space="0" w:color="000000"/>
              <w:bottom w:val="single" w:sz="4" w:space="0" w:color="000000"/>
            </w:tcBorders>
          </w:tcPr>
          <w:p w14:paraId="4C8BAA4D" w14:textId="77777777" w:rsidR="00B449D0" w:rsidRDefault="00B449D0">
            <w:pPr>
              <w:pStyle w:val="MeasureTableYearHeadings"/>
              <w:keepNext/>
            </w:pPr>
          </w:p>
        </w:tc>
        <w:tc>
          <w:tcPr>
            <w:tcW w:w="1043" w:type="dxa"/>
            <w:tcBorders>
              <w:top w:val="single" w:sz="4" w:space="0" w:color="000000"/>
              <w:bottom w:val="single" w:sz="4" w:space="0" w:color="000000"/>
            </w:tcBorders>
          </w:tcPr>
          <w:p w14:paraId="25111AF3" w14:textId="6C05E9D4"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1C43A0FD" w14:textId="2450F751"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6983D30A" w14:textId="38EB59CD"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01440B44" w14:textId="4A9DD3A8"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2A70E102" w14:textId="243AF9B2" w:rsidR="00B449D0" w:rsidRDefault="00175344">
            <w:pPr>
              <w:pStyle w:val="MeasureTableYearHeadings"/>
              <w:keepNext/>
            </w:pPr>
            <w:r>
              <w:t>2027</w:t>
            </w:r>
            <w:r w:rsidR="00076D78">
              <w:noBreakHyphen/>
            </w:r>
            <w:r>
              <w:t>28</w:t>
            </w:r>
          </w:p>
        </w:tc>
      </w:tr>
      <w:tr w:rsidR="00B449D0" w14:paraId="51F1626B" w14:textId="77777777">
        <w:trPr>
          <w:cantSplit/>
        </w:trPr>
        <w:tc>
          <w:tcPr>
            <w:tcW w:w="2494" w:type="dxa"/>
            <w:tcBorders>
              <w:top w:val="single" w:sz="4" w:space="0" w:color="000000"/>
              <w:bottom w:val="single" w:sz="4" w:space="0" w:color="000000"/>
            </w:tcBorders>
          </w:tcPr>
          <w:p w14:paraId="6787EEA9" w14:textId="77777777" w:rsidR="00B449D0" w:rsidRDefault="00175344">
            <w:pPr>
              <w:pStyle w:val="MeasureTableHeadingleftalignedwith2ptsspacing"/>
              <w:keepNext/>
            </w:pPr>
            <w:r>
              <w:t>Australian Renewable Energy Agency</w:t>
            </w:r>
          </w:p>
        </w:tc>
        <w:tc>
          <w:tcPr>
            <w:tcW w:w="1043" w:type="dxa"/>
            <w:tcBorders>
              <w:top w:val="single" w:sz="4" w:space="0" w:color="000000"/>
              <w:bottom w:val="single" w:sz="4" w:space="0" w:color="000000"/>
            </w:tcBorders>
          </w:tcPr>
          <w:p w14:paraId="64DBC1BA" w14:textId="159722AC"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DA3F1D5" w14:textId="77777777" w:rsidR="00B449D0" w:rsidRDefault="00175344">
            <w:pPr>
              <w:pStyle w:val="MeasureTableDataRightAlignedwith2ptsspacing"/>
              <w:keepNext/>
            </w:pPr>
            <w:r>
              <w:t>1.5</w:t>
            </w:r>
          </w:p>
        </w:tc>
        <w:tc>
          <w:tcPr>
            <w:tcW w:w="1043" w:type="dxa"/>
            <w:tcBorders>
              <w:top w:val="single" w:sz="4" w:space="0" w:color="000000"/>
              <w:bottom w:val="single" w:sz="4" w:space="0" w:color="000000"/>
            </w:tcBorders>
          </w:tcPr>
          <w:p w14:paraId="75815C7B" w14:textId="77777777" w:rsidR="00B449D0" w:rsidRDefault="00175344">
            <w:pPr>
              <w:pStyle w:val="MeasureTableDataRightAlignedwith2ptsspacing"/>
              <w:keepNext/>
            </w:pPr>
            <w:r>
              <w:t>2.0</w:t>
            </w:r>
          </w:p>
        </w:tc>
        <w:tc>
          <w:tcPr>
            <w:tcW w:w="1043" w:type="dxa"/>
            <w:tcBorders>
              <w:top w:val="single" w:sz="4" w:space="0" w:color="000000"/>
              <w:bottom w:val="single" w:sz="4" w:space="0" w:color="000000"/>
            </w:tcBorders>
          </w:tcPr>
          <w:p w14:paraId="7EC5CE4B" w14:textId="77777777" w:rsidR="00B449D0" w:rsidRDefault="00175344">
            <w:pPr>
              <w:pStyle w:val="MeasureTableDataRightAlignedwith2ptsspacing"/>
              <w:keepNext/>
            </w:pPr>
            <w:r>
              <w:t>3.0</w:t>
            </w:r>
          </w:p>
        </w:tc>
        <w:tc>
          <w:tcPr>
            <w:tcW w:w="1043" w:type="dxa"/>
            <w:tcBorders>
              <w:top w:val="single" w:sz="4" w:space="0" w:color="000000"/>
              <w:bottom w:val="single" w:sz="4" w:space="0" w:color="000000"/>
            </w:tcBorders>
          </w:tcPr>
          <w:p w14:paraId="05881DF1" w14:textId="77777777" w:rsidR="00B449D0" w:rsidRDefault="00175344">
            <w:pPr>
              <w:pStyle w:val="MeasureTableDataRightAlignedwith2ptsspacing"/>
              <w:keepNext/>
            </w:pPr>
            <w:r>
              <w:t>2.2</w:t>
            </w:r>
          </w:p>
        </w:tc>
      </w:tr>
      <w:tr w:rsidR="00B449D0" w14:paraId="7529AA20" w14:textId="77777777">
        <w:trPr>
          <w:cantSplit/>
        </w:trPr>
        <w:tc>
          <w:tcPr>
            <w:tcW w:w="2494" w:type="dxa"/>
            <w:tcBorders>
              <w:top w:val="single" w:sz="4" w:space="0" w:color="000000"/>
              <w:bottom w:val="single" w:sz="4" w:space="0" w:color="000000"/>
            </w:tcBorders>
          </w:tcPr>
          <w:p w14:paraId="345981BB" w14:textId="77777777" w:rsidR="00B449D0" w:rsidRDefault="00175344">
            <w:pPr>
              <w:pStyle w:val="MeasureTableHeadingleftalignedwith2ptsspacing"/>
              <w:keepNext/>
            </w:pPr>
            <w:r>
              <w:t>Australian Taxation Office</w:t>
            </w:r>
          </w:p>
        </w:tc>
        <w:tc>
          <w:tcPr>
            <w:tcW w:w="1043" w:type="dxa"/>
            <w:tcBorders>
              <w:top w:val="single" w:sz="4" w:space="0" w:color="000000"/>
              <w:bottom w:val="single" w:sz="4" w:space="0" w:color="000000"/>
            </w:tcBorders>
          </w:tcPr>
          <w:p w14:paraId="68D2BB1F" w14:textId="16A5965B"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7618C72" w14:textId="77777777" w:rsidR="00B449D0" w:rsidRDefault="00175344">
            <w:pPr>
              <w:pStyle w:val="MeasureTableDataRightAlignedwith2ptsspacing"/>
              <w:keepNext/>
            </w:pPr>
            <w:r>
              <w:t>1.1</w:t>
            </w:r>
          </w:p>
        </w:tc>
        <w:tc>
          <w:tcPr>
            <w:tcW w:w="1043" w:type="dxa"/>
            <w:tcBorders>
              <w:top w:val="single" w:sz="4" w:space="0" w:color="000000"/>
              <w:bottom w:val="single" w:sz="4" w:space="0" w:color="000000"/>
            </w:tcBorders>
          </w:tcPr>
          <w:p w14:paraId="7455D8BD" w14:textId="77777777" w:rsidR="00B449D0" w:rsidRDefault="00175344">
            <w:pPr>
              <w:pStyle w:val="MeasureTableDataRightAlignedwith2ptsspacing"/>
              <w:keepNext/>
            </w:pPr>
            <w:r>
              <w:t>2.4</w:t>
            </w:r>
          </w:p>
        </w:tc>
        <w:tc>
          <w:tcPr>
            <w:tcW w:w="1043" w:type="dxa"/>
            <w:tcBorders>
              <w:top w:val="single" w:sz="4" w:space="0" w:color="000000"/>
              <w:bottom w:val="single" w:sz="4" w:space="0" w:color="000000"/>
            </w:tcBorders>
          </w:tcPr>
          <w:p w14:paraId="1C68B715" w14:textId="77777777" w:rsidR="00B449D0" w:rsidRDefault="00175344">
            <w:pPr>
              <w:pStyle w:val="MeasureTableDataRightAlignedwith2ptsspacing"/>
              <w:keepNext/>
            </w:pPr>
            <w:r>
              <w:t>5.5</w:t>
            </w:r>
          </w:p>
        </w:tc>
        <w:tc>
          <w:tcPr>
            <w:tcW w:w="1043" w:type="dxa"/>
            <w:tcBorders>
              <w:top w:val="single" w:sz="4" w:space="0" w:color="000000"/>
              <w:bottom w:val="single" w:sz="4" w:space="0" w:color="000000"/>
            </w:tcBorders>
          </w:tcPr>
          <w:p w14:paraId="7844742C" w14:textId="77777777" w:rsidR="00B449D0" w:rsidRDefault="00175344">
            <w:pPr>
              <w:pStyle w:val="MeasureTableDataRightAlignedwith2ptsspacing"/>
              <w:keepNext/>
            </w:pPr>
            <w:r>
              <w:t>12.3</w:t>
            </w:r>
          </w:p>
        </w:tc>
      </w:tr>
      <w:tr w:rsidR="00B449D0" w14:paraId="343D662B" w14:textId="77777777">
        <w:trPr>
          <w:cantSplit/>
        </w:trPr>
        <w:tc>
          <w:tcPr>
            <w:tcW w:w="2494" w:type="dxa"/>
            <w:tcBorders>
              <w:top w:val="single" w:sz="4" w:space="0" w:color="000000"/>
              <w:bottom w:val="single" w:sz="4" w:space="0" w:color="000000"/>
            </w:tcBorders>
          </w:tcPr>
          <w:p w14:paraId="5A708E6D" w14:textId="77777777" w:rsidR="00B449D0" w:rsidRDefault="00175344">
            <w:pPr>
              <w:pStyle w:val="MeasureTableHeadingleftalignedwith2ptsspacing"/>
              <w:keepNext/>
            </w:pPr>
            <w:r>
              <w:t>Clean Energy Regulator</w:t>
            </w:r>
          </w:p>
        </w:tc>
        <w:tc>
          <w:tcPr>
            <w:tcW w:w="1043" w:type="dxa"/>
            <w:tcBorders>
              <w:top w:val="single" w:sz="4" w:space="0" w:color="000000"/>
              <w:bottom w:val="single" w:sz="4" w:space="0" w:color="000000"/>
            </w:tcBorders>
          </w:tcPr>
          <w:p w14:paraId="2B14CEBB" w14:textId="52115115"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84B9B52" w14:textId="77FFDFD2"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67928C40" w14:textId="77777777" w:rsidR="00B449D0" w:rsidRDefault="00175344">
            <w:pPr>
              <w:pStyle w:val="MeasureTableDataRightAlignedwith2ptsspacing"/>
              <w:keepNext/>
            </w:pPr>
            <w:r>
              <w:t>3.2</w:t>
            </w:r>
          </w:p>
        </w:tc>
        <w:tc>
          <w:tcPr>
            <w:tcW w:w="1043" w:type="dxa"/>
            <w:tcBorders>
              <w:top w:val="single" w:sz="4" w:space="0" w:color="000000"/>
              <w:bottom w:val="single" w:sz="4" w:space="0" w:color="000000"/>
            </w:tcBorders>
          </w:tcPr>
          <w:p w14:paraId="7C1B6FED" w14:textId="77777777" w:rsidR="00B449D0" w:rsidRDefault="00175344">
            <w:pPr>
              <w:pStyle w:val="MeasureTableDataRightAlignedwith2ptsspacing"/>
              <w:keepNext/>
            </w:pPr>
            <w:r>
              <w:t>4.5</w:t>
            </w:r>
          </w:p>
        </w:tc>
        <w:tc>
          <w:tcPr>
            <w:tcW w:w="1043" w:type="dxa"/>
            <w:tcBorders>
              <w:top w:val="single" w:sz="4" w:space="0" w:color="000000"/>
              <w:bottom w:val="single" w:sz="4" w:space="0" w:color="000000"/>
            </w:tcBorders>
          </w:tcPr>
          <w:p w14:paraId="43A1E0E4" w14:textId="77777777" w:rsidR="00B449D0" w:rsidRDefault="00175344">
            <w:pPr>
              <w:pStyle w:val="MeasureTableDataRightAlignedwith2ptsspacing"/>
              <w:keepNext/>
            </w:pPr>
            <w:r>
              <w:t>2.4</w:t>
            </w:r>
          </w:p>
        </w:tc>
      </w:tr>
      <w:tr w:rsidR="00B449D0" w14:paraId="2AC976A3" w14:textId="77777777">
        <w:trPr>
          <w:cantSplit/>
        </w:trPr>
        <w:tc>
          <w:tcPr>
            <w:tcW w:w="2494" w:type="dxa"/>
            <w:tcBorders>
              <w:top w:val="single" w:sz="4" w:space="0" w:color="000000"/>
              <w:bottom w:val="single" w:sz="4" w:space="0" w:color="000000"/>
            </w:tcBorders>
          </w:tcPr>
          <w:p w14:paraId="32854335" w14:textId="77777777" w:rsidR="00B449D0" w:rsidRDefault="00175344">
            <w:pPr>
              <w:pStyle w:val="MeasureTableHeadingleftalignedwith2ptsspacing"/>
              <w:keepNext/>
            </w:pPr>
            <w:r>
              <w:t>Department of the Treasury</w:t>
            </w:r>
          </w:p>
        </w:tc>
        <w:tc>
          <w:tcPr>
            <w:tcW w:w="1043" w:type="dxa"/>
            <w:tcBorders>
              <w:top w:val="single" w:sz="4" w:space="0" w:color="000000"/>
              <w:bottom w:val="single" w:sz="4" w:space="0" w:color="000000"/>
            </w:tcBorders>
          </w:tcPr>
          <w:p w14:paraId="3D701BF3" w14:textId="157AD8B2"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0ED0F00" w14:textId="07944E5E"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1651EAE" w14:textId="0ED184EA"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F56F571" w14:textId="6194470D"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612D02F" w14:textId="32870B21" w:rsidR="00B449D0" w:rsidRDefault="00076D78">
            <w:pPr>
              <w:pStyle w:val="MeasureTableDataRightAlignedwith2ptsspacing"/>
              <w:keepNext/>
            </w:pPr>
            <w:r>
              <w:noBreakHyphen/>
            </w:r>
          </w:p>
        </w:tc>
      </w:tr>
      <w:tr w:rsidR="00B449D0" w14:paraId="34F383D5" w14:textId="77777777">
        <w:trPr>
          <w:cantSplit/>
        </w:trPr>
        <w:tc>
          <w:tcPr>
            <w:tcW w:w="2494" w:type="dxa"/>
            <w:tcBorders>
              <w:top w:val="single" w:sz="4" w:space="0" w:color="000000"/>
              <w:bottom w:val="single" w:sz="4" w:space="0" w:color="000000"/>
            </w:tcBorders>
          </w:tcPr>
          <w:p w14:paraId="0DD923B5" w14:textId="77777777" w:rsidR="00B449D0" w:rsidRDefault="00175344">
            <w:pPr>
              <w:pStyle w:val="MeasureTableHeadingleftalignedwith2ptsspacing"/>
              <w:keepNext/>
            </w:pPr>
            <w:r>
              <w:t>Geoscience Australia</w:t>
            </w:r>
          </w:p>
        </w:tc>
        <w:tc>
          <w:tcPr>
            <w:tcW w:w="1043" w:type="dxa"/>
            <w:tcBorders>
              <w:top w:val="single" w:sz="4" w:space="0" w:color="000000"/>
              <w:bottom w:val="single" w:sz="4" w:space="0" w:color="000000"/>
            </w:tcBorders>
          </w:tcPr>
          <w:p w14:paraId="5E3B9E16" w14:textId="27F7A3AF"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02C88D6" w14:textId="11D64783" w:rsidR="00B449D0" w:rsidRDefault="00076D78">
            <w:pPr>
              <w:pStyle w:val="MeasureTableDataRightAlignedwith2ptsspacing"/>
              <w:keepNext/>
            </w:pPr>
            <w:r>
              <w:noBreakHyphen/>
            </w:r>
            <w:r w:rsidR="00175344">
              <w:t>7.6</w:t>
            </w:r>
          </w:p>
        </w:tc>
        <w:tc>
          <w:tcPr>
            <w:tcW w:w="1043" w:type="dxa"/>
            <w:tcBorders>
              <w:top w:val="single" w:sz="4" w:space="0" w:color="000000"/>
              <w:bottom w:val="single" w:sz="4" w:space="0" w:color="000000"/>
            </w:tcBorders>
          </w:tcPr>
          <w:p w14:paraId="378A413A" w14:textId="703A30A7" w:rsidR="00B449D0" w:rsidRDefault="00076D78">
            <w:pPr>
              <w:pStyle w:val="MeasureTableDataRightAlignedwith2ptsspacing"/>
              <w:keepNext/>
            </w:pPr>
            <w:r>
              <w:noBreakHyphen/>
            </w:r>
            <w:r w:rsidR="00175344">
              <w:t>3.7</w:t>
            </w:r>
          </w:p>
        </w:tc>
        <w:tc>
          <w:tcPr>
            <w:tcW w:w="1043" w:type="dxa"/>
            <w:tcBorders>
              <w:top w:val="single" w:sz="4" w:space="0" w:color="000000"/>
              <w:bottom w:val="single" w:sz="4" w:space="0" w:color="000000"/>
            </w:tcBorders>
          </w:tcPr>
          <w:p w14:paraId="4DF50C7C" w14:textId="003018B2" w:rsidR="00B449D0" w:rsidRDefault="00076D78">
            <w:pPr>
              <w:pStyle w:val="MeasureTableDataRightAlignedwith2ptsspacing"/>
              <w:keepNext/>
            </w:pPr>
            <w:r>
              <w:noBreakHyphen/>
            </w:r>
            <w:r w:rsidR="00175344">
              <w:t>5.3</w:t>
            </w:r>
          </w:p>
        </w:tc>
        <w:tc>
          <w:tcPr>
            <w:tcW w:w="1043" w:type="dxa"/>
            <w:tcBorders>
              <w:top w:val="single" w:sz="4" w:space="0" w:color="000000"/>
              <w:bottom w:val="single" w:sz="4" w:space="0" w:color="000000"/>
            </w:tcBorders>
          </w:tcPr>
          <w:p w14:paraId="4CECD6A6" w14:textId="5CF33317" w:rsidR="00B449D0" w:rsidRDefault="00076D78">
            <w:pPr>
              <w:pStyle w:val="MeasureTableDataRightAlignedwith2ptsspacing"/>
              <w:keepNext/>
            </w:pPr>
            <w:r>
              <w:noBreakHyphen/>
            </w:r>
          </w:p>
        </w:tc>
      </w:tr>
      <w:tr w:rsidR="00B449D0" w14:paraId="17AAAAD1" w14:textId="77777777">
        <w:trPr>
          <w:cantSplit/>
        </w:trPr>
        <w:tc>
          <w:tcPr>
            <w:tcW w:w="2494" w:type="dxa"/>
            <w:tcBorders>
              <w:top w:val="single" w:sz="4" w:space="0" w:color="000000"/>
              <w:bottom w:val="single" w:sz="4" w:space="0" w:color="000000"/>
            </w:tcBorders>
          </w:tcPr>
          <w:p w14:paraId="7D1560EF" w14:textId="77777777" w:rsidR="00B449D0" w:rsidRDefault="00175344">
            <w:pPr>
              <w:pStyle w:val="MeasureTableHeadingleftalignedwith2ptsspacing"/>
              <w:keepNext/>
            </w:pPr>
            <w:r>
              <w:t>Department of Industry, Science and Resources</w:t>
            </w:r>
          </w:p>
        </w:tc>
        <w:tc>
          <w:tcPr>
            <w:tcW w:w="1043" w:type="dxa"/>
            <w:tcBorders>
              <w:top w:val="single" w:sz="4" w:space="0" w:color="000000"/>
              <w:bottom w:val="single" w:sz="4" w:space="0" w:color="000000"/>
            </w:tcBorders>
          </w:tcPr>
          <w:p w14:paraId="3834B9DE" w14:textId="7309B27E"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9CB5C07" w14:textId="7914547F" w:rsidR="00B449D0" w:rsidRDefault="00076D78">
            <w:pPr>
              <w:pStyle w:val="MeasureTableDataRightAlignedwith2ptsspacing"/>
              <w:keepNext/>
            </w:pPr>
            <w:r>
              <w:noBreakHyphen/>
            </w:r>
            <w:r w:rsidR="00175344">
              <w:t>19.2</w:t>
            </w:r>
          </w:p>
        </w:tc>
        <w:tc>
          <w:tcPr>
            <w:tcW w:w="1043" w:type="dxa"/>
            <w:tcBorders>
              <w:top w:val="single" w:sz="4" w:space="0" w:color="000000"/>
              <w:bottom w:val="single" w:sz="4" w:space="0" w:color="000000"/>
            </w:tcBorders>
          </w:tcPr>
          <w:p w14:paraId="69966556" w14:textId="75655D3E" w:rsidR="00B449D0" w:rsidRDefault="00076D78">
            <w:pPr>
              <w:pStyle w:val="MeasureTableDataRightAlignedwith2ptsspacing"/>
              <w:keepNext/>
            </w:pPr>
            <w:r>
              <w:noBreakHyphen/>
            </w:r>
            <w:r w:rsidR="00175344">
              <w:t>24.1</w:t>
            </w:r>
          </w:p>
        </w:tc>
        <w:tc>
          <w:tcPr>
            <w:tcW w:w="1043" w:type="dxa"/>
            <w:tcBorders>
              <w:top w:val="single" w:sz="4" w:space="0" w:color="000000"/>
              <w:bottom w:val="single" w:sz="4" w:space="0" w:color="000000"/>
            </w:tcBorders>
          </w:tcPr>
          <w:p w14:paraId="49BA8A8E" w14:textId="278DAC1C" w:rsidR="00B449D0" w:rsidRDefault="00076D78">
            <w:pPr>
              <w:pStyle w:val="MeasureTableDataRightAlignedwith2ptsspacing"/>
              <w:keepNext/>
            </w:pPr>
            <w:r>
              <w:noBreakHyphen/>
            </w:r>
            <w:r w:rsidR="00175344">
              <w:t>32.7</w:t>
            </w:r>
          </w:p>
        </w:tc>
        <w:tc>
          <w:tcPr>
            <w:tcW w:w="1043" w:type="dxa"/>
            <w:tcBorders>
              <w:top w:val="single" w:sz="4" w:space="0" w:color="000000"/>
              <w:bottom w:val="single" w:sz="4" w:space="0" w:color="000000"/>
            </w:tcBorders>
          </w:tcPr>
          <w:p w14:paraId="14623C29" w14:textId="6D568546" w:rsidR="00B449D0" w:rsidRDefault="00076D78">
            <w:pPr>
              <w:pStyle w:val="MeasureTableDataRightAlignedwith2ptsspacing"/>
              <w:keepNext/>
            </w:pPr>
            <w:r>
              <w:noBreakHyphen/>
            </w:r>
            <w:r w:rsidR="00175344">
              <w:t>54.5</w:t>
            </w:r>
          </w:p>
        </w:tc>
      </w:tr>
      <w:tr w:rsidR="00B449D0" w14:paraId="180B71BC" w14:textId="77777777">
        <w:trPr>
          <w:cantSplit/>
        </w:trPr>
        <w:tc>
          <w:tcPr>
            <w:tcW w:w="2494" w:type="dxa"/>
            <w:tcBorders>
              <w:top w:val="single" w:sz="4" w:space="0" w:color="000000"/>
              <w:bottom w:val="single" w:sz="4" w:space="0" w:color="000000"/>
            </w:tcBorders>
          </w:tcPr>
          <w:p w14:paraId="0967D711" w14:textId="77777777" w:rsidR="00B449D0" w:rsidRDefault="00175344">
            <w:pPr>
              <w:pStyle w:val="MeasureTableHeadingleftalignedwith2ptsspacing"/>
              <w:keepNext/>
            </w:pPr>
            <w:r>
              <w:t>Department of Climate Change, Energy, the Environment and Water</w:t>
            </w:r>
          </w:p>
        </w:tc>
        <w:tc>
          <w:tcPr>
            <w:tcW w:w="1043" w:type="dxa"/>
            <w:tcBorders>
              <w:top w:val="single" w:sz="4" w:space="0" w:color="000000"/>
              <w:bottom w:val="single" w:sz="4" w:space="0" w:color="000000"/>
            </w:tcBorders>
          </w:tcPr>
          <w:p w14:paraId="6FB2510F" w14:textId="62F65E96"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6DC9AE5" w14:textId="726190D4" w:rsidR="00B449D0" w:rsidRDefault="00076D78">
            <w:pPr>
              <w:pStyle w:val="MeasureTableDataRightAlignedwith2ptsspacing"/>
              <w:keepNext/>
            </w:pPr>
            <w:r>
              <w:noBreakHyphen/>
            </w:r>
            <w:r w:rsidR="00175344">
              <w:t>23.0</w:t>
            </w:r>
          </w:p>
        </w:tc>
        <w:tc>
          <w:tcPr>
            <w:tcW w:w="1043" w:type="dxa"/>
            <w:tcBorders>
              <w:top w:val="single" w:sz="4" w:space="0" w:color="000000"/>
              <w:bottom w:val="single" w:sz="4" w:space="0" w:color="000000"/>
            </w:tcBorders>
          </w:tcPr>
          <w:p w14:paraId="782F1323" w14:textId="77777777" w:rsidR="00B449D0" w:rsidRDefault="00175344">
            <w:pPr>
              <w:pStyle w:val="MeasureTableDataRightAlignedwith2ptsspacing"/>
              <w:keepNext/>
            </w:pPr>
            <w:r>
              <w:t>9.5</w:t>
            </w:r>
          </w:p>
        </w:tc>
        <w:tc>
          <w:tcPr>
            <w:tcW w:w="1043" w:type="dxa"/>
            <w:tcBorders>
              <w:top w:val="single" w:sz="4" w:space="0" w:color="000000"/>
              <w:bottom w:val="single" w:sz="4" w:space="0" w:color="000000"/>
            </w:tcBorders>
          </w:tcPr>
          <w:p w14:paraId="40FE1EA6" w14:textId="77777777" w:rsidR="00B449D0" w:rsidRDefault="00175344">
            <w:pPr>
              <w:pStyle w:val="MeasureTableDataRightAlignedwith2ptsspacing"/>
              <w:keepNext/>
            </w:pPr>
            <w:r>
              <w:t>29.9</w:t>
            </w:r>
          </w:p>
        </w:tc>
        <w:tc>
          <w:tcPr>
            <w:tcW w:w="1043" w:type="dxa"/>
            <w:tcBorders>
              <w:top w:val="single" w:sz="4" w:space="0" w:color="000000"/>
              <w:bottom w:val="single" w:sz="4" w:space="0" w:color="000000"/>
            </w:tcBorders>
          </w:tcPr>
          <w:p w14:paraId="6FEAA6BC" w14:textId="77777777" w:rsidR="00B449D0" w:rsidRDefault="00175344">
            <w:pPr>
              <w:pStyle w:val="MeasureTableDataRightAlignedwith2ptsspacing"/>
              <w:keepNext/>
            </w:pPr>
            <w:r>
              <w:t>25.1</w:t>
            </w:r>
          </w:p>
        </w:tc>
      </w:tr>
      <w:tr w:rsidR="00B449D0" w14:paraId="45B11215" w14:textId="77777777">
        <w:trPr>
          <w:cantSplit/>
        </w:trPr>
        <w:tc>
          <w:tcPr>
            <w:tcW w:w="2494" w:type="dxa"/>
            <w:tcBorders>
              <w:top w:val="single" w:sz="4" w:space="0" w:color="000000"/>
              <w:bottom w:val="single" w:sz="4" w:space="0" w:color="000000"/>
            </w:tcBorders>
          </w:tcPr>
          <w:p w14:paraId="0A170175"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2F9F95E9" w14:textId="61C3A23B"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1846CC29" w14:textId="3A27E5F4" w:rsidR="00B449D0" w:rsidRDefault="00076D78">
            <w:pPr>
              <w:pStyle w:val="Totaldatarowrightaligned"/>
              <w:keepNext/>
            </w:pPr>
            <w:r>
              <w:noBreakHyphen/>
            </w:r>
            <w:r w:rsidR="00175344">
              <w:t>47.3</w:t>
            </w:r>
          </w:p>
        </w:tc>
        <w:tc>
          <w:tcPr>
            <w:tcW w:w="1043" w:type="dxa"/>
            <w:tcBorders>
              <w:top w:val="single" w:sz="4" w:space="0" w:color="000000"/>
              <w:bottom w:val="single" w:sz="4" w:space="0" w:color="000000"/>
            </w:tcBorders>
          </w:tcPr>
          <w:p w14:paraId="6F13036E" w14:textId="4B7760BE" w:rsidR="00B449D0" w:rsidRDefault="00076D78">
            <w:pPr>
              <w:pStyle w:val="Totaldatarowrightaligned"/>
              <w:keepNext/>
            </w:pPr>
            <w:r>
              <w:noBreakHyphen/>
            </w:r>
            <w:r w:rsidR="00175344">
              <w:t>10.7</w:t>
            </w:r>
          </w:p>
        </w:tc>
        <w:tc>
          <w:tcPr>
            <w:tcW w:w="1043" w:type="dxa"/>
            <w:tcBorders>
              <w:top w:val="single" w:sz="4" w:space="0" w:color="000000"/>
              <w:bottom w:val="single" w:sz="4" w:space="0" w:color="000000"/>
            </w:tcBorders>
          </w:tcPr>
          <w:p w14:paraId="47777830" w14:textId="77777777" w:rsidR="00B449D0" w:rsidRDefault="00175344">
            <w:pPr>
              <w:pStyle w:val="Totaldatarowrightaligned"/>
              <w:keepNext/>
            </w:pPr>
            <w:r>
              <w:t>5.0</w:t>
            </w:r>
          </w:p>
        </w:tc>
        <w:tc>
          <w:tcPr>
            <w:tcW w:w="1043" w:type="dxa"/>
            <w:tcBorders>
              <w:top w:val="single" w:sz="4" w:space="0" w:color="000000"/>
              <w:bottom w:val="single" w:sz="4" w:space="0" w:color="000000"/>
            </w:tcBorders>
          </w:tcPr>
          <w:p w14:paraId="4D4AB290" w14:textId="1D19C3EB" w:rsidR="00B449D0" w:rsidRDefault="00076D78">
            <w:pPr>
              <w:pStyle w:val="Totaldatarowrightaligned"/>
              <w:keepNext/>
            </w:pPr>
            <w:r>
              <w:noBreakHyphen/>
            </w:r>
            <w:r w:rsidR="00175344">
              <w:t>12.3</w:t>
            </w:r>
          </w:p>
        </w:tc>
      </w:tr>
    </w:tbl>
    <w:p w14:paraId="350F8C51" w14:textId="77777777" w:rsidR="00B449D0" w:rsidRDefault="00B449D0" w:rsidP="00380A42">
      <w:pPr>
        <w:pStyle w:val="SingleParagraph0"/>
      </w:pPr>
    </w:p>
    <w:p w14:paraId="3086CD5A" w14:textId="77777777" w:rsidR="00B449D0" w:rsidRDefault="00175344">
      <w:pPr>
        <w:pStyle w:val="Normal2"/>
      </w:pPr>
      <w:r>
        <w:t>The Government will provide $469.6 million over 14 years from 2024–25 to accelerate investment in Future Made in Australia priorities, including renewable hydrogen and refining and processing of critical minerals. Funding includes:</w:t>
      </w:r>
    </w:p>
    <w:p w14:paraId="3E80CBF0" w14:textId="77777777" w:rsidR="00B449D0" w:rsidRDefault="00175344">
      <w:pPr>
        <w:pStyle w:val="Bullet"/>
      </w:pPr>
      <w:r>
        <w:t>$336.2 million over 14 years from 2024–25 to participate in the Australia‑Germany H2Global program, connecting Australian suppliers with overseas purchasers and attracting matched co‑investment from the German Government in the development of renewable hydrogen export products</w:t>
      </w:r>
    </w:p>
    <w:p w14:paraId="6E1C92A6" w14:textId="77777777" w:rsidR="00B449D0" w:rsidRDefault="00175344">
      <w:pPr>
        <w:pStyle w:val="Bullet"/>
      </w:pPr>
      <w:r>
        <w:lastRenderedPageBreak/>
        <w:t>$70.0 million over three years from 2025–26 to establish a grants program to support the participation of First Nations organisations and communities in the development of clean energy projects and accelerate development of First Nations led projects</w:t>
      </w:r>
    </w:p>
    <w:p w14:paraId="5932C9B0" w14:textId="77777777" w:rsidR="00B449D0" w:rsidRDefault="00175344">
      <w:pPr>
        <w:pStyle w:val="Bullet"/>
      </w:pPr>
      <w:r>
        <w:t>$19.6 million over four years from 2024–25 to administer the Hydrogen Production Tax Incentive to support the production of renewable hydrogen in Australia</w:t>
      </w:r>
    </w:p>
    <w:p w14:paraId="0C70479F" w14:textId="77777777" w:rsidR="00B449D0" w:rsidRDefault="00175344">
      <w:pPr>
        <w:pStyle w:val="Bullet"/>
      </w:pPr>
      <w:r>
        <w:t>$11.9 million over four years from 2024–25 to administer and support the delivery of the Critical Minerals Production Tax Incentive</w:t>
      </w:r>
    </w:p>
    <w:p w14:paraId="4A785AB4" w14:textId="77777777" w:rsidR="00B449D0" w:rsidRDefault="00175344">
      <w:pPr>
        <w:pStyle w:val="Bullet"/>
      </w:pPr>
      <w:r>
        <w:t>$11.2 million over two years from 2024–25 to support the establishment of a new Front Door to act as a single entry point for investors and proponents of major, transformational projects across all sectors of the economy</w:t>
      </w:r>
    </w:p>
    <w:p w14:paraId="063C9139" w14:textId="77777777" w:rsidR="00B449D0" w:rsidRDefault="00175344">
      <w:pPr>
        <w:pStyle w:val="Bullet"/>
      </w:pPr>
      <w:r>
        <w:t>$10.7 million over seven years from 2024–25 in additional resourcing to implement the Battery Breakthrough Initiative, administered by the Australian Renewable Energy Agency, to promote development of battery manufacturing capabilities through production credits and capital grants to attract investors and build a sustainable industry</w:t>
      </w:r>
    </w:p>
    <w:p w14:paraId="5C9BE569" w14:textId="77777777" w:rsidR="00B449D0" w:rsidRDefault="00175344">
      <w:pPr>
        <w:pStyle w:val="Bullet"/>
      </w:pPr>
      <w:r>
        <w:t>$5.5 million over four years from 2024–25 to the Australian Made Campaign Limited to increase the profile and awareness of the Australian Made, Australian Grown logo in key export markets</w:t>
      </w:r>
    </w:p>
    <w:p w14:paraId="63BCE5B4" w14:textId="77777777" w:rsidR="00B449D0" w:rsidRDefault="00175344">
      <w:pPr>
        <w:pStyle w:val="Bullet"/>
      </w:pPr>
      <w:r>
        <w:t>$4.6 million over five years from 2024–25 to undertake targeted research and data collection initiatives, and explore regulatory reform and capital investment options to address barriers First Nations people and communities face to participate in clean energy projects and programs.</w:t>
      </w:r>
    </w:p>
    <w:p w14:paraId="60C50E32" w14:textId="77777777" w:rsidR="00B449D0" w:rsidRDefault="00175344">
      <w:pPr>
        <w:pStyle w:val="Normal2"/>
      </w:pPr>
      <w:r>
        <w:t>Funding for the Battery Breakthrough Initiative will be held in the Contingency Reserve pending consultation and design.</w:t>
      </w:r>
    </w:p>
    <w:p w14:paraId="02BE6BE9" w14:textId="77777777" w:rsidR="00B449D0" w:rsidRDefault="00175344">
      <w:pPr>
        <w:pStyle w:val="Normal2"/>
      </w:pPr>
      <w:r w:rsidRPr="7F762F0D">
        <w:rPr>
          <w:lang w:val="en-US"/>
        </w:rPr>
        <w:t xml:space="preserve">The Government has also updated design and delivery parameters for the </w:t>
      </w:r>
      <w:r w:rsidRPr="7F762F0D">
        <w:rPr>
          <w:i/>
          <w:iCs/>
          <w:lang w:val="en-US"/>
        </w:rPr>
        <w:t>Critical Minerals Production Tax Incentive</w:t>
      </w:r>
      <w:r w:rsidRPr="7F762F0D">
        <w:rPr>
          <w:lang w:val="en-US"/>
        </w:rPr>
        <w:t xml:space="preserve">, the Future Made in Australia Innovation Fund and the </w:t>
      </w:r>
      <w:r w:rsidRPr="7F762F0D">
        <w:rPr>
          <w:i/>
          <w:iCs/>
          <w:lang w:val="en-US"/>
        </w:rPr>
        <w:t>Hydrogen Headstart</w:t>
      </w:r>
      <w:r w:rsidRPr="7F762F0D">
        <w:rPr>
          <w:lang w:val="en-US"/>
        </w:rPr>
        <w:t xml:space="preserve"> program.</w:t>
      </w:r>
    </w:p>
    <w:p w14:paraId="5E3E71A8" w14:textId="1B32E385" w:rsidR="00B449D0" w:rsidRDefault="00175344">
      <w:pPr>
        <w:pStyle w:val="Normal2"/>
      </w:pPr>
      <w:r w:rsidRPr="7F762F0D">
        <w:rPr>
          <w:lang w:val="en-US"/>
        </w:rPr>
        <w:t>The cost of this measure will be partially met from within the existing resourcing of the Department of Climate Change, Energy, the Environment and Water, the Australian Renewable Energy Agency and the Treasury, and savings identified in the Industry, Science, and Resources portfolio and the Climate Change</w:t>
      </w:r>
      <w:r w:rsidR="00104D0D">
        <w:rPr>
          <w:lang w:val="en-US"/>
        </w:rPr>
        <w:t xml:space="preserve">, </w:t>
      </w:r>
      <w:r w:rsidRPr="7F762F0D">
        <w:rPr>
          <w:lang w:val="en-US"/>
        </w:rPr>
        <w:t>Energy</w:t>
      </w:r>
      <w:r w:rsidR="00104D0D">
        <w:rPr>
          <w:lang w:val="en-US"/>
        </w:rPr>
        <w:t>, the Environment and Water</w:t>
      </w:r>
      <w:r w:rsidRPr="7F762F0D">
        <w:rPr>
          <w:lang w:val="en-US"/>
        </w:rPr>
        <w:t xml:space="preserve"> portfolio.</w:t>
      </w:r>
    </w:p>
    <w:p w14:paraId="1C9B13BA" w14:textId="77777777" w:rsidR="00B449D0" w:rsidRDefault="00175344">
      <w:pPr>
        <w:pStyle w:val="Normal2"/>
      </w:pPr>
      <w:r>
        <w:t>The Government has already provided partial funding for this measure.</w:t>
      </w:r>
    </w:p>
    <w:p w14:paraId="04507AF3" w14:textId="77777777" w:rsidR="00B449D0" w:rsidRDefault="00175344">
      <w:pPr>
        <w:pStyle w:val="Normal2"/>
      </w:pPr>
      <w:r>
        <w:t xml:space="preserve">This measure builds on the 2022–23 October Budget measure titled </w:t>
      </w:r>
      <w:r w:rsidRPr="00175344">
        <w:rPr>
          <w:i/>
        </w:rPr>
        <w:t xml:space="preserve">Support for Energy Security and Reliability </w:t>
      </w:r>
      <w:r>
        <w:t xml:space="preserve">and the 2024–25 Budget measures titled </w:t>
      </w:r>
      <w:r w:rsidRPr="00175344">
        <w:rPr>
          <w:i/>
        </w:rPr>
        <w:t xml:space="preserve">Future Made in Australia –Making Australia a Renewable Energy Superpower </w:t>
      </w:r>
      <w:r>
        <w:t xml:space="preserve">and </w:t>
      </w:r>
      <w:r w:rsidRPr="00175344">
        <w:rPr>
          <w:i/>
        </w:rPr>
        <w:t>Future Made in Australia – Attracting Investment in Key Industries</w:t>
      </w:r>
      <w:r>
        <w:t>.</w:t>
      </w:r>
    </w:p>
    <w:p w14:paraId="0542AB0D" w14:textId="77777777" w:rsidR="00B449D0" w:rsidRDefault="00B449D0">
      <w:pPr>
        <w:sectPr w:rsidR="00B449D0" w:rsidSect="00301E48">
          <w:headerReference w:type="even" r:id="rId60"/>
          <w:headerReference w:type="default" r:id="rId61"/>
          <w:footerReference w:type="even" r:id="rId62"/>
          <w:footerReference w:type="default" r:id="rId63"/>
          <w:headerReference w:type="first" r:id="rId64"/>
          <w:footerReference w:type="first" r:id="rId65"/>
          <w:pgSz w:w="11906" w:h="16838"/>
          <w:pgMar w:top="2835" w:right="2098" w:bottom="2466" w:left="2098" w:header="1814" w:footer="1814" w:gutter="0"/>
          <w:cols w:space="720"/>
          <w:docGrid w:linePitch="272"/>
        </w:sectPr>
      </w:pPr>
    </w:p>
    <w:p w14:paraId="69A8CEB6" w14:textId="77777777" w:rsidR="00B449D0" w:rsidRDefault="00175344" w:rsidP="0060272A">
      <w:pPr>
        <w:pStyle w:val="PortfolioName"/>
        <w:rPr>
          <w:lang w:val="en-US"/>
        </w:rPr>
      </w:pPr>
      <w:r w:rsidRPr="7F762F0D">
        <w:rPr>
          <w:lang w:val="en-US"/>
        </w:rPr>
        <w:lastRenderedPageBreak/>
        <w:t>Defence</w:t>
      </w:r>
    </w:p>
    <w:p w14:paraId="0C0F16C7" w14:textId="77777777" w:rsidR="00B449D0" w:rsidRDefault="00175344">
      <w:pPr>
        <w:pStyle w:val="MeasureTitle"/>
      </w:pPr>
      <w:r w:rsidRPr="7F762F0D">
        <w:rPr>
          <w:lang w:val="en-US"/>
        </w:rPr>
        <w:t>Additional Support for Australian Defence Force Members and Veterans</w:t>
      </w:r>
    </w:p>
    <w:p w14:paraId="39E99108"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7F1856F4" w14:textId="77777777">
        <w:trPr>
          <w:cantSplit/>
        </w:trPr>
        <w:tc>
          <w:tcPr>
            <w:tcW w:w="2494" w:type="dxa"/>
            <w:tcBorders>
              <w:top w:val="single" w:sz="4" w:space="0" w:color="000000"/>
              <w:bottom w:val="single" w:sz="4" w:space="0" w:color="000000"/>
            </w:tcBorders>
          </w:tcPr>
          <w:p w14:paraId="506DB759" w14:textId="77777777" w:rsidR="00B449D0" w:rsidRDefault="00B449D0">
            <w:pPr>
              <w:pStyle w:val="MeasureTableYearHeadings"/>
              <w:keepNext/>
            </w:pPr>
          </w:p>
        </w:tc>
        <w:tc>
          <w:tcPr>
            <w:tcW w:w="1043" w:type="dxa"/>
            <w:tcBorders>
              <w:top w:val="single" w:sz="4" w:space="0" w:color="000000"/>
              <w:bottom w:val="single" w:sz="4" w:space="0" w:color="000000"/>
            </w:tcBorders>
          </w:tcPr>
          <w:p w14:paraId="1C1FAA33" w14:textId="7500C24D"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05D12A57" w14:textId="40944358"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44520DD8" w14:textId="7A1E3C9D"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1AE9E0D3" w14:textId="5C7970CE"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1962D1D3" w14:textId="4A618685" w:rsidR="00B449D0" w:rsidRDefault="00175344">
            <w:pPr>
              <w:pStyle w:val="MeasureTableYearHeadings"/>
              <w:keepNext/>
            </w:pPr>
            <w:r>
              <w:t>2027</w:t>
            </w:r>
            <w:r w:rsidR="00076D78">
              <w:noBreakHyphen/>
            </w:r>
            <w:r>
              <w:t>28</w:t>
            </w:r>
          </w:p>
        </w:tc>
      </w:tr>
      <w:tr w:rsidR="00B449D0" w14:paraId="47AAA16C" w14:textId="77777777">
        <w:trPr>
          <w:cantSplit/>
        </w:trPr>
        <w:tc>
          <w:tcPr>
            <w:tcW w:w="2494" w:type="dxa"/>
            <w:tcBorders>
              <w:top w:val="single" w:sz="4" w:space="0" w:color="000000"/>
              <w:bottom w:val="single" w:sz="4" w:space="0" w:color="000000"/>
            </w:tcBorders>
          </w:tcPr>
          <w:p w14:paraId="63CCBD88" w14:textId="67A858D2" w:rsidR="00B449D0" w:rsidRDefault="00175344">
            <w:pPr>
              <w:pStyle w:val="MeasureTableHeadingleftalignedwith2ptsspacing"/>
              <w:keepNext/>
            </w:pPr>
            <w:r>
              <w:t>Department of Veterans</w:t>
            </w:r>
            <w:r w:rsidR="00076D78">
              <w:t>’</w:t>
            </w:r>
            <w:r>
              <w:t xml:space="preserve"> Affairs</w:t>
            </w:r>
          </w:p>
        </w:tc>
        <w:tc>
          <w:tcPr>
            <w:tcW w:w="1043" w:type="dxa"/>
            <w:tcBorders>
              <w:top w:val="single" w:sz="4" w:space="0" w:color="000000"/>
              <w:bottom w:val="single" w:sz="4" w:space="0" w:color="000000"/>
            </w:tcBorders>
          </w:tcPr>
          <w:p w14:paraId="40900404" w14:textId="341A6EFB"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6FF6DFB9" w14:textId="75E6E929"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6CF1A6FA" w14:textId="2CE8E66A"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D9FBEE2" w14:textId="77777777" w:rsidR="00B449D0" w:rsidRDefault="00175344">
            <w:pPr>
              <w:pStyle w:val="MeasureTableDataRightAlignedwith2ptsspacing"/>
              <w:keepNext/>
            </w:pPr>
            <w:r>
              <w:t>..</w:t>
            </w:r>
          </w:p>
        </w:tc>
        <w:tc>
          <w:tcPr>
            <w:tcW w:w="1043" w:type="dxa"/>
            <w:tcBorders>
              <w:top w:val="single" w:sz="4" w:space="0" w:color="000000"/>
              <w:bottom w:val="single" w:sz="4" w:space="0" w:color="000000"/>
            </w:tcBorders>
          </w:tcPr>
          <w:p w14:paraId="446A9388" w14:textId="77777777" w:rsidR="00B449D0" w:rsidRDefault="00175344">
            <w:pPr>
              <w:pStyle w:val="MeasureTableDataRightAlignedwith2ptsspacing"/>
              <w:keepNext/>
            </w:pPr>
            <w:r>
              <w:t>..</w:t>
            </w:r>
          </w:p>
        </w:tc>
      </w:tr>
      <w:tr w:rsidR="00B449D0" w14:paraId="6D162E28" w14:textId="77777777">
        <w:trPr>
          <w:cantSplit/>
        </w:trPr>
        <w:tc>
          <w:tcPr>
            <w:tcW w:w="2494" w:type="dxa"/>
            <w:tcBorders>
              <w:top w:val="single" w:sz="4" w:space="0" w:color="000000"/>
              <w:bottom w:val="single" w:sz="4" w:space="0" w:color="000000"/>
            </w:tcBorders>
          </w:tcPr>
          <w:p w14:paraId="77FF7DFA" w14:textId="77777777" w:rsidR="00B449D0" w:rsidRDefault="00175344">
            <w:pPr>
              <w:pStyle w:val="MeasureTableHeadingleftalignedwith2ptsspacing"/>
              <w:keepNext/>
            </w:pPr>
            <w:r>
              <w:t>Department of Defence</w:t>
            </w:r>
          </w:p>
        </w:tc>
        <w:tc>
          <w:tcPr>
            <w:tcW w:w="1043" w:type="dxa"/>
            <w:tcBorders>
              <w:top w:val="single" w:sz="4" w:space="0" w:color="000000"/>
              <w:bottom w:val="single" w:sz="4" w:space="0" w:color="000000"/>
            </w:tcBorders>
          </w:tcPr>
          <w:p w14:paraId="1F90E68B" w14:textId="064B3373"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4E92CC1" w14:textId="682B3868"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0669BD0" w14:textId="2887616F"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B746125" w14:textId="7661B139"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ABF6F1C" w14:textId="45C8D86D" w:rsidR="00B449D0" w:rsidRDefault="00076D78">
            <w:pPr>
              <w:pStyle w:val="MeasureTableDataRightAlignedwith2ptsspacing"/>
              <w:keepNext/>
            </w:pPr>
            <w:r>
              <w:noBreakHyphen/>
            </w:r>
          </w:p>
        </w:tc>
      </w:tr>
      <w:tr w:rsidR="00B449D0" w14:paraId="03BE6B7F" w14:textId="77777777">
        <w:trPr>
          <w:cantSplit/>
        </w:trPr>
        <w:tc>
          <w:tcPr>
            <w:tcW w:w="2494" w:type="dxa"/>
            <w:tcBorders>
              <w:top w:val="single" w:sz="4" w:space="0" w:color="000000"/>
              <w:bottom w:val="single" w:sz="4" w:space="0" w:color="000000"/>
            </w:tcBorders>
          </w:tcPr>
          <w:p w14:paraId="06F59C16"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1771ACAB" w14:textId="0406636C"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7EF9EA31" w14:textId="7D77B3D3"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549A6458" w14:textId="0A722371"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42085843" w14:textId="77777777" w:rsidR="00B449D0" w:rsidRDefault="00175344">
            <w:pPr>
              <w:pStyle w:val="Totaldatarowrightaligned"/>
              <w:keepNext/>
            </w:pPr>
            <w:r>
              <w:t>..</w:t>
            </w:r>
          </w:p>
        </w:tc>
        <w:tc>
          <w:tcPr>
            <w:tcW w:w="1043" w:type="dxa"/>
            <w:tcBorders>
              <w:top w:val="single" w:sz="4" w:space="0" w:color="000000"/>
              <w:bottom w:val="single" w:sz="4" w:space="0" w:color="000000"/>
            </w:tcBorders>
          </w:tcPr>
          <w:p w14:paraId="552EE971" w14:textId="77777777" w:rsidR="00B449D0" w:rsidRDefault="00175344">
            <w:pPr>
              <w:pStyle w:val="Totaldatarowrightaligned"/>
              <w:keepNext/>
            </w:pPr>
            <w:r>
              <w:t>..</w:t>
            </w:r>
          </w:p>
        </w:tc>
      </w:tr>
    </w:tbl>
    <w:p w14:paraId="3B2E99A4" w14:textId="77777777" w:rsidR="00B449D0" w:rsidRDefault="00B449D0" w:rsidP="00380A42">
      <w:pPr>
        <w:pStyle w:val="SingleParagraph0"/>
      </w:pPr>
    </w:p>
    <w:p w14:paraId="05C8EC64" w14:textId="77777777" w:rsidR="00B449D0" w:rsidRDefault="00175344">
      <w:pPr>
        <w:pStyle w:val="Normal2"/>
      </w:pPr>
      <w:r w:rsidRPr="7F762F0D">
        <w:rPr>
          <w:lang w:val="en-US"/>
        </w:rPr>
        <w:t>The Government will provide $0.4 million over three years from 2025–26 (and $53,000 per year ongoing) to provide additional support to Australian Defence Force members and veterans. Funding includes:</w:t>
      </w:r>
    </w:p>
    <w:p w14:paraId="08217A92" w14:textId="62D2E1C7" w:rsidR="00B449D0" w:rsidRDefault="00175344">
      <w:pPr>
        <w:pStyle w:val="Bullet"/>
      </w:pPr>
      <w:r>
        <w:t>$0.4 million in 2025–26 for the completion of Bravery Trust</w:t>
      </w:r>
      <w:r w:rsidR="00076D78">
        <w:t>’</w:t>
      </w:r>
      <w:r>
        <w:t>s trial program to provide financial counselling services to current and former Australian Defence Force members</w:t>
      </w:r>
    </w:p>
    <w:p w14:paraId="0767D609" w14:textId="77777777" w:rsidR="00B449D0" w:rsidRDefault="00175344">
      <w:pPr>
        <w:pStyle w:val="Bullet"/>
      </w:pPr>
      <w:r>
        <w:t xml:space="preserve">$75,000 over two years from 2026–27 (and $53,000 per year ongoing) to fund legal and financial advice for vulnerable military personnel and veterans who are considering lump sum compensation payments under the amended </w:t>
      </w:r>
      <w:r w:rsidRPr="00175344">
        <w:rPr>
          <w:i/>
        </w:rPr>
        <w:t>Military Rehabilitation and Compensation Act 2004</w:t>
      </w:r>
      <w:r>
        <w:t>.</w:t>
      </w:r>
    </w:p>
    <w:p w14:paraId="358AC414" w14:textId="77777777" w:rsidR="00B449D0" w:rsidRDefault="00175344">
      <w:pPr>
        <w:pStyle w:val="Normal2"/>
      </w:pPr>
      <w:r w:rsidRPr="7F762F0D">
        <w:rPr>
          <w:lang w:val="en-US"/>
        </w:rPr>
        <w:t>The Government will also support veterans and their families by allocating compensation payments for eligible young persons of severely impaired veterans in line with the caring arrangements for eligible young persons or children, rather than paying the full amount to the primary carer.</w:t>
      </w:r>
    </w:p>
    <w:p w14:paraId="2790FE92" w14:textId="600EA8D2" w:rsidR="00B449D0" w:rsidRDefault="00175344">
      <w:pPr>
        <w:pStyle w:val="Normal2"/>
      </w:pPr>
      <w:r w:rsidRPr="7F762F0D">
        <w:rPr>
          <w:lang w:val="en-US"/>
        </w:rPr>
        <w:t>The Government will require Parliament to review the operation of the reforms to veterans</w:t>
      </w:r>
      <w:r w:rsidR="00076D78">
        <w:rPr>
          <w:lang w:val="en-US"/>
        </w:rPr>
        <w:t>’</w:t>
      </w:r>
      <w:r w:rsidRPr="7F762F0D">
        <w:rPr>
          <w:lang w:val="en-US"/>
        </w:rPr>
        <w:t xml:space="preserve"> compensation in the Veterans</w:t>
      </w:r>
      <w:r w:rsidR="00076D78">
        <w:rPr>
          <w:lang w:val="en-US"/>
        </w:rPr>
        <w:t>’</w:t>
      </w:r>
      <w:r w:rsidRPr="7F762F0D">
        <w:rPr>
          <w:lang w:val="en-US"/>
        </w:rPr>
        <w:t xml:space="preserve"> Entitlements, Treatment and Support (Simplification and Harmonisation) Bill 2024. The review will take place 12 months after the commencement of the Act.</w:t>
      </w:r>
    </w:p>
    <w:p w14:paraId="0082EF93" w14:textId="77777777" w:rsidR="00B449D0" w:rsidRDefault="00175344">
      <w:pPr>
        <w:pStyle w:val="Normal2"/>
      </w:pPr>
      <w:r w:rsidRPr="7F762F0D">
        <w:rPr>
          <w:lang w:val="en-US"/>
        </w:rPr>
        <w:t>The cost of this measure will be partially met from within the existing resourcing of the Department of Defence.</w:t>
      </w:r>
    </w:p>
    <w:p w14:paraId="3A2D8749" w14:textId="358BEC14" w:rsidR="00B449D0" w:rsidRDefault="00175344">
      <w:pPr>
        <w:pStyle w:val="Normal2"/>
      </w:pPr>
      <w:r w:rsidRPr="7F762F0D">
        <w:rPr>
          <w:lang w:val="en-US"/>
        </w:rPr>
        <w:t xml:space="preserve">This measure supports the </w:t>
      </w:r>
      <w:r w:rsidRPr="7F762F0D">
        <w:rPr>
          <w:i/>
          <w:iCs/>
          <w:lang w:val="en-US"/>
        </w:rPr>
        <w:t>Australian Government Response to the Interim Report of the Royal</w:t>
      </w:r>
      <w:r w:rsidR="00C201F5">
        <w:rPr>
          <w:i/>
          <w:iCs/>
          <w:lang w:val="en-US"/>
        </w:rPr>
        <w:t> </w:t>
      </w:r>
      <w:r w:rsidRPr="7F762F0D">
        <w:rPr>
          <w:i/>
          <w:iCs/>
          <w:lang w:val="en-US"/>
        </w:rPr>
        <w:t>Commission into Defence and Veteran Suicide</w:t>
      </w:r>
      <w:r w:rsidRPr="7F762F0D">
        <w:rPr>
          <w:lang w:val="en-US"/>
        </w:rPr>
        <w:t>.</w:t>
      </w:r>
    </w:p>
    <w:p w14:paraId="7FABCDCA" w14:textId="77777777" w:rsidR="00B449D0" w:rsidRDefault="00175344">
      <w:pPr>
        <w:pStyle w:val="MeasureTitle"/>
      </w:pPr>
      <w:r>
        <w:t>Australian War Memorial – financial sustainability</w:t>
      </w:r>
    </w:p>
    <w:p w14:paraId="7D02B49E"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0B08BD65" w14:textId="77777777">
        <w:trPr>
          <w:cantSplit/>
        </w:trPr>
        <w:tc>
          <w:tcPr>
            <w:tcW w:w="2494" w:type="dxa"/>
            <w:tcBorders>
              <w:top w:val="single" w:sz="4" w:space="0" w:color="000000"/>
              <w:bottom w:val="single" w:sz="4" w:space="0" w:color="000000"/>
            </w:tcBorders>
          </w:tcPr>
          <w:p w14:paraId="6BD80383" w14:textId="77777777" w:rsidR="00B449D0" w:rsidRDefault="00B449D0">
            <w:pPr>
              <w:pStyle w:val="MeasureTableYearHeadings"/>
              <w:keepNext/>
            </w:pPr>
          </w:p>
        </w:tc>
        <w:tc>
          <w:tcPr>
            <w:tcW w:w="1043" w:type="dxa"/>
            <w:tcBorders>
              <w:top w:val="single" w:sz="4" w:space="0" w:color="000000"/>
              <w:bottom w:val="single" w:sz="4" w:space="0" w:color="000000"/>
            </w:tcBorders>
          </w:tcPr>
          <w:p w14:paraId="590BAB01" w14:textId="71034F17"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2FAC2D4A" w14:textId="7C309082"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7B52473F" w14:textId="124A0768"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1E843426" w14:textId="64CB2AA5"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50D15DCF" w14:textId="0631486A" w:rsidR="00B449D0" w:rsidRDefault="00175344">
            <w:pPr>
              <w:pStyle w:val="MeasureTableYearHeadings"/>
              <w:keepNext/>
            </w:pPr>
            <w:r>
              <w:t>2027</w:t>
            </w:r>
            <w:r w:rsidR="00076D78">
              <w:noBreakHyphen/>
            </w:r>
            <w:r>
              <w:t>28</w:t>
            </w:r>
          </w:p>
        </w:tc>
      </w:tr>
      <w:tr w:rsidR="00B449D0" w14:paraId="1CF76F2F" w14:textId="77777777">
        <w:trPr>
          <w:cantSplit/>
        </w:trPr>
        <w:tc>
          <w:tcPr>
            <w:tcW w:w="2494" w:type="dxa"/>
            <w:tcBorders>
              <w:top w:val="single" w:sz="4" w:space="0" w:color="000000"/>
              <w:bottom w:val="single" w:sz="4" w:space="0" w:color="000000"/>
            </w:tcBorders>
          </w:tcPr>
          <w:p w14:paraId="69569472" w14:textId="77777777" w:rsidR="00B449D0" w:rsidRDefault="00175344">
            <w:pPr>
              <w:pStyle w:val="MeasureTableHeadingleftalignedwith2ptsspacing"/>
              <w:keepNext/>
            </w:pPr>
            <w:r>
              <w:t>Australian War Memorial</w:t>
            </w:r>
          </w:p>
        </w:tc>
        <w:tc>
          <w:tcPr>
            <w:tcW w:w="1043" w:type="dxa"/>
            <w:tcBorders>
              <w:top w:val="single" w:sz="4" w:space="0" w:color="000000"/>
              <w:bottom w:val="single" w:sz="4" w:space="0" w:color="000000"/>
            </w:tcBorders>
          </w:tcPr>
          <w:p w14:paraId="3989C191" w14:textId="29753F41"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4D39D95" w14:textId="696E4FE6"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5514906" w14:textId="77777777" w:rsidR="00B449D0" w:rsidRDefault="00175344">
            <w:pPr>
              <w:pStyle w:val="MeasureTableDataRightAlignedwith2ptsspacing"/>
              <w:keepNext/>
            </w:pPr>
            <w:r>
              <w:t>0.3</w:t>
            </w:r>
          </w:p>
        </w:tc>
        <w:tc>
          <w:tcPr>
            <w:tcW w:w="1043" w:type="dxa"/>
            <w:tcBorders>
              <w:top w:val="single" w:sz="4" w:space="0" w:color="000000"/>
              <w:bottom w:val="single" w:sz="4" w:space="0" w:color="000000"/>
            </w:tcBorders>
          </w:tcPr>
          <w:p w14:paraId="4A6B5A99" w14:textId="2C5DD00D"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37F7D52" w14:textId="68D21FB1" w:rsidR="00B449D0" w:rsidRDefault="00076D78">
            <w:pPr>
              <w:pStyle w:val="MeasureTableDataRightAlignedwith2ptsspacing"/>
              <w:keepNext/>
            </w:pPr>
            <w:r>
              <w:noBreakHyphen/>
            </w:r>
          </w:p>
        </w:tc>
      </w:tr>
    </w:tbl>
    <w:p w14:paraId="5B7120FC" w14:textId="77777777" w:rsidR="00B449D0" w:rsidRDefault="00B449D0" w:rsidP="00380A42">
      <w:pPr>
        <w:pStyle w:val="SingleParagraph0"/>
      </w:pPr>
    </w:p>
    <w:p w14:paraId="1E0B4541" w14:textId="77777777" w:rsidR="00B449D0" w:rsidRDefault="00175344">
      <w:pPr>
        <w:pStyle w:val="Normal2"/>
      </w:pPr>
      <w:r>
        <w:t>The Government will provide $8.1 million in 2025–26 to support the financial sustainability of the Australian War Memorial.</w:t>
      </w:r>
    </w:p>
    <w:p w14:paraId="316CA30F" w14:textId="77777777" w:rsidR="00B449D0" w:rsidRDefault="00175344">
      <w:pPr>
        <w:pStyle w:val="Normal2"/>
      </w:pPr>
      <w:r>
        <w:t xml:space="preserve">This measure builds on the 2024–25 Budget measure titled </w:t>
      </w:r>
      <w:r w:rsidRPr="00175344">
        <w:rPr>
          <w:i/>
        </w:rPr>
        <w:t>Australian War Memorial – financial sustainability</w:t>
      </w:r>
      <w:r>
        <w:t>.</w:t>
      </w:r>
    </w:p>
    <w:p w14:paraId="2FB84520" w14:textId="77777777" w:rsidR="00B449D0" w:rsidRDefault="00175344">
      <w:pPr>
        <w:pStyle w:val="MeasureTitle"/>
      </w:pPr>
      <w:r w:rsidRPr="7F762F0D">
        <w:rPr>
          <w:lang w:val="en-US"/>
        </w:rPr>
        <w:lastRenderedPageBreak/>
        <w:t>Defence Support to the Pacific and the Middle East</w:t>
      </w:r>
    </w:p>
    <w:p w14:paraId="4B40ABD3"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2EADCFA4" w14:textId="77777777">
        <w:trPr>
          <w:cantSplit/>
        </w:trPr>
        <w:tc>
          <w:tcPr>
            <w:tcW w:w="2494" w:type="dxa"/>
            <w:tcBorders>
              <w:top w:val="single" w:sz="4" w:space="0" w:color="000000"/>
              <w:bottom w:val="single" w:sz="4" w:space="0" w:color="000000"/>
            </w:tcBorders>
          </w:tcPr>
          <w:p w14:paraId="0B0C9745" w14:textId="77777777" w:rsidR="00B449D0" w:rsidRDefault="00B449D0">
            <w:pPr>
              <w:pStyle w:val="MeasureTableYearHeadings"/>
              <w:keepNext/>
            </w:pPr>
          </w:p>
        </w:tc>
        <w:tc>
          <w:tcPr>
            <w:tcW w:w="1043" w:type="dxa"/>
            <w:tcBorders>
              <w:top w:val="single" w:sz="4" w:space="0" w:color="000000"/>
              <w:bottom w:val="single" w:sz="4" w:space="0" w:color="000000"/>
            </w:tcBorders>
          </w:tcPr>
          <w:p w14:paraId="7D13EED4" w14:textId="61A554EB"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00BE4723" w14:textId="05FAB23D"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1EBBB09B" w14:textId="45499B5F"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2172E834" w14:textId="59EB1C56"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5042D337" w14:textId="570758F0" w:rsidR="00B449D0" w:rsidRDefault="00175344">
            <w:pPr>
              <w:pStyle w:val="MeasureTableYearHeadings"/>
              <w:keepNext/>
            </w:pPr>
            <w:r>
              <w:t>2027</w:t>
            </w:r>
            <w:r w:rsidR="00076D78">
              <w:noBreakHyphen/>
            </w:r>
            <w:r>
              <w:t>28</w:t>
            </w:r>
          </w:p>
        </w:tc>
      </w:tr>
      <w:tr w:rsidR="00B449D0" w14:paraId="33610833" w14:textId="77777777">
        <w:trPr>
          <w:cantSplit/>
        </w:trPr>
        <w:tc>
          <w:tcPr>
            <w:tcW w:w="2494" w:type="dxa"/>
            <w:tcBorders>
              <w:top w:val="single" w:sz="4" w:space="0" w:color="000000"/>
              <w:bottom w:val="single" w:sz="4" w:space="0" w:color="000000"/>
            </w:tcBorders>
          </w:tcPr>
          <w:p w14:paraId="5D03A2E3" w14:textId="77777777" w:rsidR="00B449D0" w:rsidRDefault="00175344">
            <w:pPr>
              <w:pStyle w:val="MeasureTableHeadingleftalignedwith2ptsspacing"/>
              <w:keepNext/>
            </w:pPr>
            <w:r>
              <w:t>Department of Defence</w:t>
            </w:r>
          </w:p>
        </w:tc>
        <w:tc>
          <w:tcPr>
            <w:tcW w:w="1043" w:type="dxa"/>
            <w:tcBorders>
              <w:top w:val="single" w:sz="4" w:space="0" w:color="000000"/>
              <w:bottom w:val="single" w:sz="4" w:space="0" w:color="000000"/>
            </w:tcBorders>
          </w:tcPr>
          <w:p w14:paraId="6F8CD646" w14:textId="24AB5649"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9052648" w14:textId="77777777" w:rsidR="00B449D0" w:rsidRDefault="00175344">
            <w:pPr>
              <w:pStyle w:val="MeasureTableDataRightAlignedwith2ptsspacing"/>
              <w:keepNext/>
            </w:pPr>
            <w:r>
              <w:t>18.3</w:t>
            </w:r>
          </w:p>
        </w:tc>
        <w:tc>
          <w:tcPr>
            <w:tcW w:w="1043" w:type="dxa"/>
            <w:tcBorders>
              <w:top w:val="single" w:sz="4" w:space="0" w:color="000000"/>
              <w:bottom w:val="single" w:sz="4" w:space="0" w:color="000000"/>
            </w:tcBorders>
          </w:tcPr>
          <w:p w14:paraId="259A4C88" w14:textId="6969F503"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B76D5F9" w14:textId="33FA5721"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8FB7FC3" w14:textId="1FF0604B" w:rsidR="00B449D0" w:rsidRDefault="00076D78">
            <w:pPr>
              <w:pStyle w:val="MeasureTableDataRightAlignedwith2ptsspacing"/>
              <w:keepNext/>
            </w:pPr>
            <w:r>
              <w:noBreakHyphen/>
            </w:r>
          </w:p>
        </w:tc>
      </w:tr>
      <w:tr w:rsidR="00B449D0" w14:paraId="4E9B928F" w14:textId="77777777">
        <w:trPr>
          <w:cantSplit/>
        </w:trPr>
        <w:tc>
          <w:tcPr>
            <w:tcW w:w="2494" w:type="dxa"/>
          </w:tcPr>
          <w:p w14:paraId="2C845463" w14:textId="77777777" w:rsidR="00B449D0" w:rsidRDefault="00175344">
            <w:pPr>
              <w:pStyle w:val="AgencyName"/>
              <w:keepNext/>
            </w:pPr>
            <w:r>
              <w:t>Related receipts ($m)</w:t>
            </w:r>
          </w:p>
        </w:tc>
        <w:tc>
          <w:tcPr>
            <w:tcW w:w="1043" w:type="dxa"/>
          </w:tcPr>
          <w:p w14:paraId="6BA614DB" w14:textId="77777777" w:rsidR="00B449D0" w:rsidRDefault="00B449D0">
            <w:pPr>
              <w:pStyle w:val="AgencyName"/>
              <w:keepNext/>
            </w:pPr>
          </w:p>
        </w:tc>
        <w:tc>
          <w:tcPr>
            <w:tcW w:w="1043" w:type="dxa"/>
          </w:tcPr>
          <w:p w14:paraId="5D7B0CEB" w14:textId="77777777" w:rsidR="00B449D0" w:rsidRDefault="00B449D0">
            <w:pPr>
              <w:pStyle w:val="AgencyName"/>
              <w:keepNext/>
            </w:pPr>
          </w:p>
        </w:tc>
        <w:tc>
          <w:tcPr>
            <w:tcW w:w="1043" w:type="dxa"/>
          </w:tcPr>
          <w:p w14:paraId="54AB7AD9" w14:textId="77777777" w:rsidR="00B449D0" w:rsidRDefault="00B449D0">
            <w:pPr>
              <w:pStyle w:val="AgencyName"/>
              <w:keepNext/>
            </w:pPr>
          </w:p>
        </w:tc>
        <w:tc>
          <w:tcPr>
            <w:tcW w:w="1043" w:type="dxa"/>
          </w:tcPr>
          <w:p w14:paraId="5194AAC0" w14:textId="77777777" w:rsidR="00B449D0" w:rsidRDefault="00B449D0">
            <w:pPr>
              <w:pStyle w:val="AgencyName"/>
              <w:keepNext/>
            </w:pPr>
          </w:p>
        </w:tc>
        <w:tc>
          <w:tcPr>
            <w:tcW w:w="1043" w:type="dxa"/>
          </w:tcPr>
          <w:p w14:paraId="4F67725F" w14:textId="77777777" w:rsidR="00B449D0" w:rsidRDefault="00B449D0">
            <w:pPr>
              <w:pStyle w:val="AgencyName"/>
              <w:keepNext/>
            </w:pPr>
          </w:p>
        </w:tc>
      </w:tr>
      <w:tr w:rsidR="00B449D0" w14:paraId="7CBB72E1" w14:textId="77777777">
        <w:tc>
          <w:tcPr>
            <w:tcW w:w="2494" w:type="dxa"/>
          </w:tcPr>
          <w:p w14:paraId="41524EF1" w14:textId="77777777" w:rsidR="00B449D0" w:rsidRDefault="00175344">
            <w:pPr>
              <w:pStyle w:val="AgencyNamewith2ptsspacing"/>
              <w:keepNext/>
            </w:pPr>
            <w:r>
              <w:t>Australian Taxation Office</w:t>
            </w:r>
          </w:p>
        </w:tc>
        <w:tc>
          <w:tcPr>
            <w:tcW w:w="1043" w:type="dxa"/>
          </w:tcPr>
          <w:p w14:paraId="0DAB48F9" w14:textId="2D0484A3" w:rsidR="00B449D0" w:rsidRDefault="00076D78">
            <w:pPr>
              <w:pStyle w:val="Measuretabledatarightaligneditalics"/>
              <w:keepNext/>
            </w:pPr>
            <w:r>
              <w:noBreakHyphen/>
            </w:r>
          </w:p>
        </w:tc>
        <w:tc>
          <w:tcPr>
            <w:tcW w:w="1043" w:type="dxa"/>
          </w:tcPr>
          <w:p w14:paraId="7F1B2EA0" w14:textId="2754BA17" w:rsidR="00B449D0" w:rsidRDefault="00076D78">
            <w:pPr>
              <w:pStyle w:val="Measuretabledatarightaligneditalics"/>
              <w:keepNext/>
            </w:pPr>
            <w:r>
              <w:noBreakHyphen/>
            </w:r>
            <w:r w:rsidR="00175344">
              <w:t>0.1</w:t>
            </w:r>
          </w:p>
        </w:tc>
        <w:tc>
          <w:tcPr>
            <w:tcW w:w="1043" w:type="dxa"/>
          </w:tcPr>
          <w:p w14:paraId="50D8BCD7" w14:textId="735B3976" w:rsidR="00B449D0" w:rsidRDefault="006954A5">
            <w:pPr>
              <w:pStyle w:val="Measuretabledatarightaligneditalics"/>
              <w:keepNext/>
            </w:pPr>
            <w:r>
              <w:t>..</w:t>
            </w:r>
          </w:p>
        </w:tc>
        <w:tc>
          <w:tcPr>
            <w:tcW w:w="1043" w:type="dxa"/>
          </w:tcPr>
          <w:p w14:paraId="25D162BE" w14:textId="0F3A002F" w:rsidR="00B449D0" w:rsidRDefault="00076D78">
            <w:pPr>
              <w:pStyle w:val="Measuretabledatarightaligneditalics"/>
              <w:keepNext/>
            </w:pPr>
            <w:r>
              <w:noBreakHyphen/>
            </w:r>
          </w:p>
        </w:tc>
        <w:tc>
          <w:tcPr>
            <w:tcW w:w="1043" w:type="dxa"/>
          </w:tcPr>
          <w:p w14:paraId="6CC5D64E" w14:textId="296A5219" w:rsidR="00B449D0" w:rsidRDefault="00076D78">
            <w:pPr>
              <w:pStyle w:val="Measuretabledatarightaligneditalics"/>
              <w:keepNext/>
            </w:pPr>
            <w:r>
              <w:noBreakHyphen/>
            </w:r>
          </w:p>
        </w:tc>
      </w:tr>
    </w:tbl>
    <w:p w14:paraId="3E332E61" w14:textId="77777777" w:rsidR="00B449D0" w:rsidRDefault="00B449D0" w:rsidP="00380A42">
      <w:pPr>
        <w:pStyle w:val="SingleParagraph0"/>
      </w:pPr>
    </w:p>
    <w:p w14:paraId="4C8716D4" w14:textId="28A71EB3" w:rsidR="00B449D0" w:rsidRDefault="00175344">
      <w:pPr>
        <w:pStyle w:val="Normal2"/>
      </w:pPr>
      <w:r w:rsidRPr="7F762F0D">
        <w:rPr>
          <w:lang w:val="en-US"/>
        </w:rPr>
        <w:t>The Government will provide $25.4 million over four years from 2024–25 (and an additional $2.2 million from 2028–29 to 2034–35) to provide Defence support to Australia</w:t>
      </w:r>
      <w:r w:rsidR="00076D78">
        <w:rPr>
          <w:lang w:val="en-US"/>
        </w:rPr>
        <w:t>’</w:t>
      </w:r>
      <w:r w:rsidRPr="7F762F0D">
        <w:rPr>
          <w:lang w:val="en-US"/>
        </w:rPr>
        <w:t>s Pacific partners and in response to the escalation of conflict in the Middle East. Funding includes:</w:t>
      </w:r>
    </w:p>
    <w:p w14:paraId="7583A9D0" w14:textId="0A4F350B" w:rsidR="00B449D0" w:rsidRDefault="00175344">
      <w:pPr>
        <w:pStyle w:val="Bullet"/>
      </w:pPr>
      <w:r>
        <w:t xml:space="preserve">$18.3 million in 2024–25 for </w:t>
      </w:r>
      <w:r w:rsidRPr="00175344">
        <w:rPr>
          <w:i/>
        </w:rPr>
        <w:t xml:space="preserve">Operation BEECH </w:t>
      </w:r>
      <w:r>
        <w:t xml:space="preserve">to ensure the readiness of Australian Defence Force personnel to deploy in support of the Australian Government response to the Middle East </w:t>
      </w:r>
      <w:r w:rsidR="00140A6D">
        <w:t>conflict</w:t>
      </w:r>
      <w:r>
        <w:t>, and assist Australian citizens and foreign nationals where required</w:t>
      </w:r>
    </w:p>
    <w:p w14:paraId="571698DB" w14:textId="77777777" w:rsidR="00B449D0" w:rsidRDefault="00175344">
      <w:pPr>
        <w:pStyle w:val="Bullet"/>
      </w:pPr>
      <w:r>
        <w:t>$4.1 million over four years from 2024–25 (and an additional $2.2 million from 2028–29 to 2034–35) to provide the Government of Papua New Guinea with 12 armoured vehicles and sustainment support</w:t>
      </w:r>
    </w:p>
    <w:p w14:paraId="18F2F2FC" w14:textId="77777777" w:rsidR="00B449D0" w:rsidRDefault="00175344">
      <w:pPr>
        <w:pStyle w:val="Bullet"/>
      </w:pPr>
      <w:r>
        <w:t>$3.0 million in 2024–25 to establish the Pacific Special Advisory Team, a multinational group of defence personnel to support Pacific civilian authorities and organisations to respond to disasters.</w:t>
      </w:r>
    </w:p>
    <w:p w14:paraId="3B6076D4" w14:textId="77777777" w:rsidR="00B449D0" w:rsidRDefault="00175344">
      <w:pPr>
        <w:pStyle w:val="Normal2"/>
      </w:pPr>
      <w:r w:rsidRPr="7F762F0D">
        <w:rPr>
          <w:lang w:val="en-US"/>
        </w:rPr>
        <w:t>The cost of this measure will be partially met from within the existing resourcing of the Department of Defence.</w:t>
      </w:r>
    </w:p>
    <w:p w14:paraId="7EBB6F37" w14:textId="77777777" w:rsidR="00B449D0" w:rsidRDefault="00175344">
      <w:pPr>
        <w:pStyle w:val="Normal2"/>
      </w:pPr>
      <w:r w:rsidRPr="7F762F0D">
        <w:rPr>
          <w:lang w:val="en-US"/>
        </w:rPr>
        <w:t xml:space="preserve">This measure builds on the 2024–25 Budget measure titled </w:t>
      </w:r>
      <w:r w:rsidRPr="7F762F0D">
        <w:rPr>
          <w:i/>
          <w:iCs/>
          <w:lang w:val="en-US"/>
        </w:rPr>
        <w:t>Defence Assistance – regional and global support</w:t>
      </w:r>
      <w:r w:rsidRPr="7F762F0D">
        <w:rPr>
          <w:lang w:val="en-US"/>
        </w:rPr>
        <w:t>.</w:t>
      </w:r>
    </w:p>
    <w:p w14:paraId="77A686C4" w14:textId="06A7EC6D" w:rsidR="00B449D0" w:rsidRDefault="00175344">
      <w:pPr>
        <w:pStyle w:val="MeasureTitle"/>
      </w:pPr>
      <w:r w:rsidRPr="7F762F0D">
        <w:rPr>
          <w:lang w:val="en-US"/>
        </w:rPr>
        <w:t>Defence Workforce Plan – investing in Defence</w:t>
      </w:r>
      <w:r w:rsidR="00076D78">
        <w:rPr>
          <w:lang w:val="en-US"/>
        </w:rPr>
        <w:t>’</w:t>
      </w:r>
      <w:r w:rsidRPr="7F762F0D">
        <w:rPr>
          <w:lang w:val="en-US"/>
        </w:rPr>
        <w:t>s people</w:t>
      </w:r>
    </w:p>
    <w:p w14:paraId="4A8CFBB9"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2346B53E" w14:textId="77777777">
        <w:trPr>
          <w:cantSplit/>
        </w:trPr>
        <w:tc>
          <w:tcPr>
            <w:tcW w:w="2494" w:type="dxa"/>
            <w:tcBorders>
              <w:top w:val="single" w:sz="4" w:space="0" w:color="000000"/>
              <w:bottom w:val="single" w:sz="4" w:space="0" w:color="000000"/>
            </w:tcBorders>
          </w:tcPr>
          <w:p w14:paraId="1DA1BF0D" w14:textId="77777777" w:rsidR="00B449D0" w:rsidRDefault="00B449D0">
            <w:pPr>
              <w:pStyle w:val="MeasureTableYearHeadings"/>
              <w:keepNext/>
            </w:pPr>
          </w:p>
        </w:tc>
        <w:tc>
          <w:tcPr>
            <w:tcW w:w="1043" w:type="dxa"/>
            <w:tcBorders>
              <w:top w:val="single" w:sz="4" w:space="0" w:color="000000"/>
              <w:bottom w:val="single" w:sz="4" w:space="0" w:color="000000"/>
            </w:tcBorders>
          </w:tcPr>
          <w:p w14:paraId="612B1D34" w14:textId="166D1930"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4E0C38AB" w14:textId="33E95179"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45E6DDB9" w14:textId="7FBAB6A4"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44D4E7BC" w14:textId="77AB56A0"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36CAF5DB" w14:textId="0FEE3F9E" w:rsidR="00B449D0" w:rsidRDefault="00175344">
            <w:pPr>
              <w:pStyle w:val="MeasureTableYearHeadings"/>
              <w:keepNext/>
            </w:pPr>
            <w:r>
              <w:t>2027</w:t>
            </w:r>
            <w:r w:rsidR="00076D78">
              <w:noBreakHyphen/>
            </w:r>
            <w:r>
              <w:t>28</w:t>
            </w:r>
          </w:p>
        </w:tc>
      </w:tr>
      <w:tr w:rsidR="00B449D0" w14:paraId="302980B3" w14:textId="77777777">
        <w:trPr>
          <w:cantSplit/>
        </w:trPr>
        <w:tc>
          <w:tcPr>
            <w:tcW w:w="2494" w:type="dxa"/>
            <w:tcBorders>
              <w:top w:val="single" w:sz="4" w:space="0" w:color="000000"/>
              <w:bottom w:val="single" w:sz="4" w:space="0" w:color="000000"/>
            </w:tcBorders>
          </w:tcPr>
          <w:p w14:paraId="6AA3C777" w14:textId="77777777" w:rsidR="00B449D0" w:rsidRDefault="00175344">
            <w:pPr>
              <w:pStyle w:val="MeasureTableHeadingleftalignedwith2ptsspacing"/>
              <w:keepNext/>
            </w:pPr>
            <w:r>
              <w:t>Department of Defence</w:t>
            </w:r>
          </w:p>
        </w:tc>
        <w:tc>
          <w:tcPr>
            <w:tcW w:w="1043" w:type="dxa"/>
            <w:tcBorders>
              <w:top w:val="single" w:sz="4" w:space="0" w:color="000000"/>
              <w:bottom w:val="single" w:sz="4" w:space="0" w:color="000000"/>
            </w:tcBorders>
          </w:tcPr>
          <w:p w14:paraId="2828060F" w14:textId="45BEEAF9"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27D4185" w14:textId="388044F1"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A475D83" w14:textId="078ADA45"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EDB4E65" w14:textId="70920D95"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E5B506F" w14:textId="1D535726" w:rsidR="00B449D0" w:rsidRDefault="00076D78">
            <w:pPr>
              <w:pStyle w:val="MeasureTableDataRightAlignedwith2ptsspacing"/>
              <w:keepNext/>
            </w:pPr>
            <w:r>
              <w:noBreakHyphen/>
            </w:r>
          </w:p>
        </w:tc>
      </w:tr>
      <w:tr w:rsidR="00B449D0" w14:paraId="123B499F" w14:textId="77777777">
        <w:trPr>
          <w:cantSplit/>
        </w:trPr>
        <w:tc>
          <w:tcPr>
            <w:tcW w:w="2494" w:type="dxa"/>
          </w:tcPr>
          <w:p w14:paraId="433B2CB7" w14:textId="77777777" w:rsidR="00B449D0" w:rsidRDefault="00175344">
            <w:pPr>
              <w:pStyle w:val="AgencyName"/>
              <w:keepNext/>
            </w:pPr>
            <w:r>
              <w:t>Related receipts ($m)</w:t>
            </w:r>
          </w:p>
        </w:tc>
        <w:tc>
          <w:tcPr>
            <w:tcW w:w="1043" w:type="dxa"/>
          </w:tcPr>
          <w:p w14:paraId="502F5294" w14:textId="77777777" w:rsidR="00B449D0" w:rsidRDefault="00B449D0">
            <w:pPr>
              <w:pStyle w:val="AgencyName"/>
              <w:keepNext/>
            </w:pPr>
          </w:p>
        </w:tc>
        <w:tc>
          <w:tcPr>
            <w:tcW w:w="1043" w:type="dxa"/>
          </w:tcPr>
          <w:p w14:paraId="427FD966" w14:textId="77777777" w:rsidR="00B449D0" w:rsidRDefault="00B449D0">
            <w:pPr>
              <w:pStyle w:val="AgencyName"/>
              <w:keepNext/>
            </w:pPr>
          </w:p>
        </w:tc>
        <w:tc>
          <w:tcPr>
            <w:tcW w:w="1043" w:type="dxa"/>
          </w:tcPr>
          <w:p w14:paraId="3DC3EB88" w14:textId="77777777" w:rsidR="00B449D0" w:rsidRDefault="00B449D0">
            <w:pPr>
              <w:pStyle w:val="AgencyName"/>
              <w:keepNext/>
            </w:pPr>
          </w:p>
        </w:tc>
        <w:tc>
          <w:tcPr>
            <w:tcW w:w="1043" w:type="dxa"/>
          </w:tcPr>
          <w:p w14:paraId="202F9334" w14:textId="77777777" w:rsidR="00B449D0" w:rsidRDefault="00B449D0">
            <w:pPr>
              <w:pStyle w:val="AgencyName"/>
              <w:keepNext/>
            </w:pPr>
          </w:p>
        </w:tc>
        <w:tc>
          <w:tcPr>
            <w:tcW w:w="1043" w:type="dxa"/>
          </w:tcPr>
          <w:p w14:paraId="5C2F00B7" w14:textId="77777777" w:rsidR="00B449D0" w:rsidRDefault="00B449D0">
            <w:pPr>
              <w:pStyle w:val="AgencyName"/>
              <w:keepNext/>
            </w:pPr>
          </w:p>
        </w:tc>
      </w:tr>
      <w:tr w:rsidR="00B449D0" w14:paraId="5531F8BF" w14:textId="77777777">
        <w:tc>
          <w:tcPr>
            <w:tcW w:w="2494" w:type="dxa"/>
          </w:tcPr>
          <w:p w14:paraId="078403C6" w14:textId="77777777" w:rsidR="00B449D0" w:rsidRDefault="00175344">
            <w:pPr>
              <w:pStyle w:val="AgencyNamewith2ptsspacing"/>
              <w:keepNext/>
            </w:pPr>
            <w:r>
              <w:t>Australian Taxation Office</w:t>
            </w:r>
          </w:p>
        </w:tc>
        <w:tc>
          <w:tcPr>
            <w:tcW w:w="1043" w:type="dxa"/>
          </w:tcPr>
          <w:p w14:paraId="6E918071" w14:textId="22C7B7D2" w:rsidR="00B449D0" w:rsidRDefault="00076D78">
            <w:pPr>
              <w:pStyle w:val="Measuretabledatarightaligneditalics"/>
              <w:keepNext/>
            </w:pPr>
            <w:r>
              <w:noBreakHyphen/>
            </w:r>
          </w:p>
        </w:tc>
        <w:tc>
          <w:tcPr>
            <w:tcW w:w="1043" w:type="dxa"/>
          </w:tcPr>
          <w:p w14:paraId="5EF9741F" w14:textId="564A334B" w:rsidR="00B449D0" w:rsidRDefault="00076D78">
            <w:pPr>
              <w:pStyle w:val="Measuretabledatarightaligneditalics"/>
              <w:keepNext/>
            </w:pPr>
            <w:r>
              <w:noBreakHyphen/>
            </w:r>
          </w:p>
        </w:tc>
        <w:tc>
          <w:tcPr>
            <w:tcW w:w="1043" w:type="dxa"/>
          </w:tcPr>
          <w:p w14:paraId="22E8B9E2" w14:textId="77777777" w:rsidR="00B449D0" w:rsidRDefault="00175344">
            <w:pPr>
              <w:pStyle w:val="Measuretabledatarightaligneditalics"/>
              <w:keepNext/>
            </w:pPr>
            <w:r>
              <w:t>40.0</w:t>
            </w:r>
          </w:p>
        </w:tc>
        <w:tc>
          <w:tcPr>
            <w:tcW w:w="1043" w:type="dxa"/>
          </w:tcPr>
          <w:p w14:paraId="552FC6CD" w14:textId="77777777" w:rsidR="00B449D0" w:rsidRDefault="00175344">
            <w:pPr>
              <w:pStyle w:val="Measuretabledatarightaligneditalics"/>
              <w:keepNext/>
            </w:pPr>
            <w:r>
              <w:t>48.0</w:t>
            </w:r>
          </w:p>
        </w:tc>
        <w:tc>
          <w:tcPr>
            <w:tcW w:w="1043" w:type="dxa"/>
          </w:tcPr>
          <w:p w14:paraId="24EA8D0D" w14:textId="77777777" w:rsidR="00B449D0" w:rsidRDefault="00175344">
            <w:pPr>
              <w:pStyle w:val="Measuretabledatarightaligneditalics"/>
              <w:keepNext/>
            </w:pPr>
            <w:r>
              <w:t>49.0</w:t>
            </w:r>
          </w:p>
        </w:tc>
      </w:tr>
    </w:tbl>
    <w:p w14:paraId="7920AD19" w14:textId="77777777" w:rsidR="00B449D0" w:rsidRDefault="00B449D0" w:rsidP="00380A42">
      <w:pPr>
        <w:pStyle w:val="SingleParagraph0"/>
      </w:pPr>
    </w:p>
    <w:p w14:paraId="759D7FA1" w14:textId="77777777" w:rsidR="00B449D0" w:rsidRDefault="00175344">
      <w:pPr>
        <w:pStyle w:val="Normal2"/>
      </w:pPr>
      <w:r w:rsidRPr="7F762F0D">
        <w:rPr>
          <w:lang w:val="en-US"/>
        </w:rPr>
        <w:t>The Government will provide $609.4 million over three years from 2025–26 (and an additional $363.4 million from 2028–29 to 2034–35) to support the Defence Workforce Plan and grow the Australian Defence Force (ADF) to 69,000 personnel by the early 2030s. Funding includes:</w:t>
      </w:r>
    </w:p>
    <w:p w14:paraId="363644E4" w14:textId="6E917858" w:rsidR="00B449D0" w:rsidRDefault="00175344">
      <w:pPr>
        <w:pStyle w:val="Bullet"/>
      </w:pPr>
      <w:r>
        <w:t>$571.8 million over three years from 2025–26 to extend and expand the current Continuation Bonus so that eligible, permanent ADF members nearing the end of their initial service obligation receive a $40,000 bonus, and a second cohort of eligible, permanent ADF members also receive a $40,000 bonus after a minimum seven years of</w:t>
      </w:r>
      <w:r w:rsidR="003A26CE">
        <w:t> </w:t>
      </w:r>
      <w:r>
        <w:t>service</w:t>
      </w:r>
    </w:p>
    <w:p w14:paraId="5AFDACFA" w14:textId="08D5B4CC" w:rsidR="00B449D0" w:rsidRDefault="00175344">
      <w:pPr>
        <w:pStyle w:val="Bullet"/>
      </w:pPr>
      <w:r>
        <w:lastRenderedPageBreak/>
        <w:t>$37.6 million over three years from 2025–26 (and an additional $363.4 from 2028–29 to 2034–35) to increase the ADF</w:t>
      </w:r>
      <w:r w:rsidR="00076D78">
        <w:t>’</w:t>
      </w:r>
      <w:r>
        <w:t>s Operational Reserves, reaching an additional 1,000 reservists by 2030.</w:t>
      </w:r>
    </w:p>
    <w:p w14:paraId="50E1DDF8" w14:textId="77777777" w:rsidR="00B449D0" w:rsidRDefault="00175344">
      <w:pPr>
        <w:pStyle w:val="Normal2"/>
      </w:pPr>
      <w:r w:rsidRPr="7F762F0D">
        <w:rPr>
          <w:lang w:val="en-US"/>
        </w:rPr>
        <w:t>The cost of this measure will be met from within the existing resourcing of the Department of Defence.</w:t>
      </w:r>
    </w:p>
    <w:p w14:paraId="040D4332" w14:textId="676BB54D" w:rsidR="00B449D0" w:rsidRDefault="00175344">
      <w:pPr>
        <w:pStyle w:val="Normal2"/>
      </w:pPr>
      <w:r w:rsidRPr="7F762F0D">
        <w:rPr>
          <w:lang w:val="en-US"/>
        </w:rPr>
        <w:t xml:space="preserve">This measure builds on the 2023–24 Budget measure titled </w:t>
      </w:r>
      <w:r w:rsidRPr="7F762F0D">
        <w:rPr>
          <w:i/>
          <w:iCs/>
          <w:lang w:val="en-US"/>
        </w:rPr>
        <w:t>Recognising the Australian Defence Force</w:t>
      </w:r>
      <w:r w:rsidR="00076D78">
        <w:rPr>
          <w:i/>
          <w:iCs/>
          <w:lang w:val="en-US"/>
        </w:rPr>
        <w:t>’</w:t>
      </w:r>
      <w:r w:rsidRPr="7F762F0D">
        <w:rPr>
          <w:i/>
          <w:iCs/>
          <w:lang w:val="en-US"/>
        </w:rPr>
        <w:t>s Unique Service to the Nation</w:t>
      </w:r>
      <w:r w:rsidRPr="7F762F0D">
        <w:rPr>
          <w:lang w:val="en-US"/>
        </w:rPr>
        <w:t>.</w:t>
      </w:r>
    </w:p>
    <w:p w14:paraId="0BD78F50" w14:textId="575EB50A" w:rsidR="00B449D0" w:rsidRDefault="00175344">
      <w:pPr>
        <w:pStyle w:val="MeasureTitle"/>
      </w:pPr>
      <w:r w:rsidRPr="7F762F0D">
        <w:rPr>
          <w:lang w:val="en-US"/>
        </w:rPr>
        <w:t>Department of Veterans</w:t>
      </w:r>
      <w:r w:rsidR="00076D78">
        <w:rPr>
          <w:lang w:val="en-US"/>
        </w:rPr>
        <w:t>’</w:t>
      </w:r>
      <w:r w:rsidRPr="7F762F0D">
        <w:rPr>
          <w:lang w:val="en-US"/>
        </w:rPr>
        <w:t xml:space="preserve"> Affairs – additional resourcing to support service delivery</w:t>
      </w:r>
    </w:p>
    <w:p w14:paraId="67A1A1BD"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1131F793" w14:textId="77777777">
        <w:trPr>
          <w:cantSplit/>
        </w:trPr>
        <w:tc>
          <w:tcPr>
            <w:tcW w:w="2494" w:type="dxa"/>
            <w:tcBorders>
              <w:top w:val="single" w:sz="4" w:space="0" w:color="000000"/>
              <w:bottom w:val="single" w:sz="4" w:space="0" w:color="000000"/>
            </w:tcBorders>
          </w:tcPr>
          <w:p w14:paraId="3EC6B9E9" w14:textId="77777777" w:rsidR="00B449D0" w:rsidRDefault="00B449D0">
            <w:pPr>
              <w:pStyle w:val="MeasureTableYearHeadings"/>
              <w:keepNext/>
            </w:pPr>
          </w:p>
        </w:tc>
        <w:tc>
          <w:tcPr>
            <w:tcW w:w="1043" w:type="dxa"/>
            <w:tcBorders>
              <w:top w:val="single" w:sz="4" w:space="0" w:color="000000"/>
              <w:bottom w:val="single" w:sz="4" w:space="0" w:color="000000"/>
            </w:tcBorders>
          </w:tcPr>
          <w:p w14:paraId="68D6E8D9" w14:textId="19EA31C3"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17AFB86F" w14:textId="046E3BCE"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4B432781" w14:textId="50024AC6"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6A4F6E01" w14:textId="00759181"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043C1D05" w14:textId="0C5A4986" w:rsidR="00B449D0" w:rsidRDefault="00175344">
            <w:pPr>
              <w:pStyle w:val="MeasureTableYearHeadings"/>
              <w:keepNext/>
            </w:pPr>
            <w:r>
              <w:t>2027</w:t>
            </w:r>
            <w:r w:rsidR="00076D78">
              <w:noBreakHyphen/>
            </w:r>
            <w:r>
              <w:t>28</w:t>
            </w:r>
          </w:p>
        </w:tc>
      </w:tr>
      <w:tr w:rsidR="00B449D0" w14:paraId="5F897667" w14:textId="77777777">
        <w:trPr>
          <w:cantSplit/>
        </w:trPr>
        <w:tc>
          <w:tcPr>
            <w:tcW w:w="2494" w:type="dxa"/>
            <w:tcBorders>
              <w:top w:val="single" w:sz="4" w:space="0" w:color="000000"/>
              <w:bottom w:val="single" w:sz="4" w:space="0" w:color="000000"/>
            </w:tcBorders>
          </w:tcPr>
          <w:p w14:paraId="44F38311" w14:textId="23CFBFDE" w:rsidR="00B449D0" w:rsidRDefault="00175344">
            <w:pPr>
              <w:pStyle w:val="MeasureTableHeadingleftalignedwith2ptsspacing"/>
              <w:keepNext/>
            </w:pPr>
            <w:r>
              <w:t>Department of Veterans</w:t>
            </w:r>
            <w:r w:rsidR="00076D78">
              <w:t>’</w:t>
            </w:r>
            <w:r>
              <w:t xml:space="preserve"> Affairs</w:t>
            </w:r>
          </w:p>
        </w:tc>
        <w:tc>
          <w:tcPr>
            <w:tcW w:w="1043" w:type="dxa"/>
            <w:tcBorders>
              <w:top w:val="single" w:sz="4" w:space="0" w:color="000000"/>
              <w:bottom w:val="single" w:sz="4" w:space="0" w:color="000000"/>
            </w:tcBorders>
          </w:tcPr>
          <w:p w14:paraId="4CF7F3A6" w14:textId="23E71B0D"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F4B044A" w14:textId="77777777" w:rsidR="00B449D0" w:rsidRDefault="00175344">
            <w:pPr>
              <w:pStyle w:val="MeasureTableDataRightAlignedwith2ptsspacing"/>
              <w:keepNext/>
            </w:pPr>
            <w:r>
              <w:t>30.4</w:t>
            </w:r>
          </w:p>
        </w:tc>
        <w:tc>
          <w:tcPr>
            <w:tcW w:w="1043" w:type="dxa"/>
            <w:tcBorders>
              <w:top w:val="single" w:sz="4" w:space="0" w:color="000000"/>
              <w:bottom w:val="single" w:sz="4" w:space="0" w:color="000000"/>
            </w:tcBorders>
          </w:tcPr>
          <w:p w14:paraId="5BF074AE" w14:textId="1519C167"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2B92355" w14:textId="36E971B0"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38D51D8" w14:textId="10EA42B5" w:rsidR="00B449D0" w:rsidRDefault="00076D78">
            <w:pPr>
              <w:pStyle w:val="MeasureTableDataRightAlignedwith2ptsspacing"/>
              <w:keepNext/>
            </w:pPr>
            <w:r>
              <w:noBreakHyphen/>
            </w:r>
          </w:p>
        </w:tc>
      </w:tr>
    </w:tbl>
    <w:p w14:paraId="37902A54" w14:textId="77777777" w:rsidR="00B449D0" w:rsidRDefault="00B449D0" w:rsidP="00380A42">
      <w:pPr>
        <w:pStyle w:val="SingleParagraph0"/>
      </w:pPr>
    </w:p>
    <w:p w14:paraId="30B4BB59" w14:textId="77777777" w:rsidR="00B449D0" w:rsidRDefault="00175344">
      <w:pPr>
        <w:pStyle w:val="Normal2"/>
      </w:pPr>
      <w:r w:rsidRPr="7F762F0D">
        <w:rPr>
          <w:lang w:val="en-US"/>
        </w:rPr>
        <w:t>The Government will provide $30.4 million in 2024–25 to address the additional increased demand for downstream services following an increase in the determination of claims.</w:t>
      </w:r>
    </w:p>
    <w:p w14:paraId="20840F37" w14:textId="5046C32C" w:rsidR="00B449D0" w:rsidRDefault="00175344">
      <w:pPr>
        <w:pStyle w:val="Normal2"/>
      </w:pPr>
      <w:r w:rsidRPr="7F762F0D">
        <w:rPr>
          <w:lang w:val="en-US"/>
        </w:rPr>
        <w:t xml:space="preserve">The Government has also reduced the reliance on external labour in the </w:t>
      </w:r>
      <w:r w:rsidRPr="7F762F0D">
        <w:rPr>
          <w:i/>
          <w:iCs/>
          <w:lang w:val="en-US"/>
        </w:rPr>
        <w:t>Open Arms</w:t>
      </w:r>
      <w:r w:rsidRPr="7F762F0D">
        <w:rPr>
          <w:lang w:val="en-US"/>
        </w:rPr>
        <w:t xml:space="preserve"> – </w:t>
      </w:r>
      <w:r w:rsidRPr="7F762F0D">
        <w:rPr>
          <w:i/>
          <w:iCs/>
          <w:lang w:val="en-US"/>
        </w:rPr>
        <w:t>Veterans and Family Counselling</w:t>
      </w:r>
      <w:r w:rsidRPr="7F762F0D">
        <w:rPr>
          <w:lang w:val="en-US"/>
        </w:rPr>
        <w:t xml:space="preserve"> program, in line with the Government</w:t>
      </w:r>
      <w:r w:rsidR="00076D78">
        <w:rPr>
          <w:lang w:val="en-US"/>
        </w:rPr>
        <w:t>’</w:t>
      </w:r>
      <w:r w:rsidRPr="7F762F0D">
        <w:rPr>
          <w:lang w:val="en-US"/>
        </w:rPr>
        <w:t>s broader objectives to reduce outsourcing of core work and reliance on consultants, contractors and labour</w:t>
      </w:r>
      <w:r w:rsidR="003A26CE">
        <w:rPr>
          <w:lang w:val="en-US"/>
        </w:rPr>
        <w:t> </w:t>
      </w:r>
      <w:r w:rsidRPr="7F762F0D">
        <w:rPr>
          <w:lang w:val="en-US"/>
        </w:rPr>
        <w:t>hire.</w:t>
      </w:r>
    </w:p>
    <w:p w14:paraId="05486835" w14:textId="77777777" w:rsidR="00B449D0" w:rsidRDefault="00175344">
      <w:pPr>
        <w:pStyle w:val="MeasureTitle"/>
      </w:pPr>
      <w:r w:rsidRPr="7F762F0D">
        <w:rPr>
          <w:lang w:val="en-US"/>
        </w:rPr>
        <w:t>Further Defence Support to Ukraine</w:t>
      </w:r>
    </w:p>
    <w:p w14:paraId="45D267B6"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3272DC2D" w14:textId="77777777">
        <w:trPr>
          <w:cantSplit/>
        </w:trPr>
        <w:tc>
          <w:tcPr>
            <w:tcW w:w="2494" w:type="dxa"/>
            <w:tcBorders>
              <w:top w:val="single" w:sz="4" w:space="0" w:color="000000"/>
              <w:bottom w:val="single" w:sz="4" w:space="0" w:color="000000"/>
            </w:tcBorders>
          </w:tcPr>
          <w:p w14:paraId="33E17C45" w14:textId="77777777" w:rsidR="00B449D0" w:rsidRDefault="00B449D0">
            <w:pPr>
              <w:pStyle w:val="MeasureTableYearHeadings"/>
              <w:keepNext/>
            </w:pPr>
          </w:p>
        </w:tc>
        <w:tc>
          <w:tcPr>
            <w:tcW w:w="1043" w:type="dxa"/>
            <w:tcBorders>
              <w:top w:val="single" w:sz="4" w:space="0" w:color="000000"/>
              <w:bottom w:val="single" w:sz="4" w:space="0" w:color="000000"/>
            </w:tcBorders>
          </w:tcPr>
          <w:p w14:paraId="6C694405" w14:textId="5C530D69"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1D6375AB" w14:textId="381B7632"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0BA5F2B9" w14:textId="53DE19A8"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785D4F43" w14:textId="15B34BF2"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2EB6B60D" w14:textId="1EDF5E8D" w:rsidR="00B449D0" w:rsidRDefault="00175344">
            <w:pPr>
              <w:pStyle w:val="MeasureTableYearHeadings"/>
              <w:keepNext/>
            </w:pPr>
            <w:r>
              <w:t>2027</w:t>
            </w:r>
            <w:r w:rsidR="00076D78">
              <w:noBreakHyphen/>
            </w:r>
            <w:r>
              <w:t>28</w:t>
            </w:r>
          </w:p>
        </w:tc>
      </w:tr>
      <w:tr w:rsidR="00B449D0" w14:paraId="069F015B" w14:textId="77777777">
        <w:trPr>
          <w:cantSplit/>
        </w:trPr>
        <w:tc>
          <w:tcPr>
            <w:tcW w:w="2494" w:type="dxa"/>
            <w:tcBorders>
              <w:top w:val="single" w:sz="4" w:space="0" w:color="000000"/>
              <w:bottom w:val="single" w:sz="4" w:space="0" w:color="000000"/>
            </w:tcBorders>
          </w:tcPr>
          <w:p w14:paraId="7B7580D0" w14:textId="77777777" w:rsidR="00B449D0" w:rsidRDefault="00175344">
            <w:pPr>
              <w:pStyle w:val="MeasureTableHeadingleftalignedwith2ptsspacing"/>
              <w:keepNext/>
            </w:pPr>
            <w:r>
              <w:t>Department of Defence</w:t>
            </w:r>
          </w:p>
        </w:tc>
        <w:tc>
          <w:tcPr>
            <w:tcW w:w="1043" w:type="dxa"/>
            <w:tcBorders>
              <w:top w:val="single" w:sz="4" w:space="0" w:color="000000"/>
              <w:bottom w:val="single" w:sz="4" w:space="0" w:color="000000"/>
            </w:tcBorders>
          </w:tcPr>
          <w:p w14:paraId="65DB9CED" w14:textId="486200A4"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520298F" w14:textId="77777777" w:rsidR="00B449D0" w:rsidRDefault="00175344">
            <w:pPr>
              <w:pStyle w:val="MeasureTableDataRightAlignedwith2ptsspacing"/>
              <w:keepNext/>
            </w:pPr>
            <w:r>
              <w:t>24.2</w:t>
            </w:r>
          </w:p>
        </w:tc>
        <w:tc>
          <w:tcPr>
            <w:tcW w:w="1043" w:type="dxa"/>
            <w:tcBorders>
              <w:top w:val="single" w:sz="4" w:space="0" w:color="000000"/>
              <w:bottom w:val="single" w:sz="4" w:space="0" w:color="000000"/>
            </w:tcBorders>
          </w:tcPr>
          <w:p w14:paraId="2DE71749" w14:textId="3553EDDB"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575182D" w14:textId="65BA7F5A"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82D22DB" w14:textId="2EDAB518" w:rsidR="00B449D0" w:rsidRDefault="00076D78">
            <w:pPr>
              <w:pStyle w:val="MeasureTableDataRightAlignedwith2ptsspacing"/>
              <w:keepNext/>
            </w:pPr>
            <w:r>
              <w:noBreakHyphen/>
            </w:r>
          </w:p>
        </w:tc>
      </w:tr>
    </w:tbl>
    <w:p w14:paraId="1D03B2B6" w14:textId="77777777" w:rsidR="00B449D0" w:rsidRDefault="00B449D0" w:rsidP="00380A42">
      <w:pPr>
        <w:pStyle w:val="SingleParagraph0"/>
      </w:pPr>
    </w:p>
    <w:p w14:paraId="31EBC1DD" w14:textId="77777777" w:rsidR="00B449D0" w:rsidRDefault="00175344">
      <w:pPr>
        <w:pStyle w:val="Normal2"/>
      </w:pPr>
      <w:r w:rsidRPr="7F762F0D">
        <w:rPr>
          <w:lang w:val="en-US"/>
        </w:rPr>
        <w:t>The Government will provide $545.5 million over two years from 2024–25 to provide additional military and operational support to the Government of Ukraine. Funding includes:</w:t>
      </w:r>
    </w:p>
    <w:p w14:paraId="3C791BA5" w14:textId="77777777" w:rsidR="00B449D0" w:rsidRDefault="00175344">
      <w:pPr>
        <w:pStyle w:val="Bullet"/>
      </w:pPr>
      <w:r>
        <w:t>$246.9 million over two years from 2024–25 to provide Ukraine with 49 M1A1 Abrams tanks</w:t>
      </w:r>
    </w:p>
    <w:p w14:paraId="0D26530D" w14:textId="77777777" w:rsidR="00B449D0" w:rsidRDefault="00175344">
      <w:pPr>
        <w:pStyle w:val="Bullet"/>
      </w:pPr>
      <w:r>
        <w:t>$189.8 million in 2024–25 to provide Ukraine with air‑to‑ground weapons, including guided weapons, anti‑tank weapons and artillery, mortar, cannon and small arms ammunition</w:t>
      </w:r>
    </w:p>
    <w:p w14:paraId="124CBF7D" w14:textId="77777777" w:rsidR="00B449D0" w:rsidRDefault="00175344">
      <w:pPr>
        <w:pStyle w:val="Bullet"/>
      </w:pPr>
      <w:r>
        <w:t>$63.0 million in 2024–25 to provide Ukraine with air defence missiles</w:t>
      </w:r>
    </w:p>
    <w:p w14:paraId="255AE6DE" w14:textId="77777777" w:rsidR="00B449D0" w:rsidRDefault="00175344">
      <w:pPr>
        <w:pStyle w:val="Bullet"/>
      </w:pPr>
      <w:r>
        <w:t xml:space="preserve">$24.2 million in 2024–25 for </w:t>
      </w:r>
      <w:r w:rsidRPr="00175344">
        <w:rPr>
          <w:i/>
        </w:rPr>
        <w:t>Operation KUDU</w:t>
      </w:r>
      <w:r>
        <w:t xml:space="preserve"> to deploy Australian Defence Force personnel to provide support, training and advice</w:t>
      </w:r>
    </w:p>
    <w:p w14:paraId="2B579EED" w14:textId="158BA3B5" w:rsidR="00B449D0" w:rsidRDefault="00175344">
      <w:pPr>
        <w:pStyle w:val="Bullet"/>
      </w:pPr>
      <w:r>
        <w:t>$20.0 million in 2024–25 to provide Ukraine with 14 inflatable rigid hull boats to support Ukraine</w:t>
      </w:r>
      <w:r w:rsidR="00076D78">
        <w:t>’</w:t>
      </w:r>
      <w:r>
        <w:t>s operational needs</w:t>
      </w:r>
    </w:p>
    <w:p w14:paraId="5B78C07D" w14:textId="77777777" w:rsidR="00B449D0" w:rsidRDefault="00175344">
      <w:pPr>
        <w:pStyle w:val="Bullet"/>
      </w:pPr>
      <w:r>
        <w:lastRenderedPageBreak/>
        <w:t>$1.6 million in 2024–25 to provide Ukraine with a shipment of military boots for the Armed Forces of Ukraine.</w:t>
      </w:r>
    </w:p>
    <w:p w14:paraId="427D65CF" w14:textId="77777777" w:rsidR="00B449D0" w:rsidRDefault="00175344">
      <w:pPr>
        <w:pStyle w:val="Normal2"/>
      </w:pPr>
      <w:r w:rsidRPr="7F762F0D">
        <w:rPr>
          <w:lang w:val="en-US"/>
        </w:rPr>
        <w:t>The cost of this measure will be partially met from within the existing resourcing of the Department of Defence.</w:t>
      </w:r>
    </w:p>
    <w:p w14:paraId="5FB78D57" w14:textId="77777777" w:rsidR="00B449D0" w:rsidRDefault="00175344">
      <w:pPr>
        <w:pStyle w:val="Normal2"/>
      </w:pPr>
      <w:r w:rsidRPr="7F762F0D">
        <w:rPr>
          <w:lang w:val="en-US"/>
        </w:rPr>
        <w:t xml:space="preserve">This measure builds on the 2024–25 Budget measure titled </w:t>
      </w:r>
      <w:r w:rsidRPr="7F762F0D">
        <w:rPr>
          <w:i/>
          <w:iCs/>
          <w:lang w:val="en-US"/>
        </w:rPr>
        <w:t>Defence Assistance – regional and global support.</w:t>
      </w:r>
    </w:p>
    <w:p w14:paraId="1FB625F6" w14:textId="77777777" w:rsidR="00B449D0" w:rsidRDefault="00175344">
      <w:pPr>
        <w:pStyle w:val="MeasureTitle"/>
      </w:pPr>
      <w:r w:rsidRPr="7F762F0D">
        <w:rPr>
          <w:lang w:val="en-US"/>
        </w:rPr>
        <w:t>Investing in Defence Naval Shipbuilding in Australia</w:t>
      </w:r>
    </w:p>
    <w:p w14:paraId="29DB22AA"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4F4AD871" w14:textId="77777777">
        <w:trPr>
          <w:cantSplit/>
        </w:trPr>
        <w:tc>
          <w:tcPr>
            <w:tcW w:w="2494" w:type="dxa"/>
            <w:tcBorders>
              <w:top w:val="single" w:sz="4" w:space="0" w:color="000000"/>
              <w:bottom w:val="single" w:sz="4" w:space="0" w:color="000000"/>
            </w:tcBorders>
          </w:tcPr>
          <w:p w14:paraId="56CD947F" w14:textId="77777777" w:rsidR="00B449D0" w:rsidRDefault="00B449D0">
            <w:pPr>
              <w:pStyle w:val="MeasureTableYearHeadings"/>
              <w:keepNext/>
            </w:pPr>
          </w:p>
        </w:tc>
        <w:tc>
          <w:tcPr>
            <w:tcW w:w="1043" w:type="dxa"/>
            <w:tcBorders>
              <w:top w:val="single" w:sz="4" w:space="0" w:color="000000"/>
              <w:bottom w:val="single" w:sz="4" w:space="0" w:color="000000"/>
            </w:tcBorders>
          </w:tcPr>
          <w:p w14:paraId="27C6A394" w14:textId="2CFF0B05"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0A7E3DA2" w14:textId="461A4E80"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280F33AA" w14:textId="5DBFD192"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6A3DC2FE" w14:textId="495291C0"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5E6E79FD" w14:textId="5DE24156" w:rsidR="00B449D0" w:rsidRDefault="00175344">
            <w:pPr>
              <w:pStyle w:val="MeasureTableYearHeadings"/>
              <w:keepNext/>
            </w:pPr>
            <w:r>
              <w:t>2027</w:t>
            </w:r>
            <w:r w:rsidR="00076D78">
              <w:noBreakHyphen/>
            </w:r>
            <w:r>
              <w:t>28</w:t>
            </w:r>
          </w:p>
        </w:tc>
      </w:tr>
      <w:tr w:rsidR="00B449D0" w14:paraId="6D882368" w14:textId="77777777">
        <w:trPr>
          <w:cantSplit/>
        </w:trPr>
        <w:tc>
          <w:tcPr>
            <w:tcW w:w="2494" w:type="dxa"/>
            <w:tcBorders>
              <w:top w:val="single" w:sz="4" w:space="0" w:color="000000"/>
              <w:bottom w:val="single" w:sz="4" w:space="0" w:color="000000"/>
            </w:tcBorders>
          </w:tcPr>
          <w:p w14:paraId="055E58B9" w14:textId="77777777" w:rsidR="00B449D0" w:rsidRDefault="00175344">
            <w:pPr>
              <w:pStyle w:val="MeasureTableHeadingleftalignedwith2ptsspacing"/>
              <w:keepNext/>
            </w:pPr>
            <w:r>
              <w:t>Department of Defence</w:t>
            </w:r>
          </w:p>
        </w:tc>
        <w:tc>
          <w:tcPr>
            <w:tcW w:w="1043" w:type="dxa"/>
            <w:tcBorders>
              <w:top w:val="single" w:sz="4" w:space="0" w:color="000000"/>
              <w:bottom w:val="single" w:sz="4" w:space="0" w:color="000000"/>
            </w:tcBorders>
          </w:tcPr>
          <w:p w14:paraId="0F7E5361" w14:textId="0547A73C"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C515D1E" w14:textId="50586941"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86E4088" w14:textId="7F9DF4F2"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8AE8C55" w14:textId="28099AB7"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B4A5412" w14:textId="5EB69AD5" w:rsidR="00B449D0" w:rsidRDefault="00076D78">
            <w:pPr>
              <w:pStyle w:val="MeasureTableDataRightAlignedwith2ptsspacing"/>
              <w:keepNext/>
            </w:pPr>
            <w:r>
              <w:noBreakHyphen/>
            </w:r>
          </w:p>
        </w:tc>
      </w:tr>
    </w:tbl>
    <w:p w14:paraId="1AC34A24" w14:textId="77777777" w:rsidR="00B449D0" w:rsidRDefault="00B449D0" w:rsidP="00380A42">
      <w:pPr>
        <w:pStyle w:val="SingleParagraph0"/>
      </w:pPr>
    </w:p>
    <w:p w14:paraId="50FFF635" w14:textId="0362EDE2" w:rsidR="00B449D0" w:rsidRDefault="00175344">
      <w:pPr>
        <w:pStyle w:val="Normal2"/>
      </w:pPr>
      <w:r w:rsidRPr="7F762F0D">
        <w:rPr>
          <w:lang w:val="en-US"/>
        </w:rPr>
        <w:t>The Government will provide $127.0 million over three years from 2024–25 to conduct planning, consultations, preliminary design and feasibility studies as well as enabling works for a Defence Precinct at Henderson, Western Australia, to support continuous naval shipbuilding and sustainment</w:t>
      </w:r>
      <w:r w:rsidR="009449EC">
        <w:rPr>
          <w:lang w:val="en-US"/>
        </w:rPr>
        <w:t>,</w:t>
      </w:r>
      <w:r w:rsidRPr="7F762F0D">
        <w:rPr>
          <w:lang w:val="en-US"/>
        </w:rPr>
        <w:t xml:space="preserve"> and to sustain Australia</w:t>
      </w:r>
      <w:r w:rsidR="00076D78">
        <w:rPr>
          <w:lang w:val="en-US"/>
        </w:rPr>
        <w:t>’</w:t>
      </w:r>
      <w:r w:rsidRPr="7F762F0D">
        <w:rPr>
          <w:lang w:val="en-US"/>
        </w:rPr>
        <w:t>s conventionally armed, nuclear‑powered submarines.</w:t>
      </w:r>
    </w:p>
    <w:p w14:paraId="069532C3" w14:textId="5FBE1630" w:rsidR="00B449D0" w:rsidRDefault="00175344">
      <w:pPr>
        <w:pStyle w:val="Normal2"/>
      </w:pPr>
      <w:r w:rsidRPr="7F762F0D">
        <w:rPr>
          <w:lang w:val="en-US"/>
        </w:rPr>
        <w:t>The cost of this measure will be met from within the existing resourcing of the Department</w:t>
      </w:r>
      <w:r w:rsidR="00C201F5">
        <w:rPr>
          <w:lang w:val="en-US"/>
        </w:rPr>
        <w:t> </w:t>
      </w:r>
      <w:r w:rsidRPr="7F762F0D">
        <w:rPr>
          <w:lang w:val="en-US"/>
        </w:rPr>
        <w:t>of</w:t>
      </w:r>
      <w:r w:rsidR="00C201F5">
        <w:rPr>
          <w:lang w:val="en-US"/>
        </w:rPr>
        <w:t> </w:t>
      </w:r>
      <w:r w:rsidRPr="7F762F0D">
        <w:rPr>
          <w:lang w:val="en-US"/>
        </w:rPr>
        <w:t>Defence.</w:t>
      </w:r>
    </w:p>
    <w:p w14:paraId="24C91EB6" w14:textId="77777777" w:rsidR="00B449D0" w:rsidRDefault="00175344">
      <w:pPr>
        <w:pStyle w:val="MeasureTitle"/>
      </w:pPr>
      <w:r w:rsidRPr="7F762F0D">
        <w:rPr>
          <w:lang w:val="en-US"/>
        </w:rPr>
        <w:t>Nuclear‑Powered Submarine Program – infrastructure and capacity investment</w:t>
      </w:r>
    </w:p>
    <w:p w14:paraId="52ABE49D"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76DCD3DD" w14:textId="77777777">
        <w:trPr>
          <w:cantSplit/>
        </w:trPr>
        <w:tc>
          <w:tcPr>
            <w:tcW w:w="2494" w:type="dxa"/>
            <w:tcBorders>
              <w:top w:val="single" w:sz="4" w:space="0" w:color="000000"/>
              <w:bottom w:val="single" w:sz="4" w:space="0" w:color="000000"/>
            </w:tcBorders>
          </w:tcPr>
          <w:p w14:paraId="276E333A" w14:textId="77777777" w:rsidR="00B449D0" w:rsidRDefault="00B449D0">
            <w:pPr>
              <w:pStyle w:val="MeasureTableYearHeadings"/>
              <w:keepNext/>
            </w:pPr>
          </w:p>
        </w:tc>
        <w:tc>
          <w:tcPr>
            <w:tcW w:w="1043" w:type="dxa"/>
            <w:tcBorders>
              <w:top w:val="single" w:sz="4" w:space="0" w:color="000000"/>
              <w:bottom w:val="single" w:sz="4" w:space="0" w:color="000000"/>
            </w:tcBorders>
          </w:tcPr>
          <w:p w14:paraId="49B009E4" w14:textId="334B89A5"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01785729" w14:textId="4C506B40"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00B45F85" w14:textId="68707962"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22C11775" w14:textId="60094DD1"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64ADB3EF" w14:textId="44E5D506" w:rsidR="00B449D0" w:rsidRDefault="00175344">
            <w:pPr>
              <w:pStyle w:val="MeasureTableYearHeadings"/>
              <w:keepNext/>
            </w:pPr>
            <w:r>
              <w:t>2027</w:t>
            </w:r>
            <w:r w:rsidR="00076D78">
              <w:noBreakHyphen/>
            </w:r>
            <w:r>
              <w:t>28</w:t>
            </w:r>
          </w:p>
        </w:tc>
      </w:tr>
      <w:tr w:rsidR="00B449D0" w14:paraId="1FC7C022" w14:textId="77777777">
        <w:trPr>
          <w:cantSplit/>
        </w:trPr>
        <w:tc>
          <w:tcPr>
            <w:tcW w:w="2494" w:type="dxa"/>
            <w:tcBorders>
              <w:top w:val="single" w:sz="4" w:space="0" w:color="000000"/>
              <w:bottom w:val="single" w:sz="4" w:space="0" w:color="000000"/>
            </w:tcBorders>
          </w:tcPr>
          <w:p w14:paraId="10B8CD5C" w14:textId="77777777" w:rsidR="00B449D0" w:rsidRDefault="00175344">
            <w:pPr>
              <w:pStyle w:val="MeasureTableHeadingleftalignedwith2ptsspacing"/>
              <w:keepNext/>
            </w:pPr>
            <w:r>
              <w:t>Department of Finance</w:t>
            </w:r>
          </w:p>
        </w:tc>
        <w:tc>
          <w:tcPr>
            <w:tcW w:w="1043" w:type="dxa"/>
            <w:tcBorders>
              <w:top w:val="single" w:sz="4" w:space="0" w:color="000000"/>
              <w:bottom w:val="single" w:sz="4" w:space="0" w:color="000000"/>
            </w:tcBorders>
          </w:tcPr>
          <w:p w14:paraId="1CAAF081" w14:textId="2CA5FE74"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64D95389" w14:textId="77777777" w:rsidR="00B449D0" w:rsidRDefault="00175344">
            <w:pPr>
              <w:pStyle w:val="MeasureTableDataRightAlignedwith2ptsspacing"/>
              <w:keepNext/>
            </w:pPr>
            <w:r>
              <w:t>nfp</w:t>
            </w:r>
          </w:p>
        </w:tc>
        <w:tc>
          <w:tcPr>
            <w:tcW w:w="1043" w:type="dxa"/>
            <w:tcBorders>
              <w:top w:val="single" w:sz="4" w:space="0" w:color="000000"/>
              <w:bottom w:val="single" w:sz="4" w:space="0" w:color="000000"/>
            </w:tcBorders>
          </w:tcPr>
          <w:p w14:paraId="0066A456" w14:textId="77777777" w:rsidR="00B449D0" w:rsidRDefault="00175344">
            <w:pPr>
              <w:pStyle w:val="MeasureTableDataRightAlignedwith2ptsspacing"/>
              <w:keepNext/>
            </w:pPr>
            <w:r>
              <w:t>nfp</w:t>
            </w:r>
          </w:p>
        </w:tc>
        <w:tc>
          <w:tcPr>
            <w:tcW w:w="1043" w:type="dxa"/>
            <w:tcBorders>
              <w:top w:val="single" w:sz="4" w:space="0" w:color="000000"/>
              <w:bottom w:val="single" w:sz="4" w:space="0" w:color="000000"/>
            </w:tcBorders>
          </w:tcPr>
          <w:p w14:paraId="7CBB2A7D" w14:textId="77777777" w:rsidR="00B449D0" w:rsidRDefault="00175344">
            <w:pPr>
              <w:pStyle w:val="MeasureTableDataRightAlignedwith2ptsspacing"/>
              <w:keepNext/>
            </w:pPr>
            <w:r>
              <w:t>nfp</w:t>
            </w:r>
          </w:p>
        </w:tc>
        <w:tc>
          <w:tcPr>
            <w:tcW w:w="1043" w:type="dxa"/>
            <w:tcBorders>
              <w:top w:val="single" w:sz="4" w:space="0" w:color="000000"/>
              <w:bottom w:val="single" w:sz="4" w:space="0" w:color="000000"/>
            </w:tcBorders>
          </w:tcPr>
          <w:p w14:paraId="335A06E8" w14:textId="77777777" w:rsidR="00B449D0" w:rsidRDefault="00175344">
            <w:pPr>
              <w:pStyle w:val="MeasureTableDataRightAlignedwith2ptsspacing"/>
              <w:keepNext/>
            </w:pPr>
            <w:r>
              <w:t>nfp</w:t>
            </w:r>
          </w:p>
        </w:tc>
      </w:tr>
      <w:tr w:rsidR="00B449D0" w14:paraId="3A056941" w14:textId="77777777">
        <w:trPr>
          <w:cantSplit/>
        </w:trPr>
        <w:tc>
          <w:tcPr>
            <w:tcW w:w="2494" w:type="dxa"/>
            <w:tcBorders>
              <w:top w:val="single" w:sz="4" w:space="0" w:color="000000"/>
              <w:bottom w:val="single" w:sz="4" w:space="0" w:color="000000"/>
            </w:tcBorders>
          </w:tcPr>
          <w:p w14:paraId="4D22A7A0" w14:textId="77777777" w:rsidR="00B449D0" w:rsidRDefault="00175344">
            <w:pPr>
              <w:pStyle w:val="MeasureTableHeadingleftalignedwith2ptsspacing"/>
              <w:keepNext/>
            </w:pPr>
            <w:r>
              <w:t>Department of Defence</w:t>
            </w:r>
          </w:p>
        </w:tc>
        <w:tc>
          <w:tcPr>
            <w:tcW w:w="1043" w:type="dxa"/>
            <w:tcBorders>
              <w:top w:val="single" w:sz="4" w:space="0" w:color="000000"/>
              <w:bottom w:val="single" w:sz="4" w:space="0" w:color="000000"/>
            </w:tcBorders>
          </w:tcPr>
          <w:p w14:paraId="458585B5" w14:textId="0CE1A1D8"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E674FC4" w14:textId="77777777" w:rsidR="00B449D0" w:rsidRDefault="00175344">
            <w:pPr>
              <w:pStyle w:val="MeasureTableDataRightAlignedwith2ptsspacing"/>
              <w:keepNext/>
            </w:pPr>
            <w:r>
              <w:t>nfp</w:t>
            </w:r>
          </w:p>
        </w:tc>
        <w:tc>
          <w:tcPr>
            <w:tcW w:w="1043" w:type="dxa"/>
            <w:tcBorders>
              <w:top w:val="single" w:sz="4" w:space="0" w:color="000000"/>
              <w:bottom w:val="single" w:sz="4" w:space="0" w:color="000000"/>
            </w:tcBorders>
          </w:tcPr>
          <w:p w14:paraId="4C6BD1F7" w14:textId="77777777" w:rsidR="00B449D0" w:rsidRDefault="00175344">
            <w:pPr>
              <w:pStyle w:val="MeasureTableDataRightAlignedwith2ptsspacing"/>
              <w:keepNext/>
            </w:pPr>
            <w:r>
              <w:t>nfp</w:t>
            </w:r>
          </w:p>
        </w:tc>
        <w:tc>
          <w:tcPr>
            <w:tcW w:w="1043" w:type="dxa"/>
            <w:tcBorders>
              <w:top w:val="single" w:sz="4" w:space="0" w:color="000000"/>
              <w:bottom w:val="single" w:sz="4" w:space="0" w:color="000000"/>
            </w:tcBorders>
          </w:tcPr>
          <w:p w14:paraId="5F62E0AC" w14:textId="77777777" w:rsidR="00B449D0" w:rsidRDefault="00175344">
            <w:pPr>
              <w:pStyle w:val="MeasureTableDataRightAlignedwith2ptsspacing"/>
              <w:keepNext/>
            </w:pPr>
            <w:r>
              <w:t>nfp</w:t>
            </w:r>
          </w:p>
        </w:tc>
        <w:tc>
          <w:tcPr>
            <w:tcW w:w="1043" w:type="dxa"/>
            <w:tcBorders>
              <w:top w:val="single" w:sz="4" w:space="0" w:color="000000"/>
              <w:bottom w:val="single" w:sz="4" w:space="0" w:color="000000"/>
            </w:tcBorders>
          </w:tcPr>
          <w:p w14:paraId="6F520E8F" w14:textId="77777777" w:rsidR="00B449D0" w:rsidRDefault="00175344">
            <w:pPr>
              <w:pStyle w:val="MeasureTableDataRightAlignedwith2ptsspacing"/>
              <w:keepNext/>
            </w:pPr>
            <w:r>
              <w:t>nfp</w:t>
            </w:r>
          </w:p>
        </w:tc>
      </w:tr>
      <w:tr w:rsidR="00B449D0" w14:paraId="6CF23CF2" w14:textId="77777777">
        <w:trPr>
          <w:cantSplit/>
        </w:trPr>
        <w:tc>
          <w:tcPr>
            <w:tcW w:w="2494" w:type="dxa"/>
            <w:tcBorders>
              <w:top w:val="single" w:sz="4" w:space="0" w:color="000000"/>
              <w:bottom w:val="single" w:sz="4" w:space="0" w:color="000000"/>
            </w:tcBorders>
          </w:tcPr>
          <w:p w14:paraId="7CA3AC44"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2E149BC0" w14:textId="7C8A9B07"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67A7CFB7" w14:textId="48AD305B"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2BD89DD0" w14:textId="1F02C0D5"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302AF17B" w14:textId="3CAE32FD"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7A7EC902" w14:textId="106D10C2" w:rsidR="00B449D0" w:rsidRDefault="00076D78">
            <w:pPr>
              <w:pStyle w:val="Totaldatarowrightaligned"/>
              <w:keepNext/>
            </w:pPr>
            <w:r>
              <w:noBreakHyphen/>
            </w:r>
          </w:p>
        </w:tc>
      </w:tr>
    </w:tbl>
    <w:p w14:paraId="24190D6C" w14:textId="77777777" w:rsidR="00B449D0" w:rsidRDefault="00B449D0" w:rsidP="00380A42">
      <w:pPr>
        <w:pStyle w:val="SingleParagraph0"/>
      </w:pPr>
    </w:p>
    <w:p w14:paraId="7024A54C" w14:textId="77777777" w:rsidR="00B449D0" w:rsidRDefault="00175344">
      <w:pPr>
        <w:pStyle w:val="Normal2"/>
      </w:pPr>
      <w:r>
        <w:t>The Government will provide funding over six years from 2024–25 in equity and non‑equity investments for ASC Pty Ltd to enhance its capacity to support nuclear‑powered submarine sustainment, including to grow its workforce, develop capability partnerships, invest in cyber security and digital transformation, and to build and sustain its nuclear capabilities.</w:t>
      </w:r>
    </w:p>
    <w:p w14:paraId="48E6563C" w14:textId="77777777" w:rsidR="00B449D0" w:rsidRDefault="00175344">
      <w:pPr>
        <w:pStyle w:val="Normal2"/>
      </w:pPr>
      <w:r>
        <w:t>The Government will also provide Australian Naval Infrastructure Pty Ltd (ANI) with an equity injection over four years from 2024–25 to progress the construction of the Skills and Training Academy in Osborne, South Australia.</w:t>
      </w:r>
    </w:p>
    <w:p w14:paraId="47871EED" w14:textId="5722BE9A" w:rsidR="00B449D0" w:rsidRDefault="00175344">
      <w:pPr>
        <w:pStyle w:val="Normal2"/>
      </w:pPr>
      <w:r w:rsidRPr="7F762F0D">
        <w:rPr>
          <w:lang w:val="en-US"/>
        </w:rPr>
        <w:t>The cost of this measure will be met from within the existing resourcing of the Department</w:t>
      </w:r>
      <w:r w:rsidR="00C201F5">
        <w:rPr>
          <w:lang w:val="en-US"/>
        </w:rPr>
        <w:t> </w:t>
      </w:r>
      <w:r w:rsidRPr="7F762F0D">
        <w:rPr>
          <w:lang w:val="en-US"/>
        </w:rPr>
        <w:t>of</w:t>
      </w:r>
      <w:r w:rsidR="00C201F5">
        <w:rPr>
          <w:lang w:val="en-US"/>
        </w:rPr>
        <w:t> </w:t>
      </w:r>
      <w:r w:rsidRPr="7F762F0D">
        <w:rPr>
          <w:lang w:val="en-US"/>
        </w:rPr>
        <w:t>Defence.</w:t>
      </w:r>
    </w:p>
    <w:p w14:paraId="25BA4FDA" w14:textId="77777777" w:rsidR="00B449D0" w:rsidRDefault="00175344">
      <w:pPr>
        <w:pStyle w:val="Normal2"/>
      </w:pPr>
      <w:r>
        <w:t xml:space="preserve">This measure builds on the 2024–25 Budget measure titled </w:t>
      </w:r>
      <w:r w:rsidRPr="00175344">
        <w:rPr>
          <w:i/>
        </w:rPr>
        <w:t>Equity Injection for Australian Naval Infrastructure</w:t>
      </w:r>
      <w:r>
        <w:t>.</w:t>
      </w:r>
    </w:p>
    <w:p w14:paraId="77962B4B" w14:textId="678F5493" w:rsidR="00B449D0" w:rsidRDefault="00175344">
      <w:pPr>
        <w:pStyle w:val="Normal2"/>
      </w:pPr>
      <w:r w:rsidRPr="7F762F0D">
        <w:rPr>
          <w:lang w:val="en-US"/>
        </w:rPr>
        <w:lastRenderedPageBreak/>
        <w:t>The financial implications of this measure are commercially sensitive and not for publication (nfp) as disclosure would impair the Commonwealth</w:t>
      </w:r>
      <w:r w:rsidR="00076D78">
        <w:rPr>
          <w:lang w:val="en-US"/>
        </w:rPr>
        <w:t>’</w:t>
      </w:r>
      <w:r w:rsidRPr="7F762F0D">
        <w:rPr>
          <w:lang w:val="en-US"/>
        </w:rPr>
        <w:t>s position in contract negotiations.</w:t>
      </w:r>
    </w:p>
    <w:p w14:paraId="5707D8ED" w14:textId="77777777" w:rsidR="00B449D0" w:rsidRDefault="00175344">
      <w:pPr>
        <w:pStyle w:val="MeasureTitle"/>
      </w:pPr>
      <w:r>
        <w:t>Nuclear‑Powered Submarine Program – security and industry growth</w:t>
      </w:r>
    </w:p>
    <w:p w14:paraId="6319DF87"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6A8DF77D" w14:textId="77777777">
        <w:trPr>
          <w:cantSplit/>
        </w:trPr>
        <w:tc>
          <w:tcPr>
            <w:tcW w:w="2494" w:type="dxa"/>
            <w:tcBorders>
              <w:top w:val="single" w:sz="4" w:space="0" w:color="000000"/>
              <w:bottom w:val="single" w:sz="4" w:space="0" w:color="000000"/>
            </w:tcBorders>
          </w:tcPr>
          <w:p w14:paraId="72A1194E" w14:textId="77777777" w:rsidR="00B449D0" w:rsidRDefault="00B449D0">
            <w:pPr>
              <w:pStyle w:val="MeasureTableYearHeadings"/>
              <w:keepNext/>
            </w:pPr>
          </w:p>
        </w:tc>
        <w:tc>
          <w:tcPr>
            <w:tcW w:w="1043" w:type="dxa"/>
            <w:tcBorders>
              <w:top w:val="single" w:sz="4" w:space="0" w:color="000000"/>
              <w:bottom w:val="single" w:sz="4" w:space="0" w:color="000000"/>
            </w:tcBorders>
          </w:tcPr>
          <w:p w14:paraId="2954A851" w14:textId="0627A4AA"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2FCA0351" w14:textId="19D2B595"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73EE16BC" w14:textId="0AD355AA"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0FEB221C" w14:textId="15872BFF"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4A8850BB" w14:textId="512C1AB7" w:rsidR="00B449D0" w:rsidRDefault="00175344">
            <w:pPr>
              <w:pStyle w:val="MeasureTableYearHeadings"/>
              <w:keepNext/>
            </w:pPr>
            <w:r>
              <w:t>2027</w:t>
            </w:r>
            <w:r w:rsidR="00076D78">
              <w:noBreakHyphen/>
            </w:r>
            <w:r>
              <w:t>28</w:t>
            </w:r>
          </w:p>
        </w:tc>
      </w:tr>
      <w:tr w:rsidR="00B449D0" w14:paraId="30E185BB" w14:textId="77777777">
        <w:trPr>
          <w:cantSplit/>
        </w:trPr>
        <w:tc>
          <w:tcPr>
            <w:tcW w:w="2494" w:type="dxa"/>
            <w:tcBorders>
              <w:top w:val="single" w:sz="4" w:space="0" w:color="000000"/>
              <w:bottom w:val="single" w:sz="4" w:space="0" w:color="000000"/>
            </w:tcBorders>
          </w:tcPr>
          <w:p w14:paraId="635C6347" w14:textId="77777777" w:rsidR="00B449D0" w:rsidRDefault="00175344">
            <w:pPr>
              <w:pStyle w:val="MeasureTableHeadingleftalignedwith2ptsspacing"/>
              <w:keepNext/>
            </w:pPr>
            <w:r>
              <w:t>Department of Defence</w:t>
            </w:r>
          </w:p>
        </w:tc>
        <w:tc>
          <w:tcPr>
            <w:tcW w:w="1043" w:type="dxa"/>
            <w:tcBorders>
              <w:top w:val="single" w:sz="4" w:space="0" w:color="000000"/>
              <w:bottom w:val="single" w:sz="4" w:space="0" w:color="000000"/>
            </w:tcBorders>
          </w:tcPr>
          <w:p w14:paraId="6A599812" w14:textId="271B8EFE"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A2BDF5B" w14:textId="08043E63"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024605A" w14:textId="77777777" w:rsidR="00B449D0" w:rsidRDefault="00175344">
            <w:pPr>
              <w:pStyle w:val="MeasureTableDataRightAlignedwith2ptsspacing"/>
              <w:keepNext/>
            </w:pPr>
            <w:r>
              <w:t>14.5</w:t>
            </w:r>
          </w:p>
        </w:tc>
        <w:tc>
          <w:tcPr>
            <w:tcW w:w="1043" w:type="dxa"/>
            <w:tcBorders>
              <w:top w:val="single" w:sz="4" w:space="0" w:color="000000"/>
              <w:bottom w:val="single" w:sz="4" w:space="0" w:color="000000"/>
            </w:tcBorders>
          </w:tcPr>
          <w:p w14:paraId="1E9142AD" w14:textId="38198489"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5B7A27E" w14:textId="48E21673" w:rsidR="00B449D0" w:rsidRDefault="00076D78">
            <w:pPr>
              <w:pStyle w:val="MeasureTableDataRightAlignedwith2ptsspacing"/>
              <w:keepNext/>
            </w:pPr>
            <w:r>
              <w:noBreakHyphen/>
            </w:r>
          </w:p>
        </w:tc>
      </w:tr>
      <w:tr w:rsidR="00B449D0" w14:paraId="32681C7B" w14:textId="77777777">
        <w:trPr>
          <w:cantSplit/>
        </w:trPr>
        <w:tc>
          <w:tcPr>
            <w:tcW w:w="2494" w:type="dxa"/>
            <w:tcBorders>
              <w:top w:val="single" w:sz="4" w:space="0" w:color="000000"/>
              <w:bottom w:val="single" w:sz="4" w:space="0" w:color="000000"/>
            </w:tcBorders>
          </w:tcPr>
          <w:p w14:paraId="56D4151F" w14:textId="77777777" w:rsidR="00B449D0" w:rsidRDefault="00175344">
            <w:pPr>
              <w:pStyle w:val="MeasureTableHeadingleftalignedwith2ptsspacing"/>
              <w:keepNext/>
            </w:pPr>
            <w:r>
              <w:t>Australian Federal Police</w:t>
            </w:r>
          </w:p>
        </w:tc>
        <w:tc>
          <w:tcPr>
            <w:tcW w:w="1043" w:type="dxa"/>
            <w:tcBorders>
              <w:top w:val="single" w:sz="4" w:space="0" w:color="000000"/>
              <w:bottom w:val="single" w:sz="4" w:space="0" w:color="000000"/>
            </w:tcBorders>
          </w:tcPr>
          <w:p w14:paraId="213B3D53" w14:textId="777342C7"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8AC64AD" w14:textId="732180BE"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89F44A6" w14:textId="77777777" w:rsidR="00B449D0" w:rsidRDefault="00175344">
            <w:pPr>
              <w:pStyle w:val="MeasureTableDataRightAlignedwith2ptsspacing"/>
              <w:keepNext/>
            </w:pPr>
            <w:r>
              <w:t>5.5</w:t>
            </w:r>
          </w:p>
        </w:tc>
        <w:tc>
          <w:tcPr>
            <w:tcW w:w="1043" w:type="dxa"/>
            <w:tcBorders>
              <w:top w:val="single" w:sz="4" w:space="0" w:color="000000"/>
              <w:bottom w:val="single" w:sz="4" w:space="0" w:color="000000"/>
            </w:tcBorders>
          </w:tcPr>
          <w:p w14:paraId="61195B43" w14:textId="43068B17"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4CEF3B5" w14:textId="03694198" w:rsidR="00B449D0" w:rsidRDefault="00076D78">
            <w:pPr>
              <w:pStyle w:val="MeasureTableDataRightAlignedwith2ptsspacing"/>
              <w:keepNext/>
            </w:pPr>
            <w:r>
              <w:noBreakHyphen/>
            </w:r>
          </w:p>
        </w:tc>
      </w:tr>
      <w:tr w:rsidR="00B449D0" w14:paraId="672F36D4" w14:textId="77777777">
        <w:trPr>
          <w:cantSplit/>
        </w:trPr>
        <w:tc>
          <w:tcPr>
            <w:tcW w:w="2494" w:type="dxa"/>
            <w:tcBorders>
              <w:top w:val="single" w:sz="4" w:space="0" w:color="000000"/>
              <w:bottom w:val="single" w:sz="4" w:space="0" w:color="000000"/>
            </w:tcBorders>
          </w:tcPr>
          <w:p w14:paraId="5F195739" w14:textId="77777777" w:rsidR="00B449D0" w:rsidRDefault="00175344">
            <w:pPr>
              <w:pStyle w:val="MeasureTableHeadingleftalignedwith2ptsspacing"/>
              <w:keepNext/>
            </w:pPr>
            <w:r>
              <w:t>Australian Submarine Agency</w:t>
            </w:r>
          </w:p>
        </w:tc>
        <w:tc>
          <w:tcPr>
            <w:tcW w:w="1043" w:type="dxa"/>
            <w:tcBorders>
              <w:top w:val="single" w:sz="4" w:space="0" w:color="000000"/>
              <w:bottom w:val="single" w:sz="4" w:space="0" w:color="000000"/>
            </w:tcBorders>
          </w:tcPr>
          <w:p w14:paraId="6A341CEA" w14:textId="1A49B60D"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6C463CD5" w14:textId="7457350F"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D98B2EF" w14:textId="78B497A3" w:rsidR="00B449D0" w:rsidRDefault="00076D78">
            <w:pPr>
              <w:pStyle w:val="MeasureTableDataRightAlignedwith2ptsspacing"/>
              <w:keepNext/>
            </w:pPr>
            <w:r>
              <w:noBreakHyphen/>
            </w:r>
            <w:r w:rsidR="00175344">
              <w:t>20.0</w:t>
            </w:r>
          </w:p>
        </w:tc>
        <w:tc>
          <w:tcPr>
            <w:tcW w:w="1043" w:type="dxa"/>
            <w:tcBorders>
              <w:top w:val="single" w:sz="4" w:space="0" w:color="000000"/>
              <w:bottom w:val="single" w:sz="4" w:space="0" w:color="000000"/>
            </w:tcBorders>
          </w:tcPr>
          <w:p w14:paraId="461568E5" w14:textId="456E81F8"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E65EC83" w14:textId="41551C6B" w:rsidR="00B449D0" w:rsidRDefault="00076D78">
            <w:pPr>
              <w:pStyle w:val="MeasureTableDataRightAlignedwith2ptsspacing"/>
              <w:keepNext/>
            </w:pPr>
            <w:r>
              <w:noBreakHyphen/>
            </w:r>
          </w:p>
        </w:tc>
      </w:tr>
      <w:tr w:rsidR="00B449D0" w14:paraId="4DB3ADEF" w14:textId="77777777">
        <w:trPr>
          <w:cantSplit/>
        </w:trPr>
        <w:tc>
          <w:tcPr>
            <w:tcW w:w="2494" w:type="dxa"/>
            <w:tcBorders>
              <w:top w:val="single" w:sz="4" w:space="0" w:color="000000"/>
              <w:bottom w:val="single" w:sz="4" w:space="0" w:color="000000"/>
            </w:tcBorders>
          </w:tcPr>
          <w:p w14:paraId="195749AC"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44B1F91E" w14:textId="435811CC"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7AAEBF20" w14:textId="0162DEBE"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1CE7168E" w14:textId="4E45719A"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6858F6A9" w14:textId="53A3AAD7"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37FBB0A0" w14:textId="7FB16CC0" w:rsidR="00B449D0" w:rsidRDefault="00076D78">
            <w:pPr>
              <w:pStyle w:val="Totaldatarowrightaligned"/>
              <w:keepNext/>
            </w:pPr>
            <w:r>
              <w:noBreakHyphen/>
            </w:r>
          </w:p>
        </w:tc>
      </w:tr>
    </w:tbl>
    <w:p w14:paraId="0124926E" w14:textId="77777777" w:rsidR="00B449D0" w:rsidRDefault="00B449D0" w:rsidP="00380A42">
      <w:pPr>
        <w:pStyle w:val="SingleParagraph0"/>
      </w:pPr>
    </w:p>
    <w:p w14:paraId="731228F3" w14:textId="75CDD27A" w:rsidR="00B449D0" w:rsidRDefault="00175344">
      <w:pPr>
        <w:pStyle w:val="Normal2"/>
      </w:pPr>
      <w:r>
        <w:t>The Government will provide $269.0 million over four years from 2024–25 to continue to build the capacity of Australian industry to support Australia</w:t>
      </w:r>
      <w:r w:rsidR="00076D78">
        <w:t>’</w:t>
      </w:r>
      <w:r>
        <w:t>s nuclear‑powered submarine program, invest in security requirements and improve education and training coordination between AUKUS partners. Funding includes:</w:t>
      </w:r>
    </w:p>
    <w:p w14:paraId="1AB9EBD1" w14:textId="77777777" w:rsidR="00B449D0" w:rsidRDefault="00175344">
      <w:pPr>
        <w:pStyle w:val="Bullet"/>
      </w:pPr>
      <w:r>
        <w:t xml:space="preserve">$262.4 million over three years from 2024–25 to enhance domestic industry capacity, including expanding the </w:t>
      </w:r>
      <w:r w:rsidRPr="00175344">
        <w:rPr>
          <w:i/>
        </w:rPr>
        <w:t>Defence Industry Vendor Qualification Program</w:t>
      </w:r>
      <w:r>
        <w:t xml:space="preserve"> to increase Australian industry participation in nuclear‑powered submarine construction and sustainment supply chains, and supporting Australian industry to build their supply chain resilience and security, as part of a broader strategy to grow Australian industry participation</w:t>
      </w:r>
    </w:p>
    <w:p w14:paraId="69986167" w14:textId="77777777" w:rsidR="00B449D0" w:rsidRDefault="00175344">
      <w:pPr>
        <w:pStyle w:val="Bullet"/>
      </w:pPr>
      <w:r>
        <w:t xml:space="preserve">$5.5 million in 2025–26 for the Australian Federal Police to continue to develop the capabilities required to provide protective security for Submarine Rotational Force‑West at </w:t>
      </w:r>
      <w:r w:rsidRPr="00175344">
        <w:rPr>
          <w:i/>
        </w:rPr>
        <w:t>HMAS Stirling</w:t>
      </w:r>
    </w:p>
    <w:p w14:paraId="15DD9A44" w14:textId="77777777" w:rsidR="00B449D0" w:rsidRDefault="00175344">
      <w:pPr>
        <w:pStyle w:val="Bullet"/>
      </w:pPr>
      <w:r>
        <w:t>$1.1 million over four years from 2024–25 for the Australian Submarine Agency (ASA) to assist in harmonising vocational educational and training qualifications across AUKUS partners.</w:t>
      </w:r>
    </w:p>
    <w:p w14:paraId="7173E11E" w14:textId="2165DB80" w:rsidR="00B449D0" w:rsidRDefault="00175344">
      <w:pPr>
        <w:pStyle w:val="Normal2"/>
      </w:pPr>
      <w:r w:rsidRPr="7F762F0D">
        <w:rPr>
          <w:lang w:val="en-US"/>
        </w:rPr>
        <w:t>The cost of this measure will be met from within the existing resourcing of the Department</w:t>
      </w:r>
      <w:r w:rsidR="00AE4238">
        <w:rPr>
          <w:lang w:val="en-US"/>
        </w:rPr>
        <w:t> </w:t>
      </w:r>
      <w:r w:rsidRPr="7F762F0D">
        <w:rPr>
          <w:lang w:val="en-US"/>
        </w:rPr>
        <w:t>of</w:t>
      </w:r>
      <w:r w:rsidR="00AE4238">
        <w:rPr>
          <w:lang w:val="en-US"/>
        </w:rPr>
        <w:t> </w:t>
      </w:r>
      <w:r w:rsidRPr="7F762F0D">
        <w:rPr>
          <w:lang w:val="en-US"/>
        </w:rPr>
        <w:t>Defence and the ASA.</w:t>
      </w:r>
    </w:p>
    <w:p w14:paraId="05902181" w14:textId="77777777" w:rsidR="00B449D0" w:rsidRDefault="00175344">
      <w:pPr>
        <w:pStyle w:val="Normal2"/>
        <w:rPr>
          <w:lang w:val="en-US"/>
        </w:rPr>
      </w:pPr>
      <w:r w:rsidRPr="7F762F0D">
        <w:rPr>
          <w:lang w:val="en-US"/>
        </w:rPr>
        <w:t xml:space="preserve">This measure builds on the 2024–25 Budget measures titled </w:t>
      </w:r>
      <w:r w:rsidRPr="7F762F0D">
        <w:rPr>
          <w:i/>
          <w:iCs/>
          <w:lang w:val="en-US"/>
        </w:rPr>
        <w:t>Nuclear‑Powered Submarine Program – workforce and supply chain investments</w:t>
      </w:r>
      <w:r w:rsidRPr="7F762F0D">
        <w:rPr>
          <w:lang w:val="en-US"/>
        </w:rPr>
        <w:t xml:space="preserve"> and </w:t>
      </w:r>
      <w:r w:rsidRPr="7F762F0D">
        <w:rPr>
          <w:i/>
          <w:iCs/>
          <w:lang w:val="en-US"/>
        </w:rPr>
        <w:t>National Security Agencies – additional funding</w:t>
      </w:r>
      <w:r w:rsidRPr="7F762F0D">
        <w:rPr>
          <w:lang w:val="en-US"/>
        </w:rPr>
        <w:t>.</w:t>
      </w:r>
    </w:p>
    <w:p w14:paraId="19B1C207" w14:textId="77777777" w:rsidR="00205632" w:rsidRDefault="00205632">
      <w:pPr>
        <w:autoSpaceDE/>
        <w:autoSpaceDN/>
        <w:adjustRightInd/>
        <w:rPr>
          <w:rFonts w:cs="Times New Roman"/>
          <w:b/>
          <w:color w:val="000000"/>
          <w:lang w:val="en-AU"/>
        </w:rPr>
      </w:pPr>
      <w:r>
        <w:br w:type="page"/>
      </w:r>
    </w:p>
    <w:p w14:paraId="2FE0DD4D" w14:textId="1AADD42F" w:rsidR="00FA4F95" w:rsidRDefault="00FA4F95" w:rsidP="00FA4F95">
      <w:pPr>
        <w:pStyle w:val="MeasureTitle"/>
      </w:pPr>
      <w:r w:rsidRPr="0022710B">
        <w:lastRenderedPageBreak/>
        <w:t>Parliamentary Joint Committee on Defence – reversal</w:t>
      </w:r>
    </w:p>
    <w:p w14:paraId="6096A94A" w14:textId="77777777" w:rsidR="00FA4F95" w:rsidRDefault="00FA4F95" w:rsidP="00FA4F95">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FA4F95" w14:paraId="35BFCB15" w14:textId="77777777" w:rsidTr="003C23FE">
        <w:trPr>
          <w:cantSplit/>
        </w:trPr>
        <w:tc>
          <w:tcPr>
            <w:tcW w:w="2494" w:type="dxa"/>
            <w:tcBorders>
              <w:top w:val="single" w:sz="4" w:space="0" w:color="000000"/>
              <w:bottom w:val="single" w:sz="4" w:space="0" w:color="000000"/>
            </w:tcBorders>
          </w:tcPr>
          <w:p w14:paraId="0EE95F51" w14:textId="77777777" w:rsidR="00FA4F95" w:rsidRDefault="00FA4F95" w:rsidP="003C23FE">
            <w:pPr>
              <w:pStyle w:val="MeasureTableYearHeadings"/>
              <w:keepNext/>
            </w:pPr>
          </w:p>
        </w:tc>
        <w:tc>
          <w:tcPr>
            <w:tcW w:w="1043" w:type="dxa"/>
            <w:tcBorders>
              <w:top w:val="single" w:sz="4" w:space="0" w:color="000000"/>
              <w:bottom w:val="single" w:sz="4" w:space="0" w:color="000000"/>
            </w:tcBorders>
          </w:tcPr>
          <w:p w14:paraId="29FA5B54" w14:textId="7C4A45FA" w:rsidR="00FA4F95" w:rsidRDefault="00FA4F95" w:rsidP="003C23FE">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048E6223" w14:textId="60EC38E3" w:rsidR="00FA4F95" w:rsidRDefault="00FA4F95" w:rsidP="003C23FE">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65578A2A" w14:textId="396FA2A7" w:rsidR="00FA4F95" w:rsidRDefault="00FA4F95" w:rsidP="003C23FE">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6A5C68F6" w14:textId="761B5926" w:rsidR="00FA4F95" w:rsidRDefault="00FA4F95" w:rsidP="003C23FE">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7633A14C" w14:textId="0943D722" w:rsidR="00FA4F95" w:rsidRDefault="00FA4F95" w:rsidP="003C23FE">
            <w:pPr>
              <w:pStyle w:val="MeasureTableYearHeadings"/>
              <w:keepNext/>
            </w:pPr>
            <w:r>
              <w:t>2027</w:t>
            </w:r>
            <w:r w:rsidR="00076D78">
              <w:noBreakHyphen/>
            </w:r>
            <w:r>
              <w:t>28</w:t>
            </w:r>
          </w:p>
        </w:tc>
      </w:tr>
      <w:tr w:rsidR="00FA4F95" w14:paraId="2460AAED" w14:textId="77777777" w:rsidTr="003C23FE">
        <w:trPr>
          <w:cantSplit/>
        </w:trPr>
        <w:tc>
          <w:tcPr>
            <w:tcW w:w="2494" w:type="dxa"/>
            <w:tcBorders>
              <w:top w:val="single" w:sz="4" w:space="0" w:color="000000"/>
              <w:bottom w:val="single" w:sz="4" w:space="0" w:color="000000"/>
            </w:tcBorders>
          </w:tcPr>
          <w:p w14:paraId="19DEC2D1" w14:textId="77777777" w:rsidR="00FA4F95" w:rsidRDefault="00FA4F95" w:rsidP="003C23FE">
            <w:pPr>
              <w:pStyle w:val="MeasureTableHeadingleftalignedwith2ptsspacing"/>
              <w:keepNext/>
            </w:pPr>
            <w:r>
              <w:t>Department of Defence</w:t>
            </w:r>
          </w:p>
        </w:tc>
        <w:tc>
          <w:tcPr>
            <w:tcW w:w="1043" w:type="dxa"/>
            <w:tcBorders>
              <w:top w:val="single" w:sz="4" w:space="0" w:color="000000"/>
              <w:bottom w:val="single" w:sz="4" w:space="0" w:color="000000"/>
            </w:tcBorders>
          </w:tcPr>
          <w:p w14:paraId="11E48BC5" w14:textId="57A4DD21" w:rsidR="00FA4F95" w:rsidRDefault="00076D78" w:rsidP="003C23FE">
            <w:pPr>
              <w:pStyle w:val="MeasureTableDataRightAlignedwith2ptsspacing"/>
              <w:keepNext/>
            </w:pPr>
            <w:r>
              <w:noBreakHyphen/>
            </w:r>
          </w:p>
        </w:tc>
        <w:tc>
          <w:tcPr>
            <w:tcW w:w="1043" w:type="dxa"/>
            <w:tcBorders>
              <w:top w:val="single" w:sz="4" w:space="0" w:color="000000"/>
              <w:bottom w:val="single" w:sz="4" w:space="0" w:color="000000"/>
            </w:tcBorders>
          </w:tcPr>
          <w:p w14:paraId="07D2AEC1" w14:textId="010C276C" w:rsidR="00FA4F95" w:rsidRDefault="00076D78" w:rsidP="003C23FE">
            <w:pPr>
              <w:pStyle w:val="MeasureTableDataRightAlignedwith2ptsspacing"/>
              <w:keepNext/>
            </w:pPr>
            <w:r>
              <w:noBreakHyphen/>
            </w:r>
            <w:r w:rsidR="00FA4F95">
              <w:t>1.9</w:t>
            </w:r>
          </w:p>
        </w:tc>
        <w:tc>
          <w:tcPr>
            <w:tcW w:w="1043" w:type="dxa"/>
            <w:tcBorders>
              <w:top w:val="single" w:sz="4" w:space="0" w:color="000000"/>
              <w:bottom w:val="single" w:sz="4" w:space="0" w:color="000000"/>
            </w:tcBorders>
          </w:tcPr>
          <w:p w14:paraId="3886DFB5" w14:textId="2270D1D4" w:rsidR="00FA4F95" w:rsidRDefault="00076D78" w:rsidP="003C23FE">
            <w:pPr>
              <w:pStyle w:val="MeasureTableDataRightAlignedwith2ptsspacing"/>
              <w:keepNext/>
            </w:pPr>
            <w:r>
              <w:noBreakHyphen/>
            </w:r>
            <w:r w:rsidR="00FA4F95">
              <w:t>1.6</w:t>
            </w:r>
          </w:p>
        </w:tc>
        <w:tc>
          <w:tcPr>
            <w:tcW w:w="1043" w:type="dxa"/>
            <w:tcBorders>
              <w:top w:val="single" w:sz="4" w:space="0" w:color="000000"/>
              <w:bottom w:val="single" w:sz="4" w:space="0" w:color="000000"/>
            </w:tcBorders>
          </w:tcPr>
          <w:p w14:paraId="2940E212" w14:textId="58CFFABF" w:rsidR="00FA4F95" w:rsidRDefault="00076D78" w:rsidP="003C23FE">
            <w:pPr>
              <w:pStyle w:val="MeasureTableDataRightAlignedwith2ptsspacing"/>
              <w:keepNext/>
            </w:pPr>
            <w:r>
              <w:noBreakHyphen/>
            </w:r>
            <w:r w:rsidR="00FA4F95">
              <w:t>1.6</w:t>
            </w:r>
          </w:p>
        </w:tc>
        <w:tc>
          <w:tcPr>
            <w:tcW w:w="1043" w:type="dxa"/>
            <w:tcBorders>
              <w:top w:val="single" w:sz="4" w:space="0" w:color="000000"/>
              <w:bottom w:val="single" w:sz="4" w:space="0" w:color="000000"/>
            </w:tcBorders>
          </w:tcPr>
          <w:p w14:paraId="392D92AC" w14:textId="6D952644" w:rsidR="00FA4F95" w:rsidRDefault="00076D78" w:rsidP="003C23FE">
            <w:pPr>
              <w:pStyle w:val="MeasureTableDataRightAlignedwith2ptsspacing"/>
              <w:keepNext/>
            </w:pPr>
            <w:r>
              <w:noBreakHyphen/>
            </w:r>
            <w:r w:rsidR="00FA4F95">
              <w:t>1.7</w:t>
            </w:r>
          </w:p>
        </w:tc>
      </w:tr>
    </w:tbl>
    <w:p w14:paraId="2B8A02CB" w14:textId="77777777" w:rsidR="00FA4F95" w:rsidRDefault="00FA4F95" w:rsidP="00380A42">
      <w:pPr>
        <w:pStyle w:val="SingleParagraph0"/>
      </w:pPr>
    </w:p>
    <w:p w14:paraId="7681924D" w14:textId="6899DE2A" w:rsidR="00FA4F95" w:rsidRDefault="00FA4F95" w:rsidP="00FA4F95">
      <w:pPr>
        <w:pStyle w:val="Normal2"/>
      </w:pPr>
      <w:r w:rsidRPr="7F762F0D">
        <w:rPr>
          <w:lang w:val="en-US"/>
        </w:rPr>
        <w:t>The Government will achieve savings of $17.5 million over ten years from 2024–25 (and $1.8 million per year ongoing) by not proceeding with the establishment of the Parliamentary Joint Committee on Defence after the Defence Amendment (Parliamentary Joint Committee on Defence) Bill 2024 was not agreed to by the Parliament. Funding for the Parliamentary committee was previously provisioned in the Contingency Reserve.</w:t>
      </w:r>
    </w:p>
    <w:p w14:paraId="05621108" w14:textId="77777777" w:rsidR="00B449D0" w:rsidRDefault="00175344">
      <w:pPr>
        <w:pStyle w:val="MeasureTitle"/>
      </w:pPr>
      <w:r w:rsidRPr="7F762F0D">
        <w:rPr>
          <w:lang w:val="en-US"/>
        </w:rPr>
        <w:t>Royal Commission into Defence and Veteran Suicide – initial steps</w:t>
      </w:r>
    </w:p>
    <w:p w14:paraId="1E34181B"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6EC3F6EC" w14:textId="77777777">
        <w:trPr>
          <w:cantSplit/>
        </w:trPr>
        <w:tc>
          <w:tcPr>
            <w:tcW w:w="2494" w:type="dxa"/>
            <w:tcBorders>
              <w:top w:val="single" w:sz="4" w:space="0" w:color="000000"/>
              <w:bottom w:val="single" w:sz="4" w:space="0" w:color="000000"/>
            </w:tcBorders>
          </w:tcPr>
          <w:p w14:paraId="4F8D8020" w14:textId="77777777" w:rsidR="00B449D0" w:rsidRDefault="00B449D0">
            <w:pPr>
              <w:pStyle w:val="MeasureTableYearHeadings"/>
              <w:keepNext/>
            </w:pPr>
          </w:p>
        </w:tc>
        <w:tc>
          <w:tcPr>
            <w:tcW w:w="1043" w:type="dxa"/>
            <w:tcBorders>
              <w:top w:val="single" w:sz="4" w:space="0" w:color="000000"/>
              <w:bottom w:val="single" w:sz="4" w:space="0" w:color="000000"/>
            </w:tcBorders>
          </w:tcPr>
          <w:p w14:paraId="02792DEF" w14:textId="63720CC9"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7DE3E949" w14:textId="1734DFC2"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2B798FF5" w14:textId="51994998"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71946CEA" w14:textId="730F0BAA"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66232EB6" w14:textId="51A959C3" w:rsidR="00B449D0" w:rsidRDefault="00175344">
            <w:pPr>
              <w:pStyle w:val="MeasureTableYearHeadings"/>
              <w:keepNext/>
            </w:pPr>
            <w:r>
              <w:t>2027</w:t>
            </w:r>
            <w:r w:rsidR="00076D78">
              <w:noBreakHyphen/>
            </w:r>
            <w:r>
              <w:t>28</w:t>
            </w:r>
          </w:p>
        </w:tc>
      </w:tr>
      <w:tr w:rsidR="00B449D0" w14:paraId="0D72BCA3" w14:textId="77777777">
        <w:trPr>
          <w:cantSplit/>
        </w:trPr>
        <w:tc>
          <w:tcPr>
            <w:tcW w:w="2494" w:type="dxa"/>
            <w:tcBorders>
              <w:top w:val="single" w:sz="4" w:space="0" w:color="000000"/>
              <w:bottom w:val="single" w:sz="4" w:space="0" w:color="000000"/>
            </w:tcBorders>
          </w:tcPr>
          <w:p w14:paraId="6EE4B0C5" w14:textId="3C13ED7B" w:rsidR="00B449D0" w:rsidRDefault="00175344">
            <w:pPr>
              <w:pStyle w:val="MeasureTableHeadingleftalignedwith2ptsspacing"/>
              <w:keepNext/>
            </w:pPr>
            <w:r>
              <w:t>Department of Veterans</w:t>
            </w:r>
            <w:r w:rsidR="00076D78">
              <w:t>’</w:t>
            </w:r>
            <w:r>
              <w:t xml:space="preserve"> Affairs</w:t>
            </w:r>
          </w:p>
        </w:tc>
        <w:tc>
          <w:tcPr>
            <w:tcW w:w="1043" w:type="dxa"/>
            <w:tcBorders>
              <w:top w:val="single" w:sz="4" w:space="0" w:color="000000"/>
              <w:bottom w:val="single" w:sz="4" w:space="0" w:color="000000"/>
            </w:tcBorders>
          </w:tcPr>
          <w:p w14:paraId="565E6B47" w14:textId="46B58E21"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F466A6A" w14:textId="77777777" w:rsidR="00B449D0" w:rsidRDefault="00175344">
            <w:pPr>
              <w:pStyle w:val="MeasureTableDataRightAlignedwith2ptsspacing"/>
              <w:keepNext/>
            </w:pPr>
            <w:r>
              <w:t>4.5</w:t>
            </w:r>
          </w:p>
        </w:tc>
        <w:tc>
          <w:tcPr>
            <w:tcW w:w="1043" w:type="dxa"/>
            <w:tcBorders>
              <w:top w:val="single" w:sz="4" w:space="0" w:color="000000"/>
              <w:bottom w:val="single" w:sz="4" w:space="0" w:color="000000"/>
            </w:tcBorders>
          </w:tcPr>
          <w:p w14:paraId="4B6D6CBA" w14:textId="14DFF6EC"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FF0FE1A" w14:textId="6866EFAB"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B50FFD1" w14:textId="7BBE8D7A" w:rsidR="00B449D0" w:rsidRDefault="00076D78">
            <w:pPr>
              <w:pStyle w:val="MeasureTableDataRightAlignedwith2ptsspacing"/>
              <w:keepNext/>
            </w:pPr>
            <w:r>
              <w:noBreakHyphen/>
            </w:r>
          </w:p>
        </w:tc>
      </w:tr>
      <w:tr w:rsidR="00B449D0" w14:paraId="1B6D715E" w14:textId="77777777">
        <w:trPr>
          <w:cantSplit/>
        </w:trPr>
        <w:tc>
          <w:tcPr>
            <w:tcW w:w="2494" w:type="dxa"/>
            <w:tcBorders>
              <w:top w:val="single" w:sz="4" w:space="0" w:color="000000"/>
              <w:bottom w:val="single" w:sz="4" w:space="0" w:color="000000"/>
            </w:tcBorders>
          </w:tcPr>
          <w:p w14:paraId="05BB662D" w14:textId="77777777" w:rsidR="00B449D0" w:rsidRDefault="00175344">
            <w:pPr>
              <w:pStyle w:val="MeasureTableHeadingleftalignedwith2ptsspacing"/>
              <w:keepNext/>
            </w:pPr>
            <w:r>
              <w:t>Department of the Prime Minister and Cabinet</w:t>
            </w:r>
          </w:p>
        </w:tc>
        <w:tc>
          <w:tcPr>
            <w:tcW w:w="1043" w:type="dxa"/>
            <w:tcBorders>
              <w:top w:val="single" w:sz="4" w:space="0" w:color="000000"/>
              <w:bottom w:val="single" w:sz="4" w:space="0" w:color="000000"/>
            </w:tcBorders>
          </w:tcPr>
          <w:p w14:paraId="014B7F3A" w14:textId="230F0D00"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85C945C" w14:textId="77777777" w:rsidR="00B449D0" w:rsidRDefault="00175344">
            <w:pPr>
              <w:pStyle w:val="MeasureTableDataRightAlignedwith2ptsspacing"/>
              <w:keepNext/>
            </w:pPr>
            <w:r>
              <w:t>2.5</w:t>
            </w:r>
          </w:p>
        </w:tc>
        <w:tc>
          <w:tcPr>
            <w:tcW w:w="1043" w:type="dxa"/>
            <w:tcBorders>
              <w:top w:val="single" w:sz="4" w:space="0" w:color="000000"/>
              <w:bottom w:val="single" w:sz="4" w:space="0" w:color="000000"/>
            </w:tcBorders>
          </w:tcPr>
          <w:p w14:paraId="22B4616B" w14:textId="77777777" w:rsidR="00B449D0" w:rsidRDefault="00175344">
            <w:pPr>
              <w:pStyle w:val="MeasureTableDataRightAlignedwith2ptsspacing"/>
              <w:keepNext/>
            </w:pPr>
            <w:r>
              <w:t>2.5</w:t>
            </w:r>
          </w:p>
        </w:tc>
        <w:tc>
          <w:tcPr>
            <w:tcW w:w="1043" w:type="dxa"/>
            <w:tcBorders>
              <w:top w:val="single" w:sz="4" w:space="0" w:color="000000"/>
              <w:bottom w:val="single" w:sz="4" w:space="0" w:color="000000"/>
            </w:tcBorders>
          </w:tcPr>
          <w:p w14:paraId="7D0A1C8F" w14:textId="2867AE1B"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7F6A039" w14:textId="05E5C65B" w:rsidR="00B449D0" w:rsidRDefault="00076D78">
            <w:pPr>
              <w:pStyle w:val="MeasureTableDataRightAlignedwith2ptsspacing"/>
              <w:keepNext/>
            </w:pPr>
            <w:r>
              <w:noBreakHyphen/>
            </w:r>
          </w:p>
        </w:tc>
      </w:tr>
      <w:tr w:rsidR="00B449D0" w14:paraId="766F9E69" w14:textId="77777777">
        <w:trPr>
          <w:cantSplit/>
        </w:trPr>
        <w:tc>
          <w:tcPr>
            <w:tcW w:w="2494" w:type="dxa"/>
            <w:tcBorders>
              <w:top w:val="single" w:sz="4" w:space="0" w:color="000000"/>
              <w:bottom w:val="single" w:sz="4" w:space="0" w:color="000000"/>
            </w:tcBorders>
          </w:tcPr>
          <w:p w14:paraId="50A2E1A3" w14:textId="77777777" w:rsidR="00B449D0" w:rsidRDefault="00175344">
            <w:pPr>
              <w:pStyle w:val="MeasureTableHeadingleftalignedwith2ptsspacing"/>
              <w:keepNext/>
            </w:pPr>
            <w:r>
              <w:t>Department of Defence</w:t>
            </w:r>
          </w:p>
        </w:tc>
        <w:tc>
          <w:tcPr>
            <w:tcW w:w="1043" w:type="dxa"/>
            <w:tcBorders>
              <w:top w:val="single" w:sz="4" w:space="0" w:color="000000"/>
              <w:bottom w:val="single" w:sz="4" w:space="0" w:color="000000"/>
            </w:tcBorders>
          </w:tcPr>
          <w:p w14:paraId="13B716CA" w14:textId="5B3DEB3E"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1F1FE6C" w14:textId="6B88EDB8" w:rsidR="00B449D0" w:rsidRDefault="00076D78">
            <w:pPr>
              <w:pStyle w:val="MeasureTableDataRightAlignedwith2ptsspacing"/>
              <w:keepNext/>
            </w:pPr>
            <w:r>
              <w:noBreakHyphen/>
            </w:r>
            <w:r w:rsidR="00175344">
              <w:t>7.0</w:t>
            </w:r>
          </w:p>
        </w:tc>
        <w:tc>
          <w:tcPr>
            <w:tcW w:w="1043" w:type="dxa"/>
            <w:tcBorders>
              <w:top w:val="single" w:sz="4" w:space="0" w:color="000000"/>
              <w:bottom w:val="single" w:sz="4" w:space="0" w:color="000000"/>
            </w:tcBorders>
          </w:tcPr>
          <w:p w14:paraId="6BBA7A88" w14:textId="57865531" w:rsidR="00B449D0" w:rsidRDefault="00076D78">
            <w:pPr>
              <w:pStyle w:val="MeasureTableDataRightAlignedwith2ptsspacing"/>
              <w:keepNext/>
            </w:pPr>
            <w:r>
              <w:noBreakHyphen/>
            </w:r>
            <w:r w:rsidR="00175344">
              <w:t>2.5</w:t>
            </w:r>
          </w:p>
        </w:tc>
        <w:tc>
          <w:tcPr>
            <w:tcW w:w="1043" w:type="dxa"/>
            <w:tcBorders>
              <w:top w:val="single" w:sz="4" w:space="0" w:color="000000"/>
              <w:bottom w:val="single" w:sz="4" w:space="0" w:color="000000"/>
            </w:tcBorders>
          </w:tcPr>
          <w:p w14:paraId="6BFB92A3" w14:textId="417F294D"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D357253" w14:textId="771B2221" w:rsidR="00B449D0" w:rsidRDefault="00076D78">
            <w:pPr>
              <w:pStyle w:val="MeasureTableDataRightAlignedwith2ptsspacing"/>
              <w:keepNext/>
            </w:pPr>
            <w:r>
              <w:noBreakHyphen/>
            </w:r>
          </w:p>
        </w:tc>
      </w:tr>
      <w:tr w:rsidR="00B449D0" w14:paraId="4AB13971" w14:textId="77777777">
        <w:trPr>
          <w:cantSplit/>
        </w:trPr>
        <w:tc>
          <w:tcPr>
            <w:tcW w:w="2494" w:type="dxa"/>
            <w:tcBorders>
              <w:top w:val="single" w:sz="4" w:space="0" w:color="000000"/>
              <w:bottom w:val="single" w:sz="4" w:space="0" w:color="000000"/>
            </w:tcBorders>
          </w:tcPr>
          <w:p w14:paraId="331D0E31"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7CB644F0" w14:textId="0188AC9C"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777FB4E7" w14:textId="3F34CD37"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794BFCB9" w14:textId="2024EFF3"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732B3A51" w14:textId="1A31DD3C"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5C693208" w14:textId="6FECD152" w:rsidR="00B449D0" w:rsidRDefault="00076D78">
            <w:pPr>
              <w:pStyle w:val="Totaldatarowrightaligned"/>
              <w:keepNext/>
            </w:pPr>
            <w:r>
              <w:noBreakHyphen/>
            </w:r>
          </w:p>
        </w:tc>
      </w:tr>
    </w:tbl>
    <w:p w14:paraId="0BF58A68" w14:textId="77777777" w:rsidR="00B449D0" w:rsidRDefault="00B449D0" w:rsidP="00380A42">
      <w:pPr>
        <w:pStyle w:val="SingleParagraph0"/>
      </w:pPr>
    </w:p>
    <w:p w14:paraId="65CB6FE7" w14:textId="77777777" w:rsidR="00B449D0" w:rsidRDefault="00175344" w:rsidP="0022710B">
      <w:pPr>
        <w:pStyle w:val="Normal2"/>
        <w:spacing w:before="100"/>
      </w:pPr>
      <w:r w:rsidRPr="7F762F0D">
        <w:rPr>
          <w:lang w:val="en-US"/>
        </w:rPr>
        <w:t xml:space="preserve">The Government will provide $9.5 million over two years from 2024–25 to begin implementing the </w:t>
      </w:r>
      <w:r w:rsidRPr="7F762F0D">
        <w:rPr>
          <w:i/>
          <w:iCs/>
          <w:lang w:val="en-US"/>
        </w:rPr>
        <w:t>Australian Government Response to the Final Report of the Royal Commission into Defence and Veteran Suicide</w:t>
      </w:r>
      <w:r w:rsidRPr="7F762F0D">
        <w:rPr>
          <w:lang w:val="en-US"/>
        </w:rPr>
        <w:t>. Funding includes:</w:t>
      </w:r>
    </w:p>
    <w:p w14:paraId="4890CCA1" w14:textId="4CCDFEFA" w:rsidR="00B449D0" w:rsidRDefault="00175344">
      <w:pPr>
        <w:pStyle w:val="Bullet"/>
      </w:pPr>
      <w:r>
        <w:t>$5.0 million over two years from 2024–25 to appoint an interim head of the new statutory oversight entity and establish a cross‑agency taskforce to provide advice to Government on the implementation of the Government</w:t>
      </w:r>
      <w:r w:rsidR="00076D78">
        <w:t>’</w:t>
      </w:r>
      <w:r>
        <w:t xml:space="preserve">s response to the </w:t>
      </w:r>
      <w:r w:rsidR="00AE4238">
        <w:t>Royal </w:t>
      </w:r>
      <w:r>
        <w:t>Commission</w:t>
      </w:r>
      <w:r w:rsidR="00076D78">
        <w:t>’</w:t>
      </w:r>
      <w:r>
        <w:t>s recommendations, including the establishment of the statutory oversight entity</w:t>
      </w:r>
    </w:p>
    <w:p w14:paraId="760722EA" w14:textId="5A55CEA2" w:rsidR="00B449D0" w:rsidRDefault="00175344">
      <w:pPr>
        <w:pStyle w:val="Bullet"/>
      </w:pPr>
      <w:r>
        <w:t>$4.5 million in 2024–25 to undertake a nation‑wide stakeholder consultation process to co‑design the development of a new agency within the Department of Veterans</w:t>
      </w:r>
      <w:r w:rsidR="00076D78">
        <w:t>’</w:t>
      </w:r>
      <w:r>
        <w:t xml:space="preserve"> Affairs focused on veteran wellbeing and consult on the development of an ex‑service organisation peak body.</w:t>
      </w:r>
    </w:p>
    <w:p w14:paraId="0AD35077" w14:textId="21B63BB1" w:rsidR="00B449D0" w:rsidRDefault="00175344">
      <w:pPr>
        <w:pStyle w:val="Normal2"/>
      </w:pPr>
      <w:r w:rsidRPr="7F762F0D">
        <w:rPr>
          <w:lang w:val="en-US"/>
        </w:rPr>
        <w:t>The cost of this measure will be met from within the existing resourcing of the Department</w:t>
      </w:r>
      <w:r w:rsidR="00AE4238">
        <w:rPr>
          <w:lang w:val="en-US"/>
        </w:rPr>
        <w:t> </w:t>
      </w:r>
      <w:r w:rsidRPr="7F762F0D">
        <w:rPr>
          <w:lang w:val="en-US"/>
        </w:rPr>
        <w:t>of</w:t>
      </w:r>
      <w:r w:rsidR="00AE4238">
        <w:rPr>
          <w:lang w:val="en-US"/>
        </w:rPr>
        <w:t> </w:t>
      </w:r>
      <w:r w:rsidRPr="7F762F0D">
        <w:rPr>
          <w:lang w:val="en-US"/>
        </w:rPr>
        <w:t>Defence.</w:t>
      </w:r>
    </w:p>
    <w:p w14:paraId="67C2969B" w14:textId="77777777" w:rsidR="00B449D0" w:rsidRDefault="00175344">
      <w:pPr>
        <w:pStyle w:val="Normal2"/>
      </w:pPr>
      <w:r>
        <w:t>The Government will consider future measures to implement the Government response following provision of advice from the implementation taskforce in 2025.</w:t>
      </w:r>
    </w:p>
    <w:p w14:paraId="2F18AD0C" w14:textId="77777777" w:rsidR="00B449D0" w:rsidRDefault="00175344" w:rsidP="0022710B">
      <w:pPr>
        <w:pStyle w:val="MeasureTitle"/>
        <w:spacing w:before="300"/>
      </w:pPr>
      <w:r w:rsidRPr="7F762F0D">
        <w:rPr>
          <w:lang w:val="en-US"/>
        </w:rPr>
        <w:lastRenderedPageBreak/>
        <w:t>Supporting Education and Training for Defence Industry</w:t>
      </w:r>
    </w:p>
    <w:p w14:paraId="60B37F0C"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5B4AFFBE" w14:textId="77777777">
        <w:trPr>
          <w:cantSplit/>
        </w:trPr>
        <w:tc>
          <w:tcPr>
            <w:tcW w:w="2494" w:type="dxa"/>
            <w:tcBorders>
              <w:top w:val="single" w:sz="4" w:space="0" w:color="000000"/>
              <w:bottom w:val="single" w:sz="4" w:space="0" w:color="000000"/>
            </w:tcBorders>
          </w:tcPr>
          <w:p w14:paraId="611DD975" w14:textId="77777777" w:rsidR="00B449D0" w:rsidRDefault="00B449D0">
            <w:pPr>
              <w:pStyle w:val="MeasureTableYearHeadings"/>
              <w:keepNext/>
            </w:pPr>
          </w:p>
        </w:tc>
        <w:tc>
          <w:tcPr>
            <w:tcW w:w="1043" w:type="dxa"/>
            <w:tcBorders>
              <w:top w:val="single" w:sz="4" w:space="0" w:color="000000"/>
              <w:bottom w:val="single" w:sz="4" w:space="0" w:color="000000"/>
            </w:tcBorders>
          </w:tcPr>
          <w:p w14:paraId="512C3F22" w14:textId="59C907C7"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297EEF31" w14:textId="74A83C27"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05AAFD9A" w14:textId="4DA5DF6A"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0BCFA569" w14:textId="0537D7AF"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380963EB" w14:textId="782ACC77" w:rsidR="00B449D0" w:rsidRDefault="00175344">
            <w:pPr>
              <w:pStyle w:val="MeasureTableYearHeadings"/>
              <w:keepNext/>
            </w:pPr>
            <w:r>
              <w:t>2027</w:t>
            </w:r>
            <w:r w:rsidR="00076D78">
              <w:noBreakHyphen/>
            </w:r>
            <w:r>
              <w:t>28</w:t>
            </w:r>
          </w:p>
        </w:tc>
      </w:tr>
      <w:tr w:rsidR="00B449D0" w14:paraId="1DB52F87" w14:textId="77777777">
        <w:trPr>
          <w:cantSplit/>
        </w:trPr>
        <w:tc>
          <w:tcPr>
            <w:tcW w:w="2494" w:type="dxa"/>
            <w:tcBorders>
              <w:top w:val="single" w:sz="4" w:space="0" w:color="000000"/>
              <w:bottom w:val="single" w:sz="4" w:space="0" w:color="000000"/>
            </w:tcBorders>
          </w:tcPr>
          <w:p w14:paraId="6741FFE7" w14:textId="77777777" w:rsidR="00B449D0" w:rsidRDefault="00175344">
            <w:pPr>
              <w:pStyle w:val="MeasureTableHeadingleftalignedwith2ptsspacing"/>
              <w:keepNext/>
            </w:pPr>
            <w:r>
              <w:t>Department of the Treasury</w:t>
            </w:r>
          </w:p>
        </w:tc>
        <w:tc>
          <w:tcPr>
            <w:tcW w:w="1043" w:type="dxa"/>
            <w:tcBorders>
              <w:top w:val="single" w:sz="4" w:space="0" w:color="000000"/>
              <w:bottom w:val="single" w:sz="4" w:space="0" w:color="000000"/>
            </w:tcBorders>
          </w:tcPr>
          <w:p w14:paraId="6A031FA0" w14:textId="2D02D9A5"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4E12DBF" w14:textId="77777777" w:rsidR="00B449D0" w:rsidRDefault="00175344">
            <w:pPr>
              <w:pStyle w:val="MeasureTableDataRightAlignedwith2ptsspacing"/>
              <w:keepNext/>
            </w:pPr>
            <w:r>
              <w:t>1.0</w:t>
            </w:r>
          </w:p>
        </w:tc>
        <w:tc>
          <w:tcPr>
            <w:tcW w:w="1043" w:type="dxa"/>
            <w:tcBorders>
              <w:top w:val="single" w:sz="4" w:space="0" w:color="000000"/>
              <w:bottom w:val="single" w:sz="4" w:space="0" w:color="000000"/>
            </w:tcBorders>
          </w:tcPr>
          <w:p w14:paraId="1DA4AC17" w14:textId="61AA8E22"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16AAE91" w14:textId="26C02BEA"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4B7E412" w14:textId="7651A546" w:rsidR="00B449D0" w:rsidRDefault="00076D78">
            <w:pPr>
              <w:pStyle w:val="MeasureTableDataRightAlignedwith2ptsspacing"/>
              <w:keepNext/>
            </w:pPr>
            <w:r>
              <w:noBreakHyphen/>
            </w:r>
          </w:p>
        </w:tc>
      </w:tr>
      <w:tr w:rsidR="00B449D0" w14:paraId="50229A80" w14:textId="77777777">
        <w:trPr>
          <w:cantSplit/>
        </w:trPr>
        <w:tc>
          <w:tcPr>
            <w:tcW w:w="2494" w:type="dxa"/>
            <w:tcBorders>
              <w:top w:val="single" w:sz="4" w:space="0" w:color="000000"/>
              <w:bottom w:val="single" w:sz="4" w:space="0" w:color="000000"/>
            </w:tcBorders>
          </w:tcPr>
          <w:p w14:paraId="4AED0F3B" w14:textId="77777777" w:rsidR="00B449D0" w:rsidRDefault="00175344">
            <w:pPr>
              <w:pStyle w:val="MeasureTableHeadingleftalignedwith2ptsspacing"/>
              <w:keepNext/>
            </w:pPr>
            <w:r>
              <w:t>Department of Defence</w:t>
            </w:r>
          </w:p>
        </w:tc>
        <w:tc>
          <w:tcPr>
            <w:tcW w:w="1043" w:type="dxa"/>
            <w:tcBorders>
              <w:top w:val="single" w:sz="4" w:space="0" w:color="000000"/>
              <w:bottom w:val="single" w:sz="4" w:space="0" w:color="000000"/>
            </w:tcBorders>
          </w:tcPr>
          <w:p w14:paraId="036E2553" w14:textId="3558437F"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39AA14B" w14:textId="37E857E7" w:rsidR="00B449D0" w:rsidRDefault="00076D78">
            <w:pPr>
              <w:pStyle w:val="MeasureTableDataRightAlignedwith2ptsspacing"/>
              <w:keepNext/>
            </w:pPr>
            <w:r>
              <w:noBreakHyphen/>
            </w:r>
            <w:r w:rsidR="00175344">
              <w:t>1.0</w:t>
            </w:r>
          </w:p>
        </w:tc>
        <w:tc>
          <w:tcPr>
            <w:tcW w:w="1043" w:type="dxa"/>
            <w:tcBorders>
              <w:top w:val="single" w:sz="4" w:space="0" w:color="000000"/>
              <w:bottom w:val="single" w:sz="4" w:space="0" w:color="000000"/>
            </w:tcBorders>
          </w:tcPr>
          <w:p w14:paraId="4E2A804E" w14:textId="5A74F3C8"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F8903CE" w14:textId="0080FE63"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663DD03" w14:textId="2F3EBCD6" w:rsidR="00B449D0" w:rsidRDefault="00076D78">
            <w:pPr>
              <w:pStyle w:val="MeasureTableDataRightAlignedwith2ptsspacing"/>
              <w:keepNext/>
            </w:pPr>
            <w:r>
              <w:noBreakHyphen/>
            </w:r>
          </w:p>
        </w:tc>
      </w:tr>
      <w:tr w:rsidR="00B449D0" w14:paraId="10C7203E" w14:textId="77777777">
        <w:trPr>
          <w:cantSplit/>
        </w:trPr>
        <w:tc>
          <w:tcPr>
            <w:tcW w:w="2494" w:type="dxa"/>
            <w:tcBorders>
              <w:top w:val="single" w:sz="4" w:space="0" w:color="000000"/>
              <w:bottom w:val="single" w:sz="4" w:space="0" w:color="000000"/>
            </w:tcBorders>
          </w:tcPr>
          <w:p w14:paraId="5A8DF53E"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13063613" w14:textId="4E3C90A7"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7055359D" w14:textId="2978CE7D"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0FF6C984" w14:textId="154D2291"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099D7BA3" w14:textId="1D3ECA15"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799CD5E8" w14:textId="54966887" w:rsidR="00B449D0" w:rsidRDefault="00076D78">
            <w:pPr>
              <w:pStyle w:val="Totaldatarowrightaligned"/>
              <w:keepNext/>
            </w:pPr>
            <w:r>
              <w:noBreakHyphen/>
            </w:r>
          </w:p>
        </w:tc>
      </w:tr>
    </w:tbl>
    <w:p w14:paraId="422CA0D9" w14:textId="77777777" w:rsidR="00B449D0" w:rsidRDefault="00B449D0" w:rsidP="00380A42">
      <w:pPr>
        <w:pStyle w:val="SingleParagraph0"/>
      </w:pPr>
    </w:p>
    <w:p w14:paraId="452372C2" w14:textId="77777777" w:rsidR="00B449D0" w:rsidRDefault="00175344" w:rsidP="0022710B">
      <w:pPr>
        <w:pStyle w:val="Normal2"/>
        <w:spacing w:before="100"/>
      </w:pPr>
      <w:r w:rsidRPr="7F762F0D">
        <w:rPr>
          <w:lang w:val="en-US"/>
        </w:rPr>
        <w:t>The Government will provide $1.0 million in 2024–25, with additional contributions from the South Australian Government, to support a pilot program of degree apprenticeships allowing students to attain higher education qualifications while undertaking on‑the‑job training with defence industry.</w:t>
      </w:r>
    </w:p>
    <w:p w14:paraId="7BF652B7" w14:textId="77777777" w:rsidR="00B449D0" w:rsidRDefault="00175344">
      <w:pPr>
        <w:pStyle w:val="Normal2"/>
      </w:pPr>
      <w:r w:rsidRPr="7F762F0D">
        <w:rPr>
          <w:lang w:val="en-US"/>
        </w:rPr>
        <w:t xml:space="preserve">The measure will support the implementation of the </w:t>
      </w:r>
      <w:r w:rsidRPr="7F762F0D">
        <w:rPr>
          <w:i/>
          <w:iCs/>
          <w:lang w:val="en-US"/>
        </w:rPr>
        <w:t>South Australian Defence Industry Workforce and Skills Action Plan</w:t>
      </w:r>
      <w:r w:rsidRPr="7F762F0D">
        <w:rPr>
          <w:lang w:val="en-US"/>
        </w:rPr>
        <w:t>.</w:t>
      </w:r>
    </w:p>
    <w:p w14:paraId="33D0394E" w14:textId="56467521" w:rsidR="00B449D0" w:rsidRDefault="00175344">
      <w:pPr>
        <w:pStyle w:val="Normal2"/>
      </w:pPr>
      <w:r w:rsidRPr="7F762F0D">
        <w:rPr>
          <w:lang w:val="en-US"/>
        </w:rPr>
        <w:t>The cost of this measure will be met from within the existing resourcing of the Department</w:t>
      </w:r>
      <w:r w:rsidR="00B244AB">
        <w:rPr>
          <w:lang w:val="en-US"/>
        </w:rPr>
        <w:t> </w:t>
      </w:r>
      <w:r w:rsidRPr="7F762F0D">
        <w:rPr>
          <w:lang w:val="en-US"/>
        </w:rPr>
        <w:t>of</w:t>
      </w:r>
      <w:r w:rsidR="00B244AB">
        <w:rPr>
          <w:lang w:val="en-US"/>
        </w:rPr>
        <w:t> </w:t>
      </w:r>
      <w:r w:rsidRPr="7F762F0D">
        <w:rPr>
          <w:lang w:val="en-US"/>
        </w:rPr>
        <w:t>Defence.</w:t>
      </w:r>
    </w:p>
    <w:p w14:paraId="563344DE" w14:textId="77777777" w:rsidR="00B449D0" w:rsidRDefault="00175344">
      <w:pPr>
        <w:pStyle w:val="Normal2"/>
      </w:pPr>
      <w:r>
        <w:t>The Treasury manages Commonwealth payments to the states and territories.</w:t>
      </w:r>
    </w:p>
    <w:p w14:paraId="36521864" w14:textId="77777777" w:rsidR="00ED3A9B" w:rsidRDefault="00ED3A9B">
      <w:pPr>
        <w:sectPr w:rsidR="00ED3A9B" w:rsidSect="00301E48">
          <w:headerReference w:type="even" r:id="rId66"/>
          <w:headerReference w:type="default" r:id="rId67"/>
          <w:footerReference w:type="even" r:id="rId68"/>
          <w:footerReference w:type="default" r:id="rId69"/>
          <w:headerReference w:type="first" r:id="rId70"/>
          <w:footerReference w:type="first" r:id="rId71"/>
          <w:pgSz w:w="11906" w:h="16838"/>
          <w:pgMar w:top="2835" w:right="2098" w:bottom="2466" w:left="2098" w:header="1814" w:footer="1814" w:gutter="0"/>
          <w:cols w:space="720"/>
          <w:docGrid w:linePitch="272"/>
        </w:sectPr>
      </w:pPr>
    </w:p>
    <w:p w14:paraId="067E8B19" w14:textId="77777777" w:rsidR="00B449D0" w:rsidRDefault="00175344" w:rsidP="0060272A">
      <w:pPr>
        <w:pStyle w:val="PortfolioName"/>
      </w:pPr>
      <w:r w:rsidRPr="0060272A">
        <w:lastRenderedPageBreak/>
        <w:t>Education</w:t>
      </w:r>
    </w:p>
    <w:p w14:paraId="3FAAFE98" w14:textId="1BB2A4AA" w:rsidR="00B449D0" w:rsidRDefault="00175344">
      <w:pPr>
        <w:pStyle w:val="MeasureTitle"/>
      </w:pPr>
      <w:r>
        <w:t xml:space="preserve">Australian Universities Accord </w:t>
      </w:r>
      <w:r w:rsidR="008A2ECA" w:rsidRPr="7F762F0D">
        <w:rPr>
          <w:lang w:val="en-US"/>
        </w:rPr>
        <w:t>–</w:t>
      </w:r>
      <w:r>
        <w:t xml:space="preserve"> further reforms</w:t>
      </w:r>
    </w:p>
    <w:p w14:paraId="1DF5F61F"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1C7A36EC" w14:textId="77777777">
        <w:trPr>
          <w:cantSplit/>
        </w:trPr>
        <w:tc>
          <w:tcPr>
            <w:tcW w:w="2494" w:type="dxa"/>
            <w:tcBorders>
              <w:top w:val="single" w:sz="4" w:space="0" w:color="000000"/>
              <w:bottom w:val="single" w:sz="4" w:space="0" w:color="000000"/>
            </w:tcBorders>
          </w:tcPr>
          <w:p w14:paraId="7FEFC21F" w14:textId="77777777" w:rsidR="00B449D0" w:rsidRDefault="00B449D0">
            <w:pPr>
              <w:pStyle w:val="MeasureTableYearHeadings"/>
              <w:keepNext/>
            </w:pPr>
          </w:p>
        </w:tc>
        <w:tc>
          <w:tcPr>
            <w:tcW w:w="1043" w:type="dxa"/>
            <w:tcBorders>
              <w:top w:val="single" w:sz="4" w:space="0" w:color="000000"/>
              <w:bottom w:val="single" w:sz="4" w:space="0" w:color="000000"/>
            </w:tcBorders>
          </w:tcPr>
          <w:p w14:paraId="2BF72EAD" w14:textId="6CC2937E"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44C66FCD" w14:textId="6A202910"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0BBBD3DB" w14:textId="60F86E01"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3FBB3DDE" w14:textId="7C486C98"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0D41482A" w14:textId="63B88096" w:rsidR="00B449D0" w:rsidRDefault="00175344">
            <w:pPr>
              <w:pStyle w:val="MeasureTableYearHeadings"/>
              <w:keepNext/>
            </w:pPr>
            <w:r>
              <w:t>2027</w:t>
            </w:r>
            <w:r w:rsidR="00076D78">
              <w:noBreakHyphen/>
            </w:r>
            <w:r>
              <w:t>28</w:t>
            </w:r>
          </w:p>
        </w:tc>
      </w:tr>
      <w:tr w:rsidR="00B449D0" w14:paraId="312905F6" w14:textId="77777777">
        <w:trPr>
          <w:cantSplit/>
        </w:trPr>
        <w:tc>
          <w:tcPr>
            <w:tcW w:w="2494" w:type="dxa"/>
            <w:tcBorders>
              <w:top w:val="single" w:sz="4" w:space="0" w:color="000000"/>
              <w:bottom w:val="single" w:sz="4" w:space="0" w:color="000000"/>
            </w:tcBorders>
          </w:tcPr>
          <w:p w14:paraId="1799B00A" w14:textId="77777777" w:rsidR="00B449D0" w:rsidRDefault="00175344">
            <w:pPr>
              <w:pStyle w:val="MeasureTableHeadingleftalignedwith2ptsspacing"/>
              <w:keepNext/>
            </w:pPr>
            <w:r>
              <w:t>Department of Education</w:t>
            </w:r>
          </w:p>
        </w:tc>
        <w:tc>
          <w:tcPr>
            <w:tcW w:w="1043" w:type="dxa"/>
            <w:tcBorders>
              <w:top w:val="single" w:sz="4" w:space="0" w:color="000000"/>
              <w:bottom w:val="single" w:sz="4" w:space="0" w:color="000000"/>
            </w:tcBorders>
          </w:tcPr>
          <w:p w14:paraId="7E031ADD" w14:textId="3CF0C265"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82A8912" w14:textId="77777777" w:rsidR="00B449D0" w:rsidRDefault="00175344">
            <w:pPr>
              <w:pStyle w:val="MeasureTableDataRightAlignedwith2ptsspacing"/>
              <w:keepNext/>
            </w:pPr>
            <w:r>
              <w:t>24.0</w:t>
            </w:r>
          </w:p>
        </w:tc>
        <w:tc>
          <w:tcPr>
            <w:tcW w:w="1043" w:type="dxa"/>
            <w:tcBorders>
              <w:top w:val="single" w:sz="4" w:space="0" w:color="000000"/>
              <w:bottom w:val="single" w:sz="4" w:space="0" w:color="000000"/>
            </w:tcBorders>
          </w:tcPr>
          <w:p w14:paraId="72D949E2" w14:textId="77777777" w:rsidR="00B449D0" w:rsidRDefault="00175344">
            <w:pPr>
              <w:pStyle w:val="MeasureTableDataRightAlignedwith2ptsspacing"/>
              <w:keepNext/>
            </w:pPr>
            <w:r>
              <w:t>61.8</w:t>
            </w:r>
          </w:p>
        </w:tc>
        <w:tc>
          <w:tcPr>
            <w:tcW w:w="1043" w:type="dxa"/>
            <w:tcBorders>
              <w:top w:val="single" w:sz="4" w:space="0" w:color="000000"/>
              <w:bottom w:val="single" w:sz="4" w:space="0" w:color="000000"/>
            </w:tcBorders>
          </w:tcPr>
          <w:p w14:paraId="14F454D8" w14:textId="77777777" w:rsidR="00B449D0" w:rsidRDefault="00175344">
            <w:pPr>
              <w:pStyle w:val="MeasureTableDataRightAlignedwith2ptsspacing"/>
              <w:keepNext/>
            </w:pPr>
            <w:r>
              <w:t>28.7</w:t>
            </w:r>
          </w:p>
        </w:tc>
        <w:tc>
          <w:tcPr>
            <w:tcW w:w="1043" w:type="dxa"/>
            <w:tcBorders>
              <w:top w:val="single" w:sz="4" w:space="0" w:color="000000"/>
              <w:bottom w:val="single" w:sz="4" w:space="0" w:color="000000"/>
            </w:tcBorders>
          </w:tcPr>
          <w:p w14:paraId="7C67B21D" w14:textId="73718001" w:rsidR="00B449D0" w:rsidRDefault="00076D78">
            <w:pPr>
              <w:pStyle w:val="MeasureTableDataRightAlignedwith2ptsspacing"/>
              <w:keepNext/>
            </w:pPr>
            <w:r>
              <w:noBreakHyphen/>
            </w:r>
            <w:r w:rsidR="00175344">
              <w:t>4.2</w:t>
            </w:r>
          </w:p>
        </w:tc>
      </w:tr>
      <w:tr w:rsidR="00B449D0" w14:paraId="42BD961D" w14:textId="77777777">
        <w:trPr>
          <w:cantSplit/>
        </w:trPr>
        <w:tc>
          <w:tcPr>
            <w:tcW w:w="2494" w:type="dxa"/>
            <w:tcBorders>
              <w:top w:val="single" w:sz="4" w:space="0" w:color="000000"/>
              <w:bottom w:val="single" w:sz="4" w:space="0" w:color="000000"/>
            </w:tcBorders>
          </w:tcPr>
          <w:p w14:paraId="0DD678ED" w14:textId="77777777" w:rsidR="00B449D0" w:rsidRDefault="00175344">
            <w:pPr>
              <w:pStyle w:val="MeasureTableHeadingleftalignedwith2ptsspacing"/>
              <w:keepNext/>
            </w:pPr>
            <w:r>
              <w:t>Tertiary Education Quality and Standards Agency</w:t>
            </w:r>
          </w:p>
        </w:tc>
        <w:tc>
          <w:tcPr>
            <w:tcW w:w="1043" w:type="dxa"/>
            <w:tcBorders>
              <w:top w:val="single" w:sz="4" w:space="0" w:color="000000"/>
              <w:bottom w:val="single" w:sz="4" w:space="0" w:color="000000"/>
            </w:tcBorders>
          </w:tcPr>
          <w:p w14:paraId="77E9C54E" w14:textId="5116E6D6"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E433DCA" w14:textId="77777777" w:rsidR="00B449D0" w:rsidRDefault="00175344">
            <w:pPr>
              <w:pStyle w:val="MeasureTableDataRightAlignedwith2ptsspacing"/>
              <w:keepNext/>
            </w:pPr>
            <w:r>
              <w:t>3.4</w:t>
            </w:r>
          </w:p>
        </w:tc>
        <w:tc>
          <w:tcPr>
            <w:tcW w:w="1043" w:type="dxa"/>
            <w:tcBorders>
              <w:top w:val="single" w:sz="4" w:space="0" w:color="000000"/>
              <w:bottom w:val="single" w:sz="4" w:space="0" w:color="000000"/>
            </w:tcBorders>
          </w:tcPr>
          <w:p w14:paraId="54A66358" w14:textId="77777777" w:rsidR="00B449D0" w:rsidRDefault="00175344">
            <w:pPr>
              <w:pStyle w:val="MeasureTableDataRightAlignedwith2ptsspacing"/>
              <w:keepNext/>
            </w:pPr>
            <w:r>
              <w:t>1.2</w:t>
            </w:r>
          </w:p>
        </w:tc>
        <w:tc>
          <w:tcPr>
            <w:tcW w:w="1043" w:type="dxa"/>
            <w:tcBorders>
              <w:top w:val="single" w:sz="4" w:space="0" w:color="000000"/>
              <w:bottom w:val="single" w:sz="4" w:space="0" w:color="000000"/>
            </w:tcBorders>
          </w:tcPr>
          <w:p w14:paraId="0E3E1591" w14:textId="77777777" w:rsidR="00B449D0" w:rsidRDefault="00175344">
            <w:pPr>
              <w:pStyle w:val="MeasureTableDataRightAlignedwith2ptsspacing"/>
              <w:keepNext/>
            </w:pPr>
            <w:r>
              <w:t>1.2</w:t>
            </w:r>
          </w:p>
        </w:tc>
        <w:tc>
          <w:tcPr>
            <w:tcW w:w="1043" w:type="dxa"/>
            <w:tcBorders>
              <w:top w:val="single" w:sz="4" w:space="0" w:color="000000"/>
              <w:bottom w:val="single" w:sz="4" w:space="0" w:color="000000"/>
            </w:tcBorders>
          </w:tcPr>
          <w:p w14:paraId="7ECE130B" w14:textId="77777777" w:rsidR="00B449D0" w:rsidRDefault="00175344">
            <w:pPr>
              <w:pStyle w:val="MeasureTableDataRightAlignedwith2ptsspacing"/>
              <w:keepNext/>
            </w:pPr>
            <w:r>
              <w:t>1.2</w:t>
            </w:r>
          </w:p>
        </w:tc>
      </w:tr>
      <w:tr w:rsidR="00B449D0" w14:paraId="7E44107B" w14:textId="77777777">
        <w:trPr>
          <w:cantSplit/>
        </w:trPr>
        <w:tc>
          <w:tcPr>
            <w:tcW w:w="2494" w:type="dxa"/>
            <w:tcBorders>
              <w:top w:val="single" w:sz="4" w:space="0" w:color="000000"/>
              <w:bottom w:val="single" w:sz="4" w:space="0" w:color="000000"/>
            </w:tcBorders>
          </w:tcPr>
          <w:p w14:paraId="7E34BFF5" w14:textId="77777777" w:rsidR="00B449D0" w:rsidRDefault="00175344">
            <w:pPr>
              <w:pStyle w:val="MeasureTableHeadingleftalignedwith2ptsspacing"/>
              <w:keepNext/>
            </w:pPr>
            <w:r>
              <w:t>National Indigenous Australians Agency</w:t>
            </w:r>
          </w:p>
        </w:tc>
        <w:tc>
          <w:tcPr>
            <w:tcW w:w="1043" w:type="dxa"/>
            <w:tcBorders>
              <w:top w:val="single" w:sz="4" w:space="0" w:color="000000"/>
              <w:bottom w:val="single" w:sz="4" w:space="0" w:color="000000"/>
            </w:tcBorders>
          </w:tcPr>
          <w:p w14:paraId="48B509A6" w14:textId="54E51ADB"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643FF1A8" w14:textId="76C94576"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4269765" w14:textId="594CCE1D" w:rsidR="00B449D0" w:rsidRDefault="00076D78">
            <w:pPr>
              <w:pStyle w:val="MeasureTableDataRightAlignedwith2ptsspacing"/>
              <w:keepNext/>
            </w:pPr>
            <w:r>
              <w:noBreakHyphen/>
            </w:r>
            <w:r w:rsidR="00175344">
              <w:t>86.3</w:t>
            </w:r>
          </w:p>
        </w:tc>
        <w:tc>
          <w:tcPr>
            <w:tcW w:w="1043" w:type="dxa"/>
            <w:tcBorders>
              <w:top w:val="single" w:sz="4" w:space="0" w:color="000000"/>
              <w:bottom w:val="single" w:sz="4" w:space="0" w:color="000000"/>
            </w:tcBorders>
          </w:tcPr>
          <w:p w14:paraId="578ABD9B" w14:textId="0315A670" w:rsidR="00B449D0" w:rsidRDefault="00076D78">
            <w:pPr>
              <w:pStyle w:val="MeasureTableDataRightAlignedwith2ptsspacing"/>
              <w:keepNext/>
            </w:pPr>
            <w:r>
              <w:noBreakHyphen/>
            </w:r>
            <w:r w:rsidR="00175344">
              <w:t>88.8</w:t>
            </w:r>
          </w:p>
        </w:tc>
        <w:tc>
          <w:tcPr>
            <w:tcW w:w="1043" w:type="dxa"/>
            <w:tcBorders>
              <w:top w:val="single" w:sz="4" w:space="0" w:color="000000"/>
              <w:bottom w:val="single" w:sz="4" w:space="0" w:color="000000"/>
            </w:tcBorders>
          </w:tcPr>
          <w:p w14:paraId="0098BAD4" w14:textId="1490D806" w:rsidR="00B449D0" w:rsidRDefault="00076D78">
            <w:pPr>
              <w:pStyle w:val="MeasureTableDataRightAlignedwith2ptsspacing"/>
              <w:keepNext/>
            </w:pPr>
            <w:r>
              <w:noBreakHyphen/>
            </w:r>
            <w:r w:rsidR="00175344">
              <w:t>91.1</w:t>
            </w:r>
          </w:p>
        </w:tc>
      </w:tr>
      <w:tr w:rsidR="00B449D0" w14:paraId="2AC4D5AA" w14:textId="77777777">
        <w:trPr>
          <w:cantSplit/>
        </w:trPr>
        <w:tc>
          <w:tcPr>
            <w:tcW w:w="2494" w:type="dxa"/>
            <w:tcBorders>
              <w:top w:val="single" w:sz="4" w:space="0" w:color="000000"/>
              <w:bottom w:val="single" w:sz="4" w:space="0" w:color="000000"/>
            </w:tcBorders>
          </w:tcPr>
          <w:p w14:paraId="14394B1A"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7502F298" w14:textId="33768F41"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0D219C5F" w14:textId="77777777" w:rsidR="00B449D0" w:rsidRDefault="00175344">
            <w:pPr>
              <w:pStyle w:val="Totaldatarowrightaligned"/>
              <w:keepNext/>
            </w:pPr>
            <w:r>
              <w:t>27.4</w:t>
            </w:r>
          </w:p>
        </w:tc>
        <w:tc>
          <w:tcPr>
            <w:tcW w:w="1043" w:type="dxa"/>
            <w:tcBorders>
              <w:top w:val="single" w:sz="4" w:space="0" w:color="000000"/>
              <w:bottom w:val="single" w:sz="4" w:space="0" w:color="000000"/>
            </w:tcBorders>
          </w:tcPr>
          <w:p w14:paraId="5D789265" w14:textId="69B1C07D" w:rsidR="00B449D0" w:rsidRDefault="00076D78">
            <w:pPr>
              <w:pStyle w:val="Totaldatarowrightaligned"/>
              <w:keepNext/>
            </w:pPr>
            <w:r>
              <w:noBreakHyphen/>
            </w:r>
            <w:r w:rsidR="00175344">
              <w:t>23.3</w:t>
            </w:r>
          </w:p>
        </w:tc>
        <w:tc>
          <w:tcPr>
            <w:tcW w:w="1043" w:type="dxa"/>
            <w:tcBorders>
              <w:top w:val="single" w:sz="4" w:space="0" w:color="000000"/>
              <w:bottom w:val="single" w:sz="4" w:space="0" w:color="000000"/>
            </w:tcBorders>
          </w:tcPr>
          <w:p w14:paraId="75951B22" w14:textId="1F812CF5" w:rsidR="00B449D0" w:rsidRDefault="00076D78">
            <w:pPr>
              <w:pStyle w:val="Totaldatarowrightaligned"/>
              <w:keepNext/>
            </w:pPr>
            <w:r>
              <w:noBreakHyphen/>
            </w:r>
            <w:r w:rsidR="00175344">
              <w:t>58.8</w:t>
            </w:r>
          </w:p>
        </w:tc>
        <w:tc>
          <w:tcPr>
            <w:tcW w:w="1043" w:type="dxa"/>
            <w:tcBorders>
              <w:top w:val="single" w:sz="4" w:space="0" w:color="000000"/>
              <w:bottom w:val="single" w:sz="4" w:space="0" w:color="000000"/>
            </w:tcBorders>
          </w:tcPr>
          <w:p w14:paraId="743EDD83" w14:textId="3F491345" w:rsidR="00B449D0" w:rsidRDefault="00076D78">
            <w:pPr>
              <w:pStyle w:val="Totaldatarowrightaligned"/>
              <w:keepNext/>
            </w:pPr>
            <w:r>
              <w:noBreakHyphen/>
            </w:r>
            <w:r w:rsidR="00175344">
              <w:t>94.1</w:t>
            </w:r>
          </w:p>
        </w:tc>
      </w:tr>
      <w:tr w:rsidR="00B449D0" w14:paraId="5828A92D" w14:textId="77777777">
        <w:trPr>
          <w:cantSplit/>
        </w:trPr>
        <w:tc>
          <w:tcPr>
            <w:tcW w:w="2494" w:type="dxa"/>
          </w:tcPr>
          <w:p w14:paraId="5C45A3F6" w14:textId="77777777" w:rsidR="00B449D0" w:rsidRDefault="00175344">
            <w:pPr>
              <w:pStyle w:val="AgencyName"/>
              <w:keepNext/>
            </w:pPr>
            <w:r>
              <w:t>Related receipts ($m)</w:t>
            </w:r>
          </w:p>
        </w:tc>
        <w:tc>
          <w:tcPr>
            <w:tcW w:w="1043" w:type="dxa"/>
          </w:tcPr>
          <w:p w14:paraId="76AFFFF6" w14:textId="77777777" w:rsidR="00B449D0" w:rsidRDefault="00B449D0">
            <w:pPr>
              <w:pStyle w:val="AgencyName"/>
              <w:keepNext/>
            </w:pPr>
          </w:p>
        </w:tc>
        <w:tc>
          <w:tcPr>
            <w:tcW w:w="1043" w:type="dxa"/>
          </w:tcPr>
          <w:p w14:paraId="58FB7A46" w14:textId="77777777" w:rsidR="00B449D0" w:rsidRDefault="00B449D0">
            <w:pPr>
              <w:pStyle w:val="AgencyName"/>
              <w:keepNext/>
            </w:pPr>
          </w:p>
        </w:tc>
        <w:tc>
          <w:tcPr>
            <w:tcW w:w="1043" w:type="dxa"/>
          </w:tcPr>
          <w:p w14:paraId="428EBDA6" w14:textId="77777777" w:rsidR="00B449D0" w:rsidRDefault="00B449D0">
            <w:pPr>
              <w:pStyle w:val="AgencyName"/>
              <w:keepNext/>
            </w:pPr>
          </w:p>
        </w:tc>
        <w:tc>
          <w:tcPr>
            <w:tcW w:w="1043" w:type="dxa"/>
          </w:tcPr>
          <w:p w14:paraId="790E6A8F" w14:textId="77777777" w:rsidR="00B449D0" w:rsidRDefault="00B449D0">
            <w:pPr>
              <w:pStyle w:val="AgencyName"/>
              <w:keepNext/>
            </w:pPr>
          </w:p>
        </w:tc>
        <w:tc>
          <w:tcPr>
            <w:tcW w:w="1043" w:type="dxa"/>
          </w:tcPr>
          <w:p w14:paraId="391AE750" w14:textId="77777777" w:rsidR="00B449D0" w:rsidRDefault="00B449D0">
            <w:pPr>
              <w:pStyle w:val="AgencyName"/>
              <w:keepNext/>
            </w:pPr>
          </w:p>
        </w:tc>
      </w:tr>
      <w:tr w:rsidR="00B449D0" w14:paraId="596975BB" w14:textId="77777777">
        <w:tc>
          <w:tcPr>
            <w:tcW w:w="2494" w:type="dxa"/>
          </w:tcPr>
          <w:p w14:paraId="2AEEF745" w14:textId="77777777" w:rsidR="00B449D0" w:rsidRDefault="00175344">
            <w:pPr>
              <w:pStyle w:val="AgencyNamewith2ptsspacing"/>
              <w:keepNext/>
            </w:pPr>
            <w:r>
              <w:t>Tertiary Education Quality and Standards Agency</w:t>
            </w:r>
          </w:p>
        </w:tc>
        <w:tc>
          <w:tcPr>
            <w:tcW w:w="1043" w:type="dxa"/>
          </w:tcPr>
          <w:p w14:paraId="2C90D654" w14:textId="348A6C4C" w:rsidR="00B449D0" w:rsidRDefault="00076D78">
            <w:pPr>
              <w:pStyle w:val="Measuretabledatarightaligneditalics"/>
              <w:keepNext/>
            </w:pPr>
            <w:r>
              <w:noBreakHyphen/>
            </w:r>
          </w:p>
        </w:tc>
        <w:tc>
          <w:tcPr>
            <w:tcW w:w="1043" w:type="dxa"/>
          </w:tcPr>
          <w:p w14:paraId="4B7B1A33" w14:textId="77777777" w:rsidR="00B449D0" w:rsidRDefault="00175344">
            <w:pPr>
              <w:pStyle w:val="Measuretabledatarightaligneditalics"/>
              <w:keepNext/>
            </w:pPr>
            <w:r>
              <w:t>1.5</w:t>
            </w:r>
          </w:p>
        </w:tc>
        <w:tc>
          <w:tcPr>
            <w:tcW w:w="1043" w:type="dxa"/>
          </w:tcPr>
          <w:p w14:paraId="4CA8ED85" w14:textId="77777777" w:rsidR="00B449D0" w:rsidRDefault="00175344">
            <w:pPr>
              <w:pStyle w:val="Measuretabledatarightaligneditalics"/>
              <w:keepNext/>
            </w:pPr>
            <w:r>
              <w:t>1.5</w:t>
            </w:r>
          </w:p>
        </w:tc>
        <w:tc>
          <w:tcPr>
            <w:tcW w:w="1043" w:type="dxa"/>
          </w:tcPr>
          <w:p w14:paraId="07ACDCBD" w14:textId="77777777" w:rsidR="00B449D0" w:rsidRDefault="00175344">
            <w:pPr>
              <w:pStyle w:val="Measuretabledatarightaligneditalics"/>
              <w:keepNext/>
            </w:pPr>
            <w:r>
              <w:t>1.5</w:t>
            </w:r>
          </w:p>
        </w:tc>
        <w:tc>
          <w:tcPr>
            <w:tcW w:w="1043" w:type="dxa"/>
          </w:tcPr>
          <w:p w14:paraId="0D9CF4D6" w14:textId="77777777" w:rsidR="00B449D0" w:rsidRDefault="00175344">
            <w:pPr>
              <w:pStyle w:val="Measuretabledatarightaligneditalics"/>
              <w:keepNext/>
            </w:pPr>
            <w:r>
              <w:t>1.5</w:t>
            </w:r>
          </w:p>
        </w:tc>
      </w:tr>
      <w:tr w:rsidR="00B449D0" w14:paraId="1ED4B8F1" w14:textId="77777777">
        <w:trPr>
          <w:cantSplit/>
        </w:trPr>
        <w:tc>
          <w:tcPr>
            <w:tcW w:w="2494" w:type="dxa"/>
            <w:tcBorders>
              <w:top w:val="single" w:sz="4" w:space="0" w:color="000000"/>
              <w:bottom w:val="single" w:sz="4" w:space="0" w:color="000000"/>
            </w:tcBorders>
          </w:tcPr>
          <w:p w14:paraId="3DD6656B" w14:textId="77777777" w:rsidR="00B449D0" w:rsidRDefault="00175344">
            <w:pPr>
              <w:pStyle w:val="AgencyNamewith2ptsspacing"/>
              <w:keepNext/>
            </w:pPr>
            <w:r>
              <w:t>Department of Education</w:t>
            </w:r>
          </w:p>
        </w:tc>
        <w:tc>
          <w:tcPr>
            <w:tcW w:w="1043" w:type="dxa"/>
            <w:tcBorders>
              <w:top w:val="single" w:sz="4" w:space="0" w:color="000000"/>
              <w:bottom w:val="single" w:sz="4" w:space="0" w:color="000000"/>
            </w:tcBorders>
          </w:tcPr>
          <w:p w14:paraId="64FD9595" w14:textId="131CFA2D" w:rsidR="00B449D0" w:rsidRDefault="00076D78">
            <w:pPr>
              <w:pStyle w:val="Measuretabledatarightaligneditalics"/>
              <w:keepNext/>
            </w:pPr>
            <w:r>
              <w:noBreakHyphen/>
            </w:r>
          </w:p>
        </w:tc>
        <w:tc>
          <w:tcPr>
            <w:tcW w:w="1043" w:type="dxa"/>
            <w:tcBorders>
              <w:top w:val="single" w:sz="4" w:space="0" w:color="000000"/>
              <w:bottom w:val="single" w:sz="4" w:space="0" w:color="000000"/>
            </w:tcBorders>
          </w:tcPr>
          <w:p w14:paraId="6F605B8E" w14:textId="40FB7FD3" w:rsidR="00B449D0" w:rsidRDefault="00076D78">
            <w:pPr>
              <w:pStyle w:val="Measuretabledatarightaligneditalics"/>
              <w:keepNext/>
            </w:pPr>
            <w:r>
              <w:noBreakHyphen/>
            </w:r>
          </w:p>
        </w:tc>
        <w:tc>
          <w:tcPr>
            <w:tcW w:w="1043" w:type="dxa"/>
            <w:tcBorders>
              <w:top w:val="single" w:sz="4" w:space="0" w:color="000000"/>
              <w:bottom w:val="single" w:sz="4" w:space="0" w:color="000000"/>
            </w:tcBorders>
          </w:tcPr>
          <w:p w14:paraId="5EA53C0A" w14:textId="05EC927C" w:rsidR="00B449D0" w:rsidRDefault="00076D78">
            <w:pPr>
              <w:pStyle w:val="Measuretabledatarightaligneditalics"/>
              <w:keepNext/>
            </w:pPr>
            <w:r>
              <w:noBreakHyphen/>
            </w:r>
            <w:r w:rsidR="00175344">
              <w:t>0.9</w:t>
            </w:r>
          </w:p>
        </w:tc>
        <w:tc>
          <w:tcPr>
            <w:tcW w:w="1043" w:type="dxa"/>
            <w:tcBorders>
              <w:top w:val="single" w:sz="4" w:space="0" w:color="000000"/>
              <w:bottom w:val="single" w:sz="4" w:space="0" w:color="000000"/>
            </w:tcBorders>
          </w:tcPr>
          <w:p w14:paraId="03FD2361" w14:textId="587CDBEB" w:rsidR="00B449D0" w:rsidRDefault="00076D78">
            <w:pPr>
              <w:pStyle w:val="Measuretabledatarightaligneditalics"/>
              <w:keepNext/>
            </w:pPr>
            <w:r>
              <w:noBreakHyphen/>
            </w:r>
            <w:r w:rsidR="00175344">
              <w:t>2.6</w:t>
            </w:r>
          </w:p>
        </w:tc>
        <w:tc>
          <w:tcPr>
            <w:tcW w:w="1043" w:type="dxa"/>
            <w:tcBorders>
              <w:top w:val="single" w:sz="4" w:space="0" w:color="000000"/>
              <w:bottom w:val="single" w:sz="4" w:space="0" w:color="000000"/>
            </w:tcBorders>
          </w:tcPr>
          <w:p w14:paraId="2142E841" w14:textId="2ADF0842" w:rsidR="00B449D0" w:rsidRDefault="00076D78">
            <w:pPr>
              <w:pStyle w:val="Measuretabledatarightaligneditalics"/>
              <w:keepNext/>
            </w:pPr>
            <w:r>
              <w:noBreakHyphen/>
            </w:r>
            <w:r w:rsidR="00175344">
              <w:t>4.7</w:t>
            </w:r>
          </w:p>
        </w:tc>
      </w:tr>
      <w:tr w:rsidR="00B449D0" w14:paraId="2AE21B73" w14:textId="77777777">
        <w:trPr>
          <w:cantSplit/>
        </w:trPr>
        <w:tc>
          <w:tcPr>
            <w:tcW w:w="2494" w:type="dxa"/>
            <w:tcBorders>
              <w:top w:val="single" w:sz="4" w:space="0" w:color="000000"/>
              <w:bottom w:val="single" w:sz="4" w:space="0" w:color="000000"/>
            </w:tcBorders>
          </w:tcPr>
          <w:p w14:paraId="61C7B949" w14:textId="77777777" w:rsidR="00B449D0" w:rsidRDefault="00175344">
            <w:pPr>
              <w:pStyle w:val="Totalrowitalicsleftaligned"/>
              <w:keepNext/>
            </w:pPr>
            <w:r>
              <w:t>Total – Receipts</w:t>
            </w:r>
          </w:p>
        </w:tc>
        <w:tc>
          <w:tcPr>
            <w:tcW w:w="1043" w:type="dxa"/>
            <w:tcBorders>
              <w:top w:val="single" w:sz="4" w:space="0" w:color="000000"/>
              <w:bottom w:val="single" w:sz="4" w:space="0" w:color="000000"/>
            </w:tcBorders>
          </w:tcPr>
          <w:p w14:paraId="461C0727" w14:textId="17800E48" w:rsidR="00B449D0" w:rsidRDefault="00076D78">
            <w:pPr>
              <w:pStyle w:val="Measuretabledatarightaligneditalics"/>
              <w:keepNext/>
            </w:pPr>
            <w:r>
              <w:noBreakHyphen/>
            </w:r>
          </w:p>
        </w:tc>
        <w:tc>
          <w:tcPr>
            <w:tcW w:w="1043" w:type="dxa"/>
            <w:tcBorders>
              <w:top w:val="single" w:sz="4" w:space="0" w:color="000000"/>
              <w:bottom w:val="single" w:sz="4" w:space="0" w:color="000000"/>
            </w:tcBorders>
          </w:tcPr>
          <w:p w14:paraId="3C4B30A5" w14:textId="77777777" w:rsidR="00B449D0" w:rsidRDefault="00175344">
            <w:pPr>
              <w:pStyle w:val="Measuretabledatarightaligneditalics"/>
              <w:keepNext/>
            </w:pPr>
            <w:r>
              <w:t>1.5</w:t>
            </w:r>
          </w:p>
        </w:tc>
        <w:tc>
          <w:tcPr>
            <w:tcW w:w="1043" w:type="dxa"/>
            <w:tcBorders>
              <w:top w:val="single" w:sz="4" w:space="0" w:color="000000"/>
              <w:bottom w:val="single" w:sz="4" w:space="0" w:color="000000"/>
            </w:tcBorders>
          </w:tcPr>
          <w:p w14:paraId="2B95FCBD" w14:textId="77777777" w:rsidR="00B449D0" w:rsidRDefault="00175344">
            <w:pPr>
              <w:pStyle w:val="Measuretabledatarightaligneditalics"/>
              <w:keepNext/>
            </w:pPr>
            <w:r>
              <w:t>0.6</w:t>
            </w:r>
          </w:p>
        </w:tc>
        <w:tc>
          <w:tcPr>
            <w:tcW w:w="1043" w:type="dxa"/>
            <w:tcBorders>
              <w:top w:val="single" w:sz="4" w:space="0" w:color="000000"/>
              <w:bottom w:val="single" w:sz="4" w:space="0" w:color="000000"/>
            </w:tcBorders>
          </w:tcPr>
          <w:p w14:paraId="340DAD7C" w14:textId="5E87063F" w:rsidR="00B449D0" w:rsidRDefault="00076D78">
            <w:pPr>
              <w:pStyle w:val="Measuretabledatarightaligneditalics"/>
              <w:keepNext/>
            </w:pPr>
            <w:r>
              <w:noBreakHyphen/>
            </w:r>
            <w:r w:rsidR="00175344">
              <w:t>1.1</w:t>
            </w:r>
          </w:p>
        </w:tc>
        <w:tc>
          <w:tcPr>
            <w:tcW w:w="1043" w:type="dxa"/>
            <w:tcBorders>
              <w:top w:val="single" w:sz="4" w:space="0" w:color="000000"/>
              <w:bottom w:val="single" w:sz="4" w:space="0" w:color="000000"/>
            </w:tcBorders>
          </w:tcPr>
          <w:p w14:paraId="0BC54B30" w14:textId="25FC6339" w:rsidR="00B449D0" w:rsidRDefault="00076D78">
            <w:pPr>
              <w:pStyle w:val="Measuretabledatarightaligneditalics"/>
              <w:keepNext/>
            </w:pPr>
            <w:r>
              <w:noBreakHyphen/>
            </w:r>
            <w:r w:rsidR="00175344">
              <w:t>3.1</w:t>
            </w:r>
          </w:p>
        </w:tc>
      </w:tr>
    </w:tbl>
    <w:p w14:paraId="3F43C84B" w14:textId="77777777" w:rsidR="00B449D0" w:rsidRDefault="00B449D0" w:rsidP="00380A42">
      <w:pPr>
        <w:pStyle w:val="SingleParagraph0"/>
      </w:pPr>
    </w:p>
    <w:p w14:paraId="75D55841" w14:textId="3B926A9A" w:rsidR="00B449D0" w:rsidRDefault="00175344">
      <w:pPr>
        <w:pStyle w:val="Normal2"/>
      </w:pPr>
      <w:r w:rsidRPr="7F762F0D">
        <w:rPr>
          <w:lang w:val="en-US"/>
        </w:rPr>
        <w:t>The Government will invest an additional $2.5</w:t>
      </w:r>
      <w:r w:rsidR="002A7001">
        <w:rPr>
          <w:lang w:val="en-US"/>
        </w:rPr>
        <w:t> billion</w:t>
      </w:r>
      <w:r w:rsidRPr="7F762F0D">
        <w:rPr>
          <w:lang w:val="en-US"/>
        </w:rPr>
        <w:t xml:space="preserve"> in net funding over 11 years from 2024–25 to further respond to key recommendations of the </w:t>
      </w:r>
      <w:r w:rsidRPr="7F762F0D">
        <w:rPr>
          <w:i/>
          <w:iCs/>
          <w:lang w:val="en-US"/>
        </w:rPr>
        <w:t xml:space="preserve">Australian Universities Accord Final Report </w:t>
      </w:r>
      <w:r w:rsidRPr="7F762F0D">
        <w:rPr>
          <w:lang w:val="en-US"/>
        </w:rPr>
        <w:t>providing more university places, introducing a demand driven system to help more students from under‑represented backgrounds enrol in universities, and helping more of these students finish their degrees.</w:t>
      </w:r>
      <w:r w:rsidR="009269E8">
        <w:rPr>
          <w:lang w:val="en-US"/>
        </w:rPr>
        <w:t xml:space="preserve"> </w:t>
      </w:r>
      <w:r>
        <w:t>Funding includes:</w:t>
      </w:r>
    </w:p>
    <w:p w14:paraId="14A7B60B" w14:textId="77777777" w:rsidR="00B449D0" w:rsidRDefault="00175344">
      <w:pPr>
        <w:pStyle w:val="Bullet"/>
      </w:pPr>
      <w:r>
        <w:t>$1.7 billion over four years from 2024–25 (and an additional $6.1 billion from 2028–29 to 2034–35) to implement a new approach in higher education equity funding to better support students from under‑represented backgrounds and those studying at regional campuses from 1 January 2026, subject to the passage of legislation</w:t>
      </w:r>
    </w:p>
    <w:p w14:paraId="00FF845D" w14:textId="72BD68EF" w:rsidR="00B449D0" w:rsidRDefault="00175344">
      <w:pPr>
        <w:pStyle w:val="Bullet"/>
      </w:pPr>
      <w:r>
        <w:t>$780.9 million over four years from 2024–25 (and an additional $10.4 billion from 2028</w:t>
      </w:r>
      <w:r w:rsidR="00FA1534">
        <w:t>‍</w:t>
      </w:r>
      <w:r>
        <w:t>–</w:t>
      </w:r>
      <w:r w:rsidR="000F526A">
        <w:t>‍</w:t>
      </w:r>
      <w:r>
        <w:t>29 to 2034–35) to transition to a new Managed Growth Funding System for Commonwealth supported places (CSPs) at higher education providers, subject to the passage of legislation. The new Managed Growth Funding System will provide universities with greater certainty about the number of CSPs that are fully funded, and will allow universities to better meet student demand, maintain sustainable growth and more closely link higher education funding to achieving outcomes. It will also allow for demand driven CSPs for equity students</w:t>
      </w:r>
    </w:p>
    <w:p w14:paraId="65859862" w14:textId="06772992" w:rsidR="00B449D0" w:rsidRDefault="00175344">
      <w:pPr>
        <w:pStyle w:val="Bullet"/>
      </w:pPr>
      <w:r>
        <w:t>$20.2 million over four years from 2024–25 (and an additional $33.8 million from 2028</w:t>
      </w:r>
      <w:r w:rsidR="000F526A">
        <w:t>‍</w:t>
      </w:r>
      <w:r>
        <w:t>–</w:t>
      </w:r>
      <w:r w:rsidR="000F526A">
        <w:t>‍</w:t>
      </w:r>
      <w:r>
        <w:t>29 to 2034–35) to establish the Australian Tertiary Education Commission (ATEC) in an interim capacity from 1 July 2025 and, subject to the passage of legislation, permanently from 1 January 2026. The ATEC will be led by three Commissioners and will provide independent advice to Government on management of the Managed Growth Funding System, pricing, allocation of student places, tertiary sector harmonisation, and sector performance</w:t>
      </w:r>
    </w:p>
    <w:p w14:paraId="5133D512" w14:textId="3DA5D6C1" w:rsidR="00B449D0" w:rsidRDefault="00175344">
      <w:pPr>
        <w:pStyle w:val="Bullet"/>
      </w:pPr>
      <w:r>
        <w:lastRenderedPageBreak/>
        <w:t>$7.6 million over five years from 2024–25 to the Tertiary Education Quality and Standards Agency (TEQSA) to update TEQSA</w:t>
      </w:r>
      <w:r w:rsidR="00076D78">
        <w:t>’</w:t>
      </w:r>
      <w:r>
        <w:t>s information technology system to meet whole‑of‑government information security requirements. The cost of this measure will be met over five years from 2024–25 under TEQSA</w:t>
      </w:r>
      <w:r w:rsidR="00076D78">
        <w:t>’</w:t>
      </w:r>
      <w:r>
        <w:t>s cost recovery arrangements.</w:t>
      </w:r>
    </w:p>
    <w:p w14:paraId="4C82074E" w14:textId="77777777" w:rsidR="00B449D0" w:rsidRDefault="00175344">
      <w:pPr>
        <w:pStyle w:val="Normal2"/>
      </w:pPr>
      <w:r>
        <w:t xml:space="preserve">The Government will also transfer the responsibility for the </w:t>
      </w:r>
      <w:r w:rsidRPr="00175344">
        <w:rPr>
          <w:i/>
        </w:rPr>
        <w:t xml:space="preserve">Indigenous Student Success Program </w:t>
      </w:r>
      <w:r>
        <w:t xml:space="preserve">from the National Indigenous Australians Agency to the Department of Education to align the program to other funding measures in response to the </w:t>
      </w:r>
      <w:r w:rsidRPr="0022710B">
        <w:rPr>
          <w:i/>
        </w:rPr>
        <w:t>Australian Universities Accord Final Report</w:t>
      </w:r>
      <w:r w:rsidRPr="00175344">
        <w:rPr>
          <w:i/>
        </w:rPr>
        <w:t>.</w:t>
      </w:r>
    </w:p>
    <w:p w14:paraId="335F072A" w14:textId="62015455" w:rsidR="00B449D0" w:rsidRDefault="00175344">
      <w:pPr>
        <w:pStyle w:val="Normal2"/>
      </w:pPr>
      <w:r w:rsidRPr="7F762F0D">
        <w:rPr>
          <w:lang w:val="en-US"/>
        </w:rPr>
        <w:t>The cost of this measure will be partially met ($16.4</w:t>
      </w:r>
      <w:r w:rsidR="002A7001">
        <w:rPr>
          <w:lang w:val="en-US"/>
        </w:rPr>
        <w:t> billion</w:t>
      </w:r>
      <w:r w:rsidRPr="7F762F0D">
        <w:rPr>
          <w:lang w:val="en-US"/>
        </w:rPr>
        <w:t xml:space="preserve"> over 11 years from 2024–25) by repurposing existing funding and efficiencies resulting from the introduction of the Managed Growth Funding System.</w:t>
      </w:r>
    </w:p>
    <w:p w14:paraId="5FA2A934" w14:textId="77777777" w:rsidR="00B449D0" w:rsidRDefault="00175344">
      <w:pPr>
        <w:pStyle w:val="Normal2"/>
      </w:pPr>
      <w:r>
        <w:t xml:space="preserve">This measure builds on the 2024–25 Budget measure titled </w:t>
      </w:r>
      <w:r w:rsidRPr="00175344">
        <w:rPr>
          <w:i/>
        </w:rPr>
        <w:t>Australian Universities Accord – tertiary education system reforms</w:t>
      </w:r>
      <w:r>
        <w:t>.</w:t>
      </w:r>
    </w:p>
    <w:p w14:paraId="7E420CA6" w14:textId="24827552" w:rsidR="00B449D0" w:rsidRDefault="00175344">
      <w:pPr>
        <w:pStyle w:val="MeasureTitle"/>
      </w:pPr>
      <w:r w:rsidRPr="7F762F0D">
        <w:rPr>
          <w:lang w:val="en-US"/>
        </w:rPr>
        <w:t>Better and Fairer Schools Bilateral Agreements with Western Australia, Northern</w:t>
      </w:r>
      <w:r w:rsidR="000F526A">
        <w:rPr>
          <w:lang w:val="en-US"/>
        </w:rPr>
        <w:t> </w:t>
      </w:r>
      <w:r w:rsidRPr="7F762F0D">
        <w:rPr>
          <w:lang w:val="en-US"/>
        </w:rPr>
        <w:t>Territory, Tasmania and Australian Capital Territory</w:t>
      </w:r>
    </w:p>
    <w:p w14:paraId="46EC3790"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46076D4D" w14:textId="77777777">
        <w:trPr>
          <w:cantSplit/>
        </w:trPr>
        <w:tc>
          <w:tcPr>
            <w:tcW w:w="2494" w:type="dxa"/>
            <w:tcBorders>
              <w:top w:val="single" w:sz="4" w:space="0" w:color="000000"/>
              <w:bottom w:val="single" w:sz="4" w:space="0" w:color="000000"/>
            </w:tcBorders>
          </w:tcPr>
          <w:p w14:paraId="6F1C6182" w14:textId="77777777" w:rsidR="00B449D0" w:rsidRDefault="00B449D0">
            <w:pPr>
              <w:pStyle w:val="MeasureTableYearHeadings"/>
              <w:keepNext/>
            </w:pPr>
          </w:p>
        </w:tc>
        <w:tc>
          <w:tcPr>
            <w:tcW w:w="1043" w:type="dxa"/>
            <w:tcBorders>
              <w:top w:val="single" w:sz="4" w:space="0" w:color="000000"/>
              <w:bottom w:val="single" w:sz="4" w:space="0" w:color="000000"/>
            </w:tcBorders>
          </w:tcPr>
          <w:p w14:paraId="2ED59C08" w14:textId="209602D9"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53CFB6A5" w14:textId="07CC27B3"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629ECCAE" w14:textId="44CF120E"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011F08E7" w14:textId="7E5D8B43"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1EA549A8" w14:textId="5BC25795" w:rsidR="00B449D0" w:rsidRDefault="00175344">
            <w:pPr>
              <w:pStyle w:val="MeasureTableYearHeadings"/>
              <w:keepNext/>
            </w:pPr>
            <w:r>
              <w:t>2027</w:t>
            </w:r>
            <w:r w:rsidR="00076D78">
              <w:noBreakHyphen/>
            </w:r>
            <w:r>
              <w:t>28</w:t>
            </w:r>
          </w:p>
        </w:tc>
      </w:tr>
      <w:tr w:rsidR="00B449D0" w14:paraId="1AFAF555" w14:textId="77777777">
        <w:trPr>
          <w:cantSplit/>
        </w:trPr>
        <w:tc>
          <w:tcPr>
            <w:tcW w:w="2494" w:type="dxa"/>
            <w:tcBorders>
              <w:top w:val="single" w:sz="4" w:space="0" w:color="000000"/>
              <w:bottom w:val="single" w:sz="4" w:space="0" w:color="000000"/>
            </w:tcBorders>
          </w:tcPr>
          <w:p w14:paraId="25F8FBF4" w14:textId="77777777" w:rsidR="00B449D0" w:rsidRDefault="00175344">
            <w:pPr>
              <w:pStyle w:val="MeasureTableHeadingleftalignedwith2ptsspacing"/>
              <w:keepNext/>
            </w:pPr>
            <w:r>
              <w:t>Department of Education</w:t>
            </w:r>
          </w:p>
        </w:tc>
        <w:tc>
          <w:tcPr>
            <w:tcW w:w="1043" w:type="dxa"/>
            <w:tcBorders>
              <w:top w:val="single" w:sz="4" w:space="0" w:color="000000"/>
              <w:bottom w:val="single" w:sz="4" w:space="0" w:color="000000"/>
            </w:tcBorders>
          </w:tcPr>
          <w:p w14:paraId="5BE67AAF" w14:textId="234F8C07"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3FD6A82" w14:textId="6553EFD6"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BEBDC63" w14:textId="7D14C745"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2728FAA" w14:textId="7007539B"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FFE5475" w14:textId="1F96F6D3" w:rsidR="00B449D0" w:rsidRDefault="00076D78">
            <w:pPr>
              <w:pStyle w:val="MeasureTableDataRightAlignedwith2ptsspacing"/>
              <w:keepNext/>
            </w:pPr>
            <w:r>
              <w:noBreakHyphen/>
            </w:r>
          </w:p>
        </w:tc>
      </w:tr>
    </w:tbl>
    <w:p w14:paraId="28A275C7" w14:textId="77777777" w:rsidR="00B449D0" w:rsidRDefault="00B449D0" w:rsidP="00380A42">
      <w:pPr>
        <w:pStyle w:val="SingleParagraph0"/>
      </w:pPr>
    </w:p>
    <w:p w14:paraId="7B8D1A19" w14:textId="2D47B3E2" w:rsidR="00B449D0" w:rsidRDefault="00175344">
      <w:pPr>
        <w:pStyle w:val="Normal2"/>
      </w:pPr>
      <w:r w:rsidRPr="7F762F0D">
        <w:rPr>
          <w:lang w:val="en-US"/>
        </w:rPr>
        <w:t>The Government will provide $1.1</w:t>
      </w:r>
      <w:r w:rsidR="002A7001">
        <w:rPr>
          <w:lang w:val="en-US"/>
        </w:rPr>
        <w:t> billion</w:t>
      </w:r>
      <w:r w:rsidRPr="7F762F0D">
        <w:rPr>
          <w:lang w:val="en-US"/>
        </w:rPr>
        <w:t xml:space="preserve"> over four years from 2024–25 (and $4.8</w:t>
      </w:r>
      <w:r w:rsidR="002A7001">
        <w:rPr>
          <w:lang w:val="en-US"/>
        </w:rPr>
        <w:t> billion</w:t>
      </w:r>
      <w:r w:rsidRPr="7F762F0D">
        <w:rPr>
          <w:lang w:val="en-US"/>
        </w:rPr>
        <w:t xml:space="preserve"> over the medium term) to fulfil the Australian Government</w:t>
      </w:r>
      <w:r w:rsidR="00076D78">
        <w:rPr>
          <w:lang w:val="en-US"/>
        </w:rPr>
        <w:t>’</w:t>
      </w:r>
      <w:r w:rsidRPr="7F762F0D">
        <w:rPr>
          <w:lang w:val="en-US"/>
        </w:rPr>
        <w:t>s commitment to increase funding for government school students with jurisdictions which have signed the Better and Fairer Schools Agreement. Funding includes:</w:t>
      </w:r>
    </w:p>
    <w:p w14:paraId="6F2F23DF" w14:textId="70C397E1" w:rsidR="00B449D0" w:rsidRDefault="00175344">
      <w:pPr>
        <w:pStyle w:val="Bullet"/>
      </w:pPr>
      <w:r>
        <w:t>$510.9 million over four years from 2024–25 (and an additional $1.4 billion from 2028–29 to 2034–35) to increase the Commonwealth</w:t>
      </w:r>
      <w:r w:rsidR="00076D78">
        <w:t>’</w:t>
      </w:r>
      <w:r>
        <w:t>s share of School Resourcing Standard funding to 22.5 per cent by 2026 for students in Western Australia</w:t>
      </w:r>
    </w:p>
    <w:p w14:paraId="7E800656" w14:textId="0218480B" w:rsidR="00B449D0" w:rsidRDefault="00175344">
      <w:pPr>
        <w:pStyle w:val="Bullet"/>
      </w:pPr>
      <w:r>
        <w:t>$384.0 million over four years from 2024–25 (and an additional $1.9 billion from 2028–29 to 2034–35) to increase the Commonwealth</w:t>
      </w:r>
      <w:r w:rsidR="00076D78">
        <w:t>’</w:t>
      </w:r>
      <w:r>
        <w:t>s share of School Resourcing Standard funding to 40 per cent by 2029 for students in the Northern Territory</w:t>
      </w:r>
    </w:p>
    <w:p w14:paraId="108019D7" w14:textId="5D281515" w:rsidR="00B449D0" w:rsidRDefault="00175344">
      <w:pPr>
        <w:pStyle w:val="Bullet"/>
      </w:pPr>
      <w:r>
        <w:t>$100.2 million over four years from 2024–25 (and an additional $265.6 million from 2028–29 to 2034–35) to increase the Commonwealth</w:t>
      </w:r>
      <w:r w:rsidR="00076D78">
        <w:t>’</w:t>
      </w:r>
      <w:r>
        <w:t>s share of School Resourcing Standard funding to 22.5 per cent by 2026 for students in Tasmania</w:t>
      </w:r>
    </w:p>
    <w:p w14:paraId="1D6C05AE" w14:textId="3AD27E73" w:rsidR="00B449D0" w:rsidRDefault="00175344">
      <w:pPr>
        <w:pStyle w:val="Bullet"/>
      </w:pPr>
      <w:r>
        <w:t>$71.5 million over four years from 2024–25 (and an additional $201.2 million from 2028</w:t>
      </w:r>
      <w:r w:rsidR="00FE4EDC">
        <w:t>‍</w:t>
      </w:r>
      <w:r>
        <w:t>–</w:t>
      </w:r>
      <w:r w:rsidR="00FE4EDC">
        <w:t>‍</w:t>
      </w:r>
      <w:r>
        <w:t>29 to 2034–35) to increase the Commonwealth</w:t>
      </w:r>
      <w:r w:rsidR="00076D78">
        <w:t>’</w:t>
      </w:r>
      <w:r>
        <w:t>s share of School Resourcing Standard funding to 22.5 per cent by 2026 for students in the Australian</w:t>
      </w:r>
      <w:r w:rsidR="00FE4EDC">
        <w:t> </w:t>
      </w:r>
      <w:r>
        <w:t>Capital</w:t>
      </w:r>
      <w:r w:rsidR="00FE4EDC">
        <w:t> </w:t>
      </w:r>
      <w:r>
        <w:t>Territory.</w:t>
      </w:r>
    </w:p>
    <w:p w14:paraId="54229D01" w14:textId="05108759" w:rsidR="00B449D0" w:rsidRDefault="00175344">
      <w:pPr>
        <w:pStyle w:val="Normal2"/>
      </w:pPr>
      <w:r w:rsidRPr="7F762F0D">
        <w:rPr>
          <w:lang w:val="en-US"/>
        </w:rPr>
        <w:t>The Government will continue to provide funding for the Commonwealth</w:t>
      </w:r>
      <w:r w:rsidR="00076D78">
        <w:rPr>
          <w:lang w:val="en-US"/>
        </w:rPr>
        <w:t>’</w:t>
      </w:r>
      <w:r w:rsidRPr="7F762F0D">
        <w:rPr>
          <w:lang w:val="en-US"/>
        </w:rPr>
        <w:t>s share of 20</w:t>
      </w:r>
      <w:r w:rsidR="00FE4EDC">
        <w:rPr>
          <w:lang w:val="en-US"/>
        </w:rPr>
        <w:t> </w:t>
      </w:r>
      <w:r w:rsidRPr="7F762F0D">
        <w:rPr>
          <w:lang w:val="en-US"/>
        </w:rPr>
        <w:t xml:space="preserve">per cent of the Schooling Resource Standard for states which have signed a one‑year Interim School Funding Agreement – New South Wales, Victoria, South Australia and Queensland. Arrangements for the states following the expiry of the one‑year interim </w:t>
      </w:r>
      <w:r w:rsidRPr="7F762F0D">
        <w:rPr>
          <w:lang w:val="en-US"/>
        </w:rPr>
        <w:lastRenderedPageBreak/>
        <w:t>funding agreement will be subject to negotiations between the Commonwealth and those</w:t>
      </w:r>
      <w:r w:rsidR="008D36CA">
        <w:rPr>
          <w:lang w:val="en-US"/>
        </w:rPr>
        <w:t> </w:t>
      </w:r>
      <w:r w:rsidRPr="7F762F0D">
        <w:rPr>
          <w:lang w:val="en-US"/>
        </w:rPr>
        <w:t>states.</w:t>
      </w:r>
    </w:p>
    <w:p w14:paraId="4EEE236D" w14:textId="77777777" w:rsidR="00B449D0" w:rsidRDefault="00175344">
      <w:pPr>
        <w:pStyle w:val="Normal2"/>
      </w:pPr>
      <w:r>
        <w:t>The Government has already provided funding for this measure.</w:t>
      </w:r>
    </w:p>
    <w:p w14:paraId="20D1F44D" w14:textId="39EC403B" w:rsidR="00B449D0" w:rsidRDefault="00175344">
      <w:pPr>
        <w:pStyle w:val="MeasureTitle"/>
      </w:pPr>
      <w:r>
        <w:t>Building Australia</w:t>
      </w:r>
      <w:r w:rsidR="00076D78">
        <w:t>’</w:t>
      </w:r>
      <w:r>
        <w:t xml:space="preserve">s Future </w:t>
      </w:r>
      <w:r w:rsidR="006E36C4" w:rsidRPr="7F762F0D">
        <w:rPr>
          <w:lang w:val="en-US"/>
        </w:rPr>
        <w:t>–</w:t>
      </w:r>
      <w:r>
        <w:t xml:space="preserve"> delivering pay rises for early educators</w:t>
      </w:r>
    </w:p>
    <w:p w14:paraId="3195F06F"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748D4175" w14:textId="77777777">
        <w:trPr>
          <w:cantSplit/>
        </w:trPr>
        <w:tc>
          <w:tcPr>
            <w:tcW w:w="2494" w:type="dxa"/>
            <w:tcBorders>
              <w:top w:val="single" w:sz="4" w:space="0" w:color="000000"/>
              <w:bottom w:val="single" w:sz="4" w:space="0" w:color="000000"/>
            </w:tcBorders>
          </w:tcPr>
          <w:p w14:paraId="6035B095" w14:textId="77777777" w:rsidR="00B449D0" w:rsidRDefault="00B449D0">
            <w:pPr>
              <w:pStyle w:val="MeasureTableYearHeadings"/>
              <w:keepNext/>
            </w:pPr>
          </w:p>
        </w:tc>
        <w:tc>
          <w:tcPr>
            <w:tcW w:w="1043" w:type="dxa"/>
            <w:tcBorders>
              <w:top w:val="single" w:sz="4" w:space="0" w:color="000000"/>
              <w:bottom w:val="single" w:sz="4" w:space="0" w:color="000000"/>
            </w:tcBorders>
          </w:tcPr>
          <w:p w14:paraId="06C4314E" w14:textId="5AF542B8"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2FA42367" w14:textId="32B05EAE"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46EEE462" w14:textId="6060CC80"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55BC65C2" w14:textId="10578EF3"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37989B5E" w14:textId="31A73BFE" w:rsidR="00B449D0" w:rsidRDefault="00175344">
            <w:pPr>
              <w:pStyle w:val="MeasureTableYearHeadings"/>
              <w:keepNext/>
            </w:pPr>
            <w:r>
              <w:t>2027</w:t>
            </w:r>
            <w:r w:rsidR="00076D78">
              <w:noBreakHyphen/>
            </w:r>
            <w:r>
              <w:t>28</w:t>
            </w:r>
          </w:p>
        </w:tc>
      </w:tr>
      <w:tr w:rsidR="00B449D0" w14:paraId="78E1F887" w14:textId="77777777">
        <w:trPr>
          <w:cantSplit/>
        </w:trPr>
        <w:tc>
          <w:tcPr>
            <w:tcW w:w="2494" w:type="dxa"/>
            <w:tcBorders>
              <w:top w:val="single" w:sz="4" w:space="0" w:color="000000"/>
              <w:bottom w:val="single" w:sz="4" w:space="0" w:color="000000"/>
            </w:tcBorders>
          </w:tcPr>
          <w:p w14:paraId="6A151D50" w14:textId="77777777" w:rsidR="00B449D0" w:rsidRDefault="00175344">
            <w:pPr>
              <w:pStyle w:val="MeasureTableHeadingleftalignedwith2ptsspacing"/>
              <w:keepNext/>
            </w:pPr>
            <w:r>
              <w:t>Department of Education</w:t>
            </w:r>
          </w:p>
        </w:tc>
        <w:tc>
          <w:tcPr>
            <w:tcW w:w="1043" w:type="dxa"/>
            <w:tcBorders>
              <w:top w:val="single" w:sz="4" w:space="0" w:color="000000"/>
              <w:bottom w:val="single" w:sz="4" w:space="0" w:color="000000"/>
            </w:tcBorders>
          </w:tcPr>
          <w:p w14:paraId="471270FC" w14:textId="0156D429"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985551B" w14:textId="77777777" w:rsidR="00B449D0" w:rsidRDefault="00175344">
            <w:pPr>
              <w:pStyle w:val="MeasureTableDataRightAlignedwith2ptsspacing"/>
              <w:keepNext/>
            </w:pPr>
            <w:r>
              <w:t>652.3</w:t>
            </w:r>
          </w:p>
        </w:tc>
        <w:tc>
          <w:tcPr>
            <w:tcW w:w="1043" w:type="dxa"/>
            <w:tcBorders>
              <w:top w:val="single" w:sz="4" w:space="0" w:color="000000"/>
              <w:bottom w:val="single" w:sz="4" w:space="0" w:color="000000"/>
            </w:tcBorders>
          </w:tcPr>
          <w:p w14:paraId="7B1EB350" w14:textId="77777777" w:rsidR="00B449D0" w:rsidRDefault="00175344">
            <w:pPr>
              <w:pStyle w:val="MeasureTableDataRightAlignedwith2ptsspacing"/>
              <w:keepNext/>
            </w:pPr>
            <w:r>
              <w:t>1,828.0</w:t>
            </w:r>
          </w:p>
        </w:tc>
        <w:tc>
          <w:tcPr>
            <w:tcW w:w="1043" w:type="dxa"/>
            <w:tcBorders>
              <w:top w:val="single" w:sz="4" w:space="0" w:color="000000"/>
              <w:bottom w:val="single" w:sz="4" w:space="0" w:color="000000"/>
            </w:tcBorders>
          </w:tcPr>
          <w:p w14:paraId="63D20157" w14:textId="77777777" w:rsidR="00B449D0" w:rsidRDefault="00175344">
            <w:pPr>
              <w:pStyle w:val="MeasureTableDataRightAlignedwith2ptsspacing"/>
              <w:keepNext/>
            </w:pPr>
            <w:r>
              <w:t>1,089.2</w:t>
            </w:r>
          </w:p>
        </w:tc>
        <w:tc>
          <w:tcPr>
            <w:tcW w:w="1043" w:type="dxa"/>
            <w:tcBorders>
              <w:top w:val="single" w:sz="4" w:space="0" w:color="000000"/>
              <w:bottom w:val="single" w:sz="4" w:space="0" w:color="000000"/>
            </w:tcBorders>
          </w:tcPr>
          <w:p w14:paraId="0A8A5B6C" w14:textId="12F2E053" w:rsidR="00B449D0" w:rsidRDefault="00076D78">
            <w:pPr>
              <w:pStyle w:val="MeasureTableDataRightAlignedwith2ptsspacing"/>
              <w:keepNext/>
            </w:pPr>
            <w:r>
              <w:noBreakHyphen/>
            </w:r>
          </w:p>
        </w:tc>
      </w:tr>
      <w:tr w:rsidR="00B449D0" w14:paraId="7608E651" w14:textId="77777777">
        <w:trPr>
          <w:cantSplit/>
        </w:trPr>
        <w:tc>
          <w:tcPr>
            <w:tcW w:w="2494" w:type="dxa"/>
            <w:tcBorders>
              <w:top w:val="single" w:sz="4" w:space="0" w:color="000000"/>
              <w:bottom w:val="single" w:sz="4" w:space="0" w:color="000000"/>
            </w:tcBorders>
          </w:tcPr>
          <w:p w14:paraId="10083906" w14:textId="77777777" w:rsidR="00B449D0" w:rsidRDefault="00175344">
            <w:pPr>
              <w:pStyle w:val="MeasureTableHeadingleftalignedwith2ptsspacing"/>
              <w:keepNext/>
            </w:pPr>
            <w:r>
              <w:t>Services Australia</w:t>
            </w:r>
          </w:p>
        </w:tc>
        <w:tc>
          <w:tcPr>
            <w:tcW w:w="1043" w:type="dxa"/>
            <w:tcBorders>
              <w:top w:val="single" w:sz="4" w:space="0" w:color="000000"/>
              <w:bottom w:val="single" w:sz="4" w:space="0" w:color="000000"/>
            </w:tcBorders>
          </w:tcPr>
          <w:p w14:paraId="268056E6" w14:textId="7D6B1617"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492867B" w14:textId="77777777" w:rsidR="00B449D0" w:rsidRDefault="00175344">
            <w:pPr>
              <w:pStyle w:val="MeasureTableDataRightAlignedwith2ptsspacing"/>
              <w:keepNext/>
            </w:pPr>
            <w:r>
              <w:t>0.3</w:t>
            </w:r>
          </w:p>
        </w:tc>
        <w:tc>
          <w:tcPr>
            <w:tcW w:w="1043" w:type="dxa"/>
            <w:tcBorders>
              <w:top w:val="single" w:sz="4" w:space="0" w:color="000000"/>
              <w:bottom w:val="single" w:sz="4" w:space="0" w:color="000000"/>
            </w:tcBorders>
          </w:tcPr>
          <w:p w14:paraId="243DD6C1" w14:textId="77777777" w:rsidR="00B449D0" w:rsidRDefault="00175344">
            <w:pPr>
              <w:pStyle w:val="MeasureTableDataRightAlignedwith2ptsspacing"/>
              <w:keepNext/>
            </w:pPr>
            <w:r>
              <w:t>0.1</w:t>
            </w:r>
          </w:p>
        </w:tc>
        <w:tc>
          <w:tcPr>
            <w:tcW w:w="1043" w:type="dxa"/>
            <w:tcBorders>
              <w:top w:val="single" w:sz="4" w:space="0" w:color="000000"/>
              <w:bottom w:val="single" w:sz="4" w:space="0" w:color="000000"/>
            </w:tcBorders>
          </w:tcPr>
          <w:p w14:paraId="73647B2F" w14:textId="77777777" w:rsidR="00B449D0" w:rsidRDefault="00175344">
            <w:pPr>
              <w:pStyle w:val="MeasureTableDataRightAlignedwith2ptsspacing"/>
              <w:keepNext/>
            </w:pPr>
            <w:r>
              <w:t>0.2</w:t>
            </w:r>
          </w:p>
        </w:tc>
        <w:tc>
          <w:tcPr>
            <w:tcW w:w="1043" w:type="dxa"/>
            <w:tcBorders>
              <w:top w:val="single" w:sz="4" w:space="0" w:color="000000"/>
              <w:bottom w:val="single" w:sz="4" w:space="0" w:color="000000"/>
            </w:tcBorders>
          </w:tcPr>
          <w:p w14:paraId="70D6A871" w14:textId="51CD418B" w:rsidR="00B449D0" w:rsidRDefault="00076D78">
            <w:pPr>
              <w:pStyle w:val="MeasureTableDataRightAlignedwith2ptsspacing"/>
              <w:keepNext/>
            </w:pPr>
            <w:r>
              <w:noBreakHyphen/>
            </w:r>
          </w:p>
        </w:tc>
      </w:tr>
      <w:tr w:rsidR="00B449D0" w14:paraId="57D5AB64" w14:textId="77777777">
        <w:trPr>
          <w:cantSplit/>
        </w:trPr>
        <w:tc>
          <w:tcPr>
            <w:tcW w:w="2494" w:type="dxa"/>
            <w:tcBorders>
              <w:top w:val="single" w:sz="4" w:space="0" w:color="000000"/>
              <w:bottom w:val="single" w:sz="4" w:space="0" w:color="000000"/>
            </w:tcBorders>
          </w:tcPr>
          <w:p w14:paraId="4E78A796" w14:textId="77777777" w:rsidR="00B449D0" w:rsidRDefault="00175344">
            <w:pPr>
              <w:pStyle w:val="MeasureTableHeadingleftalignedwith2ptsspacing"/>
              <w:keepNext/>
            </w:pPr>
            <w:r>
              <w:t>Australian Bureau of Statistics</w:t>
            </w:r>
          </w:p>
        </w:tc>
        <w:tc>
          <w:tcPr>
            <w:tcW w:w="1043" w:type="dxa"/>
            <w:tcBorders>
              <w:top w:val="single" w:sz="4" w:space="0" w:color="000000"/>
              <w:bottom w:val="single" w:sz="4" w:space="0" w:color="000000"/>
            </w:tcBorders>
          </w:tcPr>
          <w:p w14:paraId="05C21092" w14:textId="3846544E"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10253CF" w14:textId="5ABEF3AC"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155EA77" w14:textId="77777777" w:rsidR="00B449D0" w:rsidRDefault="00175344">
            <w:pPr>
              <w:pStyle w:val="MeasureTableDataRightAlignedwith2ptsspacing"/>
              <w:keepNext/>
            </w:pPr>
            <w:r>
              <w:t>0.2</w:t>
            </w:r>
          </w:p>
        </w:tc>
        <w:tc>
          <w:tcPr>
            <w:tcW w:w="1043" w:type="dxa"/>
            <w:tcBorders>
              <w:top w:val="single" w:sz="4" w:space="0" w:color="000000"/>
              <w:bottom w:val="single" w:sz="4" w:space="0" w:color="000000"/>
            </w:tcBorders>
          </w:tcPr>
          <w:p w14:paraId="6810AEE5" w14:textId="77777777" w:rsidR="00B449D0" w:rsidRDefault="00175344">
            <w:pPr>
              <w:pStyle w:val="MeasureTableDataRightAlignedwith2ptsspacing"/>
              <w:keepNext/>
            </w:pPr>
            <w:r>
              <w:t>0.2</w:t>
            </w:r>
          </w:p>
        </w:tc>
        <w:tc>
          <w:tcPr>
            <w:tcW w:w="1043" w:type="dxa"/>
            <w:tcBorders>
              <w:top w:val="single" w:sz="4" w:space="0" w:color="000000"/>
              <w:bottom w:val="single" w:sz="4" w:space="0" w:color="000000"/>
            </w:tcBorders>
          </w:tcPr>
          <w:p w14:paraId="6312806C" w14:textId="77777777" w:rsidR="00B449D0" w:rsidRDefault="00175344">
            <w:pPr>
              <w:pStyle w:val="MeasureTableDataRightAlignedwith2ptsspacing"/>
              <w:keepNext/>
            </w:pPr>
            <w:r>
              <w:t>0.1</w:t>
            </w:r>
          </w:p>
        </w:tc>
      </w:tr>
      <w:tr w:rsidR="00B449D0" w14:paraId="524CA7BF" w14:textId="77777777">
        <w:trPr>
          <w:cantSplit/>
        </w:trPr>
        <w:tc>
          <w:tcPr>
            <w:tcW w:w="2494" w:type="dxa"/>
            <w:tcBorders>
              <w:top w:val="single" w:sz="4" w:space="0" w:color="000000"/>
              <w:bottom w:val="single" w:sz="4" w:space="0" w:color="000000"/>
            </w:tcBorders>
          </w:tcPr>
          <w:p w14:paraId="3B1CF458"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60D6A5B7" w14:textId="39B0F2C6"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25A03DD7" w14:textId="77777777" w:rsidR="00B449D0" w:rsidRDefault="00175344">
            <w:pPr>
              <w:pStyle w:val="Totaldatarowrightaligned"/>
              <w:keepNext/>
            </w:pPr>
            <w:r>
              <w:t>652.6</w:t>
            </w:r>
          </w:p>
        </w:tc>
        <w:tc>
          <w:tcPr>
            <w:tcW w:w="1043" w:type="dxa"/>
            <w:tcBorders>
              <w:top w:val="single" w:sz="4" w:space="0" w:color="000000"/>
              <w:bottom w:val="single" w:sz="4" w:space="0" w:color="000000"/>
            </w:tcBorders>
          </w:tcPr>
          <w:p w14:paraId="0F712B36" w14:textId="77777777" w:rsidR="00B449D0" w:rsidRDefault="00175344">
            <w:pPr>
              <w:pStyle w:val="Totaldatarowrightaligned"/>
              <w:keepNext/>
            </w:pPr>
            <w:r>
              <w:t>1,828.3</w:t>
            </w:r>
          </w:p>
        </w:tc>
        <w:tc>
          <w:tcPr>
            <w:tcW w:w="1043" w:type="dxa"/>
            <w:tcBorders>
              <w:top w:val="single" w:sz="4" w:space="0" w:color="000000"/>
              <w:bottom w:val="single" w:sz="4" w:space="0" w:color="000000"/>
            </w:tcBorders>
          </w:tcPr>
          <w:p w14:paraId="039382C0" w14:textId="77777777" w:rsidR="00B449D0" w:rsidRDefault="00175344">
            <w:pPr>
              <w:pStyle w:val="Totaldatarowrightaligned"/>
              <w:keepNext/>
            </w:pPr>
            <w:r>
              <w:t>1,089.6</w:t>
            </w:r>
          </w:p>
        </w:tc>
        <w:tc>
          <w:tcPr>
            <w:tcW w:w="1043" w:type="dxa"/>
            <w:tcBorders>
              <w:top w:val="single" w:sz="4" w:space="0" w:color="000000"/>
              <w:bottom w:val="single" w:sz="4" w:space="0" w:color="000000"/>
            </w:tcBorders>
          </w:tcPr>
          <w:p w14:paraId="4D0BA1D8" w14:textId="77777777" w:rsidR="00B449D0" w:rsidRDefault="00175344">
            <w:pPr>
              <w:pStyle w:val="Totaldatarowrightaligned"/>
              <w:keepNext/>
            </w:pPr>
            <w:r>
              <w:t>0.1</w:t>
            </w:r>
          </w:p>
        </w:tc>
      </w:tr>
      <w:tr w:rsidR="00B449D0" w14:paraId="05E57B16" w14:textId="77777777">
        <w:trPr>
          <w:cantSplit/>
        </w:trPr>
        <w:tc>
          <w:tcPr>
            <w:tcW w:w="2494" w:type="dxa"/>
          </w:tcPr>
          <w:p w14:paraId="61CC20C7" w14:textId="77777777" w:rsidR="00B449D0" w:rsidRDefault="00175344">
            <w:pPr>
              <w:pStyle w:val="AgencyName"/>
              <w:keepNext/>
            </w:pPr>
            <w:r>
              <w:t>Related receipts ($m)</w:t>
            </w:r>
          </w:p>
        </w:tc>
        <w:tc>
          <w:tcPr>
            <w:tcW w:w="1043" w:type="dxa"/>
          </w:tcPr>
          <w:p w14:paraId="6F125CB0" w14:textId="77777777" w:rsidR="00B449D0" w:rsidRDefault="00B449D0">
            <w:pPr>
              <w:pStyle w:val="AgencyName"/>
              <w:keepNext/>
            </w:pPr>
          </w:p>
        </w:tc>
        <w:tc>
          <w:tcPr>
            <w:tcW w:w="1043" w:type="dxa"/>
          </w:tcPr>
          <w:p w14:paraId="2E7AC972" w14:textId="77777777" w:rsidR="00B449D0" w:rsidRDefault="00B449D0">
            <w:pPr>
              <w:pStyle w:val="AgencyName"/>
              <w:keepNext/>
            </w:pPr>
          </w:p>
        </w:tc>
        <w:tc>
          <w:tcPr>
            <w:tcW w:w="1043" w:type="dxa"/>
          </w:tcPr>
          <w:p w14:paraId="378ED77B" w14:textId="77777777" w:rsidR="00B449D0" w:rsidRDefault="00B449D0">
            <w:pPr>
              <w:pStyle w:val="AgencyName"/>
              <w:keepNext/>
            </w:pPr>
          </w:p>
        </w:tc>
        <w:tc>
          <w:tcPr>
            <w:tcW w:w="1043" w:type="dxa"/>
          </w:tcPr>
          <w:p w14:paraId="7DED64F1" w14:textId="77777777" w:rsidR="00B449D0" w:rsidRDefault="00B449D0">
            <w:pPr>
              <w:pStyle w:val="AgencyName"/>
              <w:keepNext/>
            </w:pPr>
          </w:p>
        </w:tc>
        <w:tc>
          <w:tcPr>
            <w:tcW w:w="1043" w:type="dxa"/>
          </w:tcPr>
          <w:p w14:paraId="17467AE6" w14:textId="77777777" w:rsidR="00B449D0" w:rsidRDefault="00B449D0">
            <w:pPr>
              <w:pStyle w:val="AgencyName"/>
              <w:keepNext/>
            </w:pPr>
          </w:p>
        </w:tc>
      </w:tr>
      <w:tr w:rsidR="00B449D0" w14:paraId="53C1570F" w14:textId="77777777">
        <w:tc>
          <w:tcPr>
            <w:tcW w:w="2494" w:type="dxa"/>
          </w:tcPr>
          <w:p w14:paraId="4FAFB0F1" w14:textId="77777777" w:rsidR="00B449D0" w:rsidRDefault="00175344">
            <w:pPr>
              <w:pStyle w:val="AgencyNamewith2ptsspacing"/>
              <w:keepNext/>
            </w:pPr>
            <w:r>
              <w:t>Australian Taxation Office</w:t>
            </w:r>
          </w:p>
        </w:tc>
        <w:tc>
          <w:tcPr>
            <w:tcW w:w="1043" w:type="dxa"/>
          </w:tcPr>
          <w:p w14:paraId="2223DF00" w14:textId="458B2EE5" w:rsidR="00B449D0" w:rsidRDefault="00076D78">
            <w:pPr>
              <w:pStyle w:val="Measuretabledatarightaligneditalics"/>
              <w:keepNext/>
            </w:pPr>
            <w:r>
              <w:noBreakHyphen/>
            </w:r>
          </w:p>
        </w:tc>
        <w:tc>
          <w:tcPr>
            <w:tcW w:w="1043" w:type="dxa"/>
          </w:tcPr>
          <w:p w14:paraId="552EC77C" w14:textId="77777777" w:rsidR="00B449D0" w:rsidRDefault="00175344">
            <w:pPr>
              <w:pStyle w:val="Measuretabledatarightaligneditalics"/>
              <w:keepNext/>
            </w:pPr>
            <w:r>
              <w:t>168.0</w:t>
            </w:r>
          </w:p>
        </w:tc>
        <w:tc>
          <w:tcPr>
            <w:tcW w:w="1043" w:type="dxa"/>
          </w:tcPr>
          <w:p w14:paraId="7EA7BAA2" w14:textId="2F63D40B" w:rsidR="00B449D0" w:rsidRDefault="008D5DC4">
            <w:pPr>
              <w:pStyle w:val="Measuretabledatarightaligneditalics"/>
              <w:keepNext/>
            </w:pPr>
            <w:r>
              <w:t>*</w:t>
            </w:r>
          </w:p>
        </w:tc>
        <w:tc>
          <w:tcPr>
            <w:tcW w:w="1043" w:type="dxa"/>
          </w:tcPr>
          <w:p w14:paraId="03AFC9D9" w14:textId="23CA6C03" w:rsidR="00B449D0" w:rsidRDefault="008D5DC4">
            <w:pPr>
              <w:pStyle w:val="Measuretabledatarightaligneditalics"/>
              <w:keepNext/>
            </w:pPr>
            <w:r>
              <w:t>*</w:t>
            </w:r>
          </w:p>
        </w:tc>
        <w:tc>
          <w:tcPr>
            <w:tcW w:w="1043" w:type="dxa"/>
          </w:tcPr>
          <w:p w14:paraId="09DF3A04" w14:textId="27FB0B26" w:rsidR="00B449D0" w:rsidRDefault="00076D78">
            <w:pPr>
              <w:pStyle w:val="Measuretabledatarightaligneditalics"/>
              <w:keepNext/>
            </w:pPr>
            <w:r>
              <w:noBreakHyphen/>
            </w:r>
          </w:p>
        </w:tc>
      </w:tr>
    </w:tbl>
    <w:p w14:paraId="3B35CFB6" w14:textId="77777777" w:rsidR="00B449D0" w:rsidRDefault="00B449D0" w:rsidP="00380A42">
      <w:pPr>
        <w:pStyle w:val="SingleParagraph0"/>
      </w:pPr>
    </w:p>
    <w:p w14:paraId="1A6E5D39" w14:textId="79A00AFD" w:rsidR="00B449D0" w:rsidRDefault="00175344">
      <w:pPr>
        <w:pStyle w:val="Normal2"/>
      </w:pPr>
      <w:r w:rsidRPr="7F762F0D">
        <w:rPr>
          <w:lang w:val="en-US"/>
        </w:rPr>
        <w:t>The Government will provide $3.6</w:t>
      </w:r>
      <w:r w:rsidR="002A7001">
        <w:rPr>
          <w:lang w:val="en-US"/>
        </w:rPr>
        <w:t> billion</w:t>
      </w:r>
      <w:r w:rsidRPr="7F762F0D">
        <w:rPr>
          <w:lang w:val="en-US"/>
        </w:rPr>
        <w:t xml:space="preserve"> over four years from 2024–25 to support a wage increase for the Early Childhood Education and Care (ECEC) workforce through a worker retention payment, including:</w:t>
      </w:r>
    </w:p>
    <w:p w14:paraId="16FB20F6" w14:textId="77777777" w:rsidR="00B449D0" w:rsidRDefault="00175344">
      <w:pPr>
        <w:pStyle w:val="Bullet"/>
      </w:pPr>
      <w:r>
        <w:t>$3.5 billion over three years from 2024–25 to support a wage increase in the ECEC sector of 10 per cent on top of the current national award rate in the first year from December 2024 and 15 per cent in the second year from December 2025</w:t>
      </w:r>
    </w:p>
    <w:p w14:paraId="3B2C3B42" w14:textId="77777777" w:rsidR="00B449D0" w:rsidRDefault="00175344">
      <w:pPr>
        <w:pStyle w:val="Bullet"/>
      </w:pPr>
      <w:r>
        <w:t>$21.4 million over two years from 2025–26 to the Department of Education to support the administration of the grant payment</w:t>
      </w:r>
    </w:p>
    <w:p w14:paraId="2AEA2E2A" w14:textId="77777777" w:rsidR="00B449D0" w:rsidRDefault="00175344">
      <w:pPr>
        <w:pStyle w:val="Bullet"/>
      </w:pPr>
      <w:r>
        <w:t>$0.6 million over three years from 2024–25 to Services Australia to facilitate the payment of the grant</w:t>
      </w:r>
    </w:p>
    <w:p w14:paraId="74F9DD44" w14:textId="77777777" w:rsidR="00B449D0" w:rsidRDefault="00175344">
      <w:pPr>
        <w:pStyle w:val="Bullet"/>
      </w:pPr>
      <w:r>
        <w:t>$0.5 million over three years from 2025–26 to the Australian Bureau of Statistics to develop and maintain an index for the provision of child care services to support a fee constraint for participating providers.</w:t>
      </w:r>
    </w:p>
    <w:p w14:paraId="30AA7C01" w14:textId="77777777" w:rsidR="00B449D0" w:rsidRDefault="00175344">
      <w:pPr>
        <w:pStyle w:val="Normal2"/>
      </w:pPr>
      <w:r w:rsidRPr="7F762F0D">
        <w:rPr>
          <w:lang w:val="en-US"/>
        </w:rPr>
        <w:t>Providers will opt in by applying for the worker retention payment and will be paid in the form of a grant. Funding is conditional on eligible providers:</w:t>
      </w:r>
    </w:p>
    <w:p w14:paraId="17640769" w14:textId="77777777" w:rsidR="00B449D0" w:rsidRDefault="00175344">
      <w:pPr>
        <w:pStyle w:val="Bullet"/>
      </w:pPr>
      <w:r>
        <w:t>limiting fee growth to no more than 4.4 per cent from 8 August 2024 and 4.2 per cent from 8 August 2025</w:t>
      </w:r>
    </w:p>
    <w:p w14:paraId="737D00D6" w14:textId="77777777" w:rsidR="00B449D0" w:rsidRDefault="00175344">
      <w:pPr>
        <w:pStyle w:val="Bullet"/>
      </w:pPr>
      <w:r>
        <w:t>engaging staff through a workplace instrument that meets grant conditions</w:t>
      </w:r>
    </w:p>
    <w:p w14:paraId="1D960CB4" w14:textId="77777777" w:rsidR="00B449D0" w:rsidRDefault="00175344">
      <w:pPr>
        <w:pStyle w:val="Bullet"/>
      </w:pPr>
      <w:r>
        <w:t>passing on all funding to eligible workers through increased wages.</w:t>
      </w:r>
    </w:p>
    <w:p w14:paraId="20720BB7" w14:textId="77777777" w:rsidR="00B449D0" w:rsidRDefault="00175344">
      <w:pPr>
        <w:pStyle w:val="Normal2"/>
      </w:pPr>
      <w:r w:rsidRPr="7F762F0D">
        <w:rPr>
          <w:lang w:val="en-US"/>
        </w:rPr>
        <w:t>The Government decision will increase wages for workers in the ECEC sector and subsequently increase income tax receipts. This measure is estimated to increase receipts by $168.0 million in 2024–25. The increase in receipts over the two years from 2025–26 is unquantifiable due to the unknown impact of future Fair Work Commission decisions at the Annual Wage Review.</w:t>
      </w:r>
    </w:p>
    <w:p w14:paraId="52383968" w14:textId="77777777" w:rsidR="00B449D0" w:rsidRDefault="00175344">
      <w:pPr>
        <w:pStyle w:val="Normal2"/>
      </w:pPr>
      <w:r w:rsidRPr="7F762F0D">
        <w:rPr>
          <w:lang w:val="en-US"/>
        </w:rPr>
        <w:t xml:space="preserve">The Government will also provide $10.0 million in 2024–25 to peak bodies, employer organisations, and employee representative organisations in the ECEC sector to assist </w:t>
      </w:r>
      <w:r w:rsidRPr="7F762F0D">
        <w:rPr>
          <w:lang w:val="en-US"/>
        </w:rPr>
        <w:lastRenderedPageBreak/>
        <w:t>providers and their staff to engage with the worker retention payment, including meeting the workplace instrument requirements.</w:t>
      </w:r>
    </w:p>
    <w:p w14:paraId="51FF2106" w14:textId="77777777" w:rsidR="00B449D0" w:rsidRDefault="00175344">
      <w:pPr>
        <w:pStyle w:val="Normal2"/>
      </w:pPr>
      <w:r w:rsidRPr="7F762F0D">
        <w:rPr>
          <w:lang w:val="en-US"/>
        </w:rPr>
        <w:t>The Government will also expand the eligibility for the ECEC paid practicum subsidy from 2024–25 to include diploma‑level qualifications and to increase the maximum subsidy period to eight weeks to better align with the practicum requirements for ECEC qualifications. The subsidy allows ECEC providers to give staff paid leave while undertaking practicums.</w:t>
      </w:r>
    </w:p>
    <w:p w14:paraId="43A2BFA4" w14:textId="77777777" w:rsidR="00B449D0" w:rsidRDefault="00175344">
      <w:pPr>
        <w:pStyle w:val="Normal2"/>
      </w:pPr>
      <w:r w:rsidRPr="7F762F0D">
        <w:rPr>
          <w:lang w:val="en-US"/>
        </w:rPr>
        <w:t>The cost of this measure will be partially met from within the existing resourcing of the Department of Education.</w:t>
      </w:r>
    </w:p>
    <w:p w14:paraId="559ED5F6" w14:textId="77777777" w:rsidR="00B449D0" w:rsidRDefault="00175344">
      <w:pPr>
        <w:pStyle w:val="Normal2"/>
      </w:pPr>
      <w:r>
        <w:t>This measure builds on the 2023–24 Budget measure titled</w:t>
      </w:r>
      <w:r w:rsidRPr="00175344">
        <w:rPr>
          <w:i/>
        </w:rPr>
        <w:t xml:space="preserve"> Early Childhood Education and Care Workforce.</w:t>
      </w:r>
    </w:p>
    <w:p w14:paraId="498320F9" w14:textId="1497E048" w:rsidR="00B449D0" w:rsidRDefault="00175344">
      <w:pPr>
        <w:pStyle w:val="MeasureTitle"/>
      </w:pPr>
      <w:r>
        <w:t>Building Australia</w:t>
      </w:r>
      <w:r w:rsidR="00076D78">
        <w:t>’</w:t>
      </w:r>
      <w:r>
        <w:t xml:space="preserve">s Future </w:t>
      </w:r>
      <w:r w:rsidR="009269E8">
        <w:t>–</w:t>
      </w:r>
      <w:r>
        <w:t xml:space="preserve"> Early Childhood Education and Care Reforms</w:t>
      </w:r>
    </w:p>
    <w:p w14:paraId="4694CBCB"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3DCBBC2D" w14:textId="77777777">
        <w:trPr>
          <w:cantSplit/>
        </w:trPr>
        <w:tc>
          <w:tcPr>
            <w:tcW w:w="2494" w:type="dxa"/>
            <w:tcBorders>
              <w:top w:val="single" w:sz="4" w:space="0" w:color="000000"/>
              <w:bottom w:val="single" w:sz="4" w:space="0" w:color="000000"/>
            </w:tcBorders>
          </w:tcPr>
          <w:p w14:paraId="555B14B2" w14:textId="77777777" w:rsidR="00B449D0" w:rsidRDefault="00B449D0">
            <w:pPr>
              <w:pStyle w:val="MeasureTableYearHeadings"/>
              <w:keepNext/>
            </w:pPr>
          </w:p>
        </w:tc>
        <w:tc>
          <w:tcPr>
            <w:tcW w:w="1043" w:type="dxa"/>
            <w:tcBorders>
              <w:top w:val="single" w:sz="4" w:space="0" w:color="000000"/>
              <w:bottom w:val="single" w:sz="4" w:space="0" w:color="000000"/>
            </w:tcBorders>
          </w:tcPr>
          <w:p w14:paraId="2235C45C" w14:textId="2162B1C1"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03BAD325" w14:textId="4B78D255"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3142DE20" w14:textId="65E61EC0"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6D50477E" w14:textId="72479A24"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3BD38CC2" w14:textId="26751083" w:rsidR="00B449D0" w:rsidRDefault="00175344">
            <w:pPr>
              <w:pStyle w:val="MeasureTableYearHeadings"/>
              <w:keepNext/>
            </w:pPr>
            <w:r>
              <w:t>2027</w:t>
            </w:r>
            <w:r w:rsidR="00076D78">
              <w:noBreakHyphen/>
            </w:r>
            <w:r>
              <w:t>28</w:t>
            </w:r>
          </w:p>
        </w:tc>
      </w:tr>
      <w:tr w:rsidR="00B449D0" w14:paraId="700D2D81" w14:textId="77777777">
        <w:trPr>
          <w:cantSplit/>
        </w:trPr>
        <w:tc>
          <w:tcPr>
            <w:tcW w:w="2494" w:type="dxa"/>
            <w:tcBorders>
              <w:top w:val="single" w:sz="4" w:space="0" w:color="000000"/>
              <w:bottom w:val="single" w:sz="4" w:space="0" w:color="000000"/>
            </w:tcBorders>
          </w:tcPr>
          <w:p w14:paraId="4BFEF20C" w14:textId="77777777" w:rsidR="00B449D0" w:rsidRDefault="00175344">
            <w:pPr>
              <w:pStyle w:val="MeasureTableHeadingleftalignedwith2ptsspacing"/>
              <w:keepNext/>
            </w:pPr>
            <w:r>
              <w:t>Department of Education</w:t>
            </w:r>
          </w:p>
        </w:tc>
        <w:tc>
          <w:tcPr>
            <w:tcW w:w="1043" w:type="dxa"/>
            <w:tcBorders>
              <w:top w:val="single" w:sz="4" w:space="0" w:color="000000"/>
              <w:bottom w:val="single" w:sz="4" w:space="0" w:color="000000"/>
            </w:tcBorders>
          </w:tcPr>
          <w:p w14:paraId="0E989F30" w14:textId="53AC91C0"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01FAC56" w14:textId="77777777" w:rsidR="00B449D0" w:rsidRDefault="00175344">
            <w:pPr>
              <w:pStyle w:val="MeasureTableDataRightAlignedwith2ptsspacing"/>
              <w:keepNext/>
            </w:pPr>
            <w:r>
              <w:t>2.7</w:t>
            </w:r>
          </w:p>
        </w:tc>
        <w:tc>
          <w:tcPr>
            <w:tcW w:w="1043" w:type="dxa"/>
            <w:tcBorders>
              <w:top w:val="single" w:sz="4" w:space="0" w:color="000000"/>
              <w:bottom w:val="single" w:sz="4" w:space="0" w:color="000000"/>
            </w:tcBorders>
          </w:tcPr>
          <w:p w14:paraId="2A23260D" w14:textId="77777777" w:rsidR="00B449D0" w:rsidRDefault="00175344">
            <w:pPr>
              <w:pStyle w:val="MeasureTableDataRightAlignedwith2ptsspacing"/>
              <w:keepNext/>
            </w:pPr>
            <w:r>
              <w:t>169.5</w:t>
            </w:r>
          </w:p>
        </w:tc>
        <w:tc>
          <w:tcPr>
            <w:tcW w:w="1043" w:type="dxa"/>
            <w:tcBorders>
              <w:top w:val="single" w:sz="4" w:space="0" w:color="000000"/>
              <w:bottom w:val="single" w:sz="4" w:space="0" w:color="000000"/>
            </w:tcBorders>
          </w:tcPr>
          <w:p w14:paraId="21778D27" w14:textId="77777777" w:rsidR="00B449D0" w:rsidRDefault="00175344">
            <w:pPr>
              <w:pStyle w:val="MeasureTableDataRightAlignedwith2ptsspacing"/>
              <w:keepNext/>
            </w:pPr>
            <w:r>
              <w:t>329.7</w:t>
            </w:r>
          </w:p>
        </w:tc>
        <w:tc>
          <w:tcPr>
            <w:tcW w:w="1043" w:type="dxa"/>
            <w:tcBorders>
              <w:top w:val="single" w:sz="4" w:space="0" w:color="000000"/>
              <w:bottom w:val="single" w:sz="4" w:space="0" w:color="000000"/>
            </w:tcBorders>
          </w:tcPr>
          <w:p w14:paraId="026ECF23" w14:textId="77777777" w:rsidR="00B449D0" w:rsidRDefault="00175344">
            <w:pPr>
              <w:pStyle w:val="MeasureTableDataRightAlignedwith2ptsspacing"/>
              <w:keepNext/>
            </w:pPr>
            <w:r>
              <w:t>331.6</w:t>
            </w:r>
          </w:p>
        </w:tc>
      </w:tr>
      <w:tr w:rsidR="00B449D0" w14:paraId="696C902A" w14:textId="77777777">
        <w:trPr>
          <w:cantSplit/>
        </w:trPr>
        <w:tc>
          <w:tcPr>
            <w:tcW w:w="2494" w:type="dxa"/>
            <w:tcBorders>
              <w:top w:val="single" w:sz="4" w:space="0" w:color="000000"/>
              <w:bottom w:val="single" w:sz="4" w:space="0" w:color="000000"/>
            </w:tcBorders>
          </w:tcPr>
          <w:p w14:paraId="4497AC1F" w14:textId="77777777" w:rsidR="00B449D0" w:rsidRDefault="00175344">
            <w:pPr>
              <w:pStyle w:val="MeasureTableHeadingleftalignedwith2ptsspacing"/>
              <w:keepNext/>
            </w:pPr>
            <w:r>
              <w:t>Services Australia</w:t>
            </w:r>
          </w:p>
        </w:tc>
        <w:tc>
          <w:tcPr>
            <w:tcW w:w="1043" w:type="dxa"/>
            <w:tcBorders>
              <w:top w:val="single" w:sz="4" w:space="0" w:color="000000"/>
              <w:bottom w:val="single" w:sz="4" w:space="0" w:color="000000"/>
            </w:tcBorders>
          </w:tcPr>
          <w:p w14:paraId="09B2EE37" w14:textId="6E5E9A6C"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0697C5D" w14:textId="2EECDFF9"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9D4C118" w14:textId="77777777" w:rsidR="00B449D0" w:rsidRDefault="00175344">
            <w:pPr>
              <w:pStyle w:val="MeasureTableDataRightAlignedwith2ptsspacing"/>
              <w:keepNext/>
            </w:pPr>
            <w:r>
              <w:t>6.3</w:t>
            </w:r>
          </w:p>
        </w:tc>
        <w:tc>
          <w:tcPr>
            <w:tcW w:w="1043" w:type="dxa"/>
            <w:tcBorders>
              <w:top w:val="single" w:sz="4" w:space="0" w:color="000000"/>
              <w:bottom w:val="single" w:sz="4" w:space="0" w:color="000000"/>
            </w:tcBorders>
          </w:tcPr>
          <w:p w14:paraId="5200903B" w14:textId="77777777" w:rsidR="00B449D0" w:rsidRDefault="00175344">
            <w:pPr>
              <w:pStyle w:val="MeasureTableDataRightAlignedwith2ptsspacing"/>
              <w:keepNext/>
            </w:pPr>
            <w:r>
              <w:t>0.2</w:t>
            </w:r>
          </w:p>
        </w:tc>
        <w:tc>
          <w:tcPr>
            <w:tcW w:w="1043" w:type="dxa"/>
            <w:tcBorders>
              <w:top w:val="single" w:sz="4" w:space="0" w:color="000000"/>
              <w:bottom w:val="single" w:sz="4" w:space="0" w:color="000000"/>
            </w:tcBorders>
          </w:tcPr>
          <w:p w14:paraId="7AAA1174" w14:textId="03EA1F4D" w:rsidR="00B449D0" w:rsidRDefault="00076D78">
            <w:pPr>
              <w:pStyle w:val="MeasureTableDataRightAlignedwith2ptsspacing"/>
              <w:keepNext/>
            </w:pPr>
            <w:r>
              <w:noBreakHyphen/>
            </w:r>
          </w:p>
        </w:tc>
      </w:tr>
      <w:tr w:rsidR="00B449D0" w14:paraId="73EA0616" w14:textId="77777777">
        <w:trPr>
          <w:cantSplit/>
        </w:trPr>
        <w:tc>
          <w:tcPr>
            <w:tcW w:w="2494" w:type="dxa"/>
            <w:tcBorders>
              <w:top w:val="single" w:sz="4" w:space="0" w:color="000000"/>
              <w:bottom w:val="single" w:sz="4" w:space="0" w:color="000000"/>
            </w:tcBorders>
          </w:tcPr>
          <w:p w14:paraId="04E3935F"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29995D82" w14:textId="16F7C13D"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7BA50E54" w14:textId="77777777" w:rsidR="00B449D0" w:rsidRDefault="00175344">
            <w:pPr>
              <w:pStyle w:val="Totaldatarowrightaligned"/>
              <w:keepNext/>
            </w:pPr>
            <w:r>
              <w:t>2.7</w:t>
            </w:r>
          </w:p>
        </w:tc>
        <w:tc>
          <w:tcPr>
            <w:tcW w:w="1043" w:type="dxa"/>
            <w:tcBorders>
              <w:top w:val="single" w:sz="4" w:space="0" w:color="000000"/>
              <w:bottom w:val="single" w:sz="4" w:space="0" w:color="000000"/>
            </w:tcBorders>
          </w:tcPr>
          <w:p w14:paraId="06239F03" w14:textId="77777777" w:rsidR="00B449D0" w:rsidRDefault="00175344">
            <w:pPr>
              <w:pStyle w:val="Totaldatarowrightaligned"/>
              <w:keepNext/>
            </w:pPr>
            <w:r>
              <w:t>175.7</w:t>
            </w:r>
          </w:p>
        </w:tc>
        <w:tc>
          <w:tcPr>
            <w:tcW w:w="1043" w:type="dxa"/>
            <w:tcBorders>
              <w:top w:val="single" w:sz="4" w:space="0" w:color="000000"/>
              <w:bottom w:val="single" w:sz="4" w:space="0" w:color="000000"/>
            </w:tcBorders>
          </w:tcPr>
          <w:p w14:paraId="1F97D82F" w14:textId="77777777" w:rsidR="00B449D0" w:rsidRDefault="00175344">
            <w:pPr>
              <w:pStyle w:val="Totaldatarowrightaligned"/>
              <w:keepNext/>
            </w:pPr>
            <w:r>
              <w:t>329.9</w:t>
            </w:r>
          </w:p>
        </w:tc>
        <w:tc>
          <w:tcPr>
            <w:tcW w:w="1043" w:type="dxa"/>
            <w:tcBorders>
              <w:top w:val="single" w:sz="4" w:space="0" w:color="000000"/>
              <w:bottom w:val="single" w:sz="4" w:space="0" w:color="000000"/>
            </w:tcBorders>
          </w:tcPr>
          <w:p w14:paraId="1F4D4F5B" w14:textId="77777777" w:rsidR="00B449D0" w:rsidRDefault="00175344">
            <w:pPr>
              <w:pStyle w:val="Totaldatarowrightaligned"/>
              <w:keepNext/>
            </w:pPr>
            <w:r>
              <w:t>331.6</w:t>
            </w:r>
          </w:p>
        </w:tc>
      </w:tr>
    </w:tbl>
    <w:p w14:paraId="73F86463" w14:textId="77777777" w:rsidR="00B449D0" w:rsidRDefault="00B449D0" w:rsidP="00380A42">
      <w:pPr>
        <w:pStyle w:val="SingleParagraph0"/>
      </w:pPr>
    </w:p>
    <w:p w14:paraId="1B302779" w14:textId="77777777" w:rsidR="00B449D0" w:rsidRDefault="00175344">
      <w:pPr>
        <w:pStyle w:val="Normal2"/>
      </w:pPr>
      <w:r>
        <w:t>The Government will provide $839.9 million over four years from 2024–25 (and $130.3 million per year ongoing) in addition to $500 million provisioned in the Contingency Reserve for future financial investments, to improve access to Early Childhood Education and Care (ECEC). Funding includes:</w:t>
      </w:r>
    </w:p>
    <w:p w14:paraId="21670A07" w14:textId="7B77977C" w:rsidR="00B449D0" w:rsidRDefault="00175344">
      <w:pPr>
        <w:pStyle w:val="Bullet"/>
      </w:pPr>
      <w:r>
        <w:t>$1.0 billion to establish the Building Early Education Fund</w:t>
      </w:r>
      <w:r w:rsidR="009269E8">
        <w:t xml:space="preserve"> (the Fund)</w:t>
      </w:r>
      <w:r>
        <w:t>. The Fund will focus on increasing the number of ECEC places across Australia and driving supply of high quality care</w:t>
      </w:r>
    </w:p>
    <w:p w14:paraId="08F86372" w14:textId="6A2A029C" w:rsidR="00B449D0" w:rsidRDefault="00175344">
      <w:pPr>
        <w:pStyle w:val="Dash"/>
      </w:pPr>
      <w:r>
        <w:t>$529.6 million over four years from 2024–25 (and an additional $1.2 million in 2028</w:t>
      </w:r>
      <w:r w:rsidR="000301A4">
        <w:t>‍</w:t>
      </w:r>
      <w:r>
        <w:t>–</w:t>
      </w:r>
      <w:r w:rsidR="000301A4">
        <w:t>‍</w:t>
      </w:r>
      <w:r>
        <w:t>29) for targeted capital grant rounds for ECEC providers and state and local governments to establish new services and increase the capacity of existing services. Grants will be targeted to priority and underserved markets, for example those located on school sites, in regional and remote locations and First Nations ECEC services</w:t>
      </w:r>
    </w:p>
    <w:p w14:paraId="3C0BC908" w14:textId="77777777" w:rsidR="00B449D0" w:rsidRDefault="00175344">
      <w:pPr>
        <w:pStyle w:val="Dash"/>
      </w:pPr>
      <w:r>
        <w:t>$2.3 million over two years from 2024–25 to the Department of Education to undertake a business case for the Commonwealth to invest in owning and leasing a portfolio of early childhood education and care centres to increase the supply of ECEC services, with $500 million over three years from 2026–27 provisioned in the Contingency Reserve for future investments.</w:t>
      </w:r>
    </w:p>
    <w:p w14:paraId="2B2C0FB9" w14:textId="5CA36CF6" w:rsidR="00B449D0" w:rsidRDefault="00175344">
      <w:pPr>
        <w:pStyle w:val="Bullet"/>
      </w:pPr>
      <w:r>
        <w:lastRenderedPageBreak/>
        <w:t>$291.2 million over three years from 2025–26 (and $129.0 million per year ongoing) to the Department of Education to increase families</w:t>
      </w:r>
      <w:r w:rsidR="00076D78">
        <w:t>’</w:t>
      </w:r>
      <w:r>
        <w:t xml:space="preserve"> entitlement to subsidised early childhood education and care by reforming the </w:t>
      </w:r>
      <w:r w:rsidRPr="00175344">
        <w:rPr>
          <w:i/>
        </w:rPr>
        <w:t>Child Care Subsidy</w:t>
      </w:r>
      <w:r>
        <w:t xml:space="preserve"> activity test from January 2026. These changes will provide at least 72 hours of subsidised care per fortnight for families, and a greater entitlement of 100 hours for families with First</w:t>
      </w:r>
      <w:r w:rsidR="000301A4">
        <w:t> </w:t>
      </w:r>
      <w:r>
        <w:t>Nations children, regardless of their activity levels</w:t>
      </w:r>
    </w:p>
    <w:p w14:paraId="5464018D" w14:textId="77777777" w:rsidR="00B449D0" w:rsidRDefault="00175344">
      <w:pPr>
        <w:pStyle w:val="Bullet"/>
      </w:pPr>
      <w:r>
        <w:t>$10.4 million over three years from 2024–25 for the Department of Education to develop an Early Education Service Delivery Price to determine the reasonable cost of providing quality ECEC. An external technical expert will be engaged by the Department of Education to support development of the Service Delivery Price, which will provide an evidence‑based mechanism for appropriate levels of funding for child care services and inform future reforms</w:t>
      </w:r>
    </w:p>
    <w:p w14:paraId="1B9C53CB" w14:textId="77777777" w:rsidR="00B449D0" w:rsidRDefault="00175344">
      <w:pPr>
        <w:pStyle w:val="Bullet"/>
      </w:pPr>
      <w:r>
        <w:t xml:space="preserve">$6.4 million over two years from 2025–26 to Services Australia to upgrade the </w:t>
      </w:r>
      <w:r w:rsidRPr="00175344">
        <w:rPr>
          <w:i/>
        </w:rPr>
        <w:t>Child Care Subsidy</w:t>
      </w:r>
      <w:r>
        <w:t xml:space="preserve"> system to support the reforms.</w:t>
      </w:r>
    </w:p>
    <w:p w14:paraId="574756DB" w14:textId="77777777" w:rsidR="00B449D0" w:rsidRDefault="00175344">
      <w:pPr>
        <w:pStyle w:val="MeasureTitle"/>
      </w:pPr>
      <w:r w:rsidRPr="7F762F0D">
        <w:rPr>
          <w:lang w:val="en-US"/>
        </w:rPr>
        <w:t>Building Boarding Schools on Country – additional funding</w:t>
      </w:r>
    </w:p>
    <w:p w14:paraId="66DBEDAB"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66812D42" w14:textId="77777777">
        <w:trPr>
          <w:cantSplit/>
        </w:trPr>
        <w:tc>
          <w:tcPr>
            <w:tcW w:w="2494" w:type="dxa"/>
            <w:tcBorders>
              <w:top w:val="single" w:sz="4" w:space="0" w:color="000000"/>
              <w:bottom w:val="single" w:sz="4" w:space="0" w:color="000000"/>
            </w:tcBorders>
          </w:tcPr>
          <w:p w14:paraId="1E39985B" w14:textId="77777777" w:rsidR="00B449D0" w:rsidRDefault="00B449D0">
            <w:pPr>
              <w:pStyle w:val="MeasureTableYearHeadings"/>
              <w:keepNext/>
            </w:pPr>
          </w:p>
        </w:tc>
        <w:tc>
          <w:tcPr>
            <w:tcW w:w="1043" w:type="dxa"/>
            <w:tcBorders>
              <w:top w:val="single" w:sz="4" w:space="0" w:color="000000"/>
              <w:bottom w:val="single" w:sz="4" w:space="0" w:color="000000"/>
            </w:tcBorders>
          </w:tcPr>
          <w:p w14:paraId="2296AFBB" w14:textId="2371A6D3"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09E05627" w14:textId="280656C9"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7E55D900" w14:textId="1D6ADA9B"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3E72D61A" w14:textId="72B82016"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568C7C16" w14:textId="3E33E36E" w:rsidR="00B449D0" w:rsidRDefault="00175344">
            <w:pPr>
              <w:pStyle w:val="MeasureTableYearHeadings"/>
              <w:keepNext/>
            </w:pPr>
            <w:r>
              <w:t>2027</w:t>
            </w:r>
            <w:r w:rsidR="00076D78">
              <w:noBreakHyphen/>
            </w:r>
            <w:r>
              <w:t>28</w:t>
            </w:r>
          </w:p>
        </w:tc>
      </w:tr>
      <w:tr w:rsidR="00B449D0" w14:paraId="45ADCA92" w14:textId="77777777">
        <w:trPr>
          <w:cantSplit/>
        </w:trPr>
        <w:tc>
          <w:tcPr>
            <w:tcW w:w="2494" w:type="dxa"/>
            <w:tcBorders>
              <w:top w:val="single" w:sz="4" w:space="0" w:color="000000"/>
              <w:bottom w:val="single" w:sz="4" w:space="0" w:color="000000"/>
            </w:tcBorders>
          </w:tcPr>
          <w:p w14:paraId="04B231F2" w14:textId="77777777" w:rsidR="00B449D0" w:rsidRDefault="00175344">
            <w:pPr>
              <w:pStyle w:val="MeasureTableHeadingleftalignedwith2ptsspacing"/>
              <w:keepNext/>
            </w:pPr>
            <w:r>
              <w:t>Department of Education</w:t>
            </w:r>
          </w:p>
        </w:tc>
        <w:tc>
          <w:tcPr>
            <w:tcW w:w="1043" w:type="dxa"/>
            <w:tcBorders>
              <w:top w:val="single" w:sz="4" w:space="0" w:color="000000"/>
              <w:bottom w:val="single" w:sz="4" w:space="0" w:color="000000"/>
            </w:tcBorders>
          </w:tcPr>
          <w:p w14:paraId="4332B2C8" w14:textId="51CE45C1"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B018065" w14:textId="77777777" w:rsidR="00B449D0" w:rsidRDefault="00175344">
            <w:pPr>
              <w:pStyle w:val="MeasureTableDataRightAlignedwith2ptsspacing"/>
              <w:keepNext/>
            </w:pPr>
            <w:r>
              <w:t>2.7</w:t>
            </w:r>
          </w:p>
        </w:tc>
        <w:tc>
          <w:tcPr>
            <w:tcW w:w="1043" w:type="dxa"/>
            <w:tcBorders>
              <w:top w:val="single" w:sz="4" w:space="0" w:color="000000"/>
              <w:bottom w:val="single" w:sz="4" w:space="0" w:color="000000"/>
            </w:tcBorders>
          </w:tcPr>
          <w:p w14:paraId="53A75F15" w14:textId="77777777" w:rsidR="00B449D0" w:rsidRDefault="00175344">
            <w:pPr>
              <w:pStyle w:val="MeasureTableDataRightAlignedwith2ptsspacing"/>
              <w:keepNext/>
            </w:pPr>
            <w:r>
              <w:t>1.0</w:t>
            </w:r>
          </w:p>
        </w:tc>
        <w:tc>
          <w:tcPr>
            <w:tcW w:w="1043" w:type="dxa"/>
            <w:tcBorders>
              <w:top w:val="single" w:sz="4" w:space="0" w:color="000000"/>
              <w:bottom w:val="single" w:sz="4" w:space="0" w:color="000000"/>
            </w:tcBorders>
          </w:tcPr>
          <w:p w14:paraId="56F791E7" w14:textId="2F555437"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2A52C9F" w14:textId="6493C361" w:rsidR="00B449D0" w:rsidRDefault="00076D78">
            <w:pPr>
              <w:pStyle w:val="MeasureTableDataRightAlignedwith2ptsspacing"/>
              <w:keepNext/>
            </w:pPr>
            <w:r>
              <w:noBreakHyphen/>
            </w:r>
          </w:p>
        </w:tc>
      </w:tr>
    </w:tbl>
    <w:p w14:paraId="374111CA" w14:textId="77777777" w:rsidR="00B449D0" w:rsidRDefault="00B449D0" w:rsidP="00380A42">
      <w:pPr>
        <w:pStyle w:val="SingleParagraph0"/>
      </w:pPr>
    </w:p>
    <w:p w14:paraId="5654488D" w14:textId="0A40A5EE" w:rsidR="00B449D0" w:rsidRDefault="00175344">
      <w:pPr>
        <w:pStyle w:val="Normal2"/>
      </w:pPr>
      <w:r w:rsidRPr="7F762F0D">
        <w:rPr>
          <w:lang w:val="en-US"/>
        </w:rPr>
        <w:t>The Government will provide additional funding of $3.7 million over two years from 2024</w:t>
      </w:r>
      <w:r w:rsidR="001C4827">
        <w:t>‍</w:t>
      </w:r>
      <w:r w:rsidRPr="7F762F0D">
        <w:rPr>
          <w:lang w:val="en-US"/>
        </w:rPr>
        <w:t>–</w:t>
      </w:r>
      <w:r w:rsidR="001C4827">
        <w:t>‍</w:t>
      </w:r>
      <w:r w:rsidRPr="7F762F0D">
        <w:rPr>
          <w:lang w:val="en-US"/>
        </w:rPr>
        <w:t>25 to support the operation of Manjali Studio School, a new secondary boarding school in the West Kimberley region for First Nations students due to open in 2025. Funding will support resources for classrooms and administration, uniforms and recruitment costs.</w:t>
      </w:r>
    </w:p>
    <w:p w14:paraId="7A701EB6" w14:textId="61324BC3" w:rsidR="00B449D0" w:rsidRDefault="00175344">
      <w:pPr>
        <w:pStyle w:val="Normal2"/>
      </w:pPr>
      <w:r w:rsidRPr="7F762F0D">
        <w:rPr>
          <w:lang w:val="en-US"/>
        </w:rPr>
        <w:t>The cost of this measure will be partially met from savings identified in the Department</w:t>
      </w:r>
      <w:r w:rsidR="001C4827">
        <w:rPr>
          <w:lang w:val="en-US"/>
        </w:rPr>
        <w:t> </w:t>
      </w:r>
      <w:r w:rsidRPr="7F762F0D">
        <w:rPr>
          <w:lang w:val="en-US"/>
        </w:rPr>
        <w:t>of</w:t>
      </w:r>
      <w:r w:rsidR="001C4827">
        <w:rPr>
          <w:lang w:val="en-US"/>
        </w:rPr>
        <w:t> </w:t>
      </w:r>
      <w:r w:rsidRPr="7F762F0D">
        <w:rPr>
          <w:lang w:val="en-US"/>
        </w:rPr>
        <w:t>Education.</w:t>
      </w:r>
    </w:p>
    <w:p w14:paraId="3A5735FC" w14:textId="77777777" w:rsidR="00B449D0" w:rsidRDefault="00175344">
      <w:pPr>
        <w:pStyle w:val="Normal2"/>
      </w:pPr>
      <w:r>
        <w:t xml:space="preserve">This measure builds on the 2023–24 Budget measure titled </w:t>
      </w:r>
      <w:r w:rsidRPr="00175344">
        <w:rPr>
          <w:i/>
        </w:rPr>
        <w:t>First Nations – supporting education outcomes</w:t>
      </w:r>
      <w:r>
        <w:t>.</w:t>
      </w:r>
    </w:p>
    <w:p w14:paraId="3EBEE6C7" w14:textId="77777777" w:rsidR="00B449D0" w:rsidRDefault="00175344">
      <w:pPr>
        <w:pStyle w:val="MeasureTitle"/>
      </w:pPr>
      <w:r>
        <w:t>Closing the Gap Partnership on Early Childhood Care and Development</w:t>
      </w:r>
    </w:p>
    <w:p w14:paraId="3CA83F27"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65C7B20A" w14:textId="77777777">
        <w:trPr>
          <w:cantSplit/>
        </w:trPr>
        <w:tc>
          <w:tcPr>
            <w:tcW w:w="2494" w:type="dxa"/>
            <w:tcBorders>
              <w:top w:val="single" w:sz="4" w:space="0" w:color="000000"/>
              <w:bottom w:val="single" w:sz="4" w:space="0" w:color="000000"/>
            </w:tcBorders>
          </w:tcPr>
          <w:p w14:paraId="1D8B935C" w14:textId="77777777" w:rsidR="00B449D0" w:rsidRDefault="00B449D0">
            <w:pPr>
              <w:pStyle w:val="MeasureTableYearHeadings"/>
              <w:keepNext/>
            </w:pPr>
          </w:p>
        </w:tc>
        <w:tc>
          <w:tcPr>
            <w:tcW w:w="1043" w:type="dxa"/>
            <w:tcBorders>
              <w:top w:val="single" w:sz="4" w:space="0" w:color="000000"/>
              <w:bottom w:val="single" w:sz="4" w:space="0" w:color="000000"/>
            </w:tcBorders>
          </w:tcPr>
          <w:p w14:paraId="0EA1023F" w14:textId="11FD53F0"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51DFEBD9" w14:textId="4B455583"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1667D02E" w14:textId="7C45BAAA"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27AA4137" w14:textId="00527835"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49949FEA" w14:textId="2AC0A17C" w:rsidR="00B449D0" w:rsidRDefault="00175344">
            <w:pPr>
              <w:pStyle w:val="MeasureTableYearHeadings"/>
              <w:keepNext/>
            </w:pPr>
            <w:r>
              <w:t>2027</w:t>
            </w:r>
            <w:r w:rsidR="00076D78">
              <w:noBreakHyphen/>
            </w:r>
            <w:r>
              <w:t>28</w:t>
            </w:r>
          </w:p>
        </w:tc>
      </w:tr>
      <w:tr w:rsidR="00B449D0" w14:paraId="6C9E6015" w14:textId="77777777">
        <w:trPr>
          <w:cantSplit/>
        </w:trPr>
        <w:tc>
          <w:tcPr>
            <w:tcW w:w="2494" w:type="dxa"/>
            <w:tcBorders>
              <w:top w:val="single" w:sz="4" w:space="0" w:color="000000"/>
              <w:bottom w:val="single" w:sz="4" w:space="0" w:color="000000"/>
            </w:tcBorders>
          </w:tcPr>
          <w:p w14:paraId="39062843" w14:textId="77777777" w:rsidR="00B449D0" w:rsidRDefault="00175344">
            <w:pPr>
              <w:pStyle w:val="MeasureTableHeadingleftalignedwith2ptsspacing"/>
              <w:keepNext/>
            </w:pPr>
            <w:r>
              <w:t>Department of Education</w:t>
            </w:r>
          </w:p>
        </w:tc>
        <w:tc>
          <w:tcPr>
            <w:tcW w:w="1043" w:type="dxa"/>
            <w:tcBorders>
              <w:top w:val="single" w:sz="4" w:space="0" w:color="000000"/>
              <w:bottom w:val="single" w:sz="4" w:space="0" w:color="000000"/>
            </w:tcBorders>
          </w:tcPr>
          <w:p w14:paraId="3C436B21" w14:textId="0251EB75"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171B433" w14:textId="145B99E1"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21AA887" w14:textId="77777777" w:rsidR="00B449D0" w:rsidRDefault="00175344">
            <w:pPr>
              <w:pStyle w:val="MeasureTableDataRightAlignedwith2ptsspacing"/>
              <w:keepNext/>
            </w:pPr>
            <w:r>
              <w:t>3.6</w:t>
            </w:r>
          </w:p>
        </w:tc>
        <w:tc>
          <w:tcPr>
            <w:tcW w:w="1043" w:type="dxa"/>
            <w:tcBorders>
              <w:top w:val="single" w:sz="4" w:space="0" w:color="000000"/>
              <w:bottom w:val="single" w:sz="4" w:space="0" w:color="000000"/>
            </w:tcBorders>
          </w:tcPr>
          <w:p w14:paraId="53BFE5A9" w14:textId="77777777" w:rsidR="00B449D0" w:rsidRDefault="00175344">
            <w:pPr>
              <w:pStyle w:val="MeasureTableDataRightAlignedwith2ptsspacing"/>
              <w:keepNext/>
            </w:pPr>
            <w:r>
              <w:t>3.7</w:t>
            </w:r>
          </w:p>
        </w:tc>
        <w:tc>
          <w:tcPr>
            <w:tcW w:w="1043" w:type="dxa"/>
            <w:tcBorders>
              <w:top w:val="single" w:sz="4" w:space="0" w:color="000000"/>
              <w:bottom w:val="single" w:sz="4" w:space="0" w:color="000000"/>
            </w:tcBorders>
          </w:tcPr>
          <w:p w14:paraId="03DA6697" w14:textId="77777777" w:rsidR="00B449D0" w:rsidRDefault="00175344">
            <w:pPr>
              <w:pStyle w:val="MeasureTableDataRightAlignedwith2ptsspacing"/>
              <w:keepNext/>
            </w:pPr>
            <w:r>
              <w:t>4.1</w:t>
            </w:r>
          </w:p>
        </w:tc>
      </w:tr>
    </w:tbl>
    <w:p w14:paraId="12D8EC6F" w14:textId="77777777" w:rsidR="00B449D0" w:rsidRDefault="00B449D0" w:rsidP="00380A42">
      <w:pPr>
        <w:pStyle w:val="SingleParagraph0"/>
      </w:pPr>
    </w:p>
    <w:p w14:paraId="26F319E5" w14:textId="77777777" w:rsidR="00B449D0" w:rsidRDefault="00175344">
      <w:pPr>
        <w:pStyle w:val="Normal2"/>
      </w:pPr>
      <w:r>
        <w:t>The Government will provide $11.4 million to extend the Closing the Gap Partnership on Early Childhood Care and Development (the Partnership) for three years from 2025–26. The Partnership is an Australian Government commitment to bring together governments and First Nations representatives to develop recommendations to improve early childhood outcomes for First Nations children and families.</w:t>
      </w:r>
    </w:p>
    <w:p w14:paraId="5735292D" w14:textId="77777777" w:rsidR="00B449D0" w:rsidRDefault="00175344">
      <w:pPr>
        <w:pStyle w:val="Normal2"/>
      </w:pPr>
      <w:r w:rsidRPr="7F762F0D">
        <w:rPr>
          <w:lang w:val="en-US"/>
        </w:rPr>
        <w:t>This measure extends on the</w:t>
      </w:r>
      <w:r w:rsidRPr="7F762F0D">
        <w:rPr>
          <w:i/>
          <w:iCs/>
          <w:lang w:val="en-US"/>
        </w:rPr>
        <w:t xml:space="preserve"> Early Childhood Care and Development Policy Partnership, </w:t>
      </w:r>
      <w:r w:rsidRPr="7F762F0D">
        <w:rPr>
          <w:lang w:val="en-US"/>
        </w:rPr>
        <w:t xml:space="preserve">a component of the 2022–23 October Budget measure titled </w:t>
      </w:r>
      <w:r w:rsidRPr="7F762F0D">
        <w:rPr>
          <w:i/>
          <w:iCs/>
          <w:lang w:val="en-US"/>
        </w:rPr>
        <w:t>Plan for Cheaper Child Care</w:t>
      </w:r>
      <w:r w:rsidRPr="7F762F0D">
        <w:rPr>
          <w:lang w:val="en-US"/>
        </w:rPr>
        <w:t>.</w:t>
      </w:r>
    </w:p>
    <w:p w14:paraId="2D798C06" w14:textId="77777777" w:rsidR="00B449D0" w:rsidRDefault="00175344">
      <w:pPr>
        <w:pStyle w:val="MeasureTitle"/>
      </w:pPr>
      <w:r w:rsidRPr="7F762F0D">
        <w:rPr>
          <w:lang w:val="en-US"/>
        </w:rPr>
        <w:lastRenderedPageBreak/>
        <w:t>Education – reprioritisation</w:t>
      </w:r>
    </w:p>
    <w:p w14:paraId="2AFD9281"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38C7829F" w14:textId="77777777">
        <w:trPr>
          <w:cantSplit/>
        </w:trPr>
        <w:tc>
          <w:tcPr>
            <w:tcW w:w="2494" w:type="dxa"/>
            <w:tcBorders>
              <w:top w:val="single" w:sz="4" w:space="0" w:color="000000"/>
              <w:bottom w:val="single" w:sz="4" w:space="0" w:color="000000"/>
            </w:tcBorders>
          </w:tcPr>
          <w:p w14:paraId="5CEA2DE9" w14:textId="77777777" w:rsidR="00B449D0" w:rsidRDefault="00B449D0">
            <w:pPr>
              <w:pStyle w:val="MeasureTableYearHeadings"/>
              <w:keepNext/>
            </w:pPr>
          </w:p>
        </w:tc>
        <w:tc>
          <w:tcPr>
            <w:tcW w:w="1043" w:type="dxa"/>
            <w:tcBorders>
              <w:top w:val="single" w:sz="4" w:space="0" w:color="000000"/>
              <w:bottom w:val="single" w:sz="4" w:space="0" w:color="000000"/>
            </w:tcBorders>
          </w:tcPr>
          <w:p w14:paraId="1EF035B0" w14:textId="207ABDC0"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004865F3" w14:textId="46060E93"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747BD9EA" w14:textId="072B0F20"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4E63E084" w14:textId="245E6A2C"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68A90F94" w14:textId="299157EA" w:rsidR="00B449D0" w:rsidRDefault="00175344">
            <w:pPr>
              <w:pStyle w:val="MeasureTableYearHeadings"/>
              <w:keepNext/>
            </w:pPr>
            <w:r>
              <w:t>2027</w:t>
            </w:r>
            <w:r w:rsidR="00076D78">
              <w:noBreakHyphen/>
            </w:r>
            <w:r>
              <w:t>28</w:t>
            </w:r>
          </w:p>
        </w:tc>
      </w:tr>
      <w:tr w:rsidR="00B449D0" w14:paraId="6DBD2BAC" w14:textId="77777777">
        <w:trPr>
          <w:cantSplit/>
        </w:trPr>
        <w:tc>
          <w:tcPr>
            <w:tcW w:w="2494" w:type="dxa"/>
            <w:tcBorders>
              <w:top w:val="single" w:sz="4" w:space="0" w:color="000000"/>
              <w:bottom w:val="single" w:sz="4" w:space="0" w:color="000000"/>
            </w:tcBorders>
          </w:tcPr>
          <w:p w14:paraId="58EAF024" w14:textId="77777777" w:rsidR="00B449D0" w:rsidRDefault="00175344">
            <w:pPr>
              <w:pStyle w:val="MeasureTableHeadingleftalignedwith2ptsspacing"/>
              <w:keepNext/>
            </w:pPr>
            <w:r>
              <w:t>Department of Education</w:t>
            </w:r>
          </w:p>
        </w:tc>
        <w:tc>
          <w:tcPr>
            <w:tcW w:w="1043" w:type="dxa"/>
            <w:tcBorders>
              <w:top w:val="single" w:sz="4" w:space="0" w:color="000000"/>
              <w:bottom w:val="single" w:sz="4" w:space="0" w:color="000000"/>
            </w:tcBorders>
          </w:tcPr>
          <w:p w14:paraId="480B81E0" w14:textId="71FFE39F"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C823E52" w14:textId="370BC6FF" w:rsidR="00B449D0" w:rsidRDefault="00076D78">
            <w:pPr>
              <w:pStyle w:val="MeasureTableDataRightAlignedwith2ptsspacing"/>
              <w:keepNext/>
            </w:pPr>
            <w:r>
              <w:noBreakHyphen/>
            </w:r>
            <w:r w:rsidR="00175344">
              <w:t>35.1</w:t>
            </w:r>
          </w:p>
        </w:tc>
        <w:tc>
          <w:tcPr>
            <w:tcW w:w="1043" w:type="dxa"/>
            <w:tcBorders>
              <w:top w:val="single" w:sz="4" w:space="0" w:color="000000"/>
              <w:bottom w:val="single" w:sz="4" w:space="0" w:color="000000"/>
            </w:tcBorders>
          </w:tcPr>
          <w:p w14:paraId="2B9DC8BA" w14:textId="34D18773" w:rsidR="00B449D0" w:rsidRDefault="00076D78">
            <w:pPr>
              <w:pStyle w:val="MeasureTableDataRightAlignedwith2ptsspacing"/>
              <w:keepNext/>
            </w:pPr>
            <w:r>
              <w:noBreakHyphen/>
            </w:r>
            <w:r w:rsidR="00175344">
              <w:t>47.1</w:t>
            </w:r>
          </w:p>
        </w:tc>
        <w:tc>
          <w:tcPr>
            <w:tcW w:w="1043" w:type="dxa"/>
            <w:tcBorders>
              <w:top w:val="single" w:sz="4" w:space="0" w:color="000000"/>
              <w:bottom w:val="single" w:sz="4" w:space="0" w:color="000000"/>
            </w:tcBorders>
          </w:tcPr>
          <w:p w14:paraId="5F2A41A3" w14:textId="4B33838A" w:rsidR="00B449D0" w:rsidRDefault="00076D78">
            <w:pPr>
              <w:pStyle w:val="MeasureTableDataRightAlignedwith2ptsspacing"/>
              <w:keepNext/>
            </w:pPr>
            <w:r>
              <w:noBreakHyphen/>
            </w:r>
            <w:r w:rsidR="00175344">
              <w:t>53.4</w:t>
            </w:r>
          </w:p>
        </w:tc>
        <w:tc>
          <w:tcPr>
            <w:tcW w:w="1043" w:type="dxa"/>
            <w:tcBorders>
              <w:top w:val="single" w:sz="4" w:space="0" w:color="000000"/>
              <w:bottom w:val="single" w:sz="4" w:space="0" w:color="000000"/>
            </w:tcBorders>
          </w:tcPr>
          <w:p w14:paraId="732501A6" w14:textId="4230F582" w:rsidR="00B449D0" w:rsidRDefault="00076D78">
            <w:pPr>
              <w:pStyle w:val="MeasureTableDataRightAlignedwith2ptsspacing"/>
              <w:keepNext/>
            </w:pPr>
            <w:r>
              <w:noBreakHyphen/>
            </w:r>
            <w:r w:rsidR="00175344">
              <w:t>61.5</w:t>
            </w:r>
          </w:p>
        </w:tc>
      </w:tr>
    </w:tbl>
    <w:p w14:paraId="0D4154C2" w14:textId="77777777" w:rsidR="00B449D0" w:rsidRDefault="00B449D0" w:rsidP="00380A42">
      <w:pPr>
        <w:pStyle w:val="SingleParagraph0"/>
      </w:pPr>
    </w:p>
    <w:p w14:paraId="1E5D3FEA" w14:textId="77777777" w:rsidR="00B449D0" w:rsidRDefault="00175344">
      <w:pPr>
        <w:pStyle w:val="Normal2"/>
      </w:pPr>
      <w:r w:rsidRPr="7F762F0D">
        <w:rPr>
          <w:lang w:val="en-US"/>
        </w:rPr>
        <w:t>The Government will achieve savings of $197.1 million over four years from 2024–25 (and an additional $627.1 million from 2028–29 to 2034–35) by ceasing and reducing funding within the Department of Education. Savings include:</w:t>
      </w:r>
    </w:p>
    <w:p w14:paraId="7A69B8A4" w14:textId="77777777" w:rsidR="00B449D0" w:rsidRDefault="00175344">
      <w:pPr>
        <w:pStyle w:val="Bullet"/>
      </w:pPr>
      <w:r>
        <w:t xml:space="preserve">$107.4 million over four years from 2024–25 (and an additional $491.8 million from 2028–29 to 2034–35) by ceasing the </w:t>
      </w:r>
      <w:r w:rsidRPr="00175344">
        <w:rPr>
          <w:i/>
        </w:rPr>
        <w:t xml:space="preserve">Innovative Places </w:t>
      </w:r>
      <w:r>
        <w:t>program on 31 December 2026</w:t>
      </w:r>
    </w:p>
    <w:p w14:paraId="44DD541A" w14:textId="5F9B4835" w:rsidR="00B449D0" w:rsidRDefault="00175344">
      <w:pPr>
        <w:pStyle w:val="Bullet"/>
      </w:pPr>
      <w:r>
        <w:t>$89.7 million over four years from 2024–25 (and an additional $135.3 million from 2028</w:t>
      </w:r>
      <w:r w:rsidR="001C4827">
        <w:t>‍</w:t>
      </w:r>
      <w:r>
        <w:t>–</w:t>
      </w:r>
      <w:r w:rsidR="001C4827">
        <w:t>‍</w:t>
      </w:r>
      <w:r>
        <w:t xml:space="preserve">29 to 2034–35) by better matching the </w:t>
      </w:r>
      <w:r w:rsidRPr="00175344">
        <w:rPr>
          <w:i/>
        </w:rPr>
        <w:t xml:space="preserve">Tertiary Access Payment </w:t>
      </w:r>
      <w:r>
        <w:t>program to demand and expanding access to non‑school leavers from 1 January 2025.</w:t>
      </w:r>
    </w:p>
    <w:p w14:paraId="79F05244" w14:textId="77777777" w:rsidR="00B449D0" w:rsidRDefault="00175344">
      <w:pPr>
        <w:pStyle w:val="Normal2"/>
      </w:pPr>
      <w:r>
        <w:t>The savings from this measure will be redirected to other Government policy priorities in the Department of Education.</w:t>
      </w:r>
    </w:p>
    <w:p w14:paraId="1390FF54" w14:textId="77777777" w:rsidR="00B449D0" w:rsidRDefault="00175344">
      <w:pPr>
        <w:pStyle w:val="MeasureTitle"/>
      </w:pPr>
      <w:r w:rsidRPr="7F762F0D">
        <w:rPr>
          <w:lang w:val="en-US"/>
        </w:rPr>
        <w:t>First Nations Education Partnership Funding, Education Policy and Education Programs Extensions</w:t>
      </w:r>
    </w:p>
    <w:p w14:paraId="3CA00079"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161CA040" w14:textId="77777777">
        <w:trPr>
          <w:cantSplit/>
        </w:trPr>
        <w:tc>
          <w:tcPr>
            <w:tcW w:w="2494" w:type="dxa"/>
            <w:tcBorders>
              <w:top w:val="single" w:sz="4" w:space="0" w:color="000000"/>
              <w:bottom w:val="single" w:sz="4" w:space="0" w:color="000000"/>
            </w:tcBorders>
          </w:tcPr>
          <w:p w14:paraId="613EFC52" w14:textId="77777777" w:rsidR="00B449D0" w:rsidRDefault="00B449D0">
            <w:pPr>
              <w:pStyle w:val="MeasureTableYearHeadings"/>
              <w:keepNext/>
            </w:pPr>
          </w:p>
        </w:tc>
        <w:tc>
          <w:tcPr>
            <w:tcW w:w="1043" w:type="dxa"/>
            <w:tcBorders>
              <w:top w:val="single" w:sz="4" w:space="0" w:color="000000"/>
              <w:bottom w:val="single" w:sz="4" w:space="0" w:color="000000"/>
            </w:tcBorders>
          </w:tcPr>
          <w:p w14:paraId="4862B1E0" w14:textId="27FA7BAA"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0D4EC149" w14:textId="3A7D200D"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2159B802" w14:textId="4FE4D3C2"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09F4D7D5" w14:textId="4AC950B7"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1108B536" w14:textId="7E51F606" w:rsidR="00B449D0" w:rsidRDefault="00175344">
            <w:pPr>
              <w:pStyle w:val="MeasureTableYearHeadings"/>
              <w:keepNext/>
            </w:pPr>
            <w:r>
              <w:t>2027</w:t>
            </w:r>
            <w:r w:rsidR="00076D78">
              <w:noBreakHyphen/>
            </w:r>
            <w:r>
              <w:t>28</w:t>
            </w:r>
          </w:p>
        </w:tc>
      </w:tr>
      <w:tr w:rsidR="00B449D0" w14:paraId="3CFEA790" w14:textId="77777777">
        <w:trPr>
          <w:cantSplit/>
        </w:trPr>
        <w:tc>
          <w:tcPr>
            <w:tcW w:w="2494" w:type="dxa"/>
            <w:tcBorders>
              <w:top w:val="single" w:sz="4" w:space="0" w:color="000000"/>
              <w:bottom w:val="single" w:sz="4" w:space="0" w:color="000000"/>
            </w:tcBorders>
          </w:tcPr>
          <w:p w14:paraId="633C839A" w14:textId="77777777" w:rsidR="00B449D0" w:rsidRDefault="00175344">
            <w:pPr>
              <w:pStyle w:val="MeasureTableHeadingleftalignedwith2ptsspacing"/>
              <w:keepNext/>
            </w:pPr>
            <w:r>
              <w:t>Department of Education</w:t>
            </w:r>
          </w:p>
        </w:tc>
        <w:tc>
          <w:tcPr>
            <w:tcW w:w="1043" w:type="dxa"/>
            <w:tcBorders>
              <w:top w:val="single" w:sz="4" w:space="0" w:color="000000"/>
              <w:bottom w:val="single" w:sz="4" w:space="0" w:color="000000"/>
            </w:tcBorders>
          </w:tcPr>
          <w:p w14:paraId="2391884F" w14:textId="37B4D2D6"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126FE9E" w14:textId="0D681D2D"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002A48C" w14:textId="5E747C6E"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06F950F" w14:textId="7F69A500"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3B62037" w14:textId="7E6F0235" w:rsidR="00B449D0" w:rsidRDefault="00076D78">
            <w:pPr>
              <w:pStyle w:val="MeasureTableDataRightAlignedwith2ptsspacing"/>
              <w:keepNext/>
            </w:pPr>
            <w:r>
              <w:noBreakHyphen/>
            </w:r>
          </w:p>
        </w:tc>
      </w:tr>
    </w:tbl>
    <w:p w14:paraId="106F0107" w14:textId="77777777" w:rsidR="00B449D0" w:rsidRDefault="00B449D0" w:rsidP="00380A42">
      <w:pPr>
        <w:pStyle w:val="SingleParagraph0"/>
      </w:pPr>
    </w:p>
    <w:p w14:paraId="0D87287C" w14:textId="77777777" w:rsidR="00B449D0" w:rsidRDefault="00175344">
      <w:pPr>
        <w:pStyle w:val="Normal2"/>
      </w:pPr>
      <w:r>
        <w:t>The Government will provide $8.5 million over four years from 2024–25 to extend programs supporting education outcomes for First Nations students. Funding includes:</w:t>
      </w:r>
    </w:p>
    <w:p w14:paraId="1528E6B4" w14:textId="53D2F001" w:rsidR="00B449D0" w:rsidRDefault="00175344">
      <w:pPr>
        <w:pStyle w:val="Bullet"/>
      </w:pPr>
      <w:r>
        <w:t>$4.5 million over three years from 2024–25 to extend the AURORA Education Foundation</w:t>
      </w:r>
      <w:r w:rsidR="00076D78">
        <w:t>’</w:t>
      </w:r>
      <w:r>
        <w:t>s Redefining Indigenous Success in Education (RISE) initiative to support First Nations high school students through activities such as tutoring and mentoring programs, and undertake a comparative analysis of the impacts of these supports</w:t>
      </w:r>
    </w:p>
    <w:p w14:paraId="5D275012" w14:textId="77777777" w:rsidR="00B449D0" w:rsidRDefault="00175344">
      <w:pPr>
        <w:pStyle w:val="Bullet"/>
      </w:pPr>
      <w:r>
        <w:t>$4.0 million over four years from 2024–25 to extend support for the GO Foundation to continue support for young First Nations people by providing access to quality education, mentorship, and pathways to employment.</w:t>
      </w:r>
    </w:p>
    <w:p w14:paraId="4837A3B9" w14:textId="77777777" w:rsidR="00B449D0" w:rsidRDefault="00175344">
      <w:pPr>
        <w:pStyle w:val="Normal2"/>
      </w:pPr>
      <w:r>
        <w:t>The Government has already provided funding for this measure.</w:t>
      </w:r>
    </w:p>
    <w:p w14:paraId="1990BA3D" w14:textId="77777777" w:rsidR="00B449D0" w:rsidRDefault="00175344">
      <w:pPr>
        <w:pStyle w:val="MeasureTitle"/>
      </w:pPr>
      <w:r>
        <w:t>GENERATION Survey of Post‑School Destinations</w:t>
      </w:r>
    </w:p>
    <w:p w14:paraId="60457B51"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4A2E8EA1" w14:textId="77777777">
        <w:trPr>
          <w:cantSplit/>
        </w:trPr>
        <w:tc>
          <w:tcPr>
            <w:tcW w:w="2494" w:type="dxa"/>
            <w:tcBorders>
              <w:top w:val="single" w:sz="4" w:space="0" w:color="000000"/>
              <w:bottom w:val="single" w:sz="4" w:space="0" w:color="000000"/>
            </w:tcBorders>
          </w:tcPr>
          <w:p w14:paraId="6498C55D" w14:textId="77777777" w:rsidR="00B449D0" w:rsidRDefault="00B449D0">
            <w:pPr>
              <w:pStyle w:val="MeasureTableYearHeadings"/>
              <w:keepNext/>
            </w:pPr>
          </w:p>
        </w:tc>
        <w:tc>
          <w:tcPr>
            <w:tcW w:w="1043" w:type="dxa"/>
            <w:tcBorders>
              <w:top w:val="single" w:sz="4" w:space="0" w:color="000000"/>
              <w:bottom w:val="single" w:sz="4" w:space="0" w:color="000000"/>
            </w:tcBorders>
          </w:tcPr>
          <w:p w14:paraId="53D8730D" w14:textId="42B874FB"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31C293A3" w14:textId="16FFA14B"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10A6ACDC" w14:textId="6A2C6B6F"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654222D3" w14:textId="56011E89"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353EED9E" w14:textId="2851CA98" w:rsidR="00B449D0" w:rsidRDefault="00175344">
            <w:pPr>
              <w:pStyle w:val="MeasureTableYearHeadings"/>
              <w:keepNext/>
            </w:pPr>
            <w:r>
              <w:t>2027</w:t>
            </w:r>
            <w:r w:rsidR="00076D78">
              <w:noBreakHyphen/>
            </w:r>
            <w:r>
              <w:t>28</w:t>
            </w:r>
          </w:p>
        </w:tc>
      </w:tr>
      <w:tr w:rsidR="00B449D0" w14:paraId="5C941738" w14:textId="77777777">
        <w:trPr>
          <w:cantSplit/>
        </w:trPr>
        <w:tc>
          <w:tcPr>
            <w:tcW w:w="2494" w:type="dxa"/>
            <w:tcBorders>
              <w:top w:val="single" w:sz="4" w:space="0" w:color="000000"/>
              <w:bottom w:val="single" w:sz="4" w:space="0" w:color="000000"/>
            </w:tcBorders>
          </w:tcPr>
          <w:p w14:paraId="77229438" w14:textId="77777777" w:rsidR="00B449D0" w:rsidRDefault="00175344">
            <w:pPr>
              <w:pStyle w:val="MeasureTableHeadingleftalignedwith2ptsspacing"/>
              <w:keepNext/>
            </w:pPr>
            <w:r>
              <w:t>Department of Education</w:t>
            </w:r>
          </w:p>
        </w:tc>
        <w:tc>
          <w:tcPr>
            <w:tcW w:w="1043" w:type="dxa"/>
            <w:tcBorders>
              <w:top w:val="single" w:sz="4" w:space="0" w:color="000000"/>
              <w:bottom w:val="single" w:sz="4" w:space="0" w:color="000000"/>
            </w:tcBorders>
          </w:tcPr>
          <w:p w14:paraId="049D3177" w14:textId="7DDEEF0B"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D7F654B" w14:textId="77777777" w:rsidR="00B449D0" w:rsidRDefault="00175344">
            <w:pPr>
              <w:pStyle w:val="MeasureTableDataRightAlignedwith2ptsspacing"/>
              <w:keepNext/>
            </w:pPr>
            <w:r>
              <w:t>0.4</w:t>
            </w:r>
          </w:p>
        </w:tc>
        <w:tc>
          <w:tcPr>
            <w:tcW w:w="1043" w:type="dxa"/>
            <w:tcBorders>
              <w:top w:val="single" w:sz="4" w:space="0" w:color="000000"/>
              <w:bottom w:val="single" w:sz="4" w:space="0" w:color="000000"/>
            </w:tcBorders>
          </w:tcPr>
          <w:p w14:paraId="3B5DB787" w14:textId="5961B5DC"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556823F" w14:textId="24B402ED"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2CF7A50" w14:textId="5ACE0CFC" w:rsidR="00B449D0" w:rsidRDefault="00076D78">
            <w:pPr>
              <w:pStyle w:val="MeasureTableDataRightAlignedwith2ptsspacing"/>
              <w:keepNext/>
            </w:pPr>
            <w:r>
              <w:noBreakHyphen/>
            </w:r>
          </w:p>
        </w:tc>
      </w:tr>
    </w:tbl>
    <w:p w14:paraId="384B961D" w14:textId="77777777" w:rsidR="00B449D0" w:rsidRDefault="00B449D0" w:rsidP="00380A42">
      <w:pPr>
        <w:pStyle w:val="SingleParagraph0"/>
      </w:pPr>
    </w:p>
    <w:p w14:paraId="46CA970C" w14:textId="78D2AA1A" w:rsidR="00B449D0" w:rsidRDefault="00175344">
      <w:pPr>
        <w:pStyle w:val="Normal2"/>
      </w:pPr>
      <w:r>
        <w:t>The Government will provide $0.4 million in 2024–25 to extend the GENERATION Survey of Post‑School Destinations longitudinal study of students transitioning to life after school. Funding will cover the program</w:t>
      </w:r>
      <w:r w:rsidR="00076D78">
        <w:t>’</w:t>
      </w:r>
      <w:r>
        <w:t>s operations for the 2025 calendar year.</w:t>
      </w:r>
    </w:p>
    <w:p w14:paraId="65119042" w14:textId="77777777" w:rsidR="00B449D0" w:rsidRDefault="00175344">
      <w:pPr>
        <w:pStyle w:val="MeasureTitle"/>
      </w:pPr>
      <w:r>
        <w:lastRenderedPageBreak/>
        <w:t>Indigenous Boarding Providers – grants program extension</w:t>
      </w:r>
    </w:p>
    <w:p w14:paraId="6DD81934"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01670AFA" w14:textId="77777777">
        <w:trPr>
          <w:cantSplit/>
        </w:trPr>
        <w:tc>
          <w:tcPr>
            <w:tcW w:w="2494" w:type="dxa"/>
            <w:tcBorders>
              <w:top w:val="single" w:sz="4" w:space="0" w:color="000000"/>
              <w:bottom w:val="single" w:sz="4" w:space="0" w:color="000000"/>
            </w:tcBorders>
          </w:tcPr>
          <w:p w14:paraId="164BC8F1" w14:textId="77777777" w:rsidR="00B449D0" w:rsidRDefault="00B449D0">
            <w:pPr>
              <w:pStyle w:val="MeasureTableYearHeadings"/>
              <w:keepNext/>
            </w:pPr>
          </w:p>
        </w:tc>
        <w:tc>
          <w:tcPr>
            <w:tcW w:w="1043" w:type="dxa"/>
            <w:tcBorders>
              <w:top w:val="single" w:sz="4" w:space="0" w:color="000000"/>
              <w:bottom w:val="single" w:sz="4" w:space="0" w:color="000000"/>
            </w:tcBorders>
          </w:tcPr>
          <w:p w14:paraId="74689280" w14:textId="5F4A92CE"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6AC9273E" w14:textId="496C41F2"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41F36158" w14:textId="5551668C"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30EA557F" w14:textId="2A8585AF"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28DEAB86" w14:textId="74F09625" w:rsidR="00B449D0" w:rsidRDefault="00175344">
            <w:pPr>
              <w:pStyle w:val="MeasureTableYearHeadings"/>
              <w:keepNext/>
            </w:pPr>
            <w:r>
              <w:t>2027</w:t>
            </w:r>
            <w:r w:rsidR="00076D78">
              <w:noBreakHyphen/>
            </w:r>
            <w:r>
              <w:t>28</w:t>
            </w:r>
          </w:p>
        </w:tc>
      </w:tr>
      <w:tr w:rsidR="00B449D0" w14:paraId="521C1463" w14:textId="77777777">
        <w:trPr>
          <w:cantSplit/>
        </w:trPr>
        <w:tc>
          <w:tcPr>
            <w:tcW w:w="2494" w:type="dxa"/>
            <w:tcBorders>
              <w:top w:val="single" w:sz="4" w:space="0" w:color="000000"/>
              <w:bottom w:val="single" w:sz="4" w:space="0" w:color="000000"/>
            </w:tcBorders>
          </w:tcPr>
          <w:p w14:paraId="691CBD62" w14:textId="77777777" w:rsidR="00B449D0" w:rsidRDefault="00175344">
            <w:pPr>
              <w:pStyle w:val="MeasureTableHeadingleftalignedwith2ptsspacing"/>
              <w:keepNext/>
            </w:pPr>
            <w:r>
              <w:t>National Indigenous Australians Agency</w:t>
            </w:r>
          </w:p>
        </w:tc>
        <w:tc>
          <w:tcPr>
            <w:tcW w:w="1043" w:type="dxa"/>
            <w:tcBorders>
              <w:top w:val="single" w:sz="4" w:space="0" w:color="000000"/>
              <w:bottom w:val="single" w:sz="4" w:space="0" w:color="000000"/>
            </w:tcBorders>
          </w:tcPr>
          <w:p w14:paraId="0E9A4B06" w14:textId="08CC2BDA"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03CCBC4" w14:textId="77777777" w:rsidR="00B449D0" w:rsidRDefault="00175344">
            <w:pPr>
              <w:pStyle w:val="MeasureTableDataRightAlignedwith2ptsspacing"/>
              <w:keepNext/>
            </w:pPr>
            <w:r>
              <w:t>11.5</w:t>
            </w:r>
          </w:p>
        </w:tc>
        <w:tc>
          <w:tcPr>
            <w:tcW w:w="1043" w:type="dxa"/>
            <w:tcBorders>
              <w:top w:val="single" w:sz="4" w:space="0" w:color="000000"/>
              <w:bottom w:val="single" w:sz="4" w:space="0" w:color="000000"/>
            </w:tcBorders>
          </w:tcPr>
          <w:p w14:paraId="47620CF2" w14:textId="77777777" w:rsidR="00B449D0" w:rsidRDefault="00175344">
            <w:pPr>
              <w:pStyle w:val="MeasureTableDataRightAlignedwith2ptsspacing"/>
              <w:keepNext/>
            </w:pPr>
            <w:r>
              <w:t>23.5</w:t>
            </w:r>
          </w:p>
        </w:tc>
        <w:tc>
          <w:tcPr>
            <w:tcW w:w="1043" w:type="dxa"/>
            <w:tcBorders>
              <w:top w:val="single" w:sz="4" w:space="0" w:color="000000"/>
              <w:bottom w:val="single" w:sz="4" w:space="0" w:color="000000"/>
            </w:tcBorders>
          </w:tcPr>
          <w:p w14:paraId="17978B97" w14:textId="77777777" w:rsidR="00B449D0" w:rsidRDefault="00175344">
            <w:pPr>
              <w:pStyle w:val="MeasureTableDataRightAlignedwith2ptsspacing"/>
              <w:keepNext/>
            </w:pPr>
            <w:r>
              <w:t>12.0</w:t>
            </w:r>
          </w:p>
        </w:tc>
        <w:tc>
          <w:tcPr>
            <w:tcW w:w="1043" w:type="dxa"/>
            <w:tcBorders>
              <w:top w:val="single" w:sz="4" w:space="0" w:color="000000"/>
              <w:bottom w:val="single" w:sz="4" w:space="0" w:color="000000"/>
            </w:tcBorders>
          </w:tcPr>
          <w:p w14:paraId="2BD2D402" w14:textId="6E12F321" w:rsidR="00B449D0" w:rsidRDefault="00076D78">
            <w:pPr>
              <w:pStyle w:val="MeasureTableDataRightAlignedwith2ptsspacing"/>
              <w:keepNext/>
            </w:pPr>
            <w:r>
              <w:noBreakHyphen/>
            </w:r>
          </w:p>
        </w:tc>
      </w:tr>
    </w:tbl>
    <w:p w14:paraId="1A46F4A1" w14:textId="77777777" w:rsidR="00B449D0" w:rsidRDefault="00B449D0" w:rsidP="00380A42">
      <w:pPr>
        <w:pStyle w:val="SingleParagraph0"/>
      </w:pPr>
    </w:p>
    <w:p w14:paraId="2F239616" w14:textId="77777777" w:rsidR="00B449D0" w:rsidRDefault="00175344">
      <w:pPr>
        <w:pStyle w:val="Normal2"/>
      </w:pPr>
      <w:r w:rsidRPr="7F762F0D">
        <w:rPr>
          <w:lang w:val="en-US"/>
        </w:rPr>
        <w:t xml:space="preserve">The Government will provide additional funding of $47.1 million over three years from 2024–25 to extend the </w:t>
      </w:r>
      <w:r w:rsidRPr="7F762F0D">
        <w:rPr>
          <w:i/>
          <w:iCs/>
          <w:lang w:val="en-US"/>
        </w:rPr>
        <w:t xml:space="preserve">Indigenous Boarding Provider </w:t>
      </w:r>
      <w:r w:rsidRPr="7F762F0D">
        <w:rPr>
          <w:lang w:val="en-US"/>
        </w:rPr>
        <w:t>grants program for rural and remote First Nations students for two additional years.</w:t>
      </w:r>
    </w:p>
    <w:p w14:paraId="03419C6B" w14:textId="77777777" w:rsidR="00B449D0" w:rsidRDefault="00175344">
      <w:pPr>
        <w:pStyle w:val="Normal2"/>
      </w:pPr>
      <w:r>
        <w:t xml:space="preserve">This measure extends the 2023–24 Budget measure titled </w:t>
      </w:r>
      <w:r w:rsidRPr="00175344">
        <w:rPr>
          <w:i/>
        </w:rPr>
        <w:t>Closing the Gap – further investment.</w:t>
      </w:r>
    </w:p>
    <w:p w14:paraId="071A60DC" w14:textId="77777777" w:rsidR="00B449D0" w:rsidRDefault="00175344">
      <w:pPr>
        <w:pStyle w:val="MeasureTitle"/>
      </w:pPr>
      <w:r>
        <w:t>Quality Outcomes – Parliament and Civics Education Rebate and National Youth Parliament</w:t>
      </w:r>
    </w:p>
    <w:p w14:paraId="1A027CF1"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6CA6C091" w14:textId="77777777">
        <w:trPr>
          <w:cantSplit/>
        </w:trPr>
        <w:tc>
          <w:tcPr>
            <w:tcW w:w="2494" w:type="dxa"/>
            <w:tcBorders>
              <w:top w:val="single" w:sz="4" w:space="0" w:color="000000"/>
              <w:bottom w:val="single" w:sz="4" w:space="0" w:color="000000"/>
            </w:tcBorders>
          </w:tcPr>
          <w:p w14:paraId="6C7FE9AD" w14:textId="77777777" w:rsidR="00B449D0" w:rsidRDefault="00B449D0">
            <w:pPr>
              <w:pStyle w:val="MeasureTableYearHeadings"/>
              <w:keepNext/>
            </w:pPr>
          </w:p>
        </w:tc>
        <w:tc>
          <w:tcPr>
            <w:tcW w:w="1043" w:type="dxa"/>
            <w:tcBorders>
              <w:top w:val="single" w:sz="4" w:space="0" w:color="000000"/>
              <w:bottom w:val="single" w:sz="4" w:space="0" w:color="000000"/>
            </w:tcBorders>
          </w:tcPr>
          <w:p w14:paraId="02349563" w14:textId="515703ED"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3653B8AE" w14:textId="7FB19D06"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44E0AA27" w14:textId="024DDAF2"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79EC7AD2" w14:textId="303FCBE4"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0030D6A2" w14:textId="63F0DE00" w:rsidR="00B449D0" w:rsidRDefault="00175344">
            <w:pPr>
              <w:pStyle w:val="MeasureTableYearHeadings"/>
              <w:keepNext/>
            </w:pPr>
            <w:r>
              <w:t>2027</w:t>
            </w:r>
            <w:r w:rsidR="00076D78">
              <w:noBreakHyphen/>
            </w:r>
            <w:r>
              <w:t>28</w:t>
            </w:r>
          </w:p>
        </w:tc>
      </w:tr>
      <w:tr w:rsidR="00B449D0" w14:paraId="50341DC4" w14:textId="77777777">
        <w:trPr>
          <w:cantSplit/>
        </w:trPr>
        <w:tc>
          <w:tcPr>
            <w:tcW w:w="2494" w:type="dxa"/>
            <w:tcBorders>
              <w:top w:val="single" w:sz="4" w:space="0" w:color="000000"/>
              <w:bottom w:val="single" w:sz="4" w:space="0" w:color="000000"/>
            </w:tcBorders>
          </w:tcPr>
          <w:p w14:paraId="543671F6" w14:textId="77777777" w:rsidR="00B449D0" w:rsidRDefault="00175344">
            <w:pPr>
              <w:pStyle w:val="MeasureTableHeadingleftalignedwith2ptsspacing"/>
              <w:keepNext/>
            </w:pPr>
            <w:r>
              <w:t>Department of Education</w:t>
            </w:r>
          </w:p>
        </w:tc>
        <w:tc>
          <w:tcPr>
            <w:tcW w:w="1043" w:type="dxa"/>
            <w:tcBorders>
              <w:top w:val="single" w:sz="4" w:space="0" w:color="000000"/>
              <w:bottom w:val="single" w:sz="4" w:space="0" w:color="000000"/>
            </w:tcBorders>
          </w:tcPr>
          <w:p w14:paraId="47BED930" w14:textId="488D44B0"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F9ED2B6" w14:textId="77777777" w:rsidR="00B449D0" w:rsidRDefault="00175344">
            <w:pPr>
              <w:pStyle w:val="MeasureTableDataRightAlignedwith2ptsspacing"/>
              <w:keepNext/>
            </w:pPr>
            <w:r>
              <w:t>2.8</w:t>
            </w:r>
          </w:p>
        </w:tc>
        <w:tc>
          <w:tcPr>
            <w:tcW w:w="1043" w:type="dxa"/>
            <w:tcBorders>
              <w:top w:val="single" w:sz="4" w:space="0" w:color="000000"/>
              <w:bottom w:val="single" w:sz="4" w:space="0" w:color="000000"/>
            </w:tcBorders>
          </w:tcPr>
          <w:p w14:paraId="0B068CE0" w14:textId="4732D1A8"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557317D" w14:textId="781DF7C8"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D124028" w14:textId="131709B0" w:rsidR="00B449D0" w:rsidRDefault="00076D78">
            <w:pPr>
              <w:pStyle w:val="MeasureTableDataRightAlignedwith2ptsspacing"/>
              <w:keepNext/>
            </w:pPr>
            <w:r>
              <w:noBreakHyphen/>
            </w:r>
          </w:p>
        </w:tc>
      </w:tr>
      <w:tr w:rsidR="00B449D0" w14:paraId="0B44F809" w14:textId="77777777">
        <w:trPr>
          <w:cantSplit/>
        </w:trPr>
        <w:tc>
          <w:tcPr>
            <w:tcW w:w="2494" w:type="dxa"/>
            <w:tcBorders>
              <w:top w:val="single" w:sz="4" w:space="0" w:color="000000"/>
              <w:bottom w:val="single" w:sz="4" w:space="0" w:color="000000"/>
            </w:tcBorders>
          </w:tcPr>
          <w:p w14:paraId="7A66BCDE" w14:textId="77777777" w:rsidR="00B449D0" w:rsidRDefault="00175344">
            <w:pPr>
              <w:pStyle w:val="MeasureTableHeadingleftalignedwith2ptsspacing"/>
              <w:keepNext/>
            </w:pPr>
            <w:r>
              <w:t>Department of the House of Representatives</w:t>
            </w:r>
          </w:p>
        </w:tc>
        <w:tc>
          <w:tcPr>
            <w:tcW w:w="1043" w:type="dxa"/>
            <w:tcBorders>
              <w:top w:val="single" w:sz="4" w:space="0" w:color="000000"/>
              <w:bottom w:val="single" w:sz="4" w:space="0" w:color="000000"/>
            </w:tcBorders>
          </w:tcPr>
          <w:p w14:paraId="52689A97" w14:textId="7CFAF3BC"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1FF7C22" w14:textId="77777777" w:rsidR="00B449D0" w:rsidRDefault="00175344">
            <w:pPr>
              <w:pStyle w:val="MeasureTableDataRightAlignedwith2ptsspacing"/>
              <w:keepNext/>
            </w:pPr>
            <w:r>
              <w:t>0.1</w:t>
            </w:r>
          </w:p>
        </w:tc>
        <w:tc>
          <w:tcPr>
            <w:tcW w:w="1043" w:type="dxa"/>
            <w:tcBorders>
              <w:top w:val="single" w:sz="4" w:space="0" w:color="000000"/>
              <w:bottom w:val="single" w:sz="4" w:space="0" w:color="000000"/>
            </w:tcBorders>
          </w:tcPr>
          <w:p w14:paraId="1149DFB3" w14:textId="77777777" w:rsidR="00B449D0" w:rsidRDefault="00175344">
            <w:pPr>
              <w:pStyle w:val="MeasureTableDataRightAlignedwith2ptsspacing"/>
              <w:keepNext/>
            </w:pPr>
            <w:r>
              <w:t>0.9</w:t>
            </w:r>
          </w:p>
        </w:tc>
        <w:tc>
          <w:tcPr>
            <w:tcW w:w="1043" w:type="dxa"/>
            <w:tcBorders>
              <w:top w:val="single" w:sz="4" w:space="0" w:color="000000"/>
              <w:bottom w:val="single" w:sz="4" w:space="0" w:color="000000"/>
            </w:tcBorders>
          </w:tcPr>
          <w:p w14:paraId="5A17841B" w14:textId="77777777" w:rsidR="00B449D0" w:rsidRDefault="00175344">
            <w:pPr>
              <w:pStyle w:val="MeasureTableDataRightAlignedwith2ptsspacing"/>
              <w:keepNext/>
            </w:pPr>
            <w:r>
              <w:t>0.7</w:t>
            </w:r>
          </w:p>
        </w:tc>
        <w:tc>
          <w:tcPr>
            <w:tcW w:w="1043" w:type="dxa"/>
            <w:tcBorders>
              <w:top w:val="single" w:sz="4" w:space="0" w:color="000000"/>
              <w:bottom w:val="single" w:sz="4" w:space="0" w:color="000000"/>
            </w:tcBorders>
          </w:tcPr>
          <w:p w14:paraId="5333F4D9" w14:textId="4740DBF0" w:rsidR="00B449D0" w:rsidRDefault="00076D78">
            <w:pPr>
              <w:pStyle w:val="MeasureTableDataRightAlignedwith2ptsspacing"/>
              <w:keepNext/>
            </w:pPr>
            <w:r>
              <w:noBreakHyphen/>
            </w:r>
          </w:p>
        </w:tc>
      </w:tr>
      <w:tr w:rsidR="00B449D0" w14:paraId="585B65CD" w14:textId="77777777">
        <w:trPr>
          <w:cantSplit/>
        </w:trPr>
        <w:tc>
          <w:tcPr>
            <w:tcW w:w="2494" w:type="dxa"/>
            <w:tcBorders>
              <w:top w:val="single" w:sz="4" w:space="0" w:color="000000"/>
              <w:bottom w:val="single" w:sz="4" w:space="0" w:color="000000"/>
            </w:tcBorders>
          </w:tcPr>
          <w:p w14:paraId="6FEC2485"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5141E572" w14:textId="7578C68C"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680C2C3D" w14:textId="77777777" w:rsidR="00B449D0" w:rsidRDefault="00175344">
            <w:pPr>
              <w:pStyle w:val="Totaldatarowrightaligned"/>
              <w:keepNext/>
            </w:pPr>
            <w:r>
              <w:t>2.9</w:t>
            </w:r>
          </w:p>
        </w:tc>
        <w:tc>
          <w:tcPr>
            <w:tcW w:w="1043" w:type="dxa"/>
            <w:tcBorders>
              <w:top w:val="single" w:sz="4" w:space="0" w:color="000000"/>
              <w:bottom w:val="single" w:sz="4" w:space="0" w:color="000000"/>
            </w:tcBorders>
          </w:tcPr>
          <w:p w14:paraId="360A1A98" w14:textId="77777777" w:rsidR="00B449D0" w:rsidRDefault="00175344">
            <w:pPr>
              <w:pStyle w:val="Totaldatarowrightaligned"/>
              <w:keepNext/>
            </w:pPr>
            <w:r>
              <w:t>0.9</w:t>
            </w:r>
          </w:p>
        </w:tc>
        <w:tc>
          <w:tcPr>
            <w:tcW w:w="1043" w:type="dxa"/>
            <w:tcBorders>
              <w:top w:val="single" w:sz="4" w:space="0" w:color="000000"/>
              <w:bottom w:val="single" w:sz="4" w:space="0" w:color="000000"/>
            </w:tcBorders>
          </w:tcPr>
          <w:p w14:paraId="3CAB0B6A" w14:textId="77777777" w:rsidR="00B449D0" w:rsidRDefault="00175344">
            <w:pPr>
              <w:pStyle w:val="Totaldatarowrightaligned"/>
              <w:keepNext/>
            </w:pPr>
            <w:r>
              <w:t>0.7</w:t>
            </w:r>
          </w:p>
        </w:tc>
        <w:tc>
          <w:tcPr>
            <w:tcW w:w="1043" w:type="dxa"/>
            <w:tcBorders>
              <w:top w:val="single" w:sz="4" w:space="0" w:color="000000"/>
              <w:bottom w:val="single" w:sz="4" w:space="0" w:color="000000"/>
            </w:tcBorders>
          </w:tcPr>
          <w:p w14:paraId="08E1C551" w14:textId="1DD0E8D8" w:rsidR="00B449D0" w:rsidRDefault="00076D78">
            <w:pPr>
              <w:pStyle w:val="Totaldatarowrightaligned"/>
              <w:keepNext/>
            </w:pPr>
            <w:r>
              <w:noBreakHyphen/>
            </w:r>
          </w:p>
        </w:tc>
      </w:tr>
    </w:tbl>
    <w:p w14:paraId="455D5E36" w14:textId="77777777" w:rsidR="00B449D0" w:rsidRDefault="00B449D0" w:rsidP="00380A42">
      <w:pPr>
        <w:pStyle w:val="SingleParagraph0"/>
      </w:pPr>
    </w:p>
    <w:p w14:paraId="29F4174F" w14:textId="77777777" w:rsidR="00B449D0" w:rsidRDefault="00175344">
      <w:pPr>
        <w:pStyle w:val="Normal2"/>
      </w:pPr>
      <w:r>
        <w:t xml:space="preserve">The Government will provide $2.8 million in 2024–25 to extend the </w:t>
      </w:r>
      <w:r w:rsidRPr="00175344">
        <w:rPr>
          <w:i/>
        </w:rPr>
        <w:t>Parliament and Civics Education Rebate</w:t>
      </w:r>
      <w:r>
        <w:t xml:space="preserve"> (PACER) Pilot program for the 2025 calendar year.</w:t>
      </w:r>
    </w:p>
    <w:p w14:paraId="142EF570" w14:textId="61914F81" w:rsidR="00B449D0" w:rsidRDefault="00175344">
      <w:pPr>
        <w:pStyle w:val="Normal2"/>
      </w:pPr>
      <w:r w:rsidRPr="7F762F0D">
        <w:rPr>
          <w:lang w:val="en-US"/>
        </w:rPr>
        <w:t>The PACER program provides financial assistance for students to visit national democratic, historical and cultural institutions in Canberra. Students from regional, remote, and very remote schools and those in socio‑educationally disadvantaged areas will be eligible for additional rebates as part of the extension of the PACER Pilot program.</w:t>
      </w:r>
    </w:p>
    <w:p w14:paraId="688A84F4" w14:textId="77777777" w:rsidR="00B449D0" w:rsidRDefault="00175344">
      <w:pPr>
        <w:pStyle w:val="Normal2"/>
      </w:pPr>
      <w:r>
        <w:t>The Government will also provide $1.7 million over three years from 2024–25 to the Department of the House of Representatives to prepare for and deliver a National Youth Parliament program in August 2026.</w:t>
      </w:r>
    </w:p>
    <w:p w14:paraId="251B787B" w14:textId="77777777" w:rsidR="00B449D0" w:rsidRDefault="00175344">
      <w:pPr>
        <w:pStyle w:val="MeasureTitle"/>
      </w:pPr>
      <w:r>
        <w:t>Review into Bullying in Schools</w:t>
      </w:r>
    </w:p>
    <w:p w14:paraId="29E9D97B"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0DEDDD85" w14:textId="77777777">
        <w:trPr>
          <w:cantSplit/>
        </w:trPr>
        <w:tc>
          <w:tcPr>
            <w:tcW w:w="2494" w:type="dxa"/>
            <w:tcBorders>
              <w:top w:val="single" w:sz="4" w:space="0" w:color="000000"/>
              <w:bottom w:val="single" w:sz="4" w:space="0" w:color="000000"/>
            </w:tcBorders>
          </w:tcPr>
          <w:p w14:paraId="0B491283" w14:textId="77777777" w:rsidR="00B449D0" w:rsidRDefault="00B449D0">
            <w:pPr>
              <w:pStyle w:val="MeasureTableYearHeadings"/>
              <w:keepNext/>
            </w:pPr>
          </w:p>
        </w:tc>
        <w:tc>
          <w:tcPr>
            <w:tcW w:w="1043" w:type="dxa"/>
            <w:tcBorders>
              <w:top w:val="single" w:sz="4" w:space="0" w:color="000000"/>
              <w:bottom w:val="single" w:sz="4" w:space="0" w:color="000000"/>
            </w:tcBorders>
          </w:tcPr>
          <w:p w14:paraId="0D57E25E" w14:textId="6C2FD35D"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7F93DB27" w14:textId="1BBBB3DB"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664B7169" w14:textId="25CA5C31"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774AA7ED" w14:textId="24EBC122"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061926B0" w14:textId="2239B234" w:rsidR="00B449D0" w:rsidRDefault="00175344">
            <w:pPr>
              <w:pStyle w:val="MeasureTableYearHeadings"/>
              <w:keepNext/>
            </w:pPr>
            <w:r>
              <w:t>2027</w:t>
            </w:r>
            <w:r w:rsidR="00076D78">
              <w:noBreakHyphen/>
            </w:r>
            <w:r>
              <w:t>28</w:t>
            </w:r>
          </w:p>
        </w:tc>
      </w:tr>
      <w:tr w:rsidR="00B449D0" w14:paraId="5D751878" w14:textId="77777777">
        <w:trPr>
          <w:cantSplit/>
        </w:trPr>
        <w:tc>
          <w:tcPr>
            <w:tcW w:w="2494" w:type="dxa"/>
            <w:tcBorders>
              <w:top w:val="single" w:sz="4" w:space="0" w:color="000000"/>
              <w:bottom w:val="single" w:sz="4" w:space="0" w:color="000000"/>
            </w:tcBorders>
          </w:tcPr>
          <w:p w14:paraId="7957F7E7" w14:textId="77777777" w:rsidR="00B449D0" w:rsidRDefault="00175344">
            <w:pPr>
              <w:pStyle w:val="MeasureTableHeadingleftalignedwith2ptsspacing"/>
              <w:keepNext/>
            </w:pPr>
            <w:r>
              <w:t>Department of Education</w:t>
            </w:r>
          </w:p>
        </w:tc>
        <w:tc>
          <w:tcPr>
            <w:tcW w:w="1043" w:type="dxa"/>
            <w:tcBorders>
              <w:top w:val="single" w:sz="4" w:space="0" w:color="000000"/>
              <w:bottom w:val="single" w:sz="4" w:space="0" w:color="000000"/>
            </w:tcBorders>
          </w:tcPr>
          <w:p w14:paraId="3ECE48C9" w14:textId="422B2D7E"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ACB2835" w14:textId="77777777" w:rsidR="00B449D0" w:rsidRDefault="00175344">
            <w:pPr>
              <w:pStyle w:val="MeasureTableDataRightAlignedwith2ptsspacing"/>
              <w:keepNext/>
            </w:pPr>
            <w:r>
              <w:t>1.2</w:t>
            </w:r>
          </w:p>
        </w:tc>
        <w:tc>
          <w:tcPr>
            <w:tcW w:w="1043" w:type="dxa"/>
            <w:tcBorders>
              <w:top w:val="single" w:sz="4" w:space="0" w:color="000000"/>
              <w:bottom w:val="single" w:sz="4" w:space="0" w:color="000000"/>
            </w:tcBorders>
          </w:tcPr>
          <w:p w14:paraId="2ED21CEC" w14:textId="12DD1917"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DAC4EE5" w14:textId="07791059"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665B73C4" w14:textId="0030A7BD" w:rsidR="00B449D0" w:rsidRDefault="00076D78">
            <w:pPr>
              <w:pStyle w:val="MeasureTableDataRightAlignedwith2ptsspacing"/>
              <w:keepNext/>
            </w:pPr>
            <w:r>
              <w:noBreakHyphen/>
            </w:r>
          </w:p>
        </w:tc>
      </w:tr>
    </w:tbl>
    <w:p w14:paraId="70388D81" w14:textId="77777777" w:rsidR="00B449D0" w:rsidRDefault="00B449D0" w:rsidP="00380A42">
      <w:pPr>
        <w:pStyle w:val="SingleParagraph0"/>
      </w:pPr>
    </w:p>
    <w:p w14:paraId="44998CDE" w14:textId="77777777" w:rsidR="00B449D0" w:rsidRDefault="00175344">
      <w:pPr>
        <w:pStyle w:val="Normal2"/>
      </w:pPr>
      <w:r w:rsidRPr="7F762F0D">
        <w:rPr>
          <w:lang w:val="en-US"/>
        </w:rPr>
        <w:t>The Government will provide $1.2 million in 2024–25 to undertake an expert led investigation to examine current procedures and best practice methods looking at what is working to address bullying behaviours and what needs strengthening. The review will advise the Education Ministers Meeting on options for a nationally consistent standard to address bullying, and inform policy development across jurisdictions.</w:t>
      </w:r>
    </w:p>
    <w:p w14:paraId="51BDF5FE" w14:textId="77777777" w:rsidR="00B449D0" w:rsidRDefault="00175344">
      <w:pPr>
        <w:pStyle w:val="MeasureTitle"/>
      </w:pPr>
      <w:r>
        <w:lastRenderedPageBreak/>
        <w:t>Strengthening the Integrity and Sustainability of the International Education Sector</w:t>
      </w:r>
    </w:p>
    <w:p w14:paraId="7F92E6D7"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6CF44313" w14:textId="77777777">
        <w:trPr>
          <w:cantSplit/>
        </w:trPr>
        <w:tc>
          <w:tcPr>
            <w:tcW w:w="2494" w:type="dxa"/>
            <w:tcBorders>
              <w:top w:val="single" w:sz="4" w:space="0" w:color="000000"/>
              <w:bottom w:val="single" w:sz="4" w:space="0" w:color="000000"/>
            </w:tcBorders>
          </w:tcPr>
          <w:p w14:paraId="41AEB094" w14:textId="77777777" w:rsidR="00B449D0" w:rsidRDefault="00B449D0">
            <w:pPr>
              <w:pStyle w:val="MeasureTableYearHeadings"/>
              <w:keepNext/>
            </w:pPr>
          </w:p>
        </w:tc>
        <w:tc>
          <w:tcPr>
            <w:tcW w:w="1043" w:type="dxa"/>
            <w:tcBorders>
              <w:top w:val="single" w:sz="4" w:space="0" w:color="000000"/>
              <w:bottom w:val="single" w:sz="4" w:space="0" w:color="000000"/>
            </w:tcBorders>
          </w:tcPr>
          <w:p w14:paraId="65B8FBF3" w14:textId="37C63B22"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04A67F7C" w14:textId="441FE1D1"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0275623C" w14:textId="6E6EB0DB"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6C465563" w14:textId="00D05414"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61469CA5" w14:textId="6294008C" w:rsidR="00B449D0" w:rsidRDefault="00175344">
            <w:pPr>
              <w:pStyle w:val="MeasureTableYearHeadings"/>
              <w:keepNext/>
            </w:pPr>
            <w:r>
              <w:t>2027</w:t>
            </w:r>
            <w:r w:rsidR="00076D78">
              <w:noBreakHyphen/>
            </w:r>
            <w:r>
              <w:t>28</w:t>
            </w:r>
          </w:p>
        </w:tc>
      </w:tr>
      <w:tr w:rsidR="00B449D0" w14:paraId="13CA167C" w14:textId="77777777">
        <w:trPr>
          <w:cantSplit/>
        </w:trPr>
        <w:tc>
          <w:tcPr>
            <w:tcW w:w="2494" w:type="dxa"/>
            <w:tcBorders>
              <w:top w:val="single" w:sz="4" w:space="0" w:color="000000"/>
              <w:bottom w:val="single" w:sz="4" w:space="0" w:color="000000"/>
            </w:tcBorders>
          </w:tcPr>
          <w:p w14:paraId="71BE27A3" w14:textId="77777777" w:rsidR="00B449D0" w:rsidRDefault="00175344">
            <w:pPr>
              <w:pStyle w:val="MeasureTableHeadingleftalignedwith2ptsspacing"/>
              <w:keepNext/>
            </w:pPr>
            <w:r>
              <w:t>Australian Skills Quality Authority</w:t>
            </w:r>
          </w:p>
        </w:tc>
        <w:tc>
          <w:tcPr>
            <w:tcW w:w="1043" w:type="dxa"/>
            <w:tcBorders>
              <w:top w:val="single" w:sz="4" w:space="0" w:color="000000"/>
              <w:bottom w:val="single" w:sz="4" w:space="0" w:color="000000"/>
            </w:tcBorders>
          </w:tcPr>
          <w:p w14:paraId="27037C3F" w14:textId="291A464D"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BC2433E" w14:textId="77777777" w:rsidR="00B449D0" w:rsidRDefault="00175344">
            <w:pPr>
              <w:pStyle w:val="MeasureTableDataRightAlignedwith2ptsspacing"/>
              <w:keepNext/>
            </w:pPr>
            <w:r>
              <w:t>2.4</w:t>
            </w:r>
          </w:p>
        </w:tc>
        <w:tc>
          <w:tcPr>
            <w:tcW w:w="1043" w:type="dxa"/>
            <w:tcBorders>
              <w:top w:val="single" w:sz="4" w:space="0" w:color="000000"/>
              <w:bottom w:val="single" w:sz="4" w:space="0" w:color="000000"/>
            </w:tcBorders>
          </w:tcPr>
          <w:p w14:paraId="769A90DD" w14:textId="77777777" w:rsidR="00B449D0" w:rsidRDefault="00175344">
            <w:pPr>
              <w:pStyle w:val="MeasureTableDataRightAlignedwith2ptsspacing"/>
              <w:keepNext/>
            </w:pPr>
            <w:r>
              <w:t>4.0</w:t>
            </w:r>
          </w:p>
        </w:tc>
        <w:tc>
          <w:tcPr>
            <w:tcW w:w="1043" w:type="dxa"/>
            <w:tcBorders>
              <w:top w:val="single" w:sz="4" w:space="0" w:color="000000"/>
              <w:bottom w:val="single" w:sz="4" w:space="0" w:color="000000"/>
            </w:tcBorders>
          </w:tcPr>
          <w:p w14:paraId="22B46B58" w14:textId="77777777" w:rsidR="00B449D0" w:rsidRDefault="00175344">
            <w:pPr>
              <w:pStyle w:val="MeasureTableDataRightAlignedwith2ptsspacing"/>
              <w:keepNext/>
            </w:pPr>
            <w:r>
              <w:t>0.7</w:t>
            </w:r>
          </w:p>
        </w:tc>
        <w:tc>
          <w:tcPr>
            <w:tcW w:w="1043" w:type="dxa"/>
            <w:tcBorders>
              <w:top w:val="single" w:sz="4" w:space="0" w:color="000000"/>
              <w:bottom w:val="single" w:sz="4" w:space="0" w:color="000000"/>
            </w:tcBorders>
          </w:tcPr>
          <w:p w14:paraId="7E86C896" w14:textId="77777777" w:rsidR="00B449D0" w:rsidRDefault="00175344">
            <w:pPr>
              <w:pStyle w:val="MeasureTableDataRightAlignedwith2ptsspacing"/>
              <w:keepNext/>
            </w:pPr>
            <w:r>
              <w:t>0.7</w:t>
            </w:r>
          </w:p>
        </w:tc>
      </w:tr>
      <w:tr w:rsidR="00B449D0" w14:paraId="6A3ED98A" w14:textId="77777777">
        <w:trPr>
          <w:cantSplit/>
        </w:trPr>
        <w:tc>
          <w:tcPr>
            <w:tcW w:w="2494" w:type="dxa"/>
            <w:tcBorders>
              <w:top w:val="single" w:sz="4" w:space="0" w:color="000000"/>
              <w:bottom w:val="single" w:sz="4" w:space="0" w:color="000000"/>
            </w:tcBorders>
          </w:tcPr>
          <w:p w14:paraId="4ACD4D6A" w14:textId="77777777" w:rsidR="00B449D0" w:rsidRDefault="00175344">
            <w:pPr>
              <w:pStyle w:val="MeasureTableHeadingleftalignedwith2ptsspacing"/>
              <w:keepNext/>
            </w:pPr>
            <w:r>
              <w:t>Department of Education</w:t>
            </w:r>
          </w:p>
        </w:tc>
        <w:tc>
          <w:tcPr>
            <w:tcW w:w="1043" w:type="dxa"/>
            <w:tcBorders>
              <w:top w:val="single" w:sz="4" w:space="0" w:color="000000"/>
              <w:bottom w:val="single" w:sz="4" w:space="0" w:color="000000"/>
            </w:tcBorders>
          </w:tcPr>
          <w:p w14:paraId="411FC874" w14:textId="73AA9107"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B59E806" w14:textId="77777777" w:rsidR="00B449D0" w:rsidRDefault="00175344">
            <w:pPr>
              <w:pStyle w:val="MeasureTableDataRightAlignedwith2ptsspacing"/>
              <w:keepNext/>
            </w:pPr>
            <w:r>
              <w:t>2.3</w:t>
            </w:r>
          </w:p>
        </w:tc>
        <w:tc>
          <w:tcPr>
            <w:tcW w:w="1043" w:type="dxa"/>
            <w:tcBorders>
              <w:top w:val="single" w:sz="4" w:space="0" w:color="000000"/>
              <w:bottom w:val="single" w:sz="4" w:space="0" w:color="000000"/>
            </w:tcBorders>
          </w:tcPr>
          <w:p w14:paraId="43271EDF" w14:textId="77777777" w:rsidR="00B449D0" w:rsidRDefault="00175344">
            <w:pPr>
              <w:pStyle w:val="MeasureTableDataRightAlignedwith2ptsspacing"/>
              <w:keepNext/>
            </w:pPr>
            <w:r>
              <w:t>7.7</w:t>
            </w:r>
          </w:p>
        </w:tc>
        <w:tc>
          <w:tcPr>
            <w:tcW w:w="1043" w:type="dxa"/>
            <w:tcBorders>
              <w:top w:val="single" w:sz="4" w:space="0" w:color="000000"/>
              <w:bottom w:val="single" w:sz="4" w:space="0" w:color="000000"/>
            </w:tcBorders>
          </w:tcPr>
          <w:p w14:paraId="4ED8320B" w14:textId="77777777" w:rsidR="00B449D0" w:rsidRDefault="00175344">
            <w:pPr>
              <w:pStyle w:val="MeasureTableDataRightAlignedwith2ptsspacing"/>
              <w:keepNext/>
            </w:pPr>
            <w:r>
              <w:t>5.0</w:t>
            </w:r>
          </w:p>
        </w:tc>
        <w:tc>
          <w:tcPr>
            <w:tcW w:w="1043" w:type="dxa"/>
            <w:tcBorders>
              <w:top w:val="single" w:sz="4" w:space="0" w:color="000000"/>
              <w:bottom w:val="single" w:sz="4" w:space="0" w:color="000000"/>
            </w:tcBorders>
          </w:tcPr>
          <w:p w14:paraId="5704B273" w14:textId="77777777" w:rsidR="00B449D0" w:rsidRDefault="00175344">
            <w:pPr>
              <w:pStyle w:val="MeasureTableDataRightAlignedwith2ptsspacing"/>
              <w:keepNext/>
            </w:pPr>
            <w:r>
              <w:t>5.3</w:t>
            </w:r>
          </w:p>
        </w:tc>
      </w:tr>
      <w:tr w:rsidR="00B449D0" w14:paraId="7E675EC2" w14:textId="77777777">
        <w:trPr>
          <w:cantSplit/>
        </w:trPr>
        <w:tc>
          <w:tcPr>
            <w:tcW w:w="2494" w:type="dxa"/>
            <w:tcBorders>
              <w:top w:val="single" w:sz="4" w:space="0" w:color="000000"/>
              <w:bottom w:val="single" w:sz="4" w:space="0" w:color="000000"/>
            </w:tcBorders>
          </w:tcPr>
          <w:p w14:paraId="082C7554" w14:textId="77777777" w:rsidR="00B449D0" w:rsidRDefault="00175344">
            <w:pPr>
              <w:pStyle w:val="MeasureTableHeadingleftalignedwith2ptsspacing"/>
              <w:keepNext/>
            </w:pPr>
            <w:r>
              <w:t>Department of Employment and Workplace Relations</w:t>
            </w:r>
          </w:p>
        </w:tc>
        <w:tc>
          <w:tcPr>
            <w:tcW w:w="1043" w:type="dxa"/>
            <w:tcBorders>
              <w:top w:val="single" w:sz="4" w:space="0" w:color="000000"/>
              <w:bottom w:val="single" w:sz="4" w:space="0" w:color="000000"/>
            </w:tcBorders>
          </w:tcPr>
          <w:p w14:paraId="2C9DC419" w14:textId="734697A5"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B78CFD8" w14:textId="5B1974E0"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4CA665D" w14:textId="3EF7E5AF"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3C5CFE9" w14:textId="146CECD7"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6C5D41E" w14:textId="2C431A5F" w:rsidR="00B449D0" w:rsidRDefault="00076D78">
            <w:pPr>
              <w:pStyle w:val="MeasureTableDataRightAlignedwith2ptsspacing"/>
              <w:keepNext/>
            </w:pPr>
            <w:r>
              <w:noBreakHyphen/>
            </w:r>
          </w:p>
        </w:tc>
      </w:tr>
      <w:tr w:rsidR="00B449D0" w14:paraId="74969BD0" w14:textId="77777777">
        <w:trPr>
          <w:cantSplit/>
        </w:trPr>
        <w:tc>
          <w:tcPr>
            <w:tcW w:w="2494" w:type="dxa"/>
            <w:tcBorders>
              <w:top w:val="single" w:sz="4" w:space="0" w:color="000000"/>
              <w:bottom w:val="single" w:sz="4" w:space="0" w:color="000000"/>
            </w:tcBorders>
          </w:tcPr>
          <w:p w14:paraId="5EAB2CD7"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67E41164" w14:textId="29BABA82"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337C08A3" w14:textId="77777777" w:rsidR="00B449D0" w:rsidRDefault="00175344">
            <w:pPr>
              <w:pStyle w:val="Totaldatarowrightaligned"/>
              <w:keepNext/>
            </w:pPr>
            <w:r>
              <w:t>4.6</w:t>
            </w:r>
          </w:p>
        </w:tc>
        <w:tc>
          <w:tcPr>
            <w:tcW w:w="1043" w:type="dxa"/>
            <w:tcBorders>
              <w:top w:val="single" w:sz="4" w:space="0" w:color="000000"/>
              <w:bottom w:val="single" w:sz="4" w:space="0" w:color="000000"/>
            </w:tcBorders>
          </w:tcPr>
          <w:p w14:paraId="386430DA" w14:textId="77777777" w:rsidR="00B449D0" w:rsidRDefault="00175344">
            <w:pPr>
              <w:pStyle w:val="Totaldatarowrightaligned"/>
              <w:keepNext/>
            </w:pPr>
            <w:r>
              <w:t>11.7</w:t>
            </w:r>
          </w:p>
        </w:tc>
        <w:tc>
          <w:tcPr>
            <w:tcW w:w="1043" w:type="dxa"/>
            <w:tcBorders>
              <w:top w:val="single" w:sz="4" w:space="0" w:color="000000"/>
              <w:bottom w:val="single" w:sz="4" w:space="0" w:color="000000"/>
            </w:tcBorders>
          </w:tcPr>
          <w:p w14:paraId="76B2FAA7" w14:textId="77777777" w:rsidR="00B449D0" w:rsidRDefault="00175344">
            <w:pPr>
              <w:pStyle w:val="Totaldatarowrightaligned"/>
              <w:keepNext/>
            </w:pPr>
            <w:r>
              <w:t>5.7</w:t>
            </w:r>
          </w:p>
        </w:tc>
        <w:tc>
          <w:tcPr>
            <w:tcW w:w="1043" w:type="dxa"/>
            <w:tcBorders>
              <w:top w:val="single" w:sz="4" w:space="0" w:color="000000"/>
              <w:bottom w:val="single" w:sz="4" w:space="0" w:color="000000"/>
            </w:tcBorders>
          </w:tcPr>
          <w:p w14:paraId="4B46C23E" w14:textId="77777777" w:rsidR="00B449D0" w:rsidRDefault="00175344">
            <w:pPr>
              <w:pStyle w:val="Totaldatarowrightaligned"/>
              <w:keepNext/>
            </w:pPr>
            <w:r>
              <w:t>6.0</w:t>
            </w:r>
          </w:p>
        </w:tc>
      </w:tr>
    </w:tbl>
    <w:p w14:paraId="50E46BDA" w14:textId="77777777" w:rsidR="00B449D0" w:rsidRDefault="00B449D0" w:rsidP="00380A42">
      <w:pPr>
        <w:pStyle w:val="SingleParagraph0"/>
      </w:pPr>
    </w:p>
    <w:p w14:paraId="660A7C9C" w14:textId="77777777" w:rsidR="00B449D0" w:rsidRDefault="00175344">
      <w:pPr>
        <w:pStyle w:val="Normal2"/>
      </w:pPr>
      <w:r w:rsidRPr="7F762F0D">
        <w:rPr>
          <w:lang w:val="en-US"/>
        </w:rPr>
        <w:t>The Government will provide $28.0 million over four years from 2024–25 (and $5.4 million per year ongoing) to ensure the quality, integrity and sustainability of the international education sector. Funding includes:</w:t>
      </w:r>
    </w:p>
    <w:p w14:paraId="3B5B5486" w14:textId="77777777" w:rsidR="00B449D0" w:rsidRDefault="00175344">
      <w:pPr>
        <w:pStyle w:val="Bullet"/>
      </w:pPr>
      <w:r>
        <w:t>$16.0 million over four years from 2024–25 (and $4.4 million per year ongoing) for the Department of Education to monitor international student commencements at the sector and provider level to support the prioritisation of visa processing</w:t>
      </w:r>
    </w:p>
    <w:p w14:paraId="39C66914" w14:textId="2CE2C078" w:rsidR="00B449D0" w:rsidRDefault="00175344">
      <w:pPr>
        <w:pStyle w:val="Bullet"/>
      </w:pPr>
      <w:r>
        <w:t>$7.7 million over four years from 2024–25 (and $0.4 million per year ongoing) to enable the Australian Skills Quality Authority to deliver additional integrity activities for Australia</w:t>
      </w:r>
      <w:r w:rsidR="00076D78">
        <w:t>’</w:t>
      </w:r>
      <w:r>
        <w:t>s international vocational education and training sector, working closely with sector regulators</w:t>
      </w:r>
    </w:p>
    <w:p w14:paraId="0BB9FA49" w14:textId="77777777" w:rsidR="00B449D0" w:rsidRDefault="00175344">
      <w:pPr>
        <w:pStyle w:val="Bullet"/>
      </w:pPr>
      <w:r>
        <w:t>$4.3 million over three years from 2025–26 (and $0.6 million per year ongoing) for the Department of Education to provide essential upgrades to the Provider Registration and International Student Management System.</w:t>
      </w:r>
    </w:p>
    <w:p w14:paraId="78C38A13" w14:textId="77777777" w:rsidR="00B449D0" w:rsidRDefault="00175344">
      <w:pPr>
        <w:pStyle w:val="Normal2"/>
      </w:pPr>
      <w:r w:rsidRPr="7F762F0D">
        <w:rPr>
          <w:lang w:val="en-US"/>
        </w:rPr>
        <w:t>The cost of this measure will be partially met from within the existing resourcing of the Department of Employment and Workplace Relations and from savings identified in the Education portfolio.</w:t>
      </w:r>
    </w:p>
    <w:p w14:paraId="0094E6A7" w14:textId="77777777" w:rsidR="00B449D0" w:rsidRDefault="00175344">
      <w:pPr>
        <w:pStyle w:val="MeasureTitle"/>
      </w:pPr>
      <w:r>
        <w:t>Supplementary Funding for the Inclusion Support Program</w:t>
      </w:r>
    </w:p>
    <w:p w14:paraId="6B614FEF"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27D76CEE" w14:textId="77777777">
        <w:trPr>
          <w:cantSplit/>
        </w:trPr>
        <w:tc>
          <w:tcPr>
            <w:tcW w:w="2494" w:type="dxa"/>
            <w:tcBorders>
              <w:top w:val="single" w:sz="4" w:space="0" w:color="000000"/>
              <w:bottom w:val="single" w:sz="4" w:space="0" w:color="000000"/>
            </w:tcBorders>
          </w:tcPr>
          <w:p w14:paraId="0F4477AB" w14:textId="77777777" w:rsidR="00B449D0" w:rsidRDefault="00B449D0">
            <w:pPr>
              <w:pStyle w:val="MeasureTableYearHeadings"/>
              <w:keepNext/>
            </w:pPr>
          </w:p>
        </w:tc>
        <w:tc>
          <w:tcPr>
            <w:tcW w:w="1043" w:type="dxa"/>
            <w:tcBorders>
              <w:top w:val="single" w:sz="4" w:space="0" w:color="000000"/>
              <w:bottom w:val="single" w:sz="4" w:space="0" w:color="000000"/>
            </w:tcBorders>
          </w:tcPr>
          <w:p w14:paraId="50AF9318" w14:textId="240D2EDF"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7AAACD7E" w14:textId="31EAEB52"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059A4972" w14:textId="223C8540"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0B0058D5" w14:textId="10B5C969"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275CA29F" w14:textId="7A9C6C34" w:rsidR="00B449D0" w:rsidRDefault="00175344">
            <w:pPr>
              <w:pStyle w:val="MeasureTableYearHeadings"/>
              <w:keepNext/>
            </w:pPr>
            <w:r>
              <w:t>2027</w:t>
            </w:r>
            <w:r w:rsidR="00076D78">
              <w:noBreakHyphen/>
            </w:r>
            <w:r>
              <w:t>28</w:t>
            </w:r>
          </w:p>
        </w:tc>
      </w:tr>
      <w:tr w:rsidR="00B449D0" w14:paraId="36AA5A6A" w14:textId="77777777">
        <w:trPr>
          <w:cantSplit/>
        </w:trPr>
        <w:tc>
          <w:tcPr>
            <w:tcW w:w="2494" w:type="dxa"/>
            <w:tcBorders>
              <w:top w:val="single" w:sz="4" w:space="0" w:color="000000"/>
              <w:bottom w:val="single" w:sz="4" w:space="0" w:color="000000"/>
            </w:tcBorders>
          </w:tcPr>
          <w:p w14:paraId="0E7A9EA9" w14:textId="77777777" w:rsidR="00B449D0" w:rsidRDefault="00175344">
            <w:pPr>
              <w:pStyle w:val="MeasureTableHeadingleftalignedwith2ptsspacing"/>
              <w:keepNext/>
            </w:pPr>
            <w:r>
              <w:t>Department of Education</w:t>
            </w:r>
          </w:p>
        </w:tc>
        <w:tc>
          <w:tcPr>
            <w:tcW w:w="1043" w:type="dxa"/>
            <w:tcBorders>
              <w:top w:val="single" w:sz="4" w:space="0" w:color="000000"/>
              <w:bottom w:val="single" w:sz="4" w:space="0" w:color="000000"/>
            </w:tcBorders>
          </w:tcPr>
          <w:p w14:paraId="112575B7" w14:textId="5AA3889B"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6521A96C" w14:textId="30582AF4"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76D7A10" w14:textId="77777777" w:rsidR="00B449D0" w:rsidRDefault="00175344">
            <w:pPr>
              <w:pStyle w:val="MeasureTableDataRightAlignedwith2ptsspacing"/>
              <w:keepNext/>
            </w:pPr>
            <w:r>
              <w:t>105.0</w:t>
            </w:r>
          </w:p>
        </w:tc>
        <w:tc>
          <w:tcPr>
            <w:tcW w:w="1043" w:type="dxa"/>
            <w:tcBorders>
              <w:top w:val="single" w:sz="4" w:space="0" w:color="000000"/>
              <w:bottom w:val="single" w:sz="4" w:space="0" w:color="000000"/>
            </w:tcBorders>
          </w:tcPr>
          <w:p w14:paraId="1DF08BE2" w14:textId="2F9A4F71"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0332F4D" w14:textId="1AD5F1EA" w:rsidR="00B449D0" w:rsidRDefault="00076D78">
            <w:pPr>
              <w:pStyle w:val="MeasureTableDataRightAlignedwith2ptsspacing"/>
              <w:keepNext/>
            </w:pPr>
            <w:r>
              <w:noBreakHyphen/>
            </w:r>
          </w:p>
        </w:tc>
      </w:tr>
    </w:tbl>
    <w:p w14:paraId="405B6C40" w14:textId="77777777" w:rsidR="00B449D0" w:rsidRDefault="00B449D0" w:rsidP="00380A42">
      <w:pPr>
        <w:pStyle w:val="SingleParagraph0"/>
      </w:pPr>
    </w:p>
    <w:p w14:paraId="0E54A1A1" w14:textId="77777777" w:rsidR="00B449D0" w:rsidRDefault="00175344">
      <w:pPr>
        <w:pStyle w:val="Normal2"/>
      </w:pPr>
      <w:r w:rsidRPr="7F762F0D">
        <w:rPr>
          <w:lang w:val="en-US"/>
        </w:rPr>
        <w:t>The Government will provide $105.0 million in 2025–26 to help early childhood education and care services increase their capacity to support inclusion of children with additional needs, through tailored support and funding to services.</w:t>
      </w:r>
    </w:p>
    <w:p w14:paraId="5FC950D0" w14:textId="77777777" w:rsidR="00B449D0" w:rsidRDefault="00175344">
      <w:pPr>
        <w:pStyle w:val="Normal2"/>
      </w:pPr>
      <w:r w:rsidRPr="7F762F0D">
        <w:rPr>
          <w:lang w:val="en-US"/>
        </w:rPr>
        <w:t xml:space="preserve">This measure builds on the 2024–25 Budget measure titled </w:t>
      </w:r>
      <w:r w:rsidRPr="7F762F0D">
        <w:rPr>
          <w:i/>
          <w:iCs/>
          <w:lang w:val="en-US"/>
        </w:rPr>
        <w:t>Inclusion Support Program – additional funding</w:t>
      </w:r>
      <w:r w:rsidRPr="7F762F0D">
        <w:rPr>
          <w:lang w:val="en-US"/>
        </w:rPr>
        <w:t>.</w:t>
      </w:r>
    </w:p>
    <w:p w14:paraId="5F0A6F04" w14:textId="77777777" w:rsidR="00B449D0" w:rsidRDefault="00B449D0">
      <w:pPr>
        <w:sectPr w:rsidR="00B449D0" w:rsidSect="00301E48">
          <w:headerReference w:type="even" r:id="rId72"/>
          <w:headerReference w:type="default" r:id="rId73"/>
          <w:footerReference w:type="even" r:id="rId74"/>
          <w:footerReference w:type="default" r:id="rId75"/>
          <w:headerReference w:type="first" r:id="rId76"/>
          <w:footerReference w:type="first" r:id="rId77"/>
          <w:pgSz w:w="11906" w:h="16838"/>
          <w:pgMar w:top="2835" w:right="2098" w:bottom="2466" w:left="2098" w:header="1814" w:footer="1814" w:gutter="0"/>
          <w:cols w:space="720"/>
          <w:docGrid w:linePitch="272"/>
        </w:sectPr>
      </w:pPr>
    </w:p>
    <w:p w14:paraId="2E51E22B" w14:textId="77777777" w:rsidR="00B449D0" w:rsidRDefault="00175344">
      <w:pPr>
        <w:pStyle w:val="PortfolioName"/>
      </w:pPr>
      <w:r>
        <w:lastRenderedPageBreak/>
        <w:t>Employment and Workplace Relations</w:t>
      </w:r>
    </w:p>
    <w:p w14:paraId="165E4CD0" w14:textId="6E13BC5D" w:rsidR="00B449D0" w:rsidRDefault="00175344">
      <w:pPr>
        <w:pStyle w:val="MeasureTitle"/>
      </w:pPr>
      <w:r>
        <w:t>Building Australia</w:t>
      </w:r>
      <w:r w:rsidR="00076D78">
        <w:t>’</w:t>
      </w:r>
      <w:r>
        <w:t>s Future – Free TAFE</w:t>
      </w:r>
    </w:p>
    <w:p w14:paraId="3AB57C16"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6C3F708E" w14:textId="77777777">
        <w:trPr>
          <w:cantSplit/>
        </w:trPr>
        <w:tc>
          <w:tcPr>
            <w:tcW w:w="2494" w:type="dxa"/>
            <w:tcBorders>
              <w:top w:val="single" w:sz="4" w:space="0" w:color="000000"/>
              <w:bottom w:val="single" w:sz="4" w:space="0" w:color="000000"/>
            </w:tcBorders>
          </w:tcPr>
          <w:p w14:paraId="5F663E7E" w14:textId="77777777" w:rsidR="00B449D0" w:rsidRDefault="00B449D0">
            <w:pPr>
              <w:pStyle w:val="MeasureTableYearHeadings"/>
              <w:keepNext/>
            </w:pPr>
          </w:p>
        </w:tc>
        <w:tc>
          <w:tcPr>
            <w:tcW w:w="1043" w:type="dxa"/>
            <w:tcBorders>
              <w:top w:val="single" w:sz="4" w:space="0" w:color="000000"/>
              <w:bottom w:val="single" w:sz="4" w:space="0" w:color="000000"/>
            </w:tcBorders>
          </w:tcPr>
          <w:p w14:paraId="70785431" w14:textId="65DABAD4"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5342D5A2" w14:textId="590C77DE"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460A8F2D" w14:textId="3EE414F3"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1E239DB2" w14:textId="7903F9CE"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5765822A" w14:textId="34B8D013" w:rsidR="00B449D0" w:rsidRDefault="00175344">
            <w:pPr>
              <w:pStyle w:val="MeasureTableYearHeadings"/>
              <w:keepNext/>
            </w:pPr>
            <w:r>
              <w:t>2027</w:t>
            </w:r>
            <w:r w:rsidR="00076D78">
              <w:noBreakHyphen/>
            </w:r>
            <w:r>
              <w:t>28</w:t>
            </w:r>
          </w:p>
        </w:tc>
      </w:tr>
      <w:tr w:rsidR="00B449D0" w14:paraId="773EF7DA" w14:textId="77777777">
        <w:trPr>
          <w:cantSplit/>
        </w:trPr>
        <w:tc>
          <w:tcPr>
            <w:tcW w:w="2494" w:type="dxa"/>
            <w:tcBorders>
              <w:top w:val="single" w:sz="4" w:space="0" w:color="000000"/>
              <w:bottom w:val="single" w:sz="4" w:space="0" w:color="000000"/>
            </w:tcBorders>
          </w:tcPr>
          <w:p w14:paraId="58CDD59F" w14:textId="77777777" w:rsidR="00B449D0" w:rsidRDefault="00175344">
            <w:pPr>
              <w:pStyle w:val="MeasureTableHeadingleftalignedwith2ptsspacing"/>
              <w:keepNext/>
            </w:pPr>
            <w:r>
              <w:t>Department of the Treasury</w:t>
            </w:r>
          </w:p>
        </w:tc>
        <w:tc>
          <w:tcPr>
            <w:tcW w:w="1043" w:type="dxa"/>
            <w:tcBorders>
              <w:top w:val="single" w:sz="4" w:space="0" w:color="000000"/>
              <w:bottom w:val="single" w:sz="4" w:space="0" w:color="000000"/>
            </w:tcBorders>
          </w:tcPr>
          <w:p w14:paraId="6B890D1A" w14:textId="4C3ED5D3"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3C87E35" w14:textId="3D9400A1"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D9E7020" w14:textId="12485526"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240504C" w14:textId="77777777" w:rsidR="00B449D0" w:rsidRDefault="00175344">
            <w:pPr>
              <w:pStyle w:val="MeasureTableDataRightAlignedwith2ptsspacing"/>
              <w:keepNext/>
            </w:pPr>
            <w:r>
              <w:t>82.7</w:t>
            </w:r>
          </w:p>
        </w:tc>
        <w:tc>
          <w:tcPr>
            <w:tcW w:w="1043" w:type="dxa"/>
            <w:tcBorders>
              <w:top w:val="single" w:sz="4" w:space="0" w:color="000000"/>
              <w:bottom w:val="single" w:sz="4" w:space="0" w:color="000000"/>
            </w:tcBorders>
          </w:tcPr>
          <w:p w14:paraId="785530D3" w14:textId="77777777" w:rsidR="00B449D0" w:rsidRDefault="00175344">
            <w:pPr>
              <w:pStyle w:val="MeasureTableDataRightAlignedwith2ptsspacing"/>
              <w:keepNext/>
            </w:pPr>
            <w:r>
              <w:t>171.1</w:t>
            </w:r>
          </w:p>
        </w:tc>
      </w:tr>
      <w:tr w:rsidR="00B449D0" w14:paraId="71C30D88" w14:textId="77777777">
        <w:trPr>
          <w:cantSplit/>
        </w:trPr>
        <w:tc>
          <w:tcPr>
            <w:tcW w:w="2494" w:type="dxa"/>
            <w:tcBorders>
              <w:top w:val="single" w:sz="4" w:space="0" w:color="000000"/>
              <w:bottom w:val="single" w:sz="4" w:space="0" w:color="000000"/>
            </w:tcBorders>
          </w:tcPr>
          <w:p w14:paraId="45B75803" w14:textId="77777777" w:rsidR="00B449D0" w:rsidRDefault="00175344">
            <w:pPr>
              <w:pStyle w:val="MeasureTableHeadingleftalignedwith2ptsspacing"/>
              <w:keepNext/>
            </w:pPr>
            <w:r>
              <w:t>Department of Employment and Workplace Relations</w:t>
            </w:r>
          </w:p>
        </w:tc>
        <w:tc>
          <w:tcPr>
            <w:tcW w:w="1043" w:type="dxa"/>
            <w:tcBorders>
              <w:top w:val="single" w:sz="4" w:space="0" w:color="000000"/>
              <w:bottom w:val="single" w:sz="4" w:space="0" w:color="000000"/>
            </w:tcBorders>
          </w:tcPr>
          <w:p w14:paraId="25B841A2" w14:textId="572AD705"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8BAB5D3" w14:textId="6DD9E652"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DDE2E8E" w14:textId="6D163D47"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6FACBB53" w14:textId="05F0AD0D"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09B52C4" w14:textId="07BBC4B7" w:rsidR="00B449D0" w:rsidRDefault="00076D78">
            <w:pPr>
              <w:pStyle w:val="MeasureTableDataRightAlignedwith2ptsspacing"/>
              <w:keepNext/>
            </w:pPr>
            <w:r>
              <w:noBreakHyphen/>
            </w:r>
          </w:p>
        </w:tc>
      </w:tr>
      <w:tr w:rsidR="00B449D0" w14:paraId="495789C3" w14:textId="77777777">
        <w:trPr>
          <w:cantSplit/>
        </w:trPr>
        <w:tc>
          <w:tcPr>
            <w:tcW w:w="2494" w:type="dxa"/>
            <w:tcBorders>
              <w:top w:val="single" w:sz="4" w:space="0" w:color="000000"/>
              <w:bottom w:val="single" w:sz="4" w:space="0" w:color="000000"/>
            </w:tcBorders>
          </w:tcPr>
          <w:p w14:paraId="62EAFC8F"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6BE7F85A" w14:textId="58EA8D6B"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3D2F7EF2" w14:textId="6F7338BF"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6225D344" w14:textId="7F357E69"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6026D13C" w14:textId="77777777" w:rsidR="00B449D0" w:rsidRDefault="00175344">
            <w:pPr>
              <w:pStyle w:val="Totaldatarowrightaligned"/>
              <w:keepNext/>
            </w:pPr>
            <w:r>
              <w:t>82.7</w:t>
            </w:r>
          </w:p>
        </w:tc>
        <w:tc>
          <w:tcPr>
            <w:tcW w:w="1043" w:type="dxa"/>
            <w:tcBorders>
              <w:top w:val="single" w:sz="4" w:space="0" w:color="000000"/>
              <w:bottom w:val="single" w:sz="4" w:space="0" w:color="000000"/>
            </w:tcBorders>
          </w:tcPr>
          <w:p w14:paraId="4C35DC76" w14:textId="77777777" w:rsidR="00B449D0" w:rsidRDefault="00175344">
            <w:pPr>
              <w:pStyle w:val="Totaldatarowrightaligned"/>
              <w:keepNext/>
            </w:pPr>
            <w:r>
              <w:t>171.1</w:t>
            </w:r>
          </w:p>
        </w:tc>
      </w:tr>
    </w:tbl>
    <w:p w14:paraId="3E4CD116" w14:textId="77777777" w:rsidR="00B449D0" w:rsidRDefault="00B449D0" w:rsidP="00380A42">
      <w:pPr>
        <w:pStyle w:val="SingleParagraph0"/>
      </w:pPr>
    </w:p>
    <w:p w14:paraId="23FE0B44" w14:textId="789B6F78" w:rsidR="00B449D0" w:rsidRDefault="00175344">
      <w:pPr>
        <w:pStyle w:val="Normal2"/>
      </w:pPr>
      <w:r w:rsidRPr="7F762F0D">
        <w:rPr>
          <w:lang w:val="en-US"/>
        </w:rPr>
        <w:t>The Government will provide $253.7 million over two years from 2026–27 (and an additional $1.4</w:t>
      </w:r>
      <w:r w:rsidR="002A7001">
        <w:rPr>
          <w:lang w:val="en-US"/>
        </w:rPr>
        <w:t> billion</w:t>
      </w:r>
      <w:r w:rsidRPr="7F762F0D">
        <w:rPr>
          <w:lang w:val="en-US"/>
        </w:rPr>
        <w:t xml:space="preserve"> from 2028–29 to 2034–35) to fund 100,000 Free TAFE places per year from 2027. A new Free TAFE Act will establish Free TAFE as an enduring feature of the national vocational education and training system, subject to the passage of legislation.</w:t>
      </w:r>
    </w:p>
    <w:p w14:paraId="6402F41C" w14:textId="77777777" w:rsidR="00B449D0" w:rsidRDefault="00175344">
      <w:pPr>
        <w:pStyle w:val="Normal2"/>
      </w:pPr>
      <w:r>
        <w:t>The Treasury manages Commonwealth payments to the states and territories.</w:t>
      </w:r>
    </w:p>
    <w:p w14:paraId="605BD027" w14:textId="02881155" w:rsidR="00B449D0" w:rsidRDefault="00175344">
      <w:pPr>
        <w:pStyle w:val="Normal2"/>
      </w:pPr>
      <w:r>
        <w:t xml:space="preserve">This measure builds on the 2022–23 October Budget measure titled </w:t>
      </w:r>
      <w:r w:rsidRPr="00175344">
        <w:rPr>
          <w:i/>
        </w:rPr>
        <w:t>Vocational Education</w:t>
      </w:r>
      <w:r w:rsidR="00C74C8B">
        <w:rPr>
          <w:i/>
        </w:rPr>
        <w:t> </w:t>
      </w:r>
      <w:r w:rsidRPr="00175344">
        <w:rPr>
          <w:i/>
        </w:rPr>
        <w:t>–</w:t>
      </w:r>
      <w:r w:rsidR="00C74C8B">
        <w:rPr>
          <w:i/>
        </w:rPr>
        <w:t> </w:t>
      </w:r>
      <w:r w:rsidRPr="00175344">
        <w:rPr>
          <w:i/>
        </w:rPr>
        <w:t>Fee‑Free TAFE and TAFE Technology Fund</w:t>
      </w:r>
      <w:r>
        <w:t>.</w:t>
      </w:r>
    </w:p>
    <w:p w14:paraId="3D4D5D48" w14:textId="77777777" w:rsidR="00B449D0" w:rsidRDefault="00175344">
      <w:pPr>
        <w:pStyle w:val="MeasureTitle"/>
      </w:pPr>
      <w:r w:rsidRPr="7F762F0D">
        <w:rPr>
          <w:lang w:val="en-US"/>
        </w:rPr>
        <w:t>Employment and Workplace Relations – reprioritisation</w:t>
      </w:r>
    </w:p>
    <w:p w14:paraId="5C006953"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001BB619" w14:textId="77777777">
        <w:trPr>
          <w:cantSplit/>
        </w:trPr>
        <w:tc>
          <w:tcPr>
            <w:tcW w:w="2494" w:type="dxa"/>
            <w:tcBorders>
              <w:top w:val="single" w:sz="4" w:space="0" w:color="000000"/>
              <w:bottom w:val="single" w:sz="4" w:space="0" w:color="000000"/>
            </w:tcBorders>
          </w:tcPr>
          <w:p w14:paraId="16D56AA6" w14:textId="77777777" w:rsidR="00B449D0" w:rsidRDefault="00B449D0">
            <w:pPr>
              <w:pStyle w:val="MeasureTableYearHeadings"/>
              <w:keepNext/>
            </w:pPr>
          </w:p>
        </w:tc>
        <w:tc>
          <w:tcPr>
            <w:tcW w:w="1043" w:type="dxa"/>
            <w:tcBorders>
              <w:top w:val="single" w:sz="4" w:space="0" w:color="000000"/>
              <w:bottom w:val="single" w:sz="4" w:space="0" w:color="000000"/>
            </w:tcBorders>
          </w:tcPr>
          <w:p w14:paraId="14691F73" w14:textId="1A3EB915"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1FE83AA6" w14:textId="3E2CED54"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2B1EAACD" w14:textId="0AF1E5D1"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528B52AA" w14:textId="0E65419B"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45EF1594" w14:textId="5CC2F195" w:rsidR="00B449D0" w:rsidRDefault="00175344">
            <w:pPr>
              <w:pStyle w:val="MeasureTableYearHeadings"/>
              <w:keepNext/>
            </w:pPr>
            <w:r>
              <w:t>2027</w:t>
            </w:r>
            <w:r w:rsidR="00076D78">
              <w:noBreakHyphen/>
            </w:r>
            <w:r>
              <w:t>28</w:t>
            </w:r>
          </w:p>
        </w:tc>
      </w:tr>
      <w:tr w:rsidR="00B449D0" w14:paraId="33AD3DE4" w14:textId="77777777">
        <w:trPr>
          <w:cantSplit/>
        </w:trPr>
        <w:tc>
          <w:tcPr>
            <w:tcW w:w="2494" w:type="dxa"/>
            <w:tcBorders>
              <w:top w:val="single" w:sz="4" w:space="0" w:color="000000"/>
              <w:bottom w:val="single" w:sz="4" w:space="0" w:color="000000"/>
            </w:tcBorders>
          </w:tcPr>
          <w:p w14:paraId="42257CB4" w14:textId="77777777" w:rsidR="00B449D0" w:rsidRDefault="00175344">
            <w:pPr>
              <w:pStyle w:val="MeasureTableHeadingleftalignedwith2ptsspacing"/>
              <w:keepNext/>
            </w:pPr>
            <w:r>
              <w:t>Department of Employment and Workplace Relations</w:t>
            </w:r>
          </w:p>
        </w:tc>
        <w:tc>
          <w:tcPr>
            <w:tcW w:w="1043" w:type="dxa"/>
            <w:tcBorders>
              <w:top w:val="single" w:sz="4" w:space="0" w:color="000000"/>
              <w:bottom w:val="single" w:sz="4" w:space="0" w:color="000000"/>
            </w:tcBorders>
          </w:tcPr>
          <w:p w14:paraId="332DD1E5" w14:textId="42722D6F"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FDA1182" w14:textId="5FD2F522" w:rsidR="00B449D0" w:rsidRDefault="00076D78">
            <w:pPr>
              <w:pStyle w:val="MeasureTableDataRightAlignedwith2ptsspacing"/>
              <w:keepNext/>
            </w:pPr>
            <w:r>
              <w:noBreakHyphen/>
            </w:r>
            <w:r w:rsidR="00175344">
              <w:t>21.7</w:t>
            </w:r>
          </w:p>
        </w:tc>
        <w:tc>
          <w:tcPr>
            <w:tcW w:w="1043" w:type="dxa"/>
            <w:tcBorders>
              <w:top w:val="single" w:sz="4" w:space="0" w:color="000000"/>
              <w:bottom w:val="single" w:sz="4" w:space="0" w:color="000000"/>
            </w:tcBorders>
          </w:tcPr>
          <w:p w14:paraId="6BDEA7D4" w14:textId="64F68335" w:rsidR="00B449D0" w:rsidRDefault="00076D78">
            <w:pPr>
              <w:pStyle w:val="MeasureTableDataRightAlignedwith2ptsspacing"/>
              <w:keepNext/>
            </w:pPr>
            <w:r>
              <w:noBreakHyphen/>
            </w:r>
            <w:r w:rsidR="00175344">
              <w:t>20.0</w:t>
            </w:r>
          </w:p>
        </w:tc>
        <w:tc>
          <w:tcPr>
            <w:tcW w:w="1043" w:type="dxa"/>
            <w:tcBorders>
              <w:top w:val="single" w:sz="4" w:space="0" w:color="000000"/>
              <w:bottom w:val="single" w:sz="4" w:space="0" w:color="000000"/>
            </w:tcBorders>
          </w:tcPr>
          <w:p w14:paraId="57D956BE" w14:textId="0B42EA87" w:rsidR="00B449D0" w:rsidRDefault="00076D78">
            <w:pPr>
              <w:pStyle w:val="MeasureTableDataRightAlignedwith2ptsspacing"/>
              <w:keepNext/>
            </w:pPr>
            <w:r>
              <w:noBreakHyphen/>
            </w:r>
            <w:r w:rsidR="00175344">
              <w:t>3.0</w:t>
            </w:r>
          </w:p>
        </w:tc>
        <w:tc>
          <w:tcPr>
            <w:tcW w:w="1043" w:type="dxa"/>
            <w:tcBorders>
              <w:top w:val="single" w:sz="4" w:space="0" w:color="000000"/>
              <w:bottom w:val="single" w:sz="4" w:space="0" w:color="000000"/>
            </w:tcBorders>
          </w:tcPr>
          <w:p w14:paraId="47E19210" w14:textId="309C8EA0" w:rsidR="00B449D0" w:rsidRDefault="00076D78">
            <w:pPr>
              <w:pStyle w:val="MeasureTableDataRightAlignedwith2ptsspacing"/>
              <w:keepNext/>
            </w:pPr>
            <w:r>
              <w:noBreakHyphen/>
            </w:r>
            <w:r w:rsidR="00175344">
              <w:t>14.9</w:t>
            </w:r>
          </w:p>
        </w:tc>
      </w:tr>
    </w:tbl>
    <w:p w14:paraId="182C11A6" w14:textId="77777777" w:rsidR="00B449D0" w:rsidRDefault="00B449D0" w:rsidP="00380A42">
      <w:pPr>
        <w:pStyle w:val="SingleParagraph0"/>
      </w:pPr>
    </w:p>
    <w:p w14:paraId="6DADBB29" w14:textId="77777777" w:rsidR="00B449D0" w:rsidRDefault="00175344">
      <w:pPr>
        <w:pStyle w:val="Normal2"/>
      </w:pPr>
      <w:r w:rsidRPr="7F762F0D">
        <w:rPr>
          <w:lang w:val="en-US"/>
        </w:rPr>
        <w:t>The Government will achieve savings of $67.9 million over four years from 2024–25 (and an additional $7.0 million from 2028–29 to 2034–35) within the Department of Employment and Workplace Relations. Savings include:</w:t>
      </w:r>
    </w:p>
    <w:p w14:paraId="3CF1F407" w14:textId="77777777" w:rsidR="00B449D0" w:rsidRDefault="00175344">
      <w:pPr>
        <w:pStyle w:val="Bullet"/>
      </w:pPr>
      <w:r>
        <w:t>$33.1 million over two years from 2024–25 by temporarily pausing new credits to the Workforce Australia – Employment Fund for each new participant to Workforce Australia Online for 12 months until 31 December 2025</w:t>
      </w:r>
    </w:p>
    <w:p w14:paraId="292B8C2F" w14:textId="77777777" w:rsidR="00B449D0" w:rsidRDefault="00175344">
      <w:pPr>
        <w:pStyle w:val="Bullet"/>
      </w:pPr>
      <w:r>
        <w:t>$22.7 million over four years from 2024–25 (and an additional $7.0 million from 2028–29 to 2034–35) by reducing and ceasing underutilised programs across the Skills and Training portfolio</w:t>
      </w:r>
    </w:p>
    <w:p w14:paraId="06ADA02C" w14:textId="77777777" w:rsidR="00B449D0" w:rsidRDefault="00175344">
      <w:pPr>
        <w:pStyle w:val="Bullet"/>
      </w:pPr>
      <w:r>
        <w:t xml:space="preserve">$8.3 million over three years from 2024–25 by reducing the length of the </w:t>
      </w:r>
      <w:r w:rsidRPr="00175344">
        <w:rPr>
          <w:i/>
        </w:rPr>
        <w:t>New Energy Apprenticeships Mentoring</w:t>
      </w:r>
      <w:r>
        <w:t xml:space="preserve"> program</w:t>
      </w:r>
    </w:p>
    <w:p w14:paraId="4DE67B32" w14:textId="77777777" w:rsidR="00B449D0" w:rsidRDefault="00175344">
      <w:pPr>
        <w:pStyle w:val="Bullet"/>
      </w:pPr>
      <w:r>
        <w:t xml:space="preserve">$2.3 million in 2024–25 by reducing funding from the 2023–24 MYEFO measure titled </w:t>
      </w:r>
      <w:r w:rsidRPr="00175344">
        <w:rPr>
          <w:i/>
        </w:rPr>
        <w:t>Prohibition on the Use of Engineered Stone – communications strategy</w:t>
      </w:r>
    </w:p>
    <w:p w14:paraId="1E110462" w14:textId="5E7033A1" w:rsidR="00B449D0" w:rsidRDefault="00175344">
      <w:pPr>
        <w:pStyle w:val="Bullet"/>
      </w:pPr>
      <w:r>
        <w:t xml:space="preserve">$1.5 million over three years from 2024–25 by reducing funding from the </w:t>
      </w:r>
      <w:r w:rsidRPr="00175344">
        <w:rPr>
          <w:i/>
        </w:rPr>
        <w:t>WorkFoundations</w:t>
      </w:r>
      <w:r>
        <w:t xml:space="preserve"> program under the 2024–25 Budget measure titled </w:t>
      </w:r>
      <w:r w:rsidRPr="00175344">
        <w:rPr>
          <w:i/>
        </w:rPr>
        <w:t>Employment Services</w:t>
      </w:r>
      <w:r w:rsidR="000B19E9">
        <w:rPr>
          <w:i/>
        </w:rPr>
        <w:t> </w:t>
      </w:r>
      <w:r w:rsidRPr="00175344">
        <w:rPr>
          <w:i/>
        </w:rPr>
        <w:t>Reform.</w:t>
      </w:r>
    </w:p>
    <w:p w14:paraId="0DE1E791" w14:textId="77777777" w:rsidR="00B449D0" w:rsidRDefault="00175344">
      <w:pPr>
        <w:pStyle w:val="Normal2"/>
      </w:pPr>
      <w:r>
        <w:lastRenderedPageBreak/>
        <w:t>Partial savings in this measure have already been provided for by the Government.</w:t>
      </w:r>
    </w:p>
    <w:p w14:paraId="2E7D4F7D" w14:textId="77777777" w:rsidR="00B449D0" w:rsidRDefault="00175344">
      <w:pPr>
        <w:pStyle w:val="Normal2"/>
      </w:pPr>
      <w:r>
        <w:t>The savings from this measure will be redirected to other Government policy priorities in the Employment and Workplace Relations portfolio.</w:t>
      </w:r>
    </w:p>
    <w:p w14:paraId="185F2F87" w14:textId="77777777" w:rsidR="00B449D0" w:rsidRDefault="00175344">
      <w:pPr>
        <w:pStyle w:val="MeasureTitle"/>
      </w:pPr>
      <w:r w:rsidRPr="7F762F0D">
        <w:rPr>
          <w:lang w:val="en-US"/>
        </w:rPr>
        <w:t>Employment Services Reform – additional supports</w:t>
      </w:r>
    </w:p>
    <w:p w14:paraId="16AEFB9A"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1D6FDB44" w14:textId="77777777">
        <w:trPr>
          <w:cantSplit/>
        </w:trPr>
        <w:tc>
          <w:tcPr>
            <w:tcW w:w="2494" w:type="dxa"/>
            <w:tcBorders>
              <w:top w:val="single" w:sz="4" w:space="0" w:color="000000"/>
              <w:bottom w:val="single" w:sz="4" w:space="0" w:color="000000"/>
            </w:tcBorders>
          </w:tcPr>
          <w:p w14:paraId="51F70734" w14:textId="77777777" w:rsidR="00B449D0" w:rsidRDefault="00B449D0">
            <w:pPr>
              <w:pStyle w:val="MeasureTableYearHeadings"/>
              <w:keepNext/>
            </w:pPr>
          </w:p>
        </w:tc>
        <w:tc>
          <w:tcPr>
            <w:tcW w:w="1043" w:type="dxa"/>
            <w:tcBorders>
              <w:top w:val="single" w:sz="4" w:space="0" w:color="000000"/>
              <w:bottom w:val="single" w:sz="4" w:space="0" w:color="000000"/>
            </w:tcBorders>
          </w:tcPr>
          <w:p w14:paraId="0CDC41F1" w14:textId="1C78AA84"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78DA6B2D" w14:textId="0E20C580"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6E4E9920" w14:textId="764747C1"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58556386" w14:textId="2927CB50"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5ED7F21B" w14:textId="492AAFAF" w:rsidR="00B449D0" w:rsidRDefault="00175344">
            <w:pPr>
              <w:pStyle w:val="MeasureTableYearHeadings"/>
              <w:keepNext/>
            </w:pPr>
            <w:r>
              <w:t>2027</w:t>
            </w:r>
            <w:r w:rsidR="00076D78">
              <w:noBreakHyphen/>
            </w:r>
            <w:r>
              <w:t>28</w:t>
            </w:r>
          </w:p>
        </w:tc>
      </w:tr>
      <w:tr w:rsidR="00B449D0" w14:paraId="23FA81B2" w14:textId="77777777">
        <w:trPr>
          <w:cantSplit/>
        </w:trPr>
        <w:tc>
          <w:tcPr>
            <w:tcW w:w="2494" w:type="dxa"/>
            <w:tcBorders>
              <w:top w:val="single" w:sz="4" w:space="0" w:color="000000"/>
              <w:bottom w:val="single" w:sz="4" w:space="0" w:color="000000"/>
            </w:tcBorders>
          </w:tcPr>
          <w:p w14:paraId="673B70EE" w14:textId="77777777" w:rsidR="00B449D0" w:rsidRDefault="00175344">
            <w:pPr>
              <w:pStyle w:val="MeasureTableHeadingleftalignedwith2ptsspacing"/>
              <w:keepNext/>
            </w:pPr>
            <w:r>
              <w:t>Services Australia</w:t>
            </w:r>
          </w:p>
        </w:tc>
        <w:tc>
          <w:tcPr>
            <w:tcW w:w="1043" w:type="dxa"/>
            <w:tcBorders>
              <w:top w:val="single" w:sz="4" w:space="0" w:color="000000"/>
              <w:bottom w:val="single" w:sz="4" w:space="0" w:color="000000"/>
            </w:tcBorders>
          </w:tcPr>
          <w:p w14:paraId="6E684143" w14:textId="4D35B267"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09C8946" w14:textId="77777777" w:rsidR="00B449D0" w:rsidRDefault="00175344">
            <w:pPr>
              <w:pStyle w:val="MeasureTableDataRightAlignedwith2ptsspacing"/>
              <w:keepNext/>
            </w:pPr>
            <w:r>
              <w:t>0.5</w:t>
            </w:r>
          </w:p>
        </w:tc>
        <w:tc>
          <w:tcPr>
            <w:tcW w:w="1043" w:type="dxa"/>
            <w:tcBorders>
              <w:top w:val="single" w:sz="4" w:space="0" w:color="000000"/>
              <w:bottom w:val="single" w:sz="4" w:space="0" w:color="000000"/>
            </w:tcBorders>
          </w:tcPr>
          <w:p w14:paraId="004B057F" w14:textId="38198469"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91E7C0D" w14:textId="0DEDBFBA"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189F14B" w14:textId="761AF2B7" w:rsidR="00B449D0" w:rsidRDefault="00076D78">
            <w:pPr>
              <w:pStyle w:val="MeasureTableDataRightAlignedwith2ptsspacing"/>
              <w:keepNext/>
            </w:pPr>
            <w:r>
              <w:noBreakHyphen/>
            </w:r>
          </w:p>
        </w:tc>
      </w:tr>
      <w:tr w:rsidR="00B449D0" w14:paraId="080813F7" w14:textId="77777777">
        <w:trPr>
          <w:cantSplit/>
        </w:trPr>
        <w:tc>
          <w:tcPr>
            <w:tcW w:w="2494" w:type="dxa"/>
            <w:tcBorders>
              <w:top w:val="single" w:sz="4" w:space="0" w:color="000000"/>
              <w:bottom w:val="single" w:sz="4" w:space="0" w:color="000000"/>
            </w:tcBorders>
          </w:tcPr>
          <w:p w14:paraId="5C4E4D06" w14:textId="77777777" w:rsidR="00B449D0" w:rsidRDefault="00175344">
            <w:pPr>
              <w:pStyle w:val="MeasureTableHeadingleftalignedwith2ptsspacing"/>
              <w:keepNext/>
            </w:pPr>
            <w:r>
              <w:t>Department of Infrastructure, Transport, Regional Development, Communications and the Arts</w:t>
            </w:r>
          </w:p>
        </w:tc>
        <w:tc>
          <w:tcPr>
            <w:tcW w:w="1043" w:type="dxa"/>
            <w:tcBorders>
              <w:top w:val="single" w:sz="4" w:space="0" w:color="000000"/>
              <w:bottom w:val="single" w:sz="4" w:space="0" w:color="000000"/>
            </w:tcBorders>
          </w:tcPr>
          <w:p w14:paraId="42EDCFD6" w14:textId="282BB840"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84B0F12" w14:textId="601A80AD"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28E0693" w14:textId="77777777" w:rsidR="00B449D0" w:rsidRDefault="00175344">
            <w:pPr>
              <w:pStyle w:val="MeasureTableDataRightAlignedwith2ptsspacing"/>
              <w:keepNext/>
            </w:pPr>
            <w:r>
              <w:t>0.3</w:t>
            </w:r>
          </w:p>
        </w:tc>
        <w:tc>
          <w:tcPr>
            <w:tcW w:w="1043" w:type="dxa"/>
            <w:tcBorders>
              <w:top w:val="single" w:sz="4" w:space="0" w:color="000000"/>
              <w:bottom w:val="single" w:sz="4" w:space="0" w:color="000000"/>
            </w:tcBorders>
          </w:tcPr>
          <w:p w14:paraId="0D9EF180" w14:textId="77777777" w:rsidR="00B449D0" w:rsidRDefault="00175344">
            <w:pPr>
              <w:pStyle w:val="MeasureTableDataRightAlignedwith2ptsspacing"/>
              <w:keepNext/>
            </w:pPr>
            <w:r>
              <w:t>0.3</w:t>
            </w:r>
          </w:p>
        </w:tc>
        <w:tc>
          <w:tcPr>
            <w:tcW w:w="1043" w:type="dxa"/>
            <w:tcBorders>
              <w:top w:val="single" w:sz="4" w:space="0" w:color="000000"/>
              <w:bottom w:val="single" w:sz="4" w:space="0" w:color="000000"/>
            </w:tcBorders>
          </w:tcPr>
          <w:p w14:paraId="25A3628A" w14:textId="77777777" w:rsidR="00B449D0" w:rsidRDefault="00175344">
            <w:pPr>
              <w:pStyle w:val="MeasureTableDataRightAlignedwith2ptsspacing"/>
              <w:keepNext/>
            </w:pPr>
            <w:r>
              <w:t>0.3</w:t>
            </w:r>
          </w:p>
        </w:tc>
      </w:tr>
      <w:tr w:rsidR="00B449D0" w14:paraId="0E237D37" w14:textId="77777777">
        <w:trPr>
          <w:cantSplit/>
        </w:trPr>
        <w:tc>
          <w:tcPr>
            <w:tcW w:w="2494" w:type="dxa"/>
            <w:tcBorders>
              <w:top w:val="single" w:sz="4" w:space="0" w:color="000000"/>
              <w:bottom w:val="single" w:sz="4" w:space="0" w:color="000000"/>
            </w:tcBorders>
          </w:tcPr>
          <w:p w14:paraId="38F29750" w14:textId="77777777" w:rsidR="00B449D0" w:rsidRDefault="00175344">
            <w:pPr>
              <w:pStyle w:val="MeasureTableHeadingleftalignedwith2ptsspacing"/>
              <w:keepNext/>
            </w:pPr>
            <w:r>
              <w:t>Department of Social Services</w:t>
            </w:r>
          </w:p>
        </w:tc>
        <w:tc>
          <w:tcPr>
            <w:tcW w:w="1043" w:type="dxa"/>
            <w:tcBorders>
              <w:top w:val="single" w:sz="4" w:space="0" w:color="000000"/>
              <w:bottom w:val="single" w:sz="4" w:space="0" w:color="000000"/>
            </w:tcBorders>
          </w:tcPr>
          <w:p w14:paraId="4DA3B4D3" w14:textId="40990C78"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C5CD78C" w14:textId="337F3ACA"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0C5E7FB" w14:textId="77777777" w:rsidR="00B449D0" w:rsidRDefault="00175344">
            <w:pPr>
              <w:pStyle w:val="MeasureTableDataRightAlignedwith2ptsspacing"/>
              <w:keepNext/>
            </w:pPr>
            <w:r>
              <w:t>..</w:t>
            </w:r>
          </w:p>
        </w:tc>
        <w:tc>
          <w:tcPr>
            <w:tcW w:w="1043" w:type="dxa"/>
            <w:tcBorders>
              <w:top w:val="single" w:sz="4" w:space="0" w:color="000000"/>
              <w:bottom w:val="single" w:sz="4" w:space="0" w:color="000000"/>
            </w:tcBorders>
          </w:tcPr>
          <w:p w14:paraId="33616505" w14:textId="77777777" w:rsidR="00B449D0" w:rsidRDefault="00175344">
            <w:pPr>
              <w:pStyle w:val="MeasureTableDataRightAlignedwith2ptsspacing"/>
              <w:keepNext/>
            </w:pPr>
            <w:r>
              <w:t>..</w:t>
            </w:r>
          </w:p>
        </w:tc>
        <w:tc>
          <w:tcPr>
            <w:tcW w:w="1043" w:type="dxa"/>
            <w:tcBorders>
              <w:top w:val="single" w:sz="4" w:space="0" w:color="000000"/>
              <w:bottom w:val="single" w:sz="4" w:space="0" w:color="000000"/>
            </w:tcBorders>
          </w:tcPr>
          <w:p w14:paraId="3A6D4CAE" w14:textId="77777777" w:rsidR="00B449D0" w:rsidRDefault="00175344">
            <w:pPr>
              <w:pStyle w:val="MeasureTableDataRightAlignedwith2ptsspacing"/>
              <w:keepNext/>
            </w:pPr>
            <w:r>
              <w:t>..</w:t>
            </w:r>
          </w:p>
        </w:tc>
      </w:tr>
      <w:tr w:rsidR="00B449D0" w14:paraId="367CE2DF" w14:textId="77777777">
        <w:trPr>
          <w:cantSplit/>
        </w:trPr>
        <w:tc>
          <w:tcPr>
            <w:tcW w:w="2494" w:type="dxa"/>
            <w:tcBorders>
              <w:top w:val="single" w:sz="4" w:space="0" w:color="000000"/>
              <w:bottom w:val="single" w:sz="4" w:space="0" w:color="000000"/>
            </w:tcBorders>
          </w:tcPr>
          <w:p w14:paraId="02875DD5" w14:textId="77777777" w:rsidR="00B449D0" w:rsidRDefault="00175344">
            <w:pPr>
              <w:pStyle w:val="MeasureTableHeadingleftalignedwith2ptsspacing"/>
              <w:keepNext/>
            </w:pPr>
            <w:r>
              <w:t>Department of Employment and Workplace Relations</w:t>
            </w:r>
          </w:p>
        </w:tc>
        <w:tc>
          <w:tcPr>
            <w:tcW w:w="1043" w:type="dxa"/>
            <w:tcBorders>
              <w:top w:val="single" w:sz="4" w:space="0" w:color="000000"/>
              <w:bottom w:val="single" w:sz="4" w:space="0" w:color="000000"/>
            </w:tcBorders>
          </w:tcPr>
          <w:p w14:paraId="1E27665C" w14:textId="0218F481"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688E90D1" w14:textId="55F5C847" w:rsidR="00B449D0" w:rsidRDefault="00076D78">
            <w:pPr>
              <w:pStyle w:val="MeasureTableDataRightAlignedwith2ptsspacing"/>
              <w:keepNext/>
            </w:pPr>
            <w:r>
              <w:noBreakHyphen/>
            </w:r>
            <w:r w:rsidR="00175344">
              <w:t>5.3</w:t>
            </w:r>
          </w:p>
        </w:tc>
        <w:tc>
          <w:tcPr>
            <w:tcW w:w="1043" w:type="dxa"/>
            <w:tcBorders>
              <w:top w:val="single" w:sz="4" w:space="0" w:color="000000"/>
              <w:bottom w:val="single" w:sz="4" w:space="0" w:color="000000"/>
            </w:tcBorders>
          </w:tcPr>
          <w:p w14:paraId="40569803" w14:textId="77777777" w:rsidR="00B449D0" w:rsidRDefault="00175344">
            <w:pPr>
              <w:pStyle w:val="MeasureTableDataRightAlignedwith2ptsspacing"/>
              <w:keepNext/>
            </w:pPr>
            <w:r>
              <w:t>38.5</w:t>
            </w:r>
          </w:p>
        </w:tc>
        <w:tc>
          <w:tcPr>
            <w:tcW w:w="1043" w:type="dxa"/>
            <w:tcBorders>
              <w:top w:val="single" w:sz="4" w:space="0" w:color="000000"/>
              <w:bottom w:val="single" w:sz="4" w:space="0" w:color="000000"/>
            </w:tcBorders>
          </w:tcPr>
          <w:p w14:paraId="55128F1E" w14:textId="77777777" w:rsidR="00B449D0" w:rsidRDefault="00175344">
            <w:pPr>
              <w:pStyle w:val="MeasureTableDataRightAlignedwith2ptsspacing"/>
              <w:keepNext/>
            </w:pPr>
            <w:r>
              <w:t>33.3</w:t>
            </w:r>
          </w:p>
        </w:tc>
        <w:tc>
          <w:tcPr>
            <w:tcW w:w="1043" w:type="dxa"/>
            <w:tcBorders>
              <w:top w:val="single" w:sz="4" w:space="0" w:color="000000"/>
              <w:bottom w:val="single" w:sz="4" w:space="0" w:color="000000"/>
            </w:tcBorders>
          </w:tcPr>
          <w:p w14:paraId="44095E8B" w14:textId="1A98611F" w:rsidR="00B449D0" w:rsidRDefault="00076D78">
            <w:pPr>
              <w:pStyle w:val="MeasureTableDataRightAlignedwith2ptsspacing"/>
              <w:keepNext/>
            </w:pPr>
            <w:r>
              <w:noBreakHyphen/>
            </w:r>
            <w:r w:rsidR="00175344">
              <w:t>0.2</w:t>
            </w:r>
          </w:p>
        </w:tc>
      </w:tr>
      <w:tr w:rsidR="00B449D0" w14:paraId="22C8BF28" w14:textId="77777777">
        <w:trPr>
          <w:cantSplit/>
        </w:trPr>
        <w:tc>
          <w:tcPr>
            <w:tcW w:w="2494" w:type="dxa"/>
            <w:tcBorders>
              <w:top w:val="single" w:sz="4" w:space="0" w:color="000000"/>
              <w:bottom w:val="single" w:sz="4" w:space="0" w:color="000000"/>
            </w:tcBorders>
          </w:tcPr>
          <w:p w14:paraId="70185FD2"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7221012F" w14:textId="43CFE4F2"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773758B0" w14:textId="19F1C0E7" w:rsidR="00B449D0" w:rsidRDefault="00076D78">
            <w:pPr>
              <w:pStyle w:val="Totaldatarowrightaligned"/>
              <w:keepNext/>
            </w:pPr>
            <w:r>
              <w:noBreakHyphen/>
            </w:r>
            <w:r w:rsidR="00175344">
              <w:t>4.7</w:t>
            </w:r>
          </w:p>
        </w:tc>
        <w:tc>
          <w:tcPr>
            <w:tcW w:w="1043" w:type="dxa"/>
            <w:tcBorders>
              <w:top w:val="single" w:sz="4" w:space="0" w:color="000000"/>
              <w:bottom w:val="single" w:sz="4" w:space="0" w:color="000000"/>
            </w:tcBorders>
          </w:tcPr>
          <w:p w14:paraId="21525871" w14:textId="77777777" w:rsidR="00B449D0" w:rsidRDefault="00175344">
            <w:pPr>
              <w:pStyle w:val="Totaldatarowrightaligned"/>
              <w:keepNext/>
            </w:pPr>
            <w:r>
              <w:t>38.8</w:t>
            </w:r>
          </w:p>
        </w:tc>
        <w:tc>
          <w:tcPr>
            <w:tcW w:w="1043" w:type="dxa"/>
            <w:tcBorders>
              <w:top w:val="single" w:sz="4" w:space="0" w:color="000000"/>
              <w:bottom w:val="single" w:sz="4" w:space="0" w:color="000000"/>
            </w:tcBorders>
          </w:tcPr>
          <w:p w14:paraId="6F17AE4E" w14:textId="77777777" w:rsidR="00B449D0" w:rsidRDefault="00175344">
            <w:pPr>
              <w:pStyle w:val="Totaldatarowrightaligned"/>
              <w:keepNext/>
            </w:pPr>
            <w:r>
              <w:t>33.6</w:t>
            </w:r>
          </w:p>
        </w:tc>
        <w:tc>
          <w:tcPr>
            <w:tcW w:w="1043" w:type="dxa"/>
            <w:tcBorders>
              <w:top w:val="single" w:sz="4" w:space="0" w:color="000000"/>
              <w:bottom w:val="single" w:sz="4" w:space="0" w:color="000000"/>
            </w:tcBorders>
          </w:tcPr>
          <w:p w14:paraId="7A86DC92" w14:textId="77777777" w:rsidR="00B449D0" w:rsidRDefault="00175344">
            <w:pPr>
              <w:pStyle w:val="Totaldatarowrightaligned"/>
              <w:keepNext/>
            </w:pPr>
            <w:r>
              <w:t>0.1</w:t>
            </w:r>
          </w:p>
        </w:tc>
      </w:tr>
    </w:tbl>
    <w:p w14:paraId="0A5A2D96" w14:textId="77777777" w:rsidR="00B449D0" w:rsidRDefault="00B449D0" w:rsidP="00380A42">
      <w:pPr>
        <w:pStyle w:val="SingleParagraph0"/>
      </w:pPr>
    </w:p>
    <w:p w14:paraId="409394FB" w14:textId="736C3A78" w:rsidR="00B449D0" w:rsidRDefault="00175344">
      <w:pPr>
        <w:pStyle w:val="Normal2"/>
      </w:pPr>
      <w:r>
        <w:t>The Government will provide $67.6 million over four years from 2024</w:t>
      </w:r>
      <w:r w:rsidR="00F160B5">
        <w:t>–</w:t>
      </w:r>
      <w:r>
        <w:t>25 (and $0.1 million per year ongoing) to support employment services reform through delivery of place‑based employment services and strengthened integrity of service delivery processes. Funding includes:</w:t>
      </w:r>
    </w:p>
    <w:p w14:paraId="78C73194" w14:textId="4016C160" w:rsidR="00B449D0" w:rsidRDefault="00175344">
      <w:pPr>
        <w:pStyle w:val="Bullet"/>
      </w:pPr>
      <w:r>
        <w:t>$62.6 million over three years from 2024</w:t>
      </w:r>
      <w:r w:rsidR="00B668DF">
        <w:t>–</w:t>
      </w:r>
      <w:r>
        <w:t xml:space="preserve">25 to extend the </w:t>
      </w:r>
      <w:r w:rsidRPr="00175344">
        <w:rPr>
          <w:i/>
        </w:rPr>
        <w:t xml:space="preserve">Local Jobs </w:t>
      </w:r>
      <w:r>
        <w:t>program for two years to 30 June 2027 to connect local employers, job seekers and communities in 51</w:t>
      </w:r>
      <w:r w:rsidR="00EC3D52">
        <w:t> </w:t>
      </w:r>
      <w:r>
        <w:t>employment regions</w:t>
      </w:r>
    </w:p>
    <w:p w14:paraId="0CC5F726" w14:textId="6F542890" w:rsidR="00B449D0" w:rsidRDefault="00175344">
      <w:pPr>
        <w:pStyle w:val="Bullet"/>
      </w:pPr>
      <w:r>
        <w:t>$4.9 million over two years from 2024</w:t>
      </w:r>
      <w:r w:rsidR="00B668DF">
        <w:t>–</w:t>
      </w:r>
      <w:r>
        <w:t>25 to better ensure the integrity of processes supporting mutual obligation requirements</w:t>
      </w:r>
    </w:p>
    <w:p w14:paraId="21A7345D" w14:textId="2E7855B9" w:rsidR="00B449D0" w:rsidRDefault="00175344">
      <w:pPr>
        <w:pStyle w:val="Bullet"/>
      </w:pPr>
      <w:r>
        <w:t>$0.2 million over three years from 2025</w:t>
      </w:r>
      <w:r w:rsidR="00B668DF">
        <w:t>–</w:t>
      </w:r>
      <w:r>
        <w:t>26 (and $0.1 million per year ongoing) to deliver a consolidated, place‑based employment program on Norfolk Island from 1 July 2025.</w:t>
      </w:r>
    </w:p>
    <w:p w14:paraId="2690992C" w14:textId="77777777" w:rsidR="00B449D0" w:rsidRDefault="00175344">
      <w:pPr>
        <w:pStyle w:val="Normal2"/>
      </w:pPr>
      <w:r w:rsidRPr="7F762F0D">
        <w:rPr>
          <w:lang w:val="en-US"/>
        </w:rPr>
        <w:t>The cost of this measure will be partially met from savings identified in the Employment and Workplace Relations portfolio.</w:t>
      </w:r>
    </w:p>
    <w:p w14:paraId="1450E81B" w14:textId="77777777" w:rsidR="00B449D0" w:rsidRDefault="00175344">
      <w:pPr>
        <w:pStyle w:val="Normal2"/>
      </w:pPr>
      <w:r>
        <w:t xml:space="preserve">This measure builds on the 2023–24 MYEFO measure titled </w:t>
      </w:r>
      <w:r w:rsidRPr="00175344">
        <w:rPr>
          <w:i/>
        </w:rPr>
        <w:t>Employment White Paper</w:t>
      </w:r>
      <w:r>
        <w:t>.</w:t>
      </w:r>
    </w:p>
    <w:p w14:paraId="7EE51358" w14:textId="680EB22D" w:rsidR="00B449D0" w:rsidRDefault="00175344">
      <w:pPr>
        <w:pStyle w:val="Normal2"/>
      </w:pPr>
      <w:r w:rsidRPr="7F762F0D">
        <w:rPr>
          <w:lang w:val="en-US"/>
        </w:rPr>
        <w:t>The Government will transfer funding of $0.7 million over three years from 2025</w:t>
      </w:r>
      <w:r w:rsidR="00B668DF">
        <w:t>–</w:t>
      </w:r>
      <w:r w:rsidRPr="7F762F0D">
        <w:rPr>
          <w:lang w:val="en-US"/>
        </w:rPr>
        <w:t>26 (and $0.2 million per year ongoing) from the Department of Employment and Workplace Relations and the Department of Social Services to the Department of Infrastructure, Transport, Regional Development, Communications and the Arts, for Norfolk Island employment servicing arrangements.</w:t>
      </w:r>
    </w:p>
    <w:p w14:paraId="3524185F" w14:textId="77777777" w:rsidR="00B449D0" w:rsidRDefault="00175344">
      <w:pPr>
        <w:pStyle w:val="MeasureTitle"/>
      </w:pPr>
      <w:r>
        <w:lastRenderedPageBreak/>
        <w:t>Skills and Training – other priorities</w:t>
      </w:r>
    </w:p>
    <w:p w14:paraId="44C7C2A9"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007480CA" w14:textId="77777777">
        <w:trPr>
          <w:cantSplit/>
        </w:trPr>
        <w:tc>
          <w:tcPr>
            <w:tcW w:w="2494" w:type="dxa"/>
            <w:tcBorders>
              <w:top w:val="single" w:sz="4" w:space="0" w:color="000000"/>
              <w:bottom w:val="single" w:sz="4" w:space="0" w:color="000000"/>
            </w:tcBorders>
          </w:tcPr>
          <w:p w14:paraId="3E83B88B" w14:textId="77777777" w:rsidR="00B449D0" w:rsidRDefault="00B449D0">
            <w:pPr>
              <w:pStyle w:val="MeasureTableYearHeadings"/>
              <w:keepNext/>
            </w:pPr>
          </w:p>
        </w:tc>
        <w:tc>
          <w:tcPr>
            <w:tcW w:w="1043" w:type="dxa"/>
            <w:tcBorders>
              <w:top w:val="single" w:sz="4" w:space="0" w:color="000000"/>
              <w:bottom w:val="single" w:sz="4" w:space="0" w:color="000000"/>
            </w:tcBorders>
          </w:tcPr>
          <w:p w14:paraId="5E4B7C98" w14:textId="1CF029B3"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10F7B3BB" w14:textId="761ACFAD"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09B6BE9D" w14:textId="354C0F8A"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42BB50EC" w14:textId="1E3E1646"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271C36F1" w14:textId="64B8F4EE" w:rsidR="00B449D0" w:rsidRDefault="00175344">
            <w:pPr>
              <w:pStyle w:val="MeasureTableYearHeadings"/>
              <w:keepNext/>
            </w:pPr>
            <w:r>
              <w:t>2027</w:t>
            </w:r>
            <w:r w:rsidR="00076D78">
              <w:noBreakHyphen/>
            </w:r>
            <w:r>
              <w:t>28</w:t>
            </w:r>
          </w:p>
        </w:tc>
      </w:tr>
      <w:tr w:rsidR="00B449D0" w14:paraId="2CDAD400" w14:textId="77777777">
        <w:trPr>
          <w:cantSplit/>
        </w:trPr>
        <w:tc>
          <w:tcPr>
            <w:tcW w:w="2494" w:type="dxa"/>
            <w:tcBorders>
              <w:top w:val="single" w:sz="4" w:space="0" w:color="000000"/>
              <w:bottom w:val="single" w:sz="4" w:space="0" w:color="000000"/>
            </w:tcBorders>
          </w:tcPr>
          <w:p w14:paraId="107D7291" w14:textId="77777777" w:rsidR="00B449D0" w:rsidRDefault="00175344">
            <w:pPr>
              <w:pStyle w:val="MeasureTableHeadingleftalignedwith2ptsspacing"/>
              <w:keepNext/>
            </w:pPr>
            <w:r>
              <w:t>Department of Employment and Workplace Relations</w:t>
            </w:r>
          </w:p>
        </w:tc>
        <w:tc>
          <w:tcPr>
            <w:tcW w:w="1043" w:type="dxa"/>
            <w:tcBorders>
              <w:top w:val="single" w:sz="4" w:space="0" w:color="000000"/>
              <w:bottom w:val="single" w:sz="4" w:space="0" w:color="000000"/>
            </w:tcBorders>
          </w:tcPr>
          <w:p w14:paraId="37A0EC76" w14:textId="61A82A39"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39C2A4C" w14:textId="77777777" w:rsidR="00B449D0" w:rsidRDefault="00175344">
            <w:pPr>
              <w:pStyle w:val="MeasureTableDataRightAlignedwith2ptsspacing"/>
              <w:keepNext/>
            </w:pPr>
            <w:r>
              <w:t>1.6</w:t>
            </w:r>
          </w:p>
        </w:tc>
        <w:tc>
          <w:tcPr>
            <w:tcW w:w="1043" w:type="dxa"/>
            <w:tcBorders>
              <w:top w:val="single" w:sz="4" w:space="0" w:color="000000"/>
              <w:bottom w:val="single" w:sz="4" w:space="0" w:color="000000"/>
            </w:tcBorders>
          </w:tcPr>
          <w:p w14:paraId="090F630E" w14:textId="77777777" w:rsidR="00B449D0" w:rsidRDefault="00175344">
            <w:pPr>
              <w:pStyle w:val="MeasureTableDataRightAlignedwith2ptsspacing"/>
              <w:keepNext/>
            </w:pPr>
            <w:r>
              <w:t>3.0</w:t>
            </w:r>
          </w:p>
        </w:tc>
        <w:tc>
          <w:tcPr>
            <w:tcW w:w="1043" w:type="dxa"/>
            <w:tcBorders>
              <w:top w:val="single" w:sz="4" w:space="0" w:color="000000"/>
              <w:bottom w:val="single" w:sz="4" w:space="0" w:color="000000"/>
            </w:tcBorders>
          </w:tcPr>
          <w:p w14:paraId="2E57C177" w14:textId="4A794722" w:rsidR="00B449D0" w:rsidRDefault="00076D78">
            <w:pPr>
              <w:pStyle w:val="MeasureTableDataRightAlignedwith2ptsspacing"/>
              <w:keepNext/>
            </w:pPr>
            <w:r>
              <w:noBreakHyphen/>
            </w:r>
            <w:r w:rsidR="00175344">
              <w:t>0.3</w:t>
            </w:r>
          </w:p>
        </w:tc>
        <w:tc>
          <w:tcPr>
            <w:tcW w:w="1043" w:type="dxa"/>
            <w:tcBorders>
              <w:top w:val="single" w:sz="4" w:space="0" w:color="000000"/>
              <w:bottom w:val="single" w:sz="4" w:space="0" w:color="000000"/>
            </w:tcBorders>
          </w:tcPr>
          <w:p w14:paraId="77A5C09A" w14:textId="1570DAC1" w:rsidR="00B449D0" w:rsidRDefault="00076D78">
            <w:pPr>
              <w:pStyle w:val="MeasureTableDataRightAlignedwith2ptsspacing"/>
              <w:keepNext/>
            </w:pPr>
            <w:r>
              <w:noBreakHyphen/>
            </w:r>
            <w:r w:rsidR="00175344">
              <w:t>0.7</w:t>
            </w:r>
          </w:p>
        </w:tc>
      </w:tr>
    </w:tbl>
    <w:p w14:paraId="6203C7CF" w14:textId="77777777" w:rsidR="00B449D0" w:rsidRDefault="00B449D0" w:rsidP="00380A42">
      <w:pPr>
        <w:pStyle w:val="SingleParagraph0"/>
      </w:pPr>
    </w:p>
    <w:p w14:paraId="461538CD" w14:textId="77777777" w:rsidR="00B449D0" w:rsidRDefault="00175344">
      <w:pPr>
        <w:pStyle w:val="Normal2"/>
      </w:pPr>
      <w:r w:rsidRPr="7F762F0D">
        <w:rPr>
          <w:lang w:val="en-US"/>
        </w:rPr>
        <w:t>The Government will provide $3.6 million over four years from 2024–25 to support additional skills and training priorities. Funding includes:</w:t>
      </w:r>
    </w:p>
    <w:p w14:paraId="3730D9D4" w14:textId="77777777" w:rsidR="00B449D0" w:rsidRDefault="00175344">
      <w:pPr>
        <w:pStyle w:val="Bullet"/>
      </w:pPr>
      <w:r>
        <w:t>$2.9 million over two years from 2024–25 to enable Jobs and Skills Australia to continue to undertake labour market analysis and stakeholder engagement. This will inform the implementation of the three‑tier model for the new temporary skilled migration system, including the post‑arrival analysis of occupations and wages in the Specialist Skills Stream of the new Skills in Demand visa</w:t>
      </w:r>
    </w:p>
    <w:p w14:paraId="68216D2F" w14:textId="77777777" w:rsidR="00B449D0" w:rsidRDefault="00175344">
      <w:pPr>
        <w:pStyle w:val="Bullet"/>
      </w:pPr>
      <w:r>
        <w:t>$0.7 million over four years from 2024–25 to amend the Group Training Organisation Reimbursement Pilot prior to its implementation from 1 January 2025.</w:t>
      </w:r>
    </w:p>
    <w:p w14:paraId="656695BD" w14:textId="77777777" w:rsidR="00B449D0" w:rsidRDefault="00175344">
      <w:pPr>
        <w:pStyle w:val="Normal2"/>
      </w:pPr>
      <w:r>
        <w:t xml:space="preserve">This measure extends elements of the 2023–24 MYEFO measure titled </w:t>
      </w:r>
      <w:r w:rsidRPr="00175344">
        <w:rPr>
          <w:i/>
        </w:rPr>
        <w:t>Migration System Reforms</w:t>
      </w:r>
      <w:r>
        <w:t xml:space="preserve"> and builds on elements of the 2024–25 Budget measure titled </w:t>
      </w:r>
      <w:r w:rsidRPr="00175344">
        <w:rPr>
          <w:i/>
        </w:rPr>
        <w:t>Future Made in Australia – Workforce and Trade Partnerships for Renewable Energy Superpower Industries</w:t>
      </w:r>
      <w:r>
        <w:t>.</w:t>
      </w:r>
    </w:p>
    <w:p w14:paraId="2B8B628E" w14:textId="77777777" w:rsidR="00B449D0" w:rsidRDefault="00175344">
      <w:pPr>
        <w:pStyle w:val="MeasureTitle"/>
      </w:pPr>
      <w:r w:rsidRPr="7F762F0D">
        <w:rPr>
          <w:lang w:val="en-US"/>
        </w:rPr>
        <w:t>Workplace Relations – additional supports</w:t>
      </w:r>
    </w:p>
    <w:p w14:paraId="1D50B4D5"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77C92927" w14:textId="77777777">
        <w:trPr>
          <w:cantSplit/>
        </w:trPr>
        <w:tc>
          <w:tcPr>
            <w:tcW w:w="2494" w:type="dxa"/>
            <w:tcBorders>
              <w:top w:val="single" w:sz="4" w:space="0" w:color="000000"/>
              <w:bottom w:val="single" w:sz="4" w:space="0" w:color="000000"/>
            </w:tcBorders>
          </w:tcPr>
          <w:p w14:paraId="3C3621A7" w14:textId="77777777" w:rsidR="00B449D0" w:rsidRDefault="00B449D0">
            <w:pPr>
              <w:pStyle w:val="MeasureTableYearHeadings"/>
              <w:keepNext/>
            </w:pPr>
          </w:p>
        </w:tc>
        <w:tc>
          <w:tcPr>
            <w:tcW w:w="1043" w:type="dxa"/>
            <w:tcBorders>
              <w:top w:val="single" w:sz="4" w:space="0" w:color="000000"/>
              <w:bottom w:val="single" w:sz="4" w:space="0" w:color="000000"/>
            </w:tcBorders>
          </w:tcPr>
          <w:p w14:paraId="03B5C815" w14:textId="72A02894"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6FC97AE2" w14:textId="421A5D6E"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1F7C2538" w14:textId="112F003E"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78AC8538" w14:textId="655A868B"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0D7FB82C" w14:textId="5B222A48" w:rsidR="00B449D0" w:rsidRDefault="00175344">
            <w:pPr>
              <w:pStyle w:val="MeasureTableYearHeadings"/>
              <w:keepNext/>
            </w:pPr>
            <w:r>
              <w:t>2027</w:t>
            </w:r>
            <w:r w:rsidR="00076D78">
              <w:noBreakHyphen/>
            </w:r>
            <w:r>
              <w:t>28</w:t>
            </w:r>
          </w:p>
        </w:tc>
      </w:tr>
      <w:tr w:rsidR="00B449D0" w14:paraId="4076336C" w14:textId="77777777">
        <w:trPr>
          <w:cantSplit/>
        </w:trPr>
        <w:tc>
          <w:tcPr>
            <w:tcW w:w="2494" w:type="dxa"/>
            <w:tcBorders>
              <w:top w:val="single" w:sz="4" w:space="0" w:color="000000"/>
              <w:bottom w:val="single" w:sz="4" w:space="0" w:color="000000"/>
            </w:tcBorders>
          </w:tcPr>
          <w:p w14:paraId="7B3CADB5" w14:textId="77777777" w:rsidR="00B449D0" w:rsidRDefault="00175344">
            <w:pPr>
              <w:pStyle w:val="MeasureTableHeadingleftalignedwith2ptsspacing"/>
              <w:keepNext/>
            </w:pPr>
            <w:r>
              <w:t>Department of Employment and Workplace Relations</w:t>
            </w:r>
          </w:p>
        </w:tc>
        <w:tc>
          <w:tcPr>
            <w:tcW w:w="1043" w:type="dxa"/>
            <w:tcBorders>
              <w:top w:val="single" w:sz="4" w:space="0" w:color="000000"/>
              <w:bottom w:val="single" w:sz="4" w:space="0" w:color="000000"/>
            </w:tcBorders>
          </w:tcPr>
          <w:p w14:paraId="61E0F25C" w14:textId="12E70CC4"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DBEAC22" w14:textId="77777777" w:rsidR="00B449D0" w:rsidRDefault="00175344">
            <w:pPr>
              <w:pStyle w:val="MeasureTableDataRightAlignedwith2ptsspacing"/>
              <w:keepNext/>
            </w:pPr>
            <w:r>
              <w:t>9.6</w:t>
            </w:r>
          </w:p>
        </w:tc>
        <w:tc>
          <w:tcPr>
            <w:tcW w:w="1043" w:type="dxa"/>
            <w:tcBorders>
              <w:top w:val="single" w:sz="4" w:space="0" w:color="000000"/>
              <w:bottom w:val="single" w:sz="4" w:space="0" w:color="000000"/>
            </w:tcBorders>
          </w:tcPr>
          <w:p w14:paraId="66DE5FBA" w14:textId="77777777" w:rsidR="00B449D0" w:rsidRDefault="00175344">
            <w:pPr>
              <w:pStyle w:val="MeasureTableDataRightAlignedwith2ptsspacing"/>
              <w:keepNext/>
            </w:pPr>
            <w:r>
              <w:t>8.9</w:t>
            </w:r>
          </w:p>
        </w:tc>
        <w:tc>
          <w:tcPr>
            <w:tcW w:w="1043" w:type="dxa"/>
            <w:tcBorders>
              <w:top w:val="single" w:sz="4" w:space="0" w:color="000000"/>
              <w:bottom w:val="single" w:sz="4" w:space="0" w:color="000000"/>
            </w:tcBorders>
          </w:tcPr>
          <w:p w14:paraId="7C0B586E" w14:textId="1AA45540"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A4C6972" w14:textId="6E358000" w:rsidR="00B449D0" w:rsidRDefault="00076D78">
            <w:pPr>
              <w:pStyle w:val="MeasureTableDataRightAlignedwith2ptsspacing"/>
              <w:keepNext/>
            </w:pPr>
            <w:r>
              <w:noBreakHyphen/>
            </w:r>
          </w:p>
        </w:tc>
      </w:tr>
      <w:tr w:rsidR="00B449D0" w14:paraId="051F4FA5" w14:textId="77777777">
        <w:trPr>
          <w:cantSplit/>
        </w:trPr>
        <w:tc>
          <w:tcPr>
            <w:tcW w:w="2494" w:type="dxa"/>
            <w:tcBorders>
              <w:top w:val="single" w:sz="4" w:space="0" w:color="000000"/>
              <w:bottom w:val="single" w:sz="4" w:space="0" w:color="000000"/>
            </w:tcBorders>
          </w:tcPr>
          <w:p w14:paraId="119F9D7D" w14:textId="77777777" w:rsidR="00B449D0" w:rsidRDefault="00175344">
            <w:pPr>
              <w:pStyle w:val="MeasureTableHeadingleftalignedwith2ptsspacing"/>
              <w:keepNext/>
            </w:pPr>
            <w:r>
              <w:t>Department of the Treasury</w:t>
            </w:r>
          </w:p>
        </w:tc>
        <w:tc>
          <w:tcPr>
            <w:tcW w:w="1043" w:type="dxa"/>
            <w:tcBorders>
              <w:top w:val="single" w:sz="4" w:space="0" w:color="000000"/>
              <w:bottom w:val="single" w:sz="4" w:space="0" w:color="000000"/>
            </w:tcBorders>
          </w:tcPr>
          <w:p w14:paraId="3369836D" w14:textId="63D94203"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1E3BD38" w14:textId="77777777" w:rsidR="00B449D0" w:rsidRDefault="00175344">
            <w:pPr>
              <w:pStyle w:val="MeasureTableDataRightAlignedwith2ptsspacing"/>
              <w:keepNext/>
            </w:pPr>
            <w:r>
              <w:t>2.0</w:t>
            </w:r>
          </w:p>
        </w:tc>
        <w:tc>
          <w:tcPr>
            <w:tcW w:w="1043" w:type="dxa"/>
            <w:tcBorders>
              <w:top w:val="single" w:sz="4" w:space="0" w:color="000000"/>
              <w:bottom w:val="single" w:sz="4" w:space="0" w:color="000000"/>
            </w:tcBorders>
          </w:tcPr>
          <w:p w14:paraId="48DEF844" w14:textId="75F45815"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CE72A56" w14:textId="7BFDCCB7"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B4FF2B8" w14:textId="675D8C48" w:rsidR="00B449D0" w:rsidRDefault="00076D78">
            <w:pPr>
              <w:pStyle w:val="MeasureTableDataRightAlignedwith2ptsspacing"/>
              <w:keepNext/>
            </w:pPr>
            <w:r>
              <w:noBreakHyphen/>
            </w:r>
          </w:p>
        </w:tc>
      </w:tr>
      <w:tr w:rsidR="00B449D0" w14:paraId="4000CBFD" w14:textId="77777777">
        <w:trPr>
          <w:cantSplit/>
        </w:trPr>
        <w:tc>
          <w:tcPr>
            <w:tcW w:w="2494" w:type="dxa"/>
            <w:tcBorders>
              <w:top w:val="single" w:sz="4" w:space="0" w:color="000000"/>
              <w:bottom w:val="single" w:sz="4" w:space="0" w:color="000000"/>
            </w:tcBorders>
          </w:tcPr>
          <w:p w14:paraId="1D3F1568"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1824ED8E" w14:textId="2456ADF4"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5BBA31F5" w14:textId="77777777" w:rsidR="00B449D0" w:rsidRDefault="00175344">
            <w:pPr>
              <w:pStyle w:val="Totaldatarowrightaligned"/>
              <w:keepNext/>
            </w:pPr>
            <w:r>
              <w:t>11.5</w:t>
            </w:r>
          </w:p>
        </w:tc>
        <w:tc>
          <w:tcPr>
            <w:tcW w:w="1043" w:type="dxa"/>
            <w:tcBorders>
              <w:top w:val="single" w:sz="4" w:space="0" w:color="000000"/>
              <w:bottom w:val="single" w:sz="4" w:space="0" w:color="000000"/>
            </w:tcBorders>
          </w:tcPr>
          <w:p w14:paraId="111B67E3" w14:textId="77777777" w:rsidR="00B449D0" w:rsidRDefault="00175344">
            <w:pPr>
              <w:pStyle w:val="Totaldatarowrightaligned"/>
              <w:keepNext/>
            </w:pPr>
            <w:r>
              <w:t>8.9</w:t>
            </w:r>
          </w:p>
        </w:tc>
        <w:tc>
          <w:tcPr>
            <w:tcW w:w="1043" w:type="dxa"/>
            <w:tcBorders>
              <w:top w:val="single" w:sz="4" w:space="0" w:color="000000"/>
              <w:bottom w:val="single" w:sz="4" w:space="0" w:color="000000"/>
            </w:tcBorders>
          </w:tcPr>
          <w:p w14:paraId="636D27CF" w14:textId="684E119B"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6D9D20D0" w14:textId="0D900BD8" w:rsidR="00B449D0" w:rsidRDefault="00076D78">
            <w:pPr>
              <w:pStyle w:val="Totaldatarowrightaligned"/>
              <w:keepNext/>
            </w:pPr>
            <w:r>
              <w:noBreakHyphen/>
            </w:r>
          </w:p>
        </w:tc>
      </w:tr>
    </w:tbl>
    <w:p w14:paraId="799E8FA2" w14:textId="77777777" w:rsidR="00B449D0" w:rsidRDefault="00B449D0" w:rsidP="00380A42">
      <w:pPr>
        <w:pStyle w:val="SingleParagraph0"/>
      </w:pPr>
    </w:p>
    <w:p w14:paraId="52F93B2D" w14:textId="37640336" w:rsidR="00B449D0" w:rsidRDefault="00175344">
      <w:pPr>
        <w:pStyle w:val="Normal2"/>
      </w:pPr>
      <w:r>
        <w:t>The Government will provide $20.5 million over two years from 2024–25 to further support progression of the Government</w:t>
      </w:r>
      <w:r w:rsidR="00076D78">
        <w:t>’</w:t>
      </w:r>
      <w:r>
        <w:t>s workplace relations agenda. Funding includes:</w:t>
      </w:r>
    </w:p>
    <w:p w14:paraId="3E601AF8" w14:textId="77777777" w:rsidR="00B449D0" w:rsidRDefault="00175344">
      <w:pPr>
        <w:pStyle w:val="Bullet"/>
      </w:pPr>
      <w:r>
        <w:t>$16.4 million over two years from 2024–25 to establish a one‑year pilot program to support state and territory Trades and Labour Councils and peak employer organisations to deliver initiatives to improve gender equality in gender‑segregated industries</w:t>
      </w:r>
    </w:p>
    <w:p w14:paraId="07F76BF9" w14:textId="77777777" w:rsidR="00B449D0" w:rsidRDefault="00175344">
      <w:pPr>
        <w:pStyle w:val="Bullet"/>
      </w:pPr>
      <w:r>
        <w:t>$2.1 million over two years from 2024–25 for ancillary costs incurred for the administration of the Construction and General Division of the Construction, Forestry and Maritime Employees Union (CFMEU)</w:t>
      </w:r>
    </w:p>
    <w:p w14:paraId="39F5D4B2" w14:textId="77777777" w:rsidR="00B449D0" w:rsidRDefault="00175344">
      <w:pPr>
        <w:pStyle w:val="Bullet"/>
      </w:pPr>
      <w:r>
        <w:t>$2.0 million in 2024–25 to the Victorian Government to continue progressing the establishment of a national labour hire regulation model through harmonisation of state and territory laws.</w:t>
      </w:r>
    </w:p>
    <w:p w14:paraId="26ED9512" w14:textId="77777777" w:rsidR="00B449D0" w:rsidRDefault="00175344">
      <w:pPr>
        <w:pStyle w:val="Normal2"/>
      </w:pPr>
      <w:r w:rsidRPr="7F762F0D">
        <w:rPr>
          <w:lang w:val="en-US"/>
        </w:rPr>
        <w:t>The cost of this measure will be partially met from savings identified in the Employment and Workplace Relations portfolio.</w:t>
      </w:r>
    </w:p>
    <w:p w14:paraId="037C964E" w14:textId="77777777" w:rsidR="00B449D0" w:rsidRDefault="00175344">
      <w:pPr>
        <w:pStyle w:val="Normal2"/>
      </w:pPr>
      <w:r>
        <w:lastRenderedPageBreak/>
        <w:t>The Treasury manages Commonwealth payments to the states and territories.</w:t>
      </w:r>
    </w:p>
    <w:p w14:paraId="5D9EDBBE" w14:textId="77777777" w:rsidR="00B449D0" w:rsidRDefault="00175344">
      <w:pPr>
        <w:pStyle w:val="Normal2"/>
      </w:pPr>
      <w:r>
        <w:t xml:space="preserve">This measure builds on the 2024–25 Budget measure titled </w:t>
      </w:r>
      <w:r w:rsidRPr="00175344">
        <w:rPr>
          <w:i/>
        </w:rPr>
        <w:t>Workplace Relations.</w:t>
      </w:r>
    </w:p>
    <w:p w14:paraId="6273932F" w14:textId="77777777" w:rsidR="00B449D0" w:rsidRDefault="00B449D0">
      <w:pPr>
        <w:sectPr w:rsidR="00B449D0" w:rsidSect="00301E48">
          <w:headerReference w:type="even" r:id="rId78"/>
          <w:headerReference w:type="default" r:id="rId79"/>
          <w:footerReference w:type="even" r:id="rId80"/>
          <w:footerReference w:type="default" r:id="rId81"/>
          <w:headerReference w:type="first" r:id="rId82"/>
          <w:footerReference w:type="first" r:id="rId83"/>
          <w:pgSz w:w="11906" w:h="16838"/>
          <w:pgMar w:top="2835" w:right="2098" w:bottom="2466" w:left="2098" w:header="1814" w:footer="1814" w:gutter="0"/>
          <w:cols w:space="720"/>
          <w:docGrid w:linePitch="272"/>
        </w:sectPr>
      </w:pPr>
    </w:p>
    <w:p w14:paraId="06E261F2" w14:textId="77777777" w:rsidR="00B449D0" w:rsidRDefault="00175344">
      <w:pPr>
        <w:pStyle w:val="PortfolioName"/>
      </w:pPr>
      <w:r>
        <w:lastRenderedPageBreak/>
        <w:t>Finance</w:t>
      </w:r>
    </w:p>
    <w:p w14:paraId="35D43BA9" w14:textId="77777777" w:rsidR="00B449D0" w:rsidRDefault="00175344">
      <w:pPr>
        <w:pStyle w:val="MeasureTitle"/>
      </w:pPr>
      <w:r>
        <w:t>Electoral Communications</w:t>
      </w:r>
    </w:p>
    <w:p w14:paraId="2A018575"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62B0E972" w14:textId="77777777">
        <w:trPr>
          <w:cantSplit/>
        </w:trPr>
        <w:tc>
          <w:tcPr>
            <w:tcW w:w="2494" w:type="dxa"/>
            <w:tcBorders>
              <w:top w:val="single" w:sz="4" w:space="0" w:color="000000"/>
              <w:bottom w:val="single" w:sz="4" w:space="0" w:color="000000"/>
            </w:tcBorders>
          </w:tcPr>
          <w:p w14:paraId="1769A2C9" w14:textId="77777777" w:rsidR="00B449D0" w:rsidRDefault="00B449D0">
            <w:pPr>
              <w:pStyle w:val="MeasureTableYearHeadings"/>
              <w:keepNext/>
            </w:pPr>
          </w:p>
        </w:tc>
        <w:tc>
          <w:tcPr>
            <w:tcW w:w="1043" w:type="dxa"/>
            <w:tcBorders>
              <w:top w:val="single" w:sz="4" w:space="0" w:color="000000"/>
              <w:bottom w:val="single" w:sz="4" w:space="0" w:color="000000"/>
            </w:tcBorders>
          </w:tcPr>
          <w:p w14:paraId="4A96C539" w14:textId="5FD7B3DE"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1518EB22" w14:textId="61668C1B"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78013F81" w14:textId="157D0B1A"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62EE34FE" w14:textId="4ABB19ED"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6773DB4C" w14:textId="1E3FBA9F" w:rsidR="00B449D0" w:rsidRDefault="00175344">
            <w:pPr>
              <w:pStyle w:val="MeasureTableYearHeadings"/>
              <w:keepNext/>
            </w:pPr>
            <w:r>
              <w:t>2027</w:t>
            </w:r>
            <w:r w:rsidR="00076D78">
              <w:noBreakHyphen/>
            </w:r>
            <w:r>
              <w:t>28</w:t>
            </w:r>
          </w:p>
        </w:tc>
      </w:tr>
      <w:tr w:rsidR="00B449D0" w14:paraId="1EBAD915" w14:textId="77777777">
        <w:trPr>
          <w:cantSplit/>
        </w:trPr>
        <w:tc>
          <w:tcPr>
            <w:tcW w:w="2494" w:type="dxa"/>
            <w:tcBorders>
              <w:top w:val="single" w:sz="4" w:space="0" w:color="000000"/>
              <w:bottom w:val="single" w:sz="4" w:space="0" w:color="000000"/>
            </w:tcBorders>
          </w:tcPr>
          <w:p w14:paraId="37F89767" w14:textId="77777777" w:rsidR="00B449D0" w:rsidRDefault="00175344">
            <w:pPr>
              <w:pStyle w:val="MeasureTableHeadingleftalignedwith2ptsspacing"/>
              <w:keepNext/>
            </w:pPr>
            <w:r>
              <w:t>Australian Electoral Commission</w:t>
            </w:r>
          </w:p>
        </w:tc>
        <w:tc>
          <w:tcPr>
            <w:tcW w:w="1043" w:type="dxa"/>
            <w:tcBorders>
              <w:top w:val="single" w:sz="4" w:space="0" w:color="000000"/>
              <w:bottom w:val="single" w:sz="4" w:space="0" w:color="000000"/>
            </w:tcBorders>
          </w:tcPr>
          <w:p w14:paraId="56D50DDA" w14:textId="783E2E1E"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6815051" w14:textId="77777777" w:rsidR="00B449D0" w:rsidRDefault="00175344">
            <w:pPr>
              <w:pStyle w:val="MeasureTableDataRightAlignedwith2ptsspacing"/>
              <w:keepNext/>
            </w:pPr>
            <w:r>
              <w:t>2.2</w:t>
            </w:r>
          </w:p>
        </w:tc>
        <w:tc>
          <w:tcPr>
            <w:tcW w:w="1043" w:type="dxa"/>
            <w:tcBorders>
              <w:top w:val="single" w:sz="4" w:space="0" w:color="000000"/>
              <w:bottom w:val="single" w:sz="4" w:space="0" w:color="000000"/>
            </w:tcBorders>
          </w:tcPr>
          <w:p w14:paraId="69F31162" w14:textId="77777777" w:rsidR="00B449D0" w:rsidRDefault="00175344">
            <w:pPr>
              <w:pStyle w:val="MeasureTableDataRightAlignedwith2ptsspacing"/>
              <w:keepNext/>
            </w:pPr>
            <w:r>
              <w:t>4.6</w:t>
            </w:r>
          </w:p>
        </w:tc>
        <w:tc>
          <w:tcPr>
            <w:tcW w:w="1043" w:type="dxa"/>
            <w:tcBorders>
              <w:top w:val="single" w:sz="4" w:space="0" w:color="000000"/>
              <w:bottom w:val="single" w:sz="4" w:space="0" w:color="000000"/>
            </w:tcBorders>
          </w:tcPr>
          <w:p w14:paraId="2CEED443" w14:textId="77777777" w:rsidR="00B449D0" w:rsidRDefault="00175344">
            <w:pPr>
              <w:pStyle w:val="MeasureTableDataRightAlignedwith2ptsspacing"/>
              <w:keepNext/>
            </w:pPr>
            <w:r>
              <w:t>6.3</w:t>
            </w:r>
          </w:p>
        </w:tc>
        <w:tc>
          <w:tcPr>
            <w:tcW w:w="1043" w:type="dxa"/>
            <w:tcBorders>
              <w:top w:val="single" w:sz="4" w:space="0" w:color="000000"/>
              <w:bottom w:val="single" w:sz="4" w:space="0" w:color="000000"/>
            </w:tcBorders>
          </w:tcPr>
          <w:p w14:paraId="6151EB40" w14:textId="77777777" w:rsidR="00B449D0" w:rsidRDefault="00175344">
            <w:pPr>
              <w:pStyle w:val="MeasureTableDataRightAlignedwith2ptsspacing"/>
              <w:keepNext/>
            </w:pPr>
            <w:r>
              <w:t>10.2</w:t>
            </w:r>
          </w:p>
        </w:tc>
      </w:tr>
      <w:tr w:rsidR="00B449D0" w14:paraId="67EF5616" w14:textId="77777777">
        <w:trPr>
          <w:cantSplit/>
        </w:trPr>
        <w:tc>
          <w:tcPr>
            <w:tcW w:w="2494" w:type="dxa"/>
            <w:tcBorders>
              <w:top w:val="single" w:sz="4" w:space="0" w:color="000000"/>
              <w:bottom w:val="single" w:sz="4" w:space="0" w:color="000000"/>
            </w:tcBorders>
          </w:tcPr>
          <w:p w14:paraId="0126C483" w14:textId="77777777" w:rsidR="00B449D0" w:rsidRDefault="00175344">
            <w:pPr>
              <w:pStyle w:val="MeasureTableHeadingleftalignedwith2ptsspacing"/>
              <w:keepNext/>
            </w:pPr>
            <w:r>
              <w:t>Department of Finance</w:t>
            </w:r>
          </w:p>
        </w:tc>
        <w:tc>
          <w:tcPr>
            <w:tcW w:w="1043" w:type="dxa"/>
            <w:tcBorders>
              <w:top w:val="single" w:sz="4" w:space="0" w:color="000000"/>
              <w:bottom w:val="single" w:sz="4" w:space="0" w:color="000000"/>
            </w:tcBorders>
          </w:tcPr>
          <w:p w14:paraId="474D8CD0" w14:textId="2CDCEEE2"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51FDC63" w14:textId="77777777" w:rsidR="00B449D0" w:rsidRDefault="00175344">
            <w:pPr>
              <w:pStyle w:val="MeasureTableDataRightAlignedwith2ptsspacing"/>
              <w:keepNext/>
            </w:pPr>
            <w:r>
              <w:t>0.2</w:t>
            </w:r>
          </w:p>
        </w:tc>
        <w:tc>
          <w:tcPr>
            <w:tcW w:w="1043" w:type="dxa"/>
            <w:tcBorders>
              <w:top w:val="single" w:sz="4" w:space="0" w:color="000000"/>
              <w:bottom w:val="single" w:sz="4" w:space="0" w:color="000000"/>
            </w:tcBorders>
          </w:tcPr>
          <w:p w14:paraId="32567238" w14:textId="77777777" w:rsidR="00B449D0" w:rsidRDefault="00175344">
            <w:pPr>
              <w:pStyle w:val="MeasureTableDataRightAlignedwith2ptsspacing"/>
              <w:keepNext/>
            </w:pPr>
            <w:r>
              <w:t>1.2</w:t>
            </w:r>
          </w:p>
        </w:tc>
        <w:tc>
          <w:tcPr>
            <w:tcW w:w="1043" w:type="dxa"/>
            <w:tcBorders>
              <w:top w:val="single" w:sz="4" w:space="0" w:color="000000"/>
              <w:bottom w:val="single" w:sz="4" w:space="0" w:color="000000"/>
            </w:tcBorders>
          </w:tcPr>
          <w:p w14:paraId="3968A749" w14:textId="77777777" w:rsidR="00B449D0" w:rsidRDefault="00175344">
            <w:pPr>
              <w:pStyle w:val="MeasureTableDataRightAlignedwith2ptsspacing"/>
              <w:keepNext/>
            </w:pPr>
            <w:r>
              <w:t>0.2</w:t>
            </w:r>
          </w:p>
        </w:tc>
        <w:tc>
          <w:tcPr>
            <w:tcW w:w="1043" w:type="dxa"/>
            <w:tcBorders>
              <w:top w:val="single" w:sz="4" w:space="0" w:color="000000"/>
              <w:bottom w:val="single" w:sz="4" w:space="0" w:color="000000"/>
            </w:tcBorders>
          </w:tcPr>
          <w:p w14:paraId="7EE6664B" w14:textId="77777777" w:rsidR="00B449D0" w:rsidRDefault="00175344">
            <w:pPr>
              <w:pStyle w:val="MeasureTableDataRightAlignedwith2ptsspacing"/>
              <w:keepNext/>
            </w:pPr>
            <w:r>
              <w:t>0.2</w:t>
            </w:r>
          </w:p>
        </w:tc>
      </w:tr>
      <w:tr w:rsidR="00B449D0" w14:paraId="7B208612" w14:textId="77777777">
        <w:trPr>
          <w:cantSplit/>
        </w:trPr>
        <w:tc>
          <w:tcPr>
            <w:tcW w:w="2494" w:type="dxa"/>
            <w:tcBorders>
              <w:top w:val="single" w:sz="4" w:space="0" w:color="000000"/>
              <w:bottom w:val="single" w:sz="4" w:space="0" w:color="000000"/>
            </w:tcBorders>
          </w:tcPr>
          <w:p w14:paraId="63C67A28"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50494D83" w14:textId="4E418D99"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272F7388" w14:textId="77777777" w:rsidR="00B449D0" w:rsidRDefault="00175344">
            <w:pPr>
              <w:pStyle w:val="Totaldatarowrightaligned"/>
              <w:keepNext/>
            </w:pPr>
            <w:r>
              <w:t>2.4</w:t>
            </w:r>
          </w:p>
        </w:tc>
        <w:tc>
          <w:tcPr>
            <w:tcW w:w="1043" w:type="dxa"/>
            <w:tcBorders>
              <w:top w:val="single" w:sz="4" w:space="0" w:color="000000"/>
              <w:bottom w:val="single" w:sz="4" w:space="0" w:color="000000"/>
            </w:tcBorders>
          </w:tcPr>
          <w:p w14:paraId="626FF32F" w14:textId="77777777" w:rsidR="00B449D0" w:rsidRDefault="00175344">
            <w:pPr>
              <w:pStyle w:val="Totaldatarowrightaligned"/>
              <w:keepNext/>
            </w:pPr>
            <w:r>
              <w:t>5.8</w:t>
            </w:r>
          </w:p>
        </w:tc>
        <w:tc>
          <w:tcPr>
            <w:tcW w:w="1043" w:type="dxa"/>
            <w:tcBorders>
              <w:top w:val="single" w:sz="4" w:space="0" w:color="000000"/>
              <w:bottom w:val="single" w:sz="4" w:space="0" w:color="000000"/>
            </w:tcBorders>
          </w:tcPr>
          <w:p w14:paraId="7BD1368D" w14:textId="77777777" w:rsidR="00B449D0" w:rsidRDefault="00175344">
            <w:pPr>
              <w:pStyle w:val="Totaldatarowrightaligned"/>
              <w:keepNext/>
            </w:pPr>
            <w:r>
              <w:t>6.5</w:t>
            </w:r>
          </w:p>
        </w:tc>
        <w:tc>
          <w:tcPr>
            <w:tcW w:w="1043" w:type="dxa"/>
            <w:tcBorders>
              <w:top w:val="single" w:sz="4" w:space="0" w:color="000000"/>
              <w:bottom w:val="single" w:sz="4" w:space="0" w:color="000000"/>
            </w:tcBorders>
          </w:tcPr>
          <w:p w14:paraId="2426AF51" w14:textId="77777777" w:rsidR="00B449D0" w:rsidRDefault="00175344">
            <w:pPr>
              <w:pStyle w:val="Totaldatarowrightaligned"/>
              <w:keepNext/>
            </w:pPr>
            <w:r>
              <w:t>10.4</w:t>
            </w:r>
          </w:p>
        </w:tc>
      </w:tr>
    </w:tbl>
    <w:p w14:paraId="29C463F7" w14:textId="77777777" w:rsidR="00B449D0" w:rsidRDefault="00B449D0" w:rsidP="00380A42">
      <w:pPr>
        <w:pStyle w:val="SingleParagraph0"/>
      </w:pPr>
    </w:p>
    <w:p w14:paraId="6E3BC548" w14:textId="77777777" w:rsidR="00B449D0" w:rsidRDefault="00175344">
      <w:pPr>
        <w:pStyle w:val="Normal2"/>
      </w:pPr>
      <w:r w:rsidRPr="7F762F0D">
        <w:rPr>
          <w:lang w:val="en-US"/>
        </w:rPr>
        <w:t>The Government will provide $25.1 million over four years from 2024–25 (and $7.2 million per year ongoing with an additional $3.3 million in 2030–31 and each third year thereafter) to address misleading or incorrect content in electoral communications and political advertising, including funding the Australian Electoral Commission to establish an Electoral Communications Panel and undertake a Digital Media Literacy Program. Funding will also be provided to the Department of Finance to manage appointments to the Electoral Communications Panel.</w:t>
      </w:r>
    </w:p>
    <w:p w14:paraId="060C5119" w14:textId="77777777" w:rsidR="00B449D0" w:rsidRDefault="00175344">
      <w:pPr>
        <w:pStyle w:val="MeasureTitle"/>
      </w:pPr>
      <w:r w:rsidRPr="7F762F0D">
        <w:rPr>
          <w:lang w:val="en-US"/>
        </w:rPr>
        <w:t>Finance Portfolio – additional resourcing</w:t>
      </w:r>
    </w:p>
    <w:p w14:paraId="218FDBF7"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1C4A38D4" w14:textId="77777777">
        <w:trPr>
          <w:cantSplit/>
        </w:trPr>
        <w:tc>
          <w:tcPr>
            <w:tcW w:w="2494" w:type="dxa"/>
            <w:tcBorders>
              <w:top w:val="single" w:sz="4" w:space="0" w:color="000000"/>
              <w:bottom w:val="single" w:sz="4" w:space="0" w:color="000000"/>
            </w:tcBorders>
          </w:tcPr>
          <w:p w14:paraId="26F648D5" w14:textId="77777777" w:rsidR="00B449D0" w:rsidRDefault="00B449D0">
            <w:pPr>
              <w:pStyle w:val="MeasureTableYearHeadings"/>
              <w:keepNext/>
            </w:pPr>
          </w:p>
        </w:tc>
        <w:tc>
          <w:tcPr>
            <w:tcW w:w="1043" w:type="dxa"/>
            <w:tcBorders>
              <w:top w:val="single" w:sz="4" w:space="0" w:color="000000"/>
              <w:bottom w:val="single" w:sz="4" w:space="0" w:color="000000"/>
            </w:tcBorders>
          </w:tcPr>
          <w:p w14:paraId="5154CC66" w14:textId="5067DEB5"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3D3247A9" w14:textId="5B00F128"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4CF3F9BB" w14:textId="32181A66"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46C064E2" w14:textId="27A605F6"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5DEB05CC" w14:textId="46F53D7E" w:rsidR="00B449D0" w:rsidRDefault="00175344">
            <w:pPr>
              <w:pStyle w:val="MeasureTableYearHeadings"/>
              <w:keepNext/>
            </w:pPr>
            <w:r>
              <w:t>2027</w:t>
            </w:r>
            <w:r w:rsidR="00076D78">
              <w:noBreakHyphen/>
            </w:r>
            <w:r>
              <w:t>28</w:t>
            </w:r>
          </w:p>
        </w:tc>
      </w:tr>
      <w:tr w:rsidR="00B449D0" w14:paraId="58F80391" w14:textId="77777777">
        <w:trPr>
          <w:cantSplit/>
        </w:trPr>
        <w:tc>
          <w:tcPr>
            <w:tcW w:w="2494" w:type="dxa"/>
            <w:tcBorders>
              <w:top w:val="single" w:sz="4" w:space="0" w:color="000000"/>
              <w:bottom w:val="single" w:sz="4" w:space="0" w:color="000000"/>
            </w:tcBorders>
          </w:tcPr>
          <w:p w14:paraId="6672EF0F" w14:textId="77777777" w:rsidR="00B449D0" w:rsidRDefault="00175344">
            <w:pPr>
              <w:pStyle w:val="MeasureTableHeadingleftalignedwith2ptsspacing"/>
              <w:keepNext/>
            </w:pPr>
            <w:r>
              <w:t>Department of Finance</w:t>
            </w:r>
          </w:p>
        </w:tc>
        <w:tc>
          <w:tcPr>
            <w:tcW w:w="1043" w:type="dxa"/>
            <w:tcBorders>
              <w:top w:val="single" w:sz="4" w:space="0" w:color="000000"/>
              <w:bottom w:val="single" w:sz="4" w:space="0" w:color="000000"/>
            </w:tcBorders>
          </w:tcPr>
          <w:p w14:paraId="624A0EAE" w14:textId="72F4CD5A"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E220932" w14:textId="77777777" w:rsidR="00B449D0" w:rsidRDefault="00175344">
            <w:pPr>
              <w:pStyle w:val="MeasureTableDataRightAlignedwith2ptsspacing"/>
              <w:keepNext/>
            </w:pPr>
            <w:r>
              <w:t>1.5</w:t>
            </w:r>
          </w:p>
        </w:tc>
        <w:tc>
          <w:tcPr>
            <w:tcW w:w="1043" w:type="dxa"/>
            <w:tcBorders>
              <w:top w:val="single" w:sz="4" w:space="0" w:color="000000"/>
              <w:bottom w:val="single" w:sz="4" w:space="0" w:color="000000"/>
            </w:tcBorders>
          </w:tcPr>
          <w:p w14:paraId="0AC790CB" w14:textId="77777777" w:rsidR="00B449D0" w:rsidRDefault="00175344">
            <w:pPr>
              <w:pStyle w:val="MeasureTableDataRightAlignedwith2ptsspacing"/>
              <w:keepNext/>
            </w:pPr>
            <w:r>
              <w:t>2.8</w:t>
            </w:r>
          </w:p>
        </w:tc>
        <w:tc>
          <w:tcPr>
            <w:tcW w:w="1043" w:type="dxa"/>
            <w:tcBorders>
              <w:top w:val="single" w:sz="4" w:space="0" w:color="000000"/>
              <w:bottom w:val="single" w:sz="4" w:space="0" w:color="000000"/>
            </w:tcBorders>
          </w:tcPr>
          <w:p w14:paraId="250A761E" w14:textId="5009C9A7"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D62237C" w14:textId="1FBD97D3" w:rsidR="00B449D0" w:rsidRDefault="00076D78">
            <w:pPr>
              <w:pStyle w:val="MeasureTableDataRightAlignedwith2ptsspacing"/>
              <w:keepNext/>
            </w:pPr>
            <w:r>
              <w:noBreakHyphen/>
            </w:r>
          </w:p>
        </w:tc>
      </w:tr>
      <w:tr w:rsidR="00B449D0" w14:paraId="3C70F73F" w14:textId="77777777">
        <w:trPr>
          <w:cantSplit/>
        </w:trPr>
        <w:tc>
          <w:tcPr>
            <w:tcW w:w="2494" w:type="dxa"/>
            <w:tcBorders>
              <w:top w:val="single" w:sz="4" w:space="0" w:color="000000"/>
              <w:bottom w:val="single" w:sz="4" w:space="0" w:color="000000"/>
            </w:tcBorders>
          </w:tcPr>
          <w:p w14:paraId="3DADC25E" w14:textId="77777777" w:rsidR="00B449D0" w:rsidRDefault="00175344">
            <w:pPr>
              <w:pStyle w:val="MeasureTableHeadingleftalignedwith2ptsspacing"/>
              <w:keepNext/>
            </w:pPr>
            <w:r>
              <w:t>Parliamentary Workplace Support Service</w:t>
            </w:r>
          </w:p>
        </w:tc>
        <w:tc>
          <w:tcPr>
            <w:tcW w:w="1043" w:type="dxa"/>
            <w:tcBorders>
              <w:top w:val="single" w:sz="4" w:space="0" w:color="000000"/>
              <w:bottom w:val="single" w:sz="4" w:space="0" w:color="000000"/>
            </w:tcBorders>
          </w:tcPr>
          <w:p w14:paraId="4E06712E" w14:textId="1B5500AC"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6830D42A" w14:textId="66B32EF5"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4484306" w14:textId="77777777" w:rsidR="00B449D0" w:rsidRDefault="00175344">
            <w:pPr>
              <w:pStyle w:val="MeasureTableDataRightAlignedwith2ptsspacing"/>
              <w:keepNext/>
            </w:pPr>
            <w:r>
              <w:t>2.4</w:t>
            </w:r>
          </w:p>
        </w:tc>
        <w:tc>
          <w:tcPr>
            <w:tcW w:w="1043" w:type="dxa"/>
            <w:tcBorders>
              <w:top w:val="single" w:sz="4" w:space="0" w:color="000000"/>
              <w:bottom w:val="single" w:sz="4" w:space="0" w:color="000000"/>
            </w:tcBorders>
          </w:tcPr>
          <w:p w14:paraId="53400902" w14:textId="77777777" w:rsidR="00B449D0" w:rsidRDefault="00175344">
            <w:pPr>
              <w:pStyle w:val="MeasureTableDataRightAlignedwith2ptsspacing"/>
              <w:keepNext/>
            </w:pPr>
            <w:r>
              <w:t>2.4</w:t>
            </w:r>
          </w:p>
        </w:tc>
        <w:tc>
          <w:tcPr>
            <w:tcW w:w="1043" w:type="dxa"/>
            <w:tcBorders>
              <w:top w:val="single" w:sz="4" w:space="0" w:color="000000"/>
              <w:bottom w:val="single" w:sz="4" w:space="0" w:color="000000"/>
            </w:tcBorders>
          </w:tcPr>
          <w:p w14:paraId="5AA664AC" w14:textId="77777777" w:rsidR="00B449D0" w:rsidRDefault="00175344">
            <w:pPr>
              <w:pStyle w:val="MeasureTableDataRightAlignedwith2ptsspacing"/>
              <w:keepNext/>
            </w:pPr>
            <w:r>
              <w:t>2.5</w:t>
            </w:r>
          </w:p>
        </w:tc>
      </w:tr>
      <w:tr w:rsidR="00B449D0" w14:paraId="0E7D2D38" w14:textId="77777777">
        <w:trPr>
          <w:cantSplit/>
        </w:trPr>
        <w:tc>
          <w:tcPr>
            <w:tcW w:w="2494" w:type="dxa"/>
            <w:tcBorders>
              <w:top w:val="single" w:sz="4" w:space="0" w:color="000000"/>
              <w:bottom w:val="single" w:sz="4" w:space="0" w:color="000000"/>
            </w:tcBorders>
          </w:tcPr>
          <w:p w14:paraId="54CA00C8"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648CCAC7" w14:textId="17F3DE75"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084C1122" w14:textId="77777777" w:rsidR="00B449D0" w:rsidRDefault="00175344">
            <w:pPr>
              <w:pStyle w:val="Totaldatarowrightaligned"/>
              <w:keepNext/>
            </w:pPr>
            <w:r>
              <w:t>1.5</w:t>
            </w:r>
          </w:p>
        </w:tc>
        <w:tc>
          <w:tcPr>
            <w:tcW w:w="1043" w:type="dxa"/>
            <w:tcBorders>
              <w:top w:val="single" w:sz="4" w:space="0" w:color="000000"/>
              <w:bottom w:val="single" w:sz="4" w:space="0" w:color="000000"/>
            </w:tcBorders>
          </w:tcPr>
          <w:p w14:paraId="6939FAD9" w14:textId="77777777" w:rsidR="00B449D0" w:rsidRDefault="00175344">
            <w:pPr>
              <w:pStyle w:val="Totaldatarowrightaligned"/>
              <w:keepNext/>
            </w:pPr>
            <w:r>
              <w:t>5.2</w:t>
            </w:r>
          </w:p>
        </w:tc>
        <w:tc>
          <w:tcPr>
            <w:tcW w:w="1043" w:type="dxa"/>
            <w:tcBorders>
              <w:top w:val="single" w:sz="4" w:space="0" w:color="000000"/>
              <w:bottom w:val="single" w:sz="4" w:space="0" w:color="000000"/>
            </w:tcBorders>
          </w:tcPr>
          <w:p w14:paraId="70594B31" w14:textId="77777777" w:rsidR="00B449D0" w:rsidRDefault="00175344">
            <w:pPr>
              <w:pStyle w:val="Totaldatarowrightaligned"/>
              <w:keepNext/>
            </w:pPr>
            <w:r>
              <w:t>2.4</w:t>
            </w:r>
          </w:p>
        </w:tc>
        <w:tc>
          <w:tcPr>
            <w:tcW w:w="1043" w:type="dxa"/>
            <w:tcBorders>
              <w:top w:val="single" w:sz="4" w:space="0" w:color="000000"/>
              <w:bottom w:val="single" w:sz="4" w:space="0" w:color="000000"/>
            </w:tcBorders>
          </w:tcPr>
          <w:p w14:paraId="2CA69A60" w14:textId="77777777" w:rsidR="00B449D0" w:rsidRDefault="00175344">
            <w:pPr>
              <w:pStyle w:val="Totaldatarowrightaligned"/>
              <w:keepNext/>
            </w:pPr>
            <w:r>
              <w:t>2.5</w:t>
            </w:r>
          </w:p>
        </w:tc>
      </w:tr>
    </w:tbl>
    <w:p w14:paraId="733C76BC" w14:textId="77777777" w:rsidR="00B449D0" w:rsidRDefault="00B449D0" w:rsidP="00380A42">
      <w:pPr>
        <w:pStyle w:val="SingleParagraph0"/>
      </w:pPr>
    </w:p>
    <w:p w14:paraId="71A40FBE" w14:textId="77777777" w:rsidR="00B449D0" w:rsidRDefault="00175344">
      <w:pPr>
        <w:pStyle w:val="Normal2"/>
      </w:pPr>
      <w:r>
        <w:t>The Government will provide $11.6 million over four years from 2024–25 (and $2.5 million per year ongoing) to support the delivery of Government priorities in the Finance portfolio. Funding includes:</w:t>
      </w:r>
    </w:p>
    <w:p w14:paraId="3DFCD932" w14:textId="77777777" w:rsidR="00B449D0" w:rsidRDefault="00175344">
      <w:pPr>
        <w:pStyle w:val="Bullet"/>
      </w:pPr>
      <w:r>
        <w:t>$7.3 million over three years from 2025–26 (and $2.5 million per year ongoing) to fund the ongoing operation of the Independent Parliamentary Standards Commission to support safe and respectful workplaces for parliamentarians, their staff and other people who work in a Commonwealth parliamentary workplace</w:t>
      </w:r>
    </w:p>
    <w:p w14:paraId="28251FAB" w14:textId="1D76EB1A" w:rsidR="00B449D0" w:rsidRDefault="00175344">
      <w:pPr>
        <w:pStyle w:val="Bullet"/>
      </w:pPr>
      <w:r>
        <w:t>$4.3 million over two years from 2024–25 for the Department of Finance to continue to support smaller entities to navigate the new Australian Public Service Enterprise Resource Planning (ERP) approach and plan an ERP solution that best meets each entity</w:t>
      </w:r>
      <w:r w:rsidR="00076D78">
        <w:t>’</w:t>
      </w:r>
      <w:r>
        <w:t>s needs and budget.</w:t>
      </w:r>
    </w:p>
    <w:p w14:paraId="333CA80E" w14:textId="77777777" w:rsidR="00B449D0" w:rsidRDefault="00175344">
      <w:pPr>
        <w:pStyle w:val="Normal2"/>
      </w:pPr>
      <w:r>
        <w:t xml:space="preserve">This measure builds on the 2023–24 MYEFO measure titled </w:t>
      </w:r>
      <w:r w:rsidRPr="00175344">
        <w:rPr>
          <w:i/>
        </w:rPr>
        <w:t>Future of Shared Services</w:t>
      </w:r>
      <w:r>
        <w:t xml:space="preserve"> and the 2024–25 Budget measure titled </w:t>
      </w:r>
      <w:r w:rsidRPr="00175344">
        <w:rPr>
          <w:i/>
        </w:rPr>
        <w:t>Initial Funding for the Independent Parliamentary Standards Commission</w:t>
      </w:r>
      <w:r>
        <w:t>.</w:t>
      </w:r>
    </w:p>
    <w:p w14:paraId="3907FF1F" w14:textId="77777777" w:rsidR="00B449D0" w:rsidRDefault="00175344">
      <w:pPr>
        <w:pStyle w:val="MeasureTitle"/>
      </w:pPr>
      <w:r>
        <w:lastRenderedPageBreak/>
        <w:t>Reforming the Commonwealth Funding and Disclosure Scheme</w:t>
      </w:r>
    </w:p>
    <w:p w14:paraId="02D32088"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4501EDCE" w14:textId="77777777">
        <w:trPr>
          <w:cantSplit/>
        </w:trPr>
        <w:tc>
          <w:tcPr>
            <w:tcW w:w="2494" w:type="dxa"/>
            <w:tcBorders>
              <w:top w:val="single" w:sz="4" w:space="0" w:color="000000"/>
              <w:bottom w:val="single" w:sz="4" w:space="0" w:color="000000"/>
            </w:tcBorders>
          </w:tcPr>
          <w:p w14:paraId="7893B3D4" w14:textId="77777777" w:rsidR="00B449D0" w:rsidRDefault="00B449D0">
            <w:pPr>
              <w:pStyle w:val="MeasureTableYearHeadings"/>
              <w:keepNext/>
            </w:pPr>
          </w:p>
        </w:tc>
        <w:tc>
          <w:tcPr>
            <w:tcW w:w="1043" w:type="dxa"/>
            <w:tcBorders>
              <w:top w:val="single" w:sz="4" w:space="0" w:color="000000"/>
              <w:bottom w:val="single" w:sz="4" w:space="0" w:color="000000"/>
            </w:tcBorders>
          </w:tcPr>
          <w:p w14:paraId="5566D596" w14:textId="7129367F"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651CB8ED" w14:textId="469C3B19"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19EF4959" w14:textId="35B8869F"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0BDD885E" w14:textId="4964921A"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4CC537FE" w14:textId="3D0AFE61" w:rsidR="00B449D0" w:rsidRDefault="00175344">
            <w:pPr>
              <w:pStyle w:val="MeasureTableYearHeadings"/>
              <w:keepNext/>
            </w:pPr>
            <w:r>
              <w:t>2027</w:t>
            </w:r>
            <w:r w:rsidR="00076D78">
              <w:noBreakHyphen/>
            </w:r>
            <w:r>
              <w:t>28</w:t>
            </w:r>
          </w:p>
        </w:tc>
      </w:tr>
      <w:tr w:rsidR="00B449D0" w14:paraId="56071E62" w14:textId="77777777">
        <w:trPr>
          <w:cantSplit/>
        </w:trPr>
        <w:tc>
          <w:tcPr>
            <w:tcW w:w="2494" w:type="dxa"/>
            <w:tcBorders>
              <w:top w:val="single" w:sz="4" w:space="0" w:color="000000"/>
              <w:bottom w:val="single" w:sz="4" w:space="0" w:color="000000"/>
            </w:tcBorders>
          </w:tcPr>
          <w:p w14:paraId="760CCC34" w14:textId="77777777" w:rsidR="00B449D0" w:rsidRDefault="00175344">
            <w:pPr>
              <w:pStyle w:val="MeasureTableHeadingleftalignedwith2ptsspacing"/>
              <w:keepNext/>
            </w:pPr>
            <w:r>
              <w:t>Department of Finance</w:t>
            </w:r>
          </w:p>
        </w:tc>
        <w:tc>
          <w:tcPr>
            <w:tcW w:w="1043" w:type="dxa"/>
            <w:tcBorders>
              <w:top w:val="single" w:sz="4" w:space="0" w:color="000000"/>
              <w:bottom w:val="single" w:sz="4" w:space="0" w:color="000000"/>
            </w:tcBorders>
          </w:tcPr>
          <w:p w14:paraId="6402D4F5" w14:textId="13BC4058"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BB0B4C3" w14:textId="77777777" w:rsidR="00B449D0" w:rsidRDefault="00175344">
            <w:pPr>
              <w:pStyle w:val="MeasureTableDataRightAlignedwith2ptsspacing"/>
              <w:keepNext/>
            </w:pPr>
            <w:r>
              <w:t>0.1</w:t>
            </w:r>
          </w:p>
        </w:tc>
        <w:tc>
          <w:tcPr>
            <w:tcW w:w="1043" w:type="dxa"/>
            <w:tcBorders>
              <w:top w:val="single" w:sz="4" w:space="0" w:color="000000"/>
              <w:bottom w:val="single" w:sz="4" w:space="0" w:color="000000"/>
            </w:tcBorders>
          </w:tcPr>
          <w:p w14:paraId="25137D0D" w14:textId="77777777" w:rsidR="00B449D0" w:rsidRDefault="00175344">
            <w:pPr>
              <w:pStyle w:val="MeasureTableDataRightAlignedwith2ptsspacing"/>
              <w:keepNext/>
            </w:pPr>
            <w:r>
              <w:t>0.1</w:t>
            </w:r>
          </w:p>
        </w:tc>
        <w:tc>
          <w:tcPr>
            <w:tcW w:w="1043" w:type="dxa"/>
            <w:tcBorders>
              <w:top w:val="single" w:sz="4" w:space="0" w:color="000000"/>
              <w:bottom w:val="single" w:sz="4" w:space="0" w:color="000000"/>
            </w:tcBorders>
          </w:tcPr>
          <w:p w14:paraId="77B117E3" w14:textId="77777777" w:rsidR="00B449D0" w:rsidRDefault="00175344">
            <w:pPr>
              <w:pStyle w:val="MeasureTableDataRightAlignedwith2ptsspacing"/>
              <w:keepNext/>
            </w:pPr>
            <w:r>
              <w:t>0.1</w:t>
            </w:r>
          </w:p>
        </w:tc>
        <w:tc>
          <w:tcPr>
            <w:tcW w:w="1043" w:type="dxa"/>
            <w:tcBorders>
              <w:top w:val="single" w:sz="4" w:space="0" w:color="000000"/>
              <w:bottom w:val="single" w:sz="4" w:space="0" w:color="000000"/>
            </w:tcBorders>
          </w:tcPr>
          <w:p w14:paraId="5FEE5A32" w14:textId="77777777" w:rsidR="00B449D0" w:rsidRDefault="00175344">
            <w:pPr>
              <w:pStyle w:val="MeasureTableDataRightAlignedwith2ptsspacing"/>
              <w:keepNext/>
            </w:pPr>
            <w:r>
              <w:t>0.1</w:t>
            </w:r>
          </w:p>
        </w:tc>
      </w:tr>
      <w:tr w:rsidR="00B449D0" w14:paraId="7EC20992" w14:textId="77777777">
        <w:trPr>
          <w:cantSplit/>
        </w:trPr>
        <w:tc>
          <w:tcPr>
            <w:tcW w:w="2494" w:type="dxa"/>
            <w:tcBorders>
              <w:top w:val="single" w:sz="4" w:space="0" w:color="000000"/>
              <w:bottom w:val="single" w:sz="4" w:space="0" w:color="000000"/>
            </w:tcBorders>
          </w:tcPr>
          <w:p w14:paraId="6A2576DB" w14:textId="77777777" w:rsidR="00B449D0" w:rsidRDefault="00175344">
            <w:pPr>
              <w:pStyle w:val="MeasureTableHeadingleftalignedwith2ptsspacing"/>
              <w:keepNext/>
            </w:pPr>
            <w:r>
              <w:t>Digital Transformation Agency</w:t>
            </w:r>
          </w:p>
        </w:tc>
        <w:tc>
          <w:tcPr>
            <w:tcW w:w="1043" w:type="dxa"/>
            <w:tcBorders>
              <w:top w:val="single" w:sz="4" w:space="0" w:color="000000"/>
              <w:bottom w:val="single" w:sz="4" w:space="0" w:color="000000"/>
            </w:tcBorders>
          </w:tcPr>
          <w:p w14:paraId="3A4DA6EC" w14:textId="058D7ADB"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0096CC5" w14:textId="77777777" w:rsidR="00B449D0" w:rsidRDefault="00175344">
            <w:pPr>
              <w:pStyle w:val="MeasureTableDataRightAlignedwith2ptsspacing"/>
              <w:keepNext/>
            </w:pPr>
            <w:r>
              <w:t>0.1</w:t>
            </w:r>
          </w:p>
        </w:tc>
        <w:tc>
          <w:tcPr>
            <w:tcW w:w="1043" w:type="dxa"/>
            <w:tcBorders>
              <w:top w:val="single" w:sz="4" w:space="0" w:color="000000"/>
              <w:bottom w:val="single" w:sz="4" w:space="0" w:color="000000"/>
            </w:tcBorders>
          </w:tcPr>
          <w:p w14:paraId="149EB4E2" w14:textId="77777777" w:rsidR="00B449D0" w:rsidRDefault="00175344">
            <w:pPr>
              <w:pStyle w:val="MeasureTableDataRightAlignedwith2ptsspacing"/>
              <w:keepNext/>
            </w:pPr>
            <w:r>
              <w:t>0.1</w:t>
            </w:r>
          </w:p>
        </w:tc>
        <w:tc>
          <w:tcPr>
            <w:tcW w:w="1043" w:type="dxa"/>
            <w:tcBorders>
              <w:top w:val="single" w:sz="4" w:space="0" w:color="000000"/>
              <w:bottom w:val="single" w:sz="4" w:space="0" w:color="000000"/>
            </w:tcBorders>
          </w:tcPr>
          <w:p w14:paraId="278E0A7C" w14:textId="77777777" w:rsidR="00B449D0" w:rsidRDefault="00175344">
            <w:pPr>
              <w:pStyle w:val="MeasureTableDataRightAlignedwith2ptsspacing"/>
              <w:keepNext/>
            </w:pPr>
            <w:r>
              <w:t>0.1</w:t>
            </w:r>
          </w:p>
        </w:tc>
        <w:tc>
          <w:tcPr>
            <w:tcW w:w="1043" w:type="dxa"/>
            <w:tcBorders>
              <w:top w:val="single" w:sz="4" w:space="0" w:color="000000"/>
              <w:bottom w:val="single" w:sz="4" w:space="0" w:color="000000"/>
            </w:tcBorders>
          </w:tcPr>
          <w:p w14:paraId="0F34FC5C" w14:textId="77777777" w:rsidR="00B449D0" w:rsidRDefault="00175344">
            <w:pPr>
              <w:pStyle w:val="MeasureTableDataRightAlignedwith2ptsspacing"/>
              <w:keepNext/>
            </w:pPr>
            <w:r>
              <w:t>0.1</w:t>
            </w:r>
          </w:p>
        </w:tc>
      </w:tr>
      <w:tr w:rsidR="00B449D0" w14:paraId="5C30F0BA" w14:textId="77777777">
        <w:trPr>
          <w:cantSplit/>
        </w:trPr>
        <w:tc>
          <w:tcPr>
            <w:tcW w:w="2494" w:type="dxa"/>
            <w:tcBorders>
              <w:top w:val="single" w:sz="4" w:space="0" w:color="000000"/>
              <w:bottom w:val="single" w:sz="4" w:space="0" w:color="000000"/>
            </w:tcBorders>
          </w:tcPr>
          <w:p w14:paraId="74F6100F" w14:textId="77777777" w:rsidR="00B449D0" w:rsidRDefault="00175344">
            <w:pPr>
              <w:pStyle w:val="MeasureTableHeadingleftalignedwith2ptsspacing"/>
              <w:keepNext/>
            </w:pPr>
            <w:r>
              <w:t>Australian Electoral Commission</w:t>
            </w:r>
          </w:p>
        </w:tc>
        <w:tc>
          <w:tcPr>
            <w:tcW w:w="1043" w:type="dxa"/>
            <w:tcBorders>
              <w:top w:val="single" w:sz="4" w:space="0" w:color="000000"/>
              <w:bottom w:val="single" w:sz="4" w:space="0" w:color="000000"/>
            </w:tcBorders>
          </w:tcPr>
          <w:p w14:paraId="1ED3108E" w14:textId="1339D1E6"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22EC9DD" w14:textId="77777777" w:rsidR="00B449D0" w:rsidRDefault="00175344">
            <w:pPr>
              <w:pStyle w:val="MeasureTableDataRightAlignedwith2ptsspacing"/>
              <w:keepNext/>
            </w:pPr>
            <w:r>
              <w:t>nfp</w:t>
            </w:r>
          </w:p>
        </w:tc>
        <w:tc>
          <w:tcPr>
            <w:tcW w:w="1043" w:type="dxa"/>
            <w:tcBorders>
              <w:top w:val="single" w:sz="4" w:space="0" w:color="000000"/>
              <w:bottom w:val="single" w:sz="4" w:space="0" w:color="000000"/>
            </w:tcBorders>
          </w:tcPr>
          <w:p w14:paraId="7802F88D" w14:textId="77777777" w:rsidR="00B449D0" w:rsidRDefault="00175344">
            <w:pPr>
              <w:pStyle w:val="MeasureTableDataRightAlignedwith2ptsspacing"/>
              <w:keepNext/>
            </w:pPr>
            <w:r>
              <w:t>nfp</w:t>
            </w:r>
          </w:p>
        </w:tc>
        <w:tc>
          <w:tcPr>
            <w:tcW w:w="1043" w:type="dxa"/>
            <w:tcBorders>
              <w:top w:val="single" w:sz="4" w:space="0" w:color="000000"/>
              <w:bottom w:val="single" w:sz="4" w:space="0" w:color="000000"/>
            </w:tcBorders>
          </w:tcPr>
          <w:p w14:paraId="25062E30" w14:textId="77777777" w:rsidR="00B449D0" w:rsidRDefault="00175344">
            <w:pPr>
              <w:pStyle w:val="MeasureTableDataRightAlignedwith2ptsspacing"/>
              <w:keepNext/>
            </w:pPr>
            <w:r>
              <w:t>nfp</w:t>
            </w:r>
          </w:p>
        </w:tc>
        <w:tc>
          <w:tcPr>
            <w:tcW w:w="1043" w:type="dxa"/>
            <w:tcBorders>
              <w:top w:val="single" w:sz="4" w:space="0" w:color="000000"/>
              <w:bottom w:val="single" w:sz="4" w:space="0" w:color="000000"/>
            </w:tcBorders>
          </w:tcPr>
          <w:p w14:paraId="7926AFBD" w14:textId="77777777" w:rsidR="00B449D0" w:rsidRDefault="00175344">
            <w:pPr>
              <w:pStyle w:val="MeasureTableDataRightAlignedwith2ptsspacing"/>
              <w:keepNext/>
            </w:pPr>
            <w:r>
              <w:t>nfp</w:t>
            </w:r>
          </w:p>
        </w:tc>
      </w:tr>
      <w:tr w:rsidR="00B449D0" w14:paraId="58432D89" w14:textId="77777777">
        <w:trPr>
          <w:cantSplit/>
        </w:trPr>
        <w:tc>
          <w:tcPr>
            <w:tcW w:w="2494" w:type="dxa"/>
            <w:tcBorders>
              <w:top w:val="single" w:sz="4" w:space="0" w:color="000000"/>
              <w:bottom w:val="single" w:sz="4" w:space="0" w:color="000000"/>
            </w:tcBorders>
          </w:tcPr>
          <w:p w14:paraId="5C8FEE34"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18B22A8B" w14:textId="34360635"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0616CE52" w14:textId="77777777" w:rsidR="00B449D0" w:rsidRDefault="00175344">
            <w:pPr>
              <w:pStyle w:val="Totaldatarowrightaligned"/>
              <w:keepNext/>
            </w:pPr>
            <w:r>
              <w:t>0.2</w:t>
            </w:r>
          </w:p>
        </w:tc>
        <w:tc>
          <w:tcPr>
            <w:tcW w:w="1043" w:type="dxa"/>
            <w:tcBorders>
              <w:top w:val="single" w:sz="4" w:space="0" w:color="000000"/>
              <w:bottom w:val="single" w:sz="4" w:space="0" w:color="000000"/>
            </w:tcBorders>
          </w:tcPr>
          <w:p w14:paraId="33F5DFA1" w14:textId="77777777" w:rsidR="00B449D0" w:rsidRDefault="00175344">
            <w:pPr>
              <w:pStyle w:val="Totaldatarowrightaligned"/>
              <w:keepNext/>
            </w:pPr>
            <w:r>
              <w:t>0.2</w:t>
            </w:r>
          </w:p>
        </w:tc>
        <w:tc>
          <w:tcPr>
            <w:tcW w:w="1043" w:type="dxa"/>
            <w:tcBorders>
              <w:top w:val="single" w:sz="4" w:space="0" w:color="000000"/>
              <w:bottom w:val="single" w:sz="4" w:space="0" w:color="000000"/>
            </w:tcBorders>
          </w:tcPr>
          <w:p w14:paraId="7A90F408" w14:textId="77777777" w:rsidR="00B449D0" w:rsidRDefault="00175344">
            <w:pPr>
              <w:pStyle w:val="Totaldatarowrightaligned"/>
              <w:keepNext/>
            </w:pPr>
            <w:r>
              <w:t>0.2</w:t>
            </w:r>
          </w:p>
        </w:tc>
        <w:tc>
          <w:tcPr>
            <w:tcW w:w="1043" w:type="dxa"/>
            <w:tcBorders>
              <w:top w:val="single" w:sz="4" w:space="0" w:color="000000"/>
              <w:bottom w:val="single" w:sz="4" w:space="0" w:color="000000"/>
            </w:tcBorders>
          </w:tcPr>
          <w:p w14:paraId="25EEE13A" w14:textId="77777777" w:rsidR="00B449D0" w:rsidRDefault="00175344">
            <w:pPr>
              <w:pStyle w:val="Totaldatarowrightaligned"/>
              <w:keepNext/>
            </w:pPr>
            <w:r>
              <w:t>0.2</w:t>
            </w:r>
          </w:p>
        </w:tc>
      </w:tr>
    </w:tbl>
    <w:p w14:paraId="2436B4D7" w14:textId="77777777" w:rsidR="00B449D0" w:rsidRDefault="00B449D0" w:rsidP="00380A42">
      <w:pPr>
        <w:pStyle w:val="SingleParagraph0"/>
      </w:pPr>
    </w:p>
    <w:p w14:paraId="61C46E4D" w14:textId="2BF22FE5" w:rsidR="00B449D0" w:rsidRDefault="00175344">
      <w:pPr>
        <w:pStyle w:val="Normal2"/>
      </w:pPr>
      <w:r w:rsidRPr="7F762F0D">
        <w:rPr>
          <w:lang w:val="en-US"/>
        </w:rPr>
        <w:t>The Government will provide funding to support the new Commonwealth electoral funding and disclosure scheme to improve the integrity and transparency of Australia</w:t>
      </w:r>
      <w:r w:rsidR="00076D78">
        <w:rPr>
          <w:lang w:val="en-US"/>
        </w:rPr>
        <w:t>’</w:t>
      </w:r>
      <w:r w:rsidRPr="7F762F0D">
        <w:rPr>
          <w:lang w:val="en-US"/>
        </w:rPr>
        <w:t>s electoral processes, including funding for the Australian Electoral Commission to implement and administer the new scheme, funding to support necessary IT enhancements, anticipated election funding as well as administrative and compliance funding.</w:t>
      </w:r>
    </w:p>
    <w:p w14:paraId="47C863C7" w14:textId="5A3E8CA5" w:rsidR="00B449D0" w:rsidRDefault="00175344">
      <w:pPr>
        <w:pStyle w:val="Normal2"/>
      </w:pPr>
      <w:r w:rsidRPr="7F762F0D">
        <w:rPr>
          <w:lang w:val="en-US"/>
        </w:rPr>
        <w:t>The financial implications for this measure are not for publication (nfp) because they would impair the Commonwealth</w:t>
      </w:r>
      <w:r w:rsidR="00076D78">
        <w:rPr>
          <w:lang w:val="en-US"/>
        </w:rPr>
        <w:t>’</w:t>
      </w:r>
      <w:r w:rsidRPr="7F762F0D">
        <w:rPr>
          <w:lang w:val="en-US"/>
        </w:rPr>
        <w:t>s position in negotiating contracts with industry.</w:t>
      </w:r>
    </w:p>
    <w:p w14:paraId="35C14058" w14:textId="77777777" w:rsidR="00B449D0" w:rsidRDefault="00B449D0">
      <w:pPr>
        <w:sectPr w:rsidR="00B449D0" w:rsidSect="00301E48">
          <w:headerReference w:type="even" r:id="rId84"/>
          <w:headerReference w:type="default" r:id="rId85"/>
          <w:footerReference w:type="even" r:id="rId86"/>
          <w:footerReference w:type="default" r:id="rId87"/>
          <w:headerReference w:type="first" r:id="rId88"/>
          <w:footerReference w:type="first" r:id="rId89"/>
          <w:pgSz w:w="11906" w:h="16838"/>
          <w:pgMar w:top="2835" w:right="2098" w:bottom="2466" w:left="2098" w:header="1814" w:footer="1814" w:gutter="0"/>
          <w:cols w:space="720"/>
          <w:docGrid w:linePitch="272"/>
        </w:sectPr>
      </w:pPr>
    </w:p>
    <w:p w14:paraId="51CE4443" w14:textId="77777777" w:rsidR="00B449D0" w:rsidRDefault="00175344">
      <w:pPr>
        <w:pStyle w:val="PortfolioName"/>
      </w:pPr>
      <w:r>
        <w:lastRenderedPageBreak/>
        <w:t>Foreign Affairs and Trade</w:t>
      </w:r>
    </w:p>
    <w:p w14:paraId="711DA570" w14:textId="77777777" w:rsidR="00B449D0" w:rsidRDefault="00175344">
      <w:pPr>
        <w:pStyle w:val="MeasureTitle"/>
      </w:pPr>
      <w:r w:rsidRPr="7F762F0D">
        <w:rPr>
          <w:lang w:val="en-US"/>
        </w:rPr>
        <w:t>Critical Minerals Facility – additional support for Iluka Resources Eneabba Rare Earths Refinery</w:t>
      </w:r>
    </w:p>
    <w:p w14:paraId="1960B77F"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575BF739" w14:textId="77777777">
        <w:trPr>
          <w:cantSplit/>
        </w:trPr>
        <w:tc>
          <w:tcPr>
            <w:tcW w:w="2494" w:type="dxa"/>
            <w:tcBorders>
              <w:top w:val="single" w:sz="4" w:space="0" w:color="000000"/>
              <w:bottom w:val="single" w:sz="4" w:space="0" w:color="000000"/>
            </w:tcBorders>
          </w:tcPr>
          <w:p w14:paraId="2E6C35B7" w14:textId="77777777" w:rsidR="00B449D0" w:rsidRDefault="00B449D0">
            <w:pPr>
              <w:pStyle w:val="MeasureTableYearHeadings"/>
              <w:keepNext/>
            </w:pPr>
          </w:p>
        </w:tc>
        <w:tc>
          <w:tcPr>
            <w:tcW w:w="1043" w:type="dxa"/>
            <w:tcBorders>
              <w:top w:val="single" w:sz="4" w:space="0" w:color="000000"/>
              <w:bottom w:val="single" w:sz="4" w:space="0" w:color="000000"/>
            </w:tcBorders>
          </w:tcPr>
          <w:p w14:paraId="08557843" w14:textId="5F2C26D5"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51F36074" w14:textId="4FA14B39"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00C8323D" w14:textId="316279C3"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1B3BF773" w14:textId="74B0DEB2"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6690AD79" w14:textId="302BE8AC" w:rsidR="00B449D0" w:rsidRDefault="00175344">
            <w:pPr>
              <w:pStyle w:val="MeasureTableYearHeadings"/>
              <w:keepNext/>
            </w:pPr>
            <w:r>
              <w:t>2027</w:t>
            </w:r>
            <w:r w:rsidR="00076D78">
              <w:noBreakHyphen/>
            </w:r>
            <w:r>
              <w:t>28</w:t>
            </w:r>
          </w:p>
        </w:tc>
      </w:tr>
      <w:tr w:rsidR="00B449D0" w14:paraId="2BF1AFC1" w14:textId="77777777">
        <w:trPr>
          <w:cantSplit/>
        </w:trPr>
        <w:tc>
          <w:tcPr>
            <w:tcW w:w="2494" w:type="dxa"/>
            <w:tcBorders>
              <w:top w:val="single" w:sz="4" w:space="0" w:color="000000"/>
              <w:bottom w:val="single" w:sz="4" w:space="0" w:color="000000"/>
            </w:tcBorders>
          </w:tcPr>
          <w:p w14:paraId="7E283C64" w14:textId="77777777" w:rsidR="00B449D0" w:rsidRDefault="00175344">
            <w:pPr>
              <w:pStyle w:val="MeasureTableHeadingleftalignedwith2ptsspacing"/>
              <w:keepNext/>
            </w:pPr>
            <w:r>
              <w:t>Export Finance and Insurance Corporation (National Interest component)</w:t>
            </w:r>
          </w:p>
        </w:tc>
        <w:tc>
          <w:tcPr>
            <w:tcW w:w="1043" w:type="dxa"/>
            <w:tcBorders>
              <w:top w:val="single" w:sz="4" w:space="0" w:color="000000"/>
              <w:bottom w:val="single" w:sz="4" w:space="0" w:color="000000"/>
            </w:tcBorders>
          </w:tcPr>
          <w:p w14:paraId="68A1BDBD" w14:textId="08E4A6DA"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FF8EDC7" w14:textId="5DA3D1E2"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BC6B746" w14:textId="77777777" w:rsidR="00B449D0" w:rsidRDefault="00175344">
            <w:pPr>
              <w:pStyle w:val="MeasureTableDataRightAlignedwith2ptsspacing"/>
              <w:keepNext/>
            </w:pPr>
            <w:r>
              <w:t>nfp</w:t>
            </w:r>
          </w:p>
        </w:tc>
        <w:tc>
          <w:tcPr>
            <w:tcW w:w="1043" w:type="dxa"/>
            <w:tcBorders>
              <w:top w:val="single" w:sz="4" w:space="0" w:color="000000"/>
              <w:bottom w:val="single" w:sz="4" w:space="0" w:color="000000"/>
            </w:tcBorders>
          </w:tcPr>
          <w:p w14:paraId="0171B2F4" w14:textId="77777777" w:rsidR="00B449D0" w:rsidRDefault="00175344">
            <w:pPr>
              <w:pStyle w:val="MeasureTableDataRightAlignedwith2ptsspacing"/>
              <w:keepNext/>
            </w:pPr>
            <w:r>
              <w:t>nfp</w:t>
            </w:r>
          </w:p>
        </w:tc>
        <w:tc>
          <w:tcPr>
            <w:tcW w:w="1043" w:type="dxa"/>
            <w:tcBorders>
              <w:top w:val="single" w:sz="4" w:space="0" w:color="000000"/>
              <w:bottom w:val="single" w:sz="4" w:space="0" w:color="000000"/>
            </w:tcBorders>
          </w:tcPr>
          <w:p w14:paraId="01EAE8CD" w14:textId="77777777" w:rsidR="00B449D0" w:rsidRDefault="00175344">
            <w:pPr>
              <w:pStyle w:val="MeasureTableDataRightAlignedwith2ptsspacing"/>
              <w:keepNext/>
            </w:pPr>
            <w:r>
              <w:t>nfp</w:t>
            </w:r>
          </w:p>
        </w:tc>
      </w:tr>
      <w:tr w:rsidR="00B449D0" w14:paraId="01FD80C4" w14:textId="77777777">
        <w:trPr>
          <w:cantSplit/>
        </w:trPr>
        <w:tc>
          <w:tcPr>
            <w:tcW w:w="2494" w:type="dxa"/>
          </w:tcPr>
          <w:p w14:paraId="71F055B0" w14:textId="77777777" w:rsidR="00B449D0" w:rsidRDefault="00175344">
            <w:pPr>
              <w:pStyle w:val="AgencyName"/>
              <w:keepNext/>
            </w:pPr>
            <w:r>
              <w:t>Related receipts ($m)</w:t>
            </w:r>
          </w:p>
        </w:tc>
        <w:tc>
          <w:tcPr>
            <w:tcW w:w="1043" w:type="dxa"/>
          </w:tcPr>
          <w:p w14:paraId="2C1438F0" w14:textId="77777777" w:rsidR="00B449D0" w:rsidRDefault="00B449D0">
            <w:pPr>
              <w:pStyle w:val="AgencyName"/>
              <w:keepNext/>
            </w:pPr>
          </w:p>
        </w:tc>
        <w:tc>
          <w:tcPr>
            <w:tcW w:w="1043" w:type="dxa"/>
          </w:tcPr>
          <w:p w14:paraId="1ED911F3" w14:textId="77777777" w:rsidR="00B449D0" w:rsidRDefault="00B449D0">
            <w:pPr>
              <w:pStyle w:val="AgencyName"/>
              <w:keepNext/>
            </w:pPr>
          </w:p>
        </w:tc>
        <w:tc>
          <w:tcPr>
            <w:tcW w:w="1043" w:type="dxa"/>
          </w:tcPr>
          <w:p w14:paraId="08926B0D" w14:textId="77777777" w:rsidR="00B449D0" w:rsidRDefault="00B449D0">
            <w:pPr>
              <w:pStyle w:val="AgencyName"/>
              <w:keepNext/>
            </w:pPr>
          </w:p>
        </w:tc>
        <w:tc>
          <w:tcPr>
            <w:tcW w:w="1043" w:type="dxa"/>
          </w:tcPr>
          <w:p w14:paraId="7421880B" w14:textId="77777777" w:rsidR="00B449D0" w:rsidRDefault="00B449D0">
            <w:pPr>
              <w:pStyle w:val="AgencyName"/>
              <w:keepNext/>
            </w:pPr>
          </w:p>
        </w:tc>
        <w:tc>
          <w:tcPr>
            <w:tcW w:w="1043" w:type="dxa"/>
          </w:tcPr>
          <w:p w14:paraId="456D0249" w14:textId="77777777" w:rsidR="00B449D0" w:rsidRDefault="00B449D0">
            <w:pPr>
              <w:pStyle w:val="AgencyName"/>
              <w:keepNext/>
            </w:pPr>
          </w:p>
        </w:tc>
      </w:tr>
      <w:tr w:rsidR="00B449D0" w14:paraId="0CD29722" w14:textId="77777777">
        <w:tc>
          <w:tcPr>
            <w:tcW w:w="2494" w:type="dxa"/>
          </w:tcPr>
          <w:p w14:paraId="7541954C" w14:textId="77777777" w:rsidR="00B449D0" w:rsidRDefault="00175344">
            <w:pPr>
              <w:pStyle w:val="AgencyNamewith2ptsspacing"/>
              <w:keepNext/>
            </w:pPr>
            <w:r>
              <w:t>Export Finance and Insurance Corporation (National Interest component)</w:t>
            </w:r>
          </w:p>
        </w:tc>
        <w:tc>
          <w:tcPr>
            <w:tcW w:w="1043" w:type="dxa"/>
          </w:tcPr>
          <w:p w14:paraId="70098A5B" w14:textId="533F00B1" w:rsidR="00B449D0" w:rsidRDefault="00076D78">
            <w:pPr>
              <w:pStyle w:val="Measuretabledatarightaligneditalics"/>
              <w:keepNext/>
            </w:pPr>
            <w:r>
              <w:noBreakHyphen/>
            </w:r>
          </w:p>
        </w:tc>
        <w:tc>
          <w:tcPr>
            <w:tcW w:w="1043" w:type="dxa"/>
          </w:tcPr>
          <w:p w14:paraId="390DBEAB" w14:textId="31DD4251" w:rsidR="00B449D0" w:rsidRDefault="00076D78">
            <w:pPr>
              <w:pStyle w:val="Measuretabledatarightaligneditalics"/>
              <w:keepNext/>
            </w:pPr>
            <w:r>
              <w:noBreakHyphen/>
            </w:r>
          </w:p>
        </w:tc>
        <w:tc>
          <w:tcPr>
            <w:tcW w:w="1043" w:type="dxa"/>
          </w:tcPr>
          <w:p w14:paraId="5F587877" w14:textId="77777777" w:rsidR="00B449D0" w:rsidRDefault="00175344">
            <w:pPr>
              <w:pStyle w:val="Measuretabledatarightaligneditalics"/>
              <w:keepNext/>
            </w:pPr>
            <w:r>
              <w:t>nfp</w:t>
            </w:r>
          </w:p>
        </w:tc>
        <w:tc>
          <w:tcPr>
            <w:tcW w:w="1043" w:type="dxa"/>
          </w:tcPr>
          <w:p w14:paraId="60125EF8" w14:textId="77777777" w:rsidR="00B449D0" w:rsidRDefault="00175344">
            <w:pPr>
              <w:pStyle w:val="Measuretabledatarightaligneditalics"/>
              <w:keepNext/>
            </w:pPr>
            <w:r>
              <w:t>nfp</w:t>
            </w:r>
          </w:p>
        </w:tc>
        <w:tc>
          <w:tcPr>
            <w:tcW w:w="1043" w:type="dxa"/>
          </w:tcPr>
          <w:p w14:paraId="3BD245F5" w14:textId="77777777" w:rsidR="00B449D0" w:rsidRDefault="00175344">
            <w:pPr>
              <w:pStyle w:val="Measuretabledatarightaligneditalics"/>
              <w:keepNext/>
            </w:pPr>
            <w:r>
              <w:t>nfp</w:t>
            </w:r>
          </w:p>
        </w:tc>
      </w:tr>
    </w:tbl>
    <w:p w14:paraId="05FC9FA3" w14:textId="77777777" w:rsidR="00B449D0" w:rsidRDefault="00B449D0" w:rsidP="00380A42">
      <w:pPr>
        <w:pStyle w:val="SingleParagraph0"/>
      </w:pPr>
    </w:p>
    <w:p w14:paraId="4784F11A" w14:textId="77777777" w:rsidR="00B449D0" w:rsidRDefault="00175344">
      <w:pPr>
        <w:pStyle w:val="Normal2"/>
      </w:pPr>
      <w:r w:rsidRPr="7F762F0D">
        <w:rPr>
          <w:lang w:val="en-US"/>
        </w:rPr>
        <w:t>The Government will provide up to $475.0 million in additional financing through the Critical Minerals Facility for Iluka Resources to continue to develop the Eneabba Rare Earths Refinery in Western Australia.</w:t>
      </w:r>
    </w:p>
    <w:p w14:paraId="522257D3" w14:textId="77777777" w:rsidR="00B449D0" w:rsidRDefault="00175344">
      <w:pPr>
        <w:pStyle w:val="Normal2"/>
      </w:pPr>
      <w:r w:rsidRPr="7F762F0D">
        <w:rPr>
          <w:lang w:val="en-US"/>
        </w:rPr>
        <w:t>The financial implications of this measure are not for publication (nfp) due to commercial sensitivities.</w:t>
      </w:r>
    </w:p>
    <w:p w14:paraId="0A900A47" w14:textId="77777777" w:rsidR="00B449D0" w:rsidRDefault="00175344">
      <w:pPr>
        <w:pStyle w:val="MeasureTitle"/>
      </w:pPr>
      <w:r>
        <w:t>Enhancing Pacific Engagement</w:t>
      </w:r>
    </w:p>
    <w:p w14:paraId="52E70A5A"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7744ED88" w14:textId="77777777">
        <w:trPr>
          <w:cantSplit/>
        </w:trPr>
        <w:tc>
          <w:tcPr>
            <w:tcW w:w="2494" w:type="dxa"/>
            <w:tcBorders>
              <w:top w:val="single" w:sz="4" w:space="0" w:color="000000"/>
              <w:bottom w:val="single" w:sz="4" w:space="0" w:color="000000"/>
            </w:tcBorders>
          </w:tcPr>
          <w:p w14:paraId="04850042" w14:textId="77777777" w:rsidR="00B449D0" w:rsidRDefault="00B449D0">
            <w:pPr>
              <w:pStyle w:val="MeasureTableYearHeadings"/>
              <w:keepNext/>
            </w:pPr>
          </w:p>
        </w:tc>
        <w:tc>
          <w:tcPr>
            <w:tcW w:w="1043" w:type="dxa"/>
            <w:tcBorders>
              <w:top w:val="single" w:sz="4" w:space="0" w:color="000000"/>
              <w:bottom w:val="single" w:sz="4" w:space="0" w:color="000000"/>
            </w:tcBorders>
          </w:tcPr>
          <w:p w14:paraId="7D67841E" w14:textId="6742BC57"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0744702F" w14:textId="6826B18C"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67906329" w14:textId="6721E635"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2938FC8E" w14:textId="2578D95F"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0A3D9334" w14:textId="00E2D4B0" w:rsidR="00B449D0" w:rsidRDefault="00175344">
            <w:pPr>
              <w:pStyle w:val="MeasureTableYearHeadings"/>
              <w:keepNext/>
            </w:pPr>
            <w:r>
              <w:t>2027</w:t>
            </w:r>
            <w:r w:rsidR="00076D78">
              <w:noBreakHyphen/>
            </w:r>
            <w:r>
              <w:t>28</w:t>
            </w:r>
          </w:p>
        </w:tc>
      </w:tr>
      <w:tr w:rsidR="00B449D0" w14:paraId="6071E3B7" w14:textId="77777777">
        <w:trPr>
          <w:cantSplit/>
        </w:trPr>
        <w:tc>
          <w:tcPr>
            <w:tcW w:w="2494" w:type="dxa"/>
            <w:tcBorders>
              <w:top w:val="single" w:sz="4" w:space="0" w:color="000000"/>
              <w:bottom w:val="single" w:sz="4" w:space="0" w:color="000000"/>
            </w:tcBorders>
          </w:tcPr>
          <w:p w14:paraId="2A596ABA" w14:textId="77777777" w:rsidR="00B449D0" w:rsidRDefault="00175344">
            <w:pPr>
              <w:pStyle w:val="MeasureTableHeadingleftalignedwith2ptsspacing"/>
              <w:keepNext/>
            </w:pPr>
            <w:r>
              <w:t>Department of Foreign Affairs and Trade</w:t>
            </w:r>
          </w:p>
        </w:tc>
        <w:tc>
          <w:tcPr>
            <w:tcW w:w="1043" w:type="dxa"/>
            <w:tcBorders>
              <w:top w:val="single" w:sz="4" w:space="0" w:color="000000"/>
              <w:bottom w:val="single" w:sz="4" w:space="0" w:color="000000"/>
            </w:tcBorders>
          </w:tcPr>
          <w:p w14:paraId="43601FD6" w14:textId="17B1E6B9"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9B22C68" w14:textId="77777777" w:rsidR="00B449D0" w:rsidRDefault="00175344">
            <w:pPr>
              <w:pStyle w:val="MeasureTableDataRightAlignedwith2ptsspacing"/>
              <w:keepNext/>
            </w:pPr>
            <w:r>
              <w:t>52.2</w:t>
            </w:r>
          </w:p>
        </w:tc>
        <w:tc>
          <w:tcPr>
            <w:tcW w:w="1043" w:type="dxa"/>
            <w:tcBorders>
              <w:top w:val="single" w:sz="4" w:space="0" w:color="000000"/>
              <w:bottom w:val="single" w:sz="4" w:space="0" w:color="000000"/>
            </w:tcBorders>
          </w:tcPr>
          <w:p w14:paraId="235E7F8E" w14:textId="77777777" w:rsidR="00B449D0" w:rsidRDefault="00175344">
            <w:pPr>
              <w:pStyle w:val="MeasureTableDataRightAlignedwith2ptsspacing"/>
              <w:keepNext/>
            </w:pPr>
            <w:r>
              <w:t>70.1</w:t>
            </w:r>
          </w:p>
        </w:tc>
        <w:tc>
          <w:tcPr>
            <w:tcW w:w="1043" w:type="dxa"/>
            <w:tcBorders>
              <w:top w:val="single" w:sz="4" w:space="0" w:color="000000"/>
              <w:bottom w:val="single" w:sz="4" w:space="0" w:color="000000"/>
            </w:tcBorders>
          </w:tcPr>
          <w:p w14:paraId="7B502208" w14:textId="77777777" w:rsidR="00B449D0" w:rsidRDefault="00175344">
            <w:pPr>
              <w:pStyle w:val="MeasureTableDataRightAlignedwith2ptsspacing"/>
              <w:keepNext/>
            </w:pPr>
            <w:r>
              <w:t>61.2</w:t>
            </w:r>
          </w:p>
        </w:tc>
        <w:tc>
          <w:tcPr>
            <w:tcW w:w="1043" w:type="dxa"/>
            <w:tcBorders>
              <w:top w:val="single" w:sz="4" w:space="0" w:color="000000"/>
              <w:bottom w:val="single" w:sz="4" w:space="0" w:color="000000"/>
            </w:tcBorders>
          </w:tcPr>
          <w:p w14:paraId="4C3676A1" w14:textId="77777777" w:rsidR="00B449D0" w:rsidRDefault="00175344">
            <w:pPr>
              <w:pStyle w:val="MeasureTableDataRightAlignedwith2ptsspacing"/>
              <w:keepNext/>
            </w:pPr>
            <w:r>
              <w:t>76.7</w:t>
            </w:r>
          </w:p>
        </w:tc>
      </w:tr>
    </w:tbl>
    <w:p w14:paraId="0C39CC89" w14:textId="77777777" w:rsidR="00B449D0" w:rsidRDefault="00B449D0" w:rsidP="00380A42">
      <w:pPr>
        <w:pStyle w:val="SingleParagraph0"/>
      </w:pPr>
    </w:p>
    <w:p w14:paraId="20684A36" w14:textId="0C2BAE84" w:rsidR="00B449D0" w:rsidRDefault="00175344">
      <w:pPr>
        <w:pStyle w:val="Normal2"/>
      </w:pPr>
      <w:r>
        <w:t>The Government will provide $383.7 million over four years from 2024–25 to enhance and expand Australia</w:t>
      </w:r>
      <w:r w:rsidR="00076D78">
        <w:t>’</w:t>
      </w:r>
      <w:r>
        <w:t>s engagement with Pacific Island countries. Funding includes:</w:t>
      </w:r>
    </w:p>
    <w:p w14:paraId="5BF3B40F" w14:textId="1013044C" w:rsidR="00B449D0" w:rsidRDefault="00175344">
      <w:pPr>
        <w:pStyle w:val="Bullet"/>
      </w:pPr>
      <w:r>
        <w:t>$256.5 million over four years from 2024–25 (and $378.3 million from 2028–29 to 2033</w:t>
      </w:r>
      <w:r w:rsidR="003700BC">
        <w:t>‍</w:t>
      </w:r>
      <w:r>
        <w:t>–</w:t>
      </w:r>
      <w:r w:rsidR="003700BC">
        <w:t>‍</w:t>
      </w:r>
      <w:r>
        <w:t>34) to support the entry of a Papua New Guinea (PNG) franchise into the National</w:t>
      </w:r>
      <w:r w:rsidR="003700BC">
        <w:t> </w:t>
      </w:r>
      <w:r>
        <w:t>Rugby League, including supporting the entry of PNG teams into the elite men</w:t>
      </w:r>
      <w:r w:rsidR="00076D78">
        <w:t>’</w:t>
      </w:r>
      <w:r>
        <w:t>s and women</w:t>
      </w:r>
      <w:r w:rsidR="00076D78">
        <w:t>’</w:t>
      </w:r>
      <w:r>
        <w:t>s competitions, grassroots rugby league programs and elite development pathways in PNG and Pacific Island countries</w:t>
      </w:r>
    </w:p>
    <w:p w14:paraId="2F4F975D" w14:textId="77777777" w:rsidR="00B449D0" w:rsidRDefault="00175344">
      <w:pPr>
        <w:pStyle w:val="Bullet"/>
      </w:pPr>
      <w:r>
        <w:t xml:space="preserve">$120.6 million over four years from 2024–25 (and $42.0 million in 2028–29 and $2.0 million per year ongoing from 2029–30) to support enhanced economic, social and security cooperation with Nauru under the </w:t>
      </w:r>
      <w:r w:rsidRPr="00175344">
        <w:rPr>
          <w:i/>
        </w:rPr>
        <w:t>Nauru‑Australia Treaty</w:t>
      </w:r>
    </w:p>
    <w:p w14:paraId="1B6EA48D" w14:textId="2EB19369" w:rsidR="00B449D0" w:rsidRDefault="00175344">
      <w:pPr>
        <w:pStyle w:val="Bullet"/>
      </w:pPr>
      <w:r>
        <w:t>$6.6 million over three years from 2025–26 for additional scholarships through the Australia Awards program for students from the Indo‑Pacific region, which contributes to the development needs of Australia</w:t>
      </w:r>
      <w:r w:rsidR="00076D78">
        <w:t>’</w:t>
      </w:r>
      <w:r>
        <w:t>s partner countries in line with bilateral and regional agreements.</w:t>
      </w:r>
    </w:p>
    <w:p w14:paraId="7EAB7FEC" w14:textId="77777777" w:rsidR="00B449D0" w:rsidRDefault="00175344">
      <w:pPr>
        <w:pStyle w:val="Normal2"/>
      </w:pPr>
      <w:r>
        <w:t>The Government has already provided partial funding for this measure.</w:t>
      </w:r>
    </w:p>
    <w:p w14:paraId="1457849C" w14:textId="77777777" w:rsidR="00B449D0" w:rsidRDefault="00175344">
      <w:pPr>
        <w:pStyle w:val="Normal2"/>
      </w:pPr>
      <w:r w:rsidRPr="7F762F0D">
        <w:rPr>
          <w:lang w:val="en-US"/>
        </w:rPr>
        <w:lastRenderedPageBreak/>
        <w:t>The cost of this measure will be partially met from within the existing resourcing of the Department of Foreign Affairs and Trade.</w:t>
      </w:r>
    </w:p>
    <w:p w14:paraId="7C872285" w14:textId="77777777" w:rsidR="00B449D0" w:rsidRDefault="00175344">
      <w:pPr>
        <w:pStyle w:val="Normal2"/>
      </w:pPr>
      <w:r>
        <w:t xml:space="preserve">This measure builds on the 2024–25 Budget measures titled </w:t>
      </w:r>
      <w:r w:rsidRPr="00175344">
        <w:rPr>
          <w:i/>
        </w:rPr>
        <w:t xml:space="preserve">Enhancing Pacific Infrastructure and Engagement </w:t>
      </w:r>
      <w:r>
        <w:t xml:space="preserve">and </w:t>
      </w:r>
      <w:r w:rsidRPr="00175344">
        <w:rPr>
          <w:i/>
        </w:rPr>
        <w:t>Policing Engagement and Training</w:t>
      </w:r>
      <w:r>
        <w:t xml:space="preserve">, the 2023–24 MYEFO measures titled </w:t>
      </w:r>
      <w:r w:rsidRPr="00175344">
        <w:rPr>
          <w:i/>
        </w:rPr>
        <w:t xml:space="preserve">Enhancing Pacific Engagement </w:t>
      </w:r>
      <w:r>
        <w:t>and</w:t>
      </w:r>
      <w:r w:rsidRPr="00175344">
        <w:rPr>
          <w:i/>
        </w:rPr>
        <w:t xml:space="preserve"> Australian Infrastructure Financing Facility for the Pacific – PNG loan</w:t>
      </w:r>
      <w:r>
        <w:t xml:space="preserve"> and the 2023–24 Budget measure titled </w:t>
      </w:r>
      <w:r w:rsidRPr="00175344">
        <w:rPr>
          <w:i/>
        </w:rPr>
        <w:t>Enhancing Pacific Engagement</w:t>
      </w:r>
      <w:r>
        <w:t>.</w:t>
      </w:r>
    </w:p>
    <w:p w14:paraId="67443DF4" w14:textId="210B13B7" w:rsidR="00B449D0" w:rsidRDefault="00175344">
      <w:pPr>
        <w:pStyle w:val="Normal2"/>
      </w:pPr>
      <w:r w:rsidRPr="7F762F0D">
        <w:rPr>
          <w:lang w:val="en-US"/>
        </w:rPr>
        <w:t xml:space="preserve">See also the related payment measure titled </w:t>
      </w:r>
      <w:r w:rsidRPr="7F762F0D">
        <w:rPr>
          <w:i/>
          <w:iCs/>
          <w:lang w:val="en-US"/>
        </w:rPr>
        <w:t xml:space="preserve">Pacific Policing Initiative – Centres of Excellence </w:t>
      </w:r>
      <w:r w:rsidRPr="7F762F0D">
        <w:rPr>
          <w:lang w:val="en-US"/>
        </w:rPr>
        <w:t>in the Attorney‑General</w:t>
      </w:r>
      <w:r w:rsidR="00076D78">
        <w:rPr>
          <w:lang w:val="en-US"/>
        </w:rPr>
        <w:t>’</w:t>
      </w:r>
      <w:r w:rsidRPr="7F762F0D">
        <w:rPr>
          <w:lang w:val="en-US"/>
        </w:rPr>
        <w:t>s portfolio.</w:t>
      </w:r>
    </w:p>
    <w:p w14:paraId="40099A60" w14:textId="77777777" w:rsidR="00B449D0" w:rsidRDefault="00175344">
      <w:pPr>
        <w:pStyle w:val="MeasureTitle"/>
      </w:pPr>
      <w:r>
        <w:t>Lebanon Repatriation and Related Support</w:t>
      </w:r>
    </w:p>
    <w:p w14:paraId="4B741B75"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34A5E22E" w14:textId="77777777">
        <w:trPr>
          <w:cantSplit/>
        </w:trPr>
        <w:tc>
          <w:tcPr>
            <w:tcW w:w="2494" w:type="dxa"/>
            <w:tcBorders>
              <w:top w:val="single" w:sz="4" w:space="0" w:color="000000"/>
              <w:bottom w:val="single" w:sz="4" w:space="0" w:color="000000"/>
            </w:tcBorders>
          </w:tcPr>
          <w:p w14:paraId="404E3564" w14:textId="77777777" w:rsidR="00B449D0" w:rsidRDefault="00B449D0">
            <w:pPr>
              <w:pStyle w:val="MeasureTableYearHeadings"/>
              <w:keepNext/>
            </w:pPr>
          </w:p>
        </w:tc>
        <w:tc>
          <w:tcPr>
            <w:tcW w:w="1043" w:type="dxa"/>
            <w:tcBorders>
              <w:top w:val="single" w:sz="4" w:space="0" w:color="000000"/>
              <w:bottom w:val="single" w:sz="4" w:space="0" w:color="000000"/>
            </w:tcBorders>
          </w:tcPr>
          <w:p w14:paraId="136307A9" w14:textId="036CB7EB"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59299910" w14:textId="16CC004B"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2BE1DD45" w14:textId="03D76D2D"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12F26D78" w14:textId="3455ACB5"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795E606B" w14:textId="1255201A" w:rsidR="00B449D0" w:rsidRDefault="00175344">
            <w:pPr>
              <w:pStyle w:val="MeasureTableYearHeadings"/>
              <w:keepNext/>
            </w:pPr>
            <w:r>
              <w:t>2027</w:t>
            </w:r>
            <w:r w:rsidR="00076D78">
              <w:noBreakHyphen/>
            </w:r>
            <w:r>
              <w:t>28</w:t>
            </w:r>
          </w:p>
        </w:tc>
      </w:tr>
      <w:tr w:rsidR="00B449D0" w14:paraId="746EA410" w14:textId="77777777">
        <w:trPr>
          <w:cantSplit/>
        </w:trPr>
        <w:tc>
          <w:tcPr>
            <w:tcW w:w="2494" w:type="dxa"/>
            <w:tcBorders>
              <w:top w:val="single" w:sz="4" w:space="0" w:color="000000"/>
              <w:bottom w:val="single" w:sz="4" w:space="0" w:color="000000"/>
            </w:tcBorders>
          </w:tcPr>
          <w:p w14:paraId="5AE2DB8C" w14:textId="77777777" w:rsidR="00B449D0" w:rsidRDefault="00175344">
            <w:pPr>
              <w:pStyle w:val="MeasureTableHeadingleftalignedwith2ptsspacing"/>
              <w:keepNext/>
            </w:pPr>
            <w:r>
              <w:t>Department of Foreign Affairs and Trade</w:t>
            </w:r>
          </w:p>
        </w:tc>
        <w:tc>
          <w:tcPr>
            <w:tcW w:w="1043" w:type="dxa"/>
            <w:tcBorders>
              <w:top w:val="single" w:sz="4" w:space="0" w:color="000000"/>
              <w:bottom w:val="single" w:sz="4" w:space="0" w:color="000000"/>
            </w:tcBorders>
          </w:tcPr>
          <w:p w14:paraId="4C0D65B9" w14:textId="05123DD7"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9043835" w14:textId="77777777" w:rsidR="00B449D0" w:rsidRDefault="00175344">
            <w:pPr>
              <w:pStyle w:val="MeasureTableDataRightAlignedwith2ptsspacing"/>
              <w:keepNext/>
            </w:pPr>
            <w:r>
              <w:t>44.9</w:t>
            </w:r>
          </w:p>
        </w:tc>
        <w:tc>
          <w:tcPr>
            <w:tcW w:w="1043" w:type="dxa"/>
            <w:tcBorders>
              <w:top w:val="single" w:sz="4" w:space="0" w:color="000000"/>
              <w:bottom w:val="single" w:sz="4" w:space="0" w:color="000000"/>
            </w:tcBorders>
          </w:tcPr>
          <w:p w14:paraId="71ED2676" w14:textId="1AEAE738"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1E97B92" w14:textId="7A4E4E90"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65366FDF" w14:textId="208EA927" w:rsidR="00B449D0" w:rsidRDefault="00076D78">
            <w:pPr>
              <w:pStyle w:val="MeasureTableDataRightAlignedwith2ptsspacing"/>
              <w:keepNext/>
            </w:pPr>
            <w:r>
              <w:noBreakHyphen/>
            </w:r>
          </w:p>
        </w:tc>
      </w:tr>
      <w:tr w:rsidR="00B449D0" w14:paraId="6086AF8D" w14:textId="77777777">
        <w:trPr>
          <w:cantSplit/>
        </w:trPr>
        <w:tc>
          <w:tcPr>
            <w:tcW w:w="2494" w:type="dxa"/>
            <w:tcBorders>
              <w:top w:val="single" w:sz="4" w:space="0" w:color="000000"/>
              <w:bottom w:val="single" w:sz="4" w:space="0" w:color="000000"/>
            </w:tcBorders>
          </w:tcPr>
          <w:p w14:paraId="5398E2C9" w14:textId="77777777" w:rsidR="00B449D0" w:rsidRDefault="00175344">
            <w:pPr>
              <w:pStyle w:val="MeasureTableHeadingleftalignedwith2ptsspacing"/>
              <w:keepNext/>
            </w:pPr>
            <w:r>
              <w:t>Department of Home Affairs</w:t>
            </w:r>
          </w:p>
        </w:tc>
        <w:tc>
          <w:tcPr>
            <w:tcW w:w="1043" w:type="dxa"/>
            <w:tcBorders>
              <w:top w:val="single" w:sz="4" w:space="0" w:color="000000"/>
              <w:bottom w:val="single" w:sz="4" w:space="0" w:color="000000"/>
            </w:tcBorders>
          </w:tcPr>
          <w:p w14:paraId="2B41254B" w14:textId="2D42C4FC"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D4073C7" w14:textId="77777777" w:rsidR="00B449D0" w:rsidRDefault="00175344">
            <w:pPr>
              <w:pStyle w:val="MeasureTableDataRightAlignedwith2ptsspacing"/>
              <w:keepNext/>
            </w:pPr>
            <w:r>
              <w:t>1.0</w:t>
            </w:r>
          </w:p>
        </w:tc>
        <w:tc>
          <w:tcPr>
            <w:tcW w:w="1043" w:type="dxa"/>
            <w:tcBorders>
              <w:top w:val="single" w:sz="4" w:space="0" w:color="000000"/>
              <w:bottom w:val="single" w:sz="4" w:space="0" w:color="000000"/>
            </w:tcBorders>
          </w:tcPr>
          <w:p w14:paraId="2CA688B6" w14:textId="0B43AA4F"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BD78BDB" w14:textId="3D638642"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671D0CF3" w14:textId="77615BAF" w:rsidR="00B449D0" w:rsidRDefault="00076D78">
            <w:pPr>
              <w:pStyle w:val="MeasureTableDataRightAlignedwith2ptsspacing"/>
              <w:keepNext/>
            </w:pPr>
            <w:r>
              <w:noBreakHyphen/>
            </w:r>
          </w:p>
        </w:tc>
      </w:tr>
      <w:tr w:rsidR="00B449D0" w14:paraId="024821EC" w14:textId="77777777">
        <w:trPr>
          <w:cantSplit/>
        </w:trPr>
        <w:tc>
          <w:tcPr>
            <w:tcW w:w="2494" w:type="dxa"/>
            <w:tcBorders>
              <w:top w:val="single" w:sz="4" w:space="0" w:color="000000"/>
              <w:bottom w:val="single" w:sz="4" w:space="0" w:color="000000"/>
            </w:tcBorders>
          </w:tcPr>
          <w:p w14:paraId="2A0995EE" w14:textId="77777777" w:rsidR="00B449D0" w:rsidRDefault="00175344">
            <w:pPr>
              <w:pStyle w:val="MeasureTableHeadingleftalignedwith2ptsspacing"/>
              <w:keepNext/>
            </w:pPr>
            <w:r>
              <w:t>National Emergency Management Agency</w:t>
            </w:r>
          </w:p>
        </w:tc>
        <w:tc>
          <w:tcPr>
            <w:tcW w:w="1043" w:type="dxa"/>
            <w:tcBorders>
              <w:top w:val="single" w:sz="4" w:space="0" w:color="000000"/>
              <w:bottom w:val="single" w:sz="4" w:space="0" w:color="000000"/>
            </w:tcBorders>
          </w:tcPr>
          <w:p w14:paraId="4CC99FE8" w14:textId="4A82D76C"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6E0855F4" w14:textId="77777777" w:rsidR="00B449D0" w:rsidRDefault="00175344">
            <w:pPr>
              <w:pStyle w:val="MeasureTableDataRightAlignedwith2ptsspacing"/>
              <w:keepNext/>
            </w:pPr>
            <w:r>
              <w:t>0.1</w:t>
            </w:r>
          </w:p>
        </w:tc>
        <w:tc>
          <w:tcPr>
            <w:tcW w:w="1043" w:type="dxa"/>
            <w:tcBorders>
              <w:top w:val="single" w:sz="4" w:space="0" w:color="000000"/>
              <w:bottom w:val="single" w:sz="4" w:space="0" w:color="000000"/>
            </w:tcBorders>
          </w:tcPr>
          <w:p w14:paraId="50D66734" w14:textId="443FD768"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C420F94" w14:textId="4B94A10A"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D5C8ADE" w14:textId="4396208F" w:rsidR="00B449D0" w:rsidRDefault="00076D78">
            <w:pPr>
              <w:pStyle w:val="MeasureTableDataRightAlignedwith2ptsspacing"/>
              <w:keepNext/>
            </w:pPr>
            <w:r>
              <w:noBreakHyphen/>
            </w:r>
          </w:p>
        </w:tc>
      </w:tr>
      <w:tr w:rsidR="00B449D0" w14:paraId="6B2AB850" w14:textId="77777777">
        <w:trPr>
          <w:cantSplit/>
        </w:trPr>
        <w:tc>
          <w:tcPr>
            <w:tcW w:w="2494" w:type="dxa"/>
            <w:tcBorders>
              <w:top w:val="single" w:sz="4" w:space="0" w:color="000000"/>
              <w:bottom w:val="single" w:sz="4" w:space="0" w:color="000000"/>
            </w:tcBorders>
          </w:tcPr>
          <w:p w14:paraId="244A01D9"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4635B4A1" w14:textId="528E4EBA"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155F6A52" w14:textId="77777777" w:rsidR="00B449D0" w:rsidRDefault="00175344">
            <w:pPr>
              <w:pStyle w:val="Totaldatarowrightaligned"/>
              <w:keepNext/>
            </w:pPr>
            <w:r>
              <w:t>46.0</w:t>
            </w:r>
          </w:p>
        </w:tc>
        <w:tc>
          <w:tcPr>
            <w:tcW w:w="1043" w:type="dxa"/>
            <w:tcBorders>
              <w:top w:val="single" w:sz="4" w:space="0" w:color="000000"/>
              <w:bottom w:val="single" w:sz="4" w:space="0" w:color="000000"/>
            </w:tcBorders>
          </w:tcPr>
          <w:p w14:paraId="087E7980" w14:textId="1AA5DEAD"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7707CF54" w14:textId="3AA0462F"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01A9D3B0" w14:textId="77515482" w:rsidR="00B449D0" w:rsidRDefault="00076D78">
            <w:pPr>
              <w:pStyle w:val="Totaldatarowrightaligned"/>
              <w:keepNext/>
            </w:pPr>
            <w:r>
              <w:noBreakHyphen/>
            </w:r>
          </w:p>
        </w:tc>
      </w:tr>
    </w:tbl>
    <w:p w14:paraId="60EDC9CD" w14:textId="77777777" w:rsidR="00B449D0" w:rsidRDefault="00B449D0" w:rsidP="00380A42">
      <w:pPr>
        <w:pStyle w:val="SingleParagraph0"/>
      </w:pPr>
    </w:p>
    <w:p w14:paraId="1D63A2B4" w14:textId="77777777" w:rsidR="00B449D0" w:rsidRDefault="00175344">
      <w:pPr>
        <w:pStyle w:val="Normal2"/>
      </w:pPr>
      <w:r w:rsidRPr="7F762F0D">
        <w:rPr>
          <w:lang w:val="en-US"/>
        </w:rPr>
        <w:t>The Government will provide $46.0 million in 2024–25 for repatriation and related support for Australian citizens, permanent residents and their families from Lebanon who have been significantly affected as a result of the recent and ongoing conflict.</w:t>
      </w:r>
    </w:p>
    <w:p w14:paraId="12659614" w14:textId="77777777" w:rsidR="00B449D0" w:rsidRDefault="00175344">
      <w:pPr>
        <w:pStyle w:val="Normal2"/>
      </w:pPr>
      <w:r>
        <w:t xml:space="preserve">This measure builds on the 2024–25 Budget measure titled </w:t>
      </w:r>
      <w:r w:rsidRPr="00175344">
        <w:rPr>
          <w:i/>
        </w:rPr>
        <w:t>Middle East Crisis Response</w:t>
      </w:r>
      <w:r>
        <w:t>.</w:t>
      </w:r>
    </w:p>
    <w:p w14:paraId="73F36A81" w14:textId="14353189" w:rsidR="005B4CAB" w:rsidRDefault="005B4CAB">
      <w:pPr>
        <w:pStyle w:val="Normal2"/>
      </w:pPr>
      <w:r w:rsidRPr="7F762F0D">
        <w:rPr>
          <w:lang w:val="en-US"/>
        </w:rPr>
        <w:t xml:space="preserve">See also the related payment measure titled </w:t>
      </w:r>
      <w:r w:rsidRPr="005B4CAB">
        <w:rPr>
          <w:i/>
          <w:iCs/>
          <w:lang w:val="en-US"/>
        </w:rPr>
        <w:t>Assistance for Recent Arrivals from Conflict Zones</w:t>
      </w:r>
      <w:r w:rsidRPr="7F762F0D">
        <w:rPr>
          <w:i/>
          <w:iCs/>
          <w:lang w:val="en-US"/>
        </w:rPr>
        <w:t xml:space="preserve"> </w:t>
      </w:r>
      <w:r w:rsidRPr="7F762F0D">
        <w:rPr>
          <w:lang w:val="en-US"/>
        </w:rPr>
        <w:t xml:space="preserve">in the </w:t>
      </w:r>
      <w:r>
        <w:rPr>
          <w:lang w:val="en-US"/>
        </w:rPr>
        <w:t>Home Affairs</w:t>
      </w:r>
      <w:r w:rsidRPr="7F762F0D">
        <w:rPr>
          <w:lang w:val="en-US"/>
        </w:rPr>
        <w:t xml:space="preserve"> portfolio.</w:t>
      </w:r>
    </w:p>
    <w:p w14:paraId="5E3B4A11" w14:textId="77777777" w:rsidR="00B449D0" w:rsidRDefault="00175344">
      <w:pPr>
        <w:pStyle w:val="MeasureTitle"/>
      </w:pPr>
      <w:r>
        <w:t>Malaysia Airlines Flight MH17 – ongoing efforts</w:t>
      </w:r>
    </w:p>
    <w:p w14:paraId="23954EFC"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411A2395" w14:textId="77777777">
        <w:trPr>
          <w:cantSplit/>
        </w:trPr>
        <w:tc>
          <w:tcPr>
            <w:tcW w:w="2494" w:type="dxa"/>
            <w:tcBorders>
              <w:top w:val="single" w:sz="4" w:space="0" w:color="000000"/>
              <w:bottom w:val="single" w:sz="4" w:space="0" w:color="000000"/>
            </w:tcBorders>
          </w:tcPr>
          <w:p w14:paraId="3203E719" w14:textId="77777777" w:rsidR="00B449D0" w:rsidRDefault="00B449D0">
            <w:pPr>
              <w:pStyle w:val="MeasureTableYearHeadings"/>
              <w:keepNext/>
            </w:pPr>
          </w:p>
        </w:tc>
        <w:tc>
          <w:tcPr>
            <w:tcW w:w="1043" w:type="dxa"/>
            <w:tcBorders>
              <w:top w:val="single" w:sz="4" w:space="0" w:color="000000"/>
              <w:bottom w:val="single" w:sz="4" w:space="0" w:color="000000"/>
            </w:tcBorders>
          </w:tcPr>
          <w:p w14:paraId="5AC583D8" w14:textId="2E782BCB"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665FE689" w14:textId="2FB37A58"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081BF349" w14:textId="4CD6FBA7"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3350DF02" w14:textId="6B1F7EA9"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40881F00" w14:textId="02957D33" w:rsidR="00B449D0" w:rsidRDefault="00175344">
            <w:pPr>
              <w:pStyle w:val="MeasureTableYearHeadings"/>
              <w:keepNext/>
            </w:pPr>
            <w:r>
              <w:t>2027</w:t>
            </w:r>
            <w:r w:rsidR="00076D78">
              <w:noBreakHyphen/>
            </w:r>
            <w:r>
              <w:t>28</w:t>
            </w:r>
          </w:p>
        </w:tc>
      </w:tr>
      <w:tr w:rsidR="00B449D0" w14:paraId="7DFDAF31" w14:textId="77777777">
        <w:trPr>
          <w:cantSplit/>
        </w:trPr>
        <w:tc>
          <w:tcPr>
            <w:tcW w:w="2494" w:type="dxa"/>
            <w:tcBorders>
              <w:top w:val="single" w:sz="4" w:space="0" w:color="000000"/>
              <w:bottom w:val="single" w:sz="4" w:space="0" w:color="000000"/>
            </w:tcBorders>
          </w:tcPr>
          <w:p w14:paraId="22D3EA24" w14:textId="77777777" w:rsidR="00B449D0" w:rsidRDefault="00175344">
            <w:pPr>
              <w:pStyle w:val="MeasureTableHeadingleftalignedwith2ptsspacing"/>
              <w:keepNext/>
            </w:pPr>
            <w:r>
              <w:t>Department of Foreign Affairs and Trade</w:t>
            </w:r>
          </w:p>
        </w:tc>
        <w:tc>
          <w:tcPr>
            <w:tcW w:w="1043" w:type="dxa"/>
            <w:tcBorders>
              <w:top w:val="single" w:sz="4" w:space="0" w:color="000000"/>
              <w:bottom w:val="single" w:sz="4" w:space="0" w:color="000000"/>
            </w:tcBorders>
          </w:tcPr>
          <w:p w14:paraId="36CA26D8" w14:textId="1ED2AD69"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440F60D" w14:textId="7E85BCE0"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B2C126F" w14:textId="77777777" w:rsidR="00B449D0" w:rsidRDefault="00175344">
            <w:pPr>
              <w:pStyle w:val="MeasureTableDataRightAlignedwith2ptsspacing"/>
              <w:keepNext/>
            </w:pPr>
            <w:r>
              <w:t>3.7</w:t>
            </w:r>
          </w:p>
        </w:tc>
        <w:tc>
          <w:tcPr>
            <w:tcW w:w="1043" w:type="dxa"/>
            <w:tcBorders>
              <w:top w:val="single" w:sz="4" w:space="0" w:color="000000"/>
              <w:bottom w:val="single" w:sz="4" w:space="0" w:color="000000"/>
            </w:tcBorders>
          </w:tcPr>
          <w:p w14:paraId="74CC11A0" w14:textId="3CBEF8BC"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3CD1724" w14:textId="4747B1FD" w:rsidR="00B449D0" w:rsidRDefault="00076D78">
            <w:pPr>
              <w:pStyle w:val="MeasureTableDataRightAlignedwith2ptsspacing"/>
              <w:keepNext/>
            </w:pPr>
            <w:r>
              <w:noBreakHyphen/>
            </w:r>
          </w:p>
        </w:tc>
      </w:tr>
      <w:tr w:rsidR="00B449D0" w14:paraId="4F36F86B" w14:textId="77777777">
        <w:trPr>
          <w:cantSplit/>
        </w:trPr>
        <w:tc>
          <w:tcPr>
            <w:tcW w:w="2494" w:type="dxa"/>
            <w:tcBorders>
              <w:top w:val="single" w:sz="4" w:space="0" w:color="000000"/>
              <w:bottom w:val="single" w:sz="4" w:space="0" w:color="000000"/>
            </w:tcBorders>
          </w:tcPr>
          <w:p w14:paraId="0836F951" w14:textId="3B1D1F66" w:rsidR="00B449D0" w:rsidRDefault="00175344">
            <w:pPr>
              <w:pStyle w:val="MeasureTableHeadingleftalignedwith2ptsspacing"/>
              <w:keepNext/>
            </w:pPr>
            <w:r>
              <w:t>Attorney</w:t>
            </w:r>
            <w:r w:rsidR="00076D78">
              <w:noBreakHyphen/>
            </w:r>
            <w:r>
              <w:t>General</w:t>
            </w:r>
            <w:r w:rsidR="00076D78">
              <w:t>’</w:t>
            </w:r>
            <w:r>
              <w:t>s Department</w:t>
            </w:r>
          </w:p>
        </w:tc>
        <w:tc>
          <w:tcPr>
            <w:tcW w:w="1043" w:type="dxa"/>
            <w:tcBorders>
              <w:top w:val="single" w:sz="4" w:space="0" w:color="000000"/>
              <w:bottom w:val="single" w:sz="4" w:space="0" w:color="000000"/>
            </w:tcBorders>
          </w:tcPr>
          <w:p w14:paraId="40075E7C" w14:textId="3F5D724D"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5C08E84" w14:textId="5D67D48D"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7284520" w14:textId="77777777" w:rsidR="00B449D0" w:rsidRDefault="00175344">
            <w:pPr>
              <w:pStyle w:val="MeasureTableDataRightAlignedwith2ptsspacing"/>
              <w:keepNext/>
            </w:pPr>
            <w:r>
              <w:t>2.2</w:t>
            </w:r>
          </w:p>
        </w:tc>
        <w:tc>
          <w:tcPr>
            <w:tcW w:w="1043" w:type="dxa"/>
            <w:tcBorders>
              <w:top w:val="single" w:sz="4" w:space="0" w:color="000000"/>
              <w:bottom w:val="single" w:sz="4" w:space="0" w:color="000000"/>
            </w:tcBorders>
          </w:tcPr>
          <w:p w14:paraId="5EF0E179" w14:textId="2F1CB32C"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A06BABE" w14:textId="0AE0B44C" w:rsidR="00B449D0" w:rsidRDefault="00076D78">
            <w:pPr>
              <w:pStyle w:val="MeasureTableDataRightAlignedwith2ptsspacing"/>
              <w:keepNext/>
            </w:pPr>
            <w:r>
              <w:noBreakHyphen/>
            </w:r>
          </w:p>
        </w:tc>
      </w:tr>
      <w:tr w:rsidR="00B449D0" w14:paraId="248C739E" w14:textId="77777777">
        <w:trPr>
          <w:cantSplit/>
        </w:trPr>
        <w:tc>
          <w:tcPr>
            <w:tcW w:w="2494" w:type="dxa"/>
            <w:tcBorders>
              <w:top w:val="single" w:sz="4" w:space="0" w:color="000000"/>
              <w:bottom w:val="single" w:sz="4" w:space="0" w:color="000000"/>
            </w:tcBorders>
          </w:tcPr>
          <w:p w14:paraId="0AE50235"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0E925CDC" w14:textId="4482AA86"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200120D7" w14:textId="6F62888F"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6655A56E" w14:textId="77777777" w:rsidR="00B449D0" w:rsidRDefault="00175344">
            <w:pPr>
              <w:pStyle w:val="Totaldatarowrightaligned"/>
              <w:keepNext/>
            </w:pPr>
            <w:r>
              <w:t>5.9</w:t>
            </w:r>
          </w:p>
        </w:tc>
        <w:tc>
          <w:tcPr>
            <w:tcW w:w="1043" w:type="dxa"/>
            <w:tcBorders>
              <w:top w:val="single" w:sz="4" w:space="0" w:color="000000"/>
              <w:bottom w:val="single" w:sz="4" w:space="0" w:color="000000"/>
            </w:tcBorders>
          </w:tcPr>
          <w:p w14:paraId="7EB8582E" w14:textId="3A380FBF"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011BDA25" w14:textId="6CABCDCC" w:rsidR="00B449D0" w:rsidRDefault="00076D78">
            <w:pPr>
              <w:pStyle w:val="Totaldatarowrightaligned"/>
              <w:keepNext/>
            </w:pPr>
            <w:r>
              <w:noBreakHyphen/>
            </w:r>
          </w:p>
        </w:tc>
      </w:tr>
    </w:tbl>
    <w:p w14:paraId="3B3C3464" w14:textId="77777777" w:rsidR="00B449D0" w:rsidRDefault="00B449D0" w:rsidP="00380A42">
      <w:pPr>
        <w:pStyle w:val="SingleParagraph0"/>
      </w:pPr>
    </w:p>
    <w:p w14:paraId="0FB2A3F4" w14:textId="77777777" w:rsidR="00B449D0" w:rsidRDefault="00175344">
      <w:pPr>
        <w:pStyle w:val="Normal2"/>
      </w:pPr>
      <w:r w:rsidRPr="7F762F0D">
        <w:rPr>
          <w:lang w:val="en-US"/>
        </w:rPr>
        <w:t>The Government will provide $5.9 million in 2025–26 to continue diplomatic activities and legal action in pursuit of truth, justice and accountability for the downing of Malaysia Airlines flight MH17.</w:t>
      </w:r>
    </w:p>
    <w:p w14:paraId="53488BAD" w14:textId="77777777" w:rsidR="00B449D0" w:rsidRDefault="00175344">
      <w:pPr>
        <w:pStyle w:val="MeasureTitle"/>
      </w:pPr>
      <w:r>
        <w:lastRenderedPageBreak/>
        <w:t>Sculpture by the Sea – Perth</w:t>
      </w:r>
    </w:p>
    <w:p w14:paraId="212342FE"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6E27A35A" w14:textId="77777777">
        <w:trPr>
          <w:cantSplit/>
        </w:trPr>
        <w:tc>
          <w:tcPr>
            <w:tcW w:w="2494" w:type="dxa"/>
            <w:tcBorders>
              <w:top w:val="single" w:sz="4" w:space="0" w:color="000000"/>
              <w:bottom w:val="single" w:sz="4" w:space="0" w:color="000000"/>
            </w:tcBorders>
          </w:tcPr>
          <w:p w14:paraId="60CDC743" w14:textId="77777777" w:rsidR="00B449D0" w:rsidRDefault="00B449D0">
            <w:pPr>
              <w:pStyle w:val="MeasureTableYearHeadings"/>
              <w:keepNext/>
            </w:pPr>
          </w:p>
        </w:tc>
        <w:tc>
          <w:tcPr>
            <w:tcW w:w="1043" w:type="dxa"/>
            <w:tcBorders>
              <w:top w:val="single" w:sz="4" w:space="0" w:color="000000"/>
              <w:bottom w:val="single" w:sz="4" w:space="0" w:color="000000"/>
            </w:tcBorders>
          </w:tcPr>
          <w:p w14:paraId="51624FFF" w14:textId="0D5A334C"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43A3D0BD" w14:textId="2A317B72"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7E8BBA19" w14:textId="51AEF117"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516F504F" w14:textId="750BBF46"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3668D106" w14:textId="7ED7024B" w:rsidR="00B449D0" w:rsidRDefault="00175344">
            <w:pPr>
              <w:pStyle w:val="MeasureTableYearHeadings"/>
              <w:keepNext/>
            </w:pPr>
            <w:r>
              <w:t>2027</w:t>
            </w:r>
            <w:r w:rsidR="00076D78">
              <w:noBreakHyphen/>
            </w:r>
            <w:r>
              <w:t>28</w:t>
            </w:r>
          </w:p>
        </w:tc>
      </w:tr>
      <w:tr w:rsidR="00B449D0" w14:paraId="5B1A37E4" w14:textId="77777777">
        <w:trPr>
          <w:cantSplit/>
        </w:trPr>
        <w:tc>
          <w:tcPr>
            <w:tcW w:w="2494" w:type="dxa"/>
            <w:tcBorders>
              <w:top w:val="single" w:sz="4" w:space="0" w:color="000000"/>
              <w:bottom w:val="single" w:sz="4" w:space="0" w:color="000000"/>
            </w:tcBorders>
          </w:tcPr>
          <w:p w14:paraId="01B29B2D" w14:textId="77777777" w:rsidR="00B449D0" w:rsidRDefault="00175344">
            <w:pPr>
              <w:pStyle w:val="MeasureTableHeadingleftalignedwith2ptsspacing"/>
              <w:keepNext/>
            </w:pPr>
            <w:r>
              <w:t>Australian Trade and Investment Commission</w:t>
            </w:r>
          </w:p>
        </w:tc>
        <w:tc>
          <w:tcPr>
            <w:tcW w:w="1043" w:type="dxa"/>
            <w:tcBorders>
              <w:top w:val="single" w:sz="4" w:space="0" w:color="000000"/>
              <w:bottom w:val="single" w:sz="4" w:space="0" w:color="000000"/>
            </w:tcBorders>
          </w:tcPr>
          <w:p w14:paraId="3BF7BAFB" w14:textId="5B75FD6B"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9CCFA6A" w14:textId="77777777" w:rsidR="00B449D0" w:rsidRDefault="00175344">
            <w:pPr>
              <w:pStyle w:val="MeasureTableDataRightAlignedwith2ptsspacing"/>
              <w:keepNext/>
            </w:pPr>
            <w:r>
              <w:t>0.8</w:t>
            </w:r>
          </w:p>
        </w:tc>
        <w:tc>
          <w:tcPr>
            <w:tcW w:w="1043" w:type="dxa"/>
            <w:tcBorders>
              <w:top w:val="single" w:sz="4" w:space="0" w:color="000000"/>
              <w:bottom w:val="single" w:sz="4" w:space="0" w:color="000000"/>
            </w:tcBorders>
          </w:tcPr>
          <w:p w14:paraId="37AF8D13" w14:textId="77777777" w:rsidR="00B449D0" w:rsidRDefault="00175344">
            <w:pPr>
              <w:pStyle w:val="MeasureTableDataRightAlignedwith2ptsspacing"/>
              <w:keepNext/>
            </w:pPr>
            <w:r>
              <w:t>0.8</w:t>
            </w:r>
          </w:p>
        </w:tc>
        <w:tc>
          <w:tcPr>
            <w:tcW w:w="1043" w:type="dxa"/>
            <w:tcBorders>
              <w:top w:val="single" w:sz="4" w:space="0" w:color="000000"/>
              <w:bottom w:val="single" w:sz="4" w:space="0" w:color="000000"/>
            </w:tcBorders>
          </w:tcPr>
          <w:p w14:paraId="64C3E033" w14:textId="70564BFB"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97CFD9C" w14:textId="5AA81945" w:rsidR="00B449D0" w:rsidRDefault="00076D78">
            <w:pPr>
              <w:pStyle w:val="MeasureTableDataRightAlignedwith2ptsspacing"/>
              <w:keepNext/>
            </w:pPr>
            <w:r>
              <w:noBreakHyphen/>
            </w:r>
          </w:p>
        </w:tc>
      </w:tr>
    </w:tbl>
    <w:p w14:paraId="17DF0716" w14:textId="77777777" w:rsidR="00B449D0" w:rsidRDefault="00B449D0" w:rsidP="00380A42">
      <w:pPr>
        <w:pStyle w:val="SingleParagraph0"/>
      </w:pPr>
    </w:p>
    <w:p w14:paraId="621FA7FD" w14:textId="77777777" w:rsidR="00B449D0" w:rsidRDefault="00175344">
      <w:pPr>
        <w:pStyle w:val="Normal2"/>
      </w:pPr>
      <w:r>
        <w:t>The Government will provide $1.5 million over two years from 2024–25 to support the Sculpture by the Sea exhibitions in Perth, Western Australia.</w:t>
      </w:r>
    </w:p>
    <w:p w14:paraId="737C7C4F" w14:textId="77777777" w:rsidR="00B449D0" w:rsidRDefault="00175344">
      <w:pPr>
        <w:pStyle w:val="MeasureTitle"/>
      </w:pPr>
      <w:r>
        <w:t>Southeast Asia Investment Financing Facility – Investment in FAST‑P Green Investments Partnership fund</w:t>
      </w:r>
    </w:p>
    <w:p w14:paraId="09B9D604"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058DF4F1" w14:textId="77777777">
        <w:trPr>
          <w:cantSplit/>
        </w:trPr>
        <w:tc>
          <w:tcPr>
            <w:tcW w:w="2494" w:type="dxa"/>
            <w:tcBorders>
              <w:top w:val="single" w:sz="4" w:space="0" w:color="000000"/>
              <w:bottom w:val="single" w:sz="4" w:space="0" w:color="000000"/>
            </w:tcBorders>
          </w:tcPr>
          <w:p w14:paraId="39541FE9" w14:textId="77777777" w:rsidR="00B449D0" w:rsidRDefault="00B449D0">
            <w:pPr>
              <w:pStyle w:val="MeasureTableYearHeadings"/>
              <w:keepNext/>
            </w:pPr>
          </w:p>
        </w:tc>
        <w:tc>
          <w:tcPr>
            <w:tcW w:w="1043" w:type="dxa"/>
            <w:tcBorders>
              <w:top w:val="single" w:sz="4" w:space="0" w:color="000000"/>
              <w:bottom w:val="single" w:sz="4" w:space="0" w:color="000000"/>
            </w:tcBorders>
          </w:tcPr>
          <w:p w14:paraId="6B58F9EB" w14:textId="5499B687"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4F78A920" w14:textId="133882C2"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62FD1B19" w14:textId="79308E1A"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23056C32" w14:textId="65F14D64"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22147309" w14:textId="3E195E8E" w:rsidR="00B449D0" w:rsidRDefault="00175344">
            <w:pPr>
              <w:pStyle w:val="MeasureTableYearHeadings"/>
              <w:keepNext/>
            </w:pPr>
            <w:r>
              <w:t>2027</w:t>
            </w:r>
            <w:r w:rsidR="00076D78">
              <w:noBreakHyphen/>
            </w:r>
            <w:r>
              <w:t>28</w:t>
            </w:r>
          </w:p>
        </w:tc>
      </w:tr>
      <w:tr w:rsidR="00B449D0" w14:paraId="5F2053F9" w14:textId="77777777">
        <w:trPr>
          <w:cantSplit/>
        </w:trPr>
        <w:tc>
          <w:tcPr>
            <w:tcW w:w="2494" w:type="dxa"/>
            <w:tcBorders>
              <w:top w:val="single" w:sz="4" w:space="0" w:color="000000"/>
              <w:bottom w:val="single" w:sz="4" w:space="0" w:color="000000"/>
            </w:tcBorders>
          </w:tcPr>
          <w:p w14:paraId="31FA7EC5" w14:textId="77777777" w:rsidR="00B449D0" w:rsidRDefault="00175344">
            <w:pPr>
              <w:pStyle w:val="MeasureTableHeadingleftalignedwith2ptsspacing"/>
              <w:keepNext/>
            </w:pPr>
            <w:r>
              <w:t>Export Finance and Insurance Corporation (National Interest component)</w:t>
            </w:r>
          </w:p>
        </w:tc>
        <w:tc>
          <w:tcPr>
            <w:tcW w:w="1043" w:type="dxa"/>
            <w:tcBorders>
              <w:top w:val="single" w:sz="4" w:space="0" w:color="000000"/>
              <w:bottom w:val="single" w:sz="4" w:space="0" w:color="000000"/>
            </w:tcBorders>
          </w:tcPr>
          <w:p w14:paraId="71DE0E66" w14:textId="23F3C6B4"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6EDB6027" w14:textId="77777777" w:rsidR="00B449D0" w:rsidRDefault="00175344">
            <w:pPr>
              <w:pStyle w:val="MeasureTableDataRightAlignedwith2ptsspacing"/>
              <w:keepNext/>
            </w:pPr>
            <w:r>
              <w:t>nfp</w:t>
            </w:r>
          </w:p>
        </w:tc>
        <w:tc>
          <w:tcPr>
            <w:tcW w:w="1043" w:type="dxa"/>
            <w:tcBorders>
              <w:top w:val="single" w:sz="4" w:space="0" w:color="000000"/>
              <w:bottom w:val="single" w:sz="4" w:space="0" w:color="000000"/>
            </w:tcBorders>
          </w:tcPr>
          <w:p w14:paraId="7104B72B" w14:textId="77777777" w:rsidR="00B449D0" w:rsidRDefault="00175344">
            <w:pPr>
              <w:pStyle w:val="MeasureTableDataRightAlignedwith2ptsspacing"/>
              <w:keepNext/>
            </w:pPr>
            <w:r>
              <w:t>nfp</w:t>
            </w:r>
          </w:p>
        </w:tc>
        <w:tc>
          <w:tcPr>
            <w:tcW w:w="1043" w:type="dxa"/>
            <w:tcBorders>
              <w:top w:val="single" w:sz="4" w:space="0" w:color="000000"/>
              <w:bottom w:val="single" w:sz="4" w:space="0" w:color="000000"/>
            </w:tcBorders>
          </w:tcPr>
          <w:p w14:paraId="5CF3E854" w14:textId="77777777" w:rsidR="00B449D0" w:rsidRDefault="00175344">
            <w:pPr>
              <w:pStyle w:val="MeasureTableDataRightAlignedwith2ptsspacing"/>
              <w:keepNext/>
            </w:pPr>
            <w:r>
              <w:t>nfp</w:t>
            </w:r>
          </w:p>
        </w:tc>
        <w:tc>
          <w:tcPr>
            <w:tcW w:w="1043" w:type="dxa"/>
            <w:tcBorders>
              <w:top w:val="single" w:sz="4" w:space="0" w:color="000000"/>
              <w:bottom w:val="single" w:sz="4" w:space="0" w:color="000000"/>
            </w:tcBorders>
          </w:tcPr>
          <w:p w14:paraId="1424B429" w14:textId="77777777" w:rsidR="00B449D0" w:rsidRDefault="00175344">
            <w:pPr>
              <w:pStyle w:val="MeasureTableDataRightAlignedwith2ptsspacing"/>
              <w:keepNext/>
            </w:pPr>
            <w:r>
              <w:t>nfp</w:t>
            </w:r>
          </w:p>
        </w:tc>
      </w:tr>
      <w:tr w:rsidR="00B449D0" w14:paraId="5D0038FA" w14:textId="77777777">
        <w:trPr>
          <w:cantSplit/>
        </w:trPr>
        <w:tc>
          <w:tcPr>
            <w:tcW w:w="2494" w:type="dxa"/>
          </w:tcPr>
          <w:p w14:paraId="76425171" w14:textId="77777777" w:rsidR="00B449D0" w:rsidRDefault="00175344">
            <w:pPr>
              <w:pStyle w:val="AgencyName"/>
              <w:keepNext/>
            </w:pPr>
            <w:r>
              <w:t>Related receipts ($m)</w:t>
            </w:r>
          </w:p>
        </w:tc>
        <w:tc>
          <w:tcPr>
            <w:tcW w:w="1043" w:type="dxa"/>
          </w:tcPr>
          <w:p w14:paraId="693B6205" w14:textId="77777777" w:rsidR="00B449D0" w:rsidRDefault="00B449D0">
            <w:pPr>
              <w:pStyle w:val="AgencyName"/>
              <w:keepNext/>
            </w:pPr>
          </w:p>
        </w:tc>
        <w:tc>
          <w:tcPr>
            <w:tcW w:w="1043" w:type="dxa"/>
          </w:tcPr>
          <w:p w14:paraId="262C5154" w14:textId="77777777" w:rsidR="00B449D0" w:rsidRDefault="00B449D0">
            <w:pPr>
              <w:pStyle w:val="AgencyName"/>
              <w:keepNext/>
            </w:pPr>
          </w:p>
        </w:tc>
        <w:tc>
          <w:tcPr>
            <w:tcW w:w="1043" w:type="dxa"/>
          </w:tcPr>
          <w:p w14:paraId="0D38D27E" w14:textId="77777777" w:rsidR="00B449D0" w:rsidRDefault="00B449D0">
            <w:pPr>
              <w:pStyle w:val="AgencyName"/>
              <w:keepNext/>
            </w:pPr>
          </w:p>
        </w:tc>
        <w:tc>
          <w:tcPr>
            <w:tcW w:w="1043" w:type="dxa"/>
          </w:tcPr>
          <w:p w14:paraId="57EFF07B" w14:textId="77777777" w:rsidR="00B449D0" w:rsidRDefault="00B449D0">
            <w:pPr>
              <w:pStyle w:val="AgencyName"/>
              <w:keepNext/>
            </w:pPr>
          </w:p>
        </w:tc>
        <w:tc>
          <w:tcPr>
            <w:tcW w:w="1043" w:type="dxa"/>
          </w:tcPr>
          <w:p w14:paraId="2AE98E2E" w14:textId="77777777" w:rsidR="00B449D0" w:rsidRDefault="00B449D0">
            <w:pPr>
              <w:pStyle w:val="AgencyName"/>
              <w:keepNext/>
            </w:pPr>
          </w:p>
        </w:tc>
      </w:tr>
      <w:tr w:rsidR="00B449D0" w14:paraId="10A6E3A4" w14:textId="77777777">
        <w:tc>
          <w:tcPr>
            <w:tcW w:w="2494" w:type="dxa"/>
          </w:tcPr>
          <w:p w14:paraId="6C96A67C" w14:textId="77777777" w:rsidR="00B449D0" w:rsidRDefault="00175344">
            <w:pPr>
              <w:pStyle w:val="AgencyNamewith2ptsspacing"/>
              <w:keepNext/>
            </w:pPr>
            <w:r>
              <w:t>Export Finance and Insurance Corporation (National Interest component)</w:t>
            </w:r>
          </w:p>
        </w:tc>
        <w:tc>
          <w:tcPr>
            <w:tcW w:w="1043" w:type="dxa"/>
          </w:tcPr>
          <w:p w14:paraId="6A7DD0D1" w14:textId="4F3A48B1" w:rsidR="00B449D0" w:rsidRDefault="00076D78">
            <w:pPr>
              <w:pStyle w:val="Measuretabledatarightaligneditalics"/>
              <w:keepNext/>
            </w:pPr>
            <w:r>
              <w:noBreakHyphen/>
            </w:r>
          </w:p>
        </w:tc>
        <w:tc>
          <w:tcPr>
            <w:tcW w:w="1043" w:type="dxa"/>
          </w:tcPr>
          <w:p w14:paraId="77C0BFCF" w14:textId="77777777" w:rsidR="00B449D0" w:rsidRDefault="00175344">
            <w:pPr>
              <w:pStyle w:val="Measuretabledatarightaligneditalics"/>
              <w:keepNext/>
            </w:pPr>
            <w:r>
              <w:t>nfp</w:t>
            </w:r>
          </w:p>
        </w:tc>
        <w:tc>
          <w:tcPr>
            <w:tcW w:w="1043" w:type="dxa"/>
          </w:tcPr>
          <w:p w14:paraId="388B58E4" w14:textId="77777777" w:rsidR="00B449D0" w:rsidRDefault="00175344">
            <w:pPr>
              <w:pStyle w:val="Measuretabledatarightaligneditalics"/>
              <w:keepNext/>
            </w:pPr>
            <w:r>
              <w:t>nfp</w:t>
            </w:r>
          </w:p>
        </w:tc>
        <w:tc>
          <w:tcPr>
            <w:tcW w:w="1043" w:type="dxa"/>
          </w:tcPr>
          <w:p w14:paraId="54DE03DC" w14:textId="77777777" w:rsidR="00B449D0" w:rsidRDefault="00175344">
            <w:pPr>
              <w:pStyle w:val="Measuretabledatarightaligneditalics"/>
              <w:keepNext/>
            </w:pPr>
            <w:r>
              <w:t>nfp</w:t>
            </w:r>
          </w:p>
        </w:tc>
        <w:tc>
          <w:tcPr>
            <w:tcW w:w="1043" w:type="dxa"/>
          </w:tcPr>
          <w:p w14:paraId="6446F160" w14:textId="77777777" w:rsidR="00B449D0" w:rsidRDefault="00175344">
            <w:pPr>
              <w:pStyle w:val="Measuretabledatarightaligneditalics"/>
              <w:keepNext/>
            </w:pPr>
            <w:r>
              <w:t>nfp</w:t>
            </w:r>
          </w:p>
        </w:tc>
      </w:tr>
    </w:tbl>
    <w:p w14:paraId="6D77D667" w14:textId="77777777" w:rsidR="00B449D0" w:rsidRDefault="00B449D0" w:rsidP="00380A42">
      <w:pPr>
        <w:pStyle w:val="SingleParagraph0"/>
      </w:pPr>
    </w:p>
    <w:p w14:paraId="296926BB" w14:textId="2A342AE3" w:rsidR="00B449D0" w:rsidRDefault="00175344">
      <w:pPr>
        <w:pStyle w:val="Normal2"/>
      </w:pPr>
      <w:r w:rsidRPr="7F762F0D">
        <w:rPr>
          <w:lang w:val="en-US"/>
        </w:rPr>
        <w:t>The Government will invest USD50.0 million (approximately AUD75.0 million) from 2024</w:t>
      </w:r>
      <w:r w:rsidR="008045FF">
        <w:t>‍</w:t>
      </w:r>
      <w:r w:rsidRPr="7F762F0D">
        <w:rPr>
          <w:lang w:val="en-US"/>
        </w:rPr>
        <w:t>–</w:t>
      </w:r>
      <w:r w:rsidR="008045FF">
        <w:t>‍</w:t>
      </w:r>
      <w:r w:rsidRPr="7F762F0D">
        <w:rPr>
          <w:lang w:val="en-US"/>
        </w:rPr>
        <w:t>25 under the Southeast Asia Investment Financing Facility to support an investment in the Singapore Government‑backed Financing Asia</w:t>
      </w:r>
      <w:r w:rsidR="00076D78">
        <w:rPr>
          <w:lang w:val="en-US"/>
        </w:rPr>
        <w:t>’</w:t>
      </w:r>
      <w:r w:rsidRPr="7F762F0D">
        <w:rPr>
          <w:lang w:val="en-US"/>
        </w:rPr>
        <w:t>s Transition Partnership (FAST‑P) Green Investments Partnership fund. Australia will invest alongside likeminded international partners to support the clean energy transition in Southeast Asia.</w:t>
      </w:r>
    </w:p>
    <w:p w14:paraId="41FF8A68" w14:textId="77777777" w:rsidR="00B449D0" w:rsidRDefault="00175344">
      <w:pPr>
        <w:pStyle w:val="Normal2"/>
      </w:pPr>
      <w:r w:rsidRPr="7F762F0D">
        <w:rPr>
          <w:lang w:val="en-US"/>
        </w:rPr>
        <w:t>The financial implications of this measure are not for publication (nfp) due to commercial sensitivities.</w:t>
      </w:r>
    </w:p>
    <w:p w14:paraId="4B9F2405" w14:textId="77777777" w:rsidR="00B449D0" w:rsidRDefault="00B449D0">
      <w:pPr>
        <w:sectPr w:rsidR="00B449D0" w:rsidSect="00301E48">
          <w:headerReference w:type="even" r:id="rId90"/>
          <w:headerReference w:type="default" r:id="rId91"/>
          <w:footerReference w:type="even" r:id="rId92"/>
          <w:footerReference w:type="default" r:id="rId93"/>
          <w:headerReference w:type="first" r:id="rId94"/>
          <w:footerReference w:type="first" r:id="rId95"/>
          <w:pgSz w:w="11906" w:h="16838"/>
          <w:pgMar w:top="2835" w:right="2098" w:bottom="2466" w:left="2098" w:header="1814" w:footer="1814" w:gutter="0"/>
          <w:cols w:space="720"/>
          <w:docGrid w:linePitch="272"/>
        </w:sectPr>
      </w:pPr>
    </w:p>
    <w:p w14:paraId="3335AA49" w14:textId="77777777" w:rsidR="00B449D0" w:rsidRDefault="00175344">
      <w:pPr>
        <w:pStyle w:val="PortfolioName"/>
      </w:pPr>
      <w:r>
        <w:lastRenderedPageBreak/>
        <w:t>Health and Aged Care</w:t>
      </w:r>
    </w:p>
    <w:p w14:paraId="2CD27D86" w14:textId="77777777" w:rsidR="00B449D0" w:rsidRDefault="00175344">
      <w:pPr>
        <w:pStyle w:val="MeasureTitle"/>
      </w:pPr>
      <w:r>
        <w:t>10‑Year National Action Plan for the Health and Wellbeing of LGBTIQA+ People</w:t>
      </w:r>
    </w:p>
    <w:p w14:paraId="222650B4"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5D04EE50" w14:textId="77777777">
        <w:trPr>
          <w:cantSplit/>
        </w:trPr>
        <w:tc>
          <w:tcPr>
            <w:tcW w:w="2494" w:type="dxa"/>
            <w:tcBorders>
              <w:top w:val="single" w:sz="4" w:space="0" w:color="000000"/>
              <w:bottom w:val="single" w:sz="4" w:space="0" w:color="000000"/>
            </w:tcBorders>
          </w:tcPr>
          <w:p w14:paraId="32F2C6C2" w14:textId="77777777" w:rsidR="00B449D0" w:rsidRDefault="00B449D0">
            <w:pPr>
              <w:pStyle w:val="MeasureTableYearHeadings"/>
              <w:keepNext/>
            </w:pPr>
          </w:p>
        </w:tc>
        <w:tc>
          <w:tcPr>
            <w:tcW w:w="1043" w:type="dxa"/>
            <w:tcBorders>
              <w:top w:val="single" w:sz="4" w:space="0" w:color="000000"/>
              <w:bottom w:val="single" w:sz="4" w:space="0" w:color="000000"/>
            </w:tcBorders>
          </w:tcPr>
          <w:p w14:paraId="26BFD140" w14:textId="4553D5B2"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27CB56BF" w14:textId="1724F280"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3ECBB6B4" w14:textId="3309B9C9"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282CDEA6" w14:textId="1F86BCFA"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5C66562D" w14:textId="71531788" w:rsidR="00B449D0" w:rsidRDefault="00175344">
            <w:pPr>
              <w:pStyle w:val="MeasureTableYearHeadings"/>
              <w:keepNext/>
            </w:pPr>
            <w:r>
              <w:t>2027</w:t>
            </w:r>
            <w:r w:rsidR="00076D78">
              <w:noBreakHyphen/>
            </w:r>
            <w:r>
              <w:t>28</w:t>
            </w:r>
          </w:p>
        </w:tc>
      </w:tr>
      <w:tr w:rsidR="00B449D0" w14:paraId="2B261096" w14:textId="77777777">
        <w:trPr>
          <w:cantSplit/>
        </w:trPr>
        <w:tc>
          <w:tcPr>
            <w:tcW w:w="2494" w:type="dxa"/>
            <w:tcBorders>
              <w:top w:val="single" w:sz="4" w:space="0" w:color="000000"/>
              <w:bottom w:val="single" w:sz="4" w:space="0" w:color="000000"/>
            </w:tcBorders>
          </w:tcPr>
          <w:p w14:paraId="21375778" w14:textId="77777777" w:rsidR="00B449D0" w:rsidRDefault="00175344">
            <w:pPr>
              <w:pStyle w:val="MeasureTableHeadingleftalignedwith2ptsspacing"/>
              <w:keepNext/>
            </w:pPr>
            <w:r>
              <w:t>Department of Health and Aged Care</w:t>
            </w:r>
          </w:p>
        </w:tc>
        <w:tc>
          <w:tcPr>
            <w:tcW w:w="1043" w:type="dxa"/>
            <w:tcBorders>
              <w:top w:val="single" w:sz="4" w:space="0" w:color="000000"/>
              <w:bottom w:val="single" w:sz="4" w:space="0" w:color="000000"/>
            </w:tcBorders>
          </w:tcPr>
          <w:p w14:paraId="6323595A" w14:textId="6233A8D6"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E27CBD4" w14:textId="77777777" w:rsidR="00B449D0" w:rsidRDefault="00175344">
            <w:pPr>
              <w:pStyle w:val="MeasureTableDataRightAlignedwith2ptsspacing"/>
              <w:keepNext/>
            </w:pPr>
            <w:r>
              <w:t>2.4</w:t>
            </w:r>
          </w:p>
        </w:tc>
        <w:tc>
          <w:tcPr>
            <w:tcW w:w="1043" w:type="dxa"/>
            <w:tcBorders>
              <w:top w:val="single" w:sz="4" w:space="0" w:color="000000"/>
              <w:bottom w:val="single" w:sz="4" w:space="0" w:color="000000"/>
            </w:tcBorders>
          </w:tcPr>
          <w:p w14:paraId="37C360B4" w14:textId="77777777" w:rsidR="00B449D0" w:rsidRDefault="00175344">
            <w:pPr>
              <w:pStyle w:val="MeasureTableDataRightAlignedwith2ptsspacing"/>
              <w:keepNext/>
            </w:pPr>
            <w:r>
              <w:t>5.5</w:t>
            </w:r>
          </w:p>
        </w:tc>
        <w:tc>
          <w:tcPr>
            <w:tcW w:w="1043" w:type="dxa"/>
            <w:tcBorders>
              <w:top w:val="single" w:sz="4" w:space="0" w:color="000000"/>
              <w:bottom w:val="single" w:sz="4" w:space="0" w:color="000000"/>
            </w:tcBorders>
          </w:tcPr>
          <w:p w14:paraId="5D61A751" w14:textId="77777777" w:rsidR="00B449D0" w:rsidRDefault="00175344">
            <w:pPr>
              <w:pStyle w:val="MeasureTableDataRightAlignedwith2ptsspacing"/>
              <w:keepNext/>
            </w:pPr>
            <w:r>
              <w:t>4.6</w:t>
            </w:r>
          </w:p>
        </w:tc>
        <w:tc>
          <w:tcPr>
            <w:tcW w:w="1043" w:type="dxa"/>
            <w:tcBorders>
              <w:top w:val="single" w:sz="4" w:space="0" w:color="000000"/>
              <w:bottom w:val="single" w:sz="4" w:space="0" w:color="000000"/>
            </w:tcBorders>
          </w:tcPr>
          <w:p w14:paraId="065CA4AC" w14:textId="77777777" w:rsidR="00B449D0" w:rsidRDefault="00175344">
            <w:pPr>
              <w:pStyle w:val="MeasureTableDataRightAlignedwith2ptsspacing"/>
              <w:keepNext/>
            </w:pPr>
            <w:r>
              <w:t>3.1</w:t>
            </w:r>
          </w:p>
        </w:tc>
      </w:tr>
    </w:tbl>
    <w:p w14:paraId="6E570383" w14:textId="77777777" w:rsidR="00B449D0" w:rsidRDefault="00B449D0" w:rsidP="00380A42">
      <w:pPr>
        <w:pStyle w:val="SingleParagraph0"/>
      </w:pPr>
    </w:p>
    <w:p w14:paraId="1B2E9B33" w14:textId="77777777" w:rsidR="00B449D0" w:rsidRDefault="00175344">
      <w:pPr>
        <w:pStyle w:val="Normal2"/>
      </w:pPr>
      <w:r>
        <w:t>The Government will provide $15.5 million over four years from 2024–25 to support the implementation of the 10‑Year National Action Plan for the Health and Wellbeing of LGBTIQA+ people. Funding includes:</w:t>
      </w:r>
    </w:p>
    <w:p w14:paraId="6604A880" w14:textId="77777777" w:rsidR="00B449D0" w:rsidRDefault="00175344">
      <w:pPr>
        <w:pStyle w:val="Bullet"/>
      </w:pPr>
      <w:r>
        <w:t>$13.1 million over four years from 2024–25 to provide grants for LGBTIQA+ community programs that support the health and wellbeing of LGBTIQA+ people through clinical and non‑clinical services</w:t>
      </w:r>
    </w:p>
    <w:p w14:paraId="5BC12072" w14:textId="794B7E46" w:rsidR="00B449D0" w:rsidRDefault="00175344">
      <w:pPr>
        <w:pStyle w:val="Bullet"/>
      </w:pPr>
      <w:r>
        <w:t xml:space="preserve">$2.0 million over two years from 2024–25 to La Trobe University to continue and expand LGBTIQA+ health and wellbeing surveys </w:t>
      </w:r>
      <w:r w:rsidR="00076D78">
        <w:t>“</w:t>
      </w:r>
      <w:r>
        <w:t>Private Lives</w:t>
      </w:r>
      <w:r w:rsidR="00076D78">
        <w:t>”</w:t>
      </w:r>
      <w:r>
        <w:t xml:space="preserve"> and </w:t>
      </w:r>
      <w:r w:rsidR="00076D78">
        <w:t>“</w:t>
      </w:r>
      <w:r>
        <w:t>Writing Themselves In</w:t>
      </w:r>
      <w:r w:rsidR="00076D78">
        <w:t>”</w:t>
      </w:r>
    </w:p>
    <w:p w14:paraId="1B06AF7A" w14:textId="77777777" w:rsidR="00B449D0" w:rsidRDefault="00175344">
      <w:pPr>
        <w:pStyle w:val="Bullet"/>
      </w:pPr>
      <w:r>
        <w:t>$0.5 million over four years from 2024–25 to Intersex Human Rights Australia to continue the InterLink program to provide mental health and wellbeing services to people with innate variations of sex characteristics.</w:t>
      </w:r>
    </w:p>
    <w:p w14:paraId="6A868AAC" w14:textId="77777777" w:rsidR="00B449D0" w:rsidRDefault="00175344">
      <w:pPr>
        <w:pStyle w:val="Normal2"/>
      </w:pPr>
      <w:r>
        <w:t xml:space="preserve">This measure builds on the 2023–24 Budget measure titled </w:t>
      </w:r>
      <w:r w:rsidRPr="00175344">
        <w:rPr>
          <w:i/>
        </w:rPr>
        <w:t>10 Year National Action Plan for LGBTIQA+ Health and Wellbeing</w:t>
      </w:r>
      <w:r>
        <w:t>.</w:t>
      </w:r>
    </w:p>
    <w:p w14:paraId="4682E0E5" w14:textId="77777777" w:rsidR="00B449D0" w:rsidRDefault="00175344">
      <w:pPr>
        <w:pStyle w:val="MeasureTitle"/>
      </w:pPr>
      <w:r w:rsidRPr="7F762F0D">
        <w:rPr>
          <w:lang w:val="en-US"/>
        </w:rPr>
        <w:t>Adding Maternal Vaccine for Respiratory Syncytial Virus to the National Immunisation Program</w:t>
      </w:r>
    </w:p>
    <w:p w14:paraId="25FA8710"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0A264024" w14:textId="77777777">
        <w:trPr>
          <w:cantSplit/>
        </w:trPr>
        <w:tc>
          <w:tcPr>
            <w:tcW w:w="2494" w:type="dxa"/>
            <w:tcBorders>
              <w:top w:val="single" w:sz="4" w:space="0" w:color="000000"/>
              <w:bottom w:val="single" w:sz="4" w:space="0" w:color="000000"/>
            </w:tcBorders>
          </w:tcPr>
          <w:p w14:paraId="171C2A6F" w14:textId="77777777" w:rsidR="00B449D0" w:rsidRDefault="00B449D0">
            <w:pPr>
              <w:pStyle w:val="MeasureTableYearHeadings"/>
              <w:keepNext/>
            </w:pPr>
          </w:p>
        </w:tc>
        <w:tc>
          <w:tcPr>
            <w:tcW w:w="1043" w:type="dxa"/>
            <w:tcBorders>
              <w:top w:val="single" w:sz="4" w:space="0" w:color="000000"/>
              <w:bottom w:val="single" w:sz="4" w:space="0" w:color="000000"/>
            </w:tcBorders>
          </w:tcPr>
          <w:p w14:paraId="2E94B1F4" w14:textId="3D407208"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197B9803" w14:textId="3D651F5B"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358371AC" w14:textId="5CC14BC8"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0EACB15F" w14:textId="5327F95C"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121D53D8" w14:textId="7B251FE8" w:rsidR="00B449D0" w:rsidRDefault="00175344">
            <w:pPr>
              <w:pStyle w:val="MeasureTableYearHeadings"/>
              <w:keepNext/>
            </w:pPr>
            <w:r>
              <w:t>2027</w:t>
            </w:r>
            <w:r w:rsidR="00076D78">
              <w:noBreakHyphen/>
            </w:r>
            <w:r>
              <w:t>28</w:t>
            </w:r>
          </w:p>
        </w:tc>
      </w:tr>
      <w:tr w:rsidR="00B449D0" w14:paraId="6227373E" w14:textId="77777777">
        <w:trPr>
          <w:cantSplit/>
        </w:trPr>
        <w:tc>
          <w:tcPr>
            <w:tcW w:w="2494" w:type="dxa"/>
            <w:tcBorders>
              <w:top w:val="single" w:sz="4" w:space="0" w:color="000000"/>
              <w:bottom w:val="single" w:sz="4" w:space="0" w:color="000000"/>
            </w:tcBorders>
          </w:tcPr>
          <w:p w14:paraId="7877612B" w14:textId="77777777" w:rsidR="00B449D0" w:rsidRDefault="00175344">
            <w:pPr>
              <w:pStyle w:val="MeasureTableHeadingleftalignedwith2ptsspacing"/>
              <w:keepNext/>
            </w:pPr>
            <w:r>
              <w:t>Department of Health and Aged Care</w:t>
            </w:r>
          </w:p>
        </w:tc>
        <w:tc>
          <w:tcPr>
            <w:tcW w:w="1043" w:type="dxa"/>
            <w:tcBorders>
              <w:top w:val="single" w:sz="4" w:space="0" w:color="000000"/>
              <w:bottom w:val="single" w:sz="4" w:space="0" w:color="000000"/>
            </w:tcBorders>
          </w:tcPr>
          <w:p w14:paraId="16D7A263" w14:textId="4ADC3A54"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697D7BDD" w14:textId="77777777" w:rsidR="00B449D0" w:rsidRDefault="00175344">
            <w:pPr>
              <w:pStyle w:val="MeasureTableDataRightAlignedwith2ptsspacing"/>
              <w:keepNext/>
            </w:pPr>
            <w:r>
              <w:t>43.3</w:t>
            </w:r>
          </w:p>
        </w:tc>
        <w:tc>
          <w:tcPr>
            <w:tcW w:w="1043" w:type="dxa"/>
            <w:tcBorders>
              <w:top w:val="single" w:sz="4" w:space="0" w:color="000000"/>
              <w:bottom w:val="single" w:sz="4" w:space="0" w:color="000000"/>
            </w:tcBorders>
          </w:tcPr>
          <w:p w14:paraId="0E05CD91" w14:textId="77777777" w:rsidR="00B449D0" w:rsidRDefault="00175344">
            <w:pPr>
              <w:pStyle w:val="MeasureTableDataRightAlignedwith2ptsspacing"/>
              <w:keepNext/>
            </w:pPr>
            <w:r>
              <w:t>41.3</w:t>
            </w:r>
          </w:p>
        </w:tc>
        <w:tc>
          <w:tcPr>
            <w:tcW w:w="1043" w:type="dxa"/>
            <w:tcBorders>
              <w:top w:val="single" w:sz="4" w:space="0" w:color="000000"/>
              <w:bottom w:val="single" w:sz="4" w:space="0" w:color="000000"/>
            </w:tcBorders>
          </w:tcPr>
          <w:p w14:paraId="0FABE5F5" w14:textId="77777777" w:rsidR="00B449D0" w:rsidRDefault="00175344">
            <w:pPr>
              <w:pStyle w:val="MeasureTableDataRightAlignedwith2ptsspacing"/>
              <w:keepNext/>
            </w:pPr>
            <w:r>
              <w:t>41.9</w:t>
            </w:r>
          </w:p>
        </w:tc>
        <w:tc>
          <w:tcPr>
            <w:tcW w:w="1043" w:type="dxa"/>
            <w:tcBorders>
              <w:top w:val="single" w:sz="4" w:space="0" w:color="000000"/>
              <w:bottom w:val="single" w:sz="4" w:space="0" w:color="000000"/>
            </w:tcBorders>
          </w:tcPr>
          <w:p w14:paraId="50A196E9" w14:textId="77777777" w:rsidR="00B449D0" w:rsidRDefault="00175344">
            <w:pPr>
              <w:pStyle w:val="MeasureTableDataRightAlignedwith2ptsspacing"/>
              <w:keepNext/>
            </w:pPr>
            <w:r>
              <w:t>42.6</w:t>
            </w:r>
          </w:p>
        </w:tc>
      </w:tr>
      <w:tr w:rsidR="00B449D0" w14:paraId="237D931D" w14:textId="77777777">
        <w:trPr>
          <w:cantSplit/>
        </w:trPr>
        <w:tc>
          <w:tcPr>
            <w:tcW w:w="2494" w:type="dxa"/>
            <w:tcBorders>
              <w:top w:val="single" w:sz="4" w:space="0" w:color="000000"/>
              <w:bottom w:val="single" w:sz="4" w:space="0" w:color="000000"/>
            </w:tcBorders>
          </w:tcPr>
          <w:p w14:paraId="157F341F" w14:textId="77777777" w:rsidR="00B449D0" w:rsidRDefault="00175344">
            <w:pPr>
              <w:pStyle w:val="MeasureTableHeadingleftalignedwith2ptsspacing"/>
              <w:keepNext/>
            </w:pPr>
            <w:r>
              <w:t>Department of the Treasury</w:t>
            </w:r>
          </w:p>
        </w:tc>
        <w:tc>
          <w:tcPr>
            <w:tcW w:w="1043" w:type="dxa"/>
            <w:tcBorders>
              <w:top w:val="single" w:sz="4" w:space="0" w:color="000000"/>
              <w:bottom w:val="single" w:sz="4" w:space="0" w:color="000000"/>
            </w:tcBorders>
          </w:tcPr>
          <w:p w14:paraId="4BFF40A2" w14:textId="5F31FD87"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A5F699C" w14:textId="4C3E6A37"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9634895" w14:textId="77777777" w:rsidR="00B449D0" w:rsidRDefault="00175344">
            <w:pPr>
              <w:pStyle w:val="MeasureTableDataRightAlignedwith2ptsspacing"/>
              <w:keepNext/>
            </w:pPr>
            <w:r>
              <w:t>1.8</w:t>
            </w:r>
          </w:p>
        </w:tc>
        <w:tc>
          <w:tcPr>
            <w:tcW w:w="1043" w:type="dxa"/>
            <w:tcBorders>
              <w:top w:val="single" w:sz="4" w:space="0" w:color="000000"/>
              <w:bottom w:val="single" w:sz="4" w:space="0" w:color="000000"/>
            </w:tcBorders>
          </w:tcPr>
          <w:p w14:paraId="50E45DD6" w14:textId="77777777" w:rsidR="00B449D0" w:rsidRDefault="00175344">
            <w:pPr>
              <w:pStyle w:val="MeasureTableDataRightAlignedwith2ptsspacing"/>
              <w:keepNext/>
            </w:pPr>
            <w:r>
              <w:t>1.8</w:t>
            </w:r>
          </w:p>
        </w:tc>
        <w:tc>
          <w:tcPr>
            <w:tcW w:w="1043" w:type="dxa"/>
            <w:tcBorders>
              <w:top w:val="single" w:sz="4" w:space="0" w:color="000000"/>
              <w:bottom w:val="single" w:sz="4" w:space="0" w:color="000000"/>
            </w:tcBorders>
          </w:tcPr>
          <w:p w14:paraId="63F0AF2F" w14:textId="77777777" w:rsidR="00B449D0" w:rsidRDefault="00175344">
            <w:pPr>
              <w:pStyle w:val="MeasureTableDataRightAlignedwith2ptsspacing"/>
              <w:keepNext/>
            </w:pPr>
            <w:r>
              <w:t>1.9</w:t>
            </w:r>
          </w:p>
        </w:tc>
      </w:tr>
      <w:tr w:rsidR="00B449D0" w14:paraId="59766CB0" w14:textId="77777777">
        <w:trPr>
          <w:cantSplit/>
        </w:trPr>
        <w:tc>
          <w:tcPr>
            <w:tcW w:w="2494" w:type="dxa"/>
            <w:tcBorders>
              <w:top w:val="single" w:sz="4" w:space="0" w:color="000000"/>
              <w:bottom w:val="single" w:sz="4" w:space="0" w:color="000000"/>
            </w:tcBorders>
          </w:tcPr>
          <w:p w14:paraId="23818EBD"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3C4D9BE9" w14:textId="1C548A03"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08631CC7" w14:textId="77777777" w:rsidR="00B449D0" w:rsidRDefault="00175344">
            <w:pPr>
              <w:pStyle w:val="Totaldatarowrightaligned"/>
              <w:keepNext/>
            </w:pPr>
            <w:r>
              <w:t>43.3</w:t>
            </w:r>
          </w:p>
        </w:tc>
        <w:tc>
          <w:tcPr>
            <w:tcW w:w="1043" w:type="dxa"/>
            <w:tcBorders>
              <w:top w:val="single" w:sz="4" w:space="0" w:color="000000"/>
              <w:bottom w:val="single" w:sz="4" w:space="0" w:color="000000"/>
            </w:tcBorders>
          </w:tcPr>
          <w:p w14:paraId="5D53BDAE" w14:textId="77777777" w:rsidR="00B449D0" w:rsidRDefault="00175344">
            <w:pPr>
              <w:pStyle w:val="Totaldatarowrightaligned"/>
              <w:keepNext/>
            </w:pPr>
            <w:r>
              <w:t>43.1</w:t>
            </w:r>
          </w:p>
        </w:tc>
        <w:tc>
          <w:tcPr>
            <w:tcW w:w="1043" w:type="dxa"/>
            <w:tcBorders>
              <w:top w:val="single" w:sz="4" w:space="0" w:color="000000"/>
              <w:bottom w:val="single" w:sz="4" w:space="0" w:color="000000"/>
            </w:tcBorders>
          </w:tcPr>
          <w:p w14:paraId="70A0AFAC" w14:textId="77777777" w:rsidR="00B449D0" w:rsidRDefault="00175344">
            <w:pPr>
              <w:pStyle w:val="Totaldatarowrightaligned"/>
              <w:keepNext/>
            </w:pPr>
            <w:r>
              <w:t>43.7</w:t>
            </w:r>
          </w:p>
        </w:tc>
        <w:tc>
          <w:tcPr>
            <w:tcW w:w="1043" w:type="dxa"/>
            <w:tcBorders>
              <w:top w:val="single" w:sz="4" w:space="0" w:color="000000"/>
              <w:bottom w:val="single" w:sz="4" w:space="0" w:color="000000"/>
            </w:tcBorders>
          </w:tcPr>
          <w:p w14:paraId="5F80562A" w14:textId="77777777" w:rsidR="00B449D0" w:rsidRDefault="00175344">
            <w:pPr>
              <w:pStyle w:val="Totaldatarowrightaligned"/>
              <w:keepNext/>
            </w:pPr>
            <w:r>
              <w:t>44.4</w:t>
            </w:r>
          </w:p>
        </w:tc>
      </w:tr>
    </w:tbl>
    <w:p w14:paraId="2F347734" w14:textId="77777777" w:rsidR="00B449D0" w:rsidRDefault="00B449D0" w:rsidP="00380A42">
      <w:pPr>
        <w:pStyle w:val="SingleParagraph0"/>
      </w:pPr>
    </w:p>
    <w:p w14:paraId="0ACDC283" w14:textId="131325AA" w:rsidR="00B449D0" w:rsidRDefault="00175344">
      <w:pPr>
        <w:pStyle w:val="Normal2"/>
      </w:pPr>
      <w:r w:rsidRPr="7F762F0D">
        <w:rPr>
          <w:lang w:val="en-US"/>
        </w:rPr>
        <w:t xml:space="preserve">The Government will provide $174.5 million over four years from 2024–25 (and $44.4 million per year ongoing) to support the addition of a maternal respiratory syncytial virus (RSV) vaccine to the </w:t>
      </w:r>
      <w:r w:rsidRPr="7F762F0D">
        <w:rPr>
          <w:i/>
          <w:iCs/>
          <w:lang w:val="en-US"/>
        </w:rPr>
        <w:t>National Immunisation Program</w:t>
      </w:r>
      <w:r w:rsidRPr="7F762F0D">
        <w:rPr>
          <w:lang w:val="en-US"/>
        </w:rPr>
        <w:t xml:space="preserve"> (NIP). The vaccine will be subsidised for the prevention of lower respiratory tract illness caused by RSV in infants from birth through to six months of age, with all pregnant women between 28 and 36</w:t>
      </w:r>
      <w:r w:rsidR="00C54B6B">
        <w:rPr>
          <w:lang w:val="en-US"/>
        </w:rPr>
        <w:t> </w:t>
      </w:r>
      <w:r w:rsidRPr="7F762F0D">
        <w:rPr>
          <w:lang w:val="en-US"/>
        </w:rPr>
        <w:t>weeks eligible for vaccination.</w:t>
      </w:r>
    </w:p>
    <w:p w14:paraId="12ABCD0C" w14:textId="77777777" w:rsidR="00B449D0" w:rsidRDefault="00175344">
      <w:pPr>
        <w:pStyle w:val="Normal2"/>
      </w:pPr>
      <w:r>
        <w:t>The Treasury manages Commonwealth payments to the states and territories. States and territories will deliver an RSV vaccination program under the NIP.</w:t>
      </w:r>
    </w:p>
    <w:p w14:paraId="63E5F456" w14:textId="77777777" w:rsidR="00B449D0" w:rsidRDefault="00175344">
      <w:pPr>
        <w:pStyle w:val="MeasureTitle"/>
      </w:pPr>
      <w:r>
        <w:lastRenderedPageBreak/>
        <w:t>An Effective and Clinically Appropriate Medicare Benefits Schedule</w:t>
      </w:r>
    </w:p>
    <w:p w14:paraId="07DB832D"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0240F725" w14:textId="77777777">
        <w:trPr>
          <w:cantSplit/>
        </w:trPr>
        <w:tc>
          <w:tcPr>
            <w:tcW w:w="2494" w:type="dxa"/>
            <w:tcBorders>
              <w:top w:val="single" w:sz="4" w:space="0" w:color="000000"/>
              <w:bottom w:val="single" w:sz="4" w:space="0" w:color="000000"/>
            </w:tcBorders>
          </w:tcPr>
          <w:p w14:paraId="0B441976" w14:textId="77777777" w:rsidR="00B449D0" w:rsidRDefault="00B449D0">
            <w:pPr>
              <w:pStyle w:val="MeasureTableYearHeadings"/>
              <w:keepNext/>
            </w:pPr>
          </w:p>
        </w:tc>
        <w:tc>
          <w:tcPr>
            <w:tcW w:w="1043" w:type="dxa"/>
            <w:tcBorders>
              <w:top w:val="single" w:sz="4" w:space="0" w:color="000000"/>
              <w:bottom w:val="single" w:sz="4" w:space="0" w:color="000000"/>
            </w:tcBorders>
          </w:tcPr>
          <w:p w14:paraId="4E917B9D" w14:textId="042E0D8E"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3E401545" w14:textId="7B11AB00"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3B7CCCBC" w14:textId="1D3F6766"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3DC72BE1" w14:textId="3E12F536"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1CEB1994" w14:textId="14828155" w:rsidR="00B449D0" w:rsidRDefault="00175344">
            <w:pPr>
              <w:pStyle w:val="MeasureTableYearHeadings"/>
              <w:keepNext/>
            </w:pPr>
            <w:r>
              <w:t>2027</w:t>
            </w:r>
            <w:r w:rsidR="00076D78">
              <w:noBreakHyphen/>
            </w:r>
            <w:r>
              <w:t>28</w:t>
            </w:r>
          </w:p>
        </w:tc>
      </w:tr>
      <w:tr w:rsidR="00B449D0" w14:paraId="19DFE3DA" w14:textId="77777777">
        <w:trPr>
          <w:cantSplit/>
        </w:trPr>
        <w:tc>
          <w:tcPr>
            <w:tcW w:w="2494" w:type="dxa"/>
            <w:tcBorders>
              <w:top w:val="single" w:sz="4" w:space="0" w:color="000000"/>
              <w:bottom w:val="single" w:sz="4" w:space="0" w:color="000000"/>
            </w:tcBorders>
          </w:tcPr>
          <w:p w14:paraId="1155F8A6" w14:textId="77777777" w:rsidR="00B449D0" w:rsidRDefault="00175344">
            <w:pPr>
              <w:pStyle w:val="MeasureTableHeadingleftalignedwith2ptsspacing"/>
              <w:keepNext/>
            </w:pPr>
            <w:r>
              <w:t>Department of Health and Aged Care</w:t>
            </w:r>
          </w:p>
        </w:tc>
        <w:tc>
          <w:tcPr>
            <w:tcW w:w="1043" w:type="dxa"/>
            <w:tcBorders>
              <w:top w:val="single" w:sz="4" w:space="0" w:color="000000"/>
              <w:bottom w:val="single" w:sz="4" w:space="0" w:color="000000"/>
            </w:tcBorders>
          </w:tcPr>
          <w:p w14:paraId="2A30A03F" w14:textId="70444458"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6805440" w14:textId="77777777" w:rsidR="00B449D0" w:rsidRDefault="00175344">
            <w:pPr>
              <w:pStyle w:val="MeasureTableDataRightAlignedwith2ptsspacing"/>
              <w:keepNext/>
            </w:pPr>
            <w:r>
              <w:t>61.4</w:t>
            </w:r>
          </w:p>
        </w:tc>
        <w:tc>
          <w:tcPr>
            <w:tcW w:w="1043" w:type="dxa"/>
            <w:tcBorders>
              <w:top w:val="single" w:sz="4" w:space="0" w:color="000000"/>
              <w:bottom w:val="single" w:sz="4" w:space="0" w:color="000000"/>
            </w:tcBorders>
          </w:tcPr>
          <w:p w14:paraId="242CDA0B" w14:textId="77777777" w:rsidR="00B449D0" w:rsidRDefault="00175344">
            <w:pPr>
              <w:pStyle w:val="MeasureTableDataRightAlignedwith2ptsspacing"/>
              <w:keepNext/>
            </w:pPr>
            <w:r>
              <w:t>48.1</w:t>
            </w:r>
          </w:p>
        </w:tc>
        <w:tc>
          <w:tcPr>
            <w:tcW w:w="1043" w:type="dxa"/>
            <w:tcBorders>
              <w:top w:val="single" w:sz="4" w:space="0" w:color="000000"/>
              <w:bottom w:val="single" w:sz="4" w:space="0" w:color="000000"/>
            </w:tcBorders>
          </w:tcPr>
          <w:p w14:paraId="67B593B6" w14:textId="77777777" w:rsidR="00B449D0" w:rsidRDefault="00175344">
            <w:pPr>
              <w:pStyle w:val="MeasureTableDataRightAlignedwith2ptsspacing"/>
              <w:keepNext/>
            </w:pPr>
            <w:r>
              <w:t>59.9</w:t>
            </w:r>
          </w:p>
        </w:tc>
        <w:tc>
          <w:tcPr>
            <w:tcW w:w="1043" w:type="dxa"/>
            <w:tcBorders>
              <w:top w:val="single" w:sz="4" w:space="0" w:color="000000"/>
              <w:bottom w:val="single" w:sz="4" w:space="0" w:color="000000"/>
            </w:tcBorders>
          </w:tcPr>
          <w:p w14:paraId="3BF0A467" w14:textId="77777777" w:rsidR="00B449D0" w:rsidRDefault="00175344">
            <w:pPr>
              <w:pStyle w:val="MeasureTableDataRightAlignedwith2ptsspacing"/>
              <w:keepNext/>
            </w:pPr>
            <w:r>
              <w:t>69.3</w:t>
            </w:r>
          </w:p>
        </w:tc>
      </w:tr>
      <w:tr w:rsidR="00B449D0" w14:paraId="0EF8230E" w14:textId="77777777">
        <w:trPr>
          <w:cantSplit/>
        </w:trPr>
        <w:tc>
          <w:tcPr>
            <w:tcW w:w="2494" w:type="dxa"/>
            <w:tcBorders>
              <w:top w:val="single" w:sz="4" w:space="0" w:color="000000"/>
              <w:bottom w:val="single" w:sz="4" w:space="0" w:color="000000"/>
            </w:tcBorders>
          </w:tcPr>
          <w:p w14:paraId="3D34F345" w14:textId="77777777" w:rsidR="00B449D0" w:rsidRDefault="00175344">
            <w:pPr>
              <w:pStyle w:val="MeasureTableHeadingleftalignedwith2ptsspacing"/>
              <w:keepNext/>
            </w:pPr>
            <w:r>
              <w:t>Services Australia</w:t>
            </w:r>
          </w:p>
        </w:tc>
        <w:tc>
          <w:tcPr>
            <w:tcW w:w="1043" w:type="dxa"/>
            <w:tcBorders>
              <w:top w:val="single" w:sz="4" w:space="0" w:color="000000"/>
              <w:bottom w:val="single" w:sz="4" w:space="0" w:color="000000"/>
            </w:tcBorders>
          </w:tcPr>
          <w:p w14:paraId="33656613" w14:textId="1C50D715"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409AFBB" w14:textId="77777777" w:rsidR="00B449D0" w:rsidRDefault="00175344">
            <w:pPr>
              <w:pStyle w:val="MeasureTableDataRightAlignedwith2ptsspacing"/>
              <w:keepNext/>
            </w:pPr>
            <w:r>
              <w:t>1.8</w:t>
            </w:r>
          </w:p>
        </w:tc>
        <w:tc>
          <w:tcPr>
            <w:tcW w:w="1043" w:type="dxa"/>
            <w:tcBorders>
              <w:top w:val="single" w:sz="4" w:space="0" w:color="000000"/>
              <w:bottom w:val="single" w:sz="4" w:space="0" w:color="000000"/>
            </w:tcBorders>
          </w:tcPr>
          <w:p w14:paraId="12A7880E" w14:textId="77777777" w:rsidR="00B449D0" w:rsidRDefault="00175344">
            <w:pPr>
              <w:pStyle w:val="MeasureTableDataRightAlignedwith2ptsspacing"/>
              <w:keepNext/>
            </w:pPr>
            <w:r>
              <w:t>1.5</w:t>
            </w:r>
          </w:p>
        </w:tc>
        <w:tc>
          <w:tcPr>
            <w:tcW w:w="1043" w:type="dxa"/>
            <w:tcBorders>
              <w:top w:val="single" w:sz="4" w:space="0" w:color="000000"/>
              <w:bottom w:val="single" w:sz="4" w:space="0" w:color="000000"/>
            </w:tcBorders>
          </w:tcPr>
          <w:p w14:paraId="401B42E0" w14:textId="77777777" w:rsidR="00B449D0" w:rsidRDefault="00175344">
            <w:pPr>
              <w:pStyle w:val="MeasureTableDataRightAlignedwith2ptsspacing"/>
              <w:keepNext/>
            </w:pPr>
            <w:r>
              <w:t>0.8</w:t>
            </w:r>
          </w:p>
        </w:tc>
        <w:tc>
          <w:tcPr>
            <w:tcW w:w="1043" w:type="dxa"/>
            <w:tcBorders>
              <w:top w:val="single" w:sz="4" w:space="0" w:color="000000"/>
              <w:bottom w:val="single" w:sz="4" w:space="0" w:color="000000"/>
            </w:tcBorders>
          </w:tcPr>
          <w:p w14:paraId="70E15148" w14:textId="77777777" w:rsidR="00B449D0" w:rsidRDefault="00175344">
            <w:pPr>
              <w:pStyle w:val="MeasureTableDataRightAlignedwith2ptsspacing"/>
              <w:keepNext/>
            </w:pPr>
            <w:r>
              <w:t>0.9</w:t>
            </w:r>
          </w:p>
        </w:tc>
      </w:tr>
      <w:tr w:rsidR="00B449D0" w14:paraId="21CCEDAA" w14:textId="77777777">
        <w:trPr>
          <w:cantSplit/>
        </w:trPr>
        <w:tc>
          <w:tcPr>
            <w:tcW w:w="2494" w:type="dxa"/>
            <w:tcBorders>
              <w:top w:val="single" w:sz="4" w:space="0" w:color="000000"/>
              <w:bottom w:val="single" w:sz="4" w:space="0" w:color="000000"/>
            </w:tcBorders>
          </w:tcPr>
          <w:p w14:paraId="60659924" w14:textId="66EB5CFA" w:rsidR="00B449D0" w:rsidRDefault="00175344">
            <w:pPr>
              <w:pStyle w:val="MeasureTableHeadingleftalignedwith2ptsspacing"/>
              <w:keepNext/>
            </w:pPr>
            <w:r>
              <w:t>Department of Veterans</w:t>
            </w:r>
            <w:r w:rsidR="00076D78">
              <w:t>’</w:t>
            </w:r>
            <w:r>
              <w:t xml:space="preserve"> Affairs</w:t>
            </w:r>
          </w:p>
        </w:tc>
        <w:tc>
          <w:tcPr>
            <w:tcW w:w="1043" w:type="dxa"/>
            <w:tcBorders>
              <w:top w:val="single" w:sz="4" w:space="0" w:color="000000"/>
              <w:bottom w:val="single" w:sz="4" w:space="0" w:color="000000"/>
            </w:tcBorders>
          </w:tcPr>
          <w:p w14:paraId="34B0D7BD" w14:textId="1E87129C"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F514972" w14:textId="77777777" w:rsidR="00B449D0" w:rsidRDefault="00175344">
            <w:pPr>
              <w:pStyle w:val="MeasureTableDataRightAlignedwith2ptsspacing"/>
              <w:keepNext/>
            </w:pPr>
            <w:r>
              <w:t>0.8</w:t>
            </w:r>
          </w:p>
        </w:tc>
        <w:tc>
          <w:tcPr>
            <w:tcW w:w="1043" w:type="dxa"/>
            <w:tcBorders>
              <w:top w:val="single" w:sz="4" w:space="0" w:color="000000"/>
              <w:bottom w:val="single" w:sz="4" w:space="0" w:color="000000"/>
            </w:tcBorders>
          </w:tcPr>
          <w:p w14:paraId="6C7B87CF" w14:textId="77777777" w:rsidR="00B449D0" w:rsidRDefault="00175344">
            <w:pPr>
              <w:pStyle w:val="MeasureTableDataRightAlignedwith2ptsspacing"/>
              <w:keepNext/>
            </w:pPr>
            <w:r>
              <w:t>0.6</w:t>
            </w:r>
          </w:p>
        </w:tc>
        <w:tc>
          <w:tcPr>
            <w:tcW w:w="1043" w:type="dxa"/>
            <w:tcBorders>
              <w:top w:val="single" w:sz="4" w:space="0" w:color="000000"/>
              <w:bottom w:val="single" w:sz="4" w:space="0" w:color="000000"/>
            </w:tcBorders>
          </w:tcPr>
          <w:p w14:paraId="5A15F188" w14:textId="77777777" w:rsidR="00B449D0" w:rsidRDefault="00175344">
            <w:pPr>
              <w:pStyle w:val="MeasureTableDataRightAlignedwith2ptsspacing"/>
              <w:keepNext/>
            </w:pPr>
            <w:r>
              <w:t>0.8</w:t>
            </w:r>
          </w:p>
        </w:tc>
        <w:tc>
          <w:tcPr>
            <w:tcW w:w="1043" w:type="dxa"/>
            <w:tcBorders>
              <w:top w:val="single" w:sz="4" w:space="0" w:color="000000"/>
              <w:bottom w:val="single" w:sz="4" w:space="0" w:color="000000"/>
            </w:tcBorders>
          </w:tcPr>
          <w:p w14:paraId="16DFC673" w14:textId="77777777" w:rsidR="00B449D0" w:rsidRDefault="00175344">
            <w:pPr>
              <w:pStyle w:val="MeasureTableDataRightAlignedwith2ptsspacing"/>
              <w:keepNext/>
            </w:pPr>
            <w:r>
              <w:t>0.9</w:t>
            </w:r>
          </w:p>
        </w:tc>
      </w:tr>
      <w:tr w:rsidR="00B449D0" w14:paraId="17EE50E6" w14:textId="77777777">
        <w:trPr>
          <w:cantSplit/>
        </w:trPr>
        <w:tc>
          <w:tcPr>
            <w:tcW w:w="2494" w:type="dxa"/>
            <w:tcBorders>
              <w:top w:val="single" w:sz="4" w:space="0" w:color="000000"/>
              <w:bottom w:val="single" w:sz="4" w:space="0" w:color="000000"/>
            </w:tcBorders>
          </w:tcPr>
          <w:p w14:paraId="4DC65BF6"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4DC2D7F7" w14:textId="74231F71"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46E3F247" w14:textId="77777777" w:rsidR="00B449D0" w:rsidRDefault="00175344">
            <w:pPr>
              <w:pStyle w:val="Totaldatarowrightaligned"/>
              <w:keepNext/>
            </w:pPr>
            <w:r>
              <w:t>64.1</w:t>
            </w:r>
          </w:p>
        </w:tc>
        <w:tc>
          <w:tcPr>
            <w:tcW w:w="1043" w:type="dxa"/>
            <w:tcBorders>
              <w:top w:val="single" w:sz="4" w:space="0" w:color="000000"/>
              <w:bottom w:val="single" w:sz="4" w:space="0" w:color="000000"/>
            </w:tcBorders>
          </w:tcPr>
          <w:p w14:paraId="31D25593" w14:textId="77777777" w:rsidR="00B449D0" w:rsidRDefault="00175344">
            <w:pPr>
              <w:pStyle w:val="Totaldatarowrightaligned"/>
              <w:keepNext/>
            </w:pPr>
            <w:r>
              <w:t>50.3</w:t>
            </w:r>
          </w:p>
        </w:tc>
        <w:tc>
          <w:tcPr>
            <w:tcW w:w="1043" w:type="dxa"/>
            <w:tcBorders>
              <w:top w:val="single" w:sz="4" w:space="0" w:color="000000"/>
              <w:bottom w:val="single" w:sz="4" w:space="0" w:color="000000"/>
            </w:tcBorders>
          </w:tcPr>
          <w:p w14:paraId="6D29C2B0" w14:textId="77777777" w:rsidR="00B449D0" w:rsidRDefault="00175344">
            <w:pPr>
              <w:pStyle w:val="Totaldatarowrightaligned"/>
              <w:keepNext/>
            </w:pPr>
            <w:r>
              <w:t>61.5</w:t>
            </w:r>
          </w:p>
        </w:tc>
        <w:tc>
          <w:tcPr>
            <w:tcW w:w="1043" w:type="dxa"/>
            <w:tcBorders>
              <w:top w:val="single" w:sz="4" w:space="0" w:color="000000"/>
              <w:bottom w:val="single" w:sz="4" w:space="0" w:color="000000"/>
            </w:tcBorders>
          </w:tcPr>
          <w:p w14:paraId="761ED56B" w14:textId="77777777" w:rsidR="00B449D0" w:rsidRDefault="00175344">
            <w:pPr>
              <w:pStyle w:val="Totaldatarowrightaligned"/>
              <w:keepNext/>
            </w:pPr>
            <w:r>
              <w:t>71.1</w:t>
            </w:r>
          </w:p>
        </w:tc>
      </w:tr>
    </w:tbl>
    <w:p w14:paraId="2CA2581B" w14:textId="77777777" w:rsidR="00B449D0" w:rsidRDefault="00B449D0" w:rsidP="00380A42">
      <w:pPr>
        <w:pStyle w:val="SingleParagraph0"/>
      </w:pPr>
    </w:p>
    <w:p w14:paraId="6B1AC166" w14:textId="77777777" w:rsidR="00B449D0" w:rsidRDefault="00175344">
      <w:pPr>
        <w:pStyle w:val="Normal2"/>
      </w:pPr>
      <w:r w:rsidRPr="7F762F0D">
        <w:rPr>
          <w:lang w:val="en-US"/>
        </w:rPr>
        <w:t>The Government will provide $246.9 million over four years from 2024–25 (and $82.4 million per year ongoing) to ensure the Medicare Benefits Schedule (MBS) remains clinically appropriate and reflects modern medical practices, including:</w:t>
      </w:r>
    </w:p>
    <w:p w14:paraId="7C7A4BBB" w14:textId="77777777" w:rsidR="00B449D0" w:rsidRDefault="00175344">
      <w:pPr>
        <w:pStyle w:val="Bullet"/>
      </w:pPr>
      <w:r>
        <w:t>$185.5 million over four years from 2024–25 (and $82.3 million per year ongoing) to maintain high quality health care through amendments to items on the MBS, including:</w:t>
      </w:r>
    </w:p>
    <w:p w14:paraId="7AB83180" w14:textId="77777777" w:rsidR="00B449D0" w:rsidRDefault="00175344">
      <w:pPr>
        <w:pStyle w:val="Dash"/>
      </w:pPr>
      <w:r>
        <w:t>$72.0 million over four years from 2024–25 (and $37.2 million per year ongoing) to support the treatment of advanced stage prostate cancer</w:t>
      </w:r>
    </w:p>
    <w:p w14:paraId="07500359" w14:textId="77777777" w:rsidR="00B449D0" w:rsidRDefault="00175344">
      <w:pPr>
        <w:pStyle w:val="Dash"/>
      </w:pPr>
      <w:r>
        <w:t>$48.1 million over three years from 2025–26 (and $17.2 million per year ongoing) to provide imaging tests to detect a wider range of cancers</w:t>
      </w:r>
    </w:p>
    <w:p w14:paraId="239D2CF3" w14:textId="77777777" w:rsidR="00B449D0" w:rsidRDefault="00175344">
      <w:pPr>
        <w:pStyle w:val="Dash"/>
      </w:pPr>
      <w:r>
        <w:t>$32.2 million over four years from 2024–25 (and $17.7 million per year ongoing) to allow greater access to surgical services by expanding the pool of surgical assistants to include Nurse Practitioners.</w:t>
      </w:r>
    </w:p>
    <w:p w14:paraId="5FD221EB" w14:textId="77777777" w:rsidR="00B449D0" w:rsidRDefault="00175344">
      <w:pPr>
        <w:pStyle w:val="Bullet"/>
      </w:pPr>
      <w:r>
        <w:t>$61.0 million in 2024–25 to defer changes to Chronic Disease Management planning items until 1 July 2025, to allow more time to support general practices and providers to prepare for the changes.</w:t>
      </w:r>
    </w:p>
    <w:p w14:paraId="1B6C24B1" w14:textId="77777777" w:rsidR="00B449D0" w:rsidRDefault="00175344">
      <w:pPr>
        <w:pStyle w:val="Normal2"/>
      </w:pPr>
      <w:r w:rsidRPr="7F762F0D">
        <w:rPr>
          <w:lang w:val="en-US"/>
        </w:rPr>
        <w:t xml:space="preserve">This measure builds on the 2023–24 Budget measure titled </w:t>
      </w:r>
      <w:r w:rsidRPr="7F762F0D">
        <w:rPr>
          <w:i/>
          <w:iCs/>
          <w:lang w:val="en-US"/>
        </w:rPr>
        <w:t xml:space="preserve">A Modern and Clinically Appropriate Medicare Benefits Schedule, </w:t>
      </w:r>
      <w:r w:rsidRPr="7F762F0D">
        <w:rPr>
          <w:lang w:val="en-US"/>
        </w:rPr>
        <w:t xml:space="preserve">and the 2024–25 Budget measure titled </w:t>
      </w:r>
      <w:r w:rsidRPr="7F762F0D">
        <w:rPr>
          <w:i/>
          <w:iCs/>
          <w:lang w:val="en-US"/>
        </w:rPr>
        <w:t>Strengthening Medicare – an effective and clinically appropriate Medicare Benefits Schedule (MBS).</w:t>
      </w:r>
    </w:p>
    <w:p w14:paraId="1EC8587E" w14:textId="77777777" w:rsidR="00B449D0" w:rsidRDefault="00175344">
      <w:pPr>
        <w:pStyle w:val="MeasureTitle"/>
      </w:pPr>
      <w:r>
        <w:t>Eighth Community Pharmacy Agreement</w:t>
      </w:r>
    </w:p>
    <w:p w14:paraId="06F7AA7A"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0AB6F3AB" w14:textId="77777777">
        <w:trPr>
          <w:cantSplit/>
        </w:trPr>
        <w:tc>
          <w:tcPr>
            <w:tcW w:w="2494" w:type="dxa"/>
            <w:tcBorders>
              <w:top w:val="single" w:sz="4" w:space="0" w:color="000000"/>
              <w:bottom w:val="single" w:sz="4" w:space="0" w:color="000000"/>
            </w:tcBorders>
          </w:tcPr>
          <w:p w14:paraId="6653AF7C" w14:textId="77777777" w:rsidR="00B449D0" w:rsidRDefault="00B449D0">
            <w:pPr>
              <w:pStyle w:val="MeasureTableYearHeadings"/>
              <w:keepNext/>
            </w:pPr>
          </w:p>
        </w:tc>
        <w:tc>
          <w:tcPr>
            <w:tcW w:w="1043" w:type="dxa"/>
            <w:tcBorders>
              <w:top w:val="single" w:sz="4" w:space="0" w:color="000000"/>
              <w:bottom w:val="single" w:sz="4" w:space="0" w:color="000000"/>
            </w:tcBorders>
          </w:tcPr>
          <w:p w14:paraId="3380057C" w14:textId="2556D465"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515F2CEE" w14:textId="2E932190"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4B4B79DB" w14:textId="61D913B4"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298EA6C5" w14:textId="25677A55"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60A08FBB" w14:textId="0542D7F9" w:rsidR="00B449D0" w:rsidRDefault="00175344">
            <w:pPr>
              <w:pStyle w:val="MeasureTableYearHeadings"/>
              <w:keepNext/>
            </w:pPr>
            <w:r>
              <w:t>2027</w:t>
            </w:r>
            <w:r w:rsidR="00076D78">
              <w:noBreakHyphen/>
            </w:r>
            <w:r>
              <w:t>28</w:t>
            </w:r>
          </w:p>
        </w:tc>
      </w:tr>
      <w:tr w:rsidR="00B449D0" w14:paraId="7A286B17" w14:textId="77777777">
        <w:trPr>
          <w:cantSplit/>
        </w:trPr>
        <w:tc>
          <w:tcPr>
            <w:tcW w:w="2494" w:type="dxa"/>
            <w:tcBorders>
              <w:top w:val="single" w:sz="4" w:space="0" w:color="000000"/>
              <w:bottom w:val="single" w:sz="4" w:space="0" w:color="000000"/>
            </w:tcBorders>
          </w:tcPr>
          <w:p w14:paraId="27AEAED4" w14:textId="2F9BF0AA" w:rsidR="00B449D0" w:rsidRDefault="00175344">
            <w:pPr>
              <w:pStyle w:val="MeasureTableHeadingleftalignedwith2ptsspacing"/>
              <w:keepNext/>
            </w:pPr>
            <w:r>
              <w:t>Department of Veterans</w:t>
            </w:r>
            <w:r w:rsidR="00076D78">
              <w:t>’</w:t>
            </w:r>
            <w:r>
              <w:t xml:space="preserve"> Affairs</w:t>
            </w:r>
          </w:p>
        </w:tc>
        <w:tc>
          <w:tcPr>
            <w:tcW w:w="1043" w:type="dxa"/>
            <w:tcBorders>
              <w:top w:val="single" w:sz="4" w:space="0" w:color="000000"/>
              <w:bottom w:val="single" w:sz="4" w:space="0" w:color="000000"/>
            </w:tcBorders>
          </w:tcPr>
          <w:p w14:paraId="7375CE55" w14:textId="4C7C4310"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979927C" w14:textId="7DCEB6C8"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7F55F6A" w14:textId="06FD166A"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B5A1A1C" w14:textId="750E208A"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AA86B48" w14:textId="2BE10AFE" w:rsidR="00B449D0" w:rsidRDefault="00076D78">
            <w:pPr>
              <w:pStyle w:val="MeasureTableDataRightAlignedwith2ptsspacing"/>
              <w:keepNext/>
            </w:pPr>
            <w:r>
              <w:noBreakHyphen/>
            </w:r>
          </w:p>
        </w:tc>
      </w:tr>
      <w:tr w:rsidR="00B449D0" w14:paraId="7FFA8D54" w14:textId="77777777">
        <w:trPr>
          <w:cantSplit/>
        </w:trPr>
        <w:tc>
          <w:tcPr>
            <w:tcW w:w="2494" w:type="dxa"/>
            <w:tcBorders>
              <w:top w:val="single" w:sz="4" w:space="0" w:color="000000"/>
              <w:bottom w:val="single" w:sz="4" w:space="0" w:color="000000"/>
            </w:tcBorders>
          </w:tcPr>
          <w:p w14:paraId="7BA14B8F" w14:textId="77777777" w:rsidR="00B449D0" w:rsidRDefault="00175344">
            <w:pPr>
              <w:pStyle w:val="MeasureTableHeadingleftalignedwith2ptsspacing"/>
              <w:keepNext/>
            </w:pPr>
            <w:r>
              <w:t>Services Australia</w:t>
            </w:r>
          </w:p>
        </w:tc>
        <w:tc>
          <w:tcPr>
            <w:tcW w:w="1043" w:type="dxa"/>
            <w:tcBorders>
              <w:top w:val="single" w:sz="4" w:space="0" w:color="000000"/>
              <w:bottom w:val="single" w:sz="4" w:space="0" w:color="000000"/>
            </w:tcBorders>
          </w:tcPr>
          <w:p w14:paraId="75DCB70A" w14:textId="14995D2C"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F66F1D8" w14:textId="1B0A59DD"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B58C503" w14:textId="10C334D2"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78AB9E4" w14:textId="1D398D1E"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600A2356" w14:textId="2087CE1E" w:rsidR="00B449D0" w:rsidRDefault="00076D78">
            <w:pPr>
              <w:pStyle w:val="MeasureTableDataRightAlignedwith2ptsspacing"/>
              <w:keepNext/>
            </w:pPr>
            <w:r>
              <w:noBreakHyphen/>
            </w:r>
          </w:p>
        </w:tc>
      </w:tr>
      <w:tr w:rsidR="00B449D0" w14:paraId="2490504F" w14:textId="77777777">
        <w:trPr>
          <w:cantSplit/>
        </w:trPr>
        <w:tc>
          <w:tcPr>
            <w:tcW w:w="2494" w:type="dxa"/>
            <w:tcBorders>
              <w:top w:val="single" w:sz="4" w:space="0" w:color="000000"/>
              <w:bottom w:val="single" w:sz="4" w:space="0" w:color="000000"/>
            </w:tcBorders>
          </w:tcPr>
          <w:p w14:paraId="4A0CCFB8" w14:textId="77777777" w:rsidR="00B449D0" w:rsidRDefault="00175344">
            <w:pPr>
              <w:pStyle w:val="MeasureTableHeadingleftalignedwith2ptsspacing"/>
              <w:keepNext/>
            </w:pPr>
            <w:r>
              <w:t>Department of Health and Aged Care</w:t>
            </w:r>
          </w:p>
        </w:tc>
        <w:tc>
          <w:tcPr>
            <w:tcW w:w="1043" w:type="dxa"/>
            <w:tcBorders>
              <w:top w:val="single" w:sz="4" w:space="0" w:color="000000"/>
              <w:bottom w:val="single" w:sz="4" w:space="0" w:color="000000"/>
            </w:tcBorders>
          </w:tcPr>
          <w:p w14:paraId="68899797" w14:textId="003A7CFF"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1895C38" w14:textId="697BD6F3" w:rsidR="00B449D0" w:rsidRDefault="00076D78">
            <w:pPr>
              <w:pStyle w:val="MeasureTableDataRightAlignedwith2ptsspacing"/>
              <w:keepNext/>
            </w:pPr>
            <w:r>
              <w:noBreakHyphen/>
            </w:r>
            <w:r w:rsidR="00175344">
              <w:t>27.9</w:t>
            </w:r>
          </w:p>
        </w:tc>
        <w:tc>
          <w:tcPr>
            <w:tcW w:w="1043" w:type="dxa"/>
            <w:tcBorders>
              <w:top w:val="single" w:sz="4" w:space="0" w:color="000000"/>
              <w:bottom w:val="single" w:sz="4" w:space="0" w:color="000000"/>
            </w:tcBorders>
          </w:tcPr>
          <w:p w14:paraId="0DA37417" w14:textId="38C8E239" w:rsidR="00B449D0" w:rsidRDefault="00076D78">
            <w:pPr>
              <w:pStyle w:val="MeasureTableDataRightAlignedwith2ptsspacing"/>
              <w:keepNext/>
            </w:pPr>
            <w:r>
              <w:noBreakHyphen/>
            </w:r>
            <w:r w:rsidR="00175344">
              <w:t>38.0</w:t>
            </w:r>
          </w:p>
        </w:tc>
        <w:tc>
          <w:tcPr>
            <w:tcW w:w="1043" w:type="dxa"/>
            <w:tcBorders>
              <w:top w:val="single" w:sz="4" w:space="0" w:color="000000"/>
              <w:bottom w:val="single" w:sz="4" w:space="0" w:color="000000"/>
            </w:tcBorders>
          </w:tcPr>
          <w:p w14:paraId="52A93C1F" w14:textId="1E4A7574" w:rsidR="00B449D0" w:rsidRDefault="00076D78">
            <w:pPr>
              <w:pStyle w:val="MeasureTableDataRightAlignedwith2ptsspacing"/>
              <w:keepNext/>
            </w:pPr>
            <w:r>
              <w:noBreakHyphen/>
            </w:r>
            <w:r w:rsidR="00175344">
              <w:t>30.9</w:t>
            </w:r>
          </w:p>
        </w:tc>
        <w:tc>
          <w:tcPr>
            <w:tcW w:w="1043" w:type="dxa"/>
            <w:tcBorders>
              <w:top w:val="single" w:sz="4" w:space="0" w:color="000000"/>
              <w:bottom w:val="single" w:sz="4" w:space="0" w:color="000000"/>
            </w:tcBorders>
          </w:tcPr>
          <w:p w14:paraId="41744538" w14:textId="77777777" w:rsidR="00B449D0" w:rsidRDefault="00175344">
            <w:pPr>
              <w:pStyle w:val="MeasureTableDataRightAlignedwith2ptsspacing"/>
              <w:keepNext/>
            </w:pPr>
            <w:r>
              <w:t>10.4</w:t>
            </w:r>
          </w:p>
        </w:tc>
      </w:tr>
      <w:tr w:rsidR="00B449D0" w14:paraId="432E22E4" w14:textId="77777777">
        <w:trPr>
          <w:cantSplit/>
        </w:trPr>
        <w:tc>
          <w:tcPr>
            <w:tcW w:w="2494" w:type="dxa"/>
            <w:tcBorders>
              <w:top w:val="single" w:sz="4" w:space="0" w:color="000000"/>
              <w:bottom w:val="single" w:sz="4" w:space="0" w:color="000000"/>
            </w:tcBorders>
          </w:tcPr>
          <w:p w14:paraId="4F65ADCE"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0AC9A024" w14:textId="77FB7D96"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7411328F" w14:textId="5A8C5BF3" w:rsidR="00B449D0" w:rsidRDefault="00076D78">
            <w:pPr>
              <w:pStyle w:val="Totaldatarowrightaligned"/>
              <w:keepNext/>
            </w:pPr>
            <w:r>
              <w:noBreakHyphen/>
            </w:r>
            <w:r w:rsidR="00175344">
              <w:t>27.9</w:t>
            </w:r>
          </w:p>
        </w:tc>
        <w:tc>
          <w:tcPr>
            <w:tcW w:w="1043" w:type="dxa"/>
            <w:tcBorders>
              <w:top w:val="single" w:sz="4" w:space="0" w:color="000000"/>
              <w:bottom w:val="single" w:sz="4" w:space="0" w:color="000000"/>
            </w:tcBorders>
          </w:tcPr>
          <w:p w14:paraId="52CD7B9A" w14:textId="697CCB8A" w:rsidR="00B449D0" w:rsidRDefault="00076D78">
            <w:pPr>
              <w:pStyle w:val="Totaldatarowrightaligned"/>
              <w:keepNext/>
            </w:pPr>
            <w:r>
              <w:noBreakHyphen/>
            </w:r>
            <w:r w:rsidR="00175344">
              <w:t>38.0</w:t>
            </w:r>
          </w:p>
        </w:tc>
        <w:tc>
          <w:tcPr>
            <w:tcW w:w="1043" w:type="dxa"/>
            <w:tcBorders>
              <w:top w:val="single" w:sz="4" w:space="0" w:color="000000"/>
              <w:bottom w:val="single" w:sz="4" w:space="0" w:color="000000"/>
            </w:tcBorders>
          </w:tcPr>
          <w:p w14:paraId="300BB344" w14:textId="60016E0B" w:rsidR="00B449D0" w:rsidRDefault="00076D78">
            <w:pPr>
              <w:pStyle w:val="Totaldatarowrightaligned"/>
              <w:keepNext/>
            </w:pPr>
            <w:r>
              <w:noBreakHyphen/>
            </w:r>
            <w:r w:rsidR="00175344">
              <w:t>30.9</w:t>
            </w:r>
          </w:p>
        </w:tc>
        <w:tc>
          <w:tcPr>
            <w:tcW w:w="1043" w:type="dxa"/>
            <w:tcBorders>
              <w:top w:val="single" w:sz="4" w:space="0" w:color="000000"/>
              <w:bottom w:val="single" w:sz="4" w:space="0" w:color="000000"/>
            </w:tcBorders>
          </w:tcPr>
          <w:p w14:paraId="4BE8F5E5" w14:textId="77777777" w:rsidR="00B449D0" w:rsidRDefault="00175344">
            <w:pPr>
              <w:pStyle w:val="Totaldatarowrightaligned"/>
              <w:keepNext/>
            </w:pPr>
            <w:r>
              <w:t>10.4</w:t>
            </w:r>
          </w:p>
        </w:tc>
      </w:tr>
    </w:tbl>
    <w:p w14:paraId="5BFD505B" w14:textId="77777777" w:rsidR="00B449D0" w:rsidRDefault="00B449D0" w:rsidP="00380A42">
      <w:pPr>
        <w:pStyle w:val="SingleParagraph0"/>
      </w:pPr>
    </w:p>
    <w:p w14:paraId="2000907F" w14:textId="771C9568" w:rsidR="00B449D0" w:rsidRDefault="00175344">
      <w:pPr>
        <w:pStyle w:val="Normal2"/>
      </w:pPr>
      <w:r w:rsidRPr="7F762F0D">
        <w:rPr>
          <w:lang w:val="en-US"/>
        </w:rPr>
        <w:t>The Government will provide $1.8</w:t>
      </w:r>
      <w:r w:rsidR="002A7001">
        <w:rPr>
          <w:lang w:val="en-US"/>
        </w:rPr>
        <w:t> billion</w:t>
      </w:r>
      <w:r w:rsidRPr="7F762F0D">
        <w:rPr>
          <w:lang w:val="en-US"/>
        </w:rPr>
        <w:t xml:space="preserve"> over four years from 2024–25 (and an additional $488.5 million from 2028–29 to 2029–30) for community pharmacy remuneration and to support access to medicines under the Eighth Community Pharmacy Agreement. Funding includes:</w:t>
      </w:r>
    </w:p>
    <w:p w14:paraId="50B41F05" w14:textId="77777777" w:rsidR="00B449D0" w:rsidRDefault="00175344">
      <w:pPr>
        <w:pStyle w:val="Bullet"/>
      </w:pPr>
      <w:r>
        <w:lastRenderedPageBreak/>
        <w:t>$2.1 billion over six years from 2024–25 to provide community pharmacies with additional legislated payments, known as the Additional Community Supply Support Payment</w:t>
      </w:r>
    </w:p>
    <w:p w14:paraId="2916D637" w14:textId="77777777" w:rsidR="00B449D0" w:rsidRDefault="00175344">
      <w:pPr>
        <w:pStyle w:val="Bullet"/>
      </w:pPr>
      <w:r>
        <w:t>$52.0 million over five years from 2024–25 to increase the Regional Pharmacy Maintenance Allowance</w:t>
      </w:r>
    </w:p>
    <w:p w14:paraId="6C24B5D3" w14:textId="77777777" w:rsidR="00B449D0" w:rsidRDefault="00175344">
      <w:pPr>
        <w:pStyle w:val="Bullet"/>
      </w:pPr>
      <w:r>
        <w:t>$43.0 million in 2024–25 as a Seventh Community Pharmacy Agreement (7CPA) remuneration adjustment closure cost, due to the early termination of the 7CPA</w:t>
      </w:r>
    </w:p>
    <w:p w14:paraId="5760422F" w14:textId="77777777" w:rsidR="00B449D0" w:rsidRDefault="00175344">
      <w:pPr>
        <w:pStyle w:val="Bullet"/>
      </w:pPr>
      <w:r>
        <w:t>$39.6 million over five years from 2024–25 in implementation and evaluation costs, including an education campaign.</w:t>
      </w:r>
    </w:p>
    <w:p w14:paraId="22D7D985" w14:textId="77777777" w:rsidR="00B449D0" w:rsidRDefault="00175344">
      <w:pPr>
        <w:pStyle w:val="Normal2"/>
      </w:pPr>
      <w:r>
        <w:t>The Government has already provided partial funding for this measure.</w:t>
      </w:r>
    </w:p>
    <w:p w14:paraId="4DC091FE" w14:textId="77777777" w:rsidR="00B449D0" w:rsidRDefault="00175344">
      <w:pPr>
        <w:pStyle w:val="Normal2"/>
      </w:pPr>
      <w:r>
        <w:t xml:space="preserve">This measure builds on the 2024–25 Budget measure titled </w:t>
      </w:r>
      <w:r w:rsidRPr="00175344">
        <w:rPr>
          <w:i/>
        </w:rPr>
        <w:t>Securing Cheaper Medicines.</w:t>
      </w:r>
    </w:p>
    <w:p w14:paraId="6FAD8C78" w14:textId="77777777" w:rsidR="00B449D0" w:rsidRDefault="00175344">
      <w:pPr>
        <w:pStyle w:val="Normal2"/>
      </w:pPr>
      <w:r w:rsidRPr="7F762F0D">
        <w:rPr>
          <w:lang w:val="en-US"/>
        </w:rPr>
        <w:t>The Government will also achieve savings of $127.9 million over three years from 2024–25 by ceasing funding for the Regional Pharmacy Transition Allowance which terminated on 1 July 2024.</w:t>
      </w:r>
    </w:p>
    <w:p w14:paraId="6FF2D792" w14:textId="77777777" w:rsidR="00B449D0" w:rsidRDefault="00175344">
      <w:pPr>
        <w:pStyle w:val="MeasureTitle"/>
      </w:pPr>
      <w:r>
        <w:t>Ensuring the Viability and Quality of Aged Care</w:t>
      </w:r>
    </w:p>
    <w:p w14:paraId="5244DF2B"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27C58A5B" w14:textId="77777777">
        <w:trPr>
          <w:cantSplit/>
        </w:trPr>
        <w:tc>
          <w:tcPr>
            <w:tcW w:w="2494" w:type="dxa"/>
            <w:tcBorders>
              <w:top w:val="single" w:sz="4" w:space="0" w:color="000000"/>
              <w:bottom w:val="single" w:sz="4" w:space="0" w:color="000000"/>
            </w:tcBorders>
          </w:tcPr>
          <w:p w14:paraId="37325A73" w14:textId="77777777" w:rsidR="00B449D0" w:rsidRDefault="00B449D0">
            <w:pPr>
              <w:pStyle w:val="MeasureTableYearHeadings"/>
              <w:keepNext/>
            </w:pPr>
          </w:p>
        </w:tc>
        <w:tc>
          <w:tcPr>
            <w:tcW w:w="1043" w:type="dxa"/>
            <w:tcBorders>
              <w:top w:val="single" w:sz="4" w:space="0" w:color="000000"/>
              <w:bottom w:val="single" w:sz="4" w:space="0" w:color="000000"/>
            </w:tcBorders>
          </w:tcPr>
          <w:p w14:paraId="21C4C1D9" w14:textId="18301DF3"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144D7408" w14:textId="700B62EA"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7A691458" w14:textId="1C9A4585"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2C3E7213" w14:textId="27A2F1E1"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72AB1159" w14:textId="1BA70583" w:rsidR="00B449D0" w:rsidRDefault="00175344">
            <w:pPr>
              <w:pStyle w:val="MeasureTableYearHeadings"/>
              <w:keepNext/>
            </w:pPr>
            <w:r>
              <w:t>2027</w:t>
            </w:r>
            <w:r w:rsidR="00076D78">
              <w:noBreakHyphen/>
            </w:r>
            <w:r>
              <w:t>28</w:t>
            </w:r>
          </w:p>
        </w:tc>
      </w:tr>
      <w:tr w:rsidR="00B449D0" w14:paraId="6AFA16D3" w14:textId="77777777">
        <w:trPr>
          <w:cantSplit/>
        </w:trPr>
        <w:tc>
          <w:tcPr>
            <w:tcW w:w="2494" w:type="dxa"/>
            <w:tcBorders>
              <w:top w:val="single" w:sz="4" w:space="0" w:color="000000"/>
              <w:bottom w:val="single" w:sz="4" w:space="0" w:color="000000"/>
            </w:tcBorders>
          </w:tcPr>
          <w:p w14:paraId="605984D2" w14:textId="77777777" w:rsidR="00B449D0" w:rsidRDefault="00175344">
            <w:pPr>
              <w:pStyle w:val="MeasureTableHeadingleftalignedwith2ptsspacing"/>
              <w:keepNext/>
            </w:pPr>
            <w:r>
              <w:t>Services Australia</w:t>
            </w:r>
          </w:p>
        </w:tc>
        <w:tc>
          <w:tcPr>
            <w:tcW w:w="1043" w:type="dxa"/>
            <w:tcBorders>
              <w:top w:val="single" w:sz="4" w:space="0" w:color="000000"/>
              <w:bottom w:val="single" w:sz="4" w:space="0" w:color="000000"/>
            </w:tcBorders>
          </w:tcPr>
          <w:p w14:paraId="65495C3B" w14:textId="05DDC235"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A642B82" w14:textId="77777777" w:rsidR="00B449D0" w:rsidRDefault="00175344">
            <w:pPr>
              <w:pStyle w:val="MeasureTableDataRightAlignedwith2ptsspacing"/>
              <w:keepNext/>
            </w:pPr>
            <w:r>
              <w:t>95.6</w:t>
            </w:r>
          </w:p>
        </w:tc>
        <w:tc>
          <w:tcPr>
            <w:tcW w:w="1043" w:type="dxa"/>
            <w:tcBorders>
              <w:top w:val="single" w:sz="4" w:space="0" w:color="000000"/>
              <w:bottom w:val="single" w:sz="4" w:space="0" w:color="000000"/>
            </w:tcBorders>
          </w:tcPr>
          <w:p w14:paraId="7FE5FF87" w14:textId="77777777" w:rsidR="00B449D0" w:rsidRDefault="00175344">
            <w:pPr>
              <w:pStyle w:val="MeasureTableDataRightAlignedwith2ptsspacing"/>
              <w:keepNext/>
            </w:pPr>
            <w:r>
              <w:t>34.6</w:t>
            </w:r>
          </w:p>
        </w:tc>
        <w:tc>
          <w:tcPr>
            <w:tcW w:w="1043" w:type="dxa"/>
            <w:tcBorders>
              <w:top w:val="single" w:sz="4" w:space="0" w:color="000000"/>
              <w:bottom w:val="single" w:sz="4" w:space="0" w:color="000000"/>
            </w:tcBorders>
          </w:tcPr>
          <w:p w14:paraId="3588CE10" w14:textId="77777777" w:rsidR="00B449D0" w:rsidRDefault="00175344">
            <w:pPr>
              <w:pStyle w:val="MeasureTableDataRightAlignedwith2ptsspacing"/>
              <w:keepNext/>
            </w:pPr>
            <w:r>
              <w:t>20.0</w:t>
            </w:r>
          </w:p>
        </w:tc>
        <w:tc>
          <w:tcPr>
            <w:tcW w:w="1043" w:type="dxa"/>
            <w:tcBorders>
              <w:top w:val="single" w:sz="4" w:space="0" w:color="000000"/>
              <w:bottom w:val="single" w:sz="4" w:space="0" w:color="000000"/>
            </w:tcBorders>
          </w:tcPr>
          <w:p w14:paraId="5C560491" w14:textId="77777777" w:rsidR="00B449D0" w:rsidRDefault="00175344">
            <w:pPr>
              <w:pStyle w:val="MeasureTableDataRightAlignedwith2ptsspacing"/>
              <w:keepNext/>
            </w:pPr>
            <w:r>
              <w:t>22.2</w:t>
            </w:r>
          </w:p>
        </w:tc>
      </w:tr>
      <w:tr w:rsidR="00B449D0" w14:paraId="66724D57" w14:textId="77777777">
        <w:trPr>
          <w:cantSplit/>
        </w:trPr>
        <w:tc>
          <w:tcPr>
            <w:tcW w:w="2494" w:type="dxa"/>
            <w:tcBorders>
              <w:top w:val="single" w:sz="4" w:space="0" w:color="000000"/>
              <w:bottom w:val="single" w:sz="4" w:space="0" w:color="000000"/>
            </w:tcBorders>
          </w:tcPr>
          <w:p w14:paraId="174A88ED" w14:textId="77777777" w:rsidR="00B449D0" w:rsidRDefault="00175344">
            <w:pPr>
              <w:pStyle w:val="MeasureTableHeadingleftalignedwith2ptsspacing"/>
              <w:keepNext/>
            </w:pPr>
            <w:r>
              <w:t>Aged Care Quality and Safety Commission</w:t>
            </w:r>
          </w:p>
        </w:tc>
        <w:tc>
          <w:tcPr>
            <w:tcW w:w="1043" w:type="dxa"/>
            <w:tcBorders>
              <w:top w:val="single" w:sz="4" w:space="0" w:color="000000"/>
              <w:bottom w:val="single" w:sz="4" w:space="0" w:color="000000"/>
            </w:tcBorders>
          </w:tcPr>
          <w:p w14:paraId="2173B1B5" w14:textId="15A2233A"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6E753CC6" w14:textId="77777777" w:rsidR="00B449D0" w:rsidRDefault="00175344">
            <w:pPr>
              <w:pStyle w:val="MeasureTableDataRightAlignedwith2ptsspacing"/>
              <w:keepNext/>
            </w:pPr>
            <w:r>
              <w:t>1.3</w:t>
            </w:r>
          </w:p>
        </w:tc>
        <w:tc>
          <w:tcPr>
            <w:tcW w:w="1043" w:type="dxa"/>
            <w:tcBorders>
              <w:top w:val="single" w:sz="4" w:space="0" w:color="000000"/>
              <w:bottom w:val="single" w:sz="4" w:space="0" w:color="000000"/>
            </w:tcBorders>
          </w:tcPr>
          <w:p w14:paraId="22A977D6" w14:textId="77777777" w:rsidR="00B449D0" w:rsidRDefault="00175344">
            <w:pPr>
              <w:pStyle w:val="MeasureTableDataRightAlignedwith2ptsspacing"/>
              <w:keepNext/>
            </w:pPr>
            <w:r>
              <w:t>1.4</w:t>
            </w:r>
          </w:p>
        </w:tc>
        <w:tc>
          <w:tcPr>
            <w:tcW w:w="1043" w:type="dxa"/>
            <w:tcBorders>
              <w:top w:val="single" w:sz="4" w:space="0" w:color="000000"/>
              <w:bottom w:val="single" w:sz="4" w:space="0" w:color="000000"/>
            </w:tcBorders>
          </w:tcPr>
          <w:p w14:paraId="5A67029D" w14:textId="6C50D69D"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CDC31E1" w14:textId="46510D1D" w:rsidR="00B449D0" w:rsidRDefault="00076D78">
            <w:pPr>
              <w:pStyle w:val="MeasureTableDataRightAlignedwith2ptsspacing"/>
              <w:keepNext/>
            </w:pPr>
            <w:r>
              <w:noBreakHyphen/>
            </w:r>
          </w:p>
        </w:tc>
      </w:tr>
      <w:tr w:rsidR="00B449D0" w14:paraId="1A6C3F3C" w14:textId="77777777">
        <w:trPr>
          <w:cantSplit/>
        </w:trPr>
        <w:tc>
          <w:tcPr>
            <w:tcW w:w="2494" w:type="dxa"/>
            <w:tcBorders>
              <w:top w:val="single" w:sz="4" w:space="0" w:color="000000"/>
              <w:bottom w:val="single" w:sz="4" w:space="0" w:color="000000"/>
            </w:tcBorders>
          </w:tcPr>
          <w:p w14:paraId="4A0E032F" w14:textId="77777777" w:rsidR="00B449D0" w:rsidRDefault="00175344">
            <w:pPr>
              <w:pStyle w:val="MeasureTableHeadingleftalignedwith2ptsspacing"/>
              <w:keepNext/>
            </w:pPr>
            <w:r>
              <w:t>Australian Digital Health Agency</w:t>
            </w:r>
          </w:p>
        </w:tc>
        <w:tc>
          <w:tcPr>
            <w:tcW w:w="1043" w:type="dxa"/>
            <w:tcBorders>
              <w:top w:val="single" w:sz="4" w:space="0" w:color="000000"/>
              <w:bottom w:val="single" w:sz="4" w:space="0" w:color="000000"/>
            </w:tcBorders>
          </w:tcPr>
          <w:p w14:paraId="169CF03A" w14:textId="3EE57DD2"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DB8A5DB" w14:textId="77777777" w:rsidR="00B449D0" w:rsidRDefault="00175344">
            <w:pPr>
              <w:pStyle w:val="MeasureTableDataRightAlignedwith2ptsspacing"/>
              <w:keepNext/>
            </w:pPr>
            <w:r>
              <w:t>1.1</w:t>
            </w:r>
          </w:p>
        </w:tc>
        <w:tc>
          <w:tcPr>
            <w:tcW w:w="1043" w:type="dxa"/>
            <w:tcBorders>
              <w:top w:val="single" w:sz="4" w:space="0" w:color="000000"/>
              <w:bottom w:val="single" w:sz="4" w:space="0" w:color="000000"/>
            </w:tcBorders>
          </w:tcPr>
          <w:p w14:paraId="4FBF92A8" w14:textId="2079768B"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36A178B" w14:textId="271C452A"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815E12D" w14:textId="5425571A" w:rsidR="00B449D0" w:rsidRDefault="00076D78">
            <w:pPr>
              <w:pStyle w:val="MeasureTableDataRightAlignedwith2ptsspacing"/>
              <w:keepNext/>
            </w:pPr>
            <w:r>
              <w:noBreakHyphen/>
            </w:r>
          </w:p>
        </w:tc>
      </w:tr>
      <w:tr w:rsidR="00B449D0" w14:paraId="522EEFBE" w14:textId="77777777">
        <w:trPr>
          <w:cantSplit/>
        </w:trPr>
        <w:tc>
          <w:tcPr>
            <w:tcW w:w="2494" w:type="dxa"/>
            <w:tcBorders>
              <w:top w:val="single" w:sz="4" w:space="0" w:color="000000"/>
              <w:bottom w:val="single" w:sz="4" w:space="0" w:color="000000"/>
            </w:tcBorders>
          </w:tcPr>
          <w:p w14:paraId="45C2AA00" w14:textId="3715F7E1" w:rsidR="00B449D0" w:rsidRDefault="00175344">
            <w:pPr>
              <w:pStyle w:val="MeasureTableHeadingleftalignedwith2ptsspacing"/>
              <w:keepNext/>
            </w:pPr>
            <w:r>
              <w:t>Department of Veterans</w:t>
            </w:r>
            <w:r w:rsidR="00076D78">
              <w:t>’</w:t>
            </w:r>
            <w:r>
              <w:t xml:space="preserve"> Affairs</w:t>
            </w:r>
          </w:p>
        </w:tc>
        <w:tc>
          <w:tcPr>
            <w:tcW w:w="1043" w:type="dxa"/>
            <w:tcBorders>
              <w:top w:val="single" w:sz="4" w:space="0" w:color="000000"/>
              <w:bottom w:val="single" w:sz="4" w:space="0" w:color="000000"/>
            </w:tcBorders>
          </w:tcPr>
          <w:p w14:paraId="5800AD99" w14:textId="7AF929D3"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D109A21" w14:textId="31F3D7ED" w:rsidR="00B449D0" w:rsidRDefault="00076D78">
            <w:pPr>
              <w:pStyle w:val="MeasureTableDataRightAlignedwith2ptsspacing"/>
              <w:keepNext/>
            </w:pPr>
            <w:r>
              <w:noBreakHyphen/>
            </w:r>
            <w:r w:rsidR="00175344">
              <w:t>7.9</w:t>
            </w:r>
          </w:p>
        </w:tc>
        <w:tc>
          <w:tcPr>
            <w:tcW w:w="1043" w:type="dxa"/>
            <w:tcBorders>
              <w:top w:val="single" w:sz="4" w:space="0" w:color="000000"/>
              <w:bottom w:val="single" w:sz="4" w:space="0" w:color="000000"/>
            </w:tcBorders>
          </w:tcPr>
          <w:p w14:paraId="70F5ABC4" w14:textId="4CC8AE83" w:rsidR="00B449D0" w:rsidRDefault="00076D78">
            <w:pPr>
              <w:pStyle w:val="MeasureTableDataRightAlignedwith2ptsspacing"/>
              <w:keepNext/>
            </w:pPr>
            <w:r>
              <w:noBreakHyphen/>
            </w:r>
            <w:r w:rsidR="00175344">
              <w:t>21.1</w:t>
            </w:r>
          </w:p>
        </w:tc>
        <w:tc>
          <w:tcPr>
            <w:tcW w:w="1043" w:type="dxa"/>
            <w:tcBorders>
              <w:top w:val="single" w:sz="4" w:space="0" w:color="000000"/>
              <w:bottom w:val="single" w:sz="4" w:space="0" w:color="000000"/>
            </w:tcBorders>
          </w:tcPr>
          <w:p w14:paraId="1BCB7EDC" w14:textId="0BAE6096" w:rsidR="00B449D0" w:rsidRDefault="00076D78">
            <w:pPr>
              <w:pStyle w:val="MeasureTableDataRightAlignedwith2ptsspacing"/>
              <w:keepNext/>
            </w:pPr>
            <w:r>
              <w:noBreakHyphen/>
            </w:r>
            <w:r w:rsidR="00175344">
              <w:t>21.9</w:t>
            </w:r>
          </w:p>
        </w:tc>
        <w:tc>
          <w:tcPr>
            <w:tcW w:w="1043" w:type="dxa"/>
            <w:tcBorders>
              <w:top w:val="single" w:sz="4" w:space="0" w:color="000000"/>
              <w:bottom w:val="single" w:sz="4" w:space="0" w:color="000000"/>
            </w:tcBorders>
          </w:tcPr>
          <w:p w14:paraId="68CE6CC0" w14:textId="3809396C" w:rsidR="00B449D0" w:rsidRDefault="00076D78">
            <w:pPr>
              <w:pStyle w:val="MeasureTableDataRightAlignedwith2ptsspacing"/>
              <w:keepNext/>
            </w:pPr>
            <w:r>
              <w:noBreakHyphen/>
            </w:r>
            <w:r w:rsidR="00175344">
              <w:t>53.4</w:t>
            </w:r>
          </w:p>
        </w:tc>
      </w:tr>
      <w:tr w:rsidR="00B449D0" w14:paraId="74C90CB7" w14:textId="77777777">
        <w:trPr>
          <w:cantSplit/>
        </w:trPr>
        <w:tc>
          <w:tcPr>
            <w:tcW w:w="2494" w:type="dxa"/>
            <w:tcBorders>
              <w:top w:val="single" w:sz="4" w:space="0" w:color="000000"/>
              <w:bottom w:val="single" w:sz="4" w:space="0" w:color="000000"/>
            </w:tcBorders>
          </w:tcPr>
          <w:p w14:paraId="6DB03EBC" w14:textId="77777777" w:rsidR="00B449D0" w:rsidRDefault="00175344">
            <w:pPr>
              <w:pStyle w:val="MeasureTableHeadingleftalignedwith2ptsspacing"/>
              <w:keepNext/>
            </w:pPr>
            <w:r>
              <w:t>Department of Health and Aged Care</w:t>
            </w:r>
          </w:p>
        </w:tc>
        <w:tc>
          <w:tcPr>
            <w:tcW w:w="1043" w:type="dxa"/>
            <w:tcBorders>
              <w:top w:val="single" w:sz="4" w:space="0" w:color="000000"/>
              <w:bottom w:val="single" w:sz="4" w:space="0" w:color="000000"/>
            </w:tcBorders>
          </w:tcPr>
          <w:p w14:paraId="1D63B606" w14:textId="186FFA26"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54AC43F" w14:textId="0CE59AF8" w:rsidR="00B449D0" w:rsidRDefault="00076D78">
            <w:pPr>
              <w:pStyle w:val="MeasureTableDataRightAlignedwith2ptsspacing"/>
              <w:keepNext/>
            </w:pPr>
            <w:r>
              <w:noBreakHyphen/>
            </w:r>
            <w:r w:rsidR="00175344">
              <w:t>247.3</w:t>
            </w:r>
          </w:p>
        </w:tc>
        <w:tc>
          <w:tcPr>
            <w:tcW w:w="1043" w:type="dxa"/>
            <w:tcBorders>
              <w:top w:val="single" w:sz="4" w:space="0" w:color="000000"/>
              <w:bottom w:val="single" w:sz="4" w:space="0" w:color="000000"/>
            </w:tcBorders>
          </w:tcPr>
          <w:p w14:paraId="705763F9" w14:textId="77777777" w:rsidR="00B449D0" w:rsidRDefault="00175344">
            <w:pPr>
              <w:pStyle w:val="MeasureTableDataRightAlignedwith2ptsspacing"/>
              <w:keepNext/>
            </w:pPr>
            <w:r>
              <w:t>1,141.1</w:t>
            </w:r>
          </w:p>
        </w:tc>
        <w:tc>
          <w:tcPr>
            <w:tcW w:w="1043" w:type="dxa"/>
            <w:tcBorders>
              <w:top w:val="single" w:sz="4" w:space="0" w:color="000000"/>
              <w:bottom w:val="single" w:sz="4" w:space="0" w:color="000000"/>
            </w:tcBorders>
          </w:tcPr>
          <w:p w14:paraId="63A34569" w14:textId="77777777" w:rsidR="00B449D0" w:rsidRDefault="00175344">
            <w:pPr>
              <w:pStyle w:val="MeasureTableDataRightAlignedwith2ptsspacing"/>
              <w:keepNext/>
            </w:pPr>
            <w:r>
              <w:t>860.6</w:t>
            </w:r>
          </w:p>
        </w:tc>
        <w:tc>
          <w:tcPr>
            <w:tcW w:w="1043" w:type="dxa"/>
            <w:tcBorders>
              <w:top w:val="single" w:sz="4" w:space="0" w:color="000000"/>
              <w:bottom w:val="single" w:sz="4" w:space="0" w:color="000000"/>
            </w:tcBorders>
          </w:tcPr>
          <w:p w14:paraId="09AAB406" w14:textId="6E788984" w:rsidR="00B449D0" w:rsidRDefault="00076D78">
            <w:pPr>
              <w:pStyle w:val="MeasureTableDataRightAlignedwith2ptsspacing"/>
              <w:keepNext/>
            </w:pPr>
            <w:r>
              <w:noBreakHyphen/>
            </w:r>
            <w:r w:rsidR="00175344">
              <w:t>1,581.8</w:t>
            </w:r>
          </w:p>
        </w:tc>
      </w:tr>
      <w:tr w:rsidR="00B449D0" w14:paraId="6868DCA3" w14:textId="77777777">
        <w:trPr>
          <w:cantSplit/>
        </w:trPr>
        <w:tc>
          <w:tcPr>
            <w:tcW w:w="2494" w:type="dxa"/>
            <w:tcBorders>
              <w:top w:val="single" w:sz="4" w:space="0" w:color="000000"/>
              <w:bottom w:val="single" w:sz="4" w:space="0" w:color="000000"/>
            </w:tcBorders>
          </w:tcPr>
          <w:p w14:paraId="5FF9ADB5"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0889E1E2" w14:textId="41FBA5BB"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2CAB4882" w14:textId="3B60BAAA" w:rsidR="00B449D0" w:rsidRDefault="00076D78">
            <w:pPr>
              <w:pStyle w:val="Totaldatarowrightaligned"/>
              <w:keepNext/>
            </w:pPr>
            <w:r>
              <w:noBreakHyphen/>
            </w:r>
            <w:r w:rsidR="00175344">
              <w:t>157.1</w:t>
            </w:r>
          </w:p>
        </w:tc>
        <w:tc>
          <w:tcPr>
            <w:tcW w:w="1043" w:type="dxa"/>
            <w:tcBorders>
              <w:top w:val="single" w:sz="4" w:space="0" w:color="000000"/>
              <w:bottom w:val="single" w:sz="4" w:space="0" w:color="000000"/>
            </w:tcBorders>
          </w:tcPr>
          <w:p w14:paraId="42097FEA" w14:textId="77777777" w:rsidR="00B449D0" w:rsidRDefault="00175344">
            <w:pPr>
              <w:pStyle w:val="Totaldatarowrightaligned"/>
              <w:keepNext/>
            </w:pPr>
            <w:r>
              <w:t>1,156.0</w:t>
            </w:r>
          </w:p>
        </w:tc>
        <w:tc>
          <w:tcPr>
            <w:tcW w:w="1043" w:type="dxa"/>
            <w:tcBorders>
              <w:top w:val="single" w:sz="4" w:space="0" w:color="000000"/>
              <w:bottom w:val="single" w:sz="4" w:space="0" w:color="000000"/>
            </w:tcBorders>
          </w:tcPr>
          <w:p w14:paraId="017D01F0" w14:textId="77777777" w:rsidR="00B449D0" w:rsidRDefault="00175344">
            <w:pPr>
              <w:pStyle w:val="Totaldatarowrightaligned"/>
              <w:keepNext/>
            </w:pPr>
            <w:r>
              <w:t>858.7</w:t>
            </w:r>
          </w:p>
        </w:tc>
        <w:tc>
          <w:tcPr>
            <w:tcW w:w="1043" w:type="dxa"/>
            <w:tcBorders>
              <w:top w:val="single" w:sz="4" w:space="0" w:color="000000"/>
              <w:bottom w:val="single" w:sz="4" w:space="0" w:color="000000"/>
            </w:tcBorders>
          </w:tcPr>
          <w:p w14:paraId="33C00411" w14:textId="75BA3ADB" w:rsidR="00B449D0" w:rsidRDefault="00076D78">
            <w:pPr>
              <w:pStyle w:val="Totaldatarowrightaligned"/>
              <w:keepNext/>
            </w:pPr>
            <w:r>
              <w:noBreakHyphen/>
            </w:r>
            <w:r w:rsidR="00175344">
              <w:t>1,613.0</w:t>
            </w:r>
          </w:p>
        </w:tc>
      </w:tr>
    </w:tbl>
    <w:p w14:paraId="19E5441A" w14:textId="77777777" w:rsidR="00B449D0" w:rsidRDefault="00B449D0" w:rsidP="00380A42">
      <w:pPr>
        <w:pStyle w:val="SingleParagraph0"/>
      </w:pPr>
    </w:p>
    <w:p w14:paraId="0B726461" w14:textId="672535F1" w:rsidR="00B449D0" w:rsidRDefault="00175344">
      <w:pPr>
        <w:pStyle w:val="Normal2"/>
      </w:pPr>
      <w:r w:rsidRPr="7F762F0D">
        <w:rPr>
          <w:lang w:val="en-US"/>
        </w:rPr>
        <w:t>The Government will provide $5.4</w:t>
      </w:r>
      <w:r w:rsidR="002A7001">
        <w:rPr>
          <w:lang w:val="en-US"/>
        </w:rPr>
        <w:t> billion</w:t>
      </w:r>
      <w:r w:rsidRPr="7F762F0D">
        <w:rPr>
          <w:lang w:val="en-US"/>
        </w:rPr>
        <w:t xml:space="preserve"> over four years from 2024–25 (and an additional $6.8</w:t>
      </w:r>
      <w:r w:rsidR="002A7001">
        <w:rPr>
          <w:lang w:val="en-US"/>
        </w:rPr>
        <w:t> billion</w:t>
      </w:r>
      <w:r w:rsidRPr="7F762F0D">
        <w:rPr>
          <w:lang w:val="en-US"/>
        </w:rPr>
        <w:t xml:space="preserve"> from 2028–29 to 2033–34) to ensure the viability and quality of aged care and support a growing number of older Australians to remain in their homes as they age, through the </w:t>
      </w:r>
      <w:r w:rsidRPr="7F762F0D">
        <w:rPr>
          <w:i/>
          <w:iCs/>
          <w:lang w:val="en-US"/>
        </w:rPr>
        <w:t>Support at Home Program</w:t>
      </w:r>
      <w:r w:rsidRPr="7F762F0D">
        <w:rPr>
          <w:lang w:val="en-US"/>
        </w:rPr>
        <w:t>. Funding includes</w:t>
      </w:r>
      <w:r w:rsidR="00FA4F95">
        <w:rPr>
          <w:lang w:val="en-US"/>
        </w:rPr>
        <w:t>:</w:t>
      </w:r>
    </w:p>
    <w:p w14:paraId="3E8182ED" w14:textId="7EFFFA53" w:rsidR="00B449D0" w:rsidRDefault="00175344">
      <w:pPr>
        <w:pStyle w:val="Bullet"/>
      </w:pPr>
      <w:r>
        <w:t xml:space="preserve">$4.7 billion over four years from 2024–25 (and an additional $6.0 billion from 2028–29 to 2033–34) for the new </w:t>
      </w:r>
      <w:r w:rsidRPr="00175344">
        <w:rPr>
          <w:i/>
        </w:rPr>
        <w:t>Support at Home Program</w:t>
      </w:r>
      <w:r w:rsidR="00FA4F95">
        <w:rPr>
          <w:iCs/>
        </w:rPr>
        <w:t>,</w:t>
      </w:r>
      <w:r w:rsidRPr="00175344">
        <w:rPr>
          <w:i/>
        </w:rPr>
        <w:t xml:space="preserve"> </w:t>
      </w:r>
      <w:r>
        <w:t>including:</w:t>
      </w:r>
    </w:p>
    <w:p w14:paraId="0988A5F4" w14:textId="752989CA" w:rsidR="00B449D0" w:rsidRDefault="00175344">
      <w:pPr>
        <w:pStyle w:val="Dash"/>
      </w:pPr>
      <w:r>
        <w:t>$1.9 billion over three years from 2025–26 (and a saving of $322.0 million from 2028</w:t>
      </w:r>
      <w:r w:rsidR="008045FF">
        <w:t>‍</w:t>
      </w:r>
      <w:r>
        <w:t>–</w:t>
      </w:r>
      <w:r w:rsidR="008045FF">
        <w:t>‍</w:t>
      </w:r>
      <w:r>
        <w:t>29 to 2033–34) to provide improved in‑home care, including care management services, to older Australians from 1 July 2025</w:t>
      </w:r>
    </w:p>
    <w:p w14:paraId="5A532BAD" w14:textId="177862EA" w:rsidR="00B449D0" w:rsidRDefault="00175344">
      <w:pPr>
        <w:pStyle w:val="Dash"/>
      </w:pPr>
      <w:r>
        <w:t>$1.1 billion over three years from 2025–26 (and an additional $3.4 billion from 2028</w:t>
      </w:r>
      <w:r w:rsidR="008045FF">
        <w:t>‍</w:t>
      </w:r>
      <w:r>
        <w:t>–</w:t>
      </w:r>
      <w:r w:rsidR="008045FF">
        <w:t>‍</w:t>
      </w:r>
      <w:r>
        <w:t>29 to 2033–34) for an Assistive Technology and Home Modifications scheme to enable older Australians to access assistive items and home modifications to stay in their homes longer</w:t>
      </w:r>
    </w:p>
    <w:p w14:paraId="43BF61DE" w14:textId="77777777" w:rsidR="00B449D0" w:rsidRDefault="00175344">
      <w:pPr>
        <w:pStyle w:val="Dash"/>
      </w:pPr>
      <w:r>
        <w:lastRenderedPageBreak/>
        <w:t>$798.7 million over four years from 2024‐25 (and an additional $2.5 billion from 2028–29 to 2033–34) for a restorative care pathway to deliver multi‐disciplinary allied health programs and time limited services, for up to 12 weeks, for older Australians assessed as benefitting from this support</w:t>
      </w:r>
    </w:p>
    <w:p w14:paraId="201A4935" w14:textId="77777777" w:rsidR="00B449D0" w:rsidRDefault="00175344">
      <w:pPr>
        <w:pStyle w:val="Dash"/>
      </w:pPr>
      <w:r>
        <w:t>$637.4 million over two years from 2025–26 for grants to support home care providers in thin markets</w:t>
      </w:r>
    </w:p>
    <w:p w14:paraId="2B773BA4" w14:textId="77777777" w:rsidR="00B449D0" w:rsidRDefault="00175344">
      <w:pPr>
        <w:pStyle w:val="Dash"/>
      </w:pPr>
      <w:r>
        <w:t>$132.7 million over three years from 2025–26 (and an additional $385.1 million from 2028–29 to 2033–34) for a new end‐of‐life pathway to increase the services available to older Australians in the last three months of their life</w:t>
      </w:r>
    </w:p>
    <w:p w14:paraId="1837BDB3" w14:textId="77777777" w:rsidR="00B449D0" w:rsidRDefault="00175344">
      <w:pPr>
        <w:pStyle w:val="Dash"/>
      </w:pPr>
      <w:r>
        <w:t>$109.5 million over two years from 2024–25 to support the preparation, implementation and evaluation of the new program</w:t>
      </w:r>
    </w:p>
    <w:p w14:paraId="2D753B91" w14:textId="77777777" w:rsidR="00B449D0" w:rsidRDefault="00175344">
      <w:pPr>
        <w:pStyle w:val="Dash"/>
      </w:pPr>
      <w:r>
        <w:t>$35.6 million over four years from 2024–25 (and an additional $53.9 million from 2028–29 to 2033–34) to develop and implement an assurance framework for the new program</w:t>
      </w:r>
    </w:p>
    <w:p w14:paraId="057B04B8" w14:textId="77777777" w:rsidR="00B449D0" w:rsidRDefault="00175344">
      <w:pPr>
        <w:pStyle w:val="Dash"/>
      </w:pPr>
      <w:r>
        <w:t>$5.2 million over three years from 2025–26 to trial budget pooling, which would allow participants to combine their budgets to achieve economies of scale in service delivery.</w:t>
      </w:r>
    </w:p>
    <w:p w14:paraId="5B70AE8E" w14:textId="77777777" w:rsidR="00B449D0" w:rsidRDefault="00175344">
      <w:pPr>
        <w:pStyle w:val="Bullet"/>
      </w:pPr>
      <w:r>
        <w:t>$743.5 million over four years from 2024–25 (and an additional $787.7 million from 2028–29 to 2033–34) to improve the funding, viability and quality of residential aged care, including:</w:t>
      </w:r>
    </w:p>
    <w:p w14:paraId="0CE561C5" w14:textId="77777777" w:rsidR="00B449D0" w:rsidRDefault="00175344">
      <w:pPr>
        <w:pStyle w:val="Dash"/>
      </w:pPr>
      <w:r>
        <w:t>$390.9 million over three years from 2025–26 (and an additional $776.4 million from 2028–29 to 2033–34) to provide a one‑off increase to the hotelling supplement paid to approved providers</w:t>
      </w:r>
    </w:p>
    <w:p w14:paraId="56E4706C" w14:textId="77777777" w:rsidR="00B449D0" w:rsidRDefault="00175344">
      <w:pPr>
        <w:pStyle w:val="Dash"/>
      </w:pPr>
      <w:r>
        <w:t xml:space="preserve">$300.0 million over two years from 2025–26 for the </w:t>
      </w:r>
      <w:r w:rsidRPr="00175344">
        <w:rPr>
          <w:i/>
        </w:rPr>
        <w:t>Aged Care Capital Assistance Program</w:t>
      </w:r>
      <w:r>
        <w:t xml:space="preserve"> to provide grants to support aged care providers in regional, rural and remote areas (Modified Monash 3 to Modified Monash 7) to build, extend or upgrade aged care services, or to build staff accommodation</w:t>
      </w:r>
    </w:p>
    <w:p w14:paraId="14B9BF5F" w14:textId="77777777" w:rsidR="00B449D0" w:rsidRDefault="00175344">
      <w:pPr>
        <w:pStyle w:val="Dash"/>
      </w:pPr>
      <w:r>
        <w:t xml:space="preserve">$35.1 million over four years from 2024–25 for the Independent Health and Aged Care Pricing Authority to undertake pricing and costing research activities for the </w:t>
      </w:r>
      <w:r w:rsidRPr="00175344">
        <w:rPr>
          <w:i/>
        </w:rPr>
        <w:t>Multi‑Purpose Services</w:t>
      </w:r>
      <w:r>
        <w:t xml:space="preserve"> and the </w:t>
      </w:r>
      <w:r w:rsidRPr="00175344">
        <w:rPr>
          <w:i/>
        </w:rPr>
        <w:t>National Aboriginal and Torres Strait Islander Flexible Aged Care</w:t>
      </w:r>
      <w:r>
        <w:t xml:space="preserve"> programs to provide advice on the cost of delivering aged care services in thin markets and a feasibility study of tiering the hotelling supplement based on provider location and resident care needs</w:t>
      </w:r>
    </w:p>
    <w:p w14:paraId="34EF54B6" w14:textId="35662EFF" w:rsidR="00B449D0" w:rsidRDefault="00175344">
      <w:pPr>
        <w:pStyle w:val="Dash"/>
      </w:pPr>
      <w:r>
        <w:t>$4.6 million over four years from 2024–25 (and an additional $2.7 million from 2028</w:t>
      </w:r>
      <w:r w:rsidR="008C007F">
        <w:t>‍</w:t>
      </w:r>
      <w:r>
        <w:t>–</w:t>
      </w:r>
      <w:r w:rsidR="008C007F">
        <w:t>‍</w:t>
      </w:r>
      <w:r>
        <w:t>29 to 2033–34) to implement reforms to accommodation funding arrangements in residential aged care homes to improve viability for the sector</w:t>
      </w:r>
    </w:p>
    <w:p w14:paraId="5C91A29B" w14:textId="476C2DDF" w:rsidR="00B449D0" w:rsidRDefault="00175344">
      <w:pPr>
        <w:pStyle w:val="Dash"/>
      </w:pPr>
      <w:r>
        <w:t>$4.5 million over four years from 2024–25 (and an additional $8.6 million from 2028</w:t>
      </w:r>
      <w:r w:rsidR="008C007F">
        <w:t>‍</w:t>
      </w:r>
      <w:r>
        <w:t>–</w:t>
      </w:r>
      <w:r w:rsidR="008C007F">
        <w:t>‍</w:t>
      </w:r>
      <w:r>
        <w:t>29 to 2033–34) to exempt National Redress Scheme payments from being considered assessable assets under the residential aged care means testing arrangements</w:t>
      </w:r>
    </w:p>
    <w:p w14:paraId="5A180201" w14:textId="77777777" w:rsidR="00B449D0" w:rsidRDefault="00175344">
      <w:pPr>
        <w:pStyle w:val="Dash"/>
      </w:pPr>
      <w:r>
        <w:lastRenderedPageBreak/>
        <w:t>$3.5 million over two years from 2024–25 for a stocktake and review of rural and remote policy settings across all aged care programs, including the appropriateness of the Modified Monash Model</w:t>
      </w:r>
    </w:p>
    <w:p w14:paraId="6611B734" w14:textId="77777777" w:rsidR="00B449D0" w:rsidRDefault="00175344">
      <w:pPr>
        <w:pStyle w:val="Dash"/>
      </w:pPr>
      <w:r>
        <w:t xml:space="preserve">$2.8 million over three years from 2024–25 to improve sector innovation including extending funding for Aged Care Research and Industry Innovation Australia until 30 June 2026 to continue to deliver research, training, and innovation services and funding for the </w:t>
      </w:r>
      <w:r w:rsidRPr="00175344">
        <w:rPr>
          <w:i/>
        </w:rPr>
        <w:t xml:space="preserve">Data and Digital Support Program </w:t>
      </w:r>
      <w:r>
        <w:t>to support the innovation and development of a new reporting strategy and system</w:t>
      </w:r>
    </w:p>
    <w:p w14:paraId="50AE33BC" w14:textId="77777777" w:rsidR="00B449D0" w:rsidRDefault="00175344">
      <w:pPr>
        <w:pStyle w:val="Dash"/>
      </w:pPr>
      <w:r>
        <w:t>$2.1 million over two years from 2024–25 to replace the existing residential aged care Additional Service Fee and Extra Service Fees with a streamlined Everyday Living Fee that providers can charge in exchange for higher quality goods and service levels.</w:t>
      </w:r>
    </w:p>
    <w:p w14:paraId="46039813" w14:textId="77777777" w:rsidR="00B449D0" w:rsidRDefault="00175344">
      <w:pPr>
        <w:pStyle w:val="Normal2"/>
      </w:pPr>
      <w:r>
        <w:t>The Government has also agreed to:</w:t>
      </w:r>
    </w:p>
    <w:p w14:paraId="12EDF682" w14:textId="77777777" w:rsidR="00B449D0" w:rsidRDefault="00175344">
      <w:pPr>
        <w:pStyle w:val="Bullet"/>
      </w:pPr>
      <w:r>
        <w:t>introduce a new framework for participant co‑contributions to create a fairer, more equitable and sustainable aged care system for older Australians. This new framework will save $3.0 billion over four years from 2024–25 (and $15.8 billion from 2028–29 to 2033–34)</w:t>
      </w:r>
    </w:p>
    <w:p w14:paraId="4E169864" w14:textId="77777777" w:rsidR="00B449D0" w:rsidRDefault="00175344">
      <w:pPr>
        <w:pStyle w:val="Bullet"/>
      </w:pPr>
      <w:r>
        <w:t>increase the maximum room price that providers can charge before needing approval from the Independent Health and Aged Care Pricing Authority from $550,000 to $750,000, and introduce a requirement for providers to retain a small portion of new refundable accommodation deposits received and index daily accommodation payments</w:t>
      </w:r>
    </w:p>
    <w:p w14:paraId="53E112E3" w14:textId="77777777" w:rsidR="00B449D0" w:rsidRDefault="00175344">
      <w:pPr>
        <w:pStyle w:val="Bullet"/>
      </w:pPr>
      <w:r>
        <w:t>temporarily reduce the residential aged care provision ratio from 78.0 places to 59.3 places per 1,000 people aged over 70 years in 2024–25, with the provision to gradually increase to 61.5 places per 1,000 people aged over 70 years in 2029–30. The reduction in the ratio reflects the increasing preference of older Australians to remain in their homes and will save $1.7 billion over four years from 2024–25 (and an additional $1.7 billion from 2028–29 to 2029–30)</w:t>
      </w:r>
    </w:p>
    <w:p w14:paraId="7C9E7124" w14:textId="77777777" w:rsidR="00B449D0" w:rsidRDefault="00175344">
      <w:pPr>
        <w:pStyle w:val="Bullet"/>
      </w:pPr>
      <w:r>
        <w:t xml:space="preserve">provide higher‑level packages in the </w:t>
      </w:r>
      <w:r w:rsidRPr="00175344">
        <w:rPr>
          <w:i/>
        </w:rPr>
        <w:t>Support at Home Program</w:t>
      </w:r>
      <w:r>
        <w:t xml:space="preserve"> that will delay the entry of older Australians into residential aged care and will save $446.2 million over three years from 2025–26 (and an additional $1.2 billion from 2028–29 to 2033–34).</w:t>
      </w:r>
    </w:p>
    <w:p w14:paraId="65677ABF" w14:textId="77777777" w:rsidR="00B449D0" w:rsidRDefault="00175344">
      <w:pPr>
        <w:pStyle w:val="Normal2"/>
      </w:pPr>
      <w:r w:rsidRPr="7F762F0D">
        <w:rPr>
          <w:lang w:val="en-US"/>
        </w:rPr>
        <w:t>This measure will be partially offset by reprioritising funding from Program 3.2 – Aged Care Services.</w:t>
      </w:r>
    </w:p>
    <w:p w14:paraId="5B36C2B7" w14:textId="77777777" w:rsidR="00EC6C21" w:rsidRDefault="00EC6C21">
      <w:pPr>
        <w:pStyle w:val="MeasureTitle"/>
      </w:pPr>
      <w:r>
        <w:br w:type="page"/>
      </w:r>
    </w:p>
    <w:p w14:paraId="4DDCD737" w14:textId="35BAD2D3" w:rsidR="00B449D0" w:rsidRDefault="00175344">
      <w:pPr>
        <w:pStyle w:val="MeasureTitle"/>
      </w:pPr>
      <w:r>
        <w:lastRenderedPageBreak/>
        <w:t>Establishment of the Australian Centre for Disease Control</w:t>
      </w:r>
    </w:p>
    <w:p w14:paraId="2C392D0D"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1899238E" w14:textId="77777777">
        <w:trPr>
          <w:cantSplit/>
        </w:trPr>
        <w:tc>
          <w:tcPr>
            <w:tcW w:w="2494" w:type="dxa"/>
            <w:tcBorders>
              <w:top w:val="single" w:sz="4" w:space="0" w:color="000000"/>
              <w:bottom w:val="single" w:sz="4" w:space="0" w:color="000000"/>
            </w:tcBorders>
          </w:tcPr>
          <w:p w14:paraId="28821DEC" w14:textId="77777777" w:rsidR="00B449D0" w:rsidRDefault="00B449D0">
            <w:pPr>
              <w:pStyle w:val="MeasureTableYearHeadings"/>
              <w:keepNext/>
            </w:pPr>
          </w:p>
        </w:tc>
        <w:tc>
          <w:tcPr>
            <w:tcW w:w="1043" w:type="dxa"/>
            <w:tcBorders>
              <w:top w:val="single" w:sz="4" w:space="0" w:color="000000"/>
              <w:bottom w:val="single" w:sz="4" w:space="0" w:color="000000"/>
            </w:tcBorders>
          </w:tcPr>
          <w:p w14:paraId="22C2A42D" w14:textId="78B38F09"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20212A17" w14:textId="1350DB5D"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335882BB" w14:textId="2C4E816A"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659C199F" w14:textId="33F4384B"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308FD2DD" w14:textId="6455A78E" w:rsidR="00B449D0" w:rsidRDefault="00175344">
            <w:pPr>
              <w:pStyle w:val="MeasureTableYearHeadings"/>
              <w:keepNext/>
            </w:pPr>
            <w:r>
              <w:t>2027</w:t>
            </w:r>
            <w:r w:rsidR="00076D78">
              <w:noBreakHyphen/>
            </w:r>
            <w:r>
              <w:t>28</w:t>
            </w:r>
          </w:p>
        </w:tc>
      </w:tr>
      <w:tr w:rsidR="00B449D0" w14:paraId="21042AAE" w14:textId="77777777">
        <w:trPr>
          <w:cantSplit/>
        </w:trPr>
        <w:tc>
          <w:tcPr>
            <w:tcW w:w="2494" w:type="dxa"/>
            <w:tcBorders>
              <w:top w:val="single" w:sz="4" w:space="0" w:color="000000"/>
              <w:bottom w:val="single" w:sz="4" w:space="0" w:color="000000"/>
            </w:tcBorders>
          </w:tcPr>
          <w:p w14:paraId="45F5CC10" w14:textId="77777777" w:rsidR="00B449D0" w:rsidRDefault="00175344">
            <w:pPr>
              <w:pStyle w:val="MeasureTableHeadingleftalignedwith2ptsspacing"/>
              <w:keepNext/>
            </w:pPr>
            <w:r>
              <w:t>Department of Health and Aged Care</w:t>
            </w:r>
          </w:p>
        </w:tc>
        <w:tc>
          <w:tcPr>
            <w:tcW w:w="1043" w:type="dxa"/>
            <w:tcBorders>
              <w:top w:val="single" w:sz="4" w:space="0" w:color="000000"/>
              <w:bottom w:val="single" w:sz="4" w:space="0" w:color="000000"/>
            </w:tcBorders>
          </w:tcPr>
          <w:p w14:paraId="01A2549D" w14:textId="23F72324"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B94B37F" w14:textId="77777777" w:rsidR="00B449D0" w:rsidRDefault="00175344">
            <w:pPr>
              <w:pStyle w:val="MeasureTableDataRightAlignedwith2ptsspacing"/>
              <w:keepNext/>
            </w:pPr>
            <w:r>
              <w:t>10.2</w:t>
            </w:r>
          </w:p>
        </w:tc>
        <w:tc>
          <w:tcPr>
            <w:tcW w:w="1043" w:type="dxa"/>
            <w:tcBorders>
              <w:top w:val="single" w:sz="4" w:space="0" w:color="000000"/>
              <w:bottom w:val="single" w:sz="4" w:space="0" w:color="000000"/>
            </w:tcBorders>
          </w:tcPr>
          <w:p w14:paraId="22B6EC47" w14:textId="77777777" w:rsidR="00B449D0" w:rsidRDefault="00175344">
            <w:pPr>
              <w:pStyle w:val="MeasureTableDataRightAlignedwith2ptsspacing"/>
              <w:keepNext/>
            </w:pPr>
            <w:r>
              <w:t>84.2</w:t>
            </w:r>
          </w:p>
        </w:tc>
        <w:tc>
          <w:tcPr>
            <w:tcW w:w="1043" w:type="dxa"/>
            <w:tcBorders>
              <w:top w:val="single" w:sz="4" w:space="0" w:color="000000"/>
              <w:bottom w:val="single" w:sz="4" w:space="0" w:color="000000"/>
            </w:tcBorders>
          </w:tcPr>
          <w:p w14:paraId="5E931644" w14:textId="77777777" w:rsidR="00B449D0" w:rsidRDefault="00175344">
            <w:pPr>
              <w:pStyle w:val="MeasureTableDataRightAlignedwith2ptsspacing"/>
              <w:keepNext/>
            </w:pPr>
            <w:r>
              <w:t>81.4</w:t>
            </w:r>
          </w:p>
        </w:tc>
        <w:tc>
          <w:tcPr>
            <w:tcW w:w="1043" w:type="dxa"/>
            <w:tcBorders>
              <w:top w:val="single" w:sz="4" w:space="0" w:color="000000"/>
              <w:bottom w:val="single" w:sz="4" w:space="0" w:color="000000"/>
            </w:tcBorders>
          </w:tcPr>
          <w:p w14:paraId="4BCA0A91" w14:textId="77777777" w:rsidR="00B449D0" w:rsidRDefault="00175344">
            <w:pPr>
              <w:pStyle w:val="MeasureTableDataRightAlignedwith2ptsspacing"/>
              <w:keepNext/>
            </w:pPr>
            <w:r>
              <w:t>75.7</w:t>
            </w:r>
          </w:p>
        </w:tc>
      </w:tr>
      <w:tr w:rsidR="00B449D0" w14:paraId="6E6EA862" w14:textId="77777777">
        <w:trPr>
          <w:cantSplit/>
        </w:trPr>
        <w:tc>
          <w:tcPr>
            <w:tcW w:w="2494" w:type="dxa"/>
            <w:tcBorders>
              <w:top w:val="single" w:sz="4" w:space="0" w:color="000000"/>
              <w:bottom w:val="single" w:sz="4" w:space="0" w:color="000000"/>
            </w:tcBorders>
          </w:tcPr>
          <w:p w14:paraId="37E60C0F" w14:textId="77777777" w:rsidR="00B449D0" w:rsidRDefault="00175344">
            <w:pPr>
              <w:pStyle w:val="MeasureTableHeadingleftalignedwith2ptsspacing"/>
              <w:keepNext/>
            </w:pPr>
            <w:r>
              <w:t>Department of Finance</w:t>
            </w:r>
          </w:p>
        </w:tc>
        <w:tc>
          <w:tcPr>
            <w:tcW w:w="1043" w:type="dxa"/>
            <w:tcBorders>
              <w:top w:val="single" w:sz="4" w:space="0" w:color="000000"/>
              <w:bottom w:val="single" w:sz="4" w:space="0" w:color="000000"/>
            </w:tcBorders>
          </w:tcPr>
          <w:p w14:paraId="0F6973CB" w14:textId="7436B1EE"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B8BEC24" w14:textId="610A84D2"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1EF002A" w14:textId="77777777" w:rsidR="00B449D0" w:rsidRDefault="00175344">
            <w:pPr>
              <w:pStyle w:val="MeasureTableDataRightAlignedwith2ptsspacing"/>
              <w:keepNext/>
            </w:pPr>
            <w:r>
              <w:t>0.1</w:t>
            </w:r>
          </w:p>
        </w:tc>
        <w:tc>
          <w:tcPr>
            <w:tcW w:w="1043" w:type="dxa"/>
            <w:tcBorders>
              <w:top w:val="single" w:sz="4" w:space="0" w:color="000000"/>
              <w:bottom w:val="single" w:sz="4" w:space="0" w:color="000000"/>
            </w:tcBorders>
          </w:tcPr>
          <w:p w14:paraId="68E611FD" w14:textId="77777777" w:rsidR="00B449D0" w:rsidRDefault="00175344">
            <w:pPr>
              <w:pStyle w:val="MeasureTableDataRightAlignedwith2ptsspacing"/>
              <w:keepNext/>
            </w:pPr>
            <w:r>
              <w:t>0.1</w:t>
            </w:r>
          </w:p>
        </w:tc>
        <w:tc>
          <w:tcPr>
            <w:tcW w:w="1043" w:type="dxa"/>
            <w:tcBorders>
              <w:top w:val="single" w:sz="4" w:space="0" w:color="000000"/>
              <w:bottom w:val="single" w:sz="4" w:space="0" w:color="000000"/>
            </w:tcBorders>
          </w:tcPr>
          <w:p w14:paraId="5D4D02BB" w14:textId="00662225" w:rsidR="00B449D0" w:rsidRDefault="00076D78">
            <w:pPr>
              <w:pStyle w:val="MeasureTableDataRightAlignedwith2ptsspacing"/>
              <w:keepNext/>
            </w:pPr>
            <w:r>
              <w:noBreakHyphen/>
            </w:r>
          </w:p>
        </w:tc>
      </w:tr>
      <w:tr w:rsidR="00B449D0" w14:paraId="07172953" w14:textId="77777777">
        <w:trPr>
          <w:cantSplit/>
        </w:trPr>
        <w:tc>
          <w:tcPr>
            <w:tcW w:w="2494" w:type="dxa"/>
            <w:tcBorders>
              <w:top w:val="single" w:sz="4" w:space="0" w:color="000000"/>
              <w:bottom w:val="single" w:sz="4" w:space="0" w:color="000000"/>
            </w:tcBorders>
          </w:tcPr>
          <w:p w14:paraId="263E9963"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4A8F2017" w14:textId="3BE4BA52"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6FCEE3E0" w14:textId="77777777" w:rsidR="00B449D0" w:rsidRDefault="00175344">
            <w:pPr>
              <w:pStyle w:val="Totaldatarowrightaligned"/>
              <w:keepNext/>
            </w:pPr>
            <w:r>
              <w:t>10.2</w:t>
            </w:r>
          </w:p>
        </w:tc>
        <w:tc>
          <w:tcPr>
            <w:tcW w:w="1043" w:type="dxa"/>
            <w:tcBorders>
              <w:top w:val="single" w:sz="4" w:space="0" w:color="000000"/>
              <w:bottom w:val="single" w:sz="4" w:space="0" w:color="000000"/>
            </w:tcBorders>
          </w:tcPr>
          <w:p w14:paraId="6F08FA30" w14:textId="77777777" w:rsidR="00B449D0" w:rsidRDefault="00175344">
            <w:pPr>
              <w:pStyle w:val="Totaldatarowrightaligned"/>
              <w:keepNext/>
            </w:pPr>
            <w:r>
              <w:t>84.3</w:t>
            </w:r>
          </w:p>
        </w:tc>
        <w:tc>
          <w:tcPr>
            <w:tcW w:w="1043" w:type="dxa"/>
            <w:tcBorders>
              <w:top w:val="single" w:sz="4" w:space="0" w:color="000000"/>
              <w:bottom w:val="single" w:sz="4" w:space="0" w:color="000000"/>
            </w:tcBorders>
          </w:tcPr>
          <w:p w14:paraId="46730058" w14:textId="77777777" w:rsidR="00B449D0" w:rsidRDefault="00175344">
            <w:pPr>
              <w:pStyle w:val="Totaldatarowrightaligned"/>
              <w:keepNext/>
            </w:pPr>
            <w:r>
              <w:t>81.5</w:t>
            </w:r>
          </w:p>
        </w:tc>
        <w:tc>
          <w:tcPr>
            <w:tcW w:w="1043" w:type="dxa"/>
            <w:tcBorders>
              <w:top w:val="single" w:sz="4" w:space="0" w:color="000000"/>
              <w:bottom w:val="single" w:sz="4" w:space="0" w:color="000000"/>
            </w:tcBorders>
          </w:tcPr>
          <w:p w14:paraId="44E10204" w14:textId="77777777" w:rsidR="00B449D0" w:rsidRDefault="00175344">
            <w:pPr>
              <w:pStyle w:val="Totaldatarowrightaligned"/>
              <w:keepNext/>
            </w:pPr>
            <w:r>
              <w:t>75.7</w:t>
            </w:r>
          </w:p>
        </w:tc>
      </w:tr>
    </w:tbl>
    <w:p w14:paraId="1E990EC6" w14:textId="77777777" w:rsidR="00B449D0" w:rsidRDefault="00B449D0" w:rsidP="00380A42">
      <w:pPr>
        <w:pStyle w:val="SingleParagraph0"/>
      </w:pPr>
    </w:p>
    <w:p w14:paraId="70D88F8E" w14:textId="6098AE1E" w:rsidR="00B449D0" w:rsidRDefault="00175344">
      <w:pPr>
        <w:pStyle w:val="Normal2"/>
      </w:pPr>
      <w:r w:rsidRPr="7F762F0D">
        <w:rPr>
          <w:lang w:val="en-US"/>
        </w:rPr>
        <w:t xml:space="preserve">The Government </w:t>
      </w:r>
      <w:r w:rsidR="009449EC">
        <w:rPr>
          <w:lang w:val="en-US"/>
        </w:rPr>
        <w:t>will provide</w:t>
      </w:r>
      <w:r w:rsidRPr="7F762F0D">
        <w:rPr>
          <w:lang w:val="en-US"/>
        </w:rPr>
        <w:t xml:space="preserve"> $251.7 million over four years from 2024–25 (and $73.3 million per year ongoing) to establish the Australian Centre for Disease Control as an independent agency.</w:t>
      </w:r>
    </w:p>
    <w:p w14:paraId="3F081B52" w14:textId="77777777" w:rsidR="00B449D0" w:rsidRDefault="00175344">
      <w:pPr>
        <w:pStyle w:val="Normal2"/>
      </w:pPr>
      <w:r>
        <w:t xml:space="preserve">This measure builds on the 2022–23 October Budget measure titled </w:t>
      </w:r>
      <w:r w:rsidRPr="00175344">
        <w:rPr>
          <w:i/>
        </w:rPr>
        <w:t>Australian Centre for Disease Control – design and consultation</w:t>
      </w:r>
      <w:r>
        <w:t xml:space="preserve">, the 2023–24 Budget measure titled </w:t>
      </w:r>
      <w:r w:rsidRPr="00175344">
        <w:rPr>
          <w:i/>
        </w:rPr>
        <w:t>Establish the Australian Centre for Disease Control</w:t>
      </w:r>
      <w:r>
        <w:t xml:space="preserve"> and the 2024–25 Budget measure titled </w:t>
      </w:r>
      <w:r w:rsidRPr="00175344">
        <w:rPr>
          <w:i/>
        </w:rPr>
        <w:t>Preventive Health</w:t>
      </w:r>
      <w:r>
        <w:t>.</w:t>
      </w:r>
    </w:p>
    <w:p w14:paraId="350CDF73" w14:textId="77777777" w:rsidR="00B449D0" w:rsidRDefault="00175344">
      <w:pPr>
        <w:pStyle w:val="MeasureTitle"/>
      </w:pPr>
      <w:r>
        <w:t>Funding Pay Increases for Aged Care Workers</w:t>
      </w:r>
    </w:p>
    <w:p w14:paraId="49E4FD44"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33FA676F" w14:textId="77777777">
        <w:trPr>
          <w:cantSplit/>
        </w:trPr>
        <w:tc>
          <w:tcPr>
            <w:tcW w:w="2494" w:type="dxa"/>
            <w:tcBorders>
              <w:top w:val="single" w:sz="4" w:space="0" w:color="000000"/>
              <w:bottom w:val="single" w:sz="4" w:space="0" w:color="000000"/>
            </w:tcBorders>
          </w:tcPr>
          <w:p w14:paraId="70D50646" w14:textId="77777777" w:rsidR="00B449D0" w:rsidRDefault="00B449D0">
            <w:pPr>
              <w:pStyle w:val="MeasureTableYearHeadings"/>
              <w:keepNext/>
            </w:pPr>
          </w:p>
        </w:tc>
        <w:tc>
          <w:tcPr>
            <w:tcW w:w="1043" w:type="dxa"/>
            <w:tcBorders>
              <w:top w:val="single" w:sz="4" w:space="0" w:color="000000"/>
              <w:bottom w:val="single" w:sz="4" w:space="0" w:color="000000"/>
            </w:tcBorders>
          </w:tcPr>
          <w:p w14:paraId="375E8CD6" w14:textId="571901E7"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414DCCAD" w14:textId="1FC9D8A2"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60B1E801" w14:textId="172C4B77"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241E626E" w14:textId="59E561C9"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3CB2D74D" w14:textId="268113E8" w:rsidR="00B449D0" w:rsidRDefault="00175344">
            <w:pPr>
              <w:pStyle w:val="MeasureTableYearHeadings"/>
              <w:keepNext/>
            </w:pPr>
            <w:r>
              <w:t>2027</w:t>
            </w:r>
            <w:r w:rsidR="00076D78">
              <w:noBreakHyphen/>
            </w:r>
            <w:r>
              <w:t>28</w:t>
            </w:r>
          </w:p>
        </w:tc>
      </w:tr>
      <w:tr w:rsidR="00B449D0" w14:paraId="27840476" w14:textId="77777777">
        <w:trPr>
          <w:cantSplit/>
        </w:trPr>
        <w:tc>
          <w:tcPr>
            <w:tcW w:w="2494" w:type="dxa"/>
            <w:tcBorders>
              <w:top w:val="single" w:sz="4" w:space="0" w:color="000000"/>
              <w:bottom w:val="single" w:sz="4" w:space="0" w:color="000000"/>
            </w:tcBorders>
          </w:tcPr>
          <w:p w14:paraId="285EEB96" w14:textId="24B4E0DF" w:rsidR="00B449D0" w:rsidRDefault="00175344">
            <w:pPr>
              <w:pStyle w:val="MeasureTableHeadingleftalignedwith2ptsspacing"/>
              <w:keepNext/>
            </w:pPr>
            <w:r>
              <w:t>Department of Veterans</w:t>
            </w:r>
            <w:r w:rsidR="00076D78">
              <w:t>’</w:t>
            </w:r>
            <w:r>
              <w:t xml:space="preserve"> Affairs</w:t>
            </w:r>
          </w:p>
        </w:tc>
        <w:tc>
          <w:tcPr>
            <w:tcW w:w="1043" w:type="dxa"/>
            <w:tcBorders>
              <w:top w:val="single" w:sz="4" w:space="0" w:color="000000"/>
              <w:bottom w:val="single" w:sz="4" w:space="0" w:color="000000"/>
            </w:tcBorders>
          </w:tcPr>
          <w:p w14:paraId="5C80A04C" w14:textId="3E989A4C"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D927666" w14:textId="77777777" w:rsidR="00B449D0" w:rsidRDefault="00175344">
            <w:pPr>
              <w:pStyle w:val="MeasureTableDataRightAlignedwith2ptsspacing"/>
              <w:keepNext/>
            </w:pPr>
            <w:r>
              <w:t>0.2</w:t>
            </w:r>
          </w:p>
        </w:tc>
        <w:tc>
          <w:tcPr>
            <w:tcW w:w="1043" w:type="dxa"/>
            <w:tcBorders>
              <w:top w:val="single" w:sz="4" w:space="0" w:color="000000"/>
              <w:bottom w:val="single" w:sz="4" w:space="0" w:color="000000"/>
            </w:tcBorders>
          </w:tcPr>
          <w:p w14:paraId="06D50B63" w14:textId="77777777" w:rsidR="00B449D0" w:rsidRDefault="00175344">
            <w:pPr>
              <w:pStyle w:val="MeasureTableDataRightAlignedwith2ptsspacing"/>
              <w:keepNext/>
            </w:pPr>
            <w:r>
              <w:t>0.2</w:t>
            </w:r>
          </w:p>
        </w:tc>
        <w:tc>
          <w:tcPr>
            <w:tcW w:w="1043" w:type="dxa"/>
            <w:tcBorders>
              <w:top w:val="single" w:sz="4" w:space="0" w:color="000000"/>
              <w:bottom w:val="single" w:sz="4" w:space="0" w:color="000000"/>
            </w:tcBorders>
          </w:tcPr>
          <w:p w14:paraId="362290C2" w14:textId="42E1906A"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67183A5E" w14:textId="30F999BB" w:rsidR="00B449D0" w:rsidRDefault="00076D78">
            <w:pPr>
              <w:pStyle w:val="MeasureTableDataRightAlignedwith2ptsspacing"/>
              <w:keepNext/>
            </w:pPr>
            <w:r>
              <w:noBreakHyphen/>
            </w:r>
          </w:p>
        </w:tc>
      </w:tr>
      <w:tr w:rsidR="00B449D0" w14:paraId="083304D4" w14:textId="77777777">
        <w:trPr>
          <w:cantSplit/>
        </w:trPr>
        <w:tc>
          <w:tcPr>
            <w:tcW w:w="2494" w:type="dxa"/>
            <w:tcBorders>
              <w:top w:val="single" w:sz="4" w:space="0" w:color="000000"/>
              <w:bottom w:val="single" w:sz="4" w:space="0" w:color="000000"/>
            </w:tcBorders>
          </w:tcPr>
          <w:p w14:paraId="0EABF451" w14:textId="77777777" w:rsidR="00B449D0" w:rsidRDefault="00175344">
            <w:pPr>
              <w:pStyle w:val="MeasureTableHeadingleftalignedwith2ptsspacing"/>
              <w:keepNext/>
            </w:pPr>
            <w:r>
              <w:t>Department of Health and Aged Care</w:t>
            </w:r>
          </w:p>
        </w:tc>
        <w:tc>
          <w:tcPr>
            <w:tcW w:w="1043" w:type="dxa"/>
            <w:tcBorders>
              <w:top w:val="single" w:sz="4" w:space="0" w:color="000000"/>
              <w:bottom w:val="single" w:sz="4" w:space="0" w:color="000000"/>
            </w:tcBorders>
          </w:tcPr>
          <w:p w14:paraId="75C88BE8" w14:textId="6B3F5F45"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9AC443C" w14:textId="48B0D731" w:rsidR="00B449D0" w:rsidRDefault="00076D78">
            <w:pPr>
              <w:pStyle w:val="MeasureTableDataRightAlignedwith2ptsspacing"/>
              <w:keepNext/>
            </w:pPr>
            <w:r>
              <w:noBreakHyphen/>
            </w:r>
            <w:r w:rsidR="00175344">
              <w:t>12.3</w:t>
            </w:r>
          </w:p>
        </w:tc>
        <w:tc>
          <w:tcPr>
            <w:tcW w:w="1043" w:type="dxa"/>
            <w:tcBorders>
              <w:top w:val="single" w:sz="4" w:space="0" w:color="000000"/>
              <w:bottom w:val="single" w:sz="4" w:space="0" w:color="000000"/>
            </w:tcBorders>
          </w:tcPr>
          <w:p w14:paraId="50C27C80" w14:textId="77777777" w:rsidR="00B449D0" w:rsidRDefault="00175344">
            <w:pPr>
              <w:pStyle w:val="MeasureTableDataRightAlignedwith2ptsspacing"/>
              <w:keepNext/>
            </w:pPr>
            <w:r>
              <w:t>60.4</w:t>
            </w:r>
          </w:p>
        </w:tc>
        <w:tc>
          <w:tcPr>
            <w:tcW w:w="1043" w:type="dxa"/>
            <w:tcBorders>
              <w:top w:val="single" w:sz="4" w:space="0" w:color="000000"/>
              <w:bottom w:val="single" w:sz="4" w:space="0" w:color="000000"/>
            </w:tcBorders>
          </w:tcPr>
          <w:p w14:paraId="502F1803" w14:textId="77777777" w:rsidR="00B449D0" w:rsidRDefault="00175344">
            <w:pPr>
              <w:pStyle w:val="MeasureTableDataRightAlignedwith2ptsspacing"/>
              <w:keepNext/>
            </w:pPr>
            <w:r>
              <w:t>24.5</w:t>
            </w:r>
          </w:p>
        </w:tc>
        <w:tc>
          <w:tcPr>
            <w:tcW w:w="1043" w:type="dxa"/>
            <w:tcBorders>
              <w:top w:val="single" w:sz="4" w:space="0" w:color="000000"/>
              <w:bottom w:val="single" w:sz="4" w:space="0" w:color="000000"/>
            </w:tcBorders>
          </w:tcPr>
          <w:p w14:paraId="39B8F8F1" w14:textId="77777777" w:rsidR="00B449D0" w:rsidRDefault="00175344">
            <w:pPr>
              <w:pStyle w:val="MeasureTableDataRightAlignedwith2ptsspacing"/>
              <w:keepNext/>
            </w:pPr>
            <w:r>
              <w:t>21.6</w:t>
            </w:r>
          </w:p>
        </w:tc>
      </w:tr>
      <w:tr w:rsidR="00B449D0" w14:paraId="02CAE263" w14:textId="77777777">
        <w:trPr>
          <w:cantSplit/>
        </w:trPr>
        <w:tc>
          <w:tcPr>
            <w:tcW w:w="2494" w:type="dxa"/>
            <w:tcBorders>
              <w:top w:val="single" w:sz="4" w:space="0" w:color="000000"/>
              <w:bottom w:val="single" w:sz="4" w:space="0" w:color="000000"/>
            </w:tcBorders>
          </w:tcPr>
          <w:p w14:paraId="284CF33D"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2B1C23CF" w14:textId="7C467662"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71967BF6" w14:textId="32712BE9" w:rsidR="00B449D0" w:rsidRDefault="00076D78">
            <w:pPr>
              <w:pStyle w:val="Totaldatarowrightaligned"/>
              <w:keepNext/>
            </w:pPr>
            <w:r>
              <w:noBreakHyphen/>
            </w:r>
            <w:r w:rsidR="00175344">
              <w:t>12.1</w:t>
            </w:r>
          </w:p>
        </w:tc>
        <w:tc>
          <w:tcPr>
            <w:tcW w:w="1043" w:type="dxa"/>
            <w:tcBorders>
              <w:top w:val="single" w:sz="4" w:space="0" w:color="000000"/>
              <w:bottom w:val="single" w:sz="4" w:space="0" w:color="000000"/>
            </w:tcBorders>
          </w:tcPr>
          <w:p w14:paraId="351E7C50" w14:textId="77777777" w:rsidR="00B449D0" w:rsidRDefault="00175344">
            <w:pPr>
              <w:pStyle w:val="Totaldatarowrightaligned"/>
              <w:keepNext/>
            </w:pPr>
            <w:r>
              <w:t>60.6</w:t>
            </w:r>
          </w:p>
        </w:tc>
        <w:tc>
          <w:tcPr>
            <w:tcW w:w="1043" w:type="dxa"/>
            <w:tcBorders>
              <w:top w:val="single" w:sz="4" w:space="0" w:color="000000"/>
              <w:bottom w:val="single" w:sz="4" w:space="0" w:color="000000"/>
            </w:tcBorders>
          </w:tcPr>
          <w:p w14:paraId="6D93CAEC" w14:textId="77777777" w:rsidR="00B449D0" w:rsidRDefault="00175344">
            <w:pPr>
              <w:pStyle w:val="Totaldatarowrightaligned"/>
              <w:keepNext/>
            </w:pPr>
            <w:r>
              <w:t>24.5</w:t>
            </w:r>
          </w:p>
        </w:tc>
        <w:tc>
          <w:tcPr>
            <w:tcW w:w="1043" w:type="dxa"/>
            <w:tcBorders>
              <w:top w:val="single" w:sz="4" w:space="0" w:color="000000"/>
              <w:bottom w:val="single" w:sz="4" w:space="0" w:color="000000"/>
            </w:tcBorders>
          </w:tcPr>
          <w:p w14:paraId="59DCB2F9" w14:textId="77777777" w:rsidR="00B449D0" w:rsidRDefault="00175344">
            <w:pPr>
              <w:pStyle w:val="Totaldatarowrightaligned"/>
              <w:keepNext/>
            </w:pPr>
            <w:r>
              <w:t>21.6</w:t>
            </w:r>
          </w:p>
        </w:tc>
      </w:tr>
    </w:tbl>
    <w:p w14:paraId="3C5BA0F8" w14:textId="77777777" w:rsidR="00B449D0" w:rsidRDefault="00B449D0" w:rsidP="00380A42">
      <w:pPr>
        <w:pStyle w:val="SingleParagraph0"/>
      </w:pPr>
    </w:p>
    <w:p w14:paraId="223B1BFF" w14:textId="519831F9" w:rsidR="00B449D0" w:rsidRDefault="00175344">
      <w:pPr>
        <w:pStyle w:val="Normal2"/>
      </w:pPr>
      <w:r w:rsidRPr="7F762F0D">
        <w:rPr>
          <w:lang w:val="en-US"/>
        </w:rPr>
        <w:t>The Government will provide $226.9 million over four years from 2024–25 (and an additional $378.2 million from 2028–29 to 2033–34) to fund the outcome of the Fair Work Commission</w:t>
      </w:r>
      <w:r w:rsidR="00076D78">
        <w:rPr>
          <w:lang w:val="en-US"/>
        </w:rPr>
        <w:t>’</w:t>
      </w:r>
      <w:r w:rsidRPr="7F762F0D">
        <w:rPr>
          <w:lang w:val="en-US"/>
        </w:rPr>
        <w:t>s Stage 3 decision on the Aged Care Work Value Case. The decision was to increase the minimum award wages from 1 January 2025 for many aged care workers</w:t>
      </w:r>
      <w:r w:rsidR="00E4786F">
        <w:rPr>
          <w:lang w:val="en-US"/>
        </w:rPr>
        <w:t>,</w:t>
      </w:r>
      <w:r w:rsidRPr="7F762F0D">
        <w:rPr>
          <w:lang w:val="en-US"/>
        </w:rPr>
        <w:t xml:space="preserve"> including assistants in nursing, personal care workers, home care workers, recreational activity officers, administration staff, maintenance staff and gardeners, cleaners and food services assistants. This is in addition to the 2023–24 Budget measure titled </w:t>
      </w:r>
      <w:r w:rsidRPr="7F762F0D">
        <w:rPr>
          <w:i/>
          <w:iCs/>
          <w:lang w:val="en-US"/>
        </w:rPr>
        <w:t>Funding Pay Increases for Aged Care Workers</w:t>
      </w:r>
      <w:r w:rsidRPr="7F762F0D">
        <w:rPr>
          <w:lang w:val="en-US"/>
        </w:rPr>
        <w:t>. Funding includes:</w:t>
      </w:r>
    </w:p>
    <w:p w14:paraId="50ADBE35" w14:textId="77777777" w:rsidR="00B449D0" w:rsidRDefault="00175344">
      <w:pPr>
        <w:pStyle w:val="Bullet"/>
      </w:pPr>
      <w:r>
        <w:t xml:space="preserve">$167.8 million over four years from 2024–25 (and an additional $339.9 million from 2028–29 to 2033–34) for two new grant programs for </w:t>
      </w:r>
      <w:r w:rsidRPr="00175344">
        <w:rPr>
          <w:i/>
        </w:rPr>
        <w:t xml:space="preserve">Commonwealth Home Support Programme </w:t>
      </w:r>
      <w:r>
        <w:t>providers to cover the cost of the increase in award wages</w:t>
      </w:r>
    </w:p>
    <w:p w14:paraId="3466D66A" w14:textId="77777777" w:rsidR="00B449D0" w:rsidRDefault="00175344">
      <w:pPr>
        <w:pStyle w:val="Bullet"/>
      </w:pPr>
      <w:r>
        <w:t>$40.5 million over two years from 2024–25 for a new grant program to fund the historical leave provisions of staff working in Commonwealth‑funded aged care providers</w:t>
      </w:r>
    </w:p>
    <w:p w14:paraId="683C6E35" w14:textId="44A68B40" w:rsidR="00B449D0" w:rsidRDefault="00175344">
      <w:pPr>
        <w:pStyle w:val="Bullet"/>
      </w:pPr>
      <w:r>
        <w:t>$18.6 million over four years from 2024–25 (and an additional $38.3 million from 2028</w:t>
      </w:r>
      <w:r w:rsidR="002809D1">
        <w:t>‍</w:t>
      </w:r>
      <w:r>
        <w:t>–</w:t>
      </w:r>
      <w:r w:rsidR="002809D1">
        <w:t>‍</w:t>
      </w:r>
      <w:r>
        <w:t xml:space="preserve">29 to 2033–34) to uplift funding for the </w:t>
      </w:r>
      <w:r w:rsidRPr="00175344">
        <w:rPr>
          <w:i/>
        </w:rPr>
        <w:t>Indigenous Employment Initiative</w:t>
      </w:r>
      <w:r>
        <w:t xml:space="preserve">, </w:t>
      </w:r>
      <w:r w:rsidRPr="00175344">
        <w:rPr>
          <w:i/>
        </w:rPr>
        <w:t>National Aboriginal and Torres Strait Islander Flexible Aged Care Program</w:t>
      </w:r>
      <w:r>
        <w:t xml:space="preserve">, and </w:t>
      </w:r>
      <w:r w:rsidRPr="00175344">
        <w:rPr>
          <w:i/>
        </w:rPr>
        <w:t>Multi‑Purpose Service Program.</w:t>
      </w:r>
    </w:p>
    <w:p w14:paraId="715CCEF4" w14:textId="77777777" w:rsidR="00B449D0" w:rsidRDefault="00175344">
      <w:pPr>
        <w:pStyle w:val="Normal2"/>
      </w:pPr>
      <w:r w:rsidRPr="7F762F0D">
        <w:rPr>
          <w:lang w:val="en-US"/>
        </w:rPr>
        <w:lastRenderedPageBreak/>
        <w:t>This measure will be partially offset by reprioritising funding from Program 3.2 – Aged Care Services</w:t>
      </w:r>
      <w:r w:rsidRPr="7F762F0D">
        <w:rPr>
          <w:i/>
          <w:iCs/>
          <w:lang w:val="en-US"/>
        </w:rPr>
        <w:t>.</w:t>
      </w:r>
    </w:p>
    <w:p w14:paraId="107C4F78" w14:textId="6D078FF3" w:rsidR="00B449D0" w:rsidRDefault="00175344">
      <w:pPr>
        <w:pStyle w:val="Normal2"/>
      </w:pPr>
      <w:r w:rsidRPr="7F762F0D">
        <w:rPr>
          <w:lang w:val="en-US"/>
        </w:rPr>
        <w:t>The 2024–25 MYEFO also includes $3.7</w:t>
      </w:r>
      <w:r w:rsidR="002A7001">
        <w:rPr>
          <w:lang w:val="en-US"/>
        </w:rPr>
        <w:t> billion</w:t>
      </w:r>
      <w:r w:rsidRPr="7F762F0D">
        <w:rPr>
          <w:lang w:val="en-US"/>
        </w:rPr>
        <w:t xml:space="preserve"> over four years from 2024–25 (and an additional $8.9</w:t>
      </w:r>
      <w:r w:rsidR="002A7001">
        <w:rPr>
          <w:lang w:val="en-US"/>
        </w:rPr>
        <w:t> billion</w:t>
      </w:r>
      <w:r w:rsidRPr="7F762F0D">
        <w:rPr>
          <w:lang w:val="en-US"/>
        </w:rPr>
        <w:t xml:space="preserve"> from 2028–29 to 2033–34) to meet the cost of the Fair Work Commission</w:t>
      </w:r>
      <w:r w:rsidR="00076D78">
        <w:rPr>
          <w:lang w:val="en-US"/>
        </w:rPr>
        <w:t>’</w:t>
      </w:r>
      <w:r w:rsidRPr="7F762F0D">
        <w:rPr>
          <w:lang w:val="en-US"/>
        </w:rPr>
        <w:t xml:space="preserve">s Stage 3 decision on the Aged Care Work Value Case with funding to other aged care programs including residential aged care and the </w:t>
      </w:r>
      <w:r w:rsidRPr="7F762F0D">
        <w:rPr>
          <w:i/>
          <w:iCs/>
          <w:lang w:val="en-US"/>
        </w:rPr>
        <w:t xml:space="preserve">Home Care Packages Program, </w:t>
      </w:r>
      <w:r w:rsidRPr="7F762F0D">
        <w:rPr>
          <w:lang w:val="en-US"/>
        </w:rPr>
        <w:t>which will be delivered through increases that will flow through program indexation.</w:t>
      </w:r>
    </w:p>
    <w:p w14:paraId="0C016692" w14:textId="77777777" w:rsidR="00B449D0" w:rsidRDefault="00175344">
      <w:pPr>
        <w:pStyle w:val="MeasureTitle"/>
      </w:pPr>
      <w:r>
        <w:t>Improving Aged Care Support</w:t>
      </w:r>
    </w:p>
    <w:p w14:paraId="2CC89674"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21B07D9E" w14:textId="77777777">
        <w:trPr>
          <w:cantSplit/>
        </w:trPr>
        <w:tc>
          <w:tcPr>
            <w:tcW w:w="2494" w:type="dxa"/>
            <w:tcBorders>
              <w:top w:val="single" w:sz="4" w:space="0" w:color="000000"/>
              <w:bottom w:val="single" w:sz="4" w:space="0" w:color="000000"/>
            </w:tcBorders>
          </w:tcPr>
          <w:p w14:paraId="2640A873" w14:textId="77777777" w:rsidR="00B449D0" w:rsidRDefault="00B449D0">
            <w:pPr>
              <w:pStyle w:val="MeasureTableYearHeadings"/>
              <w:keepNext/>
            </w:pPr>
          </w:p>
        </w:tc>
        <w:tc>
          <w:tcPr>
            <w:tcW w:w="1043" w:type="dxa"/>
            <w:tcBorders>
              <w:top w:val="single" w:sz="4" w:space="0" w:color="000000"/>
              <w:bottom w:val="single" w:sz="4" w:space="0" w:color="000000"/>
            </w:tcBorders>
          </w:tcPr>
          <w:p w14:paraId="198B021F" w14:textId="4FC3B6DD"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04DD1789" w14:textId="374EA7C5"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30DCA60E" w14:textId="5950F8D7"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1BDB4546" w14:textId="1F306781"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45FD4E45" w14:textId="4C2BDD6B" w:rsidR="00B449D0" w:rsidRDefault="00175344">
            <w:pPr>
              <w:pStyle w:val="MeasureTableYearHeadings"/>
              <w:keepNext/>
            </w:pPr>
            <w:r>
              <w:t>2027</w:t>
            </w:r>
            <w:r w:rsidR="00076D78">
              <w:noBreakHyphen/>
            </w:r>
            <w:r>
              <w:t>28</w:t>
            </w:r>
          </w:p>
        </w:tc>
      </w:tr>
      <w:tr w:rsidR="00B449D0" w14:paraId="57752AF9" w14:textId="77777777">
        <w:trPr>
          <w:cantSplit/>
        </w:trPr>
        <w:tc>
          <w:tcPr>
            <w:tcW w:w="2494" w:type="dxa"/>
            <w:tcBorders>
              <w:top w:val="single" w:sz="4" w:space="0" w:color="000000"/>
              <w:bottom w:val="single" w:sz="4" w:space="0" w:color="000000"/>
            </w:tcBorders>
          </w:tcPr>
          <w:p w14:paraId="0ACFD3FE" w14:textId="77777777" w:rsidR="00B449D0" w:rsidRDefault="00175344">
            <w:pPr>
              <w:pStyle w:val="MeasureTableHeadingleftalignedwith2ptsspacing"/>
              <w:keepNext/>
            </w:pPr>
            <w:r>
              <w:t>Department of Health and Aged Care</w:t>
            </w:r>
          </w:p>
        </w:tc>
        <w:tc>
          <w:tcPr>
            <w:tcW w:w="1043" w:type="dxa"/>
            <w:tcBorders>
              <w:top w:val="single" w:sz="4" w:space="0" w:color="000000"/>
              <w:bottom w:val="single" w:sz="4" w:space="0" w:color="000000"/>
            </w:tcBorders>
          </w:tcPr>
          <w:p w14:paraId="62047696" w14:textId="53F0BE16"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604644FD" w14:textId="77777777" w:rsidR="00B449D0" w:rsidRDefault="00175344">
            <w:pPr>
              <w:pStyle w:val="MeasureTableDataRightAlignedwith2ptsspacing"/>
              <w:keepNext/>
            </w:pPr>
            <w:r>
              <w:t>244.2</w:t>
            </w:r>
          </w:p>
        </w:tc>
        <w:tc>
          <w:tcPr>
            <w:tcW w:w="1043" w:type="dxa"/>
            <w:tcBorders>
              <w:top w:val="single" w:sz="4" w:space="0" w:color="000000"/>
              <w:bottom w:val="single" w:sz="4" w:space="0" w:color="000000"/>
            </w:tcBorders>
          </w:tcPr>
          <w:p w14:paraId="02D1785A" w14:textId="77777777" w:rsidR="00B449D0" w:rsidRDefault="00175344">
            <w:pPr>
              <w:pStyle w:val="MeasureTableDataRightAlignedwith2ptsspacing"/>
              <w:keepNext/>
            </w:pPr>
            <w:r>
              <w:t>178.3</w:t>
            </w:r>
          </w:p>
        </w:tc>
        <w:tc>
          <w:tcPr>
            <w:tcW w:w="1043" w:type="dxa"/>
            <w:tcBorders>
              <w:top w:val="single" w:sz="4" w:space="0" w:color="000000"/>
              <w:bottom w:val="single" w:sz="4" w:space="0" w:color="000000"/>
            </w:tcBorders>
          </w:tcPr>
          <w:p w14:paraId="3902D163" w14:textId="3E881CE2" w:rsidR="00B449D0" w:rsidRDefault="00076D78">
            <w:pPr>
              <w:pStyle w:val="MeasureTableDataRightAlignedwith2ptsspacing"/>
              <w:keepNext/>
            </w:pPr>
            <w:r>
              <w:noBreakHyphen/>
            </w:r>
            <w:r w:rsidR="00175344">
              <w:t>1,123.4</w:t>
            </w:r>
          </w:p>
        </w:tc>
        <w:tc>
          <w:tcPr>
            <w:tcW w:w="1043" w:type="dxa"/>
            <w:tcBorders>
              <w:top w:val="single" w:sz="4" w:space="0" w:color="000000"/>
              <w:bottom w:val="single" w:sz="4" w:space="0" w:color="000000"/>
            </w:tcBorders>
          </w:tcPr>
          <w:p w14:paraId="3C27A1C1" w14:textId="646FFFA0" w:rsidR="00B449D0" w:rsidRDefault="00076D78">
            <w:pPr>
              <w:pStyle w:val="MeasureTableDataRightAlignedwith2ptsspacing"/>
              <w:keepNext/>
            </w:pPr>
            <w:r>
              <w:noBreakHyphen/>
            </w:r>
            <w:r w:rsidR="00175344">
              <w:t>1,298.2</w:t>
            </w:r>
          </w:p>
        </w:tc>
      </w:tr>
      <w:tr w:rsidR="00B449D0" w14:paraId="709FD007" w14:textId="77777777">
        <w:trPr>
          <w:cantSplit/>
        </w:trPr>
        <w:tc>
          <w:tcPr>
            <w:tcW w:w="2494" w:type="dxa"/>
            <w:tcBorders>
              <w:top w:val="single" w:sz="4" w:space="0" w:color="000000"/>
              <w:bottom w:val="single" w:sz="4" w:space="0" w:color="000000"/>
            </w:tcBorders>
          </w:tcPr>
          <w:p w14:paraId="44FE85B2" w14:textId="77777777" w:rsidR="00B449D0" w:rsidRDefault="00175344">
            <w:pPr>
              <w:pStyle w:val="MeasureTableHeadingleftalignedwith2ptsspacing"/>
              <w:keepNext/>
            </w:pPr>
            <w:r>
              <w:t>Services Australia</w:t>
            </w:r>
          </w:p>
        </w:tc>
        <w:tc>
          <w:tcPr>
            <w:tcW w:w="1043" w:type="dxa"/>
            <w:tcBorders>
              <w:top w:val="single" w:sz="4" w:space="0" w:color="000000"/>
              <w:bottom w:val="single" w:sz="4" w:space="0" w:color="000000"/>
            </w:tcBorders>
          </w:tcPr>
          <w:p w14:paraId="735BE570" w14:textId="3E04F1A6"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77DE97B" w14:textId="77777777" w:rsidR="00B449D0" w:rsidRDefault="00175344">
            <w:pPr>
              <w:pStyle w:val="MeasureTableDataRightAlignedwith2ptsspacing"/>
              <w:keepNext/>
            </w:pPr>
            <w:r>
              <w:t>2.3</w:t>
            </w:r>
          </w:p>
        </w:tc>
        <w:tc>
          <w:tcPr>
            <w:tcW w:w="1043" w:type="dxa"/>
            <w:tcBorders>
              <w:top w:val="single" w:sz="4" w:space="0" w:color="000000"/>
              <w:bottom w:val="single" w:sz="4" w:space="0" w:color="000000"/>
            </w:tcBorders>
          </w:tcPr>
          <w:p w14:paraId="2472EDD3" w14:textId="77777777" w:rsidR="00B449D0" w:rsidRDefault="00175344">
            <w:pPr>
              <w:pStyle w:val="MeasureTableDataRightAlignedwith2ptsspacing"/>
              <w:keepNext/>
            </w:pPr>
            <w:r>
              <w:t>17.7</w:t>
            </w:r>
          </w:p>
        </w:tc>
        <w:tc>
          <w:tcPr>
            <w:tcW w:w="1043" w:type="dxa"/>
            <w:tcBorders>
              <w:top w:val="single" w:sz="4" w:space="0" w:color="000000"/>
              <w:bottom w:val="single" w:sz="4" w:space="0" w:color="000000"/>
            </w:tcBorders>
          </w:tcPr>
          <w:p w14:paraId="681A7ED5" w14:textId="77777777" w:rsidR="00B449D0" w:rsidRDefault="00175344">
            <w:pPr>
              <w:pStyle w:val="MeasureTableDataRightAlignedwith2ptsspacing"/>
              <w:keepNext/>
            </w:pPr>
            <w:r>
              <w:t>1.6</w:t>
            </w:r>
          </w:p>
        </w:tc>
        <w:tc>
          <w:tcPr>
            <w:tcW w:w="1043" w:type="dxa"/>
            <w:tcBorders>
              <w:top w:val="single" w:sz="4" w:space="0" w:color="000000"/>
              <w:bottom w:val="single" w:sz="4" w:space="0" w:color="000000"/>
            </w:tcBorders>
          </w:tcPr>
          <w:p w14:paraId="5B80A0A5" w14:textId="77777777" w:rsidR="00B449D0" w:rsidRDefault="00175344">
            <w:pPr>
              <w:pStyle w:val="MeasureTableDataRightAlignedwith2ptsspacing"/>
              <w:keepNext/>
            </w:pPr>
            <w:r>
              <w:t>1.3</w:t>
            </w:r>
          </w:p>
        </w:tc>
      </w:tr>
      <w:tr w:rsidR="00B449D0" w14:paraId="1E008FBB" w14:textId="77777777">
        <w:trPr>
          <w:cantSplit/>
        </w:trPr>
        <w:tc>
          <w:tcPr>
            <w:tcW w:w="2494" w:type="dxa"/>
            <w:tcBorders>
              <w:top w:val="single" w:sz="4" w:space="0" w:color="000000"/>
              <w:bottom w:val="single" w:sz="4" w:space="0" w:color="000000"/>
            </w:tcBorders>
          </w:tcPr>
          <w:p w14:paraId="3DFC8093" w14:textId="2D54C2DA" w:rsidR="00B449D0" w:rsidRDefault="00175344">
            <w:pPr>
              <w:pStyle w:val="MeasureTableHeadingleftalignedwith2ptsspacing"/>
              <w:keepNext/>
            </w:pPr>
            <w:r>
              <w:t>Department of Veterans</w:t>
            </w:r>
            <w:r w:rsidR="00076D78">
              <w:t>’</w:t>
            </w:r>
            <w:r>
              <w:t xml:space="preserve"> Affairs</w:t>
            </w:r>
          </w:p>
        </w:tc>
        <w:tc>
          <w:tcPr>
            <w:tcW w:w="1043" w:type="dxa"/>
            <w:tcBorders>
              <w:top w:val="single" w:sz="4" w:space="0" w:color="000000"/>
              <w:bottom w:val="single" w:sz="4" w:space="0" w:color="000000"/>
            </w:tcBorders>
          </w:tcPr>
          <w:p w14:paraId="1ADD4DC3" w14:textId="37E94B59"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6FCFAD2" w14:textId="77777777" w:rsidR="00B449D0" w:rsidRDefault="00175344">
            <w:pPr>
              <w:pStyle w:val="MeasureTableDataRightAlignedwith2ptsspacing"/>
              <w:keepNext/>
            </w:pPr>
            <w:r>
              <w:t>1.6</w:t>
            </w:r>
          </w:p>
        </w:tc>
        <w:tc>
          <w:tcPr>
            <w:tcW w:w="1043" w:type="dxa"/>
            <w:tcBorders>
              <w:top w:val="single" w:sz="4" w:space="0" w:color="000000"/>
              <w:bottom w:val="single" w:sz="4" w:space="0" w:color="000000"/>
            </w:tcBorders>
          </w:tcPr>
          <w:p w14:paraId="222F20FC" w14:textId="77777777" w:rsidR="00B449D0" w:rsidRDefault="00175344">
            <w:pPr>
              <w:pStyle w:val="MeasureTableDataRightAlignedwith2ptsspacing"/>
              <w:keepNext/>
            </w:pPr>
            <w:r>
              <w:t>..</w:t>
            </w:r>
          </w:p>
        </w:tc>
        <w:tc>
          <w:tcPr>
            <w:tcW w:w="1043" w:type="dxa"/>
            <w:tcBorders>
              <w:top w:val="single" w:sz="4" w:space="0" w:color="000000"/>
              <w:bottom w:val="single" w:sz="4" w:space="0" w:color="000000"/>
            </w:tcBorders>
          </w:tcPr>
          <w:p w14:paraId="05111D19" w14:textId="6C61B240" w:rsidR="00B449D0" w:rsidRDefault="00076D78">
            <w:pPr>
              <w:pStyle w:val="MeasureTableDataRightAlignedwith2ptsspacing"/>
              <w:keepNext/>
            </w:pPr>
            <w:r>
              <w:noBreakHyphen/>
            </w:r>
            <w:r w:rsidR="00175344">
              <w:t>32.7</w:t>
            </w:r>
          </w:p>
        </w:tc>
        <w:tc>
          <w:tcPr>
            <w:tcW w:w="1043" w:type="dxa"/>
            <w:tcBorders>
              <w:top w:val="single" w:sz="4" w:space="0" w:color="000000"/>
              <w:bottom w:val="single" w:sz="4" w:space="0" w:color="000000"/>
            </w:tcBorders>
          </w:tcPr>
          <w:p w14:paraId="7C95E85F" w14:textId="537175BF" w:rsidR="00B449D0" w:rsidRDefault="00076D78">
            <w:pPr>
              <w:pStyle w:val="MeasureTableDataRightAlignedwith2ptsspacing"/>
              <w:keepNext/>
            </w:pPr>
            <w:r>
              <w:noBreakHyphen/>
            </w:r>
            <w:r w:rsidR="00175344">
              <w:t>37.4</w:t>
            </w:r>
          </w:p>
        </w:tc>
      </w:tr>
      <w:tr w:rsidR="00B449D0" w14:paraId="3399556C" w14:textId="77777777">
        <w:trPr>
          <w:cantSplit/>
        </w:trPr>
        <w:tc>
          <w:tcPr>
            <w:tcW w:w="2494" w:type="dxa"/>
            <w:tcBorders>
              <w:top w:val="single" w:sz="4" w:space="0" w:color="000000"/>
              <w:bottom w:val="single" w:sz="4" w:space="0" w:color="000000"/>
            </w:tcBorders>
          </w:tcPr>
          <w:p w14:paraId="1696BF4B"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3035693A" w14:textId="35753F04"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0C12ACC4" w14:textId="77777777" w:rsidR="00B449D0" w:rsidRDefault="00175344">
            <w:pPr>
              <w:pStyle w:val="Totaldatarowrightaligned"/>
              <w:keepNext/>
            </w:pPr>
            <w:r>
              <w:t>248.1</w:t>
            </w:r>
          </w:p>
        </w:tc>
        <w:tc>
          <w:tcPr>
            <w:tcW w:w="1043" w:type="dxa"/>
            <w:tcBorders>
              <w:top w:val="single" w:sz="4" w:space="0" w:color="000000"/>
              <w:bottom w:val="single" w:sz="4" w:space="0" w:color="000000"/>
            </w:tcBorders>
          </w:tcPr>
          <w:p w14:paraId="437A94C0" w14:textId="77777777" w:rsidR="00B449D0" w:rsidRDefault="00175344">
            <w:pPr>
              <w:pStyle w:val="Totaldatarowrightaligned"/>
              <w:keepNext/>
            </w:pPr>
            <w:r>
              <w:t>196.0</w:t>
            </w:r>
          </w:p>
        </w:tc>
        <w:tc>
          <w:tcPr>
            <w:tcW w:w="1043" w:type="dxa"/>
            <w:tcBorders>
              <w:top w:val="single" w:sz="4" w:space="0" w:color="000000"/>
              <w:bottom w:val="single" w:sz="4" w:space="0" w:color="000000"/>
            </w:tcBorders>
          </w:tcPr>
          <w:p w14:paraId="50A95068" w14:textId="774810CB" w:rsidR="00B449D0" w:rsidRDefault="00076D78">
            <w:pPr>
              <w:pStyle w:val="Totaldatarowrightaligned"/>
              <w:keepNext/>
            </w:pPr>
            <w:r>
              <w:noBreakHyphen/>
            </w:r>
            <w:r w:rsidR="00175344">
              <w:t>1,154.5</w:t>
            </w:r>
          </w:p>
        </w:tc>
        <w:tc>
          <w:tcPr>
            <w:tcW w:w="1043" w:type="dxa"/>
            <w:tcBorders>
              <w:top w:val="single" w:sz="4" w:space="0" w:color="000000"/>
              <w:bottom w:val="single" w:sz="4" w:space="0" w:color="000000"/>
            </w:tcBorders>
          </w:tcPr>
          <w:p w14:paraId="0A7E8AA3" w14:textId="38741D0F" w:rsidR="00B449D0" w:rsidRDefault="00076D78">
            <w:pPr>
              <w:pStyle w:val="Totaldatarowrightaligned"/>
              <w:keepNext/>
            </w:pPr>
            <w:r>
              <w:noBreakHyphen/>
            </w:r>
            <w:r w:rsidR="00175344">
              <w:t>1,334.3</w:t>
            </w:r>
          </w:p>
        </w:tc>
      </w:tr>
    </w:tbl>
    <w:p w14:paraId="1C6EF1A5" w14:textId="77777777" w:rsidR="00B449D0" w:rsidRDefault="00B449D0" w:rsidP="00380A42">
      <w:pPr>
        <w:pStyle w:val="SingleParagraph0"/>
      </w:pPr>
    </w:p>
    <w:p w14:paraId="6738FF83" w14:textId="25A789BF" w:rsidR="00B449D0" w:rsidRDefault="00175344">
      <w:pPr>
        <w:pStyle w:val="Normal2"/>
      </w:pPr>
      <w:r w:rsidRPr="7F762F0D">
        <w:rPr>
          <w:lang w:val="en-US"/>
        </w:rPr>
        <w:t>The Government will provide $1.0</w:t>
      </w:r>
      <w:r w:rsidR="002A7001">
        <w:rPr>
          <w:lang w:val="en-US"/>
        </w:rPr>
        <w:t> billion</w:t>
      </w:r>
      <w:r w:rsidRPr="7F762F0D">
        <w:rPr>
          <w:lang w:val="en-US"/>
        </w:rPr>
        <w:t xml:space="preserve"> over seven years from 2024–25 to deliver key aged care reforms and to continue to implement recommendations from the Royal</w:t>
      </w:r>
      <w:r w:rsidR="002809D1">
        <w:rPr>
          <w:lang w:val="en-US"/>
        </w:rPr>
        <w:t> </w:t>
      </w:r>
      <w:r w:rsidRPr="7F762F0D">
        <w:rPr>
          <w:lang w:val="en-US"/>
        </w:rPr>
        <w:t>Commission into Aged Care Quality and Safety. Funding includes:</w:t>
      </w:r>
    </w:p>
    <w:p w14:paraId="10AF23C1" w14:textId="77777777" w:rsidR="00B449D0" w:rsidRDefault="00175344">
      <w:pPr>
        <w:pStyle w:val="Bullet"/>
      </w:pPr>
      <w:r>
        <w:t>$596.8 million over seven years from 2024–25 for private providers, and states and territories to undertake aged care assessment services under the Single Assessment System, including transition support, addressing wage increases and reducing the assessment waitlist to ensure continuity of assessment services</w:t>
      </w:r>
    </w:p>
    <w:p w14:paraId="29FB4A74" w14:textId="77777777" w:rsidR="00B449D0" w:rsidRDefault="00175344">
      <w:pPr>
        <w:pStyle w:val="Bullet"/>
      </w:pPr>
      <w:r>
        <w:t>$157.8 million over two years from 2024–25 to provide continued COVID‑19 support for aged care, including extending the Aged Care Outbreak Management Supplement and addressing low vaccination rates in aged care</w:t>
      </w:r>
    </w:p>
    <w:p w14:paraId="2864057B" w14:textId="77777777" w:rsidR="00B449D0" w:rsidRDefault="00175344">
      <w:pPr>
        <w:pStyle w:val="Bullet"/>
      </w:pPr>
      <w:r>
        <w:t xml:space="preserve">$101.7 million in 2024–25 to release an additional 7,615 Home Care Packages to meet growing demand, reduce the average wait times for packages ahead of the commencement of the </w:t>
      </w:r>
      <w:r w:rsidRPr="00175344">
        <w:rPr>
          <w:i/>
        </w:rPr>
        <w:t>Support at Home Program</w:t>
      </w:r>
      <w:r>
        <w:t xml:space="preserve"> on 1 July 2025 and to support timely discharge of long stay older patients out of hospital</w:t>
      </w:r>
    </w:p>
    <w:p w14:paraId="20330226" w14:textId="77777777" w:rsidR="00B449D0" w:rsidRDefault="00175344">
      <w:pPr>
        <w:pStyle w:val="Bullet"/>
      </w:pPr>
      <w:r>
        <w:t xml:space="preserve">$88.1 million over three years from 2025–26 to provide additional funding to very remote residential aged care services under the </w:t>
      </w:r>
      <w:r w:rsidRPr="00175344">
        <w:rPr>
          <w:i/>
        </w:rPr>
        <w:t xml:space="preserve">National Aboriginal and Torres Strait Islander Flexible Aged Care Program </w:t>
      </w:r>
      <w:r>
        <w:t>to align with the national price under the Australian National Aged Care Classification</w:t>
      </w:r>
    </w:p>
    <w:p w14:paraId="5FE623B3" w14:textId="77777777" w:rsidR="00B449D0" w:rsidRDefault="00175344">
      <w:pPr>
        <w:pStyle w:val="Bullet"/>
      </w:pPr>
      <w:r>
        <w:t xml:space="preserve">$41.4 million in 2025–26 to extend the aged care viability support programs, including the </w:t>
      </w:r>
      <w:r w:rsidRPr="00175344">
        <w:rPr>
          <w:i/>
        </w:rPr>
        <w:t>Market Adjustment Program</w:t>
      </w:r>
      <w:r>
        <w:t>, to provide business advisory services to improve the viability of the residential aged care sector</w:t>
      </w:r>
    </w:p>
    <w:p w14:paraId="1AF47733" w14:textId="77777777" w:rsidR="00B449D0" w:rsidRDefault="00175344">
      <w:pPr>
        <w:pStyle w:val="Bullet"/>
      </w:pPr>
      <w:r>
        <w:t xml:space="preserve">$9.4 million over two years from 2024–25 to extend the </w:t>
      </w:r>
      <w:r w:rsidRPr="00175344">
        <w:rPr>
          <w:i/>
        </w:rPr>
        <w:t>Dementia Training Program</w:t>
      </w:r>
      <w:r>
        <w:t xml:space="preserve"> and the Australian Dementia Network to improve the capability of the health and aged care workforce to support dementia diagnosis and care, particularly in rural areas, and to better position General Practitioners for new dementia treatment options</w:t>
      </w:r>
    </w:p>
    <w:p w14:paraId="2F8DABF5" w14:textId="678EC6CD" w:rsidR="00B449D0" w:rsidRDefault="00175344">
      <w:pPr>
        <w:pStyle w:val="Bullet"/>
      </w:pPr>
      <w:r>
        <w:lastRenderedPageBreak/>
        <w:t>$4.1 million over three years from 2024–25 to extend funding for the interim First</w:t>
      </w:r>
      <w:r w:rsidR="002809D1">
        <w:t> </w:t>
      </w:r>
      <w:r>
        <w:t>Nations Aged Care Commissioner</w:t>
      </w:r>
    </w:p>
    <w:p w14:paraId="690A93F8" w14:textId="77777777" w:rsidR="00B449D0" w:rsidRDefault="00175344">
      <w:pPr>
        <w:pStyle w:val="Bullet"/>
      </w:pPr>
      <w:r>
        <w:t>$1.7 million in 2025–26 to extend funding for the Maggie Beer Foundation to improve the quality of food for people in aged care.</w:t>
      </w:r>
    </w:p>
    <w:p w14:paraId="55DB7340" w14:textId="77777777" w:rsidR="00B449D0" w:rsidRDefault="00175344">
      <w:pPr>
        <w:pStyle w:val="Normal2"/>
      </w:pPr>
      <w:r>
        <w:t xml:space="preserve">The Government will achieve savings of $233.0 million over four years from 2024–25 (and $109.7 million per year ongoing) through better targeting residential aged care funding. The Government will adjust the 24/7 registered nurse supplement to align with changes recommended by the Independent Health and Aged Care Pricing Authority in its </w:t>
      </w:r>
      <w:r w:rsidRPr="00175344">
        <w:rPr>
          <w:i/>
        </w:rPr>
        <w:t xml:space="preserve">Residential Aged Care Pricing Advice 2024–25. </w:t>
      </w:r>
      <w:r>
        <w:t>The Government will also link care minute funding to the delivery of care minutes from 1 October 2025 for residential aged care providers in metropolitan areas.</w:t>
      </w:r>
    </w:p>
    <w:p w14:paraId="5EE13624" w14:textId="7F7C231F" w:rsidR="00B449D0" w:rsidRDefault="00175344">
      <w:pPr>
        <w:pStyle w:val="Normal2"/>
      </w:pPr>
      <w:r w:rsidRPr="7F762F0D">
        <w:rPr>
          <w:lang w:val="en-US"/>
        </w:rPr>
        <w:t>The Government will achieve savings of $2.5</w:t>
      </w:r>
      <w:r w:rsidR="002A7001">
        <w:rPr>
          <w:lang w:val="en-US"/>
        </w:rPr>
        <w:t> billion</w:t>
      </w:r>
      <w:r w:rsidRPr="7F762F0D">
        <w:rPr>
          <w:lang w:val="en-US"/>
        </w:rPr>
        <w:t xml:space="preserve"> over three years from 2025–26 (and $234.1 million per year ongoing) by improving payment arrangements for residential aged care. The Government will transition to paying providers in arrears rather than in advance for the provision of services over two years from 1 July 2026. This will align payment arrangements for residential aged care providers with other government programs such as home care and the National Disability Insurance Scheme. Providers will not have their funding reduced through this measure.</w:t>
      </w:r>
    </w:p>
    <w:p w14:paraId="00E6DF65" w14:textId="77777777" w:rsidR="00B449D0" w:rsidRDefault="00175344">
      <w:pPr>
        <w:pStyle w:val="Normal2"/>
      </w:pPr>
      <w:r>
        <w:t>The Government has already provided partial funding for this measure.</w:t>
      </w:r>
    </w:p>
    <w:p w14:paraId="3414D0C7" w14:textId="77777777" w:rsidR="00B449D0" w:rsidRDefault="00175344">
      <w:pPr>
        <w:pStyle w:val="Normal2"/>
      </w:pPr>
      <w:r>
        <w:t xml:space="preserve">This measure builds on the 2023–24 Budget and 2024–25 Budget measures titled </w:t>
      </w:r>
      <w:r w:rsidRPr="00175344">
        <w:rPr>
          <w:i/>
        </w:rPr>
        <w:t>Improving Aged Care Support</w:t>
      </w:r>
      <w:r>
        <w:t xml:space="preserve">, the 2023–24 MYEFO measure titled </w:t>
      </w:r>
      <w:r w:rsidRPr="00175344">
        <w:rPr>
          <w:i/>
        </w:rPr>
        <w:t>Continued Support for the COVID‑19 Response,</w:t>
      </w:r>
      <w:r>
        <w:t xml:space="preserve"> the 2023–24 Budget measure titled </w:t>
      </w:r>
      <w:r w:rsidRPr="00175344">
        <w:rPr>
          <w:i/>
        </w:rPr>
        <w:t>Improving Health Outcomes for Aboriginal and Torres Strait Islander People</w:t>
      </w:r>
      <w:r>
        <w:t xml:space="preserve"> and the 2022–23 October Budget measure titled </w:t>
      </w:r>
      <w:r w:rsidRPr="00175344">
        <w:rPr>
          <w:i/>
        </w:rPr>
        <w:t>Fixing the Aged Care Crisis</w:t>
      </w:r>
      <w:r>
        <w:t>.</w:t>
      </w:r>
    </w:p>
    <w:p w14:paraId="1D9A26C8" w14:textId="77777777" w:rsidR="00B449D0" w:rsidRDefault="00175344">
      <w:pPr>
        <w:pStyle w:val="MeasureTitle"/>
      </w:pPr>
      <w:r>
        <w:t>Improving Cancer Outcomes</w:t>
      </w:r>
    </w:p>
    <w:p w14:paraId="3DCE8662"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0F6D5374" w14:textId="77777777">
        <w:trPr>
          <w:cantSplit/>
        </w:trPr>
        <w:tc>
          <w:tcPr>
            <w:tcW w:w="2494" w:type="dxa"/>
            <w:tcBorders>
              <w:top w:val="single" w:sz="4" w:space="0" w:color="000000"/>
              <w:bottom w:val="single" w:sz="4" w:space="0" w:color="000000"/>
            </w:tcBorders>
          </w:tcPr>
          <w:p w14:paraId="370636E1" w14:textId="77777777" w:rsidR="00B449D0" w:rsidRDefault="00B449D0">
            <w:pPr>
              <w:pStyle w:val="MeasureTableYearHeadings"/>
              <w:keepNext/>
            </w:pPr>
          </w:p>
        </w:tc>
        <w:tc>
          <w:tcPr>
            <w:tcW w:w="1043" w:type="dxa"/>
            <w:tcBorders>
              <w:top w:val="single" w:sz="4" w:space="0" w:color="000000"/>
              <w:bottom w:val="single" w:sz="4" w:space="0" w:color="000000"/>
            </w:tcBorders>
          </w:tcPr>
          <w:p w14:paraId="04742CA9" w14:textId="5A627F22"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77E1F77A" w14:textId="0ECDFA3D"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32E00A58" w14:textId="66D3C930"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57F991BB" w14:textId="7BF10B78"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1C58A2E1" w14:textId="0596FDE6" w:rsidR="00B449D0" w:rsidRDefault="00175344">
            <w:pPr>
              <w:pStyle w:val="MeasureTableYearHeadings"/>
              <w:keepNext/>
            </w:pPr>
            <w:r>
              <w:t>2027</w:t>
            </w:r>
            <w:r w:rsidR="00076D78">
              <w:noBreakHyphen/>
            </w:r>
            <w:r>
              <w:t>28</w:t>
            </w:r>
          </w:p>
        </w:tc>
      </w:tr>
      <w:tr w:rsidR="00B449D0" w14:paraId="7D0602AC" w14:textId="77777777">
        <w:trPr>
          <w:cantSplit/>
        </w:trPr>
        <w:tc>
          <w:tcPr>
            <w:tcW w:w="2494" w:type="dxa"/>
            <w:tcBorders>
              <w:top w:val="single" w:sz="4" w:space="0" w:color="000000"/>
              <w:bottom w:val="single" w:sz="4" w:space="0" w:color="000000"/>
            </w:tcBorders>
          </w:tcPr>
          <w:p w14:paraId="70274814" w14:textId="77777777" w:rsidR="00B449D0" w:rsidRDefault="00175344">
            <w:pPr>
              <w:pStyle w:val="MeasureTableHeadingleftalignedwith2ptsspacing"/>
              <w:keepNext/>
            </w:pPr>
            <w:r>
              <w:t>Department of Health and Aged Care</w:t>
            </w:r>
          </w:p>
        </w:tc>
        <w:tc>
          <w:tcPr>
            <w:tcW w:w="1043" w:type="dxa"/>
            <w:tcBorders>
              <w:top w:val="single" w:sz="4" w:space="0" w:color="000000"/>
              <w:bottom w:val="single" w:sz="4" w:space="0" w:color="000000"/>
            </w:tcBorders>
          </w:tcPr>
          <w:p w14:paraId="2E051749" w14:textId="184A86B7"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45B1447" w14:textId="77777777" w:rsidR="00B449D0" w:rsidRDefault="00175344">
            <w:pPr>
              <w:pStyle w:val="MeasureTableDataRightAlignedwith2ptsspacing"/>
              <w:keepNext/>
            </w:pPr>
            <w:r>
              <w:t>9.9</w:t>
            </w:r>
          </w:p>
        </w:tc>
        <w:tc>
          <w:tcPr>
            <w:tcW w:w="1043" w:type="dxa"/>
            <w:tcBorders>
              <w:top w:val="single" w:sz="4" w:space="0" w:color="000000"/>
              <w:bottom w:val="single" w:sz="4" w:space="0" w:color="000000"/>
            </w:tcBorders>
          </w:tcPr>
          <w:p w14:paraId="0525A995" w14:textId="77777777" w:rsidR="00B449D0" w:rsidRDefault="00175344">
            <w:pPr>
              <w:pStyle w:val="MeasureTableDataRightAlignedwith2ptsspacing"/>
              <w:keepNext/>
            </w:pPr>
            <w:r>
              <w:t>13.5</w:t>
            </w:r>
          </w:p>
        </w:tc>
        <w:tc>
          <w:tcPr>
            <w:tcW w:w="1043" w:type="dxa"/>
            <w:tcBorders>
              <w:top w:val="single" w:sz="4" w:space="0" w:color="000000"/>
              <w:bottom w:val="single" w:sz="4" w:space="0" w:color="000000"/>
            </w:tcBorders>
          </w:tcPr>
          <w:p w14:paraId="10E77F0A" w14:textId="77777777" w:rsidR="00B449D0" w:rsidRDefault="00175344">
            <w:pPr>
              <w:pStyle w:val="MeasureTableDataRightAlignedwith2ptsspacing"/>
              <w:keepNext/>
            </w:pPr>
            <w:r>
              <w:t>2.1</w:t>
            </w:r>
          </w:p>
        </w:tc>
        <w:tc>
          <w:tcPr>
            <w:tcW w:w="1043" w:type="dxa"/>
            <w:tcBorders>
              <w:top w:val="single" w:sz="4" w:space="0" w:color="000000"/>
              <w:bottom w:val="single" w:sz="4" w:space="0" w:color="000000"/>
            </w:tcBorders>
          </w:tcPr>
          <w:p w14:paraId="1C01682B" w14:textId="77777777" w:rsidR="00B449D0" w:rsidRDefault="00175344">
            <w:pPr>
              <w:pStyle w:val="MeasureTableDataRightAlignedwith2ptsspacing"/>
              <w:keepNext/>
            </w:pPr>
            <w:r>
              <w:t>0.5</w:t>
            </w:r>
          </w:p>
        </w:tc>
      </w:tr>
      <w:tr w:rsidR="00B449D0" w14:paraId="7F866732" w14:textId="77777777">
        <w:trPr>
          <w:cantSplit/>
        </w:trPr>
        <w:tc>
          <w:tcPr>
            <w:tcW w:w="2494" w:type="dxa"/>
            <w:tcBorders>
              <w:top w:val="single" w:sz="4" w:space="0" w:color="000000"/>
              <w:bottom w:val="single" w:sz="4" w:space="0" w:color="000000"/>
            </w:tcBorders>
          </w:tcPr>
          <w:p w14:paraId="6AA18481" w14:textId="245576DE" w:rsidR="00B449D0" w:rsidRDefault="00175344">
            <w:pPr>
              <w:pStyle w:val="MeasureTableHeadingleftalignedwith2ptsspacing"/>
              <w:keepNext/>
            </w:pPr>
            <w:r>
              <w:t>Department of Veterans</w:t>
            </w:r>
            <w:r w:rsidR="00076D78">
              <w:t>’</w:t>
            </w:r>
            <w:r>
              <w:t xml:space="preserve"> Affairs</w:t>
            </w:r>
          </w:p>
        </w:tc>
        <w:tc>
          <w:tcPr>
            <w:tcW w:w="1043" w:type="dxa"/>
            <w:tcBorders>
              <w:top w:val="single" w:sz="4" w:space="0" w:color="000000"/>
              <w:bottom w:val="single" w:sz="4" w:space="0" w:color="000000"/>
            </w:tcBorders>
          </w:tcPr>
          <w:p w14:paraId="51654B2A" w14:textId="7EE9E082"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6015F3A" w14:textId="77777777" w:rsidR="00B449D0" w:rsidRDefault="00175344">
            <w:pPr>
              <w:pStyle w:val="MeasureTableDataRightAlignedwith2ptsspacing"/>
              <w:keepNext/>
            </w:pPr>
            <w:r>
              <w:t>0.1</w:t>
            </w:r>
          </w:p>
        </w:tc>
        <w:tc>
          <w:tcPr>
            <w:tcW w:w="1043" w:type="dxa"/>
            <w:tcBorders>
              <w:top w:val="single" w:sz="4" w:space="0" w:color="000000"/>
              <w:bottom w:val="single" w:sz="4" w:space="0" w:color="000000"/>
            </w:tcBorders>
          </w:tcPr>
          <w:p w14:paraId="6DAF0D28" w14:textId="77777777" w:rsidR="00B449D0" w:rsidRDefault="00175344">
            <w:pPr>
              <w:pStyle w:val="MeasureTableDataRightAlignedwith2ptsspacing"/>
              <w:keepNext/>
            </w:pPr>
            <w:r>
              <w:t>0.1</w:t>
            </w:r>
          </w:p>
        </w:tc>
        <w:tc>
          <w:tcPr>
            <w:tcW w:w="1043" w:type="dxa"/>
            <w:tcBorders>
              <w:top w:val="single" w:sz="4" w:space="0" w:color="000000"/>
              <w:bottom w:val="single" w:sz="4" w:space="0" w:color="000000"/>
            </w:tcBorders>
          </w:tcPr>
          <w:p w14:paraId="6F98B69B" w14:textId="77777777" w:rsidR="00B449D0" w:rsidRDefault="00175344">
            <w:pPr>
              <w:pStyle w:val="MeasureTableDataRightAlignedwith2ptsspacing"/>
              <w:keepNext/>
            </w:pPr>
            <w:r>
              <w:t>..</w:t>
            </w:r>
          </w:p>
        </w:tc>
        <w:tc>
          <w:tcPr>
            <w:tcW w:w="1043" w:type="dxa"/>
            <w:tcBorders>
              <w:top w:val="single" w:sz="4" w:space="0" w:color="000000"/>
              <w:bottom w:val="single" w:sz="4" w:space="0" w:color="000000"/>
            </w:tcBorders>
          </w:tcPr>
          <w:p w14:paraId="50A25AE8" w14:textId="384F5B28" w:rsidR="00B449D0" w:rsidRDefault="00076D78">
            <w:pPr>
              <w:pStyle w:val="MeasureTableDataRightAlignedwith2ptsspacing"/>
              <w:keepNext/>
            </w:pPr>
            <w:r>
              <w:noBreakHyphen/>
            </w:r>
          </w:p>
        </w:tc>
      </w:tr>
      <w:tr w:rsidR="00B449D0" w14:paraId="28D6E314" w14:textId="77777777">
        <w:trPr>
          <w:cantSplit/>
        </w:trPr>
        <w:tc>
          <w:tcPr>
            <w:tcW w:w="2494" w:type="dxa"/>
            <w:tcBorders>
              <w:top w:val="single" w:sz="4" w:space="0" w:color="000000"/>
              <w:bottom w:val="single" w:sz="4" w:space="0" w:color="000000"/>
            </w:tcBorders>
          </w:tcPr>
          <w:p w14:paraId="6231DF19" w14:textId="77777777" w:rsidR="00B449D0" w:rsidRDefault="00175344">
            <w:pPr>
              <w:pStyle w:val="MeasureTableHeadingleftalignedwith2ptsspacing"/>
              <w:keepNext/>
            </w:pPr>
            <w:r>
              <w:t>Services Australia</w:t>
            </w:r>
          </w:p>
        </w:tc>
        <w:tc>
          <w:tcPr>
            <w:tcW w:w="1043" w:type="dxa"/>
            <w:tcBorders>
              <w:top w:val="single" w:sz="4" w:space="0" w:color="000000"/>
              <w:bottom w:val="single" w:sz="4" w:space="0" w:color="000000"/>
            </w:tcBorders>
          </w:tcPr>
          <w:p w14:paraId="2E48BEB0" w14:textId="6DD480F1"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7C84266" w14:textId="77777777" w:rsidR="00B449D0" w:rsidRDefault="00175344">
            <w:pPr>
              <w:pStyle w:val="MeasureTableDataRightAlignedwith2ptsspacing"/>
              <w:keepNext/>
            </w:pPr>
            <w:r>
              <w:t>..</w:t>
            </w:r>
          </w:p>
        </w:tc>
        <w:tc>
          <w:tcPr>
            <w:tcW w:w="1043" w:type="dxa"/>
            <w:tcBorders>
              <w:top w:val="single" w:sz="4" w:space="0" w:color="000000"/>
              <w:bottom w:val="single" w:sz="4" w:space="0" w:color="000000"/>
            </w:tcBorders>
          </w:tcPr>
          <w:p w14:paraId="18A82271" w14:textId="77777777" w:rsidR="00B449D0" w:rsidRDefault="00175344">
            <w:pPr>
              <w:pStyle w:val="MeasureTableDataRightAlignedwith2ptsspacing"/>
              <w:keepNext/>
            </w:pPr>
            <w:r>
              <w:t>..</w:t>
            </w:r>
          </w:p>
        </w:tc>
        <w:tc>
          <w:tcPr>
            <w:tcW w:w="1043" w:type="dxa"/>
            <w:tcBorders>
              <w:top w:val="single" w:sz="4" w:space="0" w:color="000000"/>
              <w:bottom w:val="single" w:sz="4" w:space="0" w:color="000000"/>
            </w:tcBorders>
          </w:tcPr>
          <w:p w14:paraId="053E054C" w14:textId="61662C5D"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75DE996" w14:textId="2B44A776" w:rsidR="00B449D0" w:rsidRDefault="00076D78">
            <w:pPr>
              <w:pStyle w:val="MeasureTableDataRightAlignedwith2ptsspacing"/>
              <w:keepNext/>
            </w:pPr>
            <w:r>
              <w:noBreakHyphen/>
            </w:r>
          </w:p>
        </w:tc>
      </w:tr>
      <w:tr w:rsidR="00B449D0" w14:paraId="3CD43E38" w14:textId="77777777">
        <w:trPr>
          <w:cantSplit/>
        </w:trPr>
        <w:tc>
          <w:tcPr>
            <w:tcW w:w="2494" w:type="dxa"/>
            <w:tcBorders>
              <w:top w:val="single" w:sz="4" w:space="0" w:color="000000"/>
              <w:bottom w:val="single" w:sz="4" w:space="0" w:color="000000"/>
            </w:tcBorders>
          </w:tcPr>
          <w:p w14:paraId="56D249F6"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5C6C3815" w14:textId="3A65C92F"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3EB0760A" w14:textId="77777777" w:rsidR="00B449D0" w:rsidRDefault="00175344">
            <w:pPr>
              <w:pStyle w:val="Totaldatarowrightaligned"/>
              <w:keepNext/>
            </w:pPr>
            <w:r>
              <w:t>10.0</w:t>
            </w:r>
          </w:p>
        </w:tc>
        <w:tc>
          <w:tcPr>
            <w:tcW w:w="1043" w:type="dxa"/>
            <w:tcBorders>
              <w:top w:val="single" w:sz="4" w:space="0" w:color="000000"/>
              <w:bottom w:val="single" w:sz="4" w:space="0" w:color="000000"/>
            </w:tcBorders>
          </w:tcPr>
          <w:p w14:paraId="12AD3381" w14:textId="77777777" w:rsidR="00B449D0" w:rsidRDefault="00175344">
            <w:pPr>
              <w:pStyle w:val="Totaldatarowrightaligned"/>
              <w:keepNext/>
            </w:pPr>
            <w:r>
              <w:t>13.7</w:t>
            </w:r>
          </w:p>
        </w:tc>
        <w:tc>
          <w:tcPr>
            <w:tcW w:w="1043" w:type="dxa"/>
            <w:tcBorders>
              <w:top w:val="single" w:sz="4" w:space="0" w:color="000000"/>
              <w:bottom w:val="single" w:sz="4" w:space="0" w:color="000000"/>
            </w:tcBorders>
          </w:tcPr>
          <w:p w14:paraId="199D957C" w14:textId="77777777" w:rsidR="00B449D0" w:rsidRDefault="00175344">
            <w:pPr>
              <w:pStyle w:val="Totaldatarowrightaligned"/>
              <w:keepNext/>
            </w:pPr>
            <w:r>
              <w:t>2.1</w:t>
            </w:r>
          </w:p>
        </w:tc>
        <w:tc>
          <w:tcPr>
            <w:tcW w:w="1043" w:type="dxa"/>
            <w:tcBorders>
              <w:top w:val="single" w:sz="4" w:space="0" w:color="000000"/>
              <w:bottom w:val="single" w:sz="4" w:space="0" w:color="000000"/>
            </w:tcBorders>
          </w:tcPr>
          <w:p w14:paraId="4D7C83AC" w14:textId="77777777" w:rsidR="00B449D0" w:rsidRDefault="00175344">
            <w:pPr>
              <w:pStyle w:val="Totaldatarowrightaligned"/>
              <w:keepNext/>
            </w:pPr>
            <w:r>
              <w:t>0.5</w:t>
            </w:r>
          </w:p>
        </w:tc>
      </w:tr>
    </w:tbl>
    <w:p w14:paraId="3563B0ED" w14:textId="77777777" w:rsidR="00B449D0" w:rsidRDefault="00B449D0" w:rsidP="00380A42">
      <w:pPr>
        <w:pStyle w:val="SingleParagraph0"/>
      </w:pPr>
    </w:p>
    <w:p w14:paraId="4C8751FB" w14:textId="77777777" w:rsidR="00B449D0" w:rsidRDefault="00175344">
      <w:pPr>
        <w:pStyle w:val="Normal2"/>
      </w:pPr>
      <w:r>
        <w:t>The Government will provide $26.3 million over four years from 2024–25 to continue support for cancer screening and specialist programs to improve cancer outcomes for Australians. Funding includes:</w:t>
      </w:r>
    </w:p>
    <w:p w14:paraId="7E60FADF" w14:textId="77777777" w:rsidR="00B449D0" w:rsidRDefault="00175344">
      <w:pPr>
        <w:pStyle w:val="Bullet"/>
      </w:pPr>
      <w:r>
        <w:t xml:space="preserve">$21.7 million over three years from 2024–25 to support access to bowel cancer screening kits for Australians between the age of 45 and 49 years old through the </w:t>
      </w:r>
      <w:r w:rsidRPr="00175344">
        <w:rPr>
          <w:i/>
        </w:rPr>
        <w:t>National Bowel Cancer Screening Program</w:t>
      </w:r>
    </w:p>
    <w:p w14:paraId="69854468" w14:textId="77777777" w:rsidR="00B449D0" w:rsidRDefault="00175344">
      <w:pPr>
        <w:pStyle w:val="Bullet"/>
      </w:pPr>
      <w:r>
        <w:lastRenderedPageBreak/>
        <w:t xml:space="preserve">$2.7 million over two years from 2025–26 to continue support of the </w:t>
      </w:r>
      <w:r w:rsidRPr="00175344">
        <w:rPr>
          <w:i/>
        </w:rPr>
        <w:t>Prostate Cancer Specialist Nurses Program</w:t>
      </w:r>
      <w:r>
        <w:t xml:space="preserve"> to ensure patients with prostate cancer continue to receive vital care and support</w:t>
      </w:r>
    </w:p>
    <w:p w14:paraId="389E2C50" w14:textId="77777777" w:rsidR="00B449D0" w:rsidRDefault="00175344">
      <w:pPr>
        <w:pStyle w:val="Bullet"/>
      </w:pPr>
      <w:r>
        <w:t>$1.9 million over four years from 2024–25 to Canteen to ensure continuation of high‑quality and personalised care to adolescents and young adults with cancer through the Youth Cancer Services Program.</w:t>
      </w:r>
    </w:p>
    <w:p w14:paraId="2716CD6F" w14:textId="77777777" w:rsidR="00B449D0" w:rsidRDefault="00175344">
      <w:pPr>
        <w:pStyle w:val="Normal2"/>
      </w:pPr>
      <w:r>
        <w:t xml:space="preserve">This measure builds on the 2024–25 Budget measure titled </w:t>
      </w:r>
      <w:r w:rsidRPr="00175344">
        <w:rPr>
          <w:i/>
        </w:rPr>
        <w:t>Improving Cancer Outcomes</w:t>
      </w:r>
      <w:r>
        <w:t>.</w:t>
      </w:r>
    </w:p>
    <w:p w14:paraId="30D3E308" w14:textId="77777777" w:rsidR="00B449D0" w:rsidRDefault="00175344">
      <w:pPr>
        <w:pStyle w:val="MeasureTitle"/>
      </w:pPr>
      <w:r>
        <w:t>Investment in Sports</w:t>
      </w:r>
    </w:p>
    <w:p w14:paraId="4BB97D3A"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43FC28C4" w14:textId="77777777" w:rsidTr="0022710B">
        <w:trPr>
          <w:cantSplit/>
        </w:trPr>
        <w:tc>
          <w:tcPr>
            <w:tcW w:w="2497" w:type="dxa"/>
            <w:tcBorders>
              <w:top w:val="single" w:sz="4" w:space="0" w:color="000000"/>
              <w:bottom w:val="single" w:sz="4" w:space="0" w:color="000000"/>
            </w:tcBorders>
          </w:tcPr>
          <w:p w14:paraId="2605F350" w14:textId="77777777" w:rsidR="00B449D0" w:rsidRDefault="00B449D0">
            <w:pPr>
              <w:pStyle w:val="MeasureTableYearHeadings"/>
              <w:keepNext/>
            </w:pPr>
          </w:p>
        </w:tc>
        <w:tc>
          <w:tcPr>
            <w:tcW w:w="1044" w:type="dxa"/>
            <w:tcBorders>
              <w:top w:val="single" w:sz="4" w:space="0" w:color="000000"/>
              <w:bottom w:val="single" w:sz="4" w:space="0" w:color="000000"/>
            </w:tcBorders>
          </w:tcPr>
          <w:p w14:paraId="4D54045A" w14:textId="589D89B1" w:rsidR="00B449D0" w:rsidRDefault="00175344">
            <w:pPr>
              <w:pStyle w:val="MeasureTableYearHeadings"/>
              <w:keepNext/>
            </w:pPr>
            <w:r>
              <w:t>2023</w:t>
            </w:r>
            <w:r w:rsidR="00076D78">
              <w:noBreakHyphen/>
            </w:r>
            <w:r>
              <w:t>24</w:t>
            </w:r>
          </w:p>
        </w:tc>
        <w:tc>
          <w:tcPr>
            <w:tcW w:w="1045" w:type="dxa"/>
            <w:tcBorders>
              <w:top w:val="single" w:sz="4" w:space="0" w:color="000000"/>
              <w:bottom w:val="single" w:sz="4" w:space="0" w:color="000000"/>
            </w:tcBorders>
          </w:tcPr>
          <w:p w14:paraId="2B37C4B1" w14:textId="6ADA17B6" w:rsidR="00B449D0" w:rsidRDefault="00175344">
            <w:pPr>
              <w:pStyle w:val="MeasureTableYearHeadings"/>
              <w:keepNext/>
            </w:pPr>
            <w:r>
              <w:t>2024</w:t>
            </w:r>
            <w:r w:rsidR="00076D78">
              <w:noBreakHyphen/>
            </w:r>
            <w:r>
              <w:t>25</w:t>
            </w:r>
          </w:p>
        </w:tc>
        <w:tc>
          <w:tcPr>
            <w:tcW w:w="1045" w:type="dxa"/>
            <w:tcBorders>
              <w:top w:val="single" w:sz="4" w:space="0" w:color="000000"/>
              <w:bottom w:val="single" w:sz="4" w:space="0" w:color="000000"/>
            </w:tcBorders>
          </w:tcPr>
          <w:p w14:paraId="15818588" w14:textId="026CEE86" w:rsidR="00B449D0" w:rsidRDefault="00175344">
            <w:pPr>
              <w:pStyle w:val="MeasureTableYearHeadings"/>
              <w:keepNext/>
            </w:pPr>
            <w:r>
              <w:t>2025</w:t>
            </w:r>
            <w:r w:rsidR="00076D78">
              <w:noBreakHyphen/>
            </w:r>
            <w:r>
              <w:t>26</w:t>
            </w:r>
          </w:p>
        </w:tc>
        <w:tc>
          <w:tcPr>
            <w:tcW w:w="1045" w:type="dxa"/>
            <w:tcBorders>
              <w:top w:val="single" w:sz="4" w:space="0" w:color="000000"/>
              <w:bottom w:val="single" w:sz="4" w:space="0" w:color="000000"/>
            </w:tcBorders>
          </w:tcPr>
          <w:p w14:paraId="24EC73F8" w14:textId="3B6399A0" w:rsidR="00B449D0" w:rsidRDefault="00175344">
            <w:pPr>
              <w:pStyle w:val="MeasureTableYearHeadings"/>
              <w:keepNext/>
            </w:pPr>
            <w:r>
              <w:t>2026</w:t>
            </w:r>
            <w:r w:rsidR="00076D78">
              <w:noBreakHyphen/>
            </w:r>
            <w:r>
              <w:t>27</w:t>
            </w:r>
          </w:p>
        </w:tc>
        <w:tc>
          <w:tcPr>
            <w:tcW w:w="1045" w:type="dxa"/>
            <w:tcBorders>
              <w:top w:val="single" w:sz="4" w:space="0" w:color="000000"/>
              <w:bottom w:val="single" w:sz="4" w:space="0" w:color="000000"/>
            </w:tcBorders>
          </w:tcPr>
          <w:p w14:paraId="1E29C876" w14:textId="3E2C677D" w:rsidR="00B449D0" w:rsidRDefault="00175344">
            <w:pPr>
              <w:pStyle w:val="MeasureTableYearHeadings"/>
              <w:keepNext/>
            </w:pPr>
            <w:r>
              <w:t>2027</w:t>
            </w:r>
            <w:r w:rsidR="00076D78">
              <w:noBreakHyphen/>
            </w:r>
            <w:r>
              <w:t>28</w:t>
            </w:r>
          </w:p>
        </w:tc>
      </w:tr>
      <w:tr w:rsidR="00B449D0" w14:paraId="71F0D74B" w14:textId="77777777" w:rsidTr="0022710B">
        <w:trPr>
          <w:cantSplit/>
        </w:trPr>
        <w:tc>
          <w:tcPr>
            <w:tcW w:w="2497" w:type="dxa"/>
            <w:tcBorders>
              <w:top w:val="single" w:sz="4" w:space="0" w:color="000000"/>
              <w:bottom w:val="single" w:sz="4" w:space="0" w:color="000000"/>
            </w:tcBorders>
          </w:tcPr>
          <w:p w14:paraId="3BB4AF23" w14:textId="77777777" w:rsidR="00B449D0" w:rsidRDefault="00175344">
            <w:pPr>
              <w:pStyle w:val="MeasureTableHeadingleftalignedwith2ptsspacing"/>
              <w:keepNext/>
            </w:pPr>
            <w:r>
              <w:t>Department of the Treasury</w:t>
            </w:r>
          </w:p>
        </w:tc>
        <w:tc>
          <w:tcPr>
            <w:tcW w:w="1044" w:type="dxa"/>
            <w:tcBorders>
              <w:top w:val="single" w:sz="4" w:space="0" w:color="000000"/>
              <w:bottom w:val="single" w:sz="4" w:space="0" w:color="000000"/>
            </w:tcBorders>
          </w:tcPr>
          <w:p w14:paraId="1DAF9394" w14:textId="19B1D09C" w:rsidR="00B449D0" w:rsidRDefault="00076D78">
            <w:pPr>
              <w:pStyle w:val="MeasureTableDataRightAlignedwith2ptsspacing"/>
              <w:keepNext/>
            </w:pPr>
            <w:r>
              <w:noBreakHyphen/>
            </w:r>
          </w:p>
        </w:tc>
        <w:tc>
          <w:tcPr>
            <w:tcW w:w="1045" w:type="dxa"/>
            <w:tcBorders>
              <w:top w:val="single" w:sz="4" w:space="0" w:color="000000"/>
              <w:bottom w:val="single" w:sz="4" w:space="0" w:color="000000"/>
            </w:tcBorders>
          </w:tcPr>
          <w:p w14:paraId="73BD61A4" w14:textId="77777777" w:rsidR="00B449D0" w:rsidRDefault="00175344">
            <w:pPr>
              <w:pStyle w:val="MeasureTableDataRightAlignedwith2ptsspacing"/>
              <w:keepNext/>
            </w:pPr>
            <w:r>
              <w:t>0.8</w:t>
            </w:r>
          </w:p>
        </w:tc>
        <w:tc>
          <w:tcPr>
            <w:tcW w:w="1045" w:type="dxa"/>
            <w:tcBorders>
              <w:top w:val="single" w:sz="4" w:space="0" w:color="000000"/>
              <w:bottom w:val="single" w:sz="4" w:space="0" w:color="000000"/>
            </w:tcBorders>
          </w:tcPr>
          <w:p w14:paraId="4357B85B" w14:textId="77777777" w:rsidR="00B449D0" w:rsidRDefault="00175344">
            <w:pPr>
              <w:pStyle w:val="MeasureTableDataRightAlignedwith2ptsspacing"/>
              <w:keepNext/>
            </w:pPr>
            <w:r>
              <w:t>0.4</w:t>
            </w:r>
          </w:p>
        </w:tc>
        <w:tc>
          <w:tcPr>
            <w:tcW w:w="1045" w:type="dxa"/>
            <w:tcBorders>
              <w:top w:val="single" w:sz="4" w:space="0" w:color="000000"/>
              <w:bottom w:val="single" w:sz="4" w:space="0" w:color="000000"/>
            </w:tcBorders>
          </w:tcPr>
          <w:p w14:paraId="17484491" w14:textId="79E122F8" w:rsidR="00B449D0" w:rsidRDefault="00076D78">
            <w:pPr>
              <w:pStyle w:val="MeasureTableDataRightAlignedwith2ptsspacing"/>
              <w:keepNext/>
            </w:pPr>
            <w:r>
              <w:noBreakHyphen/>
            </w:r>
          </w:p>
        </w:tc>
        <w:tc>
          <w:tcPr>
            <w:tcW w:w="1045" w:type="dxa"/>
            <w:tcBorders>
              <w:top w:val="single" w:sz="4" w:space="0" w:color="000000"/>
              <w:bottom w:val="single" w:sz="4" w:space="0" w:color="000000"/>
            </w:tcBorders>
          </w:tcPr>
          <w:p w14:paraId="4A7B296B" w14:textId="30D352BE" w:rsidR="00B449D0" w:rsidRDefault="00076D78">
            <w:pPr>
              <w:pStyle w:val="MeasureTableDataRightAlignedwith2ptsspacing"/>
              <w:keepNext/>
            </w:pPr>
            <w:r>
              <w:noBreakHyphen/>
            </w:r>
          </w:p>
        </w:tc>
      </w:tr>
      <w:tr w:rsidR="00B449D0" w14:paraId="7D21290B" w14:textId="77777777" w:rsidTr="0022710B">
        <w:trPr>
          <w:cantSplit/>
        </w:trPr>
        <w:tc>
          <w:tcPr>
            <w:tcW w:w="2497" w:type="dxa"/>
            <w:tcBorders>
              <w:top w:val="single" w:sz="4" w:space="0" w:color="000000"/>
              <w:bottom w:val="single" w:sz="4" w:space="0" w:color="000000"/>
            </w:tcBorders>
          </w:tcPr>
          <w:p w14:paraId="3F8047E4" w14:textId="77777777" w:rsidR="00B449D0" w:rsidRDefault="00175344">
            <w:pPr>
              <w:pStyle w:val="MeasureTableHeadingleftalignedwith2ptsspacing"/>
              <w:keepNext/>
            </w:pPr>
            <w:r>
              <w:t>Australian Sports Commission</w:t>
            </w:r>
          </w:p>
        </w:tc>
        <w:tc>
          <w:tcPr>
            <w:tcW w:w="1044" w:type="dxa"/>
            <w:tcBorders>
              <w:top w:val="single" w:sz="4" w:space="0" w:color="000000"/>
              <w:bottom w:val="single" w:sz="4" w:space="0" w:color="000000"/>
            </w:tcBorders>
          </w:tcPr>
          <w:p w14:paraId="3752C22E" w14:textId="20345A18" w:rsidR="00B449D0" w:rsidRDefault="00076D78">
            <w:pPr>
              <w:pStyle w:val="MeasureTableDataRightAlignedwith2ptsspacing"/>
              <w:keepNext/>
            </w:pPr>
            <w:r>
              <w:noBreakHyphen/>
            </w:r>
          </w:p>
        </w:tc>
        <w:tc>
          <w:tcPr>
            <w:tcW w:w="1045" w:type="dxa"/>
            <w:tcBorders>
              <w:top w:val="single" w:sz="4" w:space="0" w:color="000000"/>
              <w:bottom w:val="single" w:sz="4" w:space="0" w:color="000000"/>
            </w:tcBorders>
          </w:tcPr>
          <w:p w14:paraId="7CF03C11" w14:textId="77777777" w:rsidR="00B449D0" w:rsidRDefault="00175344">
            <w:pPr>
              <w:pStyle w:val="MeasureTableDataRightAlignedwith2ptsspacing"/>
              <w:keepNext/>
            </w:pPr>
            <w:r>
              <w:t>0.6</w:t>
            </w:r>
          </w:p>
        </w:tc>
        <w:tc>
          <w:tcPr>
            <w:tcW w:w="1045" w:type="dxa"/>
            <w:tcBorders>
              <w:top w:val="single" w:sz="4" w:space="0" w:color="000000"/>
              <w:bottom w:val="single" w:sz="4" w:space="0" w:color="000000"/>
            </w:tcBorders>
          </w:tcPr>
          <w:p w14:paraId="273D64D1" w14:textId="77777777" w:rsidR="00B449D0" w:rsidRDefault="00175344">
            <w:pPr>
              <w:pStyle w:val="MeasureTableDataRightAlignedwith2ptsspacing"/>
              <w:keepNext/>
            </w:pPr>
            <w:r>
              <w:t>0.6</w:t>
            </w:r>
          </w:p>
        </w:tc>
        <w:tc>
          <w:tcPr>
            <w:tcW w:w="1045" w:type="dxa"/>
            <w:tcBorders>
              <w:top w:val="single" w:sz="4" w:space="0" w:color="000000"/>
              <w:bottom w:val="single" w:sz="4" w:space="0" w:color="000000"/>
            </w:tcBorders>
          </w:tcPr>
          <w:p w14:paraId="79517D84" w14:textId="70EE74AB" w:rsidR="00B449D0" w:rsidRDefault="00076D78">
            <w:pPr>
              <w:pStyle w:val="MeasureTableDataRightAlignedwith2ptsspacing"/>
              <w:keepNext/>
            </w:pPr>
            <w:r>
              <w:noBreakHyphen/>
            </w:r>
          </w:p>
        </w:tc>
        <w:tc>
          <w:tcPr>
            <w:tcW w:w="1045" w:type="dxa"/>
            <w:tcBorders>
              <w:top w:val="single" w:sz="4" w:space="0" w:color="000000"/>
              <w:bottom w:val="single" w:sz="4" w:space="0" w:color="000000"/>
            </w:tcBorders>
          </w:tcPr>
          <w:p w14:paraId="464917C1" w14:textId="76DE148C" w:rsidR="00B449D0" w:rsidRDefault="00076D78">
            <w:pPr>
              <w:pStyle w:val="MeasureTableDataRightAlignedwith2ptsspacing"/>
              <w:keepNext/>
            </w:pPr>
            <w:r>
              <w:noBreakHyphen/>
            </w:r>
          </w:p>
        </w:tc>
      </w:tr>
      <w:tr w:rsidR="00B449D0" w14:paraId="10052F25" w14:textId="77777777" w:rsidTr="0022710B">
        <w:trPr>
          <w:cantSplit/>
        </w:trPr>
        <w:tc>
          <w:tcPr>
            <w:tcW w:w="2497" w:type="dxa"/>
            <w:tcBorders>
              <w:top w:val="single" w:sz="4" w:space="0" w:color="000000"/>
              <w:bottom w:val="single" w:sz="4" w:space="0" w:color="000000"/>
            </w:tcBorders>
          </w:tcPr>
          <w:p w14:paraId="1A431343" w14:textId="77777777" w:rsidR="00B449D0" w:rsidRDefault="00175344">
            <w:pPr>
              <w:pStyle w:val="MeasureTableHeadingleftalignedwith2ptsspacing"/>
              <w:keepNext/>
            </w:pPr>
            <w:r>
              <w:t>Department of Health and Aged Care</w:t>
            </w:r>
          </w:p>
        </w:tc>
        <w:tc>
          <w:tcPr>
            <w:tcW w:w="1044" w:type="dxa"/>
            <w:tcBorders>
              <w:top w:val="single" w:sz="4" w:space="0" w:color="000000"/>
              <w:bottom w:val="single" w:sz="4" w:space="0" w:color="000000"/>
            </w:tcBorders>
          </w:tcPr>
          <w:p w14:paraId="1A46A92A" w14:textId="37C52F62" w:rsidR="00B449D0" w:rsidRDefault="00076D78">
            <w:pPr>
              <w:pStyle w:val="MeasureTableDataRightAlignedwith2ptsspacing"/>
              <w:keepNext/>
            </w:pPr>
            <w:r>
              <w:noBreakHyphen/>
            </w:r>
          </w:p>
        </w:tc>
        <w:tc>
          <w:tcPr>
            <w:tcW w:w="1045" w:type="dxa"/>
            <w:tcBorders>
              <w:top w:val="single" w:sz="4" w:space="0" w:color="000000"/>
              <w:bottom w:val="single" w:sz="4" w:space="0" w:color="000000"/>
            </w:tcBorders>
          </w:tcPr>
          <w:p w14:paraId="23D47019" w14:textId="79020C55" w:rsidR="00B449D0" w:rsidRDefault="00076D78">
            <w:pPr>
              <w:pStyle w:val="MeasureTableDataRightAlignedwith2ptsspacing"/>
              <w:keepNext/>
            </w:pPr>
            <w:r>
              <w:noBreakHyphen/>
            </w:r>
            <w:r w:rsidR="00175344">
              <w:t>0.8</w:t>
            </w:r>
          </w:p>
        </w:tc>
        <w:tc>
          <w:tcPr>
            <w:tcW w:w="1045" w:type="dxa"/>
            <w:tcBorders>
              <w:top w:val="single" w:sz="4" w:space="0" w:color="000000"/>
              <w:bottom w:val="single" w:sz="4" w:space="0" w:color="000000"/>
            </w:tcBorders>
          </w:tcPr>
          <w:p w14:paraId="27DD3FA2" w14:textId="77777777" w:rsidR="00B449D0" w:rsidRDefault="00175344">
            <w:pPr>
              <w:pStyle w:val="MeasureTableDataRightAlignedwith2ptsspacing"/>
              <w:keepNext/>
            </w:pPr>
            <w:r>
              <w:t>2.5</w:t>
            </w:r>
          </w:p>
        </w:tc>
        <w:tc>
          <w:tcPr>
            <w:tcW w:w="1045" w:type="dxa"/>
            <w:tcBorders>
              <w:top w:val="single" w:sz="4" w:space="0" w:color="000000"/>
              <w:bottom w:val="single" w:sz="4" w:space="0" w:color="000000"/>
            </w:tcBorders>
          </w:tcPr>
          <w:p w14:paraId="6DDEE771" w14:textId="3D03826A" w:rsidR="00B449D0" w:rsidRDefault="00076D78">
            <w:pPr>
              <w:pStyle w:val="MeasureTableDataRightAlignedwith2ptsspacing"/>
              <w:keepNext/>
            </w:pPr>
            <w:r>
              <w:noBreakHyphen/>
            </w:r>
          </w:p>
        </w:tc>
        <w:tc>
          <w:tcPr>
            <w:tcW w:w="1045" w:type="dxa"/>
            <w:tcBorders>
              <w:top w:val="single" w:sz="4" w:space="0" w:color="000000"/>
              <w:bottom w:val="single" w:sz="4" w:space="0" w:color="000000"/>
            </w:tcBorders>
          </w:tcPr>
          <w:p w14:paraId="1B61BFBB" w14:textId="373B8E57" w:rsidR="00B449D0" w:rsidRDefault="00076D78">
            <w:pPr>
              <w:pStyle w:val="MeasureTableDataRightAlignedwith2ptsspacing"/>
              <w:keepNext/>
            </w:pPr>
            <w:r>
              <w:noBreakHyphen/>
            </w:r>
          </w:p>
        </w:tc>
      </w:tr>
      <w:tr w:rsidR="00B449D0" w14:paraId="10EEC7CC" w14:textId="77777777" w:rsidTr="0022710B">
        <w:trPr>
          <w:cantSplit/>
        </w:trPr>
        <w:tc>
          <w:tcPr>
            <w:tcW w:w="2497" w:type="dxa"/>
            <w:tcBorders>
              <w:top w:val="single" w:sz="4" w:space="0" w:color="000000"/>
              <w:bottom w:val="single" w:sz="4" w:space="0" w:color="000000"/>
            </w:tcBorders>
          </w:tcPr>
          <w:p w14:paraId="31EE597C" w14:textId="77777777" w:rsidR="00B449D0" w:rsidRDefault="00175344">
            <w:pPr>
              <w:pStyle w:val="Totalrowleftaligned"/>
              <w:keepNext/>
            </w:pPr>
            <w:r>
              <w:t>Total – Payments</w:t>
            </w:r>
          </w:p>
        </w:tc>
        <w:tc>
          <w:tcPr>
            <w:tcW w:w="1044" w:type="dxa"/>
            <w:tcBorders>
              <w:top w:val="single" w:sz="4" w:space="0" w:color="000000"/>
              <w:bottom w:val="single" w:sz="4" w:space="0" w:color="000000"/>
            </w:tcBorders>
          </w:tcPr>
          <w:p w14:paraId="1FEBC8FC" w14:textId="0EF5E873" w:rsidR="00B449D0" w:rsidRDefault="00076D78">
            <w:pPr>
              <w:pStyle w:val="Totaldatarowrightaligned"/>
              <w:keepNext/>
            </w:pPr>
            <w:r>
              <w:noBreakHyphen/>
            </w:r>
          </w:p>
        </w:tc>
        <w:tc>
          <w:tcPr>
            <w:tcW w:w="1045" w:type="dxa"/>
            <w:tcBorders>
              <w:top w:val="single" w:sz="4" w:space="0" w:color="000000"/>
              <w:bottom w:val="single" w:sz="4" w:space="0" w:color="000000"/>
            </w:tcBorders>
          </w:tcPr>
          <w:p w14:paraId="338A2458" w14:textId="77777777" w:rsidR="00B449D0" w:rsidRDefault="00175344">
            <w:pPr>
              <w:pStyle w:val="Totaldatarowrightaligned"/>
              <w:keepNext/>
            </w:pPr>
            <w:r>
              <w:t>0.6</w:t>
            </w:r>
          </w:p>
        </w:tc>
        <w:tc>
          <w:tcPr>
            <w:tcW w:w="1045" w:type="dxa"/>
            <w:tcBorders>
              <w:top w:val="single" w:sz="4" w:space="0" w:color="000000"/>
              <w:bottom w:val="single" w:sz="4" w:space="0" w:color="000000"/>
            </w:tcBorders>
          </w:tcPr>
          <w:p w14:paraId="55A111AB" w14:textId="77777777" w:rsidR="00B449D0" w:rsidRDefault="00175344">
            <w:pPr>
              <w:pStyle w:val="Totaldatarowrightaligned"/>
              <w:keepNext/>
            </w:pPr>
            <w:r>
              <w:t>3.4</w:t>
            </w:r>
          </w:p>
        </w:tc>
        <w:tc>
          <w:tcPr>
            <w:tcW w:w="1045" w:type="dxa"/>
            <w:tcBorders>
              <w:top w:val="single" w:sz="4" w:space="0" w:color="000000"/>
              <w:bottom w:val="single" w:sz="4" w:space="0" w:color="000000"/>
            </w:tcBorders>
          </w:tcPr>
          <w:p w14:paraId="1F2FB4D3" w14:textId="48D74C48" w:rsidR="00B449D0" w:rsidRDefault="00076D78">
            <w:pPr>
              <w:pStyle w:val="Totaldatarowrightaligned"/>
              <w:keepNext/>
            </w:pPr>
            <w:r>
              <w:noBreakHyphen/>
            </w:r>
          </w:p>
        </w:tc>
        <w:tc>
          <w:tcPr>
            <w:tcW w:w="1045" w:type="dxa"/>
            <w:tcBorders>
              <w:top w:val="single" w:sz="4" w:space="0" w:color="000000"/>
              <w:bottom w:val="single" w:sz="4" w:space="0" w:color="000000"/>
            </w:tcBorders>
          </w:tcPr>
          <w:p w14:paraId="0438C51E" w14:textId="4C757311" w:rsidR="00B449D0" w:rsidRDefault="00076D78">
            <w:pPr>
              <w:pStyle w:val="Totaldatarowrightaligned"/>
              <w:keepNext/>
            </w:pPr>
            <w:r>
              <w:noBreakHyphen/>
            </w:r>
          </w:p>
        </w:tc>
      </w:tr>
    </w:tbl>
    <w:p w14:paraId="3373A3EB" w14:textId="77777777" w:rsidR="00B449D0" w:rsidRDefault="00B449D0" w:rsidP="00380A42">
      <w:pPr>
        <w:pStyle w:val="SingleParagraph0"/>
      </w:pPr>
    </w:p>
    <w:p w14:paraId="76643ACC" w14:textId="77777777" w:rsidR="00B449D0" w:rsidRDefault="00175344">
      <w:pPr>
        <w:pStyle w:val="Normal2"/>
      </w:pPr>
      <w:r>
        <w:t>The Government will provide $325.8 million over two years from 2024–25 to support major sporting events, high‑performance sport programs, sport participation, and investment in sporting infrastructure, including:</w:t>
      </w:r>
    </w:p>
    <w:p w14:paraId="7E30886F" w14:textId="77777777" w:rsidR="00B449D0" w:rsidRDefault="00175344">
      <w:pPr>
        <w:pStyle w:val="Bullet"/>
      </w:pPr>
      <w:r>
        <w:t>$67.3 million over two years from 2024–25 to establish a new Direct Investment Fund, providing targeted funding to National Sporting Organisations (NSOs) to support high performance prior to the Brisbane 2032 Olympic and Paralympic Games</w:t>
      </w:r>
    </w:p>
    <w:p w14:paraId="26EF12EC" w14:textId="77777777" w:rsidR="00B449D0" w:rsidRDefault="00175344">
      <w:pPr>
        <w:pStyle w:val="Bullet"/>
      </w:pPr>
      <w:r>
        <w:t>$54.9 million over two years from 2024–25 to establish a new Paralympic Investment Fund to uplift and address systematic and structural barriers to performance, including improved classification opportunities, access to fit‑for‑purpose training environments and specialised coaching and performance support</w:t>
      </w:r>
    </w:p>
    <w:p w14:paraId="3CB5A04E" w14:textId="77777777" w:rsidR="00B449D0" w:rsidRDefault="00175344">
      <w:pPr>
        <w:pStyle w:val="Bullet"/>
      </w:pPr>
      <w:r>
        <w:t xml:space="preserve">$51.2 million over two years from 2024–25 to extend the </w:t>
      </w:r>
      <w:r w:rsidRPr="00175344">
        <w:rPr>
          <w:i/>
        </w:rPr>
        <w:t>High‑Performance Grants Program</w:t>
      </w:r>
      <w:r>
        <w:t xml:space="preserve"> to assist NSOs and National Sporting Organisations for people with a Disability (NSODs) which will support over 2,000 athletes and staff of Olympic and Paralympic sports</w:t>
      </w:r>
    </w:p>
    <w:p w14:paraId="1ED3AF7F" w14:textId="77777777" w:rsidR="00B449D0" w:rsidRDefault="00175344">
      <w:pPr>
        <w:pStyle w:val="Bullet"/>
      </w:pPr>
      <w:r>
        <w:t>$40.5 million over two years from 2024–25 to continue the existing Olympic and Paralympic Preparation Fund, providing financial assistance for eligible NSOs and NSODs to support the delivery of key high‑performance initiatives and projects, enhancing the performance of Australian athletes in key international sporting events</w:t>
      </w:r>
    </w:p>
    <w:p w14:paraId="3A0068D7" w14:textId="7919A0C8" w:rsidR="00B449D0" w:rsidRDefault="00175344">
      <w:pPr>
        <w:pStyle w:val="Bullet"/>
      </w:pPr>
      <w:r>
        <w:t xml:space="preserve">$37.0 million over two years from 2024–25 to extend the </w:t>
      </w:r>
      <w:r w:rsidRPr="00175344">
        <w:rPr>
          <w:i/>
        </w:rPr>
        <w:t>Performance Pathways Grants Program</w:t>
      </w:r>
      <w:r>
        <w:t xml:space="preserve"> to assist in maintaining support for athletes</w:t>
      </w:r>
      <w:r w:rsidR="00076D78">
        <w:t>’</w:t>
      </w:r>
      <w:r>
        <w:t xml:space="preserve"> wellbeing, including the delivery of mental health initiatives, community engagement, professional development services and representation at showcase events</w:t>
      </w:r>
    </w:p>
    <w:p w14:paraId="3CC2C172" w14:textId="77777777" w:rsidR="00B449D0" w:rsidRDefault="00175344">
      <w:pPr>
        <w:pStyle w:val="Bullet"/>
      </w:pPr>
      <w:r>
        <w:t>$20.0 million in 2024–25 as a co‑contribution with the New South Wales Government to work with the Australian Rugby League Commission and the Inner West Council to upgrade and restore the Leichhardt Oval in Sydney</w:t>
      </w:r>
    </w:p>
    <w:p w14:paraId="1683F4E1" w14:textId="77777777" w:rsidR="00B449D0" w:rsidRDefault="00175344">
      <w:pPr>
        <w:pStyle w:val="Bullet"/>
      </w:pPr>
      <w:r>
        <w:lastRenderedPageBreak/>
        <w:t xml:space="preserve">$17.6 million over two years from 2024–25 to extend the </w:t>
      </w:r>
      <w:r w:rsidRPr="00175344">
        <w:rPr>
          <w:i/>
        </w:rPr>
        <w:t>Direct Athletes Investment Support Grants Program</w:t>
      </w:r>
      <w:r>
        <w:t xml:space="preserve"> which provides financial support to athletes to enable them to focus on training and competitions to achieve the strategy targets in Olympic, Paralympic and Commonwealth Games sports</w:t>
      </w:r>
    </w:p>
    <w:p w14:paraId="5F5613A2" w14:textId="3AAA83BD" w:rsidR="00B449D0" w:rsidRDefault="00175344">
      <w:pPr>
        <w:pStyle w:val="Bullet"/>
      </w:pPr>
      <w:r>
        <w:t>$15.0 million over two years from 2024–25 to Football Australia for the delivery of the Women</w:t>
      </w:r>
      <w:r w:rsidR="00076D78">
        <w:t>’</w:t>
      </w:r>
      <w:r>
        <w:t>s Asian Cup 2026 to be held in Australia</w:t>
      </w:r>
    </w:p>
    <w:p w14:paraId="043C1B07" w14:textId="77777777" w:rsidR="00B449D0" w:rsidRDefault="00175344">
      <w:pPr>
        <w:pStyle w:val="Bullet"/>
      </w:pPr>
      <w:r>
        <w:t>$14.9 million over two years from 2024–25 to Australian Sports Commission to manage sport grants programs</w:t>
      </w:r>
    </w:p>
    <w:p w14:paraId="10E5819C" w14:textId="4490FE8B" w:rsidR="00B449D0" w:rsidRDefault="00175344">
      <w:pPr>
        <w:pStyle w:val="Bullet"/>
      </w:pPr>
      <w:r>
        <w:t>$1.7 million in 2025–26 to continue The Big Issue</w:t>
      </w:r>
      <w:r w:rsidR="00076D78">
        <w:t>’</w:t>
      </w:r>
      <w:r>
        <w:t>s Community Street Soccer program</w:t>
      </w:r>
    </w:p>
    <w:p w14:paraId="4FA9FBA3" w14:textId="77777777" w:rsidR="00B449D0" w:rsidRDefault="00175344">
      <w:pPr>
        <w:pStyle w:val="Bullet"/>
      </w:pPr>
      <w:r>
        <w:t>$1.2 million over two years from 2024–25 as a co‑contribution with the New South Wales Government for the delivery of the 2025 International Canoe Federation Canoe Slalom World Championships to be held in Sydney</w:t>
      </w:r>
    </w:p>
    <w:p w14:paraId="47277E5F" w14:textId="77777777" w:rsidR="00B449D0" w:rsidRDefault="00175344">
      <w:pPr>
        <w:pStyle w:val="Bullet"/>
      </w:pPr>
      <w:r>
        <w:t>$1.2 million in 2025–26 to the Indigenous Marathon Foundation for the Indigenous Marathon Project which supports young First Nations people to train and participate in marathon events</w:t>
      </w:r>
    </w:p>
    <w:p w14:paraId="5127DA67" w14:textId="77777777" w:rsidR="00B449D0" w:rsidRDefault="00175344">
      <w:pPr>
        <w:pStyle w:val="Bullet"/>
      </w:pPr>
      <w:r>
        <w:t>$1.2 million over two years from 2024–25 to support the delivery of VIRTUS World Athletic Championships to be held in the Gold Coast and the 2025 World Boccia Challenger to be held in Canberra</w:t>
      </w:r>
    </w:p>
    <w:p w14:paraId="00F27DBC" w14:textId="77777777" w:rsidR="00B449D0" w:rsidRDefault="00175344">
      <w:pPr>
        <w:pStyle w:val="Bullet"/>
      </w:pPr>
      <w:r>
        <w:t>$1.1 million over two years from 2024–25 to continue supporting First Nations community participation in AFL training and competitions across the Northern Territory</w:t>
      </w:r>
    </w:p>
    <w:p w14:paraId="71CE4061" w14:textId="77777777" w:rsidR="00B449D0" w:rsidRDefault="00175344">
      <w:pPr>
        <w:pStyle w:val="Bullet"/>
      </w:pPr>
      <w:r>
        <w:t>$1.0 million in 2024–25 to the Australian Sports Commission to provide medal incentive payments to Australian Paralympians who won medals at the Paris 2024 Paralympic Games.</w:t>
      </w:r>
    </w:p>
    <w:p w14:paraId="1088B417" w14:textId="77777777" w:rsidR="00B449D0" w:rsidRDefault="00175344">
      <w:pPr>
        <w:pStyle w:val="Normal2"/>
      </w:pPr>
      <w:r>
        <w:t>The Government has also committed to provide funding to Paralympics Australia for incentive payments to athletes who win medals at the Milano Cortina 2026 Winter Paralympic Games.</w:t>
      </w:r>
    </w:p>
    <w:p w14:paraId="6771961E" w14:textId="77777777" w:rsidR="00B449D0" w:rsidRDefault="00175344">
      <w:pPr>
        <w:pStyle w:val="Normal2"/>
      </w:pPr>
      <w:r w:rsidRPr="7F762F0D">
        <w:rPr>
          <w:lang w:val="en-US"/>
        </w:rPr>
        <w:t>The cost of this measure will be partially met from within the existing resourcing of the Department of Health and Aged Care.</w:t>
      </w:r>
    </w:p>
    <w:p w14:paraId="0B98ECD8" w14:textId="77777777" w:rsidR="00B449D0" w:rsidRDefault="00175344">
      <w:pPr>
        <w:pStyle w:val="Normal2"/>
      </w:pPr>
      <w:r>
        <w:t>The Treasury manages Commonwealth payments to the states and territories.</w:t>
      </w:r>
    </w:p>
    <w:p w14:paraId="04C2DC2F" w14:textId="77777777" w:rsidR="00B449D0" w:rsidRDefault="00175344">
      <w:pPr>
        <w:pStyle w:val="Normal2"/>
      </w:pPr>
      <w:r>
        <w:t>The Government has already provided partial funding for this measure.</w:t>
      </w:r>
    </w:p>
    <w:p w14:paraId="4285B604" w14:textId="77777777" w:rsidR="00B449D0" w:rsidRDefault="00175344">
      <w:pPr>
        <w:pStyle w:val="MeasureTitle"/>
      </w:pPr>
      <w:r>
        <w:t>Northern Heart Centre in Launceston</w:t>
      </w:r>
    </w:p>
    <w:p w14:paraId="1EA4811C"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67D2C00E" w14:textId="77777777">
        <w:trPr>
          <w:cantSplit/>
        </w:trPr>
        <w:tc>
          <w:tcPr>
            <w:tcW w:w="2494" w:type="dxa"/>
            <w:tcBorders>
              <w:top w:val="single" w:sz="4" w:space="0" w:color="000000"/>
              <w:bottom w:val="single" w:sz="4" w:space="0" w:color="000000"/>
            </w:tcBorders>
          </w:tcPr>
          <w:p w14:paraId="27F9D7DB" w14:textId="77777777" w:rsidR="00B449D0" w:rsidRDefault="00B449D0">
            <w:pPr>
              <w:pStyle w:val="MeasureTableYearHeadings"/>
              <w:keepNext/>
            </w:pPr>
          </w:p>
        </w:tc>
        <w:tc>
          <w:tcPr>
            <w:tcW w:w="1043" w:type="dxa"/>
            <w:tcBorders>
              <w:top w:val="single" w:sz="4" w:space="0" w:color="000000"/>
              <w:bottom w:val="single" w:sz="4" w:space="0" w:color="000000"/>
            </w:tcBorders>
          </w:tcPr>
          <w:p w14:paraId="36DAA761" w14:textId="4665E76A"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7D53FE44" w14:textId="13CEC9B2"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1A4E623A" w14:textId="00D696F1"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4C1B17B9" w14:textId="3A2C0FAA"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4669E714" w14:textId="0D09CD63" w:rsidR="00B449D0" w:rsidRDefault="00175344">
            <w:pPr>
              <w:pStyle w:val="MeasureTableYearHeadings"/>
              <w:keepNext/>
            </w:pPr>
            <w:r>
              <w:t>2027</w:t>
            </w:r>
            <w:r w:rsidR="00076D78">
              <w:noBreakHyphen/>
            </w:r>
            <w:r>
              <w:t>28</w:t>
            </w:r>
          </w:p>
        </w:tc>
      </w:tr>
      <w:tr w:rsidR="00B449D0" w14:paraId="73F01EC5" w14:textId="77777777">
        <w:trPr>
          <w:cantSplit/>
        </w:trPr>
        <w:tc>
          <w:tcPr>
            <w:tcW w:w="2494" w:type="dxa"/>
            <w:tcBorders>
              <w:top w:val="single" w:sz="4" w:space="0" w:color="000000"/>
              <w:bottom w:val="single" w:sz="4" w:space="0" w:color="000000"/>
            </w:tcBorders>
          </w:tcPr>
          <w:p w14:paraId="1B1ED877" w14:textId="77777777" w:rsidR="00B449D0" w:rsidRDefault="00175344">
            <w:pPr>
              <w:pStyle w:val="MeasureTableHeadingleftalignedwith2ptsspacing"/>
              <w:keepNext/>
            </w:pPr>
            <w:r>
              <w:t>Department of the Treasury</w:t>
            </w:r>
          </w:p>
        </w:tc>
        <w:tc>
          <w:tcPr>
            <w:tcW w:w="1043" w:type="dxa"/>
            <w:tcBorders>
              <w:top w:val="single" w:sz="4" w:space="0" w:color="000000"/>
              <w:bottom w:val="single" w:sz="4" w:space="0" w:color="000000"/>
            </w:tcBorders>
          </w:tcPr>
          <w:p w14:paraId="09631EFB" w14:textId="770C5462"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AA83D2E" w14:textId="77777777" w:rsidR="00B449D0" w:rsidRDefault="00175344">
            <w:pPr>
              <w:pStyle w:val="MeasureTableDataRightAlignedwith2ptsspacing"/>
              <w:keepNext/>
            </w:pPr>
            <w:r>
              <w:t>22.0</w:t>
            </w:r>
          </w:p>
        </w:tc>
        <w:tc>
          <w:tcPr>
            <w:tcW w:w="1043" w:type="dxa"/>
            <w:tcBorders>
              <w:top w:val="single" w:sz="4" w:space="0" w:color="000000"/>
              <w:bottom w:val="single" w:sz="4" w:space="0" w:color="000000"/>
            </w:tcBorders>
          </w:tcPr>
          <w:p w14:paraId="633FD7D0" w14:textId="77777777" w:rsidR="00B449D0" w:rsidRDefault="00175344">
            <w:pPr>
              <w:pStyle w:val="MeasureTableDataRightAlignedwith2ptsspacing"/>
              <w:keepNext/>
            </w:pPr>
            <w:r>
              <w:t>48.0</w:t>
            </w:r>
          </w:p>
        </w:tc>
        <w:tc>
          <w:tcPr>
            <w:tcW w:w="1043" w:type="dxa"/>
            <w:tcBorders>
              <w:top w:val="single" w:sz="4" w:space="0" w:color="000000"/>
              <w:bottom w:val="single" w:sz="4" w:space="0" w:color="000000"/>
            </w:tcBorders>
          </w:tcPr>
          <w:p w14:paraId="2347390E" w14:textId="77777777" w:rsidR="00B449D0" w:rsidRDefault="00175344">
            <w:pPr>
              <w:pStyle w:val="MeasureTableDataRightAlignedwith2ptsspacing"/>
              <w:keepNext/>
            </w:pPr>
            <w:r>
              <w:t>20.0</w:t>
            </w:r>
          </w:p>
        </w:tc>
        <w:tc>
          <w:tcPr>
            <w:tcW w:w="1043" w:type="dxa"/>
            <w:tcBorders>
              <w:top w:val="single" w:sz="4" w:space="0" w:color="000000"/>
              <w:bottom w:val="single" w:sz="4" w:space="0" w:color="000000"/>
            </w:tcBorders>
          </w:tcPr>
          <w:p w14:paraId="7E64968A" w14:textId="77777777" w:rsidR="00B449D0" w:rsidRDefault="00175344">
            <w:pPr>
              <w:pStyle w:val="MeasureTableDataRightAlignedwith2ptsspacing"/>
              <w:keepNext/>
            </w:pPr>
            <w:r>
              <w:t>20.0</w:t>
            </w:r>
          </w:p>
        </w:tc>
      </w:tr>
    </w:tbl>
    <w:p w14:paraId="5DD96878" w14:textId="77777777" w:rsidR="00B449D0" w:rsidRDefault="00B449D0" w:rsidP="00380A42">
      <w:pPr>
        <w:pStyle w:val="SingleParagraph0"/>
      </w:pPr>
    </w:p>
    <w:p w14:paraId="7889BC00" w14:textId="77777777" w:rsidR="00B449D0" w:rsidRDefault="00175344">
      <w:pPr>
        <w:pStyle w:val="Normal2"/>
      </w:pPr>
      <w:r>
        <w:t xml:space="preserve">The Government will provide funding of $120.0 million over six years from 2024–25 to the Tasmanian Government to support the establishment of the Northern Heart Centre in the </w:t>
      </w:r>
      <w:r>
        <w:lastRenderedPageBreak/>
        <w:t>Launceston General Hospital. The Centre will deliver comprehensive best practice cardiac care from diagnosis, through treatment and recovery.</w:t>
      </w:r>
    </w:p>
    <w:p w14:paraId="56FE483B" w14:textId="77777777" w:rsidR="00B449D0" w:rsidRDefault="00175344">
      <w:pPr>
        <w:pStyle w:val="Normal2"/>
      </w:pPr>
      <w:r>
        <w:t>The Treasury manages Commonwealth payments to the states and territories.</w:t>
      </w:r>
    </w:p>
    <w:p w14:paraId="7425DF90" w14:textId="77777777" w:rsidR="00B449D0" w:rsidRDefault="00175344">
      <w:pPr>
        <w:pStyle w:val="MeasureTitle"/>
      </w:pPr>
      <w:r>
        <w:t>Pharmaceutical Benefits Scheme New and Amended Listings</w:t>
      </w:r>
    </w:p>
    <w:p w14:paraId="6BFE993C"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298CA3AF" w14:textId="77777777">
        <w:trPr>
          <w:cantSplit/>
        </w:trPr>
        <w:tc>
          <w:tcPr>
            <w:tcW w:w="2494" w:type="dxa"/>
            <w:tcBorders>
              <w:top w:val="single" w:sz="4" w:space="0" w:color="000000"/>
              <w:bottom w:val="single" w:sz="4" w:space="0" w:color="000000"/>
            </w:tcBorders>
          </w:tcPr>
          <w:p w14:paraId="214991CD" w14:textId="77777777" w:rsidR="00B449D0" w:rsidRDefault="00B449D0">
            <w:pPr>
              <w:pStyle w:val="MeasureTableYearHeadings"/>
              <w:keepNext/>
            </w:pPr>
          </w:p>
        </w:tc>
        <w:tc>
          <w:tcPr>
            <w:tcW w:w="1043" w:type="dxa"/>
            <w:tcBorders>
              <w:top w:val="single" w:sz="4" w:space="0" w:color="000000"/>
              <w:bottom w:val="single" w:sz="4" w:space="0" w:color="000000"/>
            </w:tcBorders>
          </w:tcPr>
          <w:p w14:paraId="1E6B3AD1" w14:textId="4D50E9E4"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12BC397F" w14:textId="403BD5D1"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59F6813F" w14:textId="0C8007A6"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60C92BFF" w14:textId="1B9E4175"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20A9B4DF" w14:textId="79D41CD2" w:rsidR="00B449D0" w:rsidRDefault="00175344">
            <w:pPr>
              <w:pStyle w:val="MeasureTableYearHeadings"/>
              <w:keepNext/>
            </w:pPr>
            <w:r>
              <w:t>2027</w:t>
            </w:r>
            <w:r w:rsidR="00076D78">
              <w:noBreakHyphen/>
            </w:r>
            <w:r>
              <w:t>28</w:t>
            </w:r>
          </w:p>
        </w:tc>
      </w:tr>
      <w:tr w:rsidR="00B449D0" w14:paraId="465BB198" w14:textId="77777777">
        <w:trPr>
          <w:cantSplit/>
        </w:trPr>
        <w:tc>
          <w:tcPr>
            <w:tcW w:w="2494" w:type="dxa"/>
            <w:tcBorders>
              <w:top w:val="single" w:sz="4" w:space="0" w:color="000000"/>
              <w:bottom w:val="single" w:sz="4" w:space="0" w:color="000000"/>
            </w:tcBorders>
          </w:tcPr>
          <w:p w14:paraId="13702DCB" w14:textId="77777777" w:rsidR="00B449D0" w:rsidRDefault="00175344">
            <w:pPr>
              <w:pStyle w:val="MeasureTableHeadingleftalignedwith2ptsspacing"/>
              <w:keepNext/>
            </w:pPr>
            <w:r>
              <w:t>Department of Health and Aged Care</w:t>
            </w:r>
          </w:p>
        </w:tc>
        <w:tc>
          <w:tcPr>
            <w:tcW w:w="1043" w:type="dxa"/>
            <w:tcBorders>
              <w:top w:val="single" w:sz="4" w:space="0" w:color="000000"/>
              <w:bottom w:val="single" w:sz="4" w:space="0" w:color="000000"/>
            </w:tcBorders>
          </w:tcPr>
          <w:p w14:paraId="51998795" w14:textId="77777777" w:rsidR="00B449D0" w:rsidRDefault="00175344">
            <w:pPr>
              <w:pStyle w:val="MeasureTableDataRightAlignedwith2ptsspacing"/>
              <w:keepNext/>
            </w:pPr>
            <w:r>
              <w:t>4.1</w:t>
            </w:r>
          </w:p>
        </w:tc>
        <w:tc>
          <w:tcPr>
            <w:tcW w:w="1043" w:type="dxa"/>
            <w:tcBorders>
              <w:top w:val="single" w:sz="4" w:space="0" w:color="000000"/>
              <w:bottom w:val="single" w:sz="4" w:space="0" w:color="000000"/>
            </w:tcBorders>
          </w:tcPr>
          <w:p w14:paraId="09F339DF" w14:textId="77777777" w:rsidR="00B449D0" w:rsidRDefault="00175344">
            <w:pPr>
              <w:pStyle w:val="MeasureTableDataRightAlignedwith2ptsspacing"/>
              <w:keepNext/>
            </w:pPr>
            <w:r>
              <w:t>544.2</w:t>
            </w:r>
          </w:p>
        </w:tc>
        <w:tc>
          <w:tcPr>
            <w:tcW w:w="1043" w:type="dxa"/>
            <w:tcBorders>
              <w:top w:val="single" w:sz="4" w:space="0" w:color="000000"/>
              <w:bottom w:val="single" w:sz="4" w:space="0" w:color="000000"/>
            </w:tcBorders>
          </w:tcPr>
          <w:p w14:paraId="52FFD236" w14:textId="77777777" w:rsidR="00B449D0" w:rsidRDefault="00175344">
            <w:pPr>
              <w:pStyle w:val="MeasureTableDataRightAlignedwith2ptsspacing"/>
              <w:keepNext/>
            </w:pPr>
            <w:r>
              <w:t>676.6</w:t>
            </w:r>
          </w:p>
        </w:tc>
        <w:tc>
          <w:tcPr>
            <w:tcW w:w="1043" w:type="dxa"/>
            <w:tcBorders>
              <w:top w:val="single" w:sz="4" w:space="0" w:color="000000"/>
              <w:bottom w:val="single" w:sz="4" w:space="0" w:color="000000"/>
            </w:tcBorders>
          </w:tcPr>
          <w:p w14:paraId="3B305648" w14:textId="77777777" w:rsidR="00B449D0" w:rsidRDefault="00175344">
            <w:pPr>
              <w:pStyle w:val="MeasureTableDataRightAlignedwith2ptsspacing"/>
              <w:keepNext/>
            </w:pPr>
            <w:r>
              <w:t>633.3</w:t>
            </w:r>
          </w:p>
        </w:tc>
        <w:tc>
          <w:tcPr>
            <w:tcW w:w="1043" w:type="dxa"/>
            <w:tcBorders>
              <w:top w:val="single" w:sz="4" w:space="0" w:color="000000"/>
              <w:bottom w:val="single" w:sz="4" w:space="0" w:color="000000"/>
            </w:tcBorders>
          </w:tcPr>
          <w:p w14:paraId="486ADAE0" w14:textId="77777777" w:rsidR="00B449D0" w:rsidRDefault="00175344">
            <w:pPr>
              <w:pStyle w:val="MeasureTableDataRightAlignedwith2ptsspacing"/>
              <w:keepNext/>
            </w:pPr>
            <w:r>
              <w:t>624.7</w:t>
            </w:r>
          </w:p>
        </w:tc>
      </w:tr>
      <w:tr w:rsidR="00B449D0" w14:paraId="7E6630E4" w14:textId="77777777">
        <w:trPr>
          <w:cantSplit/>
        </w:trPr>
        <w:tc>
          <w:tcPr>
            <w:tcW w:w="2494" w:type="dxa"/>
            <w:tcBorders>
              <w:top w:val="single" w:sz="4" w:space="0" w:color="000000"/>
              <w:bottom w:val="single" w:sz="4" w:space="0" w:color="000000"/>
            </w:tcBorders>
          </w:tcPr>
          <w:p w14:paraId="46B8F57A" w14:textId="5A2B318B" w:rsidR="00B449D0" w:rsidRDefault="00175344">
            <w:pPr>
              <w:pStyle w:val="MeasureTableHeadingleftalignedwith2ptsspacing"/>
              <w:keepNext/>
            </w:pPr>
            <w:r>
              <w:t>Department of Veterans</w:t>
            </w:r>
            <w:r w:rsidR="00076D78">
              <w:t>’</w:t>
            </w:r>
            <w:r>
              <w:t xml:space="preserve"> Affairs</w:t>
            </w:r>
          </w:p>
        </w:tc>
        <w:tc>
          <w:tcPr>
            <w:tcW w:w="1043" w:type="dxa"/>
            <w:tcBorders>
              <w:top w:val="single" w:sz="4" w:space="0" w:color="000000"/>
              <w:bottom w:val="single" w:sz="4" w:space="0" w:color="000000"/>
            </w:tcBorders>
          </w:tcPr>
          <w:p w14:paraId="40AE1A51" w14:textId="77777777" w:rsidR="00B449D0" w:rsidRDefault="00175344">
            <w:pPr>
              <w:pStyle w:val="MeasureTableDataRightAlignedwith2ptsspacing"/>
              <w:keepNext/>
            </w:pPr>
            <w:r>
              <w:t>0.1</w:t>
            </w:r>
          </w:p>
        </w:tc>
        <w:tc>
          <w:tcPr>
            <w:tcW w:w="1043" w:type="dxa"/>
            <w:tcBorders>
              <w:top w:val="single" w:sz="4" w:space="0" w:color="000000"/>
              <w:bottom w:val="single" w:sz="4" w:space="0" w:color="000000"/>
            </w:tcBorders>
          </w:tcPr>
          <w:p w14:paraId="72347CD3" w14:textId="77777777" w:rsidR="00B449D0" w:rsidRDefault="00175344">
            <w:pPr>
              <w:pStyle w:val="MeasureTableDataRightAlignedwith2ptsspacing"/>
              <w:keepNext/>
            </w:pPr>
            <w:r>
              <w:t>7.4</w:t>
            </w:r>
          </w:p>
        </w:tc>
        <w:tc>
          <w:tcPr>
            <w:tcW w:w="1043" w:type="dxa"/>
            <w:tcBorders>
              <w:top w:val="single" w:sz="4" w:space="0" w:color="000000"/>
              <w:bottom w:val="single" w:sz="4" w:space="0" w:color="000000"/>
            </w:tcBorders>
          </w:tcPr>
          <w:p w14:paraId="62A59DF7" w14:textId="77777777" w:rsidR="00B449D0" w:rsidRDefault="00175344">
            <w:pPr>
              <w:pStyle w:val="MeasureTableDataRightAlignedwith2ptsspacing"/>
              <w:keepNext/>
            </w:pPr>
            <w:r>
              <w:t>10.1</w:t>
            </w:r>
          </w:p>
        </w:tc>
        <w:tc>
          <w:tcPr>
            <w:tcW w:w="1043" w:type="dxa"/>
            <w:tcBorders>
              <w:top w:val="single" w:sz="4" w:space="0" w:color="000000"/>
              <w:bottom w:val="single" w:sz="4" w:space="0" w:color="000000"/>
            </w:tcBorders>
          </w:tcPr>
          <w:p w14:paraId="06A9FB8E" w14:textId="77777777" w:rsidR="00B449D0" w:rsidRDefault="00175344">
            <w:pPr>
              <w:pStyle w:val="MeasureTableDataRightAlignedwith2ptsspacing"/>
              <w:keepNext/>
            </w:pPr>
            <w:r>
              <w:t>10.1</w:t>
            </w:r>
          </w:p>
        </w:tc>
        <w:tc>
          <w:tcPr>
            <w:tcW w:w="1043" w:type="dxa"/>
            <w:tcBorders>
              <w:top w:val="single" w:sz="4" w:space="0" w:color="000000"/>
              <w:bottom w:val="single" w:sz="4" w:space="0" w:color="000000"/>
            </w:tcBorders>
          </w:tcPr>
          <w:p w14:paraId="42241C80" w14:textId="77777777" w:rsidR="00B449D0" w:rsidRDefault="00175344">
            <w:pPr>
              <w:pStyle w:val="MeasureTableDataRightAlignedwith2ptsspacing"/>
              <w:keepNext/>
            </w:pPr>
            <w:r>
              <w:t>9.0</w:t>
            </w:r>
          </w:p>
        </w:tc>
      </w:tr>
      <w:tr w:rsidR="00B449D0" w14:paraId="66C0DF7C" w14:textId="77777777">
        <w:trPr>
          <w:cantSplit/>
        </w:trPr>
        <w:tc>
          <w:tcPr>
            <w:tcW w:w="2494" w:type="dxa"/>
            <w:tcBorders>
              <w:top w:val="single" w:sz="4" w:space="0" w:color="000000"/>
              <w:bottom w:val="single" w:sz="4" w:space="0" w:color="000000"/>
            </w:tcBorders>
          </w:tcPr>
          <w:p w14:paraId="316E853A" w14:textId="77777777" w:rsidR="00B449D0" w:rsidRDefault="00175344">
            <w:pPr>
              <w:pStyle w:val="MeasureTableHeadingleftalignedwith2ptsspacing"/>
              <w:keepNext/>
            </w:pPr>
            <w:r>
              <w:t>Services Australia</w:t>
            </w:r>
          </w:p>
        </w:tc>
        <w:tc>
          <w:tcPr>
            <w:tcW w:w="1043" w:type="dxa"/>
            <w:tcBorders>
              <w:top w:val="single" w:sz="4" w:space="0" w:color="000000"/>
              <w:bottom w:val="single" w:sz="4" w:space="0" w:color="000000"/>
            </w:tcBorders>
          </w:tcPr>
          <w:p w14:paraId="77F9D935" w14:textId="77777777" w:rsidR="00B449D0" w:rsidRDefault="00175344">
            <w:pPr>
              <w:pStyle w:val="MeasureTableDataRightAlignedwith2ptsspacing"/>
              <w:keepNext/>
            </w:pPr>
            <w:r>
              <w:t>0.2</w:t>
            </w:r>
          </w:p>
        </w:tc>
        <w:tc>
          <w:tcPr>
            <w:tcW w:w="1043" w:type="dxa"/>
            <w:tcBorders>
              <w:top w:val="single" w:sz="4" w:space="0" w:color="000000"/>
              <w:bottom w:val="single" w:sz="4" w:space="0" w:color="000000"/>
            </w:tcBorders>
          </w:tcPr>
          <w:p w14:paraId="470ECFF9" w14:textId="77777777" w:rsidR="00B449D0" w:rsidRDefault="00175344">
            <w:pPr>
              <w:pStyle w:val="MeasureTableDataRightAlignedwith2ptsspacing"/>
              <w:keepNext/>
            </w:pPr>
            <w:r>
              <w:t>1.3</w:t>
            </w:r>
          </w:p>
        </w:tc>
        <w:tc>
          <w:tcPr>
            <w:tcW w:w="1043" w:type="dxa"/>
            <w:tcBorders>
              <w:top w:val="single" w:sz="4" w:space="0" w:color="000000"/>
              <w:bottom w:val="single" w:sz="4" w:space="0" w:color="000000"/>
            </w:tcBorders>
          </w:tcPr>
          <w:p w14:paraId="1E4D57E7" w14:textId="77777777" w:rsidR="00B449D0" w:rsidRDefault="00175344">
            <w:pPr>
              <w:pStyle w:val="MeasureTableDataRightAlignedwith2ptsspacing"/>
              <w:keepNext/>
            </w:pPr>
            <w:r>
              <w:t>0.6</w:t>
            </w:r>
          </w:p>
        </w:tc>
        <w:tc>
          <w:tcPr>
            <w:tcW w:w="1043" w:type="dxa"/>
            <w:tcBorders>
              <w:top w:val="single" w:sz="4" w:space="0" w:color="000000"/>
              <w:bottom w:val="single" w:sz="4" w:space="0" w:color="000000"/>
            </w:tcBorders>
          </w:tcPr>
          <w:p w14:paraId="18320798" w14:textId="77777777" w:rsidR="00B449D0" w:rsidRDefault="00175344">
            <w:pPr>
              <w:pStyle w:val="MeasureTableDataRightAlignedwith2ptsspacing"/>
              <w:keepNext/>
            </w:pPr>
            <w:r>
              <w:t>0.4</w:t>
            </w:r>
          </w:p>
        </w:tc>
        <w:tc>
          <w:tcPr>
            <w:tcW w:w="1043" w:type="dxa"/>
            <w:tcBorders>
              <w:top w:val="single" w:sz="4" w:space="0" w:color="000000"/>
              <w:bottom w:val="single" w:sz="4" w:space="0" w:color="000000"/>
            </w:tcBorders>
          </w:tcPr>
          <w:p w14:paraId="525A216B" w14:textId="77777777" w:rsidR="00B449D0" w:rsidRDefault="00175344">
            <w:pPr>
              <w:pStyle w:val="MeasureTableDataRightAlignedwith2ptsspacing"/>
              <w:keepNext/>
            </w:pPr>
            <w:r>
              <w:t>0.4</w:t>
            </w:r>
          </w:p>
        </w:tc>
      </w:tr>
      <w:tr w:rsidR="00B449D0" w14:paraId="6C9F8A6F" w14:textId="77777777">
        <w:trPr>
          <w:cantSplit/>
        </w:trPr>
        <w:tc>
          <w:tcPr>
            <w:tcW w:w="2494" w:type="dxa"/>
            <w:tcBorders>
              <w:top w:val="single" w:sz="4" w:space="0" w:color="000000"/>
              <w:bottom w:val="single" w:sz="4" w:space="0" w:color="000000"/>
            </w:tcBorders>
          </w:tcPr>
          <w:p w14:paraId="104A7B2E"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1464531A" w14:textId="77777777" w:rsidR="00B449D0" w:rsidRDefault="00175344">
            <w:pPr>
              <w:pStyle w:val="Totaldatarowrightaligned"/>
              <w:keepNext/>
            </w:pPr>
            <w:r>
              <w:t>4.4</w:t>
            </w:r>
          </w:p>
        </w:tc>
        <w:tc>
          <w:tcPr>
            <w:tcW w:w="1043" w:type="dxa"/>
            <w:tcBorders>
              <w:top w:val="single" w:sz="4" w:space="0" w:color="000000"/>
              <w:bottom w:val="single" w:sz="4" w:space="0" w:color="000000"/>
            </w:tcBorders>
          </w:tcPr>
          <w:p w14:paraId="67D4D98B" w14:textId="77777777" w:rsidR="00B449D0" w:rsidRDefault="00175344">
            <w:pPr>
              <w:pStyle w:val="Totaldatarowrightaligned"/>
              <w:keepNext/>
            </w:pPr>
            <w:r>
              <w:t>552.9</w:t>
            </w:r>
          </w:p>
        </w:tc>
        <w:tc>
          <w:tcPr>
            <w:tcW w:w="1043" w:type="dxa"/>
            <w:tcBorders>
              <w:top w:val="single" w:sz="4" w:space="0" w:color="000000"/>
              <w:bottom w:val="single" w:sz="4" w:space="0" w:color="000000"/>
            </w:tcBorders>
          </w:tcPr>
          <w:p w14:paraId="6BAAA62D" w14:textId="77777777" w:rsidR="00B449D0" w:rsidRDefault="00175344">
            <w:pPr>
              <w:pStyle w:val="Totaldatarowrightaligned"/>
              <w:keepNext/>
            </w:pPr>
            <w:r>
              <w:t>687.3</w:t>
            </w:r>
          </w:p>
        </w:tc>
        <w:tc>
          <w:tcPr>
            <w:tcW w:w="1043" w:type="dxa"/>
            <w:tcBorders>
              <w:top w:val="single" w:sz="4" w:space="0" w:color="000000"/>
              <w:bottom w:val="single" w:sz="4" w:space="0" w:color="000000"/>
            </w:tcBorders>
          </w:tcPr>
          <w:p w14:paraId="0CB5EFC8" w14:textId="77777777" w:rsidR="00B449D0" w:rsidRDefault="00175344">
            <w:pPr>
              <w:pStyle w:val="Totaldatarowrightaligned"/>
              <w:keepNext/>
            </w:pPr>
            <w:r>
              <w:t>643.8</w:t>
            </w:r>
          </w:p>
        </w:tc>
        <w:tc>
          <w:tcPr>
            <w:tcW w:w="1043" w:type="dxa"/>
            <w:tcBorders>
              <w:top w:val="single" w:sz="4" w:space="0" w:color="000000"/>
              <w:bottom w:val="single" w:sz="4" w:space="0" w:color="000000"/>
            </w:tcBorders>
          </w:tcPr>
          <w:p w14:paraId="3ABC80A2" w14:textId="77777777" w:rsidR="00B449D0" w:rsidRDefault="00175344">
            <w:pPr>
              <w:pStyle w:val="Totaldatarowrightaligned"/>
              <w:keepNext/>
            </w:pPr>
            <w:r>
              <w:t>634.1</w:t>
            </w:r>
          </w:p>
        </w:tc>
      </w:tr>
      <w:tr w:rsidR="00B449D0" w14:paraId="6A559FAB" w14:textId="77777777">
        <w:trPr>
          <w:cantSplit/>
        </w:trPr>
        <w:tc>
          <w:tcPr>
            <w:tcW w:w="2494" w:type="dxa"/>
          </w:tcPr>
          <w:p w14:paraId="3F8EBE62" w14:textId="77777777" w:rsidR="00B449D0" w:rsidRDefault="00175344">
            <w:pPr>
              <w:pStyle w:val="AgencyName"/>
              <w:keepNext/>
            </w:pPr>
            <w:r>
              <w:t>Related receipts ($m)</w:t>
            </w:r>
          </w:p>
        </w:tc>
        <w:tc>
          <w:tcPr>
            <w:tcW w:w="1043" w:type="dxa"/>
          </w:tcPr>
          <w:p w14:paraId="622A8B65" w14:textId="77777777" w:rsidR="00B449D0" w:rsidRDefault="00B449D0">
            <w:pPr>
              <w:pStyle w:val="AgencyName"/>
              <w:keepNext/>
            </w:pPr>
          </w:p>
        </w:tc>
        <w:tc>
          <w:tcPr>
            <w:tcW w:w="1043" w:type="dxa"/>
          </w:tcPr>
          <w:p w14:paraId="15327AB6" w14:textId="77777777" w:rsidR="00B449D0" w:rsidRDefault="00B449D0">
            <w:pPr>
              <w:pStyle w:val="AgencyName"/>
              <w:keepNext/>
            </w:pPr>
          </w:p>
        </w:tc>
        <w:tc>
          <w:tcPr>
            <w:tcW w:w="1043" w:type="dxa"/>
          </w:tcPr>
          <w:p w14:paraId="4C9A4380" w14:textId="77777777" w:rsidR="00B449D0" w:rsidRDefault="00B449D0">
            <w:pPr>
              <w:pStyle w:val="AgencyName"/>
              <w:keepNext/>
            </w:pPr>
          </w:p>
        </w:tc>
        <w:tc>
          <w:tcPr>
            <w:tcW w:w="1043" w:type="dxa"/>
          </w:tcPr>
          <w:p w14:paraId="551C65DB" w14:textId="77777777" w:rsidR="00B449D0" w:rsidRDefault="00B449D0">
            <w:pPr>
              <w:pStyle w:val="AgencyName"/>
              <w:keepNext/>
            </w:pPr>
          </w:p>
        </w:tc>
        <w:tc>
          <w:tcPr>
            <w:tcW w:w="1043" w:type="dxa"/>
          </w:tcPr>
          <w:p w14:paraId="3D7C7307" w14:textId="77777777" w:rsidR="00B449D0" w:rsidRDefault="00B449D0">
            <w:pPr>
              <w:pStyle w:val="AgencyName"/>
              <w:keepNext/>
            </w:pPr>
          </w:p>
        </w:tc>
      </w:tr>
      <w:tr w:rsidR="00B449D0" w14:paraId="28128A0A" w14:textId="77777777">
        <w:tc>
          <w:tcPr>
            <w:tcW w:w="2494" w:type="dxa"/>
          </w:tcPr>
          <w:p w14:paraId="71DB51F0" w14:textId="77777777" w:rsidR="00B449D0" w:rsidRDefault="00175344">
            <w:pPr>
              <w:pStyle w:val="AgencyNamewith2ptsspacing"/>
              <w:keepNext/>
            </w:pPr>
            <w:r>
              <w:t>Department of Health and Aged Care</w:t>
            </w:r>
          </w:p>
        </w:tc>
        <w:tc>
          <w:tcPr>
            <w:tcW w:w="1043" w:type="dxa"/>
          </w:tcPr>
          <w:p w14:paraId="05E356D5" w14:textId="04D99153" w:rsidR="00B449D0" w:rsidRDefault="000804CD">
            <w:pPr>
              <w:pStyle w:val="Measuretabledatarightaligneditalics"/>
              <w:keepNext/>
            </w:pPr>
            <w:r>
              <w:t>nfp</w:t>
            </w:r>
          </w:p>
        </w:tc>
        <w:tc>
          <w:tcPr>
            <w:tcW w:w="1043" w:type="dxa"/>
          </w:tcPr>
          <w:p w14:paraId="7D86D98E" w14:textId="77777777" w:rsidR="00B449D0" w:rsidRDefault="00175344">
            <w:pPr>
              <w:pStyle w:val="Measuretabledatarightaligneditalics"/>
              <w:keepNext/>
            </w:pPr>
            <w:r>
              <w:t>nfp</w:t>
            </w:r>
          </w:p>
        </w:tc>
        <w:tc>
          <w:tcPr>
            <w:tcW w:w="1043" w:type="dxa"/>
          </w:tcPr>
          <w:p w14:paraId="395514EC" w14:textId="77777777" w:rsidR="00B449D0" w:rsidRDefault="00175344">
            <w:pPr>
              <w:pStyle w:val="Measuretabledatarightaligneditalics"/>
              <w:keepNext/>
            </w:pPr>
            <w:r>
              <w:t>nfp</w:t>
            </w:r>
          </w:p>
        </w:tc>
        <w:tc>
          <w:tcPr>
            <w:tcW w:w="1043" w:type="dxa"/>
          </w:tcPr>
          <w:p w14:paraId="101070C9" w14:textId="77777777" w:rsidR="00B449D0" w:rsidRDefault="00175344">
            <w:pPr>
              <w:pStyle w:val="Measuretabledatarightaligneditalics"/>
              <w:keepNext/>
            </w:pPr>
            <w:r>
              <w:t>nfp</w:t>
            </w:r>
          </w:p>
        </w:tc>
        <w:tc>
          <w:tcPr>
            <w:tcW w:w="1043" w:type="dxa"/>
          </w:tcPr>
          <w:p w14:paraId="61C39AB2" w14:textId="77777777" w:rsidR="00B449D0" w:rsidRDefault="00175344">
            <w:pPr>
              <w:pStyle w:val="Measuretabledatarightaligneditalics"/>
              <w:keepNext/>
            </w:pPr>
            <w:r>
              <w:t>nfp</w:t>
            </w:r>
          </w:p>
        </w:tc>
      </w:tr>
    </w:tbl>
    <w:p w14:paraId="6A466045" w14:textId="77777777" w:rsidR="00B449D0" w:rsidRDefault="00B449D0" w:rsidP="00380A42">
      <w:pPr>
        <w:pStyle w:val="SingleParagraph0"/>
      </w:pPr>
    </w:p>
    <w:p w14:paraId="28E83193" w14:textId="14E052BF" w:rsidR="00B449D0" w:rsidRDefault="00175344">
      <w:pPr>
        <w:pStyle w:val="Normal2"/>
      </w:pPr>
      <w:r w:rsidRPr="7F762F0D">
        <w:rPr>
          <w:lang w:val="en-US"/>
        </w:rPr>
        <w:t>The Government will provide $2.5</w:t>
      </w:r>
      <w:r w:rsidR="002A7001">
        <w:rPr>
          <w:lang w:val="en-US"/>
        </w:rPr>
        <w:t> billion</w:t>
      </w:r>
      <w:r w:rsidRPr="7F762F0D">
        <w:rPr>
          <w:lang w:val="en-US"/>
        </w:rPr>
        <w:t xml:space="preserve"> over five years from 2023–24 for new and amended listings on the Pharmaceutical Benefits Scheme (PBS), Repatriation Pharmaceutical Benefits Scheme, Life Saving Drugs Program, National Epidermolysis Bullosa Dressing Scheme and Stoma Appliance Scheme. Examples of new and amended PBS listings since the 2024–25 Budget include:</w:t>
      </w:r>
    </w:p>
    <w:p w14:paraId="6EC2AD91" w14:textId="77777777" w:rsidR="00B449D0" w:rsidRDefault="00175344">
      <w:pPr>
        <w:pStyle w:val="Bullet"/>
      </w:pPr>
      <w:r>
        <w:t>osimertinib (Tagrisso</w:t>
      </w:r>
      <w:r w:rsidRPr="00766394">
        <w:rPr>
          <w:vertAlign w:val="superscript"/>
        </w:rPr>
        <w:t>®</w:t>
      </w:r>
      <w:r>
        <w:t>) from 1 June 2024, which has been expanded for use as additional therapy after surgery for patients with epidermal growth factor receptor mutation positive early‑stage non‑small cell lung cancer</w:t>
      </w:r>
    </w:p>
    <w:p w14:paraId="3D89735C" w14:textId="77777777" w:rsidR="00B449D0" w:rsidRDefault="00175344">
      <w:pPr>
        <w:pStyle w:val="Bullet"/>
      </w:pPr>
      <w:r>
        <w:t>elexacaftor with tezacaftor and with ivacaftor, and ivacaftor (Trikafta</w:t>
      </w:r>
      <w:r w:rsidRPr="00572460">
        <w:rPr>
          <w:vertAlign w:val="superscript"/>
        </w:rPr>
        <w:t>®</w:t>
      </w:r>
      <w:r>
        <w:t>) from 1 August 2024, expanded to include children aged two to five years with cystic fibrosis who have at least one F508del mutation on the cystic fibrosis transmembrane conductance regulator gene</w:t>
      </w:r>
    </w:p>
    <w:p w14:paraId="5D1B689C" w14:textId="77777777" w:rsidR="00B449D0" w:rsidRDefault="00175344">
      <w:pPr>
        <w:pStyle w:val="Bullet"/>
      </w:pPr>
      <w:r>
        <w:t>selumetinib (Koselugo</w:t>
      </w:r>
      <w:r w:rsidRPr="00572460">
        <w:rPr>
          <w:vertAlign w:val="superscript"/>
        </w:rPr>
        <w:t>®</w:t>
      </w:r>
      <w:r>
        <w:t>) from 1 August 2024, for the treatment of symptomatic, inoperable benign nerve tumours in children two years old and over with neurofibromatosis type 1</w:t>
      </w:r>
    </w:p>
    <w:p w14:paraId="7F8920DA" w14:textId="77777777" w:rsidR="00B449D0" w:rsidRDefault="00175344">
      <w:pPr>
        <w:pStyle w:val="Bullet"/>
      </w:pPr>
      <w:r>
        <w:t>trastuzumab deruxtecan (Enhertu</w:t>
      </w:r>
      <w:r w:rsidRPr="00572460">
        <w:rPr>
          <w:vertAlign w:val="superscript"/>
        </w:rPr>
        <w:t>®</w:t>
      </w:r>
      <w:r>
        <w:t>) from 1 September 2024, for the treatment of human epidermal growth factor receptor 2‑low unresectable or metastatic breast cancer</w:t>
      </w:r>
    </w:p>
    <w:p w14:paraId="4ABE58E2" w14:textId="77777777" w:rsidR="00B449D0" w:rsidRDefault="00175344">
      <w:pPr>
        <w:pStyle w:val="Bullet"/>
      </w:pPr>
      <w:r>
        <w:t>avacopan (Tavneos</w:t>
      </w:r>
      <w:r w:rsidRPr="00572460">
        <w:rPr>
          <w:vertAlign w:val="superscript"/>
        </w:rPr>
        <w:t>®</w:t>
      </w:r>
      <w:r>
        <w:t>) from 1 October 2024, for the treatment of certain types of rare autoimmune diseases that cause inflammation of blood vessels</w:t>
      </w:r>
    </w:p>
    <w:p w14:paraId="0364C287" w14:textId="77777777" w:rsidR="00B449D0" w:rsidRDefault="00175344">
      <w:pPr>
        <w:pStyle w:val="Bullet"/>
      </w:pPr>
      <w:r>
        <w:t>icosapent ethyl (Vazkepa</w:t>
      </w:r>
      <w:r w:rsidRPr="00365CB5">
        <w:rPr>
          <w:vertAlign w:val="superscript"/>
        </w:rPr>
        <w:t>®</w:t>
      </w:r>
      <w:r>
        <w:t>) from 1 October 2024, for the treatment of patients with heart disease</w:t>
      </w:r>
    </w:p>
    <w:p w14:paraId="4B876226" w14:textId="77777777" w:rsidR="00B449D0" w:rsidRDefault="00175344">
      <w:pPr>
        <w:pStyle w:val="Bullet"/>
      </w:pPr>
      <w:r>
        <w:t>belzutifan (Welireg</w:t>
      </w:r>
      <w:r w:rsidRPr="00365CB5">
        <w:rPr>
          <w:vertAlign w:val="superscript"/>
        </w:rPr>
        <w:t>®</w:t>
      </w:r>
      <w:r>
        <w:t>) from 1 December 2024, for the treatment of patients with von Hippel‑Lindau disease who require therapy for associated renal cell carcinoma, central nervous system haemangioblastomas, or pancreatic neuroendocrine tumours.</w:t>
      </w:r>
    </w:p>
    <w:p w14:paraId="23CD32FC" w14:textId="77777777" w:rsidR="00B449D0" w:rsidRDefault="00175344">
      <w:pPr>
        <w:pStyle w:val="Normal2"/>
      </w:pPr>
      <w:r w:rsidRPr="7F762F0D">
        <w:rPr>
          <w:lang w:val="en-US"/>
        </w:rPr>
        <w:t xml:space="preserve">The financial implications for some elements of this measure are not for publication (nfp) because the disclosure of funding would reveal individual arrangements between third </w:t>
      </w:r>
      <w:r w:rsidRPr="7F762F0D">
        <w:rPr>
          <w:lang w:val="en-US"/>
        </w:rPr>
        <w:lastRenderedPageBreak/>
        <w:t>parties and the Commonwealth that are confidential and commercially privileged, which must not be disclosed under Deeds of Agreements.</w:t>
      </w:r>
    </w:p>
    <w:p w14:paraId="1229A599" w14:textId="77777777" w:rsidR="00B449D0" w:rsidRDefault="00175344">
      <w:pPr>
        <w:pStyle w:val="MeasureTitle"/>
      </w:pPr>
      <w:r>
        <w:t>Preventive Health</w:t>
      </w:r>
    </w:p>
    <w:p w14:paraId="62C28CF6"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6B9824A0" w14:textId="77777777">
        <w:trPr>
          <w:cantSplit/>
        </w:trPr>
        <w:tc>
          <w:tcPr>
            <w:tcW w:w="2494" w:type="dxa"/>
            <w:tcBorders>
              <w:top w:val="single" w:sz="4" w:space="0" w:color="000000"/>
              <w:bottom w:val="single" w:sz="4" w:space="0" w:color="000000"/>
            </w:tcBorders>
          </w:tcPr>
          <w:p w14:paraId="5CA6A3EA" w14:textId="77777777" w:rsidR="00B449D0" w:rsidRDefault="00B449D0">
            <w:pPr>
              <w:pStyle w:val="MeasureTableYearHeadings"/>
              <w:keepNext/>
            </w:pPr>
          </w:p>
        </w:tc>
        <w:tc>
          <w:tcPr>
            <w:tcW w:w="1043" w:type="dxa"/>
            <w:tcBorders>
              <w:top w:val="single" w:sz="4" w:space="0" w:color="000000"/>
              <w:bottom w:val="single" w:sz="4" w:space="0" w:color="000000"/>
            </w:tcBorders>
          </w:tcPr>
          <w:p w14:paraId="7FEB2D15" w14:textId="38BD628D"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7C2D801A" w14:textId="7EA3EDBF"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789860D9" w14:textId="6EF4A5BD"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08C86B55" w14:textId="725A45FF"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0BCA5128" w14:textId="7BA62293" w:rsidR="00B449D0" w:rsidRDefault="00175344">
            <w:pPr>
              <w:pStyle w:val="MeasureTableYearHeadings"/>
              <w:keepNext/>
            </w:pPr>
            <w:r>
              <w:t>2027</w:t>
            </w:r>
            <w:r w:rsidR="00076D78">
              <w:noBreakHyphen/>
            </w:r>
            <w:r>
              <w:t>28</w:t>
            </w:r>
          </w:p>
        </w:tc>
      </w:tr>
      <w:tr w:rsidR="00B449D0" w14:paraId="37FA42C9" w14:textId="77777777">
        <w:trPr>
          <w:cantSplit/>
        </w:trPr>
        <w:tc>
          <w:tcPr>
            <w:tcW w:w="2494" w:type="dxa"/>
            <w:tcBorders>
              <w:top w:val="single" w:sz="4" w:space="0" w:color="000000"/>
              <w:bottom w:val="single" w:sz="4" w:space="0" w:color="000000"/>
            </w:tcBorders>
          </w:tcPr>
          <w:p w14:paraId="46C1F7B3" w14:textId="77777777" w:rsidR="00B449D0" w:rsidRDefault="00175344">
            <w:pPr>
              <w:pStyle w:val="MeasureTableHeadingleftalignedwith2ptsspacing"/>
              <w:keepNext/>
            </w:pPr>
            <w:r>
              <w:t>Department of Health and Aged Care</w:t>
            </w:r>
          </w:p>
        </w:tc>
        <w:tc>
          <w:tcPr>
            <w:tcW w:w="1043" w:type="dxa"/>
            <w:tcBorders>
              <w:top w:val="single" w:sz="4" w:space="0" w:color="000000"/>
              <w:bottom w:val="single" w:sz="4" w:space="0" w:color="000000"/>
            </w:tcBorders>
          </w:tcPr>
          <w:p w14:paraId="1A486552" w14:textId="4601D727"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6663C5B7" w14:textId="77777777" w:rsidR="00B449D0" w:rsidRDefault="00175344">
            <w:pPr>
              <w:pStyle w:val="MeasureTableDataRightAlignedwith2ptsspacing"/>
              <w:keepNext/>
            </w:pPr>
            <w:r>
              <w:t>22.8</w:t>
            </w:r>
          </w:p>
        </w:tc>
        <w:tc>
          <w:tcPr>
            <w:tcW w:w="1043" w:type="dxa"/>
            <w:tcBorders>
              <w:top w:val="single" w:sz="4" w:space="0" w:color="000000"/>
              <w:bottom w:val="single" w:sz="4" w:space="0" w:color="000000"/>
            </w:tcBorders>
          </w:tcPr>
          <w:p w14:paraId="1CA4EFE6" w14:textId="77777777" w:rsidR="00B449D0" w:rsidRDefault="00175344">
            <w:pPr>
              <w:pStyle w:val="MeasureTableDataRightAlignedwith2ptsspacing"/>
              <w:keepNext/>
            </w:pPr>
            <w:r>
              <w:t>58.6</w:t>
            </w:r>
          </w:p>
        </w:tc>
        <w:tc>
          <w:tcPr>
            <w:tcW w:w="1043" w:type="dxa"/>
            <w:tcBorders>
              <w:top w:val="single" w:sz="4" w:space="0" w:color="000000"/>
              <w:bottom w:val="single" w:sz="4" w:space="0" w:color="000000"/>
            </w:tcBorders>
          </w:tcPr>
          <w:p w14:paraId="7E940C0A" w14:textId="77777777" w:rsidR="00B449D0" w:rsidRDefault="00175344">
            <w:pPr>
              <w:pStyle w:val="MeasureTableDataRightAlignedwith2ptsspacing"/>
              <w:keepNext/>
            </w:pPr>
            <w:r>
              <w:t>14.0</w:t>
            </w:r>
          </w:p>
        </w:tc>
        <w:tc>
          <w:tcPr>
            <w:tcW w:w="1043" w:type="dxa"/>
            <w:tcBorders>
              <w:top w:val="single" w:sz="4" w:space="0" w:color="000000"/>
              <w:bottom w:val="single" w:sz="4" w:space="0" w:color="000000"/>
            </w:tcBorders>
          </w:tcPr>
          <w:p w14:paraId="109ED266" w14:textId="77777777" w:rsidR="00B449D0" w:rsidRDefault="00175344">
            <w:pPr>
              <w:pStyle w:val="MeasureTableDataRightAlignedwith2ptsspacing"/>
              <w:keepNext/>
            </w:pPr>
            <w:r>
              <w:t>13.1</w:t>
            </w:r>
          </w:p>
        </w:tc>
      </w:tr>
      <w:tr w:rsidR="00B449D0" w14:paraId="102C2869" w14:textId="77777777">
        <w:trPr>
          <w:cantSplit/>
        </w:trPr>
        <w:tc>
          <w:tcPr>
            <w:tcW w:w="2494" w:type="dxa"/>
            <w:tcBorders>
              <w:top w:val="single" w:sz="4" w:space="0" w:color="000000"/>
              <w:bottom w:val="single" w:sz="4" w:space="0" w:color="000000"/>
            </w:tcBorders>
          </w:tcPr>
          <w:p w14:paraId="16E0E78C" w14:textId="77777777" w:rsidR="00B449D0" w:rsidRDefault="00175344">
            <w:pPr>
              <w:pStyle w:val="MeasureTableHeadingleftalignedwith2ptsspacing"/>
              <w:keepNext/>
            </w:pPr>
            <w:r>
              <w:t>Department of the Treasury</w:t>
            </w:r>
          </w:p>
        </w:tc>
        <w:tc>
          <w:tcPr>
            <w:tcW w:w="1043" w:type="dxa"/>
            <w:tcBorders>
              <w:top w:val="single" w:sz="4" w:space="0" w:color="000000"/>
              <w:bottom w:val="single" w:sz="4" w:space="0" w:color="000000"/>
            </w:tcBorders>
          </w:tcPr>
          <w:p w14:paraId="4D1FA71F" w14:textId="75DA9B97"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25B321E" w14:textId="525B283C"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F9E8B48" w14:textId="7D8068BD"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0520F97" w14:textId="0821D70A"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72CE3CD" w14:textId="54F558DD" w:rsidR="00B449D0" w:rsidRDefault="00076D78">
            <w:pPr>
              <w:pStyle w:val="MeasureTableDataRightAlignedwith2ptsspacing"/>
              <w:keepNext/>
            </w:pPr>
            <w:r>
              <w:noBreakHyphen/>
            </w:r>
          </w:p>
        </w:tc>
      </w:tr>
      <w:tr w:rsidR="00B449D0" w14:paraId="60FF745D" w14:textId="77777777">
        <w:trPr>
          <w:cantSplit/>
        </w:trPr>
        <w:tc>
          <w:tcPr>
            <w:tcW w:w="2494" w:type="dxa"/>
            <w:tcBorders>
              <w:top w:val="single" w:sz="4" w:space="0" w:color="000000"/>
              <w:bottom w:val="single" w:sz="4" w:space="0" w:color="000000"/>
            </w:tcBorders>
          </w:tcPr>
          <w:p w14:paraId="0916FE38"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5223550D" w14:textId="4F9B85DA"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3082C218" w14:textId="77777777" w:rsidR="00B449D0" w:rsidRDefault="00175344">
            <w:pPr>
              <w:pStyle w:val="Totaldatarowrightaligned"/>
              <w:keepNext/>
            </w:pPr>
            <w:r>
              <w:t>22.8</w:t>
            </w:r>
          </w:p>
        </w:tc>
        <w:tc>
          <w:tcPr>
            <w:tcW w:w="1043" w:type="dxa"/>
            <w:tcBorders>
              <w:top w:val="single" w:sz="4" w:space="0" w:color="000000"/>
              <w:bottom w:val="single" w:sz="4" w:space="0" w:color="000000"/>
            </w:tcBorders>
          </w:tcPr>
          <w:p w14:paraId="235CDB8D" w14:textId="77777777" w:rsidR="00B449D0" w:rsidRDefault="00175344">
            <w:pPr>
              <w:pStyle w:val="Totaldatarowrightaligned"/>
              <w:keepNext/>
            </w:pPr>
            <w:r>
              <w:t>58.6</w:t>
            </w:r>
          </w:p>
        </w:tc>
        <w:tc>
          <w:tcPr>
            <w:tcW w:w="1043" w:type="dxa"/>
            <w:tcBorders>
              <w:top w:val="single" w:sz="4" w:space="0" w:color="000000"/>
              <w:bottom w:val="single" w:sz="4" w:space="0" w:color="000000"/>
            </w:tcBorders>
          </w:tcPr>
          <w:p w14:paraId="3C5F78FB" w14:textId="77777777" w:rsidR="00B449D0" w:rsidRDefault="00175344">
            <w:pPr>
              <w:pStyle w:val="Totaldatarowrightaligned"/>
              <w:keepNext/>
            </w:pPr>
            <w:r>
              <w:t>14.0</w:t>
            </w:r>
          </w:p>
        </w:tc>
        <w:tc>
          <w:tcPr>
            <w:tcW w:w="1043" w:type="dxa"/>
            <w:tcBorders>
              <w:top w:val="single" w:sz="4" w:space="0" w:color="000000"/>
              <w:bottom w:val="single" w:sz="4" w:space="0" w:color="000000"/>
            </w:tcBorders>
          </w:tcPr>
          <w:p w14:paraId="35B0F6F9" w14:textId="77777777" w:rsidR="00B449D0" w:rsidRDefault="00175344">
            <w:pPr>
              <w:pStyle w:val="Totaldatarowrightaligned"/>
              <w:keepNext/>
            </w:pPr>
            <w:r>
              <w:t>13.1</w:t>
            </w:r>
          </w:p>
        </w:tc>
      </w:tr>
    </w:tbl>
    <w:p w14:paraId="431FFFAF" w14:textId="77777777" w:rsidR="00B449D0" w:rsidRDefault="00B449D0" w:rsidP="00380A42">
      <w:pPr>
        <w:pStyle w:val="SingleParagraph0"/>
      </w:pPr>
    </w:p>
    <w:p w14:paraId="3DA0A5A1" w14:textId="77777777" w:rsidR="00B449D0" w:rsidRDefault="00175344">
      <w:pPr>
        <w:pStyle w:val="Normal2"/>
      </w:pPr>
      <w:r>
        <w:t>The Government will provide $187.9 million over five years from 2024–25 to improve health outcomes through preventive and other health initiatives. Funding includes:</w:t>
      </w:r>
    </w:p>
    <w:p w14:paraId="56FEEF26" w14:textId="77777777" w:rsidR="00B449D0" w:rsidRDefault="00175344">
      <w:pPr>
        <w:pStyle w:val="Bullet"/>
      </w:pPr>
      <w:r>
        <w:t>$50.1 million over five years from 2024–25 for the Juvenile Diabetes Research Foundation to undertake medical research into Type 1 Diabetes (T1D) with a focus on screening and prevention, improving and targeting treatment, and accelerating the search for a cure to T1D</w:t>
      </w:r>
    </w:p>
    <w:p w14:paraId="0D296098" w14:textId="77777777" w:rsidR="00B449D0" w:rsidRDefault="00175344">
      <w:pPr>
        <w:pStyle w:val="Bullet"/>
      </w:pPr>
      <w:r>
        <w:t>$43.3 million over four years from 2024–25 to support states and territories to increase the number of conditions that are screened through the newborn bloodspot screening programs</w:t>
      </w:r>
    </w:p>
    <w:p w14:paraId="076B6E41" w14:textId="77777777" w:rsidR="00B449D0" w:rsidRDefault="00175344">
      <w:pPr>
        <w:pStyle w:val="Bullet"/>
      </w:pPr>
      <w:r>
        <w:t>$26.0 million over five years from 2024–25 to the Australian Institute of Health and Welfare to continue and expand chronic condition data collection and research</w:t>
      </w:r>
    </w:p>
    <w:p w14:paraId="3F716E95" w14:textId="77777777" w:rsidR="00B449D0" w:rsidRDefault="00175344">
      <w:pPr>
        <w:pStyle w:val="Bullet"/>
      </w:pPr>
      <w:r>
        <w:t xml:space="preserve">$15.0 million in 2024–25 to the Australian Stroke Alliance to continue urgent stroke care across Australia under the </w:t>
      </w:r>
      <w:r w:rsidRPr="00175344">
        <w:rPr>
          <w:i/>
        </w:rPr>
        <w:t>Stroke Golden Hour Program</w:t>
      </w:r>
    </w:p>
    <w:p w14:paraId="7DAC2217" w14:textId="77777777" w:rsidR="00B449D0" w:rsidRDefault="00175344">
      <w:pPr>
        <w:pStyle w:val="Bullet"/>
      </w:pPr>
      <w:r>
        <w:t xml:space="preserve">$14.1 million in 2025–26 to improve health outcomes through extending existing alcohol and other drug treatment services in the community, aligning with the </w:t>
      </w:r>
      <w:r w:rsidRPr="00175344">
        <w:rPr>
          <w:i/>
        </w:rPr>
        <w:t>National Framework for Alcohol, Tobacco and Other Drug Treatment 2019–2029</w:t>
      </w:r>
    </w:p>
    <w:p w14:paraId="4FA4D600" w14:textId="77777777" w:rsidR="00B449D0" w:rsidRDefault="00175344">
      <w:pPr>
        <w:pStyle w:val="Bullet"/>
      </w:pPr>
      <w:r>
        <w:t xml:space="preserve">$7.7 million over two years from 2024–25 to continue critical patient and clinician support services for Australians with chronic conditions, in support of the </w:t>
      </w:r>
      <w:r w:rsidRPr="00175344">
        <w:rPr>
          <w:i/>
        </w:rPr>
        <w:t>National Preventive Health Strategy 2021–2030</w:t>
      </w:r>
    </w:p>
    <w:p w14:paraId="01B28B68" w14:textId="77777777" w:rsidR="00B449D0" w:rsidRDefault="00175344">
      <w:pPr>
        <w:pStyle w:val="Bullet"/>
      </w:pPr>
      <w:r>
        <w:t xml:space="preserve">$5.4 million in 2025–26 to continue the </w:t>
      </w:r>
      <w:r w:rsidRPr="00175344">
        <w:rPr>
          <w:i/>
        </w:rPr>
        <w:t>Health in My Language</w:t>
      </w:r>
      <w:r>
        <w:t xml:space="preserve"> program, which provides training to bilingual health educators and workers to deliver health services and information to multicultural communities</w:t>
      </w:r>
    </w:p>
    <w:p w14:paraId="399ABA3F" w14:textId="77777777" w:rsidR="00B449D0" w:rsidRDefault="00175344">
      <w:pPr>
        <w:pStyle w:val="Bullet"/>
      </w:pPr>
      <w:r>
        <w:t>$5.1 million in 2025–26 to continue delivery of the Every Moment Matters awareness campaign, to support women who are planning pregnancy to achieve alcohol‑free pregnancies and reduce the incidence of babies born with fetal alcohol spectrum disorder (FASD)</w:t>
      </w:r>
    </w:p>
    <w:p w14:paraId="7FE7D5D5" w14:textId="77777777" w:rsidR="00B449D0" w:rsidRDefault="00175344">
      <w:pPr>
        <w:pStyle w:val="Bullet"/>
      </w:pPr>
      <w:r>
        <w:t>$4.3 million in 2025–26 to extend funding for FASD prevention, diagnosis and support activities to continue to support Australians living with FASD, their families and carers</w:t>
      </w:r>
    </w:p>
    <w:p w14:paraId="7C034024" w14:textId="77777777" w:rsidR="00B449D0" w:rsidRDefault="00175344">
      <w:pPr>
        <w:pStyle w:val="Bullet"/>
      </w:pPr>
      <w:r>
        <w:lastRenderedPageBreak/>
        <w:t>$4.0 million in 2025–26 to continue the Australian Longitudinal Study on Male Health, including data, analysis and reporting on health and wellbeing of Australian men and boys</w:t>
      </w:r>
    </w:p>
    <w:p w14:paraId="23C09759" w14:textId="337A0CD7" w:rsidR="00B449D0" w:rsidRDefault="00175344">
      <w:pPr>
        <w:pStyle w:val="Bullet"/>
      </w:pPr>
      <w:r>
        <w:t>$3.1 million in 2025–26 to extend the Australian Red Cross Lifeblood</w:t>
      </w:r>
      <w:r w:rsidR="00076D78">
        <w:t>’</w:t>
      </w:r>
      <w:r>
        <w:t>s role to continue providing pasteurised donor human milk to premature babies in neonatal intensive care units or special care units across the hospital network</w:t>
      </w:r>
    </w:p>
    <w:p w14:paraId="2E7AE4F6" w14:textId="2153364B" w:rsidR="00B449D0" w:rsidRDefault="00175344">
      <w:pPr>
        <w:pStyle w:val="Bullet"/>
      </w:pPr>
      <w:r>
        <w:t>$2.6 million in 2025–26 to continue support for the Australian Breastfeeding Association</w:t>
      </w:r>
      <w:r w:rsidR="00076D78">
        <w:t>’</w:t>
      </w:r>
      <w:r>
        <w:t>s National Breastfeeding Helpline, to provide a free‑call service on breastfeeding to women and their families</w:t>
      </w:r>
    </w:p>
    <w:p w14:paraId="3BAE6A9D" w14:textId="77777777" w:rsidR="00B449D0" w:rsidRDefault="00175344">
      <w:pPr>
        <w:pStyle w:val="Bullet"/>
      </w:pPr>
      <w:r>
        <w:t>$2.3 million in 2025–26 to extend a range of actions to reduce the stillbirth rate in Australia and to ensure high quality care is provided to families who experience stillbirth</w:t>
      </w:r>
    </w:p>
    <w:p w14:paraId="2D3CDA2F" w14:textId="638022F2" w:rsidR="00B449D0" w:rsidRDefault="00175344">
      <w:pPr>
        <w:pStyle w:val="Bullet"/>
      </w:pPr>
      <w:r>
        <w:t>$1.8 million in 2024–25 to support Children</w:t>
      </w:r>
      <w:r w:rsidR="00076D78">
        <w:t>’</w:t>
      </w:r>
      <w:r>
        <w:t>s Ground to continue delivery of culturally safe health and wellbeing services for children and their families in First Nations communities</w:t>
      </w:r>
    </w:p>
    <w:p w14:paraId="128B0C0D" w14:textId="77777777" w:rsidR="00B449D0" w:rsidRDefault="00175344">
      <w:pPr>
        <w:pStyle w:val="Bullet"/>
      </w:pPr>
      <w:r>
        <w:t>$1.2 million in 2024–25 to support Small &amp; Up and Monash Health to continue delivery of FASD prevention, diagnosis and support services</w:t>
      </w:r>
    </w:p>
    <w:p w14:paraId="7B5A136E" w14:textId="77777777" w:rsidR="00B449D0" w:rsidRDefault="00175344">
      <w:pPr>
        <w:pStyle w:val="Bullet"/>
      </w:pPr>
      <w:r>
        <w:t>$0.7 million in 2025–26 to expand the delivery of the Strong Born campaign, which provides information about FASD to First Nations people</w:t>
      </w:r>
    </w:p>
    <w:p w14:paraId="49A85274" w14:textId="77777777" w:rsidR="00B449D0" w:rsidRDefault="00175344">
      <w:pPr>
        <w:pStyle w:val="Bullet"/>
      </w:pPr>
      <w:r>
        <w:t>$0.6 million in 2025–26 to the University of New South Wales for the maintenance and improvement of the YourIVFSuccess website, to support Australian couples with independent advice and information on fertility support services and In Vitro Fertilisation (IVF)</w:t>
      </w:r>
    </w:p>
    <w:p w14:paraId="597010C5" w14:textId="611489F8" w:rsidR="00B449D0" w:rsidRDefault="00175344">
      <w:pPr>
        <w:pStyle w:val="Bullet"/>
      </w:pPr>
      <w:r>
        <w:t>$0.5 million in 2025–26 to maintain the Consumers Health Forum</w:t>
      </w:r>
      <w:r w:rsidR="00076D78">
        <w:t>’</w:t>
      </w:r>
      <w:r>
        <w:t>s continued viability as a national peak body representing Australian healthcare consumers.</w:t>
      </w:r>
    </w:p>
    <w:p w14:paraId="3B402D3C" w14:textId="77777777" w:rsidR="00B449D0" w:rsidRDefault="00175344">
      <w:pPr>
        <w:pStyle w:val="Normal2"/>
      </w:pPr>
      <w:r>
        <w:t>The Government has already provided partial funding for this measure.</w:t>
      </w:r>
    </w:p>
    <w:p w14:paraId="28141E35" w14:textId="77777777" w:rsidR="00B449D0" w:rsidRDefault="00175344">
      <w:pPr>
        <w:pStyle w:val="Normal2"/>
      </w:pPr>
      <w:r w:rsidRPr="7F762F0D">
        <w:rPr>
          <w:lang w:val="en-US"/>
        </w:rPr>
        <w:t>The cost of this measure will be partially met from within the existing resourcing of the Department of Health and Aged Care.</w:t>
      </w:r>
    </w:p>
    <w:p w14:paraId="26D78EB4" w14:textId="77777777" w:rsidR="00B449D0" w:rsidRDefault="00175344">
      <w:pPr>
        <w:pStyle w:val="Normal2"/>
      </w:pPr>
      <w:r>
        <w:t>The Treasury manages Commonwealth payments to the states and territories.</w:t>
      </w:r>
    </w:p>
    <w:p w14:paraId="368A52C1" w14:textId="77777777" w:rsidR="00B449D0" w:rsidRDefault="00175344">
      <w:pPr>
        <w:pStyle w:val="Normal2"/>
      </w:pPr>
      <w:r>
        <w:t xml:space="preserve">This measure extends the 2024–25 Budget measure titled </w:t>
      </w:r>
      <w:r w:rsidRPr="00175344">
        <w:rPr>
          <w:i/>
        </w:rPr>
        <w:t>Preventive Health</w:t>
      </w:r>
      <w:r>
        <w:t>.</w:t>
      </w:r>
    </w:p>
    <w:p w14:paraId="59931FA0" w14:textId="77777777" w:rsidR="00EC6C21" w:rsidRDefault="00EC6C21">
      <w:pPr>
        <w:pStyle w:val="MeasureTitle"/>
      </w:pPr>
      <w:r>
        <w:br w:type="page"/>
      </w:r>
    </w:p>
    <w:p w14:paraId="739574E6" w14:textId="7504F0B4" w:rsidR="00B449D0" w:rsidRDefault="00175344">
      <w:pPr>
        <w:pStyle w:val="MeasureTitle"/>
      </w:pPr>
      <w:r>
        <w:lastRenderedPageBreak/>
        <w:t>Private Health Insurance – Prescribed List of Medical Devices and Human Tissue Products</w:t>
      </w:r>
    </w:p>
    <w:p w14:paraId="47B2A400"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087BBFE4" w14:textId="77777777">
        <w:trPr>
          <w:cantSplit/>
        </w:trPr>
        <w:tc>
          <w:tcPr>
            <w:tcW w:w="2494" w:type="dxa"/>
            <w:tcBorders>
              <w:top w:val="single" w:sz="4" w:space="0" w:color="000000"/>
              <w:bottom w:val="single" w:sz="4" w:space="0" w:color="000000"/>
            </w:tcBorders>
          </w:tcPr>
          <w:p w14:paraId="2B4A6500" w14:textId="77777777" w:rsidR="00B449D0" w:rsidRDefault="00B449D0">
            <w:pPr>
              <w:pStyle w:val="MeasureTableYearHeadings"/>
              <w:keepNext/>
            </w:pPr>
          </w:p>
        </w:tc>
        <w:tc>
          <w:tcPr>
            <w:tcW w:w="1043" w:type="dxa"/>
            <w:tcBorders>
              <w:top w:val="single" w:sz="4" w:space="0" w:color="000000"/>
              <w:bottom w:val="single" w:sz="4" w:space="0" w:color="000000"/>
            </w:tcBorders>
          </w:tcPr>
          <w:p w14:paraId="60117209" w14:textId="4AEC7A12"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1850B696" w14:textId="2C2D7918"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6B7960DF" w14:textId="6A83A572"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2A8636AF" w14:textId="57978181"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79ECB229" w14:textId="1BA44CA7" w:rsidR="00B449D0" w:rsidRDefault="00175344">
            <w:pPr>
              <w:pStyle w:val="MeasureTableYearHeadings"/>
              <w:keepNext/>
            </w:pPr>
            <w:r>
              <w:t>2027</w:t>
            </w:r>
            <w:r w:rsidR="00076D78">
              <w:noBreakHyphen/>
            </w:r>
            <w:r>
              <w:t>28</w:t>
            </w:r>
          </w:p>
        </w:tc>
      </w:tr>
      <w:tr w:rsidR="00B449D0" w14:paraId="3AA57C29" w14:textId="77777777">
        <w:trPr>
          <w:cantSplit/>
        </w:trPr>
        <w:tc>
          <w:tcPr>
            <w:tcW w:w="2494" w:type="dxa"/>
            <w:tcBorders>
              <w:top w:val="single" w:sz="4" w:space="0" w:color="000000"/>
              <w:bottom w:val="single" w:sz="4" w:space="0" w:color="000000"/>
            </w:tcBorders>
          </w:tcPr>
          <w:p w14:paraId="0E7D3E03" w14:textId="77777777" w:rsidR="00B449D0" w:rsidRDefault="00175344">
            <w:pPr>
              <w:pStyle w:val="MeasureTableHeadingleftalignedwith2ptsspacing"/>
              <w:keepNext/>
            </w:pPr>
            <w:r>
              <w:t>Department of Health and Aged Care</w:t>
            </w:r>
          </w:p>
        </w:tc>
        <w:tc>
          <w:tcPr>
            <w:tcW w:w="1043" w:type="dxa"/>
            <w:tcBorders>
              <w:top w:val="single" w:sz="4" w:space="0" w:color="000000"/>
              <w:bottom w:val="single" w:sz="4" w:space="0" w:color="000000"/>
            </w:tcBorders>
          </w:tcPr>
          <w:p w14:paraId="75C0A4B2" w14:textId="4647D20F"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A7B35EC" w14:textId="1269C085" w:rsidR="00B449D0" w:rsidRDefault="00076D78">
            <w:pPr>
              <w:pStyle w:val="MeasureTableDataRightAlignedwith2ptsspacing"/>
              <w:keepNext/>
            </w:pPr>
            <w:r>
              <w:noBreakHyphen/>
            </w:r>
            <w:r w:rsidR="00175344">
              <w:t>1.3</w:t>
            </w:r>
          </w:p>
        </w:tc>
        <w:tc>
          <w:tcPr>
            <w:tcW w:w="1043" w:type="dxa"/>
            <w:tcBorders>
              <w:top w:val="single" w:sz="4" w:space="0" w:color="000000"/>
              <w:bottom w:val="single" w:sz="4" w:space="0" w:color="000000"/>
            </w:tcBorders>
          </w:tcPr>
          <w:p w14:paraId="63D0A946" w14:textId="16E42CB6" w:rsidR="00B449D0" w:rsidRDefault="00076D78">
            <w:pPr>
              <w:pStyle w:val="MeasureTableDataRightAlignedwith2ptsspacing"/>
              <w:keepNext/>
            </w:pPr>
            <w:r>
              <w:noBreakHyphen/>
            </w:r>
            <w:r w:rsidR="00175344">
              <w:t>1.3</w:t>
            </w:r>
          </w:p>
        </w:tc>
        <w:tc>
          <w:tcPr>
            <w:tcW w:w="1043" w:type="dxa"/>
            <w:tcBorders>
              <w:top w:val="single" w:sz="4" w:space="0" w:color="000000"/>
              <w:bottom w:val="single" w:sz="4" w:space="0" w:color="000000"/>
            </w:tcBorders>
          </w:tcPr>
          <w:p w14:paraId="56FADD16" w14:textId="2CB6F20F" w:rsidR="00B449D0" w:rsidRDefault="00076D78">
            <w:pPr>
              <w:pStyle w:val="MeasureTableDataRightAlignedwith2ptsspacing"/>
              <w:keepNext/>
            </w:pPr>
            <w:r>
              <w:noBreakHyphen/>
            </w:r>
            <w:r w:rsidR="00175344">
              <w:t>1.3</w:t>
            </w:r>
          </w:p>
        </w:tc>
        <w:tc>
          <w:tcPr>
            <w:tcW w:w="1043" w:type="dxa"/>
            <w:tcBorders>
              <w:top w:val="single" w:sz="4" w:space="0" w:color="000000"/>
              <w:bottom w:val="single" w:sz="4" w:space="0" w:color="000000"/>
            </w:tcBorders>
          </w:tcPr>
          <w:p w14:paraId="71007C17" w14:textId="67084605" w:rsidR="00B449D0" w:rsidRDefault="00076D78">
            <w:pPr>
              <w:pStyle w:val="MeasureTableDataRightAlignedwith2ptsspacing"/>
              <w:keepNext/>
            </w:pPr>
            <w:r>
              <w:noBreakHyphen/>
            </w:r>
            <w:r w:rsidR="00175344">
              <w:t>1.3</w:t>
            </w:r>
          </w:p>
        </w:tc>
      </w:tr>
      <w:tr w:rsidR="00B449D0" w14:paraId="13BED1B2" w14:textId="77777777">
        <w:trPr>
          <w:cantSplit/>
        </w:trPr>
        <w:tc>
          <w:tcPr>
            <w:tcW w:w="2494" w:type="dxa"/>
          </w:tcPr>
          <w:p w14:paraId="799909D5" w14:textId="77777777" w:rsidR="00B449D0" w:rsidRDefault="00175344">
            <w:pPr>
              <w:pStyle w:val="AgencyName"/>
              <w:keepNext/>
            </w:pPr>
            <w:r>
              <w:t>Related receipts ($m)</w:t>
            </w:r>
          </w:p>
        </w:tc>
        <w:tc>
          <w:tcPr>
            <w:tcW w:w="1043" w:type="dxa"/>
          </w:tcPr>
          <w:p w14:paraId="7F1B2184" w14:textId="77777777" w:rsidR="00B449D0" w:rsidRDefault="00B449D0">
            <w:pPr>
              <w:pStyle w:val="AgencyName"/>
              <w:keepNext/>
            </w:pPr>
          </w:p>
        </w:tc>
        <w:tc>
          <w:tcPr>
            <w:tcW w:w="1043" w:type="dxa"/>
          </w:tcPr>
          <w:p w14:paraId="4EE1CFF2" w14:textId="77777777" w:rsidR="00B449D0" w:rsidRDefault="00B449D0">
            <w:pPr>
              <w:pStyle w:val="AgencyName"/>
              <w:keepNext/>
            </w:pPr>
          </w:p>
        </w:tc>
        <w:tc>
          <w:tcPr>
            <w:tcW w:w="1043" w:type="dxa"/>
          </w:tcPr>
          <w:p w14:paraId="47F34EA8" w14:textId="77777777" w:rsidR="00B449D0" w:rsidRDefault="00B449D0">
            <w:pPr>
              <w:pStyle w:val="AgencyName"/>
              <w:keepNext/>
            </w:pPr>
          </w:p>
        </w:tc>
        <w:tc>
          <w:tcPr>
            <w:tcW w:w="1043" w:type="dxa"/>
          </w:tcPr>
          <w:p w14:paraId="5C1D5168" w14:textId="77777777" w:rsidR="00B449D0" w:rsidRDefault="00B449D0">
            <w:pPr>
              <w:pStyle w:val="AgencyName"/>
              <w:keepNext/>
            </w:pPr>
          </w:p>
        </w:tc>
        <w:tc>
          <w:tcPr>
            <w:tcW w:w="1043" w:type="dxa"/>
          </w:tcPr>
          <w:p w14:paraId="6BC8DC78" w14:textId="77777777" w:rsidR="00B449D0" w:rsidRDefault="00B449D0">
            <w:pPr>
              <w:pStyle w:val="AgencyName"/>
              <w:keepNext/>
            </w:pPr>
          </w:p>
        </w:tc>
      </w:tr>
      <w:tr w:rsidR="00B449D0" w14:paraId="7510E0D2" w14:textId="77777777">
        <w:tc>
          <w:tcPr>
            <w:tcW w:w="2494" w:type="dxa"/>
          </w:tcPr>
          <w:p w14:paraId="1A7F54EF" w14:textId="77777777" w:rsidR="00B449D0" w:rsidRDefault="00175344">
            <w:pPr>
              <w:pStyle w:val="AgencyNamewith2ptsspacing"/>
              <w:keepNext/>
            </w:pPr>
            <w:r>
              <w:t>Department of Health and Aged Care</w:t>
            </w:r>
          </w:p>
        </w:tc>
        <w:tc>
          <w:tcPr>
            <w:tcW w:w="1043" w:type="dxa"/>
          </w:tcPr>
          <w:p w14:paraId="21EA224D" w14:textId="310A7D5F" w:rsidR="00B449D0" w:rsidRDefault="00076D78">
            <w:pPr>
              <w:pStyle w:val="Measuretabledatarightaligneditalics"/>
              <w:keepNext/>
            </w:pPr>
            <w:r>
              <w:noBreakHyphen/>
            </w:r>
          </w:p>
        </w:tc>
        <w:tc>
          <w:tcPr>
            <w:tcW w:w="1043" w:type="dxa"/>
          </w:tcPr>
          <w:p w14:paraId="2E32B6C5" w14:textId="7BCE9075" w:rsidR="00B449D0" w:rsidRDefault="00076D78">
            <w:pPr>
              <w:pStyle w:val="Measuretabledatarightaligneditalics"/>
              <w:keepNext/>
            </w:pPr>
            <w:r>
              <w:noBreakHyphen/>
            </w:r>
            <w:r w:rsidR="00175344">
              <w:t>1.3</w:t>
            </w:r>
          </w:p>
        </w:tc>
        <w:tc>
          <w:tcPr>
            <w:tcW w:w="1043" w:type="dxa"/>
          </w:tcPr>
          <w:p w14:paraId="6A9A7264" w14:textId="244D19BA" w:rsidR="00B449D0" w:rsidRDefault="00076D78">
            <w:pPr>
              <w:pStyle w:val="Measuretabledatarightaligneditalics"/>
              <w:keepNext/>
            </w:pPr>
            <w:r>
              <w:noBreakHyphen/>
            </w:r>
          </w:p>
        </w:tc>
        <w:tc>
          <w:tcPr>
            <w:tcW w:w="1043" w:type="dxa"/>
          </w:tcPr>
          <w:p w14:paraId="42234377" w14:textId="11FA81C4" w:rsidR="00B449D0" w:rsidRDefault="00076D78">
            <w:pPr>
              <w:pStyle w:val="Measuretabledatarightaligneditalics"/>
              <w:keepNext/>
            </w:pPr>
            <w:r>
              <w:noBreakHyphen/>
            </w:r>
          </w:p>
        </w:tc>
        <w:tc>
          <w:tcPr>
            <w:tcW w:w="1043" w:type="dxa"/>
          </w:tcPr>
          <w:p w14:paraId="5DDFFD9A" w14:textId="08943A88" w:rsidR="00B449D0" w:rsidRDefault="00076D78">
            <w:pPr>
              <w:pStyle w:val="Measuretabledatarightaligneditalics"/>
              <w:keepNext/>
            </w:pPr>
            <w:r>
              <w:noBreakHyphen/>
            </w:r>
          </w:p>
        </w:tc>
      </w:tr>
    </w:tbl>
    <w:p w14:paraId="238DDD5D" w14:textId="77777777" w:rsidR="00B449D0" w:rsidRDefault="00B449D0" w:rsidP="00380A42">
      <w:pPr>
        <w:pStyle w:val="SingleParagraph0"/>
      </w:pPr>
    </w:p>
    <w:p w14:paraId="1472030B" w14:textId="4619FE9D" w:rsidR="00B449D0" w:rsidRDefault="00175344">
      <w:pPr>
        <w:pStyle w:val="Normal2"/>
      </w:pPr>
      <w:r>
        <w:t>The Government will achieve savings of $5.1 million over four years from 2024–25 (and $1.3 million per year ongoing) by ceasing ongoing direct funding of compliance and post listing review activities for medical devices on the Prescribed List of Medical Devices and Human Tissue Products, which will be funded by cost recovery from industry from 2025</w:t>
      </w:r>
      <w:r w:rsidR="00C51B5D">
        <w:t>‍</w:t>
      </w:r>
      <w:r>
        <w:t>–</w:t>
      </w:r>
      <w:r w:rsidR="00C51B5D">
        <w:t>‍</w:t>
      </w:r>
      <w:r>
        <w:t>26.</w:t>
      </w:r>
    </w:p>
    <w:p w14:paraId="74EB70B2" w14:textId="77777777" w:rsidR="00B449D0" w:rsidRDefault="00175344">
      <w:pPr>
        <w:pStyle w:val="Normal2"/>
      </w:pPr>
      <w:r>
        <w:t>This measure will decrease receipts by $1.3 million in 2024–25.</w:t>
      </w:r>
    </w:p>
    <w:p w14:paraId="074F433F" w14:textId="77777777" w:rsidR="00B449D0" w:rsidRDefault="00175344">
      <w:pPr>
        <w:pStyle w:val="MeasureTitle"/>
      </w:pPr>
      <w:r>
        <w:t>Private Hospital Financial Health Check</w:t>
      </w:r>
    </w:p>
    <w:p w14:paraId="06D36EA1"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715F51AD" w14:textId="77777777">
        <w:trPr>
          <w:cantSplit/>
        </w:trPr>
        <w:tc>
          <w:tcPr>
            <w:tcW w:w="2494" w:type="dxa"/>
            <w:tcBorders>
              <w:top w:val="single" w:sz="4" w:space="0" w:color="000000"/>
              <w:bottom w:val="single" w:sz="4" w:space="0" w:color="000000"/>
            </w:tcBorders>
          </w:tcPr>
          <w:p w14:paraId="7847C670" w14:textId="77777777" w:rsidR="00B449D0" w:rsidRDefault="00B449D0">
            <w:pPr>
              <w:pStyle w:val="MeasureTableYearHeadings"/>
              <w:keepNext/>
            </w:pPr>
          </w:p>
        </w:tc>
        <w:tc>
          <w:tcPr>
            <w:tcW w:w="1043" w:type="dxa"/>
            <w:tcBorders>
              <w:top w:val="single" w:sz="4" w:space="0" w:color="000000"/>
              <w:bottom w:val="single" w:sz="4" w:space="0" w:color="000000"/>
            </w:tcBorders>
          </w:tcPr>
          <w:p w14:paraId="7494C07A" w14:textId="4E16F807"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09A90A06" w14:textId="4B3EF4DA"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34F24BD7" w14:textId="5870DE39"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4E5451C5" w14:textId="06D2FC8F"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13D1C42B" w14:textId="2B733C64" w:rsidR="00B449D0" w:rsidRDefault="00175344">
            <w:pPr>
              <w:pStyle w:val="MeasureTableYearHeadings"/>
              <w:keepNext/>
            </w:pPr>
            <w:r>
              <w:t>2027</w:t>
            </w:r>
            <w:r w:rsidR="00076D78">
              <w:noBreakHyphen/>
            </w:r>
            <w:r>
              <w:t>28</w:t>
            </w:r>
          </w:p>
        </w:tc>
      </w:tr>
      <w:tr w:rsidR="00B449D0" w14:paraId="68BB4E37" w14:textId="77777777">
        <w:trPr>
          <w:cantSplit/>
        </w:trPr>
        <w:tc>
          <w:tcPr>
            <w:tcW w:w="2494" w:type="dxa"/>
            <w:tcBorders>
              <w:top w:val="single" w:sz="4" w:space="0" w:color="000000"/>
              <w:bottom w:val="single" w:sz="4" w:space="0" w:color="000000"/>
            </w:tcBorders>
          </w:tcPr>
          <w:p w14:paraId="70CD528E" w14:textId="77777777" w:rsidR="00B449D0" w:rsidRDefault="00175344">
            <w:pPr>
              <w:pStyle w:val="MeasureTableHeadingleftalignedwith2ptsspacing"/>
              <w:keepNext/>
            </w:pPr>
            <w:r>
              <w:t>Department of Health and Aged Care</w:t>
            </w:r>
          </w:p>
        </w:tc>
        <w:tc>
          <w:tcPr>
            <w:tcW w:w="1043" w:type="dxa"/>
            <w:tcBorders>
              <w:top w:val="single" w:sz="4" w:space="0" w:color="000000"/>
              <w:bottom w:val="single" w:sz="4" w:space="0" w:color="000000"/>
            </w:tcBorders>
          </w:tcPr>
          <w:p w14:paraId="0FE50368" w14:textId="09612CD1"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FC05CF5" w14:textId="70F325D9"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1BB1B56" w14:textId="0552AE44"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214A782" w14:textId="633B4145"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D6AE40A" w14:textId="0BB4E9A7" w:rsidR="00B449D0" w:rsidRDefault="00076D78">
            <w:pPr>
              <w:pStyle w:val="MeasureTableDataRightAlignedwith2ptsspacing"/>
              <w:keepNext/>
            </w:pPr>
            <w:r>
              <w:noBreakHyphen/>
            </w:r>
          </w:p>
        </w:tc>
      </w:tr>
    </w:tbl>
    <w:p w14:paraId="74B4741C" w14:textId="77777777" w:rsidR="00B449D0" w:rsidRDefault="00B449D0" w:rsidP="00380A42">
      <w:pPr>
        <w:pStyle w:val="SingleParagraph0"/>
      </w:pPr>
    </w:p>
    <w:p w14:paraId="49D75819" w14:textId="77777777" w:rsidR="00B449D0" w:rsidRDefault="00175344">
      <w:pPr>
        <w:pStyle w:val="Normal2"/>
      </w:pPr>
      <w:r>
        <w:t>The Government has provided $0.7 million over two years from 2023–24 to undertake a Private Hospital Financial Health Check.</w:t>
      </w:r>
    </w:p>
    <w:p w14:paraId="655B8FB8" w14:textId="316DFE38" w:rsidR="00B449D0" w:rsidRDefault="00175344">
      <w:pPr>
        <w:pStyle w:val="Normal2"/>
      </w:pPr>
      <w:r w:rsidRPr="7F762F0D">
        <w:rPr>
          <w:lang w:val="en-US"/>
        </w:rPr>
        <w:t>The cost of this measure will be met from within the existing resourcing of the Department</w:t>
      </w:r>
      <w:r w:rsidR="00404658">
        <w:rPr>
          <w:lang w:val="en-US"/>
        </w:rPr>
        <w:t> </w:t>
      </w:r>
      <w:r w:rsidRPr="7F762F0D">
        <w:rPr>
          <w:lang w:val="en-US"/>
        </w:rPr>
        <w:t>of Health and Aged Care.</w:t>
      </w:r>
    </w:p>
    <w:p w14:paraId="04A5817B" w14:textId="77777777" w:rsidR="00B449D0" w:rsidRDefault="00175344">
      <w:pPr>
        <w:pStyle w:val="MeasureTitle"/>
      </w:pPr>
      <w:r>
        <w:t>Renegotiating Supply of the Novavax COVID‑19 Vaccine</w:t>
      </w:r>
    </w:p>
    <w:p w14:paraId="5C64F3EB"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2B5CB994" w14:textId="77777777">
        <w:trPr>
          <w:cantSplit/>
        </w:trPr>
        <w:tc>
          <w:tcPr>
            <w:tcW w:w="2494" w:type="dxa"/>
            <w:tcBorders>
              <w:top w:val="single" w:sz="4" w:space="0" w:color="000000"/>
              <w:bottom w:val="single" w:sz="4" w:space="0" w:color="000000"/>
            </w:tcBorders>
          </w:tcPr>
          <w:p w14:paraId="27EE6CF8" w14:textId="77777777" w:rsidR="00B449D0" w:rsidRDefault="00B449D0">
            <w:pPr>
              <w:pStyle w:val="MeasureTableYearHeadings"/>
              <w:keepNext/>
            </w:pPr>
          </w:p>
        </w:tc>
        <w:tc>
          <w:tcPr>
            <w:tcW w:w="1043" w:type="dxa"/>
            <w:tcBorders>
              <w:top w:val="single" w:sz="4" w:space="0" w:color="000000"/>
              <w:bottom w:val="single" w:sz="4" w:space="0" w:color="000000"/>
            </w:tcBorders>
          </w:tcPr>
          <w:p w14:paraId="00D71D78" w14:textId="2CD13951"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579240FC" w14:textId="55B4FC27"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20D3ECD3" w14:textId="24F39E31"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7D312175" w14:textId="30B70B60"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60DD784B" w14:textId="1259605E" w:rsidR="00B449D0" w:rsidRDefault="00175344">
            <w:pPr>
              <w:pStyle w:val="MeasureTableYearHeadings"/>
              <w:keepNext/>
            </w:pPr>
            <w:r>
              <w:t>2027</w:t>
            </w:r>
            <w:r w:rsidR="00076D78">
              <w:noBreakHyphen/>
            </w:r>
            <w:r>
              <w:t>28</w:t>
            </w:r>
          </w:p>
        </w:tc>
      </w:tr>
      <w:tr w:rsidR="00B449D0" w14:paraId="202AA530" w14:textId="77777777">
        <w:trPr>
          <w:cantSplit/>
        </w:trPr>
        <w:tc>
          <w:tcPr>
            <w:tcW w:w="2494" w:type="dxa"/>
            <w:tcBorders>
              <w:top w:val="single" w:sz="4" w:space="0" w:color="000000"/>
              <w:bottom w:val="single" w:sz="4" w:space="0" w:color="000000"/>
            </w:tcBorders>
          </w:tcPr>
          <w:p w14:paraId="1F481E90" w14:textId="77777777" w:rsidR="00B449D0" w:rsidRDefault="00175344">
            <w:pPr>
              <w:pStyle w:val="MeasureTableHeadingleftalignedwith2ptsspacing"/>
              <w:keepNext/>
            </w:pPr>
            <w:r>
              <w:t>Department of Health and Aged Care</w:t>
            </w:r>
          </w:p>
        </w:tc>
        <w:tc>
          <w:tcPr>
            <w:tcW w:w="1043" w:type="dxa"/>
            <w:tcBorders>
              <w:top w:val="single" w:sz="4" w:space="0" w:color="000000"/>
              <w:bottom w:val="single" w:sz="4" w:space="0" w:color="000000"/>
            </w:tcBorders>
          </w:tcPr>
          <w:p w14:paraId="2CC92BD7" w14:textId="74D00D9E"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CA3B36B" w14:textId="6BC4C2F3" w:rsidR="00B449D0" w:rsidRDefault="00076D78">
            <w:pPr>
              <w:pStyle w:val="MeasureTableDataRightAlignedwith2ptsspacing"/>
              <w:keepNext/>
            </w:pPr>
            <w:r>
              <w:noBreakHyphen/>
            </w:r>
            <w:r w:rsidR="00175344">
              <w:t>146.6</w:t>
            </w:r>
          </w:p>
        </w:tc>
        <w:tc>
          <w:tcPr>
            <w:tcW w:w="1043" w:type="dxa"/>
            <w:tcBorders>
              <w:top w:val="single" w:sz="4" w:space="0" w:color="000000"/>
              <w:bottom w:val="single" w:sz="4" w:space="0" w:color="000000"/>
            </w:tcBorders>
          </w:tcPr>
          <w:p w14:paraId="6F26E151" w14:textId="6FA4DE84" w:rsidR="00B449D0" w:rsidRDefault="00076D78">
            <w:pPr>
              <w:pStyle w:val="MeasureTableDataRightAlignedwith2ptsspacing"/>
              <w:keepNext/>
            </w:pPr>
            <w:r>
              <w:noBreakHyphen/>
            </w:r>
            <w:r w:rsidR="00175344">
              <w:t>60.1</w:t>
            </w:r>
          </w:p>
        </w:tc>
        <w:tc>
          <w:tcPr>
            <w:tcW w:w="1043" w:type="dxa"/>
            <w:tcBorders>
              <w:top w:val="single" w:sz="4" w:space="0" w:color="000000"/>
              <w:bottom w:val="single" w:sz="4" w:space="0" w:color="000000"/>
            </w:tcBorders>
          </w:tcPr>
          <w:p w14:paraId="419ECB46" w14:textId="536EA406"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3E9172C" w14:textId="05C9FDA4" w:rsidR="00B449D0" w:rsidRDefault="00076D78">
            <w:pPr>
              <w:pStyle w:val="MeasureTableDataRightAlignedwith2ptsspacing"/>
              <w:keepNext/>
            </w:pPr>
            <w:r>
              <w:noBreakHyphen/>
            </w:r>
          </w:p>
        </w:tc>
      </w:tr>
    </w:tbl>
    <w:p w14:paraId="1F0FF0BD" w14:textId="77777777" w:rsidR="00B449D0" w:rsidRDefault="00B449D0" w:rsidP="00380A42">
      <w:pPr>
        <w:pStyle w:val="SingleParagraph0"/>
      </w:pPr>
    </w:p>
    <w:p w14:paraId="41935562" w14:textId="77777777" w:rsidR="00B449D0" w:rsidRDefault="00175344">
      <w:pPr>
        <w:pStyle w:val="Normal2"/>
      </w:pPr>
      <w:r w:rsidRPr="7F762F0D">
        <w:rPr>
          <w:lang w:val="en-US"/>
        </w:rPr>
        <w:t>The Government will achieve savings of $206.7 million over two years from 2024–25 by renegotiating the terms of the advance purchase agreement entered into with Novavax, Inc for the purchase of COVID‑19 vaccines.</w:t>
      </w:r>
    </w:p>
    <w:p w14:paraId="4C3F5875" w14:textId="77777777" w:rsidR="00B449D0" w:rsidRDefault="00175344">
      <w:pPr>
        <w:pStyle w:val="Normal2"/>
      </w:pPr>
      <w:r>
        <w:t>The savings from this measure will fund other Government policy priorities in the Department of Health and Aged Care.</w:t>
      </w:r>
    </w:p>
    <w:p w14:paraId="353161C3" w14:textId="77777777" w:rsidR="00B449D0" w:rsidRDefault="00175344">
      <w:pPr>
        <w:pStyle w:val="Normal2"/>
      </w:pPr>
      <w:r>
        <w:t xml:space="preserve">This measure relates to the 2023–24 Budget measure titled </w:t>
      </w:r>
      <w:r w:rsidRPr="00175344">
        <w:rPr>
          <w:i/>
        </w:rPr>
        <w:t>COVID‑19 Response.</w:t>
      </w:r>
    </w:p>
    <w:p w14:paraId="428046D6" w14:textId="77777777" w:rsidR="00B449D0" w:rsidRDefault="00175344">
      <w:pPr>
        <w:pStyle w:val="MeasureTitle"/>
      </w:pPr>
      <w:r>
        <w:lastRenderedPageBreak/>
        <w:t>Securing Access to Medicines</w:t>
      </w:r>
    </w:p>
    <w:p w14:paraId="4E2A6725"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0EA3C4B7" w14:textId="77777777">
        <w:trPr>
          <w:cantSplit/>
        </w:trPr>
        <w:tc>
          <w:tcPr>
            <w:tcW w:w="2494" w:type="dxa"/>
            <w:tcBorders>
              <w:top w:val="single" w:sz="4" w:space="0" w:color="000000"/>
              <w:bottom w:val="single" w:sz="4" w:space="0" w:color="000000"/>
            </w:tcBorders>
          </w:tcPr>
          <w:p w14:paraId="4BC3C364" w14:textId="77777777" w:rsidR="00B449D0" w:rsidRDefault="00B449D0">
            <w:pPr>
              <w:pStyle w:val="MeasureTableYearHeadings"/>
              <w:keepNext/>
            </w:pPr>
          </w:p>
        </w:tc>
        <w:tc>
          <w:tcPr>
            <w:tcW w:w="1043" w:type="dxa"/>
            <w:tcBorders>
              <w:top w:val="single" w:sz="4" w:space="0" w:color="000000"/>
              <w:bottom w:val="single" w:sz="4" w:space="0" w:color="000000"/>
            </w:tcBorders>
          </w:tcPr>
          <w:p w14:paraId="302BC213" w14:textId="6D1D0AEC"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19C11837" w14:textId="3863F287"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1FCAAA22" w14:textId="7DEC0EA8"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3CED9E03" w14:textId="39C7E11D"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02D3B3C2" w14:textId="49DBFE2E" w:rsidR="00B449D0" w:rsidRDefault="00175344">
            <w:pPr>
              <w:pStyle w:val="MeasureTableYearHeadings"/>
              <w:keepNext/>
            </w:pPr>
            <w:r>
              <w:t>2027</w:t>
            </w:r>
            <w:r w:rsidR="00076D78">
              <w:noBreakHyphen/>
            </w:r>
            <w:r>
              <w:t>28</w:t>
            </w:r>
          </w:p>
        </w:tc>
      </w:tr>
      <w:tr w:rsidR="00B449D0" w14:paraId="39853828" w14:textId="77777777">
        <w:trPr>
          <w:cantSplit/>
        </w:trPr>
        <w:tc>
          <w:tcPr>
            <w:tcW w:w="2494" w:type="dxa"/>
            <w:tcBorders>
              <w:top w:val="single" w:sz="4" w:space="0" w:color="000000"/>
              <w:bottom w:val="single" w:sz="4" w:space="0" w:color="000000"/>
            </w:tcBorders>
          </w:tcPr>
          <w:p w14:paraId="3BBE4C8B" w14:textId="77777777" w:rsidR="00B449D0" w:rsidRDefault="00175344">
            <w:pPr>
              <w:pStyle w:val="MeasureTableHeadingleftalignedwith2ptsspacing"/>
              <w:keepNext/>
            </w:pPr>
            <w:r>
              <w:t>Department of the Treasury</w:t>
            </w:r>
          </w:p>
        </w:tc>
        <w:tc>
          <w:tcPr>
            <w:tcW w:w="1043" w:type="dxa"/>
            <w:tcBorders>
              <w:top w:val="single" w:sz="4" w:space="0" w:color="000000"/>
              <w:bottom w:val="single" w:sz="4" w:space="0" w:color="000000"/>
            </w:tcBorders>
          </w:tcPr>
          <w:p w14:paraId="0E8B337C" w14:textId="488914FE"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D42DE5D" w14:textId="77777777" w:rsidR="00B449D0" w:rsidRDefault="00175344">
            <w:pPr>
              <w:pStyle w:val="MeasureTableDataRightAlignedwith2ptsspacing"/>
              <w:keepNext/>
            </w:pPr>
            <w:r>
              <w:t>15.0</w:t>
            </w:r>
          </w:p>
        </w:tc>
        <w:tc>
          <w:tcPr>
            <w:tcW w:w="1043" w:type="dxa"/>
            <w:tcBorders>
              <w:top w:val="single" w:sz="4" w:space="0" w:color="000000"/>
              <w:bottom w:val="single" w:sz="4" w:space="0" w:color="000000"/>
            </w:tcBorders>
          </w:tcPr>
          <w:p w14:paraId="59593FBE" w14:textId="77777777" w:rsidR="00B449D0" w:rsidRDefault="00175344">
            <w:pPr>
              <w:pStyle w:val="MeasureTableDataRightAlignedwith2ptsspacing"/>
              <w:keepNext/>
            </w:pPr>
            <w:r>
              <w:t>5.0</w:t>
            </w:r>
          </w:p>
        </w:tc>
        <w:tc>
          <w:tcPr>
            <w:tcW w:w="1043" w:type="dxa"/>
            <w:tcBorders>
              <w:top w:val="single" w:sz="4" w:space="0" w:color="000000"/>
              <w:bottom w:val="single" w:sz="4" w:space="0" w:color="000000"/>
            </w:tcBorders>
          </w:tcPr>
          <w:p w14:paraId="4FEF516F" w14:textId="1CF35441"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B14015E" w14:textId="56BA3ABD" w:rsidR="00B449D0" w:rsidRDefault="00076D78">
            <w:pPr>
              <w:pStyle w:val="MeasureTableDataRightAlignedwith2ptsspacing"/>
              <w:keepNext/>
            </w:pPr>
            <w:r>
              <w:noBreakHyphen/>
            </w:r>
          </w:p>
        </w:tc>
      </w:tr>
      <w:tr w:rsidR="00B449D0" w14:paraId="351BC89D" w14:textId="77777777">
        <w:trPr>
          <w:cantSplit/>
        </w:trPr>
        <w:tc>
          <w:tcPr>
            <w:tcW w:w="2494" w:type="dxa"/>
            <w:tcBorders>
              <w:top w:val="single" w:sz="4" w:space="0" w:color="000000"/>
              <w:bottom w:val="single" w:sz="4" w:space="0" w:color="000000"/>
            </w:tcBorders>
          </w:tcPr>
          <w:p w14:paraId="46C83B89" w14:textId="77777777" w:rsidR="00B449D0" w:rsidRDefault="00175344">
            <w:pPr>
              <w:pStyle w:val="MeasureTableHeadingleftalignedwith2ptsspacing"/>
              <w:keepNext/>
            </w:pPr>
            <w:r>
              <w:t>Department of Health and Aged Care</w:t>
            </w:r>
          </w:p>
        </w:tc>
        <w:tc>
          <w:tcPr>
            <w:tcW w:w="1043" w:type="dxa"/>
            <w:tcBorders>
              <w:top w:val="single" w:sz="4" w:space="0" w:color="000000"/>
              <w:bottom w:val="single" w:sz="4" w:space="0" w:color="000000"/>
            </w:tcBorders>
          </w:tcPr>
          <w:p w14:paraId="0AA0CAEB" w14:textId="6FDA6F5A"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5954C2C" w14:textId="77777777" w:rsidR="00B449D0" w:rsidRDefault="00175344">
            <w:pPr>
              <w:pStyle w:val="MeasureTableDataRightAlignedwith2ptsspacing"/>
              <w:keepNext/>
            </w:pPr>
            <w:r>
              <w:t>4.9</w:t>
            </w:r>
          </w:p>
        </w:tc>
        <w:tc>
          <w:tcPr>
            <w:tcW w:w="1043" w:type="dxa"/>
            <w:tcBorders>
              <w:top w:val="single" w:sz="4" w:space="0" w:color="000000"/>
              <w:bottom w:val="single" w:sz="4" w:space="0" w:color="000000"/>
            </w:tcBorders>
          </w:tcPr>
          <w:p w14:paraId="5B9813AB" w14:textId="77777777" w:rsidR="00B449D0" w:rsidRDefault="00175344">
            <w:pPr>
              <w:pStyle w:val="MeasureTableDataRightAlignedwith2ptsspacing"/>
              <w:keepNext/>
            </w:pPr>
            <w:r>
              <w:t>0.4</w:t>
            </w:r>
          </w:p>
        </w:tc>
        <w:tc>
          <w:tcPr>
            <w:tcW w:w="1043" w:type="dxa"/>
            <w:tcBorders>
              <w:top w:val="single" w:sz="4" w:space="0" w:color="000000"/>
              <w:bottom w:val="single" w:sz="4" w:space="0" w:color="000000"/>
            </w:tcBorders>
          </w:tcPr>
          <w:p w14:paraId="74375F3C" w14:textId="477435DA"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B4D7204" w14:textId="2FA816EE" w:rsidR="00B449D0" w:rsidRDefault="00076D78">
            <w:pPr>
              <w:pStyle w:val="MeasureTableDataRightAlignedwith2ptsspacing"/>
              <w:keepNext/>
            </w:pPr>
            <w:r>
              <w:noBreakHyphen/>
            </w:r>
          </w:p>
        </w:tc>
      </w:tr>
      <w:tr w:rsidR="00B449D0" w14:paraId="786374AB" w14:textId="77777777">
        <w:trPr>
          <w:cantSplit/>
        </w:trPr>
        <w:tc>
          <w:tcPr>
            <w:tcW w:w="2494" w:type="dxa"/>
            <w:tcBorders>
              <w:top w:val="single" w:sz="4" w:space="0" w:color="000000"/>
              <w:bottom w:val="single" w:sz="4" w:space="0" w:color="000000"/>
            </w:tcBorders>
          </w:tcPr>
          <w:p w14:paraId="05EBFB9E"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492081F0" w14:textId="1B03871B"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7F25AE19" w14:textId="77777777" w:rsidR="00B449D0" w:rsidRDefault="00175344">
            <w:pPr>
              <w:pStyle w:val="Totaldatarowrightaligned"/>
              <w:keepNext/>
            </w:pPr>
            <w:r>
              <w:t>19.9</w:t>
            </w:r>
          </w:p>
        </w:tc>
        <w:tc>
          <w:tcPr>
            <w:tcW w:w="1043" w:type="dxa"/>
            <w:tcBorders>
              <w:top w:val="single" w:sz="4" w:space="0" w:color="000000"/>
              <w:bottom w:val="single" w:sz="4" w:space="0" w:color="000000"/>
            </w:tcBorders>
          </w:tcPr>
          <w:p w14:paraId="6394F415" w14:textId="77777777" w:rsidR="00B449D0" w:rsidRDefault="00175344">
            <w:pPr>
              <w:pStyle w:val="Totaldatarowrightaligned"/>
              <w:keepNext/>
            </w:pPr>
            <w:r>
              <w:t>5.4</w:t>
            </w:r>
          </w:p>
        </w:tc>
        <w:tc>
          <w:tcPr>
            <w:tcW w:w="1043" w:type="dxa"/>
            <w:tcBorders>
              <w:top w:val="single" w:sz="4" w:space="0" w:color="000000"/>
              <w:bottom w:val="single" w:sz="4" w:space="0" w:color="000000"/>
            </w:tcBorders>
          </w:tcPr>
          <w:p w14:paraId="6464C555" w14:textId="78C8A3BA"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08F349D0" w14:textId="1D24B9DE" w:rsidR="00B449D0" w:rsidRDefault="00076D78">
            <w:pPr>
              <w:pStyle w:val="Totaldatarowrightaligned"/>
              <w:keepNext/>
            </w:pPr>
            <w:r>
              <w:noBreakHyphen/>
            </w:r>
          </w:p>
        </w:tc>
      </w:tr>
    </w:tbl>
    <w:p w14:paraId="1A7FC899" w14:textId="77777777" w:rsidR="00B449D0" w:rsidRDefault="00B449D0" w:rsidP="00380A42">
      <w:pPr>
        <w:pStyle w:val="SingleParagraph0"/>
      </w:pPr>
    </w:p>
    <w:p w14:paraId="333F4E74" w14:textId="77777777" w:rsidR="00B449D0" w:rsidRDefault="00175344">
      <w:pPr>
        <w:pStyle w:val="Normal2"/>
      </w:pPr>
      <w:r>
        <w:t>The Government will provide $35.3 million over two years from 2024–25 to increase public awareness of and access to medicines. Funding includes:</w:t>
      </w:r>
    </w:p>
    <w:p w14:paraId="1EB18CD0" w14:textId="77777777" w:rsidR="00B449D0" w:rsidRDefault="00175344">
      <w:pPr>
        <w:pStyle w:val="Bullet"/>
      </w:pPr>
      <w:r>
        <w:t>$20.0 million over two years from 2024–25 to facilitate access to difluoromethylornithine (DFMO) for people with high‑risk neuroblastoma</w:t>
      </w:r>
    </w:p>
    <w:p w14:paraId="1C73C4C8" w14:textId="77777777" w:rsidR="00B449D0" w:rsidRDefault="00175344">
      <w:pPr>
        <w:pStyle w:val="Bullet"/>
      </w:pPr>
      <w:r>
        <w:t>$10.0 million in 2024–25 to update the Pharmaceutical Benefits Scheme (PBS) 60‑day Prescriptions Education Campaign to raise awareness of new cost saving measures available for patients taking PBS medicines</w:t>
      </w:r>
    </w:p>
    <w:p w14:paraId="2050EF7F" w14:textId="77777777" w:rsidR="00B449D0" w:rsidRDefault="00175344">
      <w:pPr>
        <w:pStyle w:val="Bullet"/>
      </w:pPr>
      <w:r>
        <w:t>$5.3 million over two years from 2024–25 to support timely consideration of Pharmaceutical Benefits Advisory Committee submissions including health technology assessment evaluation, committee costs and departmental resourcing.</w:t>
      </w:r>
    </w:p>
    <w:p w14:paraId="5C008F83" w14:textId="77777777" w:rsidR="00B449D0" w:rsidRDefault="00175344">
      <w:pPr>
        <w:pStyle w:val="Normal2"/>
      </w:pPr>
      <w:r>
        <w:t>The Government has already provided partial funding for this measure.</w:t>
      </w:r>
    </w:p>
    <w:p w14:paraId="1C8E6D28" w14:textId="77777777" w:rsidR="00B449D0" w:rsidRDefault="00175344">
      <w:pPr>
        <w:pStyle w:val="Normal2"/>
      </w:pPr>
      <w:r>
        <w:t>The Treasury manages Commonwealth payments to the states and territories.</w:t>
      </w:r>
    </w:p>
    <w:p w14:paraId="1EFE65D5" w14:textId="77777777" w:rsidR="00B449D0" w:rsidRDefault="00175344">
      <w:pPr>
        <w:pStyle w:val="MeasureTitle"/>
      </w:pPr>
      <w:r>
        <w:t>Strengthening Medicare</w:t>
      </w:r>
    </w:p>
    <w:p w14:paraId="20956F1A"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5EDCFC74" w14:textId="77777777">
        <w:trPr>
          <w:cantSplit/>
        </w:trPr>
        <w:tc>
          <w:tcPr>
            <w:tcW w:w="2494" w:type="dxa"/>
            <w:tcBorders>
              <w:top w:val="single" w:sz="4" w:space="0" w:color="000000"/>
              <w:bottom w:val="single" w:sz="4" w:space="0" w:color="000000"/>
            </w:tcBorders>
          </w:tcPr>
          <w:p w14:paraId="1FD4004E" w14:textId="77777777" w:rsidR="00B449D0" w:rsidRDefault="00B449D0">
            <w:pPr>
              <w:pStyle w:val="MeasureTableYearHeadings"/>
              <w:keepNext/>
            </w:pPr>
          </w:p>
        </w:tc>
        <w:tc>
          <w:tcPr>
            <w:tcW w:w="1043" w:type="dxa"/>
            <w:tcBorders>
              <w:top w:val="single" w:sz="4" w:space="0" w:color="000000"/>
              <w:bottom w:val="single" w:sz="4" w:space="0" w:color="000000"/>
            </w:tcBorders>
          </w:tcPr>
          <w:p w14:paraId="231C6B3B" w14:textId="56D32A32"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144A876F" w14:textId="605CF25E"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0A3A6E5E" w14:textId="4B023A99"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7EA8B2BC" w14:textId="14A56804"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28DDC50B" w14:textId="541BFE52" w:rsidR="00B449D0" w:rsidRDefault="00175344">
            <w:pPr>
              <w:pStyle w:val="MeasureTableYearHeadings"/>
              <w:keepNext/>
            </w:pPr>
            <w:r>
              <w:t>2027</w:t>
            </w:r>
            <w:r w:rsidR="00076D78">
              <w:noBreakHyphen/>
            </w:r>
            <w:r>
              <w:t>28</w:t>
            </w:r>
          </w:p>
        </w:tc>
      </w:tr>
      <w:tr w:rsidR="00B449D0" w14:paraId="4A9CDDE0" w14:textId="77777777">
        <w:trPr>
          <w:cantSplit/>
        </w:trPr>
        <w:tc>
          <w:tcPr>
            <w:tcW w:w="2494" w:type="dxa"/>
            <w:tcBorders>
              <w:top w:val="single" w:sz="4" w:space="0" w:color="000000"/>
              <w:bottom w:val="single" w:sz="4" w:space="0" w:color="000000"/>
            </w:tcBorders>
          </w:tcPr>
          <w:p w14:paraId="5ECDD697" w14:textId="77777777" w:rsidR="00B449D0" w:rsidRDefault="00175344">
            <w:pPr>
              <w:pStyle w:val="MeasureTableHeadingleftalignedwith2ptsspacing"/>
              <w:keepNext/>
            </w:pPr>
            <w:r>
              <w:t>Department of Health and Aged Care</w:t>
            </w:r>
          </w:p>
        </w:tc>
        <w:tc>
          <w:tcPr>
            <w:tcW w:w="1043" w:type="dxa"/>
            <w:tcBorders>
              <w:top w:val="single" w:sz="4" w:space="0" w:color="000000"/>
              <w:bottom w:val="single" w:sz="4" w:space="0" w:color="000000"/>
            </w:tcBorders>
          </w:tcPr>
          <w:p w14:paraId="19AE40A4" w14:textId="67C1F716"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CF288A0" w14:textId="77777777" w:rsidR="00B449D0" w:rsidRDefault="00175344">
            <w:pPr>
              <w:pStyle w:val="MeasureTableDataRightAlignedwith2ptsspacing"/>
              <w:keepNext/>
            </w:pPr>
            <w:r>
              <w:t>0.8</w:t>
            </w:r>
          </w:p>
        </w:tc>
        <w:tc>
          <w:tcPr>
            <w:tcW w:w="1043" w:type="dxa"/>
            <w:tcBorders>
              <w:top w:val="single" w:sz="4" w:space="0" w:color="000000"/>
              <w:bottom w:val="single" w:sz="4" w:space="0" w:color="000000"/>
            </w:tcBorders>
          </w:tcPr>
          <w:p w14:paraId="0F70530C" w14:textId="77777777" w:rsidR="00B449D0" w:rsidRDefault="00175344">
            <w:pPr>
              <w:pStyle w:val="MeasureTableDataRightAlignedwith2ptsspacing"/>
              <w:keepNext/>
            </w:pPr>
            <w:r>
              <w:t>479.8</w:t>
            </w:r>
          </w:p>
        </w:tc>
        <w:tc>
          <w:tcPr>
            <w:tcW w:w="1043" w:type="dxa"/>
            <w:tcBorders>
              <w:top w:val="single" w:sz="4" w:space="0" w:color="000000"/>
              <w:bottom w:val="single" w:sz="4" w:space="0" w:color="000000"/>
            </w:tcBorders>
          </w:tcPr>
          <w:p w14:paraId="632E9C91" w14:textId="77777777" w:rsidR="00B449D0" w:rsidRDefault="00175344">
            <w:pPr>
              <w:pStyle w:val="MeasureTableDataRightAlignedwith2ptsspacing"/>
              <w:keepNext/>
            </w:pPr>
            <w:r>
              <w:t>94.7</w:t>
            </w:r>
          </w:p>
        </w:tc>
        <w:tc>
          <w:tcPr>
            <w:tcW w:w="1043" w:type="dxa"/>
            <w:tcBorders>
              <w:top w:val="single" w:sz="4" w:space="0" w:color="000000"/>
              <w:bottom w:val="single" w:sz="4" w:space="0" w:color="000000"/>
            </w:tcBorders>
          </w:tcPr>
          <w:p w14:paraId="0E396323" w14:textId="77777777" w:rsidR="00B449D0" w:rsidRDefault="00175344">
            <w:pPr>
              <w:pStyle w:val="MeasureTableDataRightAlignedwith2ptsspacing"/>
              <w:keepNext/>
            </w:pPr>
            <w:r>
              <w:t>7.4</w:t>
            </w:r>
          </w:p>
        </w:tc>
      </w:tr>
      <w:tr w:rsidR="00B449D0" w14:paraId="79D4F08E" w14:textId="77777777">
        <w:trPr>
          <w:cantSplit/>
        </w:trPr>
        <w:tc>
          <w:tcPr>
            <w:tcW w:w="2494" w:type="dxa"/>
            <w:tcBorders>
              <w:top w:val="single" w:sz="4" w:space="0" w:color="000000"/>
              <w:bottom w:val="single" w:sz="4" w:space="0" w:color="000000"/>
            </w:tcBorders>
          </w:tcPr>
          <w:p w14:paraId="7EF8C1FF" w14:textId="77777777" w:rsidR="00B449D0" w:rsidRDefault="00175344">
            <w:pPr>
              <w:pStyle w:val="MeasureTableHeadingleftalignedwith2ptsspacing"/>
              <w:keepNext/>
            </w:pPr>
            <w:r>
              <w:t>Services Australia</w:t>
            </w:r>
          </w:p>
        </w:tc>
        <w:tc>
          <w:tcPr>
            <w:tcW w:w="1043" w:type="dxa"/>
            <w:tcBorders>
              <w:top w:val="single" w:sz="4" w:space="0" w:color="000000"/>
              <w:bottom w:val="single" w:sz="4" w:space="0" w:color="000000"/>
            </w:tcBorders>
          </w:tcPr>
          <w:p w14:paraId="28375BDC" w14:textId="4B2DC608"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6ECBC316" w14:textId="77777777" w:rsidR="00B449D0" w:rsidRDefault="00175344">
            <w:pPr>
              <w:pStyle w:val="MeasureTableDataRightAlignedwith2ptsspacing"/>
              <w:keepNext/>
            </w:pPr>
            <w:r>
              <w:t>..</w:t>
            </w:r>
          </w:p>
        </w:tc>
        <w:tc>
          <w:tcPr>
            <w:tcW w:w="1043" w:type="dxa"/>
            <w:tcBorders>
              <w:top w:val="single" w:sz="4" w:space="0" w:color="000000"/>
              <w:bottom w:val="single" w:sz="4" w:space="0" w:color="000000"/>
            </w:tcBorders>
          </w:tcPr>
          <w:p w14:paraId="1A081DBA" w14:textId="77777777" w:rsidR="00B449D0" w:rsidRDefault="00175344">
            <w:pPr>
              <w:pStyle w:val="MeasureTableDataRightAlignedwith2ptsspacing"/>
              <w:keepNext/>
            </w:pPr>
            <w:r>
              <w:t>0.3</w:t>
            </w:r>
          </w:p>
        </w:tc>
        <w:tc>
          <w:tcPr>
            <w:tcW w:w="1043" w:type="dxa"/>
            <w:tcBorders>
              <w:top w:val="single" w:sz="4" w:space="0" w:color="000000"/>
              <w:bottom w:val="single" w:sz="4" w:space="0" w:color="000000"/>
            </w:tcBorders>
          </w:tcPr>
          <w:p w14:paraId="4469306D" w14:textId="1066CBDB"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273A6DC" w14:textId="77990B8A" w:rsidR="00B449D0" w:rsidRDefault="00076D78">
            <w:pPr>
              <w:pStyle w:val="MeasureTableDataRightAlignedwith2ptsspacing"/>
              <w:keepNext/>
            </w:pPr>
            <w:r>
              <w:noBreakHyphen/>
            </w:r>
          </w:p>
        </w:tc>
      </w:tr>
      <w:tr w:rsidR="00B449D0" w14:paraId="7958F94E" w14:textId="77777777">
        <w:trPr>
          <w:cantSplit/>
        </w:trPr>
        <w:tc>
          <w:tcPr>
            <w:tcW w:w="2494" w:type="dxa"/>
            <w:tcBorders>
              <w:top w:val="single" w:sz="4" w:space="0" w:color="000000"/>
              <w:bottom w:val="single" w:sz="4" w:space="0" w:color="000000"/>
            </w:tcBorders>
          </w:tcPr>
          <w:p w14:paraId="791D5EFC" w14:textId="77777777" w:rsidR="00B449D0" w:rsidRDefault="00175344">
            <w:pPr>
              <w:pStyle w:val="MeasureTableHeadingleftalignedwith2ptsspacing"/>
              <w:keepNext/>
            </w:pPr>
            <w:r>
              <w:t>Department of the Treasury</w:t>
            </w:r>
          </w:p>
        </w:tc>
        <w:tc>
          <w:tcPr>
            <w:tcW w:w="1043" w:type="dxa"/>
            <w:tcBorders>
              <w:top w:val="single" w:sz="4" w:space="0" w:color="000000"/>
              <w:bottom w:val="single" w:sz="4" w:space="0" w:color="000000"/>
            </w:tcBorders>
          </w:tcPr>
          <w:p w14:paraId="76D1DCDC" w14:textId="0EBA9645"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6C12D2BD" w14:textId="197C2B32"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92B8F61" w14:textId="77777777" w:rsidR="00B449D0" w:rsidRDefault="00175344">
            <w:pPr>
              <w:pStyle w:val="MeasureTableDataRightAlignedwith2ptsspacing"/>
              <w:keepNext/>
            </w:pPr>
            <w:r>
              <w:t>12.5</w:t>
            </w:r>
          </w:p>
        </w:tc>
        <w:tc>
          <w:tcPr>
            <w:tcW w:w="1043" w:type="dxa"/>
            <w:tcBorders>
              <w:top w:val="single" w:sz="4" w:space="0" w:color="000000"/>
              <w:bottom w:val="single" w:sz="4" w:space="0" w:color="000000"/>
            </w:tcBorders>
          </w:tcPr>
          <w:p w14:paraId="07283350" w14:textId="77777777" w:rsidR="00B449D0" w:rsidRDefault="00175344">
            <w:pPr>
              <w:pStyle w:val="MeasureTableDataRightAlignedwith2ptsspacing"/>
              <w:keepNext/>
            </w:pPr>
            <w:r>
              <w:t>4.9</w:t>
            </w:r>
          </w:p>
        </w:tc>
        <w:tc>
          <w:tcPr>
            <w:tcW w:w="1043" w:type="dxa"/>
            <w:tcBorders>
              <w:top w:val="single" w:sz="4" w:space="0" w:color="000000"/>
              <w:bottom w:val="single" w:sz="4" w:space="0" w:color="000000"/>
            </w:tcBorders>
          </w:tcPr>
          <w:p w14:paraId="2C454AF2" w14:textId="77777777" w:rsidR="00B449D0" w:rsidRDefault="00175344">
            <w:pPr>
              <w:pStyle w:val="MeasureTableDataRightAlignedwith2ptsspacing"/>
              <w:keepNext/>
            </w:pPr>
            <w:r>
              <w:t>4.9</w:t>
            </w:r>
          </w:p>
        </w:tc>
      </w:tr>
      <w:tr w:rsidR="00B449D0" w14:paraId="45AC09BE" w14:textId="77777777">
        <w:trPr>
          <w:cantSplit/>
        </w:trPr>
        <w:tc>
          <w:tcPr>
            <w:tcW w:w="2494" w:type="dxa"/>
            <w:tcBorders>
              <w:top w:val="single" w:sz="4" w:space="0" w:color="000000"/>
              <w:bottom w:val="single" w:sz="4" w:space="0" w:color="000000"/>
            </w:tcBorders>
          </w:tcPr>
          <w:p w14:paraId="65612BE8" w14:textId="77777777" w:rsidR="00B449D0" w:rsidRDefault="00175344">
            <w:pPr>
              <w:pStyle w:val="MeasureTableHeadingleftalignedwith2ptsspacing"/>
              <w:keepNext/>
            </w:pPr>
            <w:r>
              <w:t>Department of Social Services</w:t>
            </w:r>
          </w:p>
        </w:tc>
        <w:tc>
          <w:tcPr>
            <w:tcW w:w="1043" w:type="dxa"/>
            <w:tcBorders>
              <w:top w:val="single" w:sz="4" w:space="0" w:color="000000"/>
              <w:bottom w:val="single" w:sz="4" w:space="0" w:color="000000"/>
            </w:tcBorders>
          </w:tcPr>
          <w:p w14:paraId="5BDE45D0" w14:textId="36F7B2FB"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92910EE" w14:textId="4C317489"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77B6888" w14:textId="77777777" w:rsidR="00B449D0" w:rsidRDefault="00175344">
            <w:pPr>
              <w:pStyle w:val="MeasureTableDataRightAlignedwith2ptsspacing"/>
              <w:keepNext/>
            </w:pPr>
            <w:r>
              <w:t>8.5</w:t>
            </w:r>
          </w:p>
        </w:tc>
        <w:tc>
          <w:tcPr>
            <w:tcW w:w="1043" w:type="dxa"/>
            <w:tcBorders>
              <w:top w:val="single" w:sz="4" w:space="0" w:color="000000"/>
              <w:bottom w:val="single" w:sz="4" w:space="0" w:color="000000"/>
            </w:tcBorders>
          </w:tcPr>
          <w:p w14:paraId="1465FCCE" w14:textId="77777777" w:rsidR="00B449D0" w:rsidRDefault="00175344">
            <w:pPr>
              <w:pStyle w:val="MeasureTableDataRightAlignedwith2ptsspacing"/>
              <w:keepNext/>
            </w:pPr>
            <w:r>
              <w:t>8.7</w:t>
            </w:r>
          </w:p>
        </w:tc>
        <w:tc>
          <w:tcPr>
            <w:tcW w:w="1043" w:type="dxa"/>
            <w:tcBorders>
              <w:top w:val="single" w:sz="4" w:space="0" w:color="000000"/>
              <w:bottom w:val="single" w:sz="4" w:space="0" w:color="000000"/>
            </w:tcBorders>
          </w:tcPr>
          <w:p w14:paraId="27A024AF" w14:textId="4DE5CF0A" w:rsidR="00B449D0" w:rsidRDefault="00076D78">
            <w:pPr>
              <w:pStyle w:val="MeasureTableDataRightAlignedwith2ptsspacing"/>
              <w:keepNext/>
            </w:pPr>
            <w:r>
              <w:noBreakHyphen/>
            </w:r>
          </w:p>
        </w:tc>
      </w:tr>
      <w:tr w:rsidR="00B449D0" w14:paraId="4A9A7912" w14:textId="77777777">
        <w:trPr>
          <w:cantSplit/>
        </w:trPr>
        <w:tc>
          <w:tcPr>
            <w:tcW w:w="2494" w:type="dxa"/>
            <w:tcBorders>
              <w:top w:val="single" w:sz="4" w:space="0" w:color="000000"/>
              <w:bottom w:val="single" w:sz="4" w:space="0" w:color="000000"/>
            </w:tcBorders>
          </w:tcPr>
          <w:p w14:paraId="73FE9264" w14:textId="02A7C3C6" w:rsidR="00B449D0" w:rsidRDefault="00175344">
            <w:pPr>
              <w:pStyle w:val="MeasureTableHeadingleftalignedwith2ptsspacing"/>
              <w:keepNext/>
            </w:pPr>
            <w:r>
              <w:t>Department of Veterans</w:t>
            </w:r>
            <w:r w:rsidR="00076D78">
              <w:t>’</w:t>
            </w:r>
            <w:r>
              <w:t xml:space="preserve"> Affairs</w:t>
            </w:r>
          </w:p>
        </w:tc>
        <w:tc>
          <w:tcPr>
            <w:tcW w:w="1043" w:type="dxa"/>
            <w:tcBorders>
              <w:top w:val="single" w:sz="4" w:space="0" w:color="000000"/>
              <w:bottom w:val="single" w:sz="4" w:space="0" w:color="000000"/>
            </w:tcBorders>
          </w:tcPr>
          <w:p w14:paraId="0842F467" w14:textId="5582E77B"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BA6C074" w14:textId="3CC53EBD"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731DBFD" w14:textId="77777777" w:rsidR="00B449D0" w:rsidRDefault="00175344">
            <w:pPr>
              <w:pStyle w:val="MeasureTableDataRightAlignedwith2ptsspacing"/>
              <w:keepNext/>
            </w:pPr>
            <w:r>
              <w:t>0.2</w:t>
            </w:r>
          </w:p>
        </w:tc>
        <w:tc>
          <w:tcPr>
            <w:tcW w:w="1043" w:type="dxa"/>
            <w:tcBorders>
              <w:top w:val="single" w:sz="4" w:space="0" w:color="000000"/>
              <w:bottom w:val="single" w:sz="4" w:space="0" w:color="000000"/>
            </w:tcBorders>
          </w:tcPr>
          <w:p w14:paraId="6ED13513" w14:textId="77777777" w:rsidR="00B449D0" w:rsidRDefault="00175344">
            <w:pPr>
              <w:pStyle w:val="MeasureTableDataRightAlignedwith2ptsspacing"/>
              <w:keepNext/>
            </w:pPr>
            <w:r>
              <w:t>..</w:t>
            </w:r>
          </w:p>
        </w:tc>
        <w:tc>
          <w:tcPr>
            <w:tcW w:w="1043" w:type="dxa"/>
            <w:tcBorders>
              <w:top w:val="single" w:sz="4" w:space="0" w:color="000000"/>
              <w:bottom w:val="single" w:sz="4" w:space="0" w:color="000000"/>
            </w:tcBorders>
          </w:tcPr>
          <w:p w14:paraId="6AEE14A2" w14:textId="2C635422" w:rsidR="00B449D0" w:rsidRDefault="00076D78">
            <w:pPr>
              <w:pStyle w:val="MeasureTableDataRightAlignedwith2ptsspacing"/>
              <w:keepNext/>
            </w:pPr>
            <w:r>
              <w:noBreakHyphen/>
            </w:r>
          </w:p>
        </w:tc>
      </w:tr>
      <w:tr w:rsidR="00B449D0" w14:paraId="0AE98A2B" w14:textId="77777777">
        <w:trPr>
          <w:cantSplit/>
        </w:trPr>
        <w:tc>
          <w:tcPr>
            <w:tcW w:w="2494" w:type="dxa"/>
            <w:tcBorders>
              <w:top w:val="single" w:sz="4" w:space="0" w:color="000000"/>
              <w:bottom w:val="single" w:sz="4" w:space="0" w:color="000000"/>
            </w:tcBorders>
          </w:tcPr>
          <w:p w14:paraId="232388DF"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2546AAFB" w14:textId="7147785B"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231A1C1A" w14:textId="77777777" w:rsidR="00B449D0" w:rsidRDefault="00175344">
            <w:pPr>
              <w:pStyle w:val="Totaldatarowrightaligned"/>
              <w:keepNext/>
            </w:pPr>
            <w:r>
              <w:t>0.8</w:t>
            </w:r>
          </w:p>
        </w:tc>
        <w:tc>
          <w:tcPr>
            <w:tcW w:w="1043" w:type="dxa"/>
            <w:tcBorders>
              <w:top w:val="single" w:sz="4" w:space="0" w:color="000000"/>
              <w:bottom w:val="single" w:sz="4" w:space="0" w:color="000000"/>
            </w:tcBorders>
          </w:tcPr>
          <w:p w14:paraId="3BB4DEC6" w14:textId="77777777" w:rsidR="00B449D0" w:rsidRDefault="00175344">
            <w:pPr>
              <w:pStyle w:val="Totaldatarowrightaligned"/>
              <w:keepNext/>
            </w:pPr>
            <w:r>
              <w:t>501.3</w:t>
            </w:r>
          </w:p>
        </w:tc>
        <w:tc>
          <w:tcPr>
            <w:tcW w:w="1043" w:type="dxa"/>
            <w:tcBorders>
              <w:top w:val="single" w:sz="4" w:space="0" w:color="000000"/>
              <w:bottom w:val="single" w:sz="4" w:space="0" w:color="000000"/>
            </w:tcBorders>
          </w:tcPr>
          <w:p w14:paraId="24D316CA" w14:textId="77777777" w:rsidR="00B449D0" w:rsidRDefault="00175344">
            <w:pPr>
              <w:pStyle w:val="Totaldatarowrightaligned"/>
              <w:keepNext/>
            </w:pPr>
            <w:r>
              <w:t>108.4</w:t>
            </w:r>
          </w:p>
        </w:tc>
        <w:tc>
          <w:tcPr>
            <w:tcW w:w="1043" w:type="dxa"/>
            <w:tcBorders>
              <w:top w:val="single" w:sz="4" w:space="0" w:color="000000"/>
              <w:bottom w:val="single" w:sz="4" w:space="0" w:color="000000"/>
            </w:tcBorders>
          </w:tcPr>
          <w:p w14:paraId="511E1A73" w14:textId="77777777" w:rsidR="00B449D0" w:rsidRDefault="00175344">
            <w:pPr>
              <w:pStyle w:val="Totaldatarowrightaligned"/>
              <w:keepNext/>
            </w:pPr>
            <w:r>
              <w:t>12.3</w:t>
            </w:r>
          </w:p>
        </w:tc>
      </w:tr>
    </w:tbl>
    <w:p w14:paraId="3C6645AC" w14:textId="77777777" w:rsidR="00B449D0" w:rsidRDefault="00B449D0" w:rsidP="00380A42">
      <w:pPr>
        <w:pStyle w:val="SingleParagraph0"/>
      </w:pPr>
    </w:p>
    <w:p w14:paraId="3A8BBE36" w14:textId="77777777" w:rsidR="00B449D0" w:rsidRDefault="00175344">
      <w:pPr>
        <w:pStyle w:val="Normal2"/>
      </w:pPr>
      <w:r>
        <w:t>The Government will provide $749.2 million over four years from 2024–25 to provide better access and more affordable health care. Funding will support greater access to primary care and other health services, including:</w:t>
      </w:r>
    </w:p>
    <w:p w14:paraId="1E0CF895" w14:textId="77777777" w:rsidR="00B449D0" w:rsidRDefault="00175344">
      <w:pPr>
        <w:pStyle w:val="Normal2"/>
      </w:pPr>
      <w:r>
        <w:t>$143.1 million over three years from 2024–25 to provide better access and more affordable primary care for all Australians, including:</w:t>
      </w:r>
    </w:p>
    <w:p w14:paraId="72A9333C" w14:textId="77777777" w:rsidR="00B449D0" w:rsidRDefault="00175344">
      <w:pPr>
        <w:pStyle w:val="Bullet"/>
      </w:pPr>
      <w:r>
        <w:t xml:space="preserve">$68.4 million in 2025–26 to extend the </w:t>
      </w:r>
      <w:r w:rsidRPr="00175344">
        <w:rPr>
          <w:i/>
        </w:rPr>
        <w:t>Primary Health Networks (PHN) After‑Hours Homelessness Access Program</w:t>
      </w:r>
      <w:r>
        <w:t xml:space="preserve"> and </w:t>
      </w:r>
      <w:r w:rsidRPr="00175344">
        <w:rPr>
          <w:i/>
        </w:rPr>
        <w:t>PHN Multicultural Access Program</w:t>
      </w:r>
      <w:r>
        <w:t xml:space="preserve"> to improve equity and access to primary care services across Australia</w:t>
      </w:r>
    </w:p>
    <w:p w14:paraId="601F6D18" w14:textId="77777777" w:rsidR="00B449D0" w:rsidRDefault="00175344">
      <w:pPr>
        <w:pStyle w:val="Bullet"/>
      </w:pPr>
      <w:r>
        <w:lastRenderedPageBreak/>
        <w:t>$8.0 million in 2024–25 to raise awareness of Medicare services and increase uptake of quality health care</w:t>
      </w:r>
    </w:p>
    <w:p w14:paraId="30A92BEE" w14:textId="339FEA8F" w:rsidR="00B449D0" w:rsidRDefault="00175344">
      <w:pPr>
        <w:pStyle w:val="Bullet"/>
      </w:pPr>
      <w:r>
        <w:t>$3.4 million in 2025–26 for Royal Far West</w:t>
      </w:r>
      <w:r w:rsidR="00076D78">
        <w:t>’</w:t>
      </w:r>
      <w:r>
        <w:t xml:space="preserve">s </w:t>
      </w:r>
      <w:r w:rsidRPr="00175344">
        <w:rPr>
          <w:i/>
        </w:rPr>
        <w:t>National Paediatric Telecare Service</w:t>
      </w:r>
      <w:r>
        <w:t xml:space="preserve"> to support children with developmental delays in rural and remote regions of Australia</w:t>
      </w:r>
    </w:p>
    <w:p w14:paraId="650706C0" w14:textId="77777777" w:rsidR="00B449D0" w:rsidRDefault="00175344">
      <w:pPr>
        <w:pStyle w:val="Bullet"/>
      </w:pPr>
      <w:r>
        <w:t xml:space="preserve">$3.2 million in 2025–26 to continue the trial of the </w:t>
      </w:r>
      <w:r w:rsidRPr="00175344">
        <w:rPr>
          <w:i/>
        </w:rPr>
        <w:t>Palliative Care Service Navigation Pilot</w:t>
      </w:r>
      <w:r>
        <w:t xml:space="preserve"> at two pilot locations in South Australia to provide a comprehensive and multidisciplinary approach to end‑of‑life care services.</w:t>
      </w:r>
    </w:p>
    <w:p w14:paraId="599AE3EB" w14:textId="77777777" w:rsidR="00B449D0" w:rsidRDefault="00175344">
      <w:pPr>
        <w:pStyle w:val="Normal2"/>
      </w:pPr>
      <w:r>
        <w:t>$71.2 million over three years from 2024–25 to strengthen and support the health workforce, including:</w:t>
      </w:r>
    </w:p>
    <w:p w14:paraId="262684FD" w14:textId="77777777" w:rsidR="00B449D0" w:rsidRDefault="00175344">
      <w:pPr>
        <w:pStyle w:val="Bullet"/>
      </w:pPr>
      <w:r>
        <w:t xml:space="preserve">$17.4 million in 2025–26 for the </w:t>
      </w:r>
      <w:r w:rsidRPr="00175344">
        <w:rPr>
          <w:i/>
        </w:rPr>
        <w:t>General Practice Incentive Fund</w:t>
      </w:r>
      <w:r>
        <w:t xml:space="preserve"> to continue improved access to primary care in thin markets</w:t>
      </w:r>
    </w:p>
    <w:p w14:paraId="2EC8B6DA" w14:textId="77777777" w:rsidR="00B449D0" w:rsidRDefault="00175344">
      <w:pPr>
        <w:pStyle w:val="Bullet"/>
      </w:pPr>
      <w:r>
        <w:t xml:space="preserve">$16.7 million in 2025–26 to extend the </w:t>
      </w:r>
      <w:r w:rsidRPr="00175344">
        <w:rPr>
          <w:i/>
        </w:rPr>
        <w:t>Rural Locum Assistance Program for Aged Care</w:t>
      </w:r>
      <w:r>
        <w:t xml:space="preserve"> and the </w:t>
      </w:r>
      <w:r w:rsidRPr="00175344">
        <w:rPr>
          <w:i/>
        </w:rPr>
        <w:t>Northern Territory Locum Program</w:t>
      </w:r>
      <w:r>
        <w:t xml:space="preserve"> to 30 June 2026 to continue service delivery for rural and remote aged care services and health services in the Northern Territory</w:t>
      </w:r>
    </w:p>
    <w:p w14:paraId="651B93F9" w14:textId="77777777" w:rsidR="00B449D0" w:rsidRDefault="00175344">
      <w:pPr>
        <w:pStyle w:val="Bullet"/>
      </w:pPr>
      <w:r>
        <w:t xml:space="preserve">$13.6 million in 2025–26 to extend the </w:t>
      </w:r>
      <w:r w:rsidRPr="00175344">
        <w:rPr>
          <w:i/>
        </w:rPr>
        <w:t>Pre‑Fellowship Program</w:t>
      </w:r>
      <w:r>
        <w:t xml:space="preserve"> to support non‑vocationally registered doctors to gain general practice experience and increase access to primary care in areas of need</w:t>
      </w:r>
    </w:p>
    <w:p w14:paraId="6E089BEF" w14:textId="77777777" w:rsidR="00B449D0" w:rsidRDefault="00175344">
      <w:pPr>
        <w:pStyle w:val="Bullet"/>
      </w:pPr>
      <w:r>
        <w:t>$10.5 million in 2024–25 to develop a national Primary Care Health Workforce Campaign to raise awareness of the benefits and value of working in primary care and the investments being made to support and expand the sector, including in regional, rural and remote areas</w:t>
      </w:r>
    </w:p>
    <w:p w14:paraId="5B530FEA" w14:textId="77777777" w:rsidR="00B449D0" w:rsidRDefault="00175344">
      <w:pPr>
        <w:pStyle w:val="Bullet"/>
      </w:pPr>
      <w:r>
        <w:t xml:space="preserve">$8.1 million over three years from 2024–25 to extend the </w:t>
      </w:r>
      <w:r w:rsidRPr="00175344">
        <w:rPr>
          <w:i/>
        </w:rPr>
        <w:t>Other Medical Practitioners Programs</w:t>
      </w:r>
      <w:r>
        <w:t>, to enable eligible non‑vocationally recognised doctors to access higher Medicare Benefits Schedule rebates when delivering services in approved locations, including rural and remote areas</w:t>
      </w:r>
    </w:p>
    <w:p w14:paraId="1C967A06" w14:textId="77777777" w:rsidR="00B449D0" w:rsidRDefault="00175344">
      <w:pPr>
        <w:pStyle w:val="Bullet"/>
      </w:pPr>
      <w:r>
        <w:t>$4.8 million in 2025–26 to support bereaved parents by maintaining the number of perinatal pathologists to perform stillbirth autopsies and the perinatal loss workforce.</w:t>
      </w:r>
    </w:p>
    <w:p w14:paraId="53D3EEE0" w14:textId="63BE7C04" w:rsidR="00B449D0" w:rsidRDefault="00175344">
      <w:pPr>
        <w:pStyle w:val="Normal2"/>
      </w:pPr>
      <w:r>
        <w:t>$86.5 million over three years from 2025–26 to support improved health outcomes for First</w:t>
      </w:r>
      <w:r w:rsidR="00404658">
        <w:t> </w:t>
      </w:r>
      <w:r>
        <w:t>Nations people. Funding includes:</w:t>
      </w:r>
    </w:p>
    <w:p w14:paraId="047FF825" w14:textId="77777777" w:rsidR="00B449D0" w:rsidRDefault="00175344">
      <w:pPr>
        <w:pStyle w:val="Bullet"/>
      </w:pPr>
      <w:r>
        <w:t>$46.5 million in 2025–26 to improve infrastructure in Aboriginal Community Controlled Health Services to meet clinical and accreditation needs, and support Closing the Gap targets</w:t>
      </w:r>
    </w:p>
    <w:p w14:paraId="3C5F6514" w14:textId="77777777" w:rsidR="00B449D0" w:rsidRDefault="00175344">
      <w:pPr>
        <w:pStyle w:val="Bullet"/>
      </w:pPr>
      <w:r>
        <w:t>$15.4 million over three years from 2025–26 to detect, treat and prevent rheumatic heart disease in high‑risk communities</w:t>
      </w:r>
    </w:p>
    <w:p w14:paraId="32B58E9A" w14:textId="77777777" w:rsidR="00B449D0" w:rsidRDefault="00175344">
      <w:pPr>
        <w:pStyle w:val="Bullet"/>
      </w:pPr>
      <w:r>
        <w:t>$14.7 million over three years from 2025–26 to support states and territories to screen, treat and eliminate trachoma</w:t>
      </w:r>
    </w:p>
    <w:p w14:paraId="7A2C77B8" w14:textId="77777777" w:rsidR="00B449D0" w:rsidRDefault="00175344">
      <w:pPr>
        <w:pStyle w:val="Bullet"/>
      </w:pPr>
      <w:r>
        <w:t>$9.9 million in 2025–26 to support ten existing Birthing on Country services to provide continuity of care to First Nations women and babies.</w:t>
      </w:r>
    </w:p>
    <w:p w14:paraId="16F9BC84" w14:textId="77777777" w:rsidR="00B449D0" w:rsidRDefault="00175344">
      <w:pPr>
        <w:pStyle w:val="Normal2"/>
      </w:pPr>
      <w:r>
        <w:t xml:space="preserve">$448.3 million over four years from 2024–25 (and $2.2 million per year ongoing) for prevention and early intervention activities, mental health treatment initiatives, suicide </w:t>
      </w:r>
      <w:r>
        <w:lastRenderedPageBreak/>
        <w:t>prevention and postvention initiatives, support for First Nations people and to uplift the mental health workforce. Funding includes:</w:t>
      </w:r>
    </w:p>
    <w:p w14:paraId="05C1D25F" w14:textId="77777777" w:rsidR="00B449D0" w:rsidRDefault="00175344">
      <w:pPr>
        <w:pStyle w:val="Bullet"/>
      </w:pPr>
      <w:r>
        <w:t>$362.7 million over three years from 2025–26 (and $2.2 million per year ongoing) for mental health treatment. Funding includes:</w:t>
      </w:r>
    </w:p>
    <w:p w14:paraId="77B045C0" w14:textId="77777777" w:rsidR="00B449D0" w:rsidRDefault="00175344">
      <w:pPr>
        <w:pStyle w:val="Dash"/>
      </w:pPr>
      <w:r>
        <w:t xml:space="preserve">$272.1 million over two years from 2025–26 for the </w:t>
      </w:r>
      <w:r w:rsidRPr="00175344">
        <w:rPr>
          <w:i/>
        </w:rPr>
        <w:t>Commonwealth Psychosocial Support Program</w:t>
      </w:r>
      <w:r>
        <w:t xml:space="preserve"> to provide continuity of psychosocial support services for people with a severe psychosocial disability</w:t>
      </w:r>
    </w:p>
    <w:p w14:paraId="4070BC47" w14:textId="77777777" w:rsidR="00B449D0" w:rsidRDefault="00175344">
      <w:pPr>
        <w:pStyle w:val="Dash"/>
      </w:pPr>
      <w:r>
        <w:t>$75.7 million in 2025–26 to ensure continued access to mental health supports for young people with severe mental illness</w:t>
      </w:r>
    </w:p>
    <w:p w14:paraId="3FF3CE6D" w14:textId="77777777" w:rsidR="00B449D0" w:rsidRDefault="00175344">
      <w:pPr>
        <w:pStyle w:val="Dash"/>
      </w:pPr>
      <w:r>
        <w:t>$4.5 million over three years from 2025–26 (and $1.7 million per year ongoing) for an additional headspace centre in the Moonee Valley Local Government Area in Victoria</w:t>
      </w:r>
    </w:p>
    <w:p w14:paraId="07431540" w14:textId="77777777" w:rsidR="00B449D0" w:rsidRDefault="00175344">
      <w:pPr>
        <w:pStyle w:val="Dash"/>
      </w:pPr>
      <w:r>
        <w:t>$3.3 million in 2025–26 to support the mental health needs of multicultural communities</w:t>
      </w:r>
    </w:p>
    <w:p w14:paraId="3392F013" w14:textId="77777777" w:rsidR="00B449D0" w:rsidRDefault="00175344">
      <w:pPr>
        <w:pStyle w:val="Dash"/>
      </w:pPr>
      <w:r>
        <w:t xml:space="preserve">$1.9 million in 2025–26 for Mental Health Australia to continue as the mental health peak body and to embed lived experience in the implementation of the </w:t>
      </w:r>
      <w:r w:rsidRPr="00175344">
        <w:rPr>
          <w:i/>
        </w:rPr>
        <w:t>National Mental Health and Suicide Prevention Agreement</w:t>
      </w:r>
    </w:p>
    <w:p w14:paraId="2710C8BE" w14:textId="77777777" w:rsidR="00B449D0" w:rsidRDefault="00175344">
      <w:pPr>
        <w:pStyle w:val="Dash"/>
      </w:pPr>
      <w:r>
        <w:t>$1.6 million in 2025–26 to continue four safe spaces established by the Brisbane North Primary Health Network to support services while they transition to Medicare Mental Health Centres</w:t>
      </w:r>
    </w:p>
    <w:p w14:paraId="49F1F192" w14:textId="77777777" w:rsidR="00B449D0" w:rsidRDefault="00175344">
      <w:pPr>
        <w:pStyle w:val="Dash"/>
      </w:pPr>
      <w:r>
        <w:t>$1.5 million over three years from 2025–26 (and $0.5 million per year ongoing) to fund the headspace satellite in Corio</w:t>
      </w:r>
    </w:p>
    <w:p w14:paraId="61CD51FE" w14:textId="77777777" w:rsidR="00B449D0" w:rsidRDefault="00175344">
      <w:pPr>
        <w:pStyle w:val="Dash"/>
      </w:pPr>
      <w:r>
        <w:t xml:space="preserve">$1.3 million in 2025–26 to continue the </w:t>
      </w:r>
      <w:r w:rsidRPr="00175344">
        <w:rPr>
          <w:i/>
        </w:rPr>
        <w:t>Embrace Multicultural Mental Health Program</w:t>
      </w:r>
    </w:p>
    <w:p w14:paraId="1CCF62F4" w14:textId="77777777" w:rsidR="00B449D0" w:rsidRDefault="00175344">
      <w:pPr>
        <w:pStyle w:val="Dash"/>
      </w:pPr>
      <w:r>
        <w:t>$0.6 million in 2025–26 to support mental health services delivered in Cape York</w:t>
      </w:r>
    </w:p>
    <w:p w14:paraId="5B13F0C6" w14:textId="77777777" w:rsidR="00B449D0" w:rsidRDefault="00175344">
      <w:pPr>
        <w:pStyle w:val="Dash"/>
      </w:pPr>
      <w:r>
        <w:t>$0.2 million in 2025–26 to support in‑person, phone and online services for unpaid carers of people with eating disorders across Australia.</w:t>
      </w:r>
    </w:p>
    <w:p w14:paraId="2708B65F" w14:textId="77777777" w:rsidR="00B449D0" w:rsidRDefault="00175344">
      <w:pPr>
        <w:pStyle w:val="Bullet"/>
      </w:pPr>
      <w:r>
        <w:t>$30.7 million over two years from 2025–26 for the mental health workforce. Funding includes:</w:t>
      </w:r>
    </w:p>
    <w:p w14:paraId="14491735" w14:textId="77777777" w:rsidR="00B449D0" w:rsidRDefault="00175344">
      <w:pPr>
        <w:pStyle w:val="Dash"/>
      </w:pPr>
      <w:r>
        <w:t xml:space="preserve">$17.2 million over two years from 2025–26 to extend funding for </w:t>
      </w:r>
      <w:r w:rsidRPr="00175344">
        <w:rPr>
          <w:i/>
        </w:rPr>
        <w:t>Individual Placement and Support Program</w:t>
      </w:r>
      <w:r>
        <w:t xml:space="preserve"> and </w:t>
      </w:r>
      <w:r w:rsidRPr="00175344">
        <w:rPr>
          <w:i/>
        </w:rPr>
        <w:t>Digital Work and Study Service</w:t>
      </w:r>
      <w:r>
        <w:t>. These programs are delivered in headspace centres and help young people with mental illnesses find employment or access study supports</w:t>
      </w:r>
    </w:p>
    <w:p w14:paraId="530C04AD" w14:textId="77777777" w:rsidR="00B449D0" w:rsidRDefault="00175344">
      <w:pPr>
        <w:pStyle w:val="Dash"/>
      </w:pPr>
      <w:r>
        <w:t>$4.6 million in 2025–26 to support upskilling the mental health workforce in evidence‑based eating disorder interventions</w:t>
      </w:r>
    </w:p>
    <w:p w14:paraId="0F1C3213" w14:textId="77777777" w:rsidR="00B449D0" w:rsidRDefault="00175344">
      <w:pPr>
        <w:pStyle w:val="Dash"/>
      </w:pPr>
      <w:r>
        <w:t xml:space="preserve">$4.0 million in 2025–26 to support implementing the </w:t>
      </w:r>
      <w:r w:rsidRPr="00175344">
        <w:rPr>
          <w:i/>
        </w:rPr>
        <w:t>Mental Health Workforce Strategy 2022–2032</w:t>
      </w:r>
      <w:r>
        <w:t xml:space="preserve"> through the </w:t>
      </w:r>
      <w:r w:rsidRPr="00175344">
        <w:rPr>
          <w:i/>
        </w:rPr>
        <w:t>National Mental Health Pathways to Practice Program</w:t>
      </w:r>
    </w:p>
    <w:p w14:paraId="47B9B27B" w14:textId="77777777" w:rsidR="00B449D0" w:rsidRDefault="00175344">
      <w:pPr>
        <w:pStyle w:val="Dash"/>
      </w:pPr>
      <w:r>
        <w:t xml:space="preserve">$2.6 million in 2025–26 to support raising the awareness and knowledge of health practitioners about digital mental health, and support a digital‑first mental health solution for Australian healthcare workers through </w:t>
      </w:r>
      <w:r w:rsidRPr="00175344">
        <w:rPr>
          <w:i/>
        </w:rPr>
        <w:t>e‑Mental Health in Practice</w:t>
      </w:r>
    </w:p>
    <w:p w14:paraId="3A00FFA3" w14:textId="77777777" w:rsidR="00B449D0" w:rsidRDefault="00175344">
      <w:pPr>
        <w:pStyle w:val="Dash"/>
      </w:pPr>
      <w:r>
        <w:lastRenderedPageBreak/>
        <w:t xml:space="preserve">$0.9 million in 2025–26 to support a digital‑first mental health solution for Australian healthcare workers through </w:t>
      </w:r>
      <w:r w:rsidRPr="00175344">
        <w:rPr>
          <w:i/>
        </w:rPr>
        <w:t>The Essential Network</w:t>
      </w:r>
    </w:p>
    <w:p w14:paraId="535BD9B8" w14:textId="77777777" w:rsidR="00B449D0" w:rsidRDefault="00175344">
      <w:pPr>
        <w:pStyle w:val="Dash"/>
      </w:pPr>
      <w:r>
        <w:t xml:space="preserve">$0.5 million in 2025–26 to support the mental health of the Australian healthcare workforce, including supporting a confidential mental health support service for doctors and medical students in Australia through </w:t>
      </w:r>
      <w:r w:rsidRPr="00175344">
        <w:rPr>
          <w:i/>
        </w:rPr>
        <w:t>Drs4Drs</w:t>
      </w:r>
      <w:r>
        <w:t>, and confidential peer support for health professionals from peers in similar disciplines</w:t>
      </w:r>
    </w:p>
    <w:p w14:paraId="05BC48F4" w14:textId="77777777" w:rsidR="00B449D0" w:rsidRDefault="00175344">
      <w:pPr>
        <w:pStyle w:val="Dash"/>
      </w:pPr>
      <w:r>
        <w:t xml:space="preserve">$0.4 million in 2025–26 to support lived experience capacity building and research through the </w:t>
      </w:r>
      <w:r w:rsidRPr="00175344">
        <w:rPr>
          <w:i/>
        </w:rPr>
        <w:t>Mental Health Consumer and Carer Advocacy Program</w:t>
      </w:r>
    </w:p>
    <w:p w14:paraId="23477BB4" w14:textId="77777777" w:rsidR="00B449D0" w:rsidRDefault="00175344">
      <w:pPr>
        <w:pStyle w:val="Dash"/>
      </w:pPr>
      <w:r>
        <w:t>$0.2 million in 2025–26 to support the annual mental health services conference</w:t>
      </w:r>
    </w:p>
    <w:p w14:paraId="086171AD" w14:textId="77777777" w:rsidR="00B449D0" w:rsidRDefault="00175344">
      <w:pPr>
        <w:pStyle w:val="Dash"/>
      </w:pPr>
      <w:r>
        <w:t>$0.1 million in 2025–26 to support a framework (</w:t>
      </w:r>
      <w:r w:rsidRPr="00175344">
        <w:rPr>
          <w:i/>
        </w:rPr>
        <w:t>Every Doctor, Every Setting)</w:t>
      </w:r>
      <w:r>
        <w:t xml:space="preserve"> to guide coordinated action on the mental health of doctors and medical students.</w:t>
      </w:r>
    </w:p>
    <w:p w14:paraId="1D529FB0" w14:textId="77777777" w:rsidR="00B449D0" w:rsidRDefault="00175344">
      <w:pPr>
        <w:pStyle w:val="Bullet"/>
      </w:pPr>
      <w:r>
        <w:t>$20.2 million over three years from 2024–25 for prevention and early intervention. Funding includes:</w:t>
      </w:r>
    </w:p>
    <w:p w14:paraId="05C4F25E" w14:textId="77777777" w:rsidR="00B449D0" w:rsidRDefault="00175344">
      <w:pPr>
        <w:pStyle w:val="Dash"/>
      </w:pPr>
      <w:r>
        <w:t>$10.7 million in 2025–26 to invest in child mental health and social and emotional wellbeing through universal access to evidence‑based parenting education</w:t>
      </w:r>
    </w:p>
    <w:p w14:paraId="6F92A1F0" w14:textId="77777777" w:rsidR="00B449D0" w:rsidRDefault="00175344">
      <w:pPr>
        <w:pStyle w:val="Dash"/>
      </w:pPr>
      <w:r>
        <w:t>$5.3 million in 2025–26 to support perinatal mental health screening across public antenatal and postnatal care settings</w:t>
      </w:r>
    </w:p>
    <w:p w14:paraId="675B7151" w14:textId="77777777" w:rsidR="00B449D0" w:rsidRDefault="00175344">
      <w:pPr>
        <w:pStyle w:val="Dash"/>
      </w:pPr>
      <w:r>
        <w:t xml:space="preserve">$3.0 million over three years from 2024–25 to Raise Foundation to provide the </w:t>
      </w:r>
      <w:r w:rsidRPr="00175344">
        <w:rPr>
          <w:i/>
        </w:rPr>
        <w:t>Student Mentoring Program</w:t>
      </w:r>
      <w:r>
        <w:t xml:space="preserve"> for young people in high school</w:t>
      </w:r>
    </w:p>
    <w:p w14:paraId="3A171774" w14:textId="77777777" w:rsidR="00B449D0" w:rsidRDefault="00175344">
      <w:pPr>
        <w:pStyle w:val="Dash"/>
      </w:pPr>
      <w:r>
        <w:t>$1.0 million in 2025–26 to the National Eating Disorder Collaboration to support a national platform which brings together information and resources that establish standards for the prevention and treatment of eating disorders</w:t>
      </w:r>
    </w:p>
    <w:p w14:paraId="22EB8D9E" w14:textId="77777777" w:rsidR="00B449D0" w:rsidRDefault="00175344">
      <w:pPr>
        <w:pStyle w:val="Dash"/>
      </w:pPr>
      <w:r>
        <w:t xml:space="preserve">$0.2 million in 2025–26 to implement the </w:t>
      </w:r>
      <w:r w:rsidRPr="00175344">
        <w:rPr>
          <w:i/>
        </w:rPr>
        <w:t>Body Bright Program</w:t>
      </w:r>
      <w:r>
        <w:t xml:space="preserve"> to support school‑led programs to support positive body image in Australian primary schools.</w:t>
      </w:r>
    </w:p>
    <w:p w14:paraId="41A49D05" w14:textId="77777777" w:rsidR="00B449D0" w:rsidRDefault="00175344">
      <w:pPr>
        <w:pStyle w:val="Bullet"/>
      </w:pPr>
      <w:r>
        <w:t>$17.7 million in 2025–26 for First Nations people. Funding includes:</w:t>
      </w:r>
    </w:p>
    <w:p w14:paraId="6328B29D" w14:textId="77777777" w:rsidR="00B449D0" w:rsidRDefault="00175344">
      <w:pPr>
        <w:pStyle w:val="Dash"/>
      </w:pPr>
      <w:r>
        <w:t xml:space="preserve">$9.5 million in 2025–26 to support suicide prevention with cultural sensitivity and community empowerment through the </w:t>
      </w:r>
      <w:r w:rsidRPr="00175344">
        <w:rPr>
          <w:i/>
        </w:rPr>
        <w:t>Culture Care Connect Program</w:t>
      </w:r>
    </w:p>
    <w:p w14:paraId="2B591D29" w14:textId="77777777" w:rsidR="00B449D0" w:rsidRDefault="00175344">
      <w:pPr>
        <w:pStyle w:val="Dash"/>
      </w:pPr>
      <w:r>
        <w:t xml:space="preserve">$3.7 million in 2025–26 to support culturally appropriate programs in the Northern Territory through the </w:t>
      </w:r>
      <w:r w:rsidRPr="00175344">
        <w:rPr>
          <w:i/>
        </w:rPr>
        <w:t>Red Dust Program</w:t>
      </w:r>
      <w:r>
        <w:t>, focused on social and emotional wellbeing, sexual health, relationships, alcohol and other drugs, and fetal alcohol spectrum disorder</w:t>
      </w:r>
    </w:p>
    <w:p w14:paraId="14C0657F" w14:textId="77777777" w:rsidR="00B449D0" w:rsidRDefault="00175344">
      <w:pPr>
        <w:pStyle w:val="Dash"/>
      </w:pPr>
      <w:r>
        <w:t xml:space="preserve">$2.6 million in 2025–26 to support the </w:t>
      </w:r>
      <w:r w:rsidRPr="00175344">
        <w:rPr>
          <w:i/>
        </w:rPr>
        <w:t>Social and Emotional Wellbeing Policy Partnership</w:t>
      </w:r>
      <w:r>
        <w:t xml:space="preserve"> as part of the </w:t>
      </w:r>
      <w:r w:rsidRPr="00175344">
        <w:rPr>
          <w:i/>
        </w:rPr>
        <w:t>National Agreement on Closing the Gap</w:t>
      </w:r>
      <w:r>
        <w:t>.</w:t>
      </w:r>
    </w:p>
    <w:p w14:paraId="34026412" w14:textId="77777777" w:rsidR="00B449D0" w:rsidRDefault="00175344">
      <w:pPr>
        <w:pStyle w:val="Dash"/>
      </w:pPr>
      <w:r>
        <w:t>$1.9 million in 2025–26 to support the development of a national commissioning framework and national strategic approach to cultural safety and appropriateness across mental health services and referral pathways for First Nations people.</w:t>
      </w:r>
    </w:p>
    <w:p w14:paraId="5AC5E373" w14:textId="77777777" w:rsidR="00B449D0" w:rsidRDefault="00175344">
      <w:pPr>
        <w:pStyle w:val="Bullet"/>
      </w:pPr>
      <w:r>
        <w:t>$17.1 million in 2025–26 for suicide prevention and postvention. Funding includes:</w:t>
      </w:r>
    </w:p>
    <w:p w14:paraId="74B3959B" w14:textId="77777777" w:rsidR="00B449D0" w:rsidRDefault="00175344">
      <w:pPr>
        <w:pStyle w:val="Dash"/>
      </w:pPr>
      <w:r>
        <w:t>$13.7 million in 2025–26 to work with states and territories to continue postvention services nationally to support people who are bereaved by suicide</w:t>
      </w:r>
    </w:p>
    <w:p w14:paraId="287F4B8E" w14:textId="77777777" w:rsidR="00B449D0" w:rsidRDefault="00175344">
      <w:pPr>
        <w:pStyle w:val="Dash"/>
      </w:pPr>
      <w:r>
        <w:lastRenderedPageBreak/>
        <w:t>$3.3 million in 2025–26 to support workplace‑based suicide prevention programs.</w:t>
      </w:r>
    </w:p>
    <w:p w14:paraId="36823DF5" w14:textId="77777777" w:rsidR="00B449D0" w:rsidRDefault="00175344">
      <w:pPr>
        <w:pStyle w:val="Normal2"/>
      </w:pPr>
      <w:r>
        <w:t>The Government has already provided partial funding for this measure.</w:t>
      </w:r>
    </w:p>
    <w:p w14:paraId="3D8FC2C3" w14:textId="77777777" w:rsidR="00B449D0" w:rsidRDefault="00175344">
      <w:pPr>
        <w:pStyle w:val="Normal2"/>
      </w:pPr>
      <w:r w:rsidRPr="7F762F0D">
        <w:rPr>
          <w:lang w:val="en-US"/>
        </w:rPr>
        <w:t>This measure will also be partially met from within the existing resourcing of, and savings identified in the Department of Health and Aged Care, and from reprioritising funding from Program 1.4 – Health Workforce and Program 2.1 – Medical Benefits.</w:t>
      </w:r>
    </w:p>
    <w:p w14:paraId="4F2F75C0" w14:textId="77777777" w:rsidR="00B449D0" w:rsidRDefault="00175344">
      <w:pPr>
        <w:pStyle w:val="Normal2"/>
      </w:pPr>
      <w:r>
        <w:t>Partial savings in this measure have already been provided by the Government.</w:t>
      </w:r>
    </w:p>
    <w:p w14:paraId="6AC52874" w14:textId="77777777" w:rsidR="00B449D0" w:rsidRDefault="00175344">
      <w:pPr>
        <w:pStyle w:val="Normal2"/>
      </w:pPr>
      <w:r>
        <w:t>The Treasury manages Commonwealth payments to the states and territories.</w:t>
      </w:r>
    </w:p>
    <w:p w14:paraId="28ADE4F3" w14:textId="77777777" w:rsidR="00B449D0" w:rsidRDefault="00175344">
      <w:pPr>
        <w:pStyle w:val="Normal2"/>
      </w:pPr>
      <w:r>
        <w:t xml:space="preserve">This measure builds on the 2022–23 October Budget measure titled </w:t>
      </w:r>
      <w:r w:rsidRPr="00175344">
        <w:rPr>
          <w:i/>
        </w:rPr>
        <w:t>Strengthening First Nations Health</w:t>
      </w:r>
      <w:r>
        <w:t xml:space="preserve">, the 2023–24 Budget measures titled </w:t>
      </w:r>
      <w:r w:rsidRPr="00175344">
        <w:rPr>
          <w:i/>
        </w:rPr>
        <w:t>Strengthening Medicare</w:t>
      </w:r>
      <w:r>
        <w:t xml:space="preserve">, and </w:t>
      </w:r>
      <w:r w:rsidRPr="00175344">
        <w:rPr>
          <w:i/>
        </w:rPr>
        <w:t>Mental Health,</w:t>
      </w:r>
      <w:r>
        <w:t xml:space="preserve"> and the 2024–25 Budget measures titled </w:t>
      </w:r>
      <w:r w:rsidRPr="00175344">
        <w:rPr>
          <w:i/>
        </w:rPr>
        <w:t>Strengthening Medicare</w:t>
      </w:r>
      <w:r>
        <w:t xml:space="preserve"> and </w:t>
      </w:r>
      <w:r w:rsidRPr="00175344">
        <w:rPr>
          <w:i/>
        </w:rPr>
        <w:t>Health Workforce</w:t>
      </w:r>
      <w:r>
        <w:t xml:space="preserve">, and </w:t>
      </w:r>
      <w:r w:rsidRPr="00175344">
        <w:rPr>
          <w:i/>
        </w:rPr>
        <w:t>Mental Health.</w:t>
      </w:r>
    </w:p>
    <w:p w14:paraId="32350D07" w14:textId="77777777" w:rsidR="00B449D0" w:rsidRDefault="00175344">
      <w:pPr>
        <w:pStyle w:val="MeasureTitle"/>
      </w:pPr>
      <w:r>
        <w:t>Telethons</w:t>
      </w:r>
    </w:p>
    <w:p w14:paraId="38419BB6"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3C844529" w14:textId="77777777">
        <w:trPr>
          <w:cantSplit/>
        </w:trPr>
        <w:tc>
          <w:tcPr>
            <w:tcW w:w="2494" w:type="dxa"/>
            <w:tcBorders>
              <w:top w:val="single" w:sz="4" w:space="0" w:color="000000"/>
              <w:bottom w:val="single" w:sz="4" w:space="0" w:color="000000"/>
            </w:tcBorders>
          </w:tcPr>
          <w:p w14:paraId="47FF6A9C" w14:textId="77777777" w:rsidR="00B449D0" w:rsidRDefault="00B449D0">
            <w:pPr>
              <w:pStyle w:val="MeasureTableYearHeadings"/>
              <w:keepNext/>
            </w:pPr>
          </w:p>
        </w:tc>
        <w:tc>
          <w:tcPr>
            <w:tcW w:w="1043" w:type="dxa"/>
            <w:tcBorders>
              <w:top w:val="single" w:sz="4" w:space="0" w:color="000000"/>
              <w:bottom w:val="single" w:sz="4" w:space="0" w:color="000000"/>
            </w:tcBorders>
          </w:tcPr>
          <w:p w14:paraId="2CA9C62E" w14:textId="225565FD"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08248E95" w14:textId="5E5DFB9F"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7D7EA29F" w14:textId="2C7980DD"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7E31AC50" w14:textId="698BF70C"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52AC7152" w14:textId="1F2FCF4E" w:rsidR="00B449D0" w:rsidRDefault="00175344">
            <w:pPr>
              <w:pStyle w:val="MeasureTableYearHeadings"/>
              <w:keepNext/>
            </w:pPr>
            <w:r>
              <w:t>2027</w:t>
            </w:r>
            <w:r w:rsidR="00076D78">
              <w:noBreakHyphen/>
            </w:r>
            <w:r>
              <w:t>28</w:t>
            </w:r>
          </w:p>
        </w:tc>
      </w:tr>
      <w:tr w:rsidR="00B449D0" w14:paraId="7A57586E" w14:textId="77777777">
        <w:trPr>
          <w:cantSplit/>
        </w:trPr>
        <w:tc>
          <w:tcPr>
            <w:tcW w:w="2494" w:type="dxa"/>
            <w:tcBorders>
              <w:top w:val="single" w:sz="4" w:space="0" w:color="000000"/>
              <w:bottom w:val="single" w:sz="4" w:space="0" w:color="000000"/>
            </w:tcBorders>
          </w:tcPr>
          <w:p w14:paraId="395DFEBA" w14:textId="77777777" w:rsidR="00B449D0" w:rsidRDefault="00175344">
            <w:pPr>
              <w:pStyle w:val="MeasureTableHeadingleftalignedwith2ptsspacing"/>
              <w:keepNext/>
            </w:pPr>
            <w:r>
              <w:t>Department of Health and Aged Care</w:t>
            </w:r>
          </w:p>
        </w:tc>
        <w:tc>
          <w:tcPr>
            <w:tcW w:w="1043" w:type="dxa"/>
            <w:tcBorders>
              <w:top w:val="single" w:sz="4" w:space="0" w:color="000000"/>
              <w:bottom w:val="single" w:sz="4" w:space="0" w:color="000000"/>
            </w:tcBorders>
          </w:tcPr>
          <w:p w14:paraId="6601EE53" w14:textId="4E7D740C"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320CE4D" w14:textId="77777777" w:rsidR="00B449D0" w:rsidRDefault="00175344">
            <w:pPr>
              <w:pStyle w:val="MeasureTableDataRightAlignedwith2ptsspacing"/>
              <w:keepNext/>
            </w:pPr>
            <w:r>
              <w:t>6.8</w:t>
            </w:r>
          </w:p>
        </w:tc>
        <w:tc>
          <w:tcPr>
            <w:tcW w:w="1043" w:type="dxa"/>
            <w:tcBorders>
              <w:top w:val="single" w:sz="4" w:space="0" w:color="000000"/>
              <w:bottom w:val="single" w:sz="4" w:space="0" w:color="000000"/>
            </w:tcBorders>
          </w:tcPr>
          <w:p w14:paraId="4C974C3E" w14:textId="77777777" w:rsidR="00B449D0" w:rsidRDefault="00175344">
            <w:pPr>
              <w:pStyle w:val="MeasureTableDataRightAlignedwith2ptsspacing"/>
              <w:keepNext/>
            </w:pPr>
            <w:r>
              <w:t>..</w:t>
            </w:r>
          </w:p>
        </w:tc>
        <w:tc>
          <w:tcPr>
            <w:tcW w:w="1043" w:type="dxa"/>
            <w:tcBorders>
              <w:top w:val="single" w:sz="4" w:space="0" w:color="000000"/>
              <w:bottom w:val="single" w:sz="4" w:space="0" w:color="000000"/>
            </w:tcBorders>
          </w:tcPr>
          <w:p w14:paraId="6354D27E" w14:textId="69B59B19"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81C2229" w14:textId="23818439" w:rsidR="00B449D0" w:rsidRDefault="00076D78">
            <w:pPr>
              <w:pStyle w:val="MeasureTableDataRightAlignedwith2ptsspacing"/>
              <w:keepNext/>
            </w:pPr>
            <w:r>
              <w:noBreakHyphen/>
            </w:r>
          </w:p>
        </w:tc>
      </w:tr>
    </w:tbl>
    <w:p w14:paraId="03E8767D" w14:textId="77777777" w:rsidR="00B449D0" w:rsidRDefault="00B449D0" w:rsidP="00380A42">
      <w:pPr>
        <w:pStyle w:val="SingleParagraph0"/>
      </w:pPr>
    </w:p>
    <w:p w14:paraId="08165D13" w14:textId="37240DFA" w:rsidR="00B449D0" w:rsidRDefault="00175344">
      <w:pPr>
        <w:pStyle w:val="Normal2"/>
      </w:pPr>
      <w:r>
        <w:t>The Government will provide $6.8 million over two years from 2024–25 to recent and upcoming Telethons to support medical research into children</w:t>
      </w:r>
      <w:r w:rsidR="00076D78">
        <w:t>’</w:t>
      </w:r>
      <w:r>
        <w:t>s disease and treatments for mothers and their babies during the perinatal period.</w:t>
      </w:r>
    </w:p>
    <w:p w14:paraId="5CFD5633" w14:textId="77777777" w:rsidR="00B449D0" w:rsidRDefault="00175344">
      <w:pPr>
        <w:pStyle w:val="Normal2"/>
      </w:pPr>
      <w:r>
        <w:t xml:space="preserve">This measure builds on the 2023–24 MYEFO measure titled </w:t>
      </w:r>
      <w:r w:rsidRPr="00175344">
        <w:rPr>
          <w:i/>
        </w:rPr>
        <w:t>Channel 7 Perth Telethon</w:t>
      </w:r>
      <w:r>
        <w:t xml:space="preserve"> and the 2024–25 Budget measure titled </w:t>
      </w:r>
      <w:r w:rsidRPr="00175344">
        <w:rPr>
          <w:i/>
        </w:rPr>
        <w:t>2024 Channel Nine Brisbane Telethon</w:t>
      </w:r>
      <w:r>
        <w:t>.</w:t>
      </w:r>
    </w:p>
    <w:p w14:paraId="7DE0DA7C" w14:textId="77777777" w:rsidR="00B449D0" w:rsidRDefault="00175344">
      <w:pPr>
        <w:pStyle w:val="MeasureTitle"/>
      </w:pPr>
      <w:r>
        <w:t>Vaping Regulation Reform Package</w:t>
      </w:r>
    </w:p>
    <w:p w14:paraId="362ABFD5"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57DF6644" w14:textId="77777777">
        <w:trPr>
          <w:cantSplit/>
        </w:trPr>
        <w:tc>
          <w:tcPr>
            <w:tcW w:w="2494" w:type="dxa"/>
            <w:tcBorders>
              <w:top w:val="single" w:sz="4" w:space="0" w:color="000000"/>
              <w:bottom w:val="single" w:sz="4" w:space="0" w:color="000000"/>
            </w:tcBorders>
          </w:tcPr>
          <w:p w14:paraId="210E20BA" w14:textId="77777777" w:rsidR="00B449D0" w:rsidRDefault="00B449D0">
            <w:pPr>
              <w:pStyle w:val="MeasureTableYearHeadings"/>
              <w:keepNext/>
            </w:pPr>
          </w:p>
        </w:tc>
        <w:tc>
          <w:tcPr>
            <w:tcW w:w="1043" w:type="dxa"/>
            <w:tcBorders>
              <w:top w:val="single" w:sz="4" w:space="0" w:color="000000"/>
              <w:bottom w:val="single" w:sz="4" w:space="0" w:color="000000"/>
            </w:tcBorders>
          </w:tcPr>
          <w:p w14:paraId="360A4AF3" w14:textId="1407480B"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43EA1BC7" w14:textId="62C6CC7D"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0738706C" w14:textId="2F901132"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1B3D8B85" w14:textId="57346B2D"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231E2E35" w14:textId="5BE8E717" w:rsidR="00B449D0" w:rsidRDefault="00175344">
            <w:pPr>
              <w:pStyle w:val="MeasureTableYearHeadings"/>
              <w:keepNext/>
            </w:pPr>
            <w:r>
              <w:t>2027</w:t>
            </w:r>
            <w:r w:rsidR="00076D78">
              <w:noBreakHyphen/>
            </w:r>
            <w:r>
              <w:t>28</w:t>
            </w:r>
          </w:p>
        </w:tc>
      </w:tr>
      <w:tr w:rsidR="00B449D0" w14:paraId="743059FA" w14:textId="77777777">
        <w:trPr>
          <w:cantSplit/>
        </w:trPr>
        <w:tc>
          <w:tcPr>
            <w:tcW w:w="2494" w:type="dxa"/>
            <w:tcBorders>
              <w:top w:val="single" w:sz="4" w:space="0" w:color="000000"/>
              <w:bottom w:val="single" w:sz="4" w:space="0" w:color="000000"/>
            </w:tcBorders>
          </w:tcPr>
          <w:p w14:paraId="306335B1" w14:textId="77777777" w:rsidR="00B449D0" w:rsidRDefault="00175344">
            <w:pPr>
              <w:pStyle w:val="MeasureTableHeadingleftalignedwith2ptsspacing"/>
              <w:keepNext/>
            </w:pPr>
            <w:r>
              <w:t>Department of Health and Aged Care</w:t>
            </w:r>
          </w:p>
        </w:tc>
        <w:tc>
          <w:tcPr>
            <w:tcW w:w="1043" w:type="dxa"/>
            <w:tcBorders>
              <w:top w:val="single" w:sz="4" w:space="0" w:color="000000"/>
              <w:bottom w:val="single" w:sz="4" w:space="0" w:color="000000"/>
            </w:tcBorders>
          </w:tcPr>
          <w:p w14:paraId="690F8BDC" w14:textId="4FECD3A1"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475587B" w14:textId="77777777" w:rsidR="00B449D0" w:rsidRDefault="00175344">
            <w:pPr>
              <w:pStyle w:val="MeasureTableDataRightAlignedwith2ptsspacing"/>
              <w:keepNext/>
            </w:pPr>
            <w:r>
              <w:t>18.4</w:t>
            </w:r>
          </w:p>
        </w:tc>
        <w:tc>
          <w:tcPr>
            <w:tcW w:w="1043" w:type="dxa"/>
            <w:tcBorders>
              <w:top w:val="single" w:sz="4" w:space="0" w:color="000000"/>
              <w:bottom w:val="single" w:sz="4" w:space="0" w:color="000000"/>
            </w:tcBorders>
          </w:tcPr>
          <w:p w14:paraId="74D02D30" w14:textId="77777777" w:rsidR="00B449D0" w:rsidRDefault="00175344">
            <w:pPr>
              <w:pStyle w:val="MeasureTableDataRightAlignedwith2ptsspacing"/>
              <w:keepNext/>
            </w:pPr>
            <w:r>
              <w:t>70.3</w:t>
            </w:r>
          </w:p>
        </w:tc>
        <w:tc>
          <w:tcPr>
            <w:tcW w:w="1043" w:type="dxa"/>
            <w:tcBorders>
              <w:top w:val="single" w:sz="4" w:space="0" w:color="000000"/>
              <w:bottom w:val="single" w:sz="4" w:space="0" w:color="000000"/>
            </w:tcBorders>
          </w:tcPr>
          <w:p w14:paraId="716287B7" w14:textId="77777777" w:rsidR="00B449D0" w:rsidRDefault="00175344">
            <w:pPr>
              <w:pStyle w:val="MeasureTableDataRightAlignedwith2ptsspacing"/>
              <w:keepNext/>
            </w:pPr>
            <w:r>
              <w:t>61.7</w:t>
            </w:r>
          </w:p>
        </w:tc>
        <w:tc>
          <w:tcPr>
            <w:tcW w:w="1043" w:type="dxa"/>
            <w:tcBorders>
              <w:top w:val="single" w:sz="4" w:space="0" w:color="000000"/>
              <w:bottom w:val="single" w:sz="4" w:space="0" w:color="000000"/>
            </w:tcBorders>
          </w:tcPr>
          <w:p w14:paraId="6BFD6C4B" w14:textId="7C0C11C9" w:rsidR="00B449D0" w:rsidRDefault="00076D78">
            <w:pPr>
              <w:pStyle w:val="MeasureTableDataRightAlignedwith2ptsspacing"/>
              <w:keepNext/>
            </w:pPr>
            <w:r>
              <w:noBreakHyphen/>
            </w:r>
          </w:p>
        </w:tc>
      </w:tr>
      <w:tr w:rsidR="00B449D0" w14:paraId="7CD59B7E" w14:textId="77777777">
        <w:trPr>
          <w:cantSplit/>
        </w:trPr>
        <w:tc>
          <w:tcPr>
            <w:tcW w:w="2494" w:type="dxa"/>
            <w:tcBorders>
              <w:top w:val="single" w:sz="4" w:space="0" w:color="000000"/>
              <w:bottom w:val="single" w:sz="4" w:space="0" w:color="000000"/>
            </w:tcBorders>
          </w:tcPr>
          <w:p w14:paraId="7DF8B8D6" w14:textId="77777777" w:rsidR="00B449D0" w:rsidRDefault="00175344">
            <w:pPr>
              <w:pStyle w:val="MeasureTableHeadingleftalignedwith2ptsspacing"/>
              <w:keepNext/>
            </w:pPr>
            <w:r>
              <w:t>Department of the Treasury</w:t>
            </w:r>
          </w:p>
        </w:tc>
        <w:tc>
          <w:tcPr>
            <w:tcW w:w="1043" w:type="dxa"/>
            <w:tcBorders>
              <w:top w:val="single" w:sz="4" w:space="0" w:color="000000"/>
              <w:bottom w:val="single" w:sz="4" w:space="0" w:color="000000"/>
            </w:tcBorders>
          </w:tcPr>
          <w:p w14:paraId="49D7F509" w14:textId="5CA800BB"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CE02784" w14:textId="77777777" w:rsidR="00B449D0" w:rsidRDefault="00175344">
            <w:pPr>
              <w:pStyle w:val="MeasureTableDataRightAlignedwith2ptsspacing"/>
              <w:keepNext/>
            </w:pPr>
            <w:r>
              <w:t>1.0</w:t>
            </w:r>
          </w:p>
        </w:tc>
        <w:tc>
          <w:tcPr>
            <w:tcW w:w="1043" w:type="dxa"/>
            <w:tcBorders>
              <w:top w:val="single" w:sz="4" w:space="0" w:color="000000"/>
              <w:bottom w:val="single" w:sz="4" w:space="0" w:color="000000"/>
            </w:tcBorders>
          </w:tcPr>
          <w:p w14:paraId="3E58FD92" w14:textId="77777777" w:rsidR="00B449D0" w:rsidRDefault="00175344">
            <w:pPr>
              <w:pStyle w:val="MeasureTableDataRightAlignedwith2ptsspacing"/>
              <w:keepNext/>
            </w:pPr>
            <w:r>
              <w:t>1.0</w:t>
            </w:r>
          </w:p>
        </w:tc>
        <w:tc>
          <w:tcPr>
            <w:tcW w:w="1043" w:type="dxa"/>
            <w:tcBorders>
              <w:top w:val="single" w:sz="4" w:space="0" w:color="000000"/>
              <w:bottom w:val="single" w:sz="4" w:space="0" w:color="000000"/>
            </w:tcBorders>
          </w:tcPr>
          <w:p w14:paraId="7704A560" w14:textId="524A7D7F"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8493DD4" w14:textId="114DCF56" w:rsidR="00B449D0" w:rsidRDefault="00076D78">
            <w:pPr>
              <w:pStyle w:val="MeasureTableDataRightAlignedwith2ptsspacing"/>
              <w:keepNext/>
            </w:pPr>
            <w:r>
              <w:noBreakHyphen/>
            </w:r>
          </w:p>
        </w:tc>
      </w:tr>
      <w:tr w:rsidR="00B449D0" w14:paraId="0D32CAC9" w14:textId="77777777">
        <w:trPr>
          <w:cantSplit/>
        </w:trPr>
        <w:tc>
          <w:tcPr>
            <w:tcW w:w="2494" w:type="dxa"/>
            <w:tcBorders>
              <w:top w:val="single" w:sz="4" w:space="0" w:color="000000"/>
              <w:bottom w:val="single" w:sz="4" w:space="0" w:color="000000"/>
            </w:tcBorders>
          </w:tcPr>
          <w:p w14:paraId="29BB3ACB" w14:textId="77777777" w:rsidR="00B449D0" w:rsidRDefault="00175344">
            <w:pPr>
              <w:pStyle w:val="MeasureTableHeadingleftalignedwith2ptsspacing"/>
              <w:keepNext/>
            </w:pPr>
            <w:r>
              <w:t>Department of Home Affairs</w:t>
            </w:r>
          </w:p>
        </w:tc>
        <w:tc>
          <w:tcPr>
            <w:tcW w:w="1043" w:type="dxa"/>
            <w:tcBorders>
              <w:top w:val="single" w:sz="4" w:space="0" w:color="000000"/>
              <w:bottom w:val="single" w:sz="4" w:space="0" w:color="000000"/>
            </w:tcBorders>
          </w:tcPr>
          <w:p w14:paraId="0ECB47B4" w14:textId="3B1ACD11"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78A8295" w14:textId="597E988B"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7C05ED5" w14:textId="77777777" w:rsidR="00B449D0" w:rsidRDefault="00175344">
            <w:pPr>
              <w:pStyle w:val="MeasureTableDataRightAlignedwith2ptsspacing"/>
              <w:keepNext/>
            </w:pPr>
            <w:r>
              <w:t>15.4</w:t>
            </w:r>
          </w:p>
        </w:tc>
        <w:tc>
          <w:tcPr>
            <w:tcW w:w="1043" w:type="dxa"/>
            <w:tcBorders>
              <w:top w:val="single" w:sz="4" w:space="0" w:color="000000"/>
              <w:bottom w:val="single" w:sz="4" w:space="0" w:color="000000"/>
            </w:tcBorders>
          </w:tcPr>
          <w:p w14:paraId="7A02B68A" w14:textId="77777777" w:rsidR="00B449D0" w:rsidRDefault="00175344">
            <w:pPr>
              <w:pStyle w:val="MeasureTableDataRightAlignedwith2ptsspacing"/>
              <w:keepNext/>
            </w:pPr>
            <w:r>
              <w:t>15.9</w:t>
            </w:r>
          </w:p>
        </w:tc>
        <w:tc>
          <w:tcPr>
            <w:tcW w:w="1043" w:type="dxa"/>
            <w:tcBorders>
              <w:top w:val="single" w:sz="4" w:space="0" w:color="000000"/>
              <w:bottom w:val="single" w:sz="4" w:space="0" w:color="000000"/>
            </w:tcBorders>
          </w:tcPr>
          <w:p w14:paraId="5521CFEE" w14:textId="1A0EF42C" w:rsidR="00B449D0" w:rsidRDefault="00076D78">
            <w:pPr>
              <w:pStyle w:val="MeasureTableDataRightAlignedwith2ptsspacing"/>
              <w:keepNext/>
            </w:pPr>
            <w:r>
              <w:noBreakHyphen/>
            </w:r>
          </w:p>
        </w:tc>
      </w:tr>
      <w:tr w:rsidR="00B449D0" w14:paraId="53B6713F" w14:textId="77777777">
        <w:trPr>
          <w:cantSplit/>
        </w:trPr>
        <w:tc>
          <w:tcPr>
            <w:tcW w:w="2494" w:type="dxa"/>
            <w:tcBorders>
              <w:top w:val="single" w:sz="4" w:space="0" w:color="000000"/>
              <w:bottom w:val="single" w:sz="4" w:space="0" w:color="000000"/>
            </w:tcBorders>
          </w:tcPr>
          <w:p w14:paraId="709A3504" w14:textId="77777777" w:rsidR="00B449D0" w:rsidRDefault="00175344">
            <w:pPr>
              <w:pStyle w:val="MeasureTableHeadingleftalignedwith2ptsspacing"/>
              <w:keepNext/>
            </w:pPr>
            <w:r>
              <w:t>Office of the Director of Public Prosecutions</w:t>
            </w:r>
          </w:p>
        </w:tc>
        <w:tc>
          <w:tcPr>
            <w:tcW w:w="1043" w:type="dxa"/>
            <w:tcBorders>
              <w:top w:val="single" w:sz="4" w:space="0" w:color="000000"/>
              <w:bottom w:val="single" w:sz="4" w:space="0" w:color="000000"/>
            </w:tcBorders>
          </w:tcPr>
          <w:p w14:paraId="66F0DCE7" w14:textId="5E68A265"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1576CE6" w14:textId="5A6C25F4"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1F98B5F" w14:textId="77777777" w:rsidR="00B449D0" w:rsidRDefault="00175344">
            <w:pPr>
              <w:pStyle w:val="MeasureTableDataRightAlignedwith2ptsspacing"/>
              <w:keepNext/>
            </w:pPr>
            <w:r>
              <w:t>1.1</w:t>
            </w:r>
          </w:p>
        </w:tc>
        <w:tc>
          <w:tcPr>
            <w:tcW w:w="1043" w:type="dxa"/>
            <w:tcBorders>
              <w:top w:val="single" w:sz="4" w:space="0" w:color="000000"/>
              <w:bottom w:val="single" w:sz="4" w:space="0" w:color="000000"/>
            </w:tcBorders>
          </w:tcPr>
          <w:p w14:paraId="6D6490DA" w14:textId="77777777" w:rsidR="00B449D0" w:rsidRDefault="00175344">
            <w:pPr>
              <w:pStyle w:val="MeasureTableDataRightAlignedwith2ptsspacing"/>
              <w:keepNext/>
            </w:pPr>
            <w:r>
              <w:t>1.4</w:t>
            </w:r>
          </w:p>
        </w:tc>
        <w:tc>
          <w:tcPr>
            <w:tcW w:w="1043" w:type="dxa"/>
            <w:tcBorders>
              <w:top w:val="single" w:sz="4" w:space="0" w:color="000000"/>
              <w:bottom w:val="single" w:sz="4" w:space="0" w:color="000000"/>
            </w:tcBorders>
          </w:tcPr>
          <w:p w14:paraId="4615F720" w14:textId="47589DB2" w:rsidR="00B449D0" w:rsidRDefault="00076D78">
            <w:pPr>
              <w:pStyle w:val="MeasureTableDataRightAlignedwith2ptsspacing"/>
              <w:keepNext/>
            </w:pPr>
            <w:r>
              <w:noBreakHyphen/>
            </w:r>
          </w:p>
        </w:tc>
      </w:tr>
      <w:tr w:rsidR="00B449D0" w14:paraId="662888FB" w14:textId="77777777">
        <w:trPr>
          <w:cantSplit/>
        </w:trPr>
        <w:tc>
          <w:tcPr>
            <w:tcW w:w="2494" w:type="dxa"/>
            <w:tcBorders>
              <w:top w:val="single" w:sz="4" w:space="0" w:color="000000"/>
              <w:bottom w:val="single" w:sz="4" w:space="0" w:color="000000"/>
            </w:tcBorders>
          </w:tcPr>
          <w:p w14:paraId="192369F0"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7EA3CCD0" w14:textId="685B01DE"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6CF54357" w14:textId="77777777" w:rsidR="00B449D0" w:rsidRDefault="00175344">
            <w:pPr>
              <w:pStyle w:val="Totaldatarowrightaligned"/>
              <w:keepNext/>
            </w:pPr>
            <w:r>
              <w:t>19.4</w:t>
            </w:r>
          </w:p>
        </w:tc>
        <w:tc>
          <w:tcPr>
            <w:tcW w:w="1043" w:type="dxa"/>
            <w:tcBorders>
              <w:top w:val="single" w:sz="4" w:space="0" w:color="000000"/>
              <w:bottom w:val="single" w:sz="4" w:space="0" w:color="000000"/>
            </w:tcBorders>
          </w:tcPr>
          <w:p w14:paraId="18256382" w14:textId="77777777" w:rsidR="00B449D0" w:rsidRDefault="00175344">
            <w:pPr>
              <w:pStyle w:val="Totaldatarowrightaligned"/>
              <w:keepNext/>
            </w:pPr>
            <w:r>
              <w:t>87.8</w:t>
            </w:r>
          </w:p>
        </w:tc>
        <w:tc>
          <w:tcPr>
            <w:tcW w:w="1043" w:type="dxa"/>
            <w:tcBorders>
              <w:top w:val="single" w:sz="4" w:space="0" w:color="000000"/>
              <w:bottom w:val="single" w:sz="4" w:space="0" w:color="000000"/>
            </w:tcBorders>
          </w:tcPr>
          <w:p w14:paraId="6D67324A" w14:textId="77777777" w:rsidR="00B449D0" w:rsidRDefault="00175344">
            <w:pPr>
              <w:pStyle w:val="Totaldatarowrightaligned"/>
              <w:keepNext/>
            </w:pPr>
            <w:r>
              <w:t>79.0</w:t>
            </w:r>
          </w:p>
        </w:tc>
        <w:tc>
          <w:tcPr>
            <w:tcW w:w="1043" w:type="dxa"/>
            <w:tcBorders>
              <w:top w:val="single" w:sz="4" w:space="0" w:color="000000"/>
              <w:bottom w:val="single" w:sz="4" w:space="0" w:color="000000"/>
            </w:tcBorders>
          </w:tcPr>
          <w:p w14:paraId="2B012656" w14:textId="325CD262" w:rsidR="00B449D0" w:rsidRDefault="00076D78">
            <w:pPr>
              <w:pStyle w:val="Totaldatarowrightaligned"/>
              <w:keepNext/>
            </w:pPr>
            <w:r>
              <w:noBreakHyphen/>
            </w:r>
          </w:p>
        </w:tc>
      </w:tr>
    </w:tbl>
    <w:p w14:paraId="3C1BF9EC" w14:textId="77777777" w:rsidR="00B449D0" w:rsidRDefault="00B449D0" w:rsidP="00380A42">
      <w:pPr>
        <w:pStyle w:val="SingleParagraph0"/>
      </w:pPr>
    </w:p>
    <w:p w14:paraId="184FAC6D" w14:textId="77777777" w:rsidR="00B449D0" w:rsidRDefault="00175344">
      <w:pPr>
        <w:pStyle w:val="Normal2"/>
      </w:pPr>
      <w:r>
        <w:t xml:space="preserve">The Government will provide $194.9 million over four years from 2024–25 to implement and deliver vaping regulation reform legislation to reduce the availability of vaping products in Australia, following the passage of the </w:t>
      </w:r>
      <w:r w:rsidRPr="00175344">
        <w:rPr>
          <w:i/>
        </w:rPr>
        <w:t>Therapeutic Goods and Other Legislation Amendment (Vaping Reforms) Act 2024</w:t>
      </w:r>
      <w:r>
        <w:t>, including:</w:t>
      </w:r>
    </w:p>
    <w:p w14:paraId="43969555" w14:textId="0D0F8E48" w:rsidR="00B449D0" w:rsidRDefault="00175344">
      <w:pPr>
        <w:pStyle w:val="Bullet"/>
      </w:pPr>
      <w:r>
        <w:lastRenderedPageBreak/>
        <w:t>$92.6 million over two years from 2025–26 to the Therapeutic Goods Administration (TGA) to extend their regulatory, compliance and enforcement activities on all vaping products, including for staffing costs and uplifting TGA</w:t>
      </w:r>
      <w:r w:rsidR="00076D78">
        <w:t>’</w:t>
      </w:r>
      <w:r>
        <w:t>s IT and digital infrastructure</w:t>
      </w:r>
    </w:p>
    <w:p w14:paraId="02EBBF84" w14:textId="1EAF7ADF" w:rsidR="00B449D0" w:rsidRDefault="00175344">
      <w:pPr>
        <w:pStyle w:val="Bullet"/>
      </w:pPr>
      <w:r>
        <w:t>$31.3 million over two years from 2025–26 to support the Australian Border Force</w:t>
      </w:r>
      <w:r w:rsidR="00076D78">
        <w:t>’</w:t>
      </w:r>
      <w:r>
        <w:t>s regulatory and enforcement activities, including for staffing costs and the disposal of seized vaping products</w:t>
      </w:r>
    </w:p>
    <w:p w14:paraId="291ED211" w14:textId="77777777" w:rsidR="00B449D0" w:rsidRDefault="00175344">
      <w:pPr>
        <w:pStyle w:val="Bullet"/>
      </w:pPr>
      <w:r>
        <w:t>$12.5 million over three years from 2024–25 to establish a consumer collection and disposal scheme for vaping products</w:t>
      </w:r>
    </w:p>
    <w:p w14:paraId="1E6DA8FA" w14:textId="77777777" w:rsidR="00B449D0" w:rsidRDefault="00175344">
      <w:pPr>
        <w:pStyle w:val="Bullet"/>
      </w:pPr>
      <w:r>
        <w:t>$11.3 million over two years from 2025–26 of additional funding to extend and adapt the existing National Youth Vaping Education campaign to target the 14‑24 years old cohort</w:t>
      </w:r>
    </w:p>
    <w:p w14:paraId="6FF83E48" w14:textId="7EDF750F" w:rsidR="00B449D0" w:rsidRDefault="00175344">
      <w:pPr>
        <w:pStyle w:val="Bullet"/>
      </w:pPr>
      <w:r>
        <w:t>$8.7 million over four years from 2024–25 to establish a national vaping prevention education program for Year 7 and 8 school students, through the University of Sydney</w:t>
      </w:r>
      <w:r w:rsidR="00076D78">
        <w:t>’</w:t>
      </w:r>
      <w:r>
        <w:t>s OurFutures Institute</w:t>
      </w:r>
    </w:p>
    <w:p w14:paraId="217A4A97" w14:textId="77777777" w:rsidR="00B449D0" w:rsidRDefault="00175344">
      <w:pPr>
        <w:pStyle w:val="Bullet"/>
      </w:pPr>
      <w:r>
        <w:t xml:space="preserve">$7.5 million in 2024–25 to establish and manage a </w:t>
      </w:r>
      <w:r w:rsidRPr="00175344">
        <w:rPr>
          <w:i/>
        </w:rPr>
        <w:t>Business Surrender Scheme</w:t>
      </w:r>
      <w:r>
        <w:t xml:space="preserve"> for vaping products</w:t>
      </w:r>
    </w:p>
    <w:p w14:paraId="6B8C5533" w14:textId="77777777" w:rsidR="00B449D0" w:rsidRDefault="00175344">
      <w:pPr>
        <w:pStyle w:val="Bullet"/>
      </w:pPr>
      <w:r>
        <w:t>$6.8 million over three years from 2024–25 to provide additional funding to states and territories for storage and disposal of unlawful vaping products seized through joint enforcement activities with the TGA</w:t>
      </w:r>
    </w:p>
    <w:p w14:paraId="01AD7746" w14:textId="77777777" w:rsidR="00B449D0" w:rsidRDefault="00175344">
      <w:pPr>
        <w:pStyle w:val="Bullet"/>
      </w:pPr>
      <w:r>
        <w:t>$5.7 million over two years from 2025–26 to establish and extend data collection activities to support ongoing monitoring of vaping and tobacco reform</w:t>
      </w:r>
    </w:p>
    <w:p w14:paraId="76C561B6" w14:textId="77777777" w:rsidR="00B449D0" w:rsidRDefault="00175344">
      <w:pPr>
        <w:pStyle w:val="Bullet"/>
      </w:pPr>
      <w:r>
        <w:t xml:space="preserve">$5.2 million over two years from 2025–26 to support the development and implementation of monitoring and evaluation programs for tobacco and vaping reform, including a mid‑point review of the </w:t>
      </w:r>
      <w:r w:rsidRPr="00175344">
        <w:rPr>
          <w:i/>
        </w:rPr>
        <w:t>National Tobacco Strategy 2023–2030</w:t>
      </w:r>
    </w:p>
    <w:p w14:paraId="0D42868C" w14:textId="77777777" w:rsidR="00B449D0" w:rsidRDefault="00175344">
      <w:pPr>
        <w:pStyle w:val="Bullet"/>
      </w:pPr>
      <w:r>
        <w:t>$2.9 million in 2024–25 for a monitoring program for vape sales in pharmacies</w:t>
      </w:r>
    </w:p>
    <w:p w14:paraId="4C3063FA" w14:textId="77777777" w:rsidR="00B449D0" w:rsidRDefault="00175344">
      <w:pPr>
        <w:pStyle w:val="Bullet"/>
      </w:pPr>
      <w:r>
        <w:t xml:space="preserve">$2.5 million over two years from 2025–26 to the Office of the Director of Public Prosecutions to undertake prosecutions on behalf of the Commonwealth under the </w:t>
      </w:r>
      <w:r w:rsidRPr="00175344">
        <w:rPr>
          <w:i/>
        </w:rPr>
        <w:t>Therapeutic Goods and Other Legislation Amendment (Vaping Reforms) Act 2024</w:t>
      </w:r>
    </w:p>
    <w:p w14:paraId="777853B8" w14:textId="77777777" w:rsidR="00B449D0" w:rsidRDefault="00175344">
      <w:pPr>
        <w:pStyle w:val="Bullet"/>
      </w:pPr>
      <w:r>
        <w:t>$1.0 million in 2024–25 to support research on cost effective and environmentally sustainable methods to dismantle and dispose of vaping products</w:t>
      </w:r>
    </w:p>
    <w:p w14:paraId="5E30BB3E" w14:textId="77777777" w:rsidR="00B449D0" w:rsidRDefault="00175344">
      <w:pPr>
        <w:pStyle w:val="Bullet"/>
      </w:pPr>
      <w:r>
        <w:t>$1.0 million over two years from 2025–26 to develop a framework for nationally consistent retail arrangements</w:t>
      </w:r>
    </w:p>
    <w:p w14:paraId="0E8C2E0A" w14:textId="77777777" w:rsidR="00B449D0" w:rsidRDefault="00175344">
      <w:pPr>
        <w:pStyle w:val="Bullet"/>
      </w:pPr>
      <w:r>
        <w:t>$1.0 million over three years from 2024–25 to the Alcohol and Drug Foundation to expand the existing Good Sports Program to include vaping prevention.</w:t>
      </w:r>
    </w:p>
    <w:p w14:paraId="32CEFA6B" w14:textId="77777777" w:rsidR="00B449D0" w:rsidRDefault="00175344">
      <w:pPr>
        <w:pStyle w:val="Normal2"/>
      </w:pPr>
      <w:r>
        <w:t>The Government has already provided partial funding for this measure.</w:t>
      </w:r>
    </w:p>
    <w:p w14:paraId="4969AAF8" w14:textId="77777777" w:rsidR="00B449D0" w:rsidRDefault="00175344">
      <w:pPr>
        <w:pStyle w:val="Normal2"/>
      </w:pPr>
      <w:r>
        <w:t>The Treasury manages Commonwealth payments to the states and territories.</w:t>
      </w:r>
    </w:p>
    <w:p w14:paraId="75D0CC99" w14:textId="77777777" w:rsidR="00B449D0" w:rsidRDefault="00175344">
      <w:pPr>
        <w:pStyle w:val="Normal2"/>
      </w:pPr>
      <w:r>
        <w:t xml:space="preserve">This measure builds on the 2023–24 MYEFO measure titled </w:t>
      </w:r>
      <w:r w:rsidRPr="00175344">
        <w:rPr>
          <w:i/>
        </w:rPr>
        <w:t>Enhanced Regulatory Model for Vaping Products</w:t>
      </w:r>
      <w:r>
        <w:t>.</w:t>
      </w:r>
    </w:p>
    <w:p w14:paraId="183F7434" w14:textId="77777777" w:rsidR="00B449D0" w:rsidRDefault="00B449D0">
      <w:pPr>
        <w:sectPr w:rsidR="00B449D0" w:rsidSect="00301E48">
          <w:headerReference w:type="even" r:id="rId96"/>
          <w:headerReference w:type="default" r:id="rId97"/>
          <w:footerReference w:type="even" r:id="rId98"/>
          <w:footerReference w:type="default" r:id="rId99"/>
          <w:headerReference w:type="first" r:id="rId100"/>
          <w:footerReference w:type="first" r:id="rId101"/>
          <w:pgSz w:w="11906" w:h="16838"/>
          <w:pgMar w:top="2835" w:right="2098" w:bottom="2466" w:left="2098" w:header="1814" w:footer="1814" w:gutter="0"/>
          <w:cols w:space="720"/>
          <w:docGrid w:linePitch="272"/>
        </w:sectPr>
      </w:pPr>
    </w:p>
    <w:p w14:paraId="5559A6DC" w14:textId="77777777" w:rsidR="00B449D0" w:rsidRDefault="00175344">
      <w:pPr>
        <w:pStyle w:val="PortfolioName"/>
      </w:pPr>
      <w:r>
        <w:lastRenderedPageBreak/>
        <w:t>Home Affairs</w:t>
      </w:r>
    </w:p>
    <w:p w14:paraId="6B633A0F" w14:textId="77777777" w:rsidR="00B449D0" w:rsidRDefault="00175344">
      <w:pPr>
        <w:pStyle w:val="MeasureTitle"/>
      </w:pPr>
      <w:bookmarkStart w:id="4" w:name="_Hlk184902600"/>
      <w:r w:rsidRPr="7F762F0D">
        <w:rPr>
          <w:lang w:val="en-US"/>
        </w:rPr>
        <w:t>Assistance for Recent Arrivals from Conflict Zones</w:t>
      </w:r>
      <w:bookmarkEnd w:id="4"/>
    </w:p>
    <w:p w14:paraId="58B7401E"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246FF920" w14:textId="77777777">
        <w:trPr>
          <w:cantSplit/>
        </w:trPr>
        <w:tc>
          <w:tcPr>
            <w:tcW w:w="2494" w:type="dxa"/>
            <w:tcBorders>
              <w:top w:val="single" w:sz="4" w:space="0" w:color="000000"/>
              <w:bottom w:val="single" w:sz="4" w:space="0" w:color="000000"/>
            </w:tcBorders>
          </w:tcPr>
          <w:p w14:paraId="0923A3AE" w14:textId="77777777" w:rsidR="00B449D0" w:rsidRDefault="00B449D0">
            <w:pPr>
              <w:pStyle w:val="MeasureTableYearHeadings"/>
              <w:keepNext/>
            </w:pPr>
          </w:p>
        </w:tc>
        <w:tc>
          <w:tcPr>
            <w:tcW w:w="1043" w:type="dxa"/>
            <w:tcBorders>
              <w:top w:val="single" w:sz="4" w:space="0" w:color="000000"/>
              <w:bottom w:val="single" w:sz="4" w:space="0" w:color="000000"/>
            </w:tcBorders>
          </w:tcPr>
          <w:p w14:paraId="374B0974" w14:textId="49FACC40"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54B6664E" w14:textId="3810ADB6"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747F9CE4" w14:textId="544C8AE4"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5EB2DFDF" w14:textId="208AA03D"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0F435065" w14:textId="796E0669" w:rsidR="00B449D0" w:rsidRDefault="00175344">
            <w:pPr>
              <w:pStyle w:val="MeasureTableYearHeadings"/>
              <w:keepNext/>
            </w:pPr>
            <w:r>
              <w:t>2027</w:t>
            </w:r>
            <w:r w:rsidR="00076D78">
              <w:noBreakHyphen/>
            </w:r>
            <w:r>
              <w:t>28</w:t>
            </w:r>
          </w:p>
        </w:tc>
      </w:tr>
      <w:tr w:rsidR="00B449D0" w14:paraId="6FF1BBFF" w14:textId="77777777">
        <w:trPr>
          <w:cantSplit/>
        </w:trPr>
        <w:tc>
          <w:tcPr>
            <w:tcW w:w="2494" w:type="dxa"/>
            <w:tcBorders>
              <w:top w:val="single" w:sz="4" w:space="0" w:color="000000"/>
              <w:bottom w:val="single" w:sz="4" w:space="0" w:color="000000"/>
            </w:tcBorders>
          </w:tcPr>
          <w:p w14:paraId="76B51092" w14:textId="77777777" w:rsidR="00B449D0" w:rsidRDefault="00175344">
            <w:pPr>
              <w:pStyle w:val="MeasureTableHeadingleftalignedwith2ptsspacing"/>
              <w:keepNext/>
            </w:pPr>
            <w:r>
              <w:t>Department of Social Services</w:t>
            </w:r>
          </w:p>
        </w:tc>
        <w:tc>
          <w:tcPr>
            <w:tcW w:w="1043" w:type="dxa"/>
            <w:tcBorders>
              <w:top w:val="single" w:sz="4" w:space="0" w:color="000000"/>
              <w:bottom w:val="single" w:sz="4" w:space="0" w:color="000000"/>
            </w:tcBorders>
          </w:tcPr>
          <w:p w14:paraId="1B49A9FA" w14:textId="459C2619"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40A95E3" w14:textId="77777777" w:rsidR="00B449D0" w:rsidRDefault="00175344">
            <w:pPr>
              <w:pStyle w:val="MeasureTableDataRightAlignedwith2ptsspacing"/>
              <w:keepNext/>
            </w:pPr>
            <w:r>
              <w:t>13.1</w:t>
            </w:r>
          </w:p>
        </w:tc>
        <w:tc>
          <w:tcPr>
            <w:tcW w:w="1043" w:type="dxa"/>
            <w:tcBorders>
              <w:top w:val="single" w:sz="4" w:space="0" w:color="000000"/>
              <w:bottom w:val="single" w:sz="4" w:space="0" w:color="000000"/>
            </w:tcBorders>
          </w:tcPr>
          <w:p w14:paraId="55251CE6" w14:textId="77777777" w:rsidR="00B449D0" w:rsidRDefault="00175344">
            <w:pPr>
              <w:pStyle w:val="MeasureTableDataRightAlignedwith2ptsspacing"/>
              <w:keepNext/>
            </w:pPr>
            <w:r>
              <w:t>57.9</w:t>
            </w:r>
          </w:p>
        </w:tc>
        <w:tc>
          <w:tcPr>
            <w:tcW w:w="1043" w:type="dxa"/>
            <w:tcBorders>
              <w:top w:val="single" w:sz="4" w:space="0" w:color="000000"/>
              <w:bottom w:val="single" w:sz="4" w:space="0" w:color="000000"/>
            </w:tcBorders>
          </w:tcPr>
          <w:p w14:paraId="0BD29214" w14:textId="77777777" w:rsidR="00B449D0" w:rsidRDefault="00175344">
            <w:pPr>
              <w:pStyle w:val="MeasureTableDataRightAlignedwith2ptsspacing"/>
              <w:keepNext/>
            </w:pPr>
            <w:r>
              <w:t>59.7</w:t>
            </w:r>
          </w:p>
        </w:tc>
        <w:tc>
          <w:tcPr>
            <w:tcW w:w="1043" w:type="dxa"/>
            <w:tcBorders>
              <w:top w:val="single" w:sz="4" w:space="0" w:color="000000"/>
              <w:bottom w:val="single" w:sz="4" w:space="0" w:color="000000"/>
            </w:tcBorders>
          </w:tcPr>
          <w:p w14:paraId="283AB9AC" w14:textId="77777777" w:rsidR="00B449D0" w:rsidRDefault="00175344">
            <w:pPr>
              <w:pStyle w:val="MeasureTableDataRightAlignedwith2ptsspacing"/>
              <w:keepNext/>
            </w:pPr>
            <w:r>
              <w:t>48.4</w:t>
            </w:r>
          </w:p>
        </w:tc>
      </w:tr>
      <w:tr w:rsidR="00B449D0" w14:paraId="0A019A9D" w14:textId="77777777">
        <w:trPr>
          <w:cantSplit/>
        </w:trPr>
        <w:tc>
          <w:tcPr>
            <w:tcW w:w="2494" w:type="dxa"/>
            <w:tcBorders>
              <w:top w:val="single" w:sz="4" w:space="0" w:color="000000"/>
              <w:bottom w:val="single" w:sz="4" w:space="0" w:color="000000"/>
            </w:tcBorders>
          </w:tcPr>
          <w:p w14:paraId="27C60E8A" w14:textId="77777777" w:rsidR="00B449D0" w:rsidRDefault="00175344">
            <w:pPr>
              <w:pStyle w:val="MeasureTableHeadingleftalignedwith2ptsspacing"/>
              <w:keepNext/>
            </w:pPr>
            <w:r>
              <w:t>Services Australia</w:t>
            </w:r>
          </w:p>
        </w:tc>
        <w:tc>
          <w:tcPr>
            <w:tcW w:w="1043" w:type="dxa"/>
            <w:tcBorders>
              <w:top w:val="single" w:sz="4" w:space="0" w:color="000000"/>
              <w:bottom w:val="single" w:sz="4" w:space="0" w:color="000000"/>
            </w:tcBorders>
          </w:tcPr>
          <w:p w14:paraId="742882FF" w14:textId="31E20CB9"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13659AF" w14:textId="77777777" w:rsidR="00B449D0" w:rsidRDefault="00175344">
            <w:pPr>
              <w:pStyle w:val="MeasureTableDataRightAlignedwith2ptsspacing"/>
              <w:keepNext/>
            </w:pPr>
            <w:r>
              <w:t>6.6</w:t>
            </w:r>
          </w:p>
        </w:tc>
        <w:tc>
          <w:tcPr>
            <w:tcW w:w="1043" w:type="dxa"/>
            <w:tcBorders>
              <w:top w:val="single" w:sz="4" w:space="0" w:color="000000"/>
              <w:bottom w:val="single" w:sz="4" w:space="0" w:color="000000"/>
            </w:tcBorders>
          </w:tcPr>
          <w:p w14:paraId="2D1B81E4" w14:textId="77777777" w:rsidR="00B449D0" w:rsidRDefault="00175344">
            <w:pPr>
              <w:pStyle w:val="MeasureTableDataRightAlignedwith2ptsspacing"/>
              <w:keepNext/>
            </w:pPr>
            <w:r>
              <w:t>3.5</w:t>
            </w:r>
          </w:p>
        </w:tc>
        <w:tc>
          <w:tcPr>
            <w:tcW w:w="1043" w:type="dxa"/>
            <w:tcBorders>
              <w:top w:val="single" w:sz="4" w:space="0" w:color="000000"/>
              <w:bottom w:val="single" w:sz="4" w:space="0" w:color="000000"/>
            </w:tcBorders>
          </w:tcPr>
          <w:p w14:paraId="1352D036" w14:textId="77777777" w:rsidR="00B449D0" w:rsidRDefault="00175344">
            <w:pPr>
              <w:pStyle w:val="MeasureTableDataRightAlignedwith2ptsspacing"/>
              <w:keepNext/>
            </w:pPr>
            <w:r>
              <w:t>1.9</w:t>
            </w:r>
          </w:p>
        </w:tc>
        <w:tc>
          <w:tcPr>
            <w:tcW w:w="1043" w:type="dxa"/>
            <w:tcBorders>
              <w:top w:val="single" w:sz="4" w:space="0" w:color="000000"/>
              <w:bottom w:val="single" w:sz="4" w:space="0" w:color="000000"/>
            </w:tcBorders>
          </w:tcPr>
          <w:p w14:paraId="6B0A6CEC" w14:textId="77777777" w:rsidR="00B449D0" w:rsidRDefault="00175344">
            <w:pPr>
              <w:pStyle w:val="MeasureTableDataRightAlignedwith2ptsspacing"/>
              <w:keepNext/>
            </w:pPr>
            <w:r>
              <w:t>1.1</w:t>
            </w:r>
          </w:p>
        </w:tc>
      </w:tr>
      <w:tr w:rsidR="00B449D0" w14:paraId="4361A124" w14:textId="77777777">
        <w:trPr>
          <w:cantSplit/>
        </w:trPr>
        <w:tc>
          <w:tcPr>
            <w:tcW w:w="2494" w:type="dxa"/>
            <w:tcBorders>
              <w:top w:val="single" w:sz="4" w:space="0" w:color="000000"/>
              <w:bottom w:val="single" w:sz="4" w:space="0" w:color="000000"/>
            </w:tcBorders>
          </w:tcPr>
          <w:p w14:paraId="7A953CB1" w14:textId="77777777" w:rsidR="00B449D0" w:rsidRDefault="00175344">
            <w:pPr>
              <w:pStyle w:val="MeasureTableHeadingleftalignedwith2ptsspacing"/>
              <w:keepNext/>
            </w:pPr>
            <w:r>
              <w:t>Department of Home Affairs</w:t>
            </w:r>
          </w:p>
        </w:tc>
        <w:tc>
          <w:tcPr>
            <w:tcW w:w="1043" w:type="dxa"/>
            <w:tcBorders>
              <w:top w:val="single" w:sz="4" w:space="0" w:color="000000"/>
              <w:bottom w:val="single" w:sz="4" w:space="0" w:color="000000"/>
            </w:tcBorders>
          </w:tcPr>
          <w:p w14:paraId="4A465354" w14:textId="00B6085F"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6F78F44" w14:textId="77777777" w:rsidR="00B449D0" w:rsidRDefault="00175344">
            <w:pPr>
              <w:pStyle w:val="MeasureTableDataRightAlignedwith2ptsspacing"/>
              <w:keepNext/>
            </w:pPr>
            <w:r>
              <w:t>0.5</w:t>
            </w:r>
          </w:p>
        </w:tc>
        <w:tc>
          <w:tcPr>
            <w:tcW w:w="1043" w:type="dxa"/>
            <w:tcBorders>
              <w:top w:val="single" w:sz="4" w:space="0" w:color="000000"/>
              <w:bottom w:val="single" w:sz="4" w:space="0" w:color="000000"/>
            </w:tcBorders>
          </w:tcPr>
          <w:p w14:paraId="623FDDB2" w14:textId="5D16446B" w:rsidR="00B449D0" w:rsidRDefault="00076D78">
            <w:pPr>
              <w:pStyle w:val="MeasureTableDataRightAlignedwith2ptsspacing"/>
              <w:keepNext/>
            </w:pPr>
            <w:r>
              <w:noBreakHyphen/>
            </w:r>
            <w:r w:rsidR="00175344">
              <w:t>18.7</w:t>
            </w:r>
          </w:p>
        </w:tc>
        <w:tc>
          <w:tcPr>
            <w:tcW w:w="1043" w:type="dxa"/>
            <w:tcBorders>
              <w:top w:val="single" w:sz="4" w:space="0" w:color="000000"/>
              <w:bottom w:val="single" w:sz="4" w:space="0" w:color="000000"/>
            </w:tcBorders>
          </w:tcPr>
          <w:p w14:paraId="4728E622" w14:textId="77777777" w:rsidR="00B449D0" w:rsidRDefault="00175344">
            <w:pPr>
              <w:pStyle w:val="MeasureTableDataRightAlignedwith2ptsspacing"/>
              <w:keepNext/>
            </w:pPr>
            <w:r>
              <w:t>7.1</w:t>
            </w:r>
          </w:p>
        </w:tc>
        <w:tc>
          <w:tcPr>
            <w:tcW w:w="1043" w:type="dxa"/>
            <w:tcBorders>
              <w:top w:val="single" w:sz="4" w:space="0" w:color="000000"/>
              <w:bottom w:val="single" w:sz="4" w:space="0" w:color="000000"/>
            </w:tcBorders>
          </w:tcPr>
          <w:p w14:paraId="0711727C" w14:textId="77777777" w:rsidR="00B449D0" w:rsidRDefault="00175344">
            <w:pPr>
              <w:pStyle w:val="MeasureTableDataRightAlignedwith2ptsspacing"/>
              <w:keepNext/>
            </w:pPr>
            <w:r>
              <w:t>3.7</w:t>
            </w:r>
          </w:p>
        </w:tc>
      </w:tr>
      <w:tr w:rsidR="00B449D0" w14:paraId="39D6763D" w14:textId="77777777">
        <w:trPr>
          <w:cantSplit/>
        </w:trPr>
        <w:tc>
          <w:tcPr>
            <w:tcW w:w="2494" w:type="dxa"/>
            <w:tcBorders>
              <w:top w:val="single" w:sz="4" w:space="0" w:color="000000"/>
              <w:bottom w:val="single" w:sz="4" w:space="0" w:color="000000"/>
            </w:tcBorders>
          </w:tcPr>
          <w:p w14:paraId="136FAE5C" w14:textId="77777777" w:rsidR="00B449D0" w:rsidRDefault="00175344">
            <w:pPr>
              <w:pStyle w:val="MeasureTableHeadingleftalignedwith2ptsspacing"/>
              <w:keepNext/>
            </w:pPr>
            <w:r>
              <w:t>Department of Education</w:t>
            </w:r>
          </w:p>
        </w:tc>
        <w:tc>
          <w:tcPr>
            <w:tcW w:w="1043" w:type="dxa"/>
            <w:tcBorders>
              <w:top w:val="single" w:sz="4" w:space="0" w:color="000000"/>
              <w:bottom w:val="single" w:sz="4" w:space="0" w:color="000000"/>
            </w:tcBorders>
          </w:tcPr>
          <w:p w14:paraId="3E80AF74" w14:textId="055F6210"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69D7B92C" w14:textId="77777777" w:rsidR="00B449D0" w:rsidRDefault="00175344">
            <w:pPr>
              <w:pStyle w:val="MeasureTableDataRightAlignedwith2ptsspacing"/>
              <w:keepNext/>
            </w:pPr>
            <w:r>
              <w:t>0.4</w:t>
            </w:r>
          </w:p>
        </w:tc>
        <w:tc>
          <w:tcPr>
            <w:tcW w:w="1043" w:type="dxa"/>
            <w:tcBorders>
              <w:top w:val="single" w:sz="4" w:space="0" w:color="000000"/>
              <w:bottom w:val="single" w:sz="4" w:space="0" w:color="000000"/>
            </w:tcBorders>
          </w:tcPr>
          <w:p w14:paraId="13E7CA7E" w14:textId="77777777" w:rsidR="00B449D0" w:rsidRDefault="00175344">
            <w:pPr>
              <w:pStyle w:val="MeasureTableDataRightAlignedwith2ptsspacing"/>
              <w:keepNext/>
            </w:pPr>
            <w:r>
              <w:t>1.0</w:t>
            </w:r>
          </w:p>
        </w:tc>
        <w:tc>
          <w:tcPr>
            <w:tcW w:w="1043" w:type="dxa"/>
            <w:tcBorders>
              <w:top w:val="single" w:sz="4" w:space="0" w:color="000000"/>
              <w:bottom w:val="single" w:sz="4" w:space="0" w:color="000000"/>
            </w:tcBorders>
          </w:tcPr>
          <w:p w14:paraId="3E5000C4" w14:textId="77777777" w:rsidR="00B449D0" w:rsidRDefault="00175344">
            <w:pPr>
              <w:pStyle w:val="MeasureTableDataRightAlignedwith2ptsspacing"/>
              <w:keepNext/>
            </w:pPr>
            <w:r>
              <w:t>1.0</w:t>
            </w:r>
          </w:p>
        </w:tc>
        <w:tc>
          <w:tcPr>
            <w:tcW w:w="1043" w:type="dxa"/>
            <w:tcBorders>
              <w:top w:val="single" w:sz="4" w:space="0" w:color="000000"/>
              <w:bottom w:val="single" w:sz="4" w:space="0" w:color="000000"/>
            </w:tcBorders>
          </w:tcPr>
          <w:p w14:paraId="1E3A3380" w14:textId="77777777" w:rsidR="00B449D0" w:rsidRDefault="00175344">
            <w:pPr>
              <w:pStyle w:val="MeasureTableDataRightAlignedwith2ptsspacing"/>
              <w:keepNext/>
            </w:pPr>
            <w:r>
              <w:t>1.0</w:t>
            </w:r>
          </w:p>
        </w:tc>
      </w:tr>
      <w:tr w:rsidR="00B449D0" w14:paraId="2E96E823" w14:textId="77777777">
        <w:trPr>
          <w:cantSplit/>
        </w:trPr>
        <w:tc>
          <w:tcPr>
            <w:tcW w:w="2494" w:type="dxa"/>
            <w:tcBorders>
              <w:top w:val="single" w:sz="4" w:space="0" w:color="000000"/>
              <w:bottom w:val="single" w:sz="4" w:space="0" w:color="000000"/>
            </w:tcBorders>
          </w:tcPr>
          <w:p w14:paraId="7382D999" w14:textId="77777777" w:rsidR="00B449D0" w:rsidRDefault="00175344">
            <w:pPr>
              <w:pStyle w:val="MeasureTableHeadingleftalignedwith2ptsspacing"/>
              <w:keepNext/>
            </w:pPr>
            <w:r>
              <w:t>National Disability Insurance Agency</w:t>
            </w:r>
          </w:p>
        </w:tc>
        <w:tc>
          <w:tcPr>
            <w:tcW w:w="1043" w:type="dxa"/>
            <w:tcBorders>
              <w:top w:val="single" w:sz="4" w:space="0" w:color="000000"/>
              <w:bottom w:val="single" w:sz="4" w:space="0" w:color="000000"/>
            </w:tcBorders>
          </w:tcPr>
          <w:p w14:paraId="7DE2C1CF" w14:textId="6EA4AE42"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F320C85" w14:textId="77777777" w:rsidR="00B449D0" w:rsidRDefault="00175344">
            <w:pPr>
              <w:pStyle w:val="MeasureTableDataRightAlignedwith2ptsspacing"/>
              <w:keepNext/>
            </w:pPr>
            <w:r>
              <w:t>0.3</w:t>
            </w:r>
          </w:p>
        </w:tc>
        <w:tc>
          <w:tcPr>
            <w:tcW w:w="1043" w:type="dxa"/>
            <w:tcBorders>
              <w:top w:val="single" w:sz="4" w:space="0" w:color="000000"/>
              <w:bottom w:val="single" w:sz="4" w:space="0" w:color="000000"/>
            </w:tcBorders>
          </w:tcPr>
          <w:p w14:paraId="3E1740EE" w14:textId="77777777" w:rsidR="00B449D0" w:rsidRDefault="00175344">
            <w:pPr>
              <w:pStyle w:val="MeasureTableDataRightAlignedwith2ptsspacing"/>
              <w:keepNext/>
            </w:pPr>
            <w:r>
              <w:t>3.9</w:t>
            </w:r>
          </w:p>
        </w:tc>
        <w:tc>
          <w:tcPr>
            <w:tcW w:w="1043" w:type="dxa"/>
            <w:tcBorders>
              <w:top w:val="single" w:sz="4" w:space="0" w:color="000000"/>
              <w:bottom w:val="single" w:sz="4" w:space="0" w:color="000000"/>
            </w:tcBorders>
          </w:tcPr>
          <w:p w14:paraId="1D22B29F" w14:textId="77777777" w:rsidR="00B449D0" w:rsidRDefault="00175344">
            <w:pPr>
              <w:pStyle w:val="MeasureTableDataRightAlignedwith2ptsspacing"/>
              <w:keepNext/>
            </w:pPr>
            <w:r>
              <w:t>4.4</w:t>
            </w:r>
          </w:p>
        </w:tc>
        <w:tc>
          <w:tcPr>
            <w:tcW w:w="1043" w:type="dxa"/>
            <w:tcBorders>
              <w:top w:val="single" w:sz="4" w:space="0" w:color="000000"/>
              <w:bottom w:val="single" w:sz="4" w:space="0" w:color="000000"/>
            </w:tcBorders>
          </w:tcPr>
          <w:p w14:paraId="572B2E2A" w14:textId="77777777" w:rsidR="00B449D0" w:rsidRDefault="00175344">
            <w:pPr>
              <w:pStyle w:val="MeasureTableDataRightAlignedwith2ptsspacing"/>
              <w:keepNext/>
            </w:pPr>
            <w:r>
              <w:t>4.6</w:t>
            </w:r>
          </w:p>
        </w:tc>
      </w:tr>
      <w:tr w:rsidR="00B449D0" w14:paraId="52B53D72" w14:textId="77777777">
        <w:trPr>
          <w:cantSplit/>
        </w:trPr>
        <w:tc>
          <w:tcPr>
            <w:tcW w:w="2494" w:type="dxa"/>
            <w:tcBorders>
              <w:top w:val="single" w:sz="4" w:space="0" w:color="000000"/>
              <w:bottom w:val="single" w:sz="4" w:space="0" w:color="000000"/>
            </w:tcBorders>
          </w:tcPr>
          <w:p w14:paraId="6E544940" w14:textId="77777777" w:rsidR="00B449D0" w:rsidRDefault="00175344">
            <w:pPr>
              <w:pStyle w:val="MeasureTableHeadingleftalignedwith2ptsspacing"/>
              <w:keepNext/>
            </w:pPr>
            <w:r>
              <w:t>Department of Health and Aged Care</w:t>
            </w:r>
          </w:p>
        </w:tc>
        <w:tc>
          <w:tcPr>
            <w:tcW w:w="1043" w:type="dxa"/>
            <w:tcBorders>
              <w:top w:val="single" w:sz="4" w:space="0" w:color="000000"/>
              <w:bottom w:val="single" w:sz="4" w:space="0" w:color="000000"/>
            </w:tcBorders>
          </w:tcPr>
          <w:p w14:paraId="328B017B" w14:textId="1D80AE27"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9C48E73" w14:textId="77777777" w:rsidR="00B449D0" w:rsidRDefault="00175344">
            <w:pPr>
              <w:pStyle w:val="MeasureTableDataRightAlignedwith2ptsspacing"/>
              <w:keepNext/>
            </w:pPr>
            <w:r>
              <w:t>0.2</w:t>
            </w:r>
          </w:p>
        </w:tc>
        <w:tc>
          <w:tcPr>
            <w:tcW w:w="1043" w:type="dxa"/>
            <w:tcBorders>
              <w:top w:val="single" w:sz="4" w:space="0" w:color="000000"/>
              <w:bottom w:val="single" w:sz="4" w:space="0" w:color="000000"/>
            </w:tcBorders>
          </w:tcPr>
          <w:p w14:paraId="24997F30" w14:textId="77777777" w:rsidR="00B449D0" w:rsidRDefault="00175344">
            <w:pPr>
              <w:pStyle w:val="MeasureTableDataRightAlignedwith2ptsspacing"/>
              <w:keepNext/>
            </w:pPr>
            <w:r>
              <w:t>0.9</w:t>
            </w:r>
          </w:p>
        </w:tc>
        <w:tc>
          <w:tcPr>
            <w:tcW w:w="1043" w:type="dxa"/>
            <w:tcBorders>
              <w:top w:val="single" w:sz="4" w:space="0" w:color="000000"/>
              <w:bottom w:val="single" w:sz="4" w:space="0" w:color="000000"/>
            </w:tcBorders>
          </w:tcPr>
          <w:p w14:paraId="2FB10AC3" w14:textId="77777777" w:rsidR="00B449D0" w:rsidRDefault="00175344">
            <w:pPr>
              <w:pStyle w:val="MeasureTableDataRightAlignedwith2ptsspacing"/>
              <w:keepNext/>
            </w:pPr>
            <w:r>
              <w:t>1.0</w:t>
            </w:r>
          </w:p>
        </w:tc>
        <w:tc>
          <w:tcPr>
            <w:tcW w:w="1043" w:type="dxa"/>
            <w:tcBorders>
              <w:top w:val="single" w:sz="4" w:space="0" w:color="000000"/>
              <w:bottom w:val="single" w:sz="4" w:space="0" w:color="000000"/>
            </w:tcBorders>
          </w:tcPr>
          <w:p w14:paraId="35F6A8C4" w14:textId="77777777" w:rsidR="00B449D0" w:rsidRDefault="00175344">
            <w:pPr>
              <w:pStyle w:val="MeasureTableDataRightAlignedwith2ptsspacing"/>
              <w:keepNext/>
            </w:pPr>
            <w:r>
              <w:t>0.9</w:t>
            </w:r>
          </w:p>
        </w:tc>
      </w:tr>
      <w:tr w:rsidR="00B449D0" w14:paraId="47707C13" w14:textId="77777777">
        <w:trPr>
          <w:cantSplit/>
        </w:trPr>
        <w:tc>
          <w:tcPr>
            <w:tcW w:w="2494" w:type="dxa"/>
            <w:tcBorders>
              <w:top w:val="single" w:sz="4" w:space="0" w:color="000000"/>
              <w:bottom w:val="single" w:sz="4" w:space="0" w:color="000000"/>
            </w:tcBorders>
          </w:tcPr>
          <w:p w14:paraId="0E031AE1" w14:textId="77777777" w:rsidR="00B449D0" w:rsidRDefault="00175344">
            <w:pPr>
              <w:pStyle w:val="MeasureTableHeadingleftalignedwith2ptsspacing"/>
              <w:keepNext/>
            </w:pPr>
            <w:r>
              <w:t>Department of Employment and Workplace Relations</w:t>
            </w:r>
          </w:p>
        </w:tc>
        <w:tc>
          <w:tcPr>
            <w:tcW w:w="1043" w:type="dxa"/>
            <w:tcBorders>
              <w:top w:val="single" w:sz="4" w:space="0" w:color="000000"/>
              <w:bottom w:val="single" w:sz="4" w:space="0" w:color="000000"/>
            </w:tcBorders>
          </w:tcPr>
          <w:p w14:paraId="282AE2C3" w14:textId="2D6A4F78"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04A0F16" w14:textId="77777777" w:rsidR="00B449D0" w:rsidRDefault="00175344">
            <w:pPr>
              <w:pStyle w:val="MeasureTableDataRightAlignedwith2ptsspacing"/>
              <w:keepNext/>
            </w:pPr>
            <w:r>
              <w:t>0.2</w:t>
            </w:r>
          </w:p>
        </w:tc>
        <w:tc>
          <w:tcPr>
            <w:tcW w:w="1043" w:type="dxa"/>
            <w:tcBorders>
              <w:top w:val="single" w:sz="4" w:space="0" w:color="000000"/>
              <w:bottom w:val="single" w:sz="4" w:space="0" w:color="000000"/>
            </w:tcBorders>
          </w:tcPr>
          <w:p w14:paraId="043173F8" w14:textId="77777777" w:rsidR="00B449D0" w:rsidRDefault="00175344">
            <w:pPr>
              <w:pStyle w:val="MeasureTableDataRightAlignedwith2ptsspacing"/>
              <w:keepNext/>
            </w:pPr>
            <w:r>
              <w:t>0.7</w:t>
            </w:r>
          </w:p>
        </w:tc>
        <w:tc>
          <w:tcPr>
            <w:tcW w:w="1043" w:type="dxa"/>
            <w:tcBorders>
              <w:top w:val="single" w:sz="4" w:space="0" w:color="000000"/>
              <w:bottom w:val="single" w:sz="4" w:space="0" w:color="000000"/>
            </w:tcBorders>
          </w:tcPr>
          <w:p w14:paraId="783AB4AD" w14:textId="77777777" w:rsidR="00B449D0" w:rsidRDefault="00175344">
            <w:pPr>
              <w:pStyle w:val="MeasureTableDataRightAlignedwith2ptsspacing"/>
              <w:keepNext/>
            </w:pPr>
            <w:r>
              <w:t>0.4</w:t>
            </w:r>
          </w:p>
        </w:tc>
        <w:tc>
          <w:tcPr>
            <w:tcW w:w="1043" w:type="dxa"/>
            <w:tcBorders>
              <w:top w:val="single" w:sz="4" w:space="0" w:color="000000"/>
              <w:bottom w:val="single" w:sz="4" w:space="0" w:color="000000"/>
            </w:tcBorders>
          </w:tcPr>
          <w:p w14:paraId="7F324AE7" w14:textId="77777777" w:rsidR="00B449D0" w:rsidRDefault="00175344">
            <w:pPr>
              <w:pStyle w:val="MeasureTableDataRightAlignedwith2ptsspacing"/>
              <w:keepNext/>
            </w:pPr>
            <w:r>
              <w:t>0.2</w:t>
            </w:r>
          </w:p>
        </w:tc>
      </w:tr>
      <w:tr w:rsidR="00B449D0" w14:paraId="1D46D776" w14:textId="77777777">
        <w:trPr>
          <w:cantSplit/>
        </w:trPr>
        <w:tc>
          <w:tcPr>
            <w:tcW w:w="2494" w:type="dxa"/>
            <w:tcBorders>
              <w:top w:val="single" w:sz="4" w:space="0" w:color="000000"/>
              <w:bottom w:val="single" w:sz="4" w:space="0" w:color="000000"/>
            </w:tcBorders>
          </w:tcPr>
          <w:p w14:paraId="4154BDFE" w14:textId="77777777" w:rsidR="00B449D0" w:rsidRDefault="00175344">
            <w:pPr>
              <w:pStyle w:val="MeasureTableHeadingleftalignedwith2ptsspacing"/>
              <w:keepNext/>
            </w:pPr>
            <w:r>
              <w:t>Department of the Treasury</w:t>
            </w:r>
          </w:p>
        </w:tc>
        <w:tc>
          <w:tcPr>
            <w:tcW w:w="1043" w:type="dxa"/>
            <w:tcBorders>
              <w:top w:val="single" w:sz="4" w:space="0" w:color="000000"/>
              <w:bottom w:val="single" w:sz="4" w:space="0" w:color="000000"/>
            </w:tcBorders>
          </w:tcPr>
          <w:p w14:paraId="6B0991FC" w14:textId="1CE830F3"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69327325" w14:textId="6D7D0A14" w:rsidR="00B449D0" w:rsidRDefault="004E678D">
            <w:pPr>
              <w:pStyle w:val="MeasureTableDataRightAlignedwith2ptsspacing"/>
              <w:keepNext/>
            </w:pPr>
            <w:r>
              <w:t>..</w:t>
            </w:r>
          </w:p>
        </w:tc>
        <w:tc>
          <w:tcPr>
            <w:tcW w:w="1043" w:type="dxa"/>
            <w:tcBorders>
              <w:top w:val="single" w:sz="4" w:space="0" w:color="000000"/>
              <w:bottom w:val="single" w:sz="4" w:space="0" w:color="000000"/>
            </w:tcBorders>
          </w:tcPr>
          <w:p w14:paraId="4F78435C" w14:textId="78E8A504" w:rsidR="00B449D0" w:rsidRDefault="00836991">
            <w:pPr>
              <w:pStyle w:val="MeasureTableDataRightAlignedwith2ptsspacing"/>
              <w:keepNext/>
            </w:pPr>
            <w:r>
              <w:t>..</w:t>
            </w:r>
          </w:p>
        </w:tc>
        <w:tc>
          <w:tcPr>
            <w:tcW w:w="1043" w:type="dxa"/>
            <w:tcBorders>
              <w:top w:val="single" w:sz="4" w:space="0" w:color="000000"/>
              <w:bottom w:val="single" w:sz="4" w:space="0" w:color="000000"/>
            </w:tcBorders>
          </w:tcPr>
          <w:p w14:paraId="53BCEFFF" w14:textId="3D13BA20" w:rsidR="00B449D0" w:rsidRDefault="00836991">
            <w:pPr>
              <w:pStyle w:val="MeasureTableDataRightAlignedwith2ptsspacing"/>
              <w:keepNext/>
            </w:pPr>
            <w:r>
              <w:t>..</w:t>
            </w:r>
          </w:p>
        </w:tc>
        <w:tc>
          <w:tcPr>
            <w:tcW w:w="1043" w:type="dxa"/>
            <w:tcBorders>
              <w:top w:val="single" w:sz="4" w:space="0" w:color="000000"/>
              <w:bottom w:val="single" w:sz="4" w:space="0" w:color="000000"/>
            </w:tcBorders>
          </w:tcPr>
          <w:p w14:paraId="124FDFBC" w14:textId="5B1F3307" w:rsidR="00B449D0" w:rsidRDefault="00836991">
            <w:pPr>
              <w:pStyle w:val="MeasureTableDataRightAlignedwith2ptsspacing"/>
              <w:keepNext/>
            </w:pPr>
            <w:r>
              <w:t>..</w:t>
            </w:r>
          </w:p>
        </w:tc>
      </w:tr>
      <w:tr w:rsidR="00B449D0" w14:paraId="737FC221" w14:textId="77777777">
        <w:trPr>
          <w:cantSplit/>
        </w:trPr>
        <w:tc>
          <w:tcPr>
            <w:tcW w:w="2494" w:type="dxa"/>
            <w:tcBorders>
              <w:top w:val="single" w:sz="4" w:space="0" w:color="000000"/>
              <w:bottom w:val="single" w:sz="4" w:space="0" w:color="000000"/>
            </w:tcBorders>
          </w:tcPr>
          <w:p w14:paraId="41C48B21"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2C1A52D9" w14:textId="364BDCEC"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08E90ADA" w14:textId="77777777" w:rsidR="00B449D0" w:rsidRDefault="00175344">
            <w:pPr>
              <w:pStyle w:val="Totaldatarowrightaligned"/>
              <w:keepNext/>
            </w:pPr>
            <w:r>
              <w:t>21.3</w:t>
            </w:r>
          </w:p>
        </w:tc>
        <w:tc>
          <w:tcPr>
            <w:tcW w:w="1043" w:type="dxa"/>
            <w:tcBorders>
              <w:top w:val="single" w:sz="4" w:space="0" w:color="000000"/>
              <w:bottom w:val="single" w:sz="4" w:space="0" w:color="000000"/>
            </w:tcBorders>
          </w:tcPr>
          <w:p w14:paraId="6F5213A0" w14:textId="77777777" w:rsidR="00B449D0" w:rsidRDefault="00175344">
            <w:pPr>
              <w:pStyle w:val="Totaldatarowrightaligned"/>
              <w:keepNext/>
            </w:pPr>
            <w:r>
              <w:t>49.1</w:t>
            </w:r>
          </w:p>
        </w:tc>
        <w:tc>
          <w:tcPr>
            <w:tcW w:w="1043" w:type="dxa"/>
            <w:tcBorders>
              <w:top w:val="single" w:sz="4" w:space="0" w:color="000000"/>
              <w:bottom w:val="single" w:sz="4" w:space="0" w:color="000000"/>
            </w:tcBorders>
          </w:tcPr>
          <w:p w14:paraId="3AC7D770" w14:textId="77777777" w:rsidR="00B449D0" w:rsidRDefault="00175344">
            <w:pPr>
              <w:pStyle w:val="Totaldatarowrightaligned"/>
              <w:keepNext/>
            </w:pPr>
            <w:r>
              <w:t>75.6</w:t>
            </w:r>
          </w:p>
        </w:tc>
        <w:tc>
          <w:tcPr>
            <w:tcW w:w="1043" w:type="dxa"/>
            <w:tcBorders>
              <w:top w:val="single" w:sz="4" w:space="0" w:color="000000"/>
              <w:bottom w:val="single" w:sz="4" w:space="0" w:color="000000"/>
            </w:tcBorders>
          </w:tcPr>
          <w:p w14:paraId="1FA0B656" w14:textId="77777777" w:rsidR="00B449D0" w:rsidRDefault="00175344">
            <w:pPr>
              <w:pStyle w:val="Totaldatarowrightaligned"/>
              <w:keepNext/>
            </w:pPr>
            <w:r>
              <w:t>60.0</w:t>
            </w:r>
          </w:p>
        </w:tc>
      </w:tr>
      <w:tr w:rsidR="00B449D0" w14:paraId="548AF4A4" w14:textId="77777777">
        <w:trPr>
          <w:cantSplit/>
        </w:trPr>
        <w:tc>
          <w:tcPr>
            <w:tcW w:w="2494" w:type="dxa"/>
          </w:tcPr>
          <w:p w14:paraId="0747515F" w14:textId="77777777" w:rsidR="00B449D0" w:rsidRDefault="00175344">
            <w:pPr>
              <w:pStyle w:val="AgencyName"/>
              <w:keepNext/>
            </w:pPr>
            <w:r>
              <w:t>Related receipts ($m)</w:t>
            </w:r>
          </w:p>
        </w:tc>
        <w:tc>
          <w:tcPr>
            <w:tcW w:w="1043" w:type="dxa"/>
          </w:tcPr>
          <w:p w14:paraId="560953D8" w14:textId="77777777" w:rsidR="00B449D0" w:rsidRDefault="00B449D0">
            <w:pPr>
              <w:pStyle w:val="AgencyName"/>
              <w:keepNext/>
            </w:pPr>
          </w:p>
        </w:tc>
        <w:tc>
          <w:tcPr>
            <w:tcW w:w="1043" w:type="dxa"/>
          </w:tcPr>
          <w:p w14:paraId="3EE2775C" w14:textId="77777777" w:rsidR="00B449D0" w:rsidRDefault="00B449D0">
            <w:pPr>
              <w:pStyle w:val="AgencyName"/>
              <w:keepNext/>
            </w:pPr>
          </w:p>
        </w:tc>
        <w:tc>
          <w:tcPr>
            <w:tcW w:w="1043" w:type="dxa"/>
          </w:tcPr>
          <w:p w14:paraId="1109E1DC" w14:textId="77777777" w:rsidR="00B449D0" w:rsidRDefault="00B449D0">
            <w:pPr>
              <w:pStyle w:val="AgencyName"/>
              <w:keepNext/>
            </w:pPr>
          </w:p>
        </w:tc>
        <w:tc>
          <w:tcPr>
            <w:tcW w:w="1043" w:type="dxa"/>
          </w:tcPr>
          <w:p w14:paraId="432A7BCE" w14:textId="77777777" w:rsidR="00B449D0" w:rsidRDefault="00B449D0">
            <w:pPr>
              <w:pStyle w:val="AgencyName"/>
              <w:keepNext/>
            </w:pPr>
          </w:p>
        </w:tc>
        <w:tc>
          <w:tcPr>
            <w:tcW w:w="1043" w:type="dxa"/>
          </w:tcPr>
          <w:p w14:paraId="4FDC613B" w14:textId="77777777" w:rsidR="00B449D0" w:rsidRDefault="00B449D0">
            <w:pPr>
              <w:pStyle w:val="AgencyName"/>
              <w:keepNext/>
            </w:pPr>
          </w:p>
        </w:tc>
      </w:tr>
      <w:tr w:rsidR="00B449D0" w14:paraId="7B536C59" w14:textId="77777777">
        <w:tc>
          <w:tcPr>
            <w:tcW w:w="2494" w:type="dxa"/>
          </w:tcPr>
          <w:p w14:paraId="71D81A1B" w14:textId="77777777" w:rsidR="00B449D0" w:rsidRDefault="00175344">
            <w:pPr>
              <w:pStyle w:val="AgencyNamewith2ptsspacing"/>
              <w:keepNext/>
            </w:pPr>
            <w:r>
              <w:t>Department of Home Affairs</w:t>
            </w:r>
          </w:p>
        </w:tc>
        <w:tc>
          <w:tcPr>
            <w:tcW w:w="1043" w:type="dxa"/>
          </w:tcPr>
          <w:p w14:paraId="0A6E788B" w14:textId="67F270EC" w:rsidR="00B449D0" w:rsidRDefault="00076D78">
            <w:pPr>
              <w:pStyle w:val="Measuretabledatarightaligneditalics"/>
              <w:keepNext/>
            </w:pPr>
            <w:r>
              <w:noBreakHyphen/>
            </w:r>
          </w:p>
        </w:tc>
        <w:tc>
          <w:tcPr>
            <w:tcW w:w="1043" w:type="dxa"/>
          </w:tcPr>
          <w:p w14:paraId="4B13345A" w14:textId="77777777" w:rsidR="00B449D0" w:rsidRDefault="00175344">
            <w:pPr>
              <w:pStyle w:val="Measuretabledatarightaligneditalics"/>
              <w:keepNext/>
            </w:pPr>
            <w:r>
              <w:t>5.0</w:t>
            </w:r>
          </w:p>
        </w:tc>
        <w:tc>
          <w:tcPr>
            <w:tcW w:w="1043" w:type="dxa"/>
          </w:tcPr>
          <w:p w14:paraId="3ACC41F4" w14:textId="77777777" w:rsidR="00B449D0" w:rsidRDefault="00175344">
            <w:pPr>
              <w:pStyle w:val="Measuretabledatarightaligneditalics"/>
              <w:keepNext/>
            </w:pPr>
            <w:r>
              <w:t>5.0</w:t>
            </w:r>
          </w:p>
        </w:tc>
        <w:tc>
          <w:tcPr>
            <w:tcW w:w="1043" w:type="dxa"/>
          </w:tcPr>
          <w:p w14:paraId="490AFEA3" w14:textId="51E65460" w:rsidR="00B449D0" w:rsidRDefault="00992726">
            <w:pPr>
              <w:pStyle w:val="Measuretabledatarightaligneditalics"/>
              <w:keepNext/>
            </w:pPr>
            <w:r>
              <w:t>..</w:t>
            </w:r>
          </w:p>
        </w:tc>
        <w:tc>
          <w:tcPr>
            <w:tcW w:w="1043" w:type="dxa"/>
          </w:tcPr>
          <w:p w14:paraId="45D79A9E" w14:textId="03A60B9B" w:rsidR="00B449D0" w:rsidRDefault="00992726">
            <w:pPr>
              <w:pStyle w:val="Measuretabledatarightaligneditalics"/>
              <w:keepNext/>
            </w:pPr>
            <w:r>
              <w:t>..</w:t>
            </w:r>
          </w:p>
        </w:tc>
      </w:tr>
      <w:tr w:rsidR="00B449D0" w14:paraId="3FF74973" w14:textId="77777777">
        <w:trPr>
          <w:cantSplit/>
        </w:trPr>
        <w:tc>
          <w:tcPr>
            <w:tcW w:w="2494" w:type="dxa"/>
            <w:tcBorders>
              <w:top w:val="single" w:sz="4" w:space="0" w:color="000000"/>
              <w:bottom w:val="single" w:sz="4" w:space="0" w:color="000000"/>
            </w:tcBorders>
          </w:tcPr>
          <w:p w14:paraId="4A708113" w14:textId="77777777" w:rsidR="00B449D0" w:rsidRDefault="00175344">
            <w:pPr>
              <w:pStyle w:val="AgencyNamewith2ptsspacing"/>
              <w:keepNext/>
            </w:pPr>
            <w:r>
              <w:t>Australian Taxation Office</w:t>
            </w:r>
          </w:p>
        </w:tc>
        <w:tc>
          <w:tcPr>
            <w:tcW w:w="1043" w:type="dxa"/>
            <w:tcBorders>
              <w:top w:val="single" w:sz="4" w:space="0" w:color="000000"/>
              <w:bottom w:val="single" w:sz="4" w:space="0" w:color="000000"/>
            </w:tcBorders>
          </w:tcPr>
          <w:p w14:paraId="5914A1B9" w14:textId="4F6D31F8" w:rsidR="00B449D0" w:rsidRDefault="00076D78">
            <w:pPr>
              <w:pStyle w:val="Measuretabledatarightaligneditalics"/>
              <w:keepNext/>
            </w:pPr>
            <w:r>
              <w:noBreakHyphen/>
            </w:r>
          </w:p>
        </w:tc>
        <w:tc>
          <w:tcPr>
            <w:tcW w:w="1043" w:type="dxa"/>
            <w:tcBorders>
              <w:top w:val="single" w:sz="4" w:space="0" w:color="000000"/>
              <w:bottom w:val="single" w:sz="4" w:space="0" w:color="000000"/>
            </w:tcBorders>
          </w:tcPr>
          <w:p w14:paraId="078D1EA9" w14:textId="32908892" w:rsidR="00B449D0" w:rsidRDefault="005A77E7">
            <w:pPr>
              <w:pStyle w:val="Measuretabledatarightaligneditalics"/>
              <w:keepNext/>
            </w:pPr>
            <w:r>
              <w:t>..</w:t>
            </w:r>
          </w:p>
        </w:tc>
        <w:tc>
          <w:tcPr>
            <w:tcW w:w="1043" w:type="dxa"/>
            <w:tcBorders>
              <w:top w:val="single" w:sz="4" w:space="0" w:color="000000"/>
              <w:bottom w:val="single" w:sz="4" w:space="0" w:color="000000"/>
            </w:tcBorders>
          </w:tcPr>
          <w:p w14:paraId="4BDDF4D0" w14:textId="77777777" w:rsidR="00B449D0" w:rsidRDefault="00175344">
            <w:pPr>
              <w:pStyle w:val="Measuretabledatarightaligneditalics"/>
              <w:keepNext/>
            </w:pPr>
            <w:r>
              <w:t>5.0</w:t>
            </w:r>
          </w:p>
        </w:tc>
        <w:tc>
          <w:tcPr>
            <w:tcW w:w="1043" w:type="dxa"/>
            <w:tcBorders>
              <w:top w:val="single" w:sz="4" w:space="0" w:color="000000"/>
              <w:bottom w:val="single" w:sz="4" w:space="0" w:color="000000"/>
            </w:tcBorders>
          </w:tcPr>
          <w:p w14:paraId="1D05AAFA" w14:textId="77777777" w:rsidR="00B449D0" w:rsidRDefault="00175344">
            <w:pPr>
              <w:pStyle w:val="Measuretabledatarightaligneditalics"/>
              <w:keepNext/>
            </w:pPr>
            <w:r>
              <w:t>5.0</w:t>
            </w:r>
          </w:p>
        </w:tc>
        <w:tc>
          <w:tcPr>
            <w:tcW w:w="1043" w:type="dxa"/>
            <w:tcBorders>
              <w:top w:val="single" w:sz="4" w:space="0" w:color="000000"/>
              <w:bottom w:val="single" w:sz="4" w:space="0" w:color="000000"/>
            </w:tcBorders>
          </w:tcPr>
          <w:p w14:paraId="7D7D035F" w14:textId="77777777" w:rsidR="00B449D0" w:rsidRDefault="00175344">
            <w:pPr>
              <w:pStyle w:val="Measuretabledatarightaligneditalics"/>
              <w:keepNext/>
            </w:pPr>
            <w:r>
              <w:t>5.0</w:t>
            </w:r>
          </w:p>
        </w:tc>
      </w:tr>
      <w:tr w:rsidR="00B449D0" w14:paraId="61557A42" w14:textId="77777777">
        <w:trPr>
          <w:cantSplit/>
        </w:trPr>
        <w:tc>
          <w:tcPr>
            <w:tcW w:w="2494" w:type="dxa"/>
            <w:tcBorders>
              <w:top w:val="single" w:sz="4" w:space="0" w:color="000000"/>
              <w:bottom w:val="single" w:sz="4" w:space="0" w:color="000000"/>
            </w:tcBorders>
          </w:tcPr>
          <w:p w14:paraId="0CC99706" w14:textId="77777777" w:rsidR="00B449D0" w:rsidRDefault="00175344">
            <w:pPr>
              <w:pStyle w:val="AgencyNamewith2ptsspacing"/>
              <w:keepNext/>
            </w:pPr>
            <w:r>
              <w:t>Department of Education</w:t>
            </w:r>
          </w:p>
        </w:tc>
        <w:tc>
          <w:tcPr>
            <w:tcW w:w="1043" w:type="dxa"/>
            <w:tcBorders>
              <w:top w:val="single" w:sz="4" w:space="0" w:color="000000"/>
              <w:bottom w:val="single" w:sz="4" w:space="0" w:color="000000"/>
            </w:tcBorders>
          </w:tcPr>
          <w:p w14:paraId="2CB37748" w14:textId="716B75DB" w:rsidR="00B449D0" w:rsidRDefault="00076D78">
            <w:pPr>
              <w:pStyle w:val="Measuretabledatarightaligneditalics"/>
              <w:keepNext/>
            </w:pPr>
            <w:r>
              <w:noBreakHyphen/>
            </w:r>
          </w:p>
        </w:tc>
        <w:tc>
          <w:tcPr>
            <w:tcW w:w="1043" w:type="dxa"/>
            <w:tcBorders>
              <w:top w:val="single" w:sz="4" w:space="0" w:color="000000"/>
              <w:bottom w:val="single" w:sz="4" w:space="0" w:color="000000"/>
            </w:tcBorders>
          </w:tcPr>
          <w:p w14:paraId="7BF3BE2C" w14:textId="7452E311" w:rsidR="00B449D0" w:rsidRDefault="00076D78">
            <w:pPr>
              <w:pStyle w:val="Measuretabledatarightaligneditalics"/>
              <w:keepNext/>
            </w:pPr>
            <w:r>
              <w:noBreakHyphen/>
            </w:r>
          </w:p>
        </w:tc>
        <w:tc>
          <w:tcPr>
            <w:tcW w:w="1043" w:type="dxa"/>
            <w:tcBorders>
              <w:top w:val="single" w:sz="4" w:space="0" w:color="000000"/>
              <w:bottom w:val="single" w:sz="4" w:space="0" w:color="000000"/>
            </w:tcBorders>
          </w:tcPr>
          <w:p w14:paraId="50D3A6F4" w14:textId="77777777" w:rsidR="00B449D0" w:rsidRDefault="00175344">
            <w:pPr>
              <w:pStyle w:val="Measuretabledatarightaligneditalics"/>
              <w:keepNext/>
            </w:pPr>
            <w:r>
              <w:t>..</w:t>
            </w:r>
          </w:p>
        </w:tc>
        <w:tc>
          <w:tcPr>
            <w:tcW w:w="1043" w:type="dxa"/>
            <w:tcBorders>
              <w:top w:val="single" w:sz="4" w:space="0" w:color="000000"/>
              <w:bottom w:val="single" w:sz="4" w:space="0" w:color="000000"/>
            </w:tcBorders>
          </w:tcPr>
          <w:p w14:paraId="62B8B9FA" w14:textId="77777777" w:rsidR="00B449D0" w:rsidRDefault="00175344">
            <w:pPr>
              <w:pStyle w:val="Measuretabledatarightaligneditalics"/>
              <w:keepNext/>
            </w:pPr>
            <w:r>
              <w:t>..</w:t>
            </w:r>
          </w:p>
        </w:tc>
        <w:tc>
          <w:tcPr>
            <w:tcW w:w="1043" w:type="dxa"/>
            <w:tcBorders>
              <w:top w:val="single" w:sz="4" w:space="0" w:color="000000"/>
              <w:bottom w:val="single" w:sz="4" w:space="0" w:color="000000"/>
            </w:tcBorders>
          </w:tcPr>
          <w:p w14:paraId="63C395C4" w14:textId="77777777" w:rsidR="00B449D0" w:rsidRDefault="00175344">
            <w:pPr>
              <w:pStyle w:val="Measuretabledatarightaligneditalics"/>
              <w:keepNext/>
            </w:pPr>
            <w:r>
              <w:t>..</w:t>
            </w:r>
          </w:p>
        </w:tc>
      </w:tr>
      <w:tr w:rsidR="00B449D0" w14:paraId="098E6A3F" w14:textId="77777777">
        <w:trPr>
          <w:cantSplit/>
        </w:trPr>
        <w:tc>
          <w:tcPr>
            <w:tcW w:w="2494" w:type="dxa"/>
            <w:tcBorders>
              <w:top w:val="single" w:sz="4" w:space="0" w:color="000000"/>
              <w:bottom w:val="single" w:sz="4" w:space="0" w:color="000000"/>
            </w:tcBorders>
          </w:tcPr>
          <w:p w14:paraId="2740320F" w14:textId="77777777" w:rsidR="00B449D0" w:rsidRDefault="00175344">
            <w:pPr>
              <w:pStyle w:val="Totalrowitalicsleftaligned"/>
              <w:keepNext/>
            </w:pPr>
            <w:r>
              <w:t>Total – Receipts</w:t>
            </w:r>
          </w:p>
        </w:tc>
        <w:tc>
          <w:tcPr>
            <w:tcW w:w="1043" w:type="dxa"/>
            <w:tcBorders>
              <w:top w:val="single" w:sz="4" w:space="0" w:color="000000"/>
              <w:bottom w:val="single" w:sz="4" w:space="0" w:color="000000"/>
            </w:tcBorders>
          </w:tcPr>
          <w:p w14:paraId="64CD3B7E" w14:textId="235C84BE" w:rsidR="00B449D0" w:rsidRDefault="00076D78">
            <w:pPr>
              <w:pStyle w:val="Measuretabledatarightaligneditalics"/>
              <w:keepNext/>
            </w:pPr>
            <w:r>
              <w:noBreakHyphen/>
            </w:r>
          </w:p>
        </w:tc>
        <w:tc>
          <w:tcPr>
            <w:tcW w:w="1043" w:type="dxa"/>
            <w:tcBorders>
              <w:top w:val="single" w:sz="4" w:space="0" w:color="000000"/>
              <w:bottom w:val="single" w:sz="4" w:space="0" w:color="000000"/>
            </w:tcBorders>
          </w:tcPr>
          <w:p w14:paraId="30704D01" w14:textId="77777777" w:rsidR="00B449D0" w:rsidRDefault="00175344">
            <w:pPr>
              <w:pStyle w:val="Measuretabledatarightaligneditalics"/>
              <w:keepNext/>
            </w:pPr>
            <w:r>
              <w:t>5.0</w:t>
            </w:r>
          </w:p>
        </w:tc>
        <w:tc>
          <w:tcPr>
            <w:tcW w:w="1043" w:type="dxa"/>
            <w:tcBorders>
              <w:top w:val="single" w:sz="4" w:space="0" w:color="000000"/>
              <w:bottom w:val="single" w:sz="4" w:space="0" w:color="000000"/>
            </w:tcBorders>
          </w:tcPr>
          <w:p w14:paraId="5F46FF58" w14:textId="77777777" w:rsidR="00B449D0" w:rsidRDefault="00175344">
            <w:pPr>
              <w:pStyle w:val="Measuretabledatarightaligneditalics"/>
              <w:keepNext/>
            </w:pPr>
            <w:r>
              <w:t>10.0</w:t>
            </w:r>
          </w:p>
        </w:tc>
        <w:tc>
          <w:tcPr>
            <w:tcW w:w="1043" w:type="dxa"/>
            <w:tcBorders>
              <w:top w:val="single" w:sz="4" w:space="0" w:color="000000"/>
              <w:bottom w:val="single" w:sz="4" w:space="0" w:color="000000"/>
            </w:tcBorders>
          </w:tcPr>
          <w:p w14:paraId="41BEC6F5" w14:textId="77777777" w:rsidR="00B449D0" w:rsidRDefault="00175344">
            <w:pPr>
              <w:pStyle w:val="Measuretabledatarightaligneditalics"/>
              <w:keepNext/>
            </w:pPr>
            <w:r>
              <w:t>5.0</w:t>
            </w:r>
          </w:p>
        </w:tc>
        <w:tc>
          <w:tcPr>
            <w:tcW w:w="1043" w:type="dxa"/>
            <w:tcBorders>
              <w:top w:val="single" w:sz="4" w:space="0" w:color="000000"/>
              <w:bottom w:val="single" w:sz="4" w:space="0" w:color="000000"/>
            </w:tcBorders>
          </w:tcPr>
          <w:p w14:paraId="4EE385BC" w14:textId="77777777" w:rsidR="00B449D0" w:rsidRDefault="00175344">
            <w:pPr>
              <w:pStyle w:val="Measuretabledatarightaligneditalics"/>
              <w:keepNext/>
            </w:pPr>
            <w:r>
              <w:t>5.0</w:t>
            </w:r>
          </w:p>
        </w:tc>
      </w:tr>
    </w:tbl>
    <w:p w14:paraId="378EAA69" w14:textId="77777777" w:rsidR="00B449D0" w:rsidRDefault="00B449D0" w:rsidP="00380A42">
      <w:pPr>
        <w:pStyle w:val="SingleParagraph0"/>
      </w:pPr>
    </w:p>
    <w:p w14:paraId="772C4878" w14:textId="77777777" w:rsidR="00B449D0" w:rsidRDefault="00175344">
      <w:pPr>
        <w:pStyle w:val="Normal2"/>
      </w:pPr>
      <w:r>
        <w:t>The Government will provide $6.1 million to support recent arrivals from conflict zones. Funding includes:</w:t>
      </w:r>
    </w:p>
    <w:p w14:paraId="78E52AFC" w14:textId="245B2D2A" w:rsidR="00B449D0" w:rsidRDefault="00175344">
      <w:pPr>
        <w:pStyle w:val="Bullet"/>
      </w:pPr>
      <w:r>
        <w:t>$5.1 million in 2024–25 for Palestinian</w:t>
      </w:r>
      <w:r w:rsidR="00076D78">
        <w:noBreakHyphen/>
      </w:r>
      <w:r>
        <w:t>led community organisations to provide emergency relief and for community organisations to provide youth services for Palestinian and young Muslim communities in Australia</w:t>
      </w:r>
    </w:p>
    <w:p w14:paraId="0AAF0E72" w14:textId="77777777" w:rsidR="00B449D0" w:rsidRDefault="00175344">
      <w:pPr>
        <w:pStyle w:val="Bullet"/>
      </w:pPr>
      <w:r>
        <w:t>$1.0 million in 2024–25 for the Australian Red Cross to provide emergency assistance to recent arrivals from Israel and the Occupied Palestinian Territories affected by the Hamas‑Israel conflict.</w:t>
      </w:r>
    </w:p>
    <w:p w14:paraId="78C9D97E" w14:textId="77777777" w:rsidR="00B449D0" w:rsidRDefault="00175344">
      <w:pPr>
        <w:pStyle w:val="Normal2"/>
      </w:pPr>
      <w:r>
        <w:t>The Government will also provide longer‑term visa options on a case‑by‑case basis for Palestinian, Israeli and Ukrainian temporary visa holders in Australia with visas expiring in 2024 and 2025 who are unable to return home due to ongoing conflicts, which is estimated to increase payments for government services and benefits by $265.5 million over four years from 2024–25.</w:t>
      </w:r>
    </w:p>
    <w:p w14:paraId="72A9ABCF" w14:textId="31E6B806" w:rsidR="00B449D0" w:rsidRDefault="00175344">
      <w:pPr>
        <w:pStyle w:val="Normal2"/>
      </w:pPr>
      <w:r w:rsidRPr="7F762F0D">
        <w:rPr>
          <w:lang w:val="en-US"/>
        </w:rPr>
        <w:t xml:space="preserve">The costs of this measure will be partially met from savings from the reallocation of places within the </w:t>
      </w:r>
      <w:r w:rsidRPr="0022710B">
        <w:rPr>
          <w:i/>
          <w:lang w:val="en-US"/>
        </w:rPr>
        <w:t>Humanitarian Program</w:t>
      </w:r>
      <w:r w:rsidRPr="7F762F0D">
        <w:rPr>
          <w:lang w:val="en-US"/>
        </w:rPr>
        <w:t xml:space="preserve"> and reprioritisation of funding from the 2023</w:t>
      </w:r>
      <w:r w:rsidR="002A7001">
        <w:rPr>
          <w:lang w:val="en-US"/>
        </w:rPr>
        <w:t>–</w:t>
      </w:r>
      <w:r w:rsidRPr="7F762F0D">
        <w:rPr>
          <w:lang w:val="en-US"/>
        </w:rPr>
        <w:t xml:space="preserve">24 MYEFO measure titled </w:t>
      </w:r>
      <w:r w:rsidRPr="7F762F0D">
        <w:rPr>
          <w:i/>
          <w:iCs/>
          <w:lang w:val="en-US"/>
        </w:rPr>
        <w:t>Supporting Australian Communities Affected by the Hamas‑Israel Conflict</w:t>
      </w:r>
      <w:r w:rsidRPr="7F762F0D">
        <w:rPr>
          <w:lang w:val="en-US"/>
        </w:rPr>
        <w:t>.</w:t>
      </w:r>
    </w:p>
    <w:p w14:paraId="723119E9" w14:textId="77777777" w:rsidR="00B449D0" w:rsidRDefault="00175344">
      <w:pPr>
        <w:pStyle w:val="Normal2"/>
      </w:pPr>
      <w:r>
        <w:t>The measure (including savings) is expected to increase receipts by $25.1 million over the four years from 2024–25.</w:t>
      </w:r>
    </w:p>
    <w:p w14:paraId="60BBE745" w14:textId="77777777" w:rsidR="00B449D0" w:rsidRDefault="00175344">
      <w:pPr>
        <w:pStyle w:val="Normal2"/>
      </w:pPr>
      <w:r>
        <w:lastRenderedPageBreak/>
        <w:t>This measure builds on the 2024–25 Budget measures titled</w:t>
      </w:r>
      <w:r w:rsidRPr="00175344">
        <w:rPr>
          <w:i/>
        </w:rPr>
        <w:t xml:space="preserve"> Reforms to Migrant and Refugee and Settlement Services</w:t>
      </w:r>
      <w:r>
        <w:t xml:space="preserve"> and </w:t>
      </w:r>
      <w:r w:rsidRPr="00175344">
        <w:rPr>
          <w:i/>
        </w:rPr>
        <w:t>Support to Individuals from Israel and Occupied Palestinian Territories affected by the Hamas‑Israel conflict.</w:t>
      </w:r>
    </w:p>
    <w:p w14:paraId="23A42400" w14:textId="5F69626A" w:rsidR="00B449D0" w:rsidRDefault="00175344">
      <w:pPr>
        <w:pStyle w:val="Normal2"/>
      </w:pPr>
      <w:r>
        <w:t>See also the related payment measure</w:t>
      </w:r>
      <w:r w:rsidRPr="00175344">
        <w:rPr>
          <w:i/>
        </w:rPr>
        <w:t xml:space="preserve"> Lebanon Repatriation and Related Support </w:t>
      </w:r>
      <w:r>
        <w:t>in the Foreign</w:t>
      </w:r>
      <w:r w:rsidR="00B6505C">
        <w:t> </w:t>
      </w:r>
      <w:r>
        <w:t>Affairs and Trade portfolio</w:t>
      </w:r>
      <w:r w:rsidRPr="00175344">
        <w:rPr>
          <w:i/>
        </w:rPr>
        <w:t>.</w:t>
      </w:r>
    </w:p>
    <w:p w14:paraId="6B05D6FC" w14:textId="16C082B1" w:rsidR="00B449D0" w:rsidRDefault="00175344">
      <w:pPr>
        <w:pStyle w:val="MeasureTitle"/>
      </w:pPr>
      <w:r>
        <w:t>Australia</w:t>
      </w:r>
      <w:r w:rsidR="00076D78">
        <w:t>’</w:t>
      </w:r>
      <w:r>
        <w:t>s Counter‑Terrorism and Violent Extremism Strategy 2024</w:t>
      </w:r>
    </w:p>
    <w:p w14:paraId="5A156A38"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5F1CE6B4" w14:textId="77777777">
        <w:trPr>
          <w:cantSplit/>
        </w:trPr>
        <w:tc>
          <w:tcPr>
            <w:tcW w:w="2494" w:type="dxa"/>
            <w:tcBorders>
              <w:top w:val="single" w:sz="4" w:space="0" w:color="000000"/>
              <w:bottom w:val="single" w:sz="4" w:space="0" w:color="000000"/>
            </w:tcBorders>
          </w:tcPr>
          <w:p w14:paraId="0298DD1C" w14:textId="77777777" w:rsidR="00B449D0" w:rsidRDefault="00B449D0">
            <w:pPr>
              <w:pStyle w:val="MeasureTableYearHeadings"/>
              <w:keepNext/>
            </w:pPr>
          </w:p>
        </w:tc>
        <w:tc>
          <w:tcPr>
            <w:tcW w:w="1043" w:type="dxa"/>
            <w:tcBorders>
              <w:top w:val="single" w:sz="4" w:space="0" w:color="000000"/>
              <w:bottom w:val="single" w:sz="4" w:space="0" w:color="000000"/>
            </w:tcBorders>
          </w:tcPr>
          <w:p w14:paraId="3D672AD4" w14:textId="32B4EBE8"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39E2CE93" w14:textId="442976C0"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4D1BB9CA" w14:textId="539BA39A"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3BB352CC" w14:textId="76999D0F"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697C42D5" w14:textId="5B8C777D" w:rsidR="00B449D0" w:rsidRDefault="00175344">
            <w:pPr>
              <w:pStyle w:val="MeasureTableYearHeadings"/>
              <w:keepNext/>
            </w:pPr>
            <w:r>
              <w:t>2027</w:t>
            </w:r>
            <w:r w:rsidR="00076D78">
              <w:noBreakHyphen/>
            </w:r>
            <w:r>
              <w:t>28</w:t>
            </w:r>
          </w:p>
        </w:tc>
      </w:tr>
      <w:tr w:rsidR="00B449D0" w14:paraId="5E041BE8" w14:textId="77777777">
        <w:trPr>
          <w:cantSplit/>
        </w:trPr>
        <w:tc>
          <w:tcPr>
            <w:tcW w:w="2494" w:type="dxa"/>
            <w:tcBorders>
              <w:top w:val="single" w:sz="4" w:space="0" w:color="000000"/>
              <w:bottom w:val="single" w:sz="4" w:space="0" w:color="000000"/>
            </w:tcBorders>
          </w:tcPr>
          <w:p w14:paraId="72CB74DC" w14:textId="77777777" w:rsidR="00B449D0" w:rsidRDefault="00175344">
            <w:pPr>
              <w:pStyle w:val="MeasureTableHeadingleftalignedwith2ptsspacing"/>
              <w:keepNext/>
            </w:pPr>
            <w:r>
              <w:t>Department of Education</w:t>
            </w:r>
          </w:p>
        </w:tc>
        <w:tc>
          <w:tcPr>
            <w:tcW w:w="1043" w:type="dxa"/>
            <w:tcBorders>
              <w:top w:val="single" w:sz="4" w:space="0" w:color="000000"/>
              <w:bottom w:val="single" w:sz="4" w:space="0" w:color="000000"/>
            </w:tcBorders>
          </w:tcPr>
          <w:p w14:paraId="024F043A" w14:textId="0513EA71"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C61D28E" w14:textId="77777777" w:rsidR="00B449D0" w:rsidRDefault="00175344">
            <w:pPr>
              <w:pStyle w:val="MeasureTableDataRightAlignedwith2ptsspacing"/>
              <w:keepNext/>
            </w:pPr>
            <w:r>
              <w:t>0.2</w:t>
            </w:r>
          </w:p>
        </w:tc>
        <w:tc>
          <w:tcPr>
            <w:tcW w:w="1043" w:type="dxa"/>
            <w:tcBorders>
              <w:top w:val="single" w:sz="4" w:space="0" w:color="000000"/>
              <w:bottom w:val="single" w:sz="4" w:space="0" w:color="000000"/>
            </w:tcBorders>
          </w:tcPr>
          <w:p w14:paraId="3FD74EE1" w14:textId="77777777" w:rsidR="00B449D0" w:rsidRDefault="00175344">
            <w:pPr>
              <w:pStyle w:val="MeasureTableDataRightAlignedwith2ptsspacing"/>
              <w:keepNext/>
            </w:pPr>
            <w:r>
              <w:t>0.4</w:t>
            </w:r>
          </w:p>
        </w:tc>
        <w:tc>
          <w:tcPr>
            <w:tcW w:w="1043" w:type="dxa"/>
            <w:tcBorders>
              <w:top w:val="single" w:sz="4" w:space="0" w:color="000000"/>
              <w:bottom w:val="single" w:sz="4" w:space="0" w:color="000000"/>
            </w:tcBorders>
          </w:tcPr>
          <w:p w14:paraId="41F9EE8C" w14:textId="77777777" w:rsidR="00B449D0" w:rsidRDefault="00175344">
            <w:pPr>
              <w:pStyle w:val="MeasureTableDataRightAlignedwith2ptsspacing"/>
              <w:keepNext/>
            </w:pPr>
            <w:r>
              <w:t>0.4</w:t>
            </w:r>
          </w:p>
        </w:tc>
        <w:tc>
          <w:tcPr>
            <w:tcW w:w="1043" w:type="dxa"/>
            <w:tcBorders>
              <w:top w:val="single" w:sz="4" w:space="0" w:color="000000"/>
              <w:bottom w:val="single" w:sz="4" w:space="0" w:color="000000"/>
            </w:tcBorders>
          </w:tcPr>
          <w:p w14:paraId="2C413E69" w14:textId="77777777" w:rsidR="00B449D0" w:rsidRDefault="00175344">
            <w:pPr>
              <w:pStyle w:val="MeasureTableDataRightAlignedwith2ptsspacing"/>
              <w:keepNext/>
            </w:pPr>
            <w:r>
              <w:t>0.4</w:t>
            </w:r>
          </w:p>
        </w:tc>
      </w:tr>
      <w:tr w:rsidR="00B449D0" w14:paraId="63D99027" w14:textId="77777777">
        <w:trPr>
          <w:cantSplit/>
        </w:trPr>
        <w:tc>
          <w:tcPr>
            <w:tcW w:w="2494" w:type="dxa"/>
            <w:tcBorders>
              <w:top w:val="single" w:sz="4" w:space="0" w:color="000000"/>
              <w:bottom w:val="single" w:sz="4" w:space="0" w:color="000000"/>
            </w:tcBorders>
          </w:tcPr>
          <w:p w14:paraId="5EAF8459" w14:textId="77777777" w:rsidR="00B449D0" w:rsidRDefault="00175344">
            <w:pPr>
              <w:pStyle w:val="MeasureTableHeadingleftalignedwith2ptsspacing"/>
              <w:keepNext/>
            </w:pPr>
            <w:r>
              <w:t>Department of the Treasury</w:t>
            </w:r>
          </w:p>
        </w:tc>
        <w:tc>
          <w:tcPr>
            <w:tcW w:w="1043" w:type="dxa"/>
            <w:tcBorders>
              <w:top w:val="single" w:sz="4" w:space="0" w:color="000000"/>
              <w:bottom w:val="single" w:sz="4" w:space="0" w:color="000000"/>
            </w:tcBorders>
          </w:tcPr>
          <w:p w14:paraId="0E7527D9" w14:textId="21166390"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F865752" w14:textId="6DD905C6"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FD0B411" w14:textId="77777777" w:rsidR="00B449D0" w:rsidRDefault="00175344">
            <w:pPr>
              <w:pStyle w:val="MeasureTableDataRightAlignedwith2ptsspacing"/>
              <w:keepNext/>
            </w:pPr>
            <w:r>
              <w:t>26.7</w:t>
            </w:r>
          </w:p>
        </w:tc>
        <w:tc>
          <w:tcPr>
            <w:tcW w:w="1043" w:type="dxa"/>
            <w:tcBorders>
              <w:top w:val="single" w:sz="4" w:space="0" w:color="000000"/>
              <w:bottom w:val="single" w:sz="4" w:space="0" w:color="000000"/>
            </w:tcBorders>
          </w:tcPr>
          <w:p w14:paraId="2498AA66" w14:textId="77777777" w:rsidR="00B449D0" w:rsidRDefault="00175344">
            <w:pPr>
              <w:pStyle w:val="MeasureTableDataRightAlignedwith2ptsspacing"/>
              <w:keepNext/>
            </w:pPr>
            <w:r>
              <w:t>26.9</w:t>
            </w:r>
          </w:p>
        </w:tc>
        <w:tc>
          <w:tcPr>
            <w:tcW w:w="1043" w:type="dxa"/>
            <w:tcBorders>
              <w:top w:val="single" w:sz="4" w:space="0" w:color="000000"/>
              <w:bottom w:val="single" w:sz="4" w:space="0" w:color="000000"/>
            </w:tcBorders>
          </w:tcPr>
          <w:p w14:paraId="0FCDC3B4" w14:textId="77777777" w:rsidR="00B449D0" w:rsidRDefault="00175344">
            <w:pPr>
              <w:pStyle w:val="MeasureTableDataRightAlignedwith2ptsspacing"/>
              <w:keepNext/>
            </w:pPr>
            <w:r>
              <w:t>28.1</w:t>
            </w:r>
          </w:p>
        </w:tc>
      </w:tr>
      <w:tr w:rsidR="00B449D0" w14:paraId="2BCAB20C" w14:textId="77777777">
        <w:trPr>
          <w:cantSplit/>
        </w:trPr>
        <w:tc>
          <w:tcPr>
            <w:tcW w:w="2494" w:type="dxa"/>
            <w:tcBorders>
              <w:top w:val="single" w:sz="4" w:space="0" w:color="000000"/>
              <w:bottom w:val="single" w:sz="4" w:space="0" w:color="000000"/>
            </w:tcBorders>
          </w:tcPr>
          <w:p w14:paraId="2C7C181D" w14:textId="77777777" w:rsidR="00B449D0" w:rsidRDefault="00175344">
            <w:pPr>
              <w:pStyle w:val="MeasureTableHeadingleftalignedwith2ptsspacing"/>
              <w:keepNext/>
            </w:pPr>
            <w:r>
              <w:t>Department of Home Affairs</w:t>
            </w:r>
          </w:p>
        </w:tc>
        <w:tc>
          <w:tcPr>
            <w:tcW w:w="1043" w:type="dxa"/>
            <w:tcBorders>
              <w:top w:val="single" w:sz="4" w:space="0" w:color="000000"/>
              <w:bottom w:val="single" w:sz="4" w:space="0" w:color="000000"/>
            </w:tcBorders>
          </w:tcPr>
          <w:p w14:paraId="2FB5D240" w14:textId="003669DD"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6D4FA030" w14:textId="75828377"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2C14175" w14:textId="77777777" w:rsidR="00B449D0" w:rsidRDefault="00175344">
            <w:pPr>
              <w:pStyle w:val="MeasureTableDataRightAlignedwith2ptsspacing"/>
              <w:keepNext/>
            </w:pPr>
            <w:r>
              <w:t>1.8</w:t>
            </w:r>
          </w:p>
        </w:tc>
        <w:tc>
          <w:tcPr>
            <w:tcW w:w="1043" w:type="dxa"/>
            <w:tcBorders>
              <w:top w:val="single" w:sz="4" w:space="0" w:color="000000"/>
              <w:bottom w:val="single" w:sz="4" w:space="0" w:color="000000"/>
            </w:tcBorders>
          </w:tcPr>
          <w:p w14:paraId="6AF8EE42" w14:textId="77777777" w:rsidR="00B449D0" w:rsidRDefault="00175344">
            <w:pPr>
              <w:pStyle w:val="MeasureTableDataRightAlignedwith2ptsspacing"/>
              <w:keepNext/>
            </w:pPr>
            <w:r>
              <w:t>1.1</w:t>
            </w:r>
          </w:p>
        </w:tc>
        <w:tc>
          <w:tcPr>
            <w:tcW w:w="1043" w:type="dxa"/>
            <w:tcBorders>
              <w:top w:val="single" w:sz="4" w:space="0" w:color="000000"/>
              <w:bottom w:val="single" w:sz="4" w:space="0" w:color="000000"/>
            </w:tcBorders>
          </w:tcPr>
          <w:p w14:paraId="6AD94220" w14:textId="77777777" w:rsidR="00B449D0" w:rsidRDefault="00175344">
            <w:pPr>
              <w:pStyle w:val="MeasureTableDataRightAlignedwith2ptsspacing"/>
              <w:keepNext/>
            </w:pPr>
            <w:r>
              <w:t>1.2</w:t>
            </w:r>
          </w:p>
        </w:tc>
      </w:tr>
      <w:tr w:rsidR="00B449D0" w14:paraId="78D59087" w14:textId="77777777">
        <w:trPr>
          <w:cantSplit/>
        </w:trPr>
        <w:tc>
          <w:tcPr>
            <w:tcW w:w="2494" w:type="dxa"/>
            <w:tcBorders>
              <w:top w:val="single" w:sz="4" w:space="0" w:color="000000"/>
              <w:bottom w:val="single" w:sz="4" w:space="0" w:color="000000"/>
            </w:tcBorders>
          </w:tcPr>
          <w:p w14:paraId="1A1D49E8"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70A9110F" w14:textId="651E847C"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21006D1A" w14:textId="77777777" w:rsidR="00B449D0" w:rsidRDefault="00175344">
            <w:pPr>
              <w:pStyle w:val="Totaldatarowrightaligned"/>
              <w:keepNext/>
            </w:pPr>
            <w:r>
              <w:t>0.2</w:t>
            </w:r>
          </w:p>
        </w:tc>
        <w:tc>
          <w:tcPr>
            <w:tcW w:w="1043" w:type="dxa"/>
            <w:tcBorders>
              <w:top w:val="single" w:sz="4" w:space="0" w:color="000000"/>
              <w:bottom w:val="single" w:sz="4" w:space="0" w:color="000000"/>
            </w:tcBorders>
          </w:tcPr>
          <w:p w14:paraId="286653A4" w14:textId="77777777" w:rsidR="00B449D0" w:rsidRDefault="00175344">
            <w:pPr>
              <w:pStyle w:val="Totaldatarowrightaligned"/>
              <w:keepNext/>
            </w:pPr>
            <w:r>
              <w:t>28.9</w:t>
            </w:r>
          </w:p>
        </w:tc>
        <w:tc>
          <w:tcPr>
            <w:tcW w:w="1043" w:type="dxa"/>
            <w:tcBorders>
              <w:top w:val="single" w:sz="4" w:space="0" w:color="000000"/>
              <w:bottom w:val="single" w:sz="4" w:space="0" w:color="000000"/>
            </w:tcBorders>
          </w:tcPr>
          <w:p w14:paraId="78A38235" w14:textId="77777777" w:rsidR="00B449D0" w:rsidRDefault="00175344">
            <w:pPr>
              <w:pStyle w:val="Totaldatarowrightaligned"/>
              <w:keepNext/>
            </w:pPr>
            <w:r>
              <w:t>28.4</w:t>
            </w:r>
          </w:p>
        </w:tc>
        <w:tc>
          <w:tcPr>
            <w:tcW w:w="1043" w:type="dxa"/>
            <w:tcBorders>
              <w:top w:val="single" w:sz="4" w:space="0" w:color="000000"/>
              <w:bottom w:val="single" w:sz="4" w:space="0" w:color="000000"/>
            </w:tcBorders>
          </w:tcPr>
          <w:p w14:paraId="33C71DF8" w14:textId="77777777" w:rsidR="00B449D0" w:rsidRDefault="00175344">
            <w:pPr>
              <w:pStyle w:val="Totaldatarowrightaligned"/>
              <w:keepNext/>
            </w:pPr>
            <w:r>
              <w:t>29.7</w:t>
            </w:r>
          </w:p>
        </w:tc>
      </w:tr>
    </w:tbl>
    <w:p w14:paraId="3416784A" w14:textId="77777777" w:rsidR="00B449D0" w:rsidRDefault="00B449D0" w:rsidP="00380A42">
      <w:pPr>
        <w:pStyle w:val="SingleParagraph0"/>
      </w:pPr>
    </w:p>
    <w:p w14:paraId="5D11826D" w14:textId="46B582D1" w:rsidR="00B449D0" w:rsidRDefault="00175344">
      <w:pPr>
        <w:pStyle w:val="Normal2"/>
      </w:pPr>
      <w:r>
        <w:t>The Government will provide $106.2 million over four years from 2024–25 (and $31.3 million per year ongoing) to address emerging risks in the terrorism and violent extremism environment as part of Australia</w:t>
      </w:r>
      <w:r w:rsidR="00076D78">
        <w:t>’</w:t>
      </w:r>
      <w:r>
        <w:t>s Counter‑Terrorism and Violent Extremism Strategy 2024. Funding includes:</w:t>
      </w:r>
    </w:p>
    <w:p w14:paraId="03C57DBF" w14:textId="77777777" w:rsidR="00B449D0" w:rsidRDefault="00175344">
      <w:pPr>
        <w:pStyle w:val="Bullet"/>
      </w:pPr>
      <w:r>
        <w:t xml:space="preserve">$85.9 million over three years from 2025–26 (and $30.3 million per year ongoing) for the </w:t>
      </w:r>
      <w:r w:rsidRPr="00175344">
        <w:rPr>
          <w:i/>
        </w:rPr>
        <w:t>National Support and Intervention Program</w:t>
      </w:r>
      <w:r>
        <w:t xml:space="preserve"> to support the states and territories in providing intervention services to at‑risk individuals in community and custodial settings</w:t>
      </w:r>
    </w:p>
    <w:p w14:paraId="4A75BC50" w14:textId="77777777" w:rsidR="00B449D0" w:rsidRDefault="00175344">
      <w:pPr>
        <w:pStyle w:val="Bullet"/>
      </w:pPr>
      <w:r>
        <w:t xml:space="preserve">$13.5 million over three years from 2025–26 for the Department of Home Affairs to partner with the New South Wales (NSW) Government to roll out the NSW </w:t>
      </w:r>
      <w:r w:rsidRPr="00175344">
        <w:rPr>
          <w:i/>
        </w:rPr>
        <w:t>Step Together</w:t>
      </w:r>
      <w:r>
        <w:t xml:space="preserve"> online support and referral program on a national level, and support Countering Violent Extremism practitioner and frontline worker training</w:t>
      </w:r>
    </w:p>
    <w:p w14:paraId="21C61E2F" w14:textId="77777777" w:rsidR="00B449D0" w:rsidRDefault="00175344">
      <w:pPr>
        <w:pStyle w:val="Bullet"/>
      </w:pPr>
      <w:r>
        <w:t>$3.6 million over four years from 2024–25 to increase community engagement and understanding of countering violent extremism initiatives, including funding for youth advisory groups and an awareness campaign to enhance bystander understanding of violent extremism</w:t>
      </w:r>
    </w:p>
    <w:p w14:paraId="4880B1BD" w14:textId="77777777" w:rsidR="00B449D0" w:rsidRDefault="00175344">
      <w:pPr>
        <w:pStyle w:val="Bullet"/>
      </w:pPr>
      <w:r>
        <w:t>$3.2 million over three years from 2025–26 (and $1.1 million per year ongoing from 2028–29) to enhance the capability of partners in Southeast Asia to counter violent extremism.</w:t>
      </w:r>
    </w:p>
    <w:p w14:paraId="0C2F7023" w14:textId="77777777" w:rsidR="00B449D0" w:rsidRDefault="00175344">
      <w:pPr>
        <w:pStyle w:val="Normal2"/>
      </w:pPr>
      <w:r>
        <w:t>The Government has already provided partial funding for this measure.</w:t>
      </w:r>
    </w:p>
    <w:p w14:paraId="12EDA557" w14:textId="11365BB8" w:rsidR="00B449D0" w:rsidRDefault="00175344">
      <w:pPr>
        <w:pStyle w:val="Normal2"/>
      </w:pPr>
      <w:r w:rsidRPr="7F762F0D">
        <w:rPr>
          <w:lang w:val="en-US"/>
        </w:rPr>
        <w:t>The cost of this measure will be partially met from within the existing resourcing of the Department of Home Affairs and partially from savings identified in the Department</w:t>
      </w:r>
      <w:r w:rsidR="00B6505C">
        <w:rPr>
          <w:lang w:val="en-US"/>
        </w:rPr>
        <w:t> </w:t>
      </w:r>
      <w:r w:rsidRPr="7F762F0D">
        <w:rPr>
          <w:lang w:val="en-US"/>
        </w:rPr>
        <w:t>of</w:t>
      </w:r>
      <w:r w:rsidR="00B6505C">
        <w:rPr>
          <w:lang w:val="en-US"/>
        </w:rPr>
        <w:t> </w:t>
      </w:r>
      <w:r w:rsidRPr="7F762F0D">
        <w:rPr>
          <w:lang w:val="en-US"/>
        </w:rPr>
        <w:t>Home Affairs.</w:t>
      </w:r>
    </w:p>
    <w:p w14:paraId="41ECBE0B" w14:textId="77777777" w:rsidR="00B449D0" w:rsidRDefault="00175344">
      <w:pPr>
        <w:pStyle w:val="MeasureTitle"/>
      </w:pPr>
      <w:r>
        <w:lastRenderedPageBreak/>
        <w:t>Civil Maritime Security Capabilities</w:t>
      </w:r>
    </w:p>
    <w:p w14:paraId="324371C1"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5AA4949C" w14:textId="77777777">
        <w:trPr>
          <w:cantSplit/>
        </w:trPr>
        <w:tc>
          <w:tcPr>
            <w:tcW w:w="2494" w:type="dxa"/>
            <w:tcBorders>
              <w:top w:val="single" w:sz="4" w:space="0" w:color="000000"/>
              <w:bottom w:val="single" w:sz="4" w:space="0" w:color="000000"/>
            </w:tcBorders>
          </w:tcPr>
          <w:p w14:paraId="606FD712" w14:textId="77777777" w:rsidR="00B449D0" w:rsidRDefault="00B449D0">
            <w:pPr>
              <w:pStyle w:val="MeasureTableYearHeadings"/>
              <w:keepNext/>
            </w:pPr>
          </w:p>
        </w:tc>
        <w:tc>
          <w:tcPr>
            <w:tcW w:w="1043" w:type="dxa"/>
            <w:tcBorders>
              <w:top w:val="single" w:sz="4" w:space="0" w:color="000000"/>
              <w:bottom w:val="single" w:sz="4" w:space="0" w:color="000000"/>
            </w:tcBorders>
          </w:tcPr>
          <w:p w14:paraId="3D9AC533" w14:textId="0ACCF3D1"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758C126F" w14:textId="1CD31E71"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19AC3585" w14:textId="3EE7518A"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7E8DF944" w14:textId="08829565"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27A0B09F" w14:textId="558D9489" w:rsidR="00B449D0" w:rsidRDefault="00175344">
            <w:pPr>
              <w:pStyle w:val="MeasureTableYearHeadings"/>
              <w:keepNext/>
            </w:pPr>
            <w:r>
              <w:t>2027</w:t>
            </w:r>
            <w:r w:rsidR="00076D78">
              <w:noBreakHyphen/>
            </w:r>
            <w:r>
              <w:t>28</w:t>
            </w:r>
          </w:p>
        </w:tc>
      </w:tr>
      <w:tr w:rsidR="00B449D0" w14:paraId="67A7B9D6" w14:textId="77777777">
        <w:trPr>
          <w:cantSplit/>
        </w:trPr>
        <w:tc>
          <w:tcPr>
            <w:tcW w:w="2494" w:type="dxa"/>
            <w:tcBorders>
              <w:top w:val="single" w:sz="4" w:space="0" w:color="000000"/>
              <w:bottom w:val="single" w:sz="4" w:space="0" w:color="000000"/>
            </w:tcBorders>
          </w:tcPr>
          <w:p w14:paraId="76E5FE22" w14:textId="77777777" w:rsidR="00B449D0" w:rsidRDefault="00175344">
            <w:pPr>
              <w:pStyle w:val="MeasureTableHeadingleftalignedwith2ptsspacing"/>
              <w:keepNext/>
            </w:pPr>
            <w:r>
              <w:t>Department of Defence</w:t>
            </w:r>
          </w:p>
        </w:tc>
        <w:tc>
          <w:tcPr>
            <w:tcW w:w="1043" w:type="dxa"/>
            <w:tcBorders>
              <w:top w:val="single" w:sz="4" w:space="0" w:color="000000"/>
              <w:bottom w:val="single" w:sz="4" w:space="0" w:color="000000"/>
            </w:tcBorders>
          </w:tcPr>
          <w:p w14:paraId="705359E8" w14:textId="0BC3C491"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8AD075A" w14:textId="77777777" w:rsidR="00B449D0" w:rsidRDefault="00175344">
            <w:pPr>
              <w:pStyle w:val="MeasureTableDataRightAlignedwith2ptsspacing"/>
              <w:keepNext/>
            </w:pPr>
            <w:r>
              <w:t>nfp</w:t>
            </w:r>
          </w:p>
        </w:tc>
        <w:tc>
          <w:tcPr>
            <w:tcW w:w="1043" w:type="dxa"/>
            <w:tcBorders>
              <w:top w:val="single" w:sz="4" w:space="0" w:color="000000"/>
              <w:bottom w:val="single" w:sz="4" w:space="0" w:color="000000"/>
            </w:tcBorders>
          </w:tcPr>
          <w:p w14:paraId="30FFDB17" w14:textId="77777777" w:rsidR="00B449D0" w:rsidRDefault="00175344">
            <w:pPr>
              <w:pStyle w:val="MeasureTableDataRightAlignedwith2ptsspacing"/>
              <w:keepNext/>
            </w:pPr>
            <w:r>
              <w:t>nfp</w:t>
            </w:r>
          </w:p>
        </w:tc>
        <w:tc>
          <w:tcPr>
            <w:tcW w:w="1043" w:type="dxa"/>
            <w:tcBorders>
              <w:top w:val="single" w:sz="4" w:space="0" w:color="000000"/>
              <w:bottom w:val="single" w:sz="4" w:space="0" w:color="000000"/>
            </w:tcBorders>
          </w:tcPr>
          <w:p w14:paraId="6284E190" w14:textId="77777777" w:rsidR="00B449D0" w:rsidRDefault="00175344">
            <w:pPr>
              <w:pStyle w:val="MeasureTableDataRightAlignedwith2ptsspacing"/>
              <w:keepNext/>
            </w:pPr>
            <w:r>
              <w:t>nfp</w:t>
            </w:r>
          </w:p>
        </w:tc>
        <w:tc>
          <w:tcPr>
            <w:tcW w:w="1043" w:type="dxa"/>
            <w:tcBorders>
              <w:top w:val="single" w:sz="4" w:space="0" w:color="000000"/>
              <w:bottom w:val="single" w:sz="4" w:space="0" w:color="000000"/>
            </w:tcBorders>
          </w:tcPr>
          <w:p w14:paraId="1ECE33D8" w14:textId="15BE67E9" w:rsidR="00B449D0" w:rsidRDefault="00076D78">
            <w:pPr>
              <w:pStyle w:val="MeasureTableDataRightAlignedwith2ptsspacing"/>
              <w:keepNext/>
            </w:pPr>
            <w:r>
              <w:noBreakHyphen/>
            </w:r>
          </w:p>
        </w:tc>
      </w:tr>
      <w:tr w:rsidR="00B449D0" w14:paraId="05C3F081" w14:textId="77777777">
        <w:trPr>
          <w:cantSplit/>
        </w:trPr>
        <w:tc>
          <w:tcPr>
            <w:tcW w:w="2494" w:type="dxa"/>
            <w:tcBorders>
              <w:top w:val="single" w:sz="4" w:space="0" w:color="000000"/>
              <w:bottom w:val="single" w:sz="4" w:space="0" w:color="000000"/>
            </w:tcBorders>
          </w:tcPr>
          <w:p w14:paraId="289134D0" w14:textId="77777777" w:rsidR="00B449D0" w:rsidRDefault="00175344">
            <w:pPr>
              <w:pStyle w:val="MeasureTableHeadingleftalignedwith2ptsspacing"/>
              <w:keepNext/>
            </w:pPr>
            <w:r>
              <w:t>Department of Home Affairs</w:t>
            </w:r>
          </w:p>
        </w:tc>
        <w:tc>
          <w:tcPr>
            <w:tcW w:w="1043" w:type="dxa"/>
            <w:tcBorders>
              <w:top w:val="single" w:sz="4" w:space="0" w:color="000000"/>
              <w:bottom w:val="single" w:sz="4" w:space="0" w:color="000000"/>
            </w:tcBorders>
          </w:tcPr>
          <w:p w14:paraId="65A3E2E1" w14:textId="092549E8"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B43D157" w14:textId="77777777" w:rsidR="00B449D0" w:rsidRDefault="00175344">
            <w:pPr>
              <w:pStyle w:val="MeasureTableDataRightAlignedwith2ptsspacing"/>
              <w:keepNext/>
            </w:pPr>
            <w:r>
              <w:t>nfp</w:t>
            </w:r>
          </w:p>
        </w:tc>
        <w:tc>
          <w:tcPr>
            <w:tcW w:w="1043" w:type="dxa"/>
            <w:tcBorders>
              <w:top w:val="single" w:sz="4" w:space="0" w:color="000000"/>
              <w:bottom w:val="single" w:sz="4" w:space="0" w:color="000000"/>
            </w:tcBorders>
          </w:tcPr>
          <w:p w14:paraId="53C2DD42" w14:textId="77777777" w:rsidR="00B449D0" w:rsidRDefault="00175344">
            <w:pPr>
              <w:pStyle w:val="MeasureTableDataRightAlignedwith2ptsspacing"/>
              <w:keepNext/>
            </w:pPr>
            <w:r>
              <w:t>nfp</w:t>
            </w:r>
          </w:p>
        </w:tc>
        <w:tc>
          <w:tcPr>
            <w:tcW w:w="1043" w:type="dxa"/>
            <w:tcBorders>
              <w:top w:val="single" w:sz="4" w:space="0" w:color="000000"/>
              <w:bottom w:val="single" w:sz="4" w:space="0" w:color="000000"/>
            </w:tcBorders>
          </w:tcPr>
          <w:p w14:paraId="75AF00F8" w14:textId="77777777" w:rsidR="00B449D0" w:rsidRDefault="00175344">
            <w:pPr>
              <w:pStyle w:val="MeasureTableDataRightAlignedwith2ptsspacing"/>
              <w:keepNext/>
            </w:pPr>
            <w:r>
              <w:t>nfp</w:t>
            </w:r>
          </w:p>
        </w:tc>
        <w:tc>
          <w:tcPr>
            <w:tcW w:w="1043" w:type="dxa"/>
            <w:tcBorders>
              <w:top w:val="single" w:sz="4" w:space="0" w:color="000000"/>
              <w:bottom w:val="single" w:sz="4" w:space="0" w:color="000000"/>
            </w:tcBorders>
          </w:tcPr>
          <w:p w14:paraId="55C51BAF" w14:textId="77777777" w:rsidR="00B449D0" w:rsidRDefault="00175344">
            <w:pPr>
              <w:pStyle w:val="MeasureTableDataRightAlignedwith2ptsspacing"/>
              <w:keepNext/>
            </w:pPr>
            <w:r>
              <w:t>nfp</w:t>
            </w:r>
          </w:p>
        </w:tc>
      </w:tr>
      <w:tr w:rsidR="00B449D0" w14:paraId="02ACBD69" w14:textId="77777777">
        <w:trPr>
          <w:cantSplit/>
        </w:trPr>
        <w:tc>
          <w:tcPr>
            <w:tcW w:w="2494" w:type="dxa"/>
            <w:tcBorders>
              <w:top w:val="single" w:sz="4" w:space="0" w:color="000000"/>
              <w:bottom w:val="single" w:sz="4" w:space="0" w:color="000000"/>
            </w:tcBorders>
          </w:tcPr>
          <w:p w14:paraId="48EE35DE"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7595578B" w14:textId="30E1CB4F"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7D4C5DCA" w14:textId="23C5F0CF"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75B6F69B" w14:textId="452D8A41"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071F8BA1" w14:textId="31F8ED78"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603C4194" w14:textId="5E8AF34E" w:rsidR="00B449D0" w:rsidRDefault="00076D78">
            <w:pPr>
              <w:pStyle w:val="Totaldatarowrightaligned"/>
              <w:keepNext/>
            </w:pPr>
            <w:r>
              <w:noBreakHyphen/>
            </w:r>
          </w:p>
        </w:tc>
      </w:tr>
    </w:tbl>
    <w:p w14:paraId="37EB152D" w14:textId="77777777" w:rsidR="00B449D0" w:rsidRDefault="00B449D0" w:rsidP="00380A42">
      <w:pPr>
        <w:pStyle w:val="SingleParagraph0"/>
      </w:pPr>
    </w:p>
    <w:p w14:paraId="50982362" w14:textId="0D5C9323" w:rsidR="00B449D0" w:rsidRDefault="00175344">
      <w:pPr>
        <w:pStyle w:val="Normal2"/>
      </w:pPr>
      <w:r w:rsidRPr="7F762F0D">
        <w:rPr>
          <w:lang w:val="en-US"/>
        </w:rPr>
        <w:t>The Government will provide additional funding over three years from 2024–25 for Australia</w:t>
      </w:r>
      <w:r w:rsidR="00076D78">
        <w:rPr>
          <w:lang w:val="en-US"/>
        </w:rPr>
        <w:t>’</w:t>
      </w:r>
      <w:r w:rsidRPr="7F762F0D">
        <w:rPr>
          <w:lang w:val="en-US"/>
        </w:rPr>
        <w:t>s civil maritime security capabilities, including:</w:t>
      </w:r>
    </w:p>
    <w:p w14:paraId="779254BE" w14:textId="1C400F8C" w:rsidR="00B449D0" w:rsidRDefault="00175344">
      <w:pPr>
        <w:pStyle w:val="Bullet"/>
      </w:pPr>
      <w:r>
        <w:t>$108.8 million over two years from 2024–25 for the Australian Border Force</w:t>
      </w:r>
      <w:r w:rsidR="00076D78">
        <w:t>’</w:t>
      </w:r>
      <w:r>
        <w:t>s on‑water response and aerial surveillance capabilities</w:t>
      </w:r>
    </w:p>
    <w:p w14:paraId="43C9FDAD" w14:textId="6D694FFF" w:rsidR="00B449D0" w:rsidRDefault="00A63E5D">
      <w:pPr>
        <w:pStyle w:val="Bullet"/>
      </w:pPr>
      <w:r>
        <w:t>f</w:t>
      </w:r>
      <w:r w:rsidR="00175344">
        <w:t>unding over three years from 2024–25 to the Department of Home Affairs and the Department of Defence for new Australian Border Force patrol vessels.</w:t>
      </w:r>
    </w:p>
    <w:p w14:paraId="3715AB0B" w14:textId="217FE6CB" w:rsidR="00B449D0" w:rsidRDefault="00175344">
      <w:pPr>
        <w:pStyle w:val="Normal2"/>
      </w:pPr>
      <w:r w:rsidRPr="7F762F0D">
        <w:rPr>
          <w:lang w:val="en-US"/>
        </w:rPr>
        <w:t>The financial implications for some elements of this measure are not for publication (nfp) as disclosure would impair the Commonwealth</w:t>
      </w:r>
      <w:r w:rsidR="00076D78">
        <w:rPr>
          <w:lang w:val="en-US"/>
        </w:rPr>
        <w:t>’</w:t>
      </w:r>
      <w:r w:rsidRPr="7F762F0D">
        <w:rPr>
          <w:lang w:val="en-US"/>
        </w:rPr>
        <w:t>s position in negotiating contracts with industry.</w:t>
      </w:r>
    </w:p>
    <w:p w14:paraId="554F8CA0" w14:textId="77777777" w:rsidR="00B449D0" w:rsidRDefault="00175344">
      <w:pPr>
        <w:pStyle w:val="Normal2"/>
      </w:pPr>
      <w:r>
        <w:t xml:space="preserve">This measure builds on the 2024–25 Budget measure titled </w:t>
      </w:r>
      <w:r w:rsidRPr="00175344">
        <w:rPr>
          <w:i/>
        </w:rPr>
        <w:t>Civil Maritime Critical Security Capabilities</w:t>
      </w:r>
      <w:r>
        <w:t>.</w:t>
      </w:r>
    </w:p>
    <w:p w14:paraId="67D2C8D7" w14:textId="77777777" w:rsidR="00B449D0" w:rsidRDefault="00175344">
      <w:pPr>
        <w:pStyle w:val="MeasureTitle"/>
      </w:pPr>
      <w:r>
        <w:t>Combatting Antisemitism and Islamophobia</w:t>
      </w:r>
    </w:p>
    <w:p w14:paraId="1C6FBD78"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2C5CDBA5" w14:textId="77777777">
        <w:trPr>
          <w:cantSplit/>
        </w:trPr>
        <w:tc>
          <w:tcPr>
            <w:tcW w:w="2494" w:type="dxa"/>
            <w:tcBorders>
              <w:top w:val="single" w:sz="4" w:space="0" w:color="000000"/>
              <w:bottom w:val="single" w:sz="4" w:space="0" w:color="000000"/>
            </w:tcBorders>
          </w:tcPr>
          <w:p w14:paraId="05C46483" w14:textId="77777777" w:rsidR="00B449D0" w:rsidRDefault="00B449D0">
            <w:pPr>
              <w:pStyle w:val="MeasureTableYearHeadings"/>
              <w:keepNext/>
            </w:pPr>
          </w:p>
        </w:tc>
        <w:tc>
          <w:tcPr>
            <w:tcW w:w="1043" w:type="dxa"/>
            <w:tcBorders>
              <w:top w:val="single" w:sz="4" w:space="0" w:color="000000"/>
              <w:bottom w:val="single" w:sz="4" w:space="0" w:color="000000"/>
            </w:tcBorders>
          </w:tcPr>
          <w:p w14:paraId="5A50A6BE" w14:textId="39210D2B"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6319A6DB" w14:textId="44336481"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6A23059C" w14:textId="53F15B0C"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5C9B1AA5" w14:textId="1B2A3DA7"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455A1823" w14:textId="179B93DB" w:rsidR="00B449D0" w:rsidRDefault="00175344">
            <w:pPr>
              <w:pStyle w:val="MeasureTableYearHeadings"/>
              <w:keepNext/>
            </w:pPr>
            <w:r>
              <w:t>2027</w:t>
            </w:r>
            <w:r w:rsidR="00076D78">
              <w:noBreakHyphen/>
            </w:r>
            <w:r>
              <w:t>28</w:t>
            </w:r>
          </w:p>
        </w:tc>
      </w:tr>
      <w:tr w:rsidR="00B449D0" w14:paraId="049502B3" w14:textId="77777777">
        <w:trPr>
          <w:cantSplit/>
        </w:trPr>
        <w:tc>
          <w:tcPr>
            <w:tcW w:w="2494" w:type="dxa"/>
            <w:tcBorders>
              <w:top w:val="single" w:sz="4" w:space="0" w:color="000000"/>
              <w:bottom w:val="single" w:sz="4" w:space="0" w:color="000000"/>
            </w:tcBorders>
          </w:tcPr>
          <w:p w14:paraId="0163161F" w14:textId="77777777" w:rsidR="00B449D0" w:rsidRDefault="00175344">
            <w:pPr>
              <w:pStyle w:val="MeasureTableHeadingleftalignedwith2ptsspacing"/>
              <w:keepNext/>
            </w:pPr>
            <w:r>
              <w:t>Department of Home Affairs</w:t>
            </w:r>
          </w:p>
        </w:tc>
        <w:tc>
          <w:tcPr>
            <w:tcW w:w="1043" w:type="dxa"/>
            <w:tcBorders>
              <w:top w:val="single" w:sz="4" w:space="0" w:color="000000"/>
              <w:bottom w:val="single" w:sz="4" w:space="0" w:color="000000"/>
            </w:tcBorders>
          </w:tcPr>
          <w:p w14:paraId="51545A2F" w14:textId="527533BA"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C149C63" w14:textId="77777777" w:rsidR="00B449D0" w:rsidRDefault="00175344">
            <w:pPr>
              <w:pStyle w:val="MeasureTableDataRightAlignedwith2ptsspacing"/>
              <w:keepNext/>
            </w:pPr>
            <w:r>
              <w:t>1.5</w:t>
            </w:r>
          </w:p>
        </w:tc>
        <w:tc>
          <w:tcPr>
            <w:tcW w:w="1043" w:type="dxa"/>
            <w:tcBorders>
              <w:top w:val="single" w:sz="4" w:space="0" w:color="000000"/>
              <w:bottom w:val="single" w:sz="4" w:space="0" w:color="000000"/>
            </w:tcBorders>
          </w:tcPr>
          <w:p w14:paraId="2DC042B4" w14:textId="77777777" w:rsidR="00B449D0" w:rsidRDefault="00175344">
            <w:pPr>
              <w:pStyle w:val="MeasureTableDataRightAlignedwith2ptsspacing"/>
              <w:keepNext/>
            </w:pPr>
            <w:r>
              <w:t>5.6</w:t>
            </w:r>
          </w:p>
        </w:tc>
        <w:tc>
          <w:tcPr>
            <w:tcW w:w="1043" w:type="dxa"/>
            <w:tcBorders>
              <w:top w:val="single" w:sz="4" w:space="0" w:color="000000"/>
              <w:bottom w:val="single" w:sz="4" w:space="0" w:color="000000"/>
            </w:tcBorders>
          </w:tcPr>
          <w:p w14:paraId="43CBCAD5" w14:textId="77777777" w:rsidR="00B449D0" w:rsidRDefault="00175344">
            <w:pPr>
              <w:pStyle w:val="MeasureTableDataRightAlignedwith2ptsspacing"/>
              <w:keepNext/>
            </w:pPr>
            <w:r>
              <w:t>5.7</w:t>
            </w:r>
          </w:p>
        </w:tc>
        <w:tc>
          <w:tcPr>
            <w:tcW w:w="1043" w:type="dxa"/>
            <w:tcBorders>
              <w:top w:val="single" w:sz="4" w:space="0" w:color="000000"/>
              <w:bottom w:val="single" w:sz="4" w:space="0" w:color="000000"/>
            </w:tcBorders>
          </w:tcPr>
          <w:p w14:paraId="7C31263E" w14:textId="589EF012" w:rsidR="00B449D0" w:rsidRDefault="00076D78">
            <w:pPr>
              <w:pStyle w:val="MeasureTableDataRightAlignedwith2ptsspacing"/>
              <w:keepNext/>
            </w:pPr>
            <w:r>
              <w:noBreakHyphen/>
            </w:r>
          </w:p>
        </w:tc>
      </w:tr>
    </w:tbl>
    <w:p w14:paraId="63954F56" w14:textId="77777777" w:rsidR="00B449D0" w:rsidRDefault="00B449D0" w:rsidP="00380A42">
      <w:pPr>
        <w:pStyle w:val="SingleParagraph0"/>
      </w:pPr>
    </w:p>
    <w:p w14:paraId="72118CED" w14:textId="77777777" w:rsidR="00B449D0" w:rsidRDefault="00175344">
      <w:pPr>
        <w:pStyle w:val="Normal2"/>
      </w:pPr>
      <w:r>
        <w:t>The Government will provide $16.7 million over four years from 2023–24 for a Special Envoy to Combat Antisemitism and a Special Envoy to Combat Islamophobia, including secretariat and communications support for the Special Envoys, to preserve social cohesion and tackle the ongoing impacts of the Hamas‑Israel conflict in Australia.</w:t>
      </w:r>
    </w:p>
    <w:p w14:paraId="26585583" w14:textId="77777777" w:rsidR="00B449D0" w:rsidRDefault="00175344">
      <w:pPr>
        <w:pStyle w:val="Normal2"/>
      </w:pPr>
      <w:r>
        <w:t>The Government has already provided partial funding for this measure.</w:t>
      </w:r>
    </w:p>
    <w:p w14:paraId="25D54E58" w14:textId="77777777" w:rsidR="00B449D0" w:rsidRDefault="00175344" w:rsidP="7F762F0D">
      <w:pPr>
        <w:pStyle w:val="MeasureTitle"/>
        <w:rPr>
          <w:lang w:val="en-US"/>
        </w:rPr>
      </w:pPr>
      <w:r w:rsidRPr="7F762F0D">
        <w:rPr>
          <w:lang w:val="en-US"/>
        </w:rPr>
        <w:t>Department of Home Affairs – reprioritisation</w:t>
      </w:r>
    </w:p>
    <w:p w14:paraId="032B51F3"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421E39E5" w14:textId="77777777">
        <w:trPr>
          <w:cantSplit/>
        </w:trPr>
        <w:tc>
          <w:tcPr>
            <w:tcW w:w="2494" w:type="dxa"/>
            <w:tcBorders>
              <w:top w:val="single" w:sz="4" w:space="0" w:color="000000"/>
              <w:bottom w:val="single" w:sz="4" w:space="0" w:color="000000"/>
            </w:tcBorders>
          </w:tcPr>
          <w:p w14:paraId="2FF391CC" w14:textId="77777777" w:rsidR="00B449D0" w:rsidRDefault="00B449D0">
            <w:pPr>
              <w:pStyle w:val="MeasureTableYearHeadings"/>
              <w:keepNext/>
            </w:pPr>
          </w:p>
        </w:tc>
        <w:tc>
          <w:tcPr>
            <w:tcW w:w="1043" w:type="dxa"/>
            <w:tcBorders>
              <w:top w:val="single" w:sz="4" w:space="0" w:color="000000"/>
              <w:bottom w:val="single" w:sz="4" w:space="0" w:color="000000"/>
            </w:tcBorders>
          </w:tcPr>
          <w:p w14:paraId="2E2D13A2" w14:textId="3C21944A"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1256F423" w14:textId="6A58CEB1"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2CE0A4BA" w14:textId="14D13956"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411C4E62" w14:textId="17549509"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75F7E522" w14:textId="73368CE7" w:rsidR="00B449D0" w:rsidRDefault="00175344">
            <w:pPr>
              <w:pStyle w:val="MeasureTableYearHeadings"/>
              <w:keepNext/>
            </w:pPr>
            <w:r>
              <w:t>2027</w:t>
            </w:r>
            <w:r w:rsidR="00076D78">
              <w:noBreakHyphen/>
            </w:r>
            <w:r>
              <w:t>28</w:t>
            </w:r>
          </w:p>
        </w:tc>
      </w:tr>
      <w:tr w:rsidR="00B449D0" w14:paraId="527C5B6F" w14:textId="77777777">
        <w:trPr>
          <w:cantSplit/>
        </w:trPr>
        <w:tc>
          <w:tcPr>
            <w:tcW w:w="2494" w:type="dxa"/>
            <w:tcBorders>
              <w:top w:val="single" w:sz="4" w:space="0" w:color="000000"/>
              <w:bottom w:val="single" w:sz="4" w:space="0" w:color="000000"/>
            </w:tcBorders>
          </w:tcPr>
          <w:p w14:paraId="1C9FD970" w14:textId="77777777" w:rsidR="00B449D0" w:rsidRDefault="00175344">
            <w:pPr>
              <w:pStyle w:val="MeasureTableHeadingleftalignedwith2ptsspacing"/>
              <w:keepNext/>
            </w:pPr>
            <w:r>
              <w:t>Department of Home Affairs</w:t>
            </w:r>
          </w:p>
        </w:tc>
        <w:tc>
          <w:tcPr>
            <w:tcW w:w="1043" w:type="dxa"/>
            <w:tcBorders>
              <w:top w:val="single" w:sz="4" w:space="0" w:color="000000"/>
              <w:bottom w:val="single" w:sz="4" w:space="0" w:color="000000"/>
            </w:tcBorders>
          </w:tcPr>
          <w:p w14:paraId="3B656FF6" w14:textId="384773F2"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D84F4C7" w14:textId="025B3CC8" w:rsidR="00B449D0" w:rsidRDefault="00076D78">
            <w:pPr>
              <w:pStyle w:val="MeasureTableDataRightAlignedwith2ptsspacing"/>
              <w:keepNext/>
            </w:pPr>
            <w:r>
              <w:noBreakHyphen/>
            </w:r>
            <w:r w:rsidR="00175344">
              <w:t>27.8</w:t>
            </w:r>
          </w:p>
        </w:tc>
        <w:tc>
          <w:tcPr>
            <w:tcW w:w="1043" w:type="dxa"/>
            <w:tcBorders>
              <w:top w:val="single" w:sz="4" w:space="0" w:color="000000"/>
              <w:bottom w:val="single" w:sz="4" w:space="0" w:color="000000"/>
            </w:tcBorders>
          </w:tcPr>
          <w:p w14:paraId="30AF49EA" w14:textId="48B7DA23" w:rsidR="00B449D0" w:rsidRDefault="00076D78">
            <w:pPr>
              <w:pStyle w:val="MeasureTableDataRightAlignedwith2ptsspacing"/>
              <w:keepNext/>
            </w:pPr>
            <w:r>
              <w:noBreakHyphen/>
            </w:r>
            <w:r w:rsidR="00175344">
              <w:t>22.4</w:t>
            </w:r>
          </w:p>
        </w:tc>
        <w:tc>
          <w:tcPr>
            <w:tcW w:w="1043" w:type="dxa"/>
            <w:tcBorders>
              <w:top w:val="single" w:sz="4" w:space="0" w:color="000000"/>
              <w:bottom w:val="single" w:sz="4" w:space="0" w:color="000000"/>
            </w:tcBorders>
          </w:tcPr>
          <w:p w14:paraId="4FB364C2" w14:textId="1AC47F76" w:rsidR="00B449D0" w:rsidRDefault="00076D78">
            <w:pPr>
              <w:pStyle w:val="MeasureTableDataRightAlignedwith2ptsspacing"/>
              <w:keepNext/>
            </w:pPr>
            <w:r>
              <w:noBreakHyphen/>
            </w:r>
            <w:r w:rsidR="00175344">
              <w:t>22.2</w:t>
            </w:r>
          </w:p>
        </w:tc>
        <w:tc>
          <w:tcPr>
            <w:tcW w:w="1043" w:type="dxa"/>
            <w:tcBorders>
              <w:top w:val="single" w:sz="4" w:space="0" w:color="000000"/>
              <w:bottom w:val="single" w:sz="4" w:space="0" w:color="000000"/>
            </w:tcBorders>
          </w:tcPr>
          <w:p w14:paraId="302D3CA5" w14:textId="52F601E2" w:rsidR="00B449D0" w:rsidRDefault="00076D78">
            <w:pPr>
              <w:pStyle w:val="MeasureTableDataRightAlignedwith2ptsspacing"/>
              <w:keepNext/>
            </w:pPr>
            <w:r>
              <w:noBreakHyphen/>
            </w:r>
            <w:r w:rsidR="00175344">
              <w:t>1.5</w:t>
            </w:r>
          </w:p>
        </w:tc>
      </w:tr>
    </w:tbl>
    <w:p w14:paraId="07CC94D5" w14:textId="77777777" w:rsidR="00B449D0" w:rsidRDefault="00B449D0" w:rsidP="00380A42">
      <w:pPr>
        <w:pStyle w:val="SingleParagraph0"/>
      </w:pPr>
    </w:p>
    <w:p w14:paraId="4E766B3F" w14:textId="41615CB1" w:rsidR="00B449D0" w:rsidRDefault="00175344">
      <w:pPr>
        <w:pStyle w:val="Normal2"/>
      </w:pPr>
      <w:r>
        <w:t>The Government will achieve savings of $73.9 million over four years from 2024–25 (and $1.5 million per year ongoing) from the Department of Home Affairs</w:t>
      </w:r>
      <w:r w:rsidR="00FA4F95">
        <w:t>,</w:t>
      </w:r>
      <w:r>
        <w:t xml:space="preserve"> including:</w:t>
      </w:r>
    </w:p>
    <w:p w14:paraId="2FFD2EBF" w14:textId="77777777" w:rsidR="00B449D0" w:rsidRDefault="00175344">
      <w:pPr>
        <w:pStyle w:val="Bullet"/>
      </w:pPr>
      <w:r>
        <w:t xml:space="preserve">$51.0 million over three years from 2024–25 by returning uncommitted capital funding from the 2018–19 Budget measure titled </w:t>
      </w:r>
      <w:r w:rsidRPr="00175344">
        <w:rPr>
          <w:i/>
        </w:rPr>
        <w:t xml:space="preserve">Aviation, Air Cargo and International Mail Security Package </w:t>
      </w:r>
    </w:p>
    <w:p w14:paraId="1EF72D94" w14:textId="77777777" w:rsidR="00B449D0" w:rsidRDefault="00175344">
      <w:pPr>
        <w:pStyle w:val="Bullet"/>
      </w:pPr>
      <w:r>
        <w:lastRenderedPageBreak/>
        <w:t xml:space="preserve">$17.0 million over three years from 2024–25 by streamlining activities within the </w:t>
      </w:r>
      <w:r w:rsidRPr="0022710B">
        <w:rPr>
          <w:i/>
        </w:rPr>
        <w:t>International Capacity Building Program</w:t>
      </w:r>
    </w:p>
    <w:p w14:paraId="0B9C5897" w14:textId="77777777" w:rsidR="00B449D0" w:rsidRDefault="00175344">
      <w:pPr>
        <w:pStyle w:val="Bullet"/>
      </w:pPr>
      <w:r>
        <w:t xml:space="preserve">$5.9 million over four years from 2024–25 (and $1.5 million per year ongoing) by returning uncommitted funding from the 2022–23 October Budget measure titled </w:t>
      </w:r>
      <w:r w:rsidRPr="00175344">
        <w:rPr>
          <w:i/>
        </w:rPr>
        <w:t xml:space="preserve">Pacific Security and Engagement Initiatives. </w:t>
      </w:r>
    </w:p>
    <w:p w14:paraId="07FF59D2" w14:textId="77777777" w:rsidR="00B449D0" w:rsidRDefault="00175344">
      <w:pPr>
        <w:pStyle w:val="Normal2"/>
      </w:pPr>
      <w:r>
        <w:t>The savings from this measure will support other Government policy priorities in the Home Affairs portfolio.</w:t>
      </w:r>
    </w:p>
    <w:p w14:paraId="6A259345" w14:textId="77777777" w:rsidR="00B449D0" w:rsidRDefault="00175344">
      <w:pPr>
        <w:pStyle w:val="MeasureTitle"/>
      </w:pPr>
      <w:r>
        <w:t>Disaster Support</w:t>
      </w:r>
    </w:p>
    <w:p w14:paraId="3E8FB0EF"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560BD7C1" w14:textId="77777777">
        <w:trPr>
          <w:cantSplit/>
        </w:trPr>
        <w:tc>
          <w:tcPr>
            <w:tcW w:w="2494" w:type="dxa"/>
            <w:tcBorders>
              <w:top w:val="single" w:sz="4" w:space="0" w:color="000000"/>
              <w:bottom w:val="single" w:sz="4" w:space="0" w:color="000000"/>
            </w:tcBorders>
          </w:tcPr>
          <w:p w14:paraId="298385C3" w14:textId="77777777" w:rsidR="00B449D0" w:rsidRDefault="00B449D0">
            <w:pPr>
              <w:pStyle w:val="MeasureTableYearHeadings"/>
              <w:keepNext/>
            </w:pPr>
          </w:p>
        </w:tc>
        <w:tc>
          <w:tcPr>
            <w:tcW w:w="1043" w:type="dxa"/>
            <w:tcBorders>
              <w:top w:val="single" w:sz="4" w:space="0" w:color="000000"/>
              <w:bottom w:val="single" w:sz="4" w:space="0" w:color="000000"/>
            </w:tcBorders>
          </w:tcPr>
          <w:p w14:paraId="35AF4183" w14:textId="6E0B92A1"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1F7116DC" w14:textId="59CADF7A"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5086A859" w14:textId="40459A6F"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58F54189" w14:textId="11A6542B"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53E0117D" w14:textId="1F8BAE50" w:rsidR="00B449D0" w:rsidRDefault="00175344">
            <w:pPr>
              <w:pStyle w:val="MeasureTableYearHeadings"/>
              <w:keepNext/>
            </w:pPr>
            <w:r>
              <w:t>2027</w:t>
            </w:r>
            <w:r w:rsidR="00076D78">
              <w:noBreakHyphen/>
            </w:r>
            <w:r>
              <w:t>28</w:t>
            </w:r>
          </w:p>
        </w:tc>
      </w:tr>
      <w:tr w:rsidR="00B449D0" w14:paraId="1229458B" w14:textId="77777777">
        <w:trPr>
          <w:cantSplit/>
        </w:trPr>
        <w:tc>
          <w:tcPr>
            <w:tcW w:w="2494" w:type="dxa"/>
            <w:tcBorders>
              <w:top w:val="single" w:sz="4" w:space="0" w:color="000000"/>
              <w:bottom w:val="single" w:sz="4" w:space="0" w:color="000000"/>
            </w:tcBorders>
          </w:tcPr>
          <w:p w14:paraId="1F60DDCF" w14:textId="77777777" w:rsidR="00B449D0" w:rsidRDefault="00175344">
            <w:pPr>
              <w:pStyle w:val="MeasureTableHeadingleftalignedwith2ptsspacing"/>
              <w:keepNext/>
            </w:pPr>
            <w:r>
              <w:t>National Emergency Management Agency</w:t>
            </w:r>
          </w:p>
        </w:tc>
        <w:tc>
          <w:tcPr>
            <w:tcW w:w="1043" w:type="dxa"/>
            <w:tcBorders>
              <w:top w:val="single" w:sz="4" w:space="0" w:color="000000"/>
              <w:bottom w:val="single" w:sz="4" w:space="0" w:color="000000"/>
            </w:tcBorders>
          </w:tcPr>
          <w:p w14:paraId="622A07BE" w14:textId="54A59EEE"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177F10C" w14:textId="50A5939D"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16717D9" w14:textId="77777777" w:rsidR="00B449D0" w:rsidRDefault="00175344">
            <w:pPr>
              <w:pStyle w:val="MeasureTableDataRightAlignedwith2ptsspacing"/>
              <w:keepNext/>
            </w:pPr>
            <w:r>
              <w:t>3.6</w:t>
            </w:r>
          </w:p>
        </w:tc>
        <w:tc>
          <w:tcPr>
            <w:tcW w:w="1043" w:type="dxa"/>
            <w:tcBorders>
              <w:top w:val="single" w:sz="4" w:space="0" w:color="000000"/>
              <w:bottom w:val="single" w:sz="4" w:space="0" w:color="000000"/>
            </w:tcBorders>
          </w:tcPr>
          <w:p w14:paraId="1B0ACC68" w14:textId="1A9FA8E0"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8507871" w14:textId="7B766AD3" w:rsidR="00B449D0" w:rsidRDefault="00076D78">
            <w:pPr>
              <w:pStyle w:val="MeasureTableDataRightAlignedwith2ptsspacing"/>
              <w:keepNext/>
            </w:pPr>
            <w:r>
              <w:noBreakHyphen/>
            </w:r>
          </w:p>
        </w:tc>
      </w:tr>
    </w:tbl>
    <w:p w14:paraId="545DABB4" w14:textId="77777777" w:rsidR="00B449D0" w:rsidRDefault="00B449D0" w:rsidP="00380A42">
      <w:pPr>
        <w:pStyle w:val="SingleParagraph0"/>
      </w:pPr>
    </w:p>
    <w:p w14:paraId="2890F9CD" w14:textId="77777777" w:rsidR="00B449D0" w:rsidRDefault="00175344">
      <w:pPr>
        <w:pStyle w:val="Normal2"/>
      </w:pPr>
      <w:r>
        <w:t>The Government will provide $3.6 million in 2025–26 to extend targeted mental health support to emergency service workers.</w:t>
      </w:r>
    </w:p>
    <w:p w14:paraId="5CCBE60B" w14:textId="38E303B8" w:rsidR="00B449D0" w:rsidRDefault="00175344">
      <w:pPr>
        <w:pStyle w:val="Normal2"/>
      </w:pPr>
      <w:r w:rsidRPr="7F762F0D">
        <w:rPr>
          <w:lang w:val="en-US"/>
        </w:rPr>
        <w:t>This support is in addition to the assistance provided under the Disaster Recovery Funding Arrangements through which the Australian Government provides funding to states and territories to share the financial burden of responding to natural disasters. The cost of this support is reflected in the estimates for the Disaster Recovery Funding Arrangements under Australia</w:t>
      </w:r>
      <w:r w:rsidR="00076D78">
        <w:rPr>
          <w:lang w:val="en-US"/>
        </w:rPr>
        <w:t>’</w:t>
      </w:r>
      <w:r w:rsidRPr="7F762F0D">
        <w:rPr>
          <w:lang w:val="en-US"/>
        </w:rPr>
        <w:t>s Federal Financial Relations.</w:t>
      </w:r>
    </w:p>
    <w:p w14:paraId="15451328" w14:textId="77777777" w:rsidR="00B449D0" w:rsidRDefault="00175344">
      <w:pPr>
        <w:pStyle w:val="Normal2"/>
      </w:pPr>
      <w:r>
        <w:t xml:space="preserve">This measure builds on the 2024–25 Budget measure titled </w:t>
      </w:r>
      <w:r w:rsidRPr="00175344">
        <w:rPr>
          <w:i/>
        </w:rPr>
        <w:t>Disaster Support.</w:t>
      </w:r>
    </w:p>
    <w:p w14:paraId="15FCB33C" w14:textId="77777777" w:rsidR="00B449D0" w:rsidRDefault="00175344">
      <w:pPr>
        <w:pStyle w:val="MeasureTitle"/>
      </w:pPr>
      <w:r>
        <w:t>Government Response to the Multicultural Framework Review</w:t>
      </w:r>
    </w:p>
    <w:p w14:paraId="1A74C623"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21B4DBED" w14:textId="77777777">
        <w:trPr>
          <w:cantSplit/>
        </w:trPr>
        <w:tc>
          <w:tcPr>
            <w:tcW w:w="2494" w:type="dxa"/>
            <w:tcBorders>
              <w:top w:val="single" w:sz="4" w:space="0" w:color="000000"/>
              <w:bottom w:val="single" w:sz="4" w:space="0" w:color="000000"/>
            </w:tcBorders>
          </w:tcPr>
          <w:p w14:paraId="0CE1EF2E" w14:textId="77777777" w:rsidR="00B449D0" w:rsidRDefault="00B449D0">
            <w:pPr>
              <w:pStyle w:val="MeasureTableYearHeadings"/>
              <w:keepNext/>
            </w:pPr>
          </w:p>
        </w:tc>
        <w:tc>
          <w:tcPr>
            <w:tcW w:w="1043" w:type="dxa"/>
            <w:tcBorders>
              <w:top w:val="single" w:sz="4" w:space="0" w:color="000000"/>
              <w:bottom w:val="single" w:sz="4" w:space="0" w:color="000000"/>
            </w:tcBorders>
          </w:tcPr>
          <w:p w14:paraId="52A16F9B" w14:textId="0AA253DD"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16437A7B" w14:textId="651947D0"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35BE8D1D" w14:textId="085D9719"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6A384F80" w14:textId="3645BE5E"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0D4EC3A9" w14:textId="5089108E" w:rsidR="00B449D0" w:rsidRDefault="00175344">
            <w:pPr>
              <w:pStyle w:val="MeasureTableYearHeadings"/>
              <w:keepNext/>
            </w:pPr>
            <w:r>
              <w:t>2027</w:t>
            </w:r>
            <w:r w:rsidR="00076D78">
              <w:noBreakHyphen/>
            </w:r>
            <w:r>
              <w:t>28</w:t>
            </w:r>
          </w:p>
        </w:tc>
      </w:tr>
      <w:tr w:rsidR="00B449D0" w14:paraId="7526A1C5" w14:textId="77777777">
        <w:trPr>
          <w:cantSplit/>
        </w:trPr>
        <w:tc>
          <w:tcPr>
            <w:tcW w:w="2494" w:type="dxa"/>
            <w:tcBorders>
              <w:top w:val="single" w:sz="4" w:space="0" w:color="000000"/>
              <w:bottom w:val="single" w:sz="4" w:space="0" w:color="000000"/>
            </w:tcBorders>
          </w:tcPr>
          <w:p w14:paraId="3265C90C" w14:textId="77777777" w:rsidR="00B449D0" w:rsidRDefault="00175344">
            <w:pPr>
              <w:pStyle w:val="MeasureTableHeadingleftalignedwith2ptsspacing"/>
              <w:keepNext/>
            </w:pPr>
            <w:r>
              <w:t>Department of Home Affairs</w:t>
            </w:r>
          </w:p>
        </w:tc>
        <w:tc>
          <w:tcPr>
            <w:tcW w:w="1043" w:type="dxa"/>
            <w:tcBorders>
              <w:top w:val="single" w:sz="4" w:space="0" w:color="000000"/>
              <w:bottom w:val="single" w:sz="4" w:space="0" w:color="000000"/>
            </w:tcBorders>
          </w:tcPr>
          <w:p w14:paraId="05DEA2CF" w14:textId="63D3D466"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918A3AF" w14:textId="12D5CA88"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14C4B29" w14:textId="33934002"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6EC54E2" w14:textId="5830F16C"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63815F01" w14:textId="769C226C" w:rsidR="00B449D0" w:rsidRDefault="00076D78">
            <w:pPr>
              <w:pStyle w:val="MeasureTableDataRightAlignedwith2ptsspacing"/>
              <w:keepNext/>
            </w:pPr>
            <w:r>
              <w:noBreakHyphen/>
            </w:r>
          </w:p>
        </w:tc>
      </w:tr>
    </w:tbl>
    <w:p w14:paraId="6618FECC" w14:textId="77777777" w:rsidR="00B449D0" w:rsidRDefault="00B449D0" w:rsidP="00380A42">
      <w:pPr>
        <w:pStyle w:val="SingleParagraph0"/>
      </w:pPr>
    </w:p>
    <w:p w14:paraId="67F3B83E" w14:textId="77777777" w:rsidR="00B449D0" w:rsidRDefault="00175344" w:rsidP="7F762F0D">
      <w:pPr>
        <w:pStyle w:val="Normal2"/>
        <w:rPr>
          <w:lang w:val="en-US"/>
        </w:rPr>
      </w:pPr>
      <w:r w:rsidRPr="7F762F0D">
        <w:rPr>
          <w:lang w:val="en-US"/>
        </w:rPr>
        <w:t xml:space="preserve">The Government will provide $118.2 million over four years from 2024–25 to improve multicultural outcomes across Australia and to support implementation of recommendations from the Multicultural Framework Review report, </w:t>
      </w:r>
      <w:r w:rsidRPr="7F762F0D">
        <w:rPr>
          <w:i/>
          <w:iCs/>
          <w:lang w:val="en-US"/>
        </w:rPr>
        <w:t>Towards Fairness – a multicultural Australia for all</w:t>
      </w:r>
      <w:r w:rsidRPr="7F762F0D">
        <w:rPr>
          <w:lang w:val="en-US"/>
        </w:rPr>
        <w:t>. The response will be implemented through a number of new programs.</w:t>
      </w:r>
    </w:p>
    <w:p w14:paraId="0BEFFE17" w14:textId="77777777" w:rsidR="00B449D0" w:rsidRDefault="00175344">
      <w:pPr>
        <w:pStyle w:val="Normal2"/>
      </w:pPr>
      <w:r w:rsidRPr="7F762F0D">
        <w:rPr>
          <w:lang w:val="en-US"/>
        </w:rPr>
        <w:t xml:space="preserve">The </w:t>
      </w:r>
      <w:r w:rsidRPr="7F762F0D">
        <w:rPr>
          <w:i/>
          <w:iCs/>
          <w:lang w:val="en-US"/>
        </w:rPr>
        <w:t>Modernised Multicultural Grants</w:t>
      </w:r>
      <w:r w:rsidRPr="0022710B">
        <w:rPr>
          <w:i/>
          <w:lang w:val="en-US"/>
        </w:rPr>
        <w:t xml:space="preserve"> Program</w:t>
      </w:r>
      <w:r w:rsidRPr="7F762F0D">
        <w:rPr>
          <w:lang w:val="en-US"/>
        </w:rPr>
        <w:t xml:space="preserve"> will contain four streams. Funding includes:</w:t>
      </w:r>
    </w:p>
    <w:p w14:paraId="10F36A7C" w14:textId="77777777" w:rsidR="00B449D0" w:rsidRDefault="00175344">
      <w:pPr>
        <w:pStyle w:val="Bullet"/>
      </w:pPr>
      <w:r>
        <w:t>$70.0 million over three years from 2025–26 for an infrastructure grants program for multicultural organisations</w:t>
      </w:r>
    </w:p>
    <w:p w14:paraId="6548DE60" w14:textId="77777777" w:rsidR="00B449D0" w:rsidRDefault="00175344">
      <w:pPr>
        <w:pStyle w:val="Bullet"/>
      </w:pPr>
      <w:r>
        <w:t>$9.8 million over four years from 2024–25 to support grassroots multicultural organisations deliver local initiatives</w:t>
      </w:r>
    </w:p>
    <w:p w14:paraId="37880615" w14:textId="77777777" w:rsidR="00B449D0" w:rsidRDefault="00175344">
      <w:pPr>
        <w:pStyle w:val="Bullet"/>
      </w:pPr>
      <w:r>
        <w:t>$4.0 million over four years from 2024–25 to support peak multicultural bodies to improve social cohesion</w:t>
      </w:r>
    </w:p>
    <w:p w14:paraId="785E1B1B" w14:textId="77777777" w:rsidR="00B449D0" w:rsidRDefault="00175344">
      <w:pPr>
        <w:pStyle w:val="Bullet"/>
      </w:pPr>
      <w:r>
        <w:lastRenderedPageBreak/>
        <w:t>$2.0 million over three years from 2025–26 for organisations to develop and deliver non‑religious training courses for faith leaders and for those with pastoral roles in faith organisations.</w:t>
      </w:r>
    </w:p>
    <w:p w14:paraId="4D42E5F3" w14:textId="77777777" w:rsidR="00B449D0" w:rsidRDefault="00175344">
      <w:pPr>
        <w:pStyle w:val="Normal2"/>
      </w:pPr>
      <w:r>
        <w:t>The Government will also provide funding for the Department of Home Affairs to strengthen community engagement and improve access to government services for multicultural communities, including:</w:t>
      </w:r>
    </w:p>
    <w:p w14:paraId="1A7C80F5" w14:textId="77777777" w:rsidR="00B449D0" w:rsidRDefault="00175344">
      <w:pPr>
        <w:pStyle w:val="Bullet"/>
      </w:pPr>
      <w:r>
        <w:t>$14.2 million over four years from 2024–25 to support implementation of the response to the report, including grant program delivery</w:t>
      </w:r>
    </w:p>
    <w:p w14:paraId="356BFD23" w14:textId="77777777" w:rsidR="00B449D0" w:rsidRDefault="00175344">
      <w:pPr>
        <w:pStyle w:val="Bullet"/>
      </w:pPr>
      <w:r>
        <w:t>$9.4 million over four years from 2024–25 to extend and expand the Community Liaison Officer Network and increase in‑person outreach among multicultural communities in regional Australia</w:t>
      </w:r>
    </w:p>
    <w:p w14:paraId="0ADB0228" w14:textId="77777777" w:rsidR="00B449D0" w:rsidRDefault="00175344">
      <w:pPr>
        <w:pStyle w:val="Bullet"/>
      </w:pPr>
      <w:r>
        <w:t>$7.0 million in 2024–25 for a translation capability within the Translating and Interpreting Service and an on‑demand web translation capability</w:t>
      </w:r>
    </w:p>
    <w:p w14:paraId="0EEE753A" w14:textId="77777777" w:rsidR="00B449D0" w:rsidRDefault="00175344">
      <w:pPr>
        <w:pStyle w:val="Bullet"/>
      </w:pPr>
      <w:r>
        <w:t>$1.8 million over four years from 2024–25 (and $0.5 million per year ongoing) to produce an annual Mapping Multicultural Report in partnership with the Scanlon Foundation Research Institute.</w:t>
      </w:r>
    </w:p>
    <w:p w14:paraId="6D13EA7D" w14:textId="77777777" w:rsidR="00B449D0" w:rsidRDefault="00175344">
      <w:pPr>
        <w:pStyle w:val="Normal2"/>
      </w:pPr>
      <w:r>
        <w:t>The Government has already provided funding for this measure.</w:t>
      </w:r>
    </w:p>
    <w:p w14:paraId="3017B4FF" w14:textId="77777777" w:rsidR="00B449D0" w:rsidRDefault="00175344">
      <w:pPr>
        <w:pStyle w:val="Normal2"/>
      </w:pPr>
      <w:r>
        <w:t>The cost of this measure will be partially met from savings from removing visa subclass 500 (student) eligibility to access the free Translating and Interpreting Service.</w:t>
      </w:r>
    </w:p>
    <w:p w14:paraId="18877095" w14:textId="77777777" w:rsidR="00B449D0" w:rsidRDefault="00175344">
      <w:pPr>
        <w:pStyle w:val="MeasureTitle"/>
      </w:pPr>
      <w:r>
        <w:t>Infrastructure Funding for The Greek Orthodox Archdiocese of Australia</w:t>
      </w:r>
    </w:p>
    <w:p w14:paraId="1EF6C4B8"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77102788" w14:textId="77777777">
        <w:trPr>
          <w:cantSplit/>
        </w:trPr>
        <w:tc>
          <w:tcPr>
            <w:tcW w:w="2494" w:type="dxa"/>
            <w:tcBorders>
              <w:top w:val="single" w:sz="4" w:space="0" w:color="000000"/>
              <w:bottom w:val="single" w:sz="4" w:space="0" w:color="000000"/>
            </w:tcBorders>
          </w:tcPr>
          <w:p w14:paraId="7BE59058" w14:textId="77777777" w:rsidR="00B449D0" w:rsidRDefault="00B449D0">
            <w:pPr>
              <w:pStyle w:val="MeasureTableYearHeadings"/>
              <w:keepNext/>
            </w:pPr>
          </w:p>
        </w:tc>
        <w:tc>
          <w:tcPr>
            <w:tcW w:w="1043" w:type="dxa"/>
            <w:tcBorders>
              <w:top w:val="single" w:sz="4" w:space="0" w:color="000000"/>
              <w:bottom w:val="single" w:sz="4" w:space="0" w:color="000000"/>
            </w:tcBorders>
          </w:tcPr>
          <w:p w14:paraId="30DF8771" w14:textId="095A6DCA"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0A5BBD1D" w14:textId="4B3FF1FF"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7C72CAD0" w14:textId="27D17E27"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5ADB8020" w14:textId="242AD467"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31CF417D" w14:textId="56D37499" w:rsidR="00B449D0" w:rsidRDefault="00175344">
            <w:pPr>
              <w:pStyle w:val="MeasureTableYearHeadings"/>
              <w:keepNext/>
            </w:pPr>
            <w:r>
              <w:t>2027</w:t>
            </w:r>
            <w:r w:rsidR="00076D78">
              <w:noBreakHyphen/>
            </w:r>
            <w:r>
              <w:t>28</w:t>
            </w:r>
          </w:p>
        </w:tc>
      </w:tr>
      <w:tr w:rsidR="00B449D0" w14:paraId="5F0917C7" w14:textId="77777777">
        <w:trPr>
          <w:cantSplit/>
        </w:trPr>
        <w:tc>
          <w:tcPr>
            <w:tcW w:w="2494" w:type="dxa"/>
            <w:tcBorders>
              <w:top w:val="single" w:sz="4" w:space="0" w:color="000000"/>
              <w:bottom w:val="single" w:sz="4" w:space="0" w:color="000000"/>
            </w:tcBorders>
          </w:tcPr>
          <w:p w14:paraId="41C9856A" w14:textId="77777777" w:rsidR="00B449D0" w:rsidRDefault="00175344">
            <w:pPr>
              <w:pStyle w:val="MeasureTableHeadingleftalignedwith2ptsspacing"/>
              <w:keepNext/>
            </w:pPr>
            <w:r>
              <w:t>Department of the Treasury</w:t>
            </w:r>
          </w:p>
        </w:tc>
        <w:tc>
          <w:tcPr>
            <w:tcW w:w="1043" w:type="dxa"/>
            <w:tcBorders>
              <w:top w:val="single" w:sz="4" w:space="0" w:color="000000"/>
              <w:bottom w:val="single" w:sz="4" w:space="0" w:color="000000"/>
            </w:tcBorders>
          </w:tcPr>
          <w:p w14:paraId="6B101AD5" w14:textId="1AE8E491"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63E249B9" w14:textId="77777777" w:rsidR="00B449D0" w:rsidRDefault="00175344">
            <w:pPr>
              <w:pStyle w:val="MeasureTableDataRightAlignedwith2ptsspacing"/>
              <w:keepNext/>
            </w:pPr>
            <w:r>
              <w:t>6.3</w:t>
            </w:r>
          </w:p>
        </w:tc>
        <w:tc>
          <w:tcPr>
            <w:tcW w:w="1043" w:type="dxa"/>
            <w:tcBorders>
              <w:top w:val="single" w:sz="4" w:space="0" w:color="000000"/>
              <w:bottom w:val="single" w:sz="4" w:space="0" w:color="000000"/>
            </w:tcBorders>
          </w:tcPr>
          <w:p w14:paraId="7B333138" w14:textId="77777777" w:rsidR="00B449D0" w:rsidRDefault="00175344">
            <w:pPr>
              <w:pStyle w:val="MeasureTableDataRightAlignedwith2ptsspacing"/>
              <w:keepNext/>
            </w:pPr>
            <w:r>
              <w:t>16.3</w:t>
            </w:r>
          </w:p>
        </w:tc>
        <w:tc>
          <w:tcPr>
            <w:tcW w:w="1043" w:type="dxa"/>
            <w:tcBorders>
              <w:top w:val="single" w:sz="4" w:space="0" w:color="000000"/>
              <w:bottom w:val="single" w:sz="4" w:space="0" w:color="000000"/>
            </w:tcBorders>
          </w:tcPr>
          <w:p w14:paraId="75F42A93" w14:textId="77777777" w:rsidR="00B449D0" w:rsidRDefault="00175344">
            <w:pPr>
              <w:pStyle w:val="MeasureTableDataRightAlignedwith2ptsspacing"/>
              <w:keepNext/>
            </w:pPr>
            <w:r>
              <w:t>2.5</w:t>
            </w:r>
          </w:p>
        </w:tc>
        <w:tc>
          <w:tcPr>
            <w:tcW w:w="1043" w:type="dxa"/>
            <w:tcBorders>
              <w:top w:val="single" w:sz="4" w:space="0" w:color="000000"/>
              <w:bottom w:val="single" w:sz="4" w:space="0" w:color="000000"/>
            </w:tcBorders>
          </w:tcPr>
          <w:p w14:paraId="331245B6" w14:textId="3F42ED69" w:rsidR="00B449D0" w:rsidRDefault="00076D78">
            <w:pPr>
              <w:pStyle w:val="MeasureTableDataRightAlignedwith2ptsspacing"/>
              <w:keepNext/>
            </w:pPr>
            <w:r>
              <w:noBreakHyphen/>
            </w:r>
          </w:p>
        </w:tc>
      </w:tr>
    </w:tbl>
    <w:p w14:paraId="7AE22420" w14:textId="77777777" w:rsidR="00B449D0" w:rsidRDefault="00B449D0" w:rsidP="00380A42">
      <w:pPr>
        <w:pStyle w:val="SingleParagraph0"/>
      </w:pPr>
    </w:p>
    <w:p w14:paraId="5090E2F9" w14:textId="77D17393" w:rsidR="00B449D0" w:rsidRDefault="00175344">
      <w:pPr>
        <w:pStyle w:val="Normal2"/>
        <w:rPr>
          <w:lang w:val="en-US"/>
        </w:rPr>
      </w:pPr>
      <w:r w:rsidRPr="7F762F0D">
        <w:rPr>
          <w:lang w:val="en-US"/>
        </w:rPr>
        <w:t>The Government will provide $25.0 million over three years from 2024–25 for infrastructure works at the Greek Orthodox Archdiocesan site in Redfern, New South Wales, including restoration of the historical Cathedral church, upgrades to St Andrew</w:t>
      </w:r>
      <w:r w:rsidR="00076D78">
        <w:rPr>
          <w:lang w:val="en-US"/>
        </w:rPr>
        <w:t>’</w:t>
      </w:r>
      <w:r w:rsidRPr="7F762F0D">
        <w:rPr>
          <w:lang w:val="en-US"/>
        </w:rPr>
        <w:t>s Theological College, and building a new great hall, library and museum.</w:t>
      </w:r>
    </w:p>
    <w:p w14:paraId="605B285B" w14:textId="44E773F6" w:rsidR="007852FC" w:rsidRDefault="007852FC">
      <w:pPr>
        <w:pStyle w:val="Normal2"/>
      </w:pPr>
      <w:r>
        <w:t>The Treasury manages Commonwealth payments to the states and territories.</w:t>
      </w:r>
    </w:p>
    <w:p w14:paraId="35469ED2" w14:textId="77777777" w:rsidR="003C6FFA" w:rsidRDefault="003C6FFA">
      <w:pPr>
        <w:autoSpaceDE/>
        <w:autoSpaceDN/>
        <w:adjustRightInd/>
        <w:rPr>
          <w:rFonts w:cs="Times New Roman"/>
          <w:b/>
          <w:color w:val="000000"/>
          <w:lang w:val="en-AU"/>
        </w:rPr>
      </w:pPr>
      <w:r>
        <w:br w:type="page"/>
      </w:r>
    </w:p>
    <w:p w14:paraId="61605454" w14:textId="2B4C9D98" w:rsidR="00B449D0" w:rsidRDefault="00175344">
      <w:pPr>
        <w:pStyle w:val="MeasureTitle"/>
      </w:pPr>
      <w:r>
        <w:lastRenderedPageBreak/>
        <w:t>Longer‑term Funding for the Sustainability of Operations</w:t>
      </w:r>
    </w:p>
    <w:p w14:paraId="47900D9B"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428E7F91" w14:textId="77777777">
        <w:trPr>
          <w:cantSplit/>
        </w:trPr>
        <w:tc>
          <w:tcPr>
            <w:tcW w:w="2494" w:type="dxa"/>
            <w:tcBorders>
              <w:top w:val="single" w:sz="4" w:space="0" w:color="000000"/>
              <w:bottom w:val="single" w:sz="4" w:space="0" w:color="000000"/>
            </w:tcBorders>
          </w:tcPr>
          <w:p w14:paraId="7C66CD25" w14:textId="77777777" w:rsidR="00B449D0" w:rsidRDefault="00B449D0">
            <w:pPr>
              <w:pStyle w:val="MeasureTableYearHeadings"/>
              <w:keepNext/>
            </w:pPr>
          </w:p>
        </w:tc>
        <w:tc>
          <w:tcPr>
            <w:tcW w:w="1043" w:type="dxa"/>
            <w:tcBorders>
              <w:top w:val="single" w:sz="4" w:space="0" w:color="000000"/>
              <w:bottom w:val="single" w:sz="4" w:space="0" w:color="000000"/>
            </w:tcBorders>
          </w:tcPr>
          <w:p w14:paraId="0ED8FC7B" w14:textId="19DBCF5C"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355AADDC" w14:textId="6B118008"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72CCAD15" w14:textId="0490A760"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3118E881" w14:textId="71F1186D"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239C69AB" w14:textId="2B86ADE1" w:rsidR="00B449D0" w:rsidRDefault="00175344">
            <w:pPr>
              <w:pStyle w:val="MeasureTableYearHeadings"/>
              <w:keepNext/>
            </w:pPr>
            <w:r>
              <w:t>2027</w:t>
            </w:r>
            <w:r w:rsidR="00076D78">
              <w:noBreakHyphen/>
            </w:r>
            <w:r>
              <w:t>28</w:t>
            </w:r>
          </w:p>
        </w:tc>
      </w:tr>
      <w:tr w:rsidR="00B449D0" w14:paraId="664AC98B" w14:textId="77777777">
        <w:trPr>
          <w:cantSplit/>
        </w:trPr>
        <w:tc>
          <w:tcPr>
            <w:tcW w:w="2494" w:type="dxa"/>
            <w:tcBorders>
              <w:top w:val="single" w:sz="4" w:space="0" w:color="000000"/>
              <w:bottom w:val="single" w:sz="4" w:space="0" w:color="000000"/>
            </w:tcBorders>
          </w:tcPr>
          <w:p w14:paraId="6FC0AB39" w14:textId="77777777" w:rsidR="00B449D0" w:rsidRDefault="00175344">
            <w:pPr>
              <w:pStyle w:val="MeasureTableHeadingleftalignedwith2ptsspacing"/>
              <w:keepNext/>
            </w:pPr>
            <w:r>
              <w:t>Department of Home Affairs</w:t>
            </w:r>
          </w:p>
        </w:tc>
        <w:tc>
          <w:tcPr>
            <w:tcW w:w="1043" w:type="dxa"/>
            <w:tcBorders>
              <w:top w:val="single" w:sz="4" w:space="0" w:color="000000"/>
              <w:bottom w:val="single" w:sz="4" w:space="0" w:color="000000"/>
            </w:tcBorders>
          </w:tcPr>
          <w:p w14:paraId="4D75A9D5" w14:textId="117DA7C7"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6014199" w14:textId="63C0968E"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693E4FAA" w14:textId="731D819A"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68318BB" w14:textId="3A5C5E43"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E588DF5" w14:textId="7B9BD5BD" w:rsidR="00B449D0" w:rsidRDefault="00076D78">
            <w:pPr>
              <w:pStyle w:val="MeasureTableDataRightAlignedwith2ptsspacing"/>
              <w:keepNext/>
            </w:pPr>
            <w:r>
              <w:noBreakHyphen/>
            </w:r>
          </w:p>
        </w:tc>
      </w:tr>
    </w:tbl>
    <w:p w14:paraId="5E22B5A8" w14:textId="77777777" w:rsidR="00B449D0" w:rsidRDefault="00B449D0" w:rsidP="00380A42">
      <w:pPr>
        <w:pStyle w:val="SingleParagraph0"/>
      </w:pPr>
    </w:p>
    <w:p w14:paraId="749FD7E7" w14:textId="5EC9E63A" w:rsidR="00B449D0" w:rsidRDefault="00175344">
      <w:pPr>
        <w:pStyle w:val="Normal2"/>
      </w:pPr>
      <w:r>
        <w:t>The Government will provide $308.5 million over three years from 2025–26 (and $104.1 million per year ongoing) to the Department of Home Affairs to support the performance of core functions including Australian Border Force operations, immigration compliance activities, and sustainment of critical systems supporting those operations and</w:t>
      </w:r>
      <w:r w:rsidR="007A6F10">
        <w:t> </w:t>
      </w:r>
      <w:r>
        <w:t>services.</w:t>
      </w:r>
    </w:p>
    <w:p w14:paraId="332AAC02" w14:textId="77777777" w:rsidR="00B449D0" w:rsidRDefault="00175344">
      <w:pPr>
        <w:pStyle w:val="Normal2"/>
      </w:pPr>
      <w:r>
        <w:t>The Government has already provided funding for this measure.</w:t>
      </w:r>
    </w:p>
    <w:p w14:paraId="0715A292" w14:textId="77777777" w:rsidR="00B449D0" w:rsidRDefault="00175344">
      <w:pPr>
        <w:pStyle w:val="Normal2"/>
      </w:pPr>
      <w:r>
        <w:t xml:space="preserve">This measure builds on the 2024–25 Budget measure titled </w:t>
      </w:r>
      <w:r w:rsidRPr="00175344">
        <w:rPr>
          <w:i/>
        </w:rPr>
        <w:t xml:space="preserve">Department of Home Affairs –supplementation. </w:t>
      </w:r>
    </w:p>
    <w:p w14:paraId="640A6659" w14:textId="77777777" w:rsidR="00B449D0" w:rsidRDefault="00175344">
      <w:pPr>
        <w:pStyle w:val="MeasureTitle"/>
      </w:pPr>
      <w:r>
        <w:t>United States Global Entry Program</w:t>
      </w:r>
    </w:p>
    <w:p w14:paraId="7E053DB8"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2E2FCD7A" w14:textId="77777777">
        <w:trPr>
          <w:cantSplit/>
        </w:trPr>
        <w:tc>
          <w:tcPr>
            <w:tcW w:w="2494" w:type="dxa"/>
            <w:tcBorders>
              <w:top w:val="single" w:sz="4" w:space="0" w:color="000000"/>
              <w:bottom w:val="single" w:sz="4" w:space="0" w:color="000000"/>
            </w:tcBorders>
          </w:tcPr>
          <w:p w14:paraId="2A1DB06F" w14:textId="77777777" w:rsidR="00B449D0" w:rsidRDefault="00B449D0">
            <w:pPr>
              <w:pStyle w:val="MeasureTableYearHeadings"/>
              <w:keepNext/>
            </w:pPr>
          </w:p>
        </w:tc>
        <w:tc>
          <w:tcPr>
            <w:tcW w:w="1043" w:type="dxa"/>
            <w:tcBorders>
              <w:top w:val="single" w:sz="4" w:space="0" w:color="000000"/>
              <w:bottom w:val="single" w:sz="4" w:space="0" w:color="000000"/>
            </w:tcBorders>
          </w:tcPr>
          <w:p w14:paraId="50065E13" w14:textId="1C5D409F"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1F53F13F" w14:textId="45A7A99C"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725AB867" w14:textId="67FD8E5F"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1D61424E" w14:textId="45A0CD87"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3739599E" w14:textId="34F5C693" w:rsidR="00B449D0" w:rsidRDefault="00175344">
            <w:pPr>
              <w:pStyle w:val="MeasureTableYearHeadings"/>
              <w:keepNext/>
            </w:pPr>
            <w:r>
              <w:t>2027</w:t>
            </w:r>
            <w:r w:rsidR="00076D78">
              <w:noBreakHyphen/>
            </w:r>
            <w:r>
              <w:t>28</w:t>
            </w:r>
          </w:p>
        </w:tc>
      </w:tr>
      <w:tr w:rsidR="00B449D0" w14:paraId="65D0D356" w14:textId="77777777">
        <w:trPr>
          <w:cantSplit/>
        </w:trPr>
        <w:tc>
          <w:tcPr>
            <w:tcW w:w="2494" w:type="dxa"/>
            <w:tcBorders>
              <w:top w:val="single" w:sz="4" w:space="0" w:color="000000"/>
              <w:bottom w:val="single" w:sz="4" w:space="0" w:color="000000"/>
            </w:tcBorders>
          </w:tcPr>
          <w:p w14:paraId="7AEA9B4E" w14:textId="77777777" w:rsidR="00B449D0" w:rsidRDefault="00175344">
            <w:pPr>
              <w:pStyle w:val="MeasureTableHeadingleftalignedwith2ptsspacing"/>
              <w:keepNext/>
            </w:pPr>
            <w:r>
              <w:t>Department of Home Affairs</w:t>
            </w:r>
          </w:p>
        </w:tc>
        <w:tc>
          <w:tcPr>
            <w:tcW w:w="1043" w:type="dxa"/>
            <w:tcBorders>
              <w:top w:val="single" w:sz="4" w:space="0" w:color="000000"/>
              <w:bottom w:val="single" w:sz="4" w:space="0" w:color="000000"/>
            </w:tcBorders>
          </w:tcPr>
          <w:p w14:paraId="15550550" w14:textId="673CE476"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9B978D8" w14:textId="1CFCB8A5"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B5DEBCE" w14:textId="243C0AA4"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D2C290F" w14:textId="3E05601C"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622FFB84" w14:textId="4210A169" w:rsidR="00B449D0" w:rsidRDefault="00076D78">
            <w:pPr>
              <w:pStyle w:val="MeasureTableDataRightAlignedwith2ptsspacing"/>
              <w:keepNext/>
            </w:pPr>
            <w:r>
              <w:noBreakHyphen/>
            </w:r>
          </w:p>
        </w:tc>
      </w:tr>
    </w:tbl>
    <w:p w14:paraId="17488906" w14:textId="77777777" w:rsidR="00B449D0" w:rsidRDefault="00B449D0" w:rsidP="00380A42">
      <w:pPr>
        <w:pStyle w:val="SingleParagraph0"/>
      </w:pPr>
    </w:p>
    <w:p w14:paraId="54BD6B8B" w14:textId="17E5C672" w:rsidR="00B449D0" w:rsidRDefault="00175344">
      <w:pPr>
        <w:pStyle w:val="Normal2"/>
      </w:pPr>
      <w:r w:rsidRPr="7F762F0D">
        <w:rPr>
          <w:lang w:val="en-US"/>
        </w:rPr>
        <w:t>The Government will provide $0.9 million in 2024–25 (including $0.7 million in capital funding) for Australia</w:t>
      </w:r>
      <w:r w:rsidR="00076D78">
        <w:rPr>
          <w:lang w:val="en-US"/>
        </w:rPr>
        <w:t>’</w:t>
      </w:r>
      <w:r w:rsidRPr="7F762F0D">
        <w:rPr>
          <w:lang w:val="en-US"/>
        </w:rPr>
        <w:t>s participation in the United States</w:t>
      </w:r>
      <w:r w:rsidR="00076D78">
        <w:rPr>
          <w:lang w:val="en-US"/>
        </w:rPr>
        <w:t>’</w:t>
      </w:r>
      <w:r w:rsidRPr="7F762F0D">
        <w:rPr>
          <w:lang w:val="en-US"/>
        </w:rPr>
        <w:t xml:space="preserve"> Global Entry Program to provide expedited clearance for pre‑approved, low‑risk Australian travellers entering the United</w:t>
      </w:r>
      <w:r w:rsidR="007C2B0A">
        <w:rPr>
          <w:lang w:val="en-US"/>
        </w:rPr>
        <w:t> </w:t>
      </w:r>
      <w:r w:rsidRPr="7F762F0D">
        <w:rPr>
          <w:lang w:val="en-US"/>
        </w:rPr>
        <w:t>States for a period of five years.</w:t>
      </w:r>
    </w:p>
    <w:p w14:paraId="01D38E77" w14:textId="77777777" w:rsidR="00B449D0" w:rsidRDefault="00175344">
      <w:pPr>
        <w:pStyle w:val="Normal2"/>
      </w:pPr>
      <w:r w:rsidRPr="7F762F0D">
        <w:rPr>
          <w:lang w:val="en-US"/>
        </w:rPr>
        <w:t>The cost of this measure will be met from within the existing resourcing of the Department of Home Affairs.</w:t>
      </w:r>
    </w:p>
    <w:p w14:paraId="6367FA87" w14:textId="77777777" w:rsidR="00B449D0" w:rsidRDefault="00B449D0">
      <w:pPr>
        <w:sectPr w:rsidR="00B449D0" w:rsidSect="00301E48">
          <w:headerReference w:type="even" r:id="rId102"/>
          <w:headerReference w:type="default" r:id="rId103"/>
          <w:footerReference w:type="even" r:id="rId104"/>
          <w:footerReference w:type="default" r:id="rId105"/>
          <w:headerReference w:type="first" r:id="rId106"/>
          <w:footerReference w:type="first" r:id="rId107"/>
          <w:pgSz w:w="11906" w:h="16838"/>
          <w:pgMar w:top="2835" w:right="2098" w:bottom="2466" w:left="2098" w:header="1814" w:footer="1814" w:gutter="0"/>
          <w:cols w:space="720"/>
          <w:docGrid w:linePitch="272"/>
        </w:sectPr>
      </w:pPr>
    </w:p>
    <w:p w14:paraId="2702EFF3" w14:textId="77777777" w:rsidR="00B449D0" w:rsidRDefault="00175344">
      <w:pPr>
        <w:pStyle w:val="PortfolioName"/>
      </w:pPr>
      <w:r>
        <w:lastRenderedPageBreak/>
        <w:t>Industry, Science and Resources</w:t>
      </w:r>
    </w:p>
    <w:p w14:paraId="36BC0E20" w14:textId="77777777" w:rsidR="00B449D0" w:rsidRDefault="00175344">
      <w:pPr>
        <w:pStyle w:val="MeasureTitle"/>
      </w:pPr>
      <w:r>
        <w:t>Science and Resources Technology Uplift</w:t>
      </w:r>
    </w:p>
    <w:p w14:paraId="6776BB16"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4DB8E68D" w14:textId="77777777">
        <w:trPr>
          <w:cantSplit/>
        </w:trPr>
        <w:tc>
          <w:tcPr>
            <w:tcW w:w="2494" w:type="dxa"/>
            <w:tcBorders>
              <w:top w:val="single" w:sz="4" w:space="0" w:color="000000"/>
              <w:bottom w:val="single" w:sz="4" w:space="0" w:color="000000"/>
            </w:tcBorders>
          </w:tcPr>
          <w:p w14:paraId="50F4368C" w14:textId="77777777" w:rsidR="00B449D0" w:rsidRDefault="00B449D0">
            <w:pPr>
              <w:pStyle w:val="MeasureTableYearHeadings"/>
              <w:keepNext/>
            </w:pPr>
          </w:p>
        </w:tc>
        <w:tc>
          <w:tcPr>
            <w:tcW w:w="1043" w:type="dxa"/>
            <w:tcBorders>
              <w:top w:val="single" w:sz="4" w:space="0" w:color="000000"/>
              <w:bottom w:val="single" w:sz="4" w:space="0" w:color="000000"/>
            </w:tcBorders>
          </w:tcPr>
          <w:p w14:paraId="43DD86DB" w14:textId="74E67E83"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248B4BEA" w14:textId="43D3A987"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0EEC0702" w14:textId="7B4AC2D5"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0FD597A5" w14:textId="5EADE00E"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10274619" w14:textId="7DEA8EB2" w:rsidR="00B449D0" w:rsidRDefault="00175344">
            <w:pPr>
              <w:pStyle w:val="MeasureTableYearHeadings"/>
              <w:keepNext/>
            </w:pPr>
            <w:r>
              <w:t>2027</w:t>
            </w:r>
            <w:r w:rsidR="00076D78">
              <w:noBreakHyphen/>
            </w:r>
            <w:r>
              <w:t>28</w:t>
            </w:r>
          </w:p>
        </w:tc>
      </w:tr>
      <w:tr w:rsidR="00B449D0" w14:paraId="6ACCC3FB" w14:textId="77777777">
        <w:trPr>
          <w:cantSplit/>
        </w:trPr>
        <w:tc>
          <w:tcPr>
            <w:tcW w:w="2494" w:type="dxa"/>
            <w:tcBorders>
              <w:top w:val="single" w:sz="4" w:space="0" w:color="000000"/>
              <w:bottom w:val="single" w:sz="4" w:space="0" w:color="000000"/>
            </w:tcBorders>
          </w:tcPr>
          <w:p w14:paraId="49719546" w14:textId="77777777" w:rsidR="00B449D0" w:rsidRDefault="00175344">
            <w:pPr>
              <w:pStyle w:val="MeasureTableHeadingleftalignedwith2ptsspacing"/>
              <w:keepNext/>
            </w:pPr>
            <w:r>
              <w:t>Department of Industry, Science and Resources</w:t>
            </w:r>
          </w:p>
        </w:tc>
        <w:tc>
          <w:tcPr>
            <w:tcW w:w="1043" w:type="dxa"/>
            <w:tcBorders>
              <w:top w:val="single" w:sz="4" w:space="0" w:color="000000"/>
              <w:bottom w:val="single" w:sz="4" w:space="0" w:color="000000"/>
            </w:tcBorders>
          </w:tcPr>
          <w:p w14:paraId="25788768" w14:textId="55055D11"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BEF669E" w14:textId="77777777" w:rsidR="00B449D0" w:rsidRDefault="00175344">
            <w:pPr>
              <w:pStyle w:val="MeasureTableDataRightAlignedwith2ptsspacing"/>
              <w:keepNext/>
            </w:pPr>
            <w:r>
              <w:t>0.5</w:t>
            </w:r>
          </w:p>
        </w:tc>
        <w:tc>
          <w:tcPr>
            <w:tcW w:w="1043" w:type="dxa"/>
            <w:tcBorders>
              <w:top w:val="single" w:sz="4" w:space="0" w:color="000000"/>
              <w:bottom w:val="single" w:sz="4" w:space="0" w:color="000000"/>
            </w:tcBorders>
          </w:tcPr>
          <w:p w14:paraId="4A4079F7" w14:textId="56AAAFF4"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693C5E9" w14:textId="77777777" w:rsidR="00B449D0" w:rsidRDefault="00175344">
            <w:pPr>
              <w:pStyle w:val="MeasureTableDataRightAlignedwith2ptsspacing"/>
              <w:keepNext/>
            </w:pPr>
            <w:r>
              <w:t>0.5</w:t>
            </w:r>
          </w:p>
        </w:tc>
        <w:tc>
          <w:tcPr>
            <w:tcW w:w="1043" w:type="dxa"/>
            <w:tcBorders>
              <w:top w:val="single" w:sz="4" w:space="0" w:color="000000"/>
              <w:bottom w:val="single" w:sz="4" w:space="0" w:color="000000"/>
            </w:tcBorders>
          </w:tcPr>
          <w:p w14:paraId="0E1C3292" w14:textId="75B11F10" w:rsidR="00B449D0" w:rsidRDefault="00076D78">
            <w:pPr>
              <w:pStyle w:val="MeasureTableDataRightAlignedwith2ptsspacing"/>
              <w:keepNext/>
            </w:pPr>
            <w:r>
              <w:noBreakHyphen/>
            </w:r>
          </w:p>
        </w:tc>
      </w:tr>
    </w:tbl>
    <w:p w14:paraId="4C87762F" w14:textId="77777777" w:rsidR="00B449D0" w:rsidRDefault="00B449D0" w:rsidP="00380A42">
      <w:pPr>
        <w:pStyle w:val="SingleParagraph0"/>
      </w:pPr>
    </w:p>
    <w:p w14:paraId="03CDC89D" w14:textId="77777777" w:rsidR="00B449D0" w:rsidRDefault="00175344">
      <w:pPr>
        <w:pStyle w:val="Normal2"/>
      </w:pPr>
      <w:r>
        <w:t>The Government will provide $1.5 million over four years from 2024–25 to promote opportunities from technological improvements in the Science and Resources sectors, including:</w:t>
      </w:r>
    </w:p>
    <w:p w14:paraId="0895D2DB" w14:textId="77777777" w:rsidR="00B449D0" w:rsidRDefault="00175344">
      <w:pPr>
        <w:pStyle w:val="Bullet"/>
      </w:pPr>
      <w:r>
        <w:t>$1.0 million over three years from 2024–25 to sponsor the 2025 and 2027 Resources Technology Showcases in Perth, to support the public demonstration of the latest technological advances and future job possibilities in the mining, resources, defence and space industries in Western Australia</w:t>
      </w:r>
    </w:p>
    <w:p w14:paraId="76C6C84A" w14:textId="77777777" w:rsidR="00B449D0" w:rsidRDefault="00175344">
      <w:pPr>
        <w:pStyle w:val="Bullet"/>
      </w:pPr>
      <w:r>
        <w:t>$0.5 million over four years from 2024–25 to establish and remunerate members of an Artificial Intelligence (AI) Advisory Body to provide independent advice to government on the opportunities and risks of AI.</w:t>
      </w:r>
    </w:p>
    <w:p w14:paraId="42FEA995" w14:textId="77777777" w:rsidR="00B449D0" w:rsidRDefault="00175344">
      <w:pPr>
        <w:pStyle w:val="Normal2"/>
      </w:pPr>
      <w:r w:rsidRPr="7F762F0D">
        <w:rPr>
          <w:lang w:val="en-US"/>
        </w:rPr>
        <w:t>The cost of this measure will be met from savings and reprioritisations identified in the Industry, Science, and Resources portfolio.</w:t>
      </w:r>
    </w:p>
    <w:p w14:paraId="3EBC85C8" w14:textId="0D2CC52D" w:rsidR="00B449D0" w:rsidRDefault="00175344">
      <w:pPr>
        <w:pStyle w:val="Normal2"/>
      </w:pPr>
      <w:r>
        <w:t xml:space="preserve">This measure builds on the 2024–25 Budget measure titled </w:t>
      </w:r>
      <w:r w:rsidRPr="00175344">
        <w:rPr>
          <w:i/>
        </w:rPr>
        <w:t>Supporting Safe and Responsible</w:t>
      </w:r>
      <w:r w:rsidR="009E1D59">
        <w:rPr>
          <w:i/>
        </w:rPr>
        <w:t> </w:t>
      </w:r>
      <w:r w:rsidRPr="00175344">
        <w:rPr>
          <w:i/>
        </w:rPr>
        <w:t>AI</w:t>
      </w:r>
      <w:r>
        <w:t>.</w:t>
      </w:r>
    </w:p>
    <w:p w14:paraId="61651C86" w14:textId="77777777" w:rsidR="00B449D0" w:rsidRDefault="00175344">
      <w:pPr>
        <w:pStyle w:val="MeasureTitle"/>
      </w:pPr>
      <w:r>
        <w:t>Supporting Safety and Remediation in the Resources Sector</w:t>
      </w:r>
    </w:p>
    <w:p w14:paraId="7F043CD5"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6300C418" w14:textId="77777777">
        <w:trPr>
          <w:cantSplit/>
        </w:trPr>
        <w:tc>
          <w:tcPr>
            <w:tcW w:w="2494" w:type="dxa"/>
            <w:tcBorders>
              <w:top w:val="single" w:sz="4" w:space="0" w:color="000000"/>
              <w:bottom w:val="single" w:sz="4" w:space="0" w:color="000000"/>
            </w:tcBorders>
          </w:tcPr>
          <w:p w14:paraId="609EB6C1" w14:textId="77777777" w:rsidR="00B449D0" w:rsidRDefault="00B449D0">
            <w:pPr>
              <w:pStyle w:val="MeasureTableYearHeadings"/>
              <w:keepNext/>
            </w:pPr>
          </w:p>
        </w:tc>
        <w:tc>
          <w:tcPr>
            <w:tcW w:w="1043" w:type="dxa"/>
            <w:tcBorders>
              <w:top w:val="single" w:sz="4" w:space="0" w:color="000000"/>
              <w:bottom w:val="single" w:sz="4" w:space="0" w:color="000000"/>
            </w:tcBorders>
          </w:tcPr>
          <w:p w14:paraId="43D60239" w14:textId="04F49942"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04202512" w14:textId="6AF5245F"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603AC747" w14:textId="5166E9C6"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49FBE148" w14:textId="0793920E"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5EFE75F9" w14:textId="77FBC6C1" w:rsidR="00B449D0" w:rsidRDefault="00175344">
            <w:pPr>
              <w:pStyle w:val="MeasureTableYearHeadings"/>
              <w:keepNext/>
            </w:pPr>
            <w:r>
              <w:t>2027</w:t>
            </w:r>
            <w:r w:rsidR="00076D78">
              <w:noBreakHyphen/>
            </w:r>
            <w:r>
              <w:t>28</w:t>
            </w:r>
          </w:p>
        </w:tc>
      </w:tr>
      <w:tr w:rsidR="00B449D0" w14:paraId="10715422" w14:textId="77777777">
        <w:trPr>
          <w:cantSplit/>
        </w:trPr>
        <w:tc>
          <w:tcPr>
            <w:tcW w:w="2494" w:type="dxa"/>
            <w:tcBorders>
              <w:top w:val="single" w:sz="4" w:space="0" w:color="000000"/>
              <w:bottom w:val="single" w:sz="4" w:space="0" w:color="000000"/>
            </w:tcBorders>
          </w:tcPr>
          <w:p w14:paraId="2F6FC97A" w14:textId="77777777" w:rsidR="00B449D0" w:rsidRDefault="00175344">
            <w:pPr>
              <w:pStyle w:val="MeasureTableHeadingleftalignedwith2ptsspacing"/>
              <w:keepNext/>
            </w:pPr>
            <w:r>
              <w:t>Department of Finance</w:t>
            </w:r>
          </w:p>
        </w:tc>
        <w:tc>
          <w:tcPr>
            <w:tcW w:w="1043" w:type="dxa"/>
            <w:tcBorders>
              <w:top w:val="single" w:sz="4" w:space="0" w:color="000000"/>
              <w:bottom w:val="single" w:sz="4" w:space="0" w:color="000000"/>
            </w:tcBorders>
          </w:tcPr>
          <w:p w14:paraId="6E91115A" w14:textId="008EBA51"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E53A733" w14:textId="38BFD311"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A4232F4" w14:textId="77777777" w:rsidR="00B449D0" w:rsidRDefault="00175344">
            <w:pPr>
              <w:pStyle w:val="MeasureTableDataRightAlignedwith2ptsspacing"/>
              <w:keepNext/>
            </w:pPr>
            <w:r>
              <w:t>nfp</w:t>
            </w:r>
          </w:p>
        </w:tc>
        <w:tc>
          <w:tcPr>
            <w:tcW w:w="1043" w:type="dxa"/>
            <w:tcBorders>
              <w:top w:val="single" w:sz="4" w:space="0" w:color="000000"/>
              <w:bottom w:val="single" w:sz="4" w:space="0" w:color="000000"/>
            </w:tcBorders>
          </w:tcPr>
          <w:p w14:paraId="58A9BC44" w14:textId="77777777" w:rsidR="00B449D0" w:rsidRDefault="00175344">
            <w:pPr>
              <w:pStyle w:val="MeasureTableDataRightAlignedwith2ptsspacing"/>
              <w:keepNext/>
            </w:pPr>
            <w:r>
              <w:t>nfp</w:t>
            </w:r>
          </w:p>
        </w:tc>
        <w:tc>
          <w:tcPr>
            <w:tcW w:w="1043" w:type="dxa"/>
            <w:tcBorders>
              <w:top w:val="single" w:sz="4" w:space="0" w:color="000000"/>
              <w:bottom w:val="single" w:sz="4" w:space="0" w:color="000000"/>
            </w:tcBorders>
          </w:tcPr>
          <w:p w14:paraId="02A85FD6" w14:textId="77777777" w:rsidR="00B449D0" w:rsidRDefault="00175344">
            <w:pPr>
              <w:pStyle w:val="MeasureTableDataRightAlignedwith2ptsspacing"/>
              <w:keepNext/>
            </w:pPr>
            <w:r>
              <w:t>nfp</w:t>
            </w:r>
          </w:p>
        </w:tc>
      </w:tr>
      <w:tr w:rsidR="00B449D0" w14:paraId="2DE3050E" w14:textId="77777777">
        <w:trPr>
          <w:cantSplit/>
        </w:trPr>
        <w:tc>
          <w:tcPr>
            <w:tcW w:w="2494" w:type="dxa"/>
            <w:tcBorders>
              <w:top w:val="single" w:sz="4" w:space="0" w:color="000000"/>
              <w:bottom w:val="single" w:sz="4" w:space="0" w:color="000000"/>
            </w:tcBorders>
          </w:tcPr>
          <w:p w14:paraId="66B56974" w14:textId="77777777" w:rsidR="00B449D0" w:rsidRDefault="00175344">
            <w:pPr>
              <w:pStyle w:val="MeasureTableHeadingleftalignedwith2ptsspacing"/>
              <w:keepNext/>
            </w:pPr>
            <w:r>
              <w:t>Department of the Treasury</w:t>
            </w:r>
          </w:p>
        </w:tc>
        <w:tc>
          <w:tcPr>
            <w:tcW w:w="1043" w:type="dxa"/>
            <w:tcBorders>
              <w:top w:val="single" w:sz="4" w:space="0" w:color="000000"/>
              <w:bottom w:val="single" w:sz="4" w:space="0" w:color="000000"/>
            </w:tcBorders>
          </w:tcPr>
          <w:p w14:paraId="589B7476" w14:textId="507B432A"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ECFAD3B" w14:textId="77777777" w:rsidR="00B449D0" w:rsidRDefault="00175344">
            <w:pPr>
              <w:pStyle w:val="MeasureTableDataRightAlignedwith2ptsspacing"/>
              <w:keepNext/>
            </w:pPr>
            <w:r>
              <w:t>nfp</w:t>
            </w:r>
          </w:p>
        </w:tc>
        <w:tc>
          <w:tcPr>
            <w:tcW w:w="1043" w:type="dxa"/>
            <w:tcBorders>
              <w:top w:val="single" w:sz="4" w:space="0" w:color="000000"/>
              <w:bottom w:val="single" w:sz="4" w:space="0" w:color="000000"/>
            </w:tcBorders>
          </w:tcPr>
          <w:p w14:paraId="60358C85" w14:textId="77777777" w:rsidR="00B449D0" w:rsidRDefault="00175344">
            <w:pPr>
              <w:pStyle w:val="MeasureTableDataRightAlignedwith2ptsspacing"/>
              <w:keepNext/>
            </w:pPr>
            <w:r>
              <w:t>nfp</w:t>
            </w:r>
          </w:p>
        </w:tc>
        <w:tc>
          <w:tcPr>
            <w:tcW w:w="1043" w:type="dxa"/>
            <w:tcBorders>
              <w:top w:val="single" w:sz="4" w:space="0" w:color="000000"/>
              <w:bottom w:val="single" w:sz="4" w:space="0" w:color="000000"/>
            </w:tcBorders>
          </w:tcPr>
          <w:p w14:paraId="015CAD3A" w14:textId="77777777" w:rsidR="00B449D0" w:rsidRDefault="00175344">
            <w:pPr>
              <w:pStyle w:val="MeasureTableDataRightAlignedwith2ptsspacing"/>
              <w:keepNext/>
            </w:pPr>
            <w:r>
              <w:t>nfp</w:t>
            </w:r>
          </w:p>
        </w:tc>
        <w:tc>
          <w:tcPr>
            <w:tcW w:w="1043" w:type="dxa"/>
            <w:tcBorders>
              <w:top w:val="single" w:sz="4" w:space="0" w:color="000000"/>
              <w:bottom w:val="single" w:sz="4" w:space="0" w:color="000000"/>
            </w:tcBorders>
          </w:tcPr>
          <w:p w14:paraId="5B6E348E" w14:textId="77777777" w:rsidR="00B449D0" w:rsidRDefault="00175344">
            <w:pPr>
              <w:pStyle w:val="MeasureTableDataRightAlignedwith2ptsspacing"/>
              <w:keepNext/>
            </w:pPr>
            <w:r>
              <w:t>nfp</w:t>
            </w:r>
          </w:p>
        </w:tc>
      </w:tr>
      <w:tr w:rsidR="00B449D0" w14:paraId="79C1E0EF" w14:textId="77777777">
        <w:trPr>
          <w:cantSplit/>
        </w:trPr>
        <w:tc>
          <w:tcPr>
            <w:tcW w:w="2494" w:type="dxa"/>
            <w:tcBorders>
              <w:top w:val="single" w:sz="4" w:space="0" w:color="000000"/>
              <w:bottom w:val="single" w:sz="4" w:space="0" w:color="000000"/>
            </w:tcBorders>
          </w:tcPr>
          <w:p w14:paraId="7945A461" w14:textId="77777777" w:rsidR="00B449D0" w:rsidRDefault="00175344">
            <w:pPr>
              <w:pStyle w:val="MeasureTableHeadingleftalignedwith2ptsspacing"/>
              <w:keepNext/>
            </w:pPr>
            <w:r>
              <w:t>Department of Industry, Science and Resources</w:t>
            </w:r>
          </w:p>
        </w:tc>
        <w:tc>
          <w:tcPr>
            <w:tcW w:w="1043" w:type="dxa"/>
            <w:tcBorders>
              <w:top w:val="single" w:sz="4" w:space="0" w:color="000000"/>
              <w:bottom w:val="single" w:sz="4" w:space="0" w:color="000000"/>
            </w:tcBorders>
          </w:tcPr>
          <w:p w14:paraId="7FC00336" w14:textId="756E6C03"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4483711" w14:textId="77777777" w:rsidR="00B449D0" w:rsidRDefault="00175344">
            <w:pPr>
              <w:pStyle w:val="MeasureTableDataRightAlignedwith2ptsspacing"/>
              <w:keepNext/>
            </w:pPr>
            <w:r>
              <w:t>nfp</w:t>
            </w:r>
          </w:p>
        </w:tc>
        <w:tc>
          <w:tcPr>
            <w:tcW w:w="1043" w:type="dxa"/>
            <w:tcBorders>
              <w:top w:val="single" w:sz="4" w:space="0" w:color="000000"/>
              <w:bottom w:val="single" w:sz="4" w:space="0" w:color="000000"/>
            </w:tcBorders>
          </w:tcPr>
          <w:p w14:paraId="617531CF" w14:textId="77777777" w:rsidR="00B449D0" w:rsidRDefault="00175344">
            <w:pPr>
              <w:pStyle w:val="MeasureTableDataRightAlignedwith2ptsspacing"/>
              <w:keepNext/>
            </w:pPr>
            <w:r>
              <w:t>nfp</w:t>
            </w:r>
          </w:p>
        </w:tc>
        <w:tc>
          <w:tcPr>
            <w:tcW w:w="1043" w:type="dxa"/>
            <w:tcBorders>
              <w:top w:val="single" w:sz="4" w:space="0" w:color="000000"/>
              <w:bottom w:val="single" w:sz="4" w:space="0" w:color="000000"/>
            </w:tcBorders>
          </w:tcPr>
          <w:p w14:paraId="6804B999" w14:textId="77777777" w:rsidR="00B449D0" w:rsidRDefault="00175344">
            <w:pPr>
              <w:pStyle w:val="MeasureTableDataRightAlignedwith2ptsspacing"/>
              <w:keepNext/>
            </w:pPr>
            <w:r>
              <w:t>nfp</w:t>
            </w:r>
          </w:p>
        </w:tc>
        <w:tc>
          <w:tcPr>
            <w:tcW w:w="1043" w:type="dxa"/>
            <w:tcBorders>
              <w:top w:val="single" w:sz="4" w:space="0" w:color="000000"/>
              <w:bottom w:val="single" w:sz="4" w:space="0" w:color="000000"/>
            </w:tcBorders>
          </w:tcPr>
          <w:p w14:paraId="185115E6" w14:textId="77777777" w:rsidR="00B449D0" w:rsidRDefault="00175344">
            <w:pPr>
              <w:pStyle w:val="MeasureTableDataRightAlignedwith2ptsspacing"/>
              <w:keepNext/>
            </w:pPr>
            <w:r>
              <w:t>nfp</w:t>
            </w:r>
          </w:p>
        </w:tc>
      </w:tr>
      <w:tr w:rsidR="00B449D0" w14:paraId="074DDA42" w14:textId="77777777">
        <w:trPr>
          <w:cantSplit/>
        </w:trPr>
        <w:tc>
          <w:tcPr>
            <w:tcW w:w="2494" w:type="dxa"/>
            <w:tcBorders>
              <w:top w:val="single" w:sz="4" w:space="0" w:color="000000"/>
              <w:bottom w:val="single" w:sz="4" w:space="0" w:color="000000"/>
            </w:tcBorders>
          </w:tcPr>
          <w:p w14:paraId="1DDF1C80"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13550EBA" w14:textId="398D383D"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4122C033" w14:textId="6DEEC714"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6D343B11" w14:textId="5EEC14D8"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07CAF384" w14:textId="70D2DEE6"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0FECB7A4" w14:textId="6D6E62E0" w:rsidR="00B449D0" w:rsidRDefault="00076D78">
            <w:pPr>
              <w:pStyle w:val="Totaldatarowrightaligned"/>
              <w:keepNext/>
            </w:pPr>
            <w:r>
              <w:noBreakHyphen/>
            </w:r>
          </w:p>
        </w:tc>
      </w:tr>
    </w:tbl>
    <w:p w14:paraId="50BADAFC" w14:textId="77777777" w:rsidR="00B449D0" w:rsidRDefault="00B449D0" w:rsidP="00380A42">
      <w:pPr>
        <w:pStyle w:val="SingleParagraph0"/>
      </w:pPr>
    </w:p>
    <w:p w14:paraId="2B6FDA8D" w14:textId="77777777" w:rsidR="00B449D0" w:rsidRDefault="00175344">
      <w:pPr>
        <w:pStyle w:val="Normal2"/>
      </w:pPr>
      <w:r w:rsidRPr="7F762F0D">
        <w:rPr>
          <w:lang w:val="en-US"/>
        </w:rPr>
        <w:t>The Government will provide funding to support environmental and rehabilitation objectives in the resources sector, including:</w:t>
      </w:r>
    </w:p>
    <w:p w14:paraId="7D20275D" w14:textId="77777777" w:rsidR="00B449D0" w:rsidRDefault="00175344">
      <w:pPr>
        <w:pStyle w:val="Bullet"/>
      </w:pPr>
      <w:r>
        <w:t>funding for the decommissioning of the Northern Endeavour floating oil production storage and offtake facility. Costs will be fully recovered through the Laminaria and Corallina Decommissioning Cost Recovery Levy</w:t>
      </w:r>
    </w:p>
    <w:p w14:paraId="55931A50" w14:textId="77777777" w:rsidR="00B449D0" w:rsidRDefault="00175344">
      <w:pPr>
        <w:pStyle w:val="Bullet"/>
      </w:pPr>
      <w:r>
        <w:t>funding to progress rehabilitation works at the former Rum Jungle mine site in the Northern Territory by prioritising rehabilitation in areas which require urgent treatment.</w:t>
      </w:r>
    </w:p>
    <w:p w14:paraId="07654EE6" w14:textId="77777777" w:rsidR="00B449D0" w:rsidRDefault="00175344">
      <w:pPr>
        <w:pStyle w:val="Normal2"/>
      </w:pPr>
      <w:r w:rsidRPr="7F762F0D">
        <w:rPr>
          <w:lang w:val="en-US"/>
        </w:rPr>
        <w:lastRenderedPageBreak/>
        <w:t>The financial implications of this measure are not for publication (nfp) due to commercial sensitivities.</w:t>
      </w:r>
    </w:p>
    <w:p w14:paraId="54908D3E" w14:textId="77777777" w:rsidR="00B449D0" w:rsidRDefault="00175344">
      <w:pPr>
        <w:pStyle w:val="Normal2"/>
      </w:pPr>
      <w:r>
        <w:t>The Government has already provided funding for this measure.</w:t>
      </w:r>
    </w:p>
    <w:p w14:paraId="48876C7F" w14:textId="77777777" w:rsidR="00B449D0" w:rsidRDefault="00175344">
      <w:pPr>
        <w:pStyle w:val="Normal2"/>
      </w:pPr>
      <w:r>
        <w:t xml:space="preserve">This measure builds on the 2024–25 Budget measure titled </w:t>
      </w:r>
      <w:r w:rsidRPr="00175344">
        <w:rPr>
          <w:i/>
        </w:rPr>
        <w:t>Supporting Safety and Responsible Decommissioning in the Offshore Resources Sector.</w:t>
      </w:r>
    </w:p>
    <w:p w14:paraId="2BEC1F9B" w14:textId="77777777" w:rsidR="00B449D0" w:rsidRDefault="00B449D0">
      <w:pPr>
        <w:sectPr w:rsidR="00B449D0" w:rsidSect="00301E48">
          <w:headerReference w:type="even" r:id="rId108"/>
          <w:headerReference w:type="default" r:id="rId109"/>
          <w:footerReference w:type="even" r:id="rId110"/>
          <w:footerReference w:type="default" r:id="rId111"/>
          <w:headerReference w:type="first" r:id="rId112"/>
          <w:footerReference w:type="first" r:id="rId113"/>
          <w:pgSz w:w="11906" w:h="16838"/>
          <w:pgMar w:top="2835" w:right="2098" w:bottom="2466" w:left="2098" w:header="1814" w:footer="1814" w:gutter="0"/>
          <w:cols w:space="720"/>
          <w:docGrid w:linePitch="272"/>
        </w:sectPr>
      </w:pPr>
    </w:p>
    <w:p w14:paraId="1C854CCF" w14:textId="77777777" w:rsidR="00B449D0" w:rsidRDefault="00175344">
      <w:pPr>
        <w:pStyle w:val="PortfolioName"/>
      </w:pPr>
      <w:r w:rsidRPr="7F762F0D">
        <w:rPr>
          <w:lang w:val="en-US"/>
        </w:rPr>
        <w:lastRenderedPageBreak/>
        <w:t>Infrastructure, Transport, Regional Development, Communications and the Arts</w:t>
      </w:r>
    </w:p>
    <w:p w14:paraId="40E07053" w14:textId="05044F70" w:rsidR="00B449D0" w:rsidRDefault="00175344">
      <w:pPr>
        <w:pStyle w:val="MeasureTitle"/>
      </w:pPr>
      <w:r>
        <w:t>Building Australia</w:t>
      </w:r>
      <w:r w:rsidR="00076D78">
        <w:t>’</w:t>
      </w:r>
      <w:r>
        <w:t>s Future – Building a Better Future Through Considered Infrastructure Investment</w:t>
      </w:r>
    </w:p>
    <w:p w14:paraId="7D41F2CB"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146ABE71" w14:textId="77777777">
        <w:trPr>
          <w:cantSplit/>
        </w:trPr>
        <w:tc>
          <w:tcPr>
            <w:tcW w:w="2494" w:type="dxa"/>
            <w:tcBorders>
              <w:top w:val="single" w:sz="4" w:space="0" w:color="000000"/>
              <w:bottom w:val="single" w:sz="4" w:space="0" w:color="000000"/>
            </w:tcBorders>
          </w:tcPr>
          <w:p w14:paraId="660C635C" w14:textId="77777777" w:rsidR="00B449D0" w:rsidRDefault="00B449D0">
            <w:pPr>
              <w:pStyle w:val="MeasureTableYearHeadings"/>
              <w:keepNext/>
            </w:pPr>
          </w:p>
        </w:tc>
        <w:tc>
          <w:tcPr>
            <w:tcW w:w="1043" w:type="dxa"/>
            <w:tcBorders>
              <w:top w:val="single" w:sz="4" w:space="0" w:color="000000"/>
              <w:bottom w:val="single" w:sz="4" w:space="0" w:color="000000"/>
            </w:tcBorders>
          </w:tcPr>
          <w:p w14:paraId="044CA5F4" w14:textId="6A28DAA6"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0B8739D7" w14:textId="3E368D46"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5DC2A96C" w14:textId="38F3F510"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0FEA768B" w14:textId="4EAA588B"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30D271F6" w14:textId="235D0B61" w:rsidR="00B449D0" w:rsidRDefault="00175344">
            <w:pPr>
              <w:pStyle w:val="MeasureTableYearHeadings"/>
              <w:keepNext/>
            </w:pPr>
            <w:r>
              <w:t>2027</w:t>
            </w:r>
            <w:r w:rsidR="00076D78">
              <w:noBreakHyphen/>
            </w:r>
            <w:r>
              <w:t>28</w:t>
            </w:r>
          </w:p>
        </w:tc>
      </w:tr>
      <w:tr w:rsidR="00B449D0" w14:paraId="0053EDE2" w14:textId="77777777">
        <w:trPr>
          <w:cantSplit/>
        </w:trPr>
        <w:tc>
          <w:tcPr>
            <w:tcW w:w="2494" w:type="dxa"/>
            <w:tcBorders>
              <w:top w:val="single" w:sz="4" w:space="0" w:color="000000"/>
              <w:bottom w:val="single" w:sz="4" w:space="0" w:color="000000"/>
            </w:tcBorders>
          </w:tcPr>
          <w:p w14:paraId="5E18A0E2" w14:textId="77777777" w:rsidR="00B449D0" w:rsidRDefault="00175344">
            <w:pPr>
              <w:pStyle w:val="MeasureTableHeadingleftalignedwith2ptsspacing"/>
              <w:keepNext/>
            </w:pPr>
            <w:r>
              <w:t>Department of the Treasury</w:t>
            </w:r>
          </w:p>
        </w:tc>
        <w:tc>
          <w:tcPr>
            <w:tcW w:w="1043" w:type="dxa"/>
            <w:tcBorders>
              <w:top w:val="single" w:sz="4" w:space="0" w:color="000000"/>
              <w:bottom w:val="single" w:sz="4" w:space="0" w:color="000000"/>
            </w:tcBorders>
          </w:tcPr>
          <w:p w14:paraId="71E0E1E7" w14:textId="2A9D1C15"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B475905" w14:textId="77777777" w:rsidR="00B449D0" w:rsidRDefault="00175344">
            <w:pPr>
              <w:pStyle w:val="MeasureTableDataRightAlignedwith2ptsspacing"/>
              <w:keepNext/>
            </w:pPr>
            <w:r>
              <w:t>375.0</w:t>
            </w:r>
          </w:p>
        </w:tc>
        <w:tc>
          <w:tcPr>
            <w:tcW w:w="1043" w:type="dxa"/>
            <w:tcBorders>
              <w:top w:val="single" w:sz="4" w:space="0" w:color="000000"/>
              <w:bottom w:val="single" w:sz="4" w:space="0" w:color="000000"/>
            </w:tcBorders>
          </w:tcPr>
          <w:p w14:paraId="5B2F09A1" w14:textId="77777777" w:rsidR="00B449D0" w:rsidRDefault="00175344">
            <w:pPr>
              <w:pStyle w:val="MeasureTableDataRightAlignedwith2ptsspacing"/>
              <w:keepNext/>
            </w:pPr>
            <w:r>
              <w:t>160.1</w:t>
            </w:r>
          </w:p>
        </w:tc>
        <w:tc>
          <w:tcPr>
            <w:tcW w:w="1043" w:type="dxa"/>
            <w:tcBorders>
              <w:top w:val="single" w:sz="4" w:space="0" w:color="000000"/>
              <w:bottom w:val="single" w:sz="4" w:space="0" w:color="000000"/>
            </w:tcBorders>
          </w:tcPr>
          <w:p w14:paraId="36914626" w14:textId="77777777" w:rsidR="00B449D0" w:rsidRDefault="00175344">
            <w:pPr>
              <w:pStyle w:val="MeasureTableDataRightAlignedwith2ptsspacing"/>
              <w:keepNext/>
            </w:pPr>
            <w:r>
              <w:t>155.9</w:t>
            </w:r>
          </w:p>
        </w:tc>
        <w:tc>
          <w:tcPr>
            <w:tcW w:w="1043" w:type="dxa"/>
            <w:tcBorders>
              <w:top w:val="single" w:sz="4" w:space="0" w:color="000000"/>
              <w:bottom w:val="single" w:sz="4" w:space="0" w:color="000000"/>
            </w:tcBorders>
          </w:tcPr>
          <w:p w14:paraId="7E3CDF6A" w14:textId="77777777" w:rsidR="00B449D0" w:rsidRDefault="00175344">
            <w:pPr>
              <w:pStyle w:val="MeasureTableDataRightAlignedwith2ptsspacing"/>
              <w:keepNext/>
            </w:pPr>
            <w:r>
              <w:t>35.4</w:t>
            </w:r>
          </w:p>
        </w:tc>
      </w:tr>
      <w:tr w:rsidR="00B449D0" w14:paraId="374FA701" w14:textId="77777777">
        <w:trPr>
          <w:cantSplit/>
        </w:trPr>
        <w:tc>
          <w:tcPr>
            <w:tcW w:w="2494" w:type="dxa"/>
            <w:tcBorders>
              <w:top w:val="single" w:sz="4" w:space="0" w:color="000000"/>
              <w:bottom w:val="single" w:sz="4" w:space="0" w:color="000000"/>
            </w:tcBorders>
          </w:tcPr>
          <w:p w14:paraId="2ED99AB2" w14:textId="77777777" w:rsidR="00B449D0" w:rsidRDefault="00175344">
            <w:pPr>
              <w:pStyle w:val="MeasureTableHeadingleftalignedwith2ptsspacing"/>
              <w:keepNext/>
            </w:pPr>
            <w:r>
              <w:t>Department of Infrastructure, Transport, Regional Development, Communications and the Arts</w:t>
            </w:r>
          </w:p>
        </w:tc>
        <w:tc>
          <w:tcPr>
            <w:tcW w:w="1043" w:type="dxa"/>
            <w:tcBorders>
              <w:top w:val="single" w:sz="4" w:space="0" w:color="000000"/>
              <w:bottom w:val="single" w:sz="4" w:space="0" w:color="000000"/>
            </w:tcBorders>
          </w:tcPr>
          <w:p w14:paraId="6D105CDB" w14:textId="25B5B8F1"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7C71CA5" w14:textId="4A4C2113"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CA2ACC0" w14:textId="6B49B644"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7CA0E2E" w14:textId="528493DC"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D8EB8AE" w14:textId="20EBF192" w:rsidR="00B449D0" w:rsidRDefault="00076D78">
            <w:pPr>
              <w:pStyle w:val="MeasureTableDataRightAlignedwith2ptsspacing"/>
              <w:keepNext/>
            </w:pPr>
            <w:r>
              <w:noBreakHyphen/>
            </w:r>
          </w:p>
        </w:tc>
      </w:tr>
      <w:tr w:rsidR="00B449D0" w14:paraId="093C7C50" w14:textId="77777777">
        <w:trPr>
          <w:cantSplit/>
        </w:trPr>
        <w:tc>
          <w:tcPr>
            <w:tcW w:w="2494" w:type="dxa"/>
            <w:tcBorders>
              <w:top w:val="single" w:sz="4" w:space="0" w:color="000000"/>
              <w:bottom w:val="single" w:sz="4" w:space="0" w:color="000000"/>
            </w:tcBorders>
          </w:tcPr>
          <w:p w14:paraId="05C6A942"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3157FEED" w14:textId="7719B9F8"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17DB9B8C" w14:textId="77777777" w:rsidR="00B449D0" w:rsidRDefault="00175344">
            <w:pPr>
              <w:pStyle w:val="Totaldatarowrightaligned"/>
              <w:keepNext/>
            </w:pPr>
            <w:r>
              <w:t>375.0</w:t>
            </w:r>
          </w:p>
        </w:tc>
        <w:tc>
          <w:tcPr>
            <w:tcW w:w="1043" w:type="dxa"/>
            <w:tcBorders>
              <w:top w:val="single" w:sz="4" w:space="0" w:color="000000"/>
              <w:bottom w:val="single" w:sz="4" w:space="0" w:color="000000"/>
            </w:tcBorders>
          </w:tcPr>
          <w:p w14:paraId="5EEB0E58" w14:textId="77777777" w:rsidR="00B449D0" w:rsidRDefault="00175344">
            <w:pPr>
              <w:pStyle w:val="Totaldatarowrightaligned"/>
              <w:keepNext/>
            </w:pPr>
            <w:r>
              <w:t>160.1</w:t>
            </w:r>
          </w:p>
        </w:tc>
        <w:tc>
          <w:tcPr>
            <w:tcW w:w="1043" w:type="dxa"/>
            <w:tcBorders>
              <w:top w:val="single" w:sz="4" w:space="0" w:color="000000"/>
              <w:bottom w:val="single" w:sz="4" w:space="0" w:color="000000"/>
            </w:tcBorders>
          </w:tcPr>
          <w:p w14:paraId="7A92208E" w14:textId="77777777" w:rsidR="00B449D0" w:rsidRDefault="00175344">
            <w:pPr>
              <w:pStyle w:val="Totaldatarowrightaligned"/>
              <w:keepNext/>
            </w:pPr>
            <w:r>
              <w:t>155.9</w:t>
            </w:r>
          </w:p>
        </w:tc>
        <w:tc>
          <w:tcPr>
            <w:tcW w:w="1043" w:type="dxa"/>
            <w:tcBorders>
              <w:top w:val="single" w:sz="4" w:space="0" w:color="000000"/>
              <w:bottom w:val="single" w:sz="4" w:space="0" w:color="000000"/>
            </w:tcBorders>
          </w:tcPr>
          <w:p w14:paraId="52F7D894" w14:textId="77777777" w:rsidR="00B449D0" w:rsidRDefault="00175344">
            <w:pPr>
              <w:pStyle w:val="Totaldatarowrightaligned"/>
              <w:keepNext/>
            </w:pPr>
            <w:r>
              <w:t>35.4</w:t>
            </w:r>
          </w:p>
        </w:tc>
      </w:tr>
    </w:tbl>
    <w:p w14:paraId="7079B4AB" w14:textId="77777777" w:rsidR="00B449D0" w:rsidRDefault="00B449D0" w:rsidP="00380A42">
      <w:pPr>
        <w:pStyle w:val="SingleParagraph0"/>
      </w:pPr>
    </w:p>
    <w:p w14:paraId="0814F963" w14:textId="0CEDA327" w:rsidR="00B449D0" w:rsidRDefault="00175344">
      <w:pPr>
        <w:pStyle w:val="Normal2"/>
      </w:pPr>
      <w:r w:rsidRPr="7F762F0D">
        <w:rPr>
          <w:lang w:val="en-US"/>
        </w:rPr>
        <w:t>The Government will provide $2.6</w:t>
      </w:r>
      <w:r w:rsidR="002A7001">
        <w:rPr>
          <w:lang w:val="en-US"/>
        </w:rPr>
        <w:t> billion</w:t>
      </w:r>
      <w:r w:rsidRPr="7F762F0D">
        <w:rPr>
          <w:lang w:val="en-US"/>
        </w:rPr>
        <w:t xml:space="preserve"> over ten years from 2024–25 for road and rail infrastructure priorities to support productivity and jobs, including:</w:t>
      </w:r>
    </w:p>
    <w:p w14:paraId="27B008C8" w14:textId="77777777" w:rsidR="00B449D0" w:rsidRDefault="00175344">
      <w:pPr>
        <w:pStyle w:val="Bullet"/>
      </w:pPr>
      <w:r>
        <w:t>$1.7 billion over ten years from 2024–25 for additional funding to support road maintenance activities on the National Land Transport Network</w:t>
      </w:r>
    </w:p>
    <w:p w14:paraId="274DB4E1" w14:textId="77777777" w:rsidR="00B449D0" w:rsidRDefault="00175344">
      <w:pPr>
        <w:pStyle w:val="Bullet"/>
      </w:pPr>
      <w:r>
        <w:t>$926.9 million over seven years from 2024–25 for existing projects under the</w:t>
      </w:r>
      <w:r w:rsidRPr="00175344">
        <w:rPr>
          <w:i/>
        </w:rPr>
        <w:t xml:space="preserve"> Infrastructure Investment Program</w:t>
      </w:r>
    </w:p>
    <w:p w14:paraId="6B20D581" w14:textId="77777777" w:rsidR="00B449D0" w:rsidRDefault="00175344">
      <w:pPr>
        <w:pStyle w:val="Bullet"/>
      </w:pPr>
      <w:r>
        <w:t>$13.0 million over four years from 2025–26 for two new projects under the</w:t>
      </w:r>
      <w:r w:rsidRPr="00175344">
        <w:rPr>
          <w:i/>
        </w:rPr>
        <w:t xml:space="preserve"> Infrastructure Investment Program</w:t>
      </w:r>
      <w:r>
        <w:t xml:space="preserve"> in the Australian Capital Territory.</w:t>
      </w:r>
    </w:p>
    <w:p w14:paraId="65ABB7C9" w14:textId="77777777" w:rsidR="00B449D0" w:rsidRDefault="00175344">
      <w:pPr>
        <w:pStyle w:val="Normal2"/>
      </w:pPr>
      <w:r>
        <w:t>The Government has already provided partial funding for this measure.</w:t>
      </w:r>
    </w:p>
    <w:p w14:paraId="07B69907" w14:textId="77777777" w:rsidR="00B449D0" w:rsidRDefault="00175344">
      <w:pPr>
        <w:pStyle w:val="Normal2"/>
      </w:pPr>
      <w:r>
        <w:t xml:space="preserve">The cost of this measure will be partially met from within existing funding for the </w:t>
      </w:r>
      <w:r w:rsidRPr="00175344">
        <w:rPr>
          <w:i/>
        </w:rPr>
        <w:t>Infrastructure Investment Program</w:t>
      </w:r>
      <w:r>
        <w:t xml:space="preserve">, including from the termination of the </w:t>
      </w:r>
      <w:r w:rsidRPr="00175344">
        <w:rPr>
          <w:i/>
        </w:rPr>
        <w:t>Inland Rail Interface Improvement Program</w:t>
      </w:r>
      <w:r>
        <w:t>.</w:t>
      </w:r>
    </w:p>
    <w:p w14:paraId="03195074" w14:textId="77777777" w:rsidR="00B449D0" w:rsidRDefault="00175344">
      <w:pPr>
        <w:pStyle w:val="Normal2"/>
      </w:pPr>
      <w:r>
        <w:t>The Treasury manages Commonwealth payments to the states and territories.</w:t>
      </w:r>
    </w:p>
    <w:p w14:paraId="7D301A60" w14:textId="77777777" w:rsidR="00B449D0" w:rsidRDefault="00175344">
      <w:pPr>
        <w:pStyle w:val="Normal2"/>
      </w:pPr>
      <w:r>
        <w:t xml:space="preserve">This measure builds on the 2024–25 Budget measure titled </w:t>
      </w:r>
      <w:r w:rsidRPr="00175344">
        <w:rPr>
          <w:i/>
        </w:rPr>
        <w:t>Building a Better Future Through Considered Infrastructure Investment</w:t>
      </w:r>
      <w:r>
        <w:t>.</w:t>
      </w:r>
    </w:p>
    <w:p w14:paraId="00BDC086" w14:textId="77777777" w:rsidR="00B87369" w:rsidRDefault="00B87369">
      <w:pPr>
        <w:pStyle w:val="MeasureTitle"/>
      </w:pPr>
      <w:r>
        <w:br w:type="page"/>
      </w:r>
    </w:p>
    <w:p w14:paraId="3970C379" w14:textId="055AA021" w:rsidR="00B449D0" w:rsidRDefault="00175344">
      <w:pPr>
        <w:pStyle w:val="MeasureTitle"/>
      </w:pPr>
      <w:r>
        <w:lastRenderedPageBreak/>
        <w:t>Community Infrastructure</w:t>
      </w:r>
    </w:p>
    <w:p w14:paraId="3607C768"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3352BFD4" w14:textId="77777777">
        <w:trPr>
          <w:cantSplit/>
        </w:trPr>
        <w:tc>
          <w:tcPr>
            <w:tcW w:w="2494" w:type="dxa"/>
            <w:tcBorders>
              <w:top w:val="single" w:sz="4" w:space="0" w:color="000000"/>
              <w:bottom w:val="single" w:sz="4" w:space="0" w:color="000000"/>
            </w:tcBorders>
          </w:tcPr>
          <w:p w14:paraId="6379C170" w14:textId="77777777" w:rsidR="00B449D0" w:rsidRDefault="00B449D0">
            <w:pPr>
              <w:pStyle w:val="MeasureTableYearHeadings"/>
              <w:keepNext/>
            </w:pPr>
          </w:p>
        </w:tc>
        <w:tc>
          <w:tcPr>
            <w:tcW w:w="1043" w:type="dxa"/>
            <w:tcBorders>
              <w:top w:val="single" w:sz="4" w:space="0" w:color="000000"/>
              <w:bottom w:val="single" w:sz="4" w:space="0" w:color="000000"/>
            </w:tcBorders>
          </w:tcPr>
          <w:p w14:paraId="50FECBAA" w14:textId="7412F26C"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59D81AC3" w14:textId="76E85342"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52879B28" w14:textId="23DBF8D7"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37583216" w14:textId="3F09AFED"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4D8646B1" w14:textId="5DB76BDE" w:rsidR="00B449D0" w:rsidRDefault="00175344">
            <w:pPr>
              <w:pStyle w:val="MeasureTableYearHeadings"/>
              <w:keepNext/>
            </w:pPr>
            <w:r>
              <w:t>2027</w:t>
            </w:r>
            <w:r w:rsidR="00076D78">
              <w:noBreakHyphen/>
            </w:r>
            <w:r>
              <w:t>28</w:t>
            </w:r>
          </w:p>
        </w:tc>
      </w:tr>
      <w:tr w:rsidR="00B449D0" w14:paraId="75F27E52" w14:textId="77777777">
        <w:trPr>
          <w:cantSplit/>
        </w:trPr>
        <w:tc>
          <w:tcPr>
            <w:tcW w:w="2494" w:type="dxa"/>
            <w:tcBorders>
              <w:top w:val="single" w:sz="4" w:space="0" w:color="000000"/>
              <w:bottom w:val="single" w:sz="4" w:space="0" w:color="000000"/>
            </w:tcBorders>
          </w:tcPr>
          <w:p w14:paraId="08960574" w14:textId="77777777" w:rsidR="00B449D0" w:rsidRDefault="00175344">
            <w:pPr>
              <w:pStyle w:val="MeasureTableHeadingleftalignedwith2ptsspacing"/>
              <w:keepNext/>
            </w:pPr>
            <w:r>
              <w:t>Department of the Treasury</w:t>
            </w:r>
          </w:p>
        </w:tc>
        <w:tc>
          <w:tcPr>
            <w:tcW w:w="1043" w:type="dxa"/>
            <w:tcBorders>
              <w:top w:val="single" w:sz="4" w:space="0" w:color="000000"/>
              <w:bottom w:val="single" w:sz="4" w:space="0" w:color="000000"/>
            </w:tcBorders>
          </w:tcPr>
          <w:p w14:paraId="7E5BFA05" w14:textId="2BD4425A"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9938B94" w14:textId="77777777" w:rsidR="00B449D0" w:rsidRDefault="00175344">
            <w:pPr>
              <w:pStyle w:val="MeasureTableDataRightAlignedwith2ptsspacing"/>
              <w:keepNext/>
            </w:pPr>
            <w:r>
              <w:t>12.7</w:t>
            </w:r>
          </w:p>
        </w:tc>
        <w:tc>
          <w:tcPr>
            <w:tcW w:w="1043" w:type="dxa"/>
            <w:tcBorders>
              <w:top w:val="single" w:sz="4" w:space="0" w:color="000000"/>
              <w:bottom w:val="single" w:sz="4" w:space="0" w:color="000000"/>
            </w:tcBorders>
          </w:tcPr>
          <w:p w14:paraId="1C5E66B0" w14:textId="77777777" w:rsidR="00B449D0" w:rsidRDefault="00175344">
            <w:pPr>
              <w:pStyle w:val="MeasureTableDataRightAlignedwith2ptsspacing"/>
              <w:keepNext/>
            </w:pPr>
            <w:r>
              <w:t>1.9</w:t>
            </w:r>
          </w:p>
        </w:tc>
        <w:tc>
          <w:tcPr>
            <w:tcW w:w="1043" w:type="dxa"/>
            <w:tcBorders>
              <w:top w:val="single" w:sz="4" w:space="0" w:color="000000"/>
              <w:bottom w:val="single" w:sz="4" w:space="0" w:color="000000"/>
            </w:tcBorders>
          </w:tcPr>
          <w:p w14:paraId="6C963112" w14:textId="77777777" w:rsidR="00B449D0" w:rsidRDefault="00175344">
            <w:pPr>
              <w:pStyle w:val="MeasureTableDataRightAlignedwith2ptsspacing"/>
              <w:keepNext/>
            </w:pPr>
            <w:r>
              <w:t>0.7</w:t>
            </w:r>
          </w:p>
        </w:tc>
        <w:tc>
          <w:tcPr>
            <w:tcW w:w="1043" w:type="dxa"/>
            <w:tcBorders>
              <w:top w:val="single" w:sz="4" w:space="0" w:color="000000"/>
              <w:bottom w:val="single" w:sz="4" w:space="0" w:color="000000"/>
            </w:tcBorders>
          </w:tcPr>
          <w:p w14:paraId="58E57626" w14:textId="38F52826" w:rsidR="00B449D0" w:rsidRDefault="00076D78">
            <w:pPr>
              <w:pStyle w:val="MeasureTableDataRightAlignedwith2ptsspacing"/>
              <w:keepNext/>
            </w:pPr>
            <w:r>
              <w:noBreakHyphen/>
            </w:r>
          </w:p>
        </w:tc>
      </w:tr>
      <w:tr w:rsidR="00B449D0" w14:paraId="19436EC6" w14:textId="77777777">
        <w:trPr>
          <w:cantSplit/>
        </w:trPr>
        <w:tc>
          <w:tcPr>
            <w:tcW w:w="2494" w:type="dxa"/>
            <w:tcBorders>
              <w:top w:val="single" w:sz="4" w:space="0" w:color="000000"/>
              <w:bottom w:val="single" w:sz="4" w:space="0" w:color="000000"/>
            </w:tcBorders>
          </w:tcPr>
          <w:p w14:paraId="72E50CEB" w14:textId="77777777" w:rsidR="00B449D0" w:rsidRDefault="00175344">
            <w:pPr>
              <w:pStyle w:val="MeasureTableHeadingleftalignedwith2ptsspacing"/>
              <w:keepNext/>
            </w:pPr>
            <w:r>
              <w:t>Department of Infrastructure, Transport, Regional Development, Communications and the Arts</w:t>
            </w:r>
          </w:p>
        </w:tc>
        <w:tc>
          <w:tcPr>
            <w:tcW w:w="1043" w:type="dxa"/>
            <w:tcBorders>
              <w:top w:val="single" w:sz="4" w:space="0" w:color="000000"/>
              <w:bottom w:val="single" w:sz="4" w:space="0" w:color="000000"/>
            </w:tcBorders>
          </w:tcPr>
          <w:p w14:paraId="582D7A65" w14:textId="4009F84E"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63BD6B9A" w14:textId="41C1BCE7" w:rsidR="00B449D0" w:rsidRDefault="00076D78">
            <w:pPr>
              <w:pStyle w:val="MeasureTableDataRightAlignedwith2ptsspacing"/>
              <w:keepNext/>
            </w:pPr>
            <w:r>
              <w:noBreakHyphen/>
            </w:r>
            <w:r w:rsidR="00175344">
              <w:t>8.2</w:t>
            </w:r>
          </w:p>
        </w:tc>
        <w:tc>
          <w:tcPr>
            <w:tcW w:w="1043" w:type="dxa"/>
            <w:tcBorders>
              <w:top w:val="single" w:sz="4" w:space="0" w:color="000000"/>
              <w:bottom w:val="single" w:sz="4" w:space="0" w:color="000000"/>
            </w:tcBorders>
          </w:tcPr>
          <w:p w14:paraId="74D5D6E6" w14:textId="7217D0DF"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AA21B3B" w14:textId="3849FC66" w:rsidR="00B449D0" w:rsidRDefault="00076D78">
            <w:pPr>
              <w:pStyle w:val="MeasureTableDataRightAlignedwith2ptsspacing"/>
              <w:keepNext/>
            </w:pPr>
            <w:r>
              <w:noBreakHyphen/>
            </w:r>
            <w:r w:rsidR="00175344">
              <w:t>7.0</w:t>
            </w:r>
          </w:p>
        </w:tc>
        <w:tc>
          <w:tcPr>
            <w:tcW w:w="1043" w:type="dxa"/>
            <w:tcBorders>
              <w:top w:val="single" w:sz="4" w:space="0" w:color="000000"/>
              <w:bottom w:val="single" w:sz="4" w:space="0" w:color="000000"/>
            </w:tcBorders>
          </w:tcPr>
          <w:p w14:paraId="47FB9301" w14:textId="77F22936" w:rsidR="00B449D0" w:rsidRDefault="00076D78">
            <w:pPr>
              <w:pStyle w:val="MeasureTableDataRightAlignedwith2ptsspacing"/>
              <w:keepNext/>
            </w:pPr>
            <w:r>
              <w:noBreakHyphen/>
            </w:r>
          </w:p>
        </w:tc>
      </w:tr>
      <w:tr w:rsidR="00B449D0" w14:paraId="47CC3A1C" w14:textId="77777777">
        <w:trPr>
          <w:cantSplit/>
        </w:trPr>
        <w:tc>
          <w:tcPr>
            <w:tcW w:w="2494" w:type="dxa"/>
            <w:tcBorders>
              <w:top w:val="single" w:sz="4" w:space="0" w:color="000000"/>
              <w:bottom w:val="single" w:sz="4" w:space="0" w:color="000000"/>
            </w:tcBorders>
          </w:tcPr>
          <w:p w14:paraId="4AFD5A80"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7485BFA8" w14:textId="1F9876C2"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4A168418" w14:textId="77777777" w:rsidR="00B449D0" w:rsidRDefault="00175344">
            <w:pPr>
              <w:pStyle w:val="Totaldatarowrightaligned"/>
              <w:keepNext/>
            </w:pPr>
            <w:r>
              <w:t>4.5</w:t>
            </w:r>
          </w:p>
        </w:tc>
        <w:tc>
          <w:tcPr>
            <w:tcW w:w="1043" w:type="dxa"/>
            <w:tcBorders>
              <w:top w:val="single" w:sz="4" w:space="0" w:color="000000"/>
              <w:bottom w:val="single" w:sz="4" w:space="0" w:color="000000"/>
            </w:tcBorders>
          </w:tcPr>
          <w:p w14:paraId="5CD6747E" w14:textId="77777777" w:rsidR="00B449D0" w:rsidRDefault="00175344">
            <w:pPr>
              <w:pStyle w:val="Totaldatarowrightaligned"/>
              <w:keepNext/>
            </w:pPr>
            <w:r>
              <w:t>1.9</w:t>
            </w:r>
          </w:p>
        </w:tc>
        <w:tc>
          <w:tcPr>
            <w:tcW w:w="1043" w:type="dxa"/>
            <w:tcBorders>
              <w:top w:val="single" w:sz="4" w:space="0" w:color="000000"/>
              <w:bottom w:val="single" w:sz="4" w:space="0" w:color="000000"/>
            </w:tcBorders>
          </w:tcPr>
          <w:p w14:paraId="2A3FF591" w14:textId="198A7E79" w:rsidR="00B449D0" w:rsidRDefault="00076D78">
            <w:pPr>
              <w:pStyle w:val="Totaldatarowrightaligned"/>
              <w:keepNext/>
            </w:pPr>
            <w:r>
              <w:noBreakHyphen/>
            </w:r>
            <w:r w:rsidR="00175344">
              <w:t>6.3</w:t>
            </w:r>
          </w:p>
        </w:tc>
        <w:tc>
          <w:tcPr>
            <w:tcW w:w="1043" w:type="dxa"/>
            <w:tcBorders>
              <w:top w:val="single" w:sz="4" w:space="0" w:color="000000"/>
              <w:bottom w:val="single" w:sz="4" w:space="0" w:color="000000"/>
            </w:tcBorders>
          </w:tcPr>
          <w:p w14:paraId="72BC95D0" w14:textId="58559BA0" w:rsidR="00B449D0" w:rsidRDefault="00076D78">
            <w:pPr>
              <w:pStyle w:val="Totaldatarowrightaligned"/>
              <w:keepNext/>
            </w:pPr>
            <w:r>
              <w:noBreakHyphen/>
            </w:r>
          </w:p>
        </w:tc>
      </w:tr>
    </w:tbl>
    <w:p w14:paraId="00DE0D3B" w14:textId="77777777" w:rsidR="00B449D0" w:rsidRDefault="00B449D0" w:rsidP="00380A42">
      <w:pPr>
        <w:pStyle w:val="SingleParagraph0"/>
      </w:pPr>
    </w:p>
    <w:p w14:paraId="61AE47BB" w14:textId="77777777" w:rsidR="00B449D0" w:rsidRDefault="00175344">
      <w:pPr>
        <w:pStyle w:val="Normal2"/>
      </w:pPr>
      <w:r>
        <w:t>The Government will provide $201.1 million over three years from 2024–25 to support sustainable urban and regional development in Australia. Funding includes:</w:t>
      </w:r>
    </w:p>
    <w:p w14:paraId="7602ACB8" w14:textId="77777777" w:rsidR="00B449D0" w:rsidRDefault="00175344">
      <w:pPr>
        <w:pStyle w:val="Bullet"/>
      </w:pPr>
      <w:r>
        <w:t xml:space="preserve">$172.1 million over three years from 2024–25 to support the delivery of community infrastructure programs and additional funding for the </w:t>
      </w:r>
      <w:r w:rsidRPr="00175344">
        <w:rPr>
          <w:i/>
        </w:rPr>
        <w:t>Thriving Suburbs Program</w:t>
      </w:r>
    </w:p>
    <w:p w14:paraId="5FA907B4" w14:textId="77777777" w:rsidR="00B449D0" w:rsidRDefault="00175344">
      <w:pPr>
        <w:pStyle w:val="Bullet"/>
      </w:pPr>
      <w:r>
        <w:t xml:space="preserve">$28.9 million over two years from 2024–25 for round nine of the </w:t>
      </w:r>
      <w:r w:rsidRPr="00175344">
        <w:rPr>
          <w:i/>
        </w:rPr>
        <w:t>Stronger Communities Programme</w:t>
      </w:r>
      <w:r>
        <w:t xml:space="preserve"> to support small capital projects that deliver social benefits for local communities across Australia.</w:t>
      </w:r>
    </w:p>
    <w:p w14:paraId="72995DC7" w14:textId="77777777" w:rsidR="00B449D0" w:rsidRDefault="00175344">
      <w:pPr>
        <w:pStyle w:val="Normal2"/>
      </w:pPr>
      <w:r w:rsidRPr="7F762F0D">
        <w:rPr>
          <w:lang w:val="en-US"/>
        </w:rPr>
        <w:t>The cost of this measure will be partially met from savings identified in the Infrastructure, Transport and Regional Development portfolio. The Government has already provided partial funding for this measure.</w:t>
      </w:r>
    </w:p>
    <w:p w14:paraId="00AF8FE3" w14:textId="77777777" w:rsidR="00B449D0" w:rsidRDefault="00175344">
      <w:pPr>
        <w:pStyle w:val="Normal2"/>
      </w:pPr>
      <w:r>
        <w:t>The Treasury manages Commonwealth payments to the states and territories.</w:t>
      </w:r>
    </w:p>
    <w:p w14:paraId="6A2F9CDA" w14:textId="77777777" w:rsidR="00B449D0" w:rsidRDefault="00175344">
      <w:pPr>
        <w:pStyle w:val="Normal2"/>
      </w:pPr>
      <w:r>
        <w:t xml:space="preserve">This measure builds on the 2023–24 Budget measure titled </w:t>
      </w:r>
      <w:r w:rsidRPr="00175344">
        <w:rPr>
          <w:i/>
        </w:rPr>
        <w:t xml:space="preserve">National Approach for Sustainable Urban Development </w:t>
      </w:r>
      <w:r>
        <w:t>and the 2022–23 October Budget measure titled</w:t>
      </w:r>
      <w:r w:rsidRPr="00175344">
        <w:rPr>
          <w:i/>
        </w:rPr>
        <w:t xml:space="preserve"> Responsible Investment to Grow Our Regions.</w:t>
      </w:r>
    </w:p>
    <w:p w14:paraId="3FA1498A" w14:textId="77777777" w:rsidR="00B449D0" w:rsidRDefault="00175344">
      <w:pPr>
        <w:pStyle w:val="MeasureTitle"/>
      </w:pPr>
      <w:r>
        <w:t>Funding for the Indian Ocean Territories</w:t>
      </w:r>
    </w:p>
    <w:p w14:paraId="298EF91E"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153F647D" w14:textId="77777777">
        <w:trPr>
          <w:cantSplit/>
        </w:trPr>
        <w:tc>
          <w:tcPr>
            <w:tcW w:w="2494" w:type="dxa"/>
            <w:tcBorders>
              <w:top w:val="single" w:sz="4" w:space="0" w:color="000000"/>
              <w:bottom w:val="single" w:sz="4" w:space="0" w:color="000000"/>
            </w:tcBorders>
          </w:tcPr>
          <w:p w14:paraId="6CF7C066" w14:textId="77777777" w:rsidR="00B449D0" w:rsidRDefault="00B449D0">
            <w:pPr>
              <w:pStyle w:val="MeasureTableYearHeadings"/>
              <w:keepNext/>
            </w:pPr>
          </w:p>
        </w:tc>
        <w:tc>
          <w:tcPr>
            <w:tcW w:w="1043" w:type="dxa"/>
            <w:tcBorders>
              <w:top w:val="single" w:sz="4" w:space="0" w:color="000000"/>
              <w:bottom w:val="single" w:sz="4" w:space="0" w:color="000000"/>
            </w:tcBorders>
          </w:tcPr>
          <w:p w14:paraId="779CF459" w14:textId="21C6B833"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5B56FEBB" w14:textId="7B0E94A2"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33772446" w14:textId="4D21F21C"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7CB7712F" w14:textId="259C9FA9"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247E1D86" w14:textId="6999E686" w:rsidR="00B449D0" w:rsidRDefault="00175344">
            <w:pPr>
              <w:pStyle w:val="MeasureTableYearHeadings"/>
              <w:keepNext/>
            </w:pPr>
            <w:r>
              <w:t>2027</w:t>
            </w:r>
            <w:r w:rsidR="00076D78">
              <w:noBreakHyphen/>
            </w:r>
            <w:r>
              <w:t>28</w:t>
            </w:r>
          </w:p>
        </w:tc>
      </w:tr>
      <w:tr w:rsidR="00B449D0" w14:paraId="43F973D9" w14:textId="77777777">
        <w:trPr>
          <w:cantSplit/>
        </w:trPr>
        <w:tc>
          <w:tcPr>
            <w:tcW w:w="2494" w:type="dxa"/>
            <w:tcBorders>
              <w:top w:val="single" w:sz="4" w:space="0" w:color="000000"/>
              <w:bottom w:val="single" w:sz="4" w:space="0" w:color="000000"/>
            </w:tcBorders>
          </w:tcPr>
          <w:p w14:paraId="3BFEDBD6" w14:textId="77777777" w:rsidR="00B449D0" w:rsidRDefault="00175344">
            <w:pPr>
              <w:pStyle w:val="MeasureTableHeadingleftalignedwith2ptsspacing"/>
              <w:keepNext/>
            </w:pPr>
            <w:r>
              <w:t>Department of Infrastructure, Transport, Regional Development, Communications and the Arts</w:t>
            </w:r>
          </w:p>
        </w:tc>
        <w:tc>
          <w:tcPr>
            <w:tcW w:w="1043" w:type="dxa"/>
            <w:tcBorders>
              <w:top w:val="single" w:sz="4" w:space="0" w:color="000000"/>
              <w:bottom w:val="single" w:sz="4" w:space="0" w:color="000000"/>
            </w:tcBorders>
          </w:tcPr>
          <w:p w14:paraId="3B448512" w14:textId="7E872F88"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EB1E5B2" w14:textId="77777777" w:rsidR="00B449D0" w:rsidRDefault="00175344">
            <w:pPr>
              <w:pStyle w:val="MeasureTableDataRightAlignedwith2ptsspacing"/>
              <w:keepNext/>
            </w:pPr>
            <w:r>
              <w:t>0.8</w:t>
            </w:r>
          </w:p>
        </w:tc>
        <w:tc>
          <w:tcPr>
            <w:tcW w:w="1043" w:type="dxa"/>
            <w:tcBorders>
              <w:top w:val="single" w:sz="4" w:space="0" w:color="000000"/>
              <w:bottom w:val="single" w:sz="4" w:space="0" w:color="000000"/>
            </w:tcBorders>
          </w:tcPr>
          <w:p w14:paraId="19C5B58F" w14:textId="77777777" w:rsidR="00B449D0" w:rsidRDefault="00175344">
            <w:pPr>
              <w:pStyle w:val="MeasureTableDataRightAlignedwith2ptsspacing"/>
              <w:keepNext/>
            </w:pPr>
            <w:r>
              <w:t>5.4</w:t>
            </w:r>
          </w:p>
        </w:tc>
        <w:tc>
          <w:tcPr>
            <w:tcW w:w="1043" w:type="dxa"/>
            <w:tcBorders>
              <w:top w:val="single" w:sz="4" w:space="0" w:color="000000"/>
              <w:bottom w:val="single" w:sz="4" w:space="0" w:color="000000"/>
            </w:tcBorders>
          </w:tcPr>
          <w:p w14:paraId="50D2E4E6" w14:textId="77777777" w:rsidR="00B449D0" w:rsidRDefault="00175344">
            <w:pPr>
              <w:pStyle w:val="MeasureTableDataRightAlignedwith2ptsspacing"/>
              <w:keepNext/>
            </w:pPr>
            <w:r>
              <w:t>10.1</w:t>
            </w:r>
          </w:p>
        </w:tc>
        <w:tc>
          <w:tcPr>
            <w:tcW w:w="1043" w:type="dxa"/>
            <w:tcBorders>
              <w:top w:val="single" w:sz="4" w:space="0" w:color="000000"/>
              <w:bottom w:val="single" w:sz="4" w:space="0" w:color="000000"/>
            </w:tcBorders>
          </w:tcPr>
          <w:p w14:paraId="45A41D00" w14:textId="77777777" w:rsidR="00B449D0" w:rsidRDefault="00175344">
            <w:pPr>
              <w:pStyle w:val="MeasureTableDataRightAlignedwith2ptsspacing"/>
              <w:keepNext/>
            </w:pPr>
            <w:r>
              <w:t>1.0</w:t>
            </w:r>
          </w:p>
        </w:tc>
      </w:tr>
    </w:tbl>
    <w:p w14:paraId="53DE266B" w14:textId="77777777" w:rsidR="00B449D0" w:rsidRDefault="00B449D0" w:rsidP="00380A42">
      <w:pPr>
        <w:pStyle w:val="SingleParagraph0"/>
      </w:pPr>
    </w:p>
    <w:p w14:paraId="0C74C7DE" w14:textId="77777777" w:rsidR="00B449D0" w:rsidRDefault="00175344">
      <w:pPr>
        <w:pStyle w:val="Normal2"/>
      </w:pPr>
      <w:r>
        <w:t>The Government will provide $23.3 million over four years from 2024–25 to improve emergency preparedness and safety on Cocos (Keeling) Islands. Funding includes:</w:t>
      </w:r>
    </w:p>
    <w:p w14:paraId="77243FD3" w14:textId="77777777" w:rsidR="00B449D0" w:rsidRDefault="00175344">
      <w:pPr>
        <w:pStyle w:val="Bullet"/>
      </w:pPr>
      <w:r>
        <w:t>$12.2 million to maintain and extend existing sea walls</w:t>
      </w:r>
    </w:p>
    <w:p w14:paraId="44B179FD" w14:textId="77777777" w:rsidR="00B449D0" w:rsidRDefault="00175344">
      <w:pPr>
        <w:pStyle w:val="Bullet"/>
      </w:pPr>
      <w:r>
        <w:t>$8.1 million to repair and extend cyclone shelters on Home Island and West Island</w:t>
      </w:r>
    </w:p>
    <w:p w14:paraId="67A1ADF5" w14:textId="77777777" w:rsidR="00B449D0" w:rsidRDefault="00175344">
      <w:pPr>
        <w:pStyle w:val="Bullet"/>
      </w:pPr>
      <w:r>
        <w:t>$3.0 million to support the release of the Cocos (Keeling) Islands Coastal Hazard Risk Management and Adaptation Plan.</w:t>
      </w:r>
    </w:p>
    <w:p w14:paraId="409B820C" w14:textId="2E2CB619" w:rsidR="00B449D0" w:rsidRDefault="00175344">
      <w:pPr>
        <w:pStyle w:val="Normal2"/>
      </w:pPr>
      <w:r w:rsidRPr="7F762F0D">
        <w:rPr>
          <w:lang w:val="en-US"/>
        </w:rPr>
        <w:t>The cost of this measure will be partially met by redirecting funding from within the Department of Infrastructure, Transport, Regional Development, Communications and the</w:t>
      </w:r>
      <w:r w:rsidR="007C2B0A">
        <w:rPr>
          <w:lang w:val="en-US"/>
        </w:rPr>
        <w:t> </w:t>
      </w:r>
      <w:r w:rsidRPr="7F762F0D">
        <w:rPr>
          <w:lang w:val="en-US"/>
        </w:rPr>
        <w:t>Arts.</w:t>
      </w:r>
    </w:p>
    <w:p w14:paraId="28D8CB5F" w14:textId="77777777" w:rsidR="00B449D0" w:rsidRDefault="00175344">
      <w:pPr>
        <w:pStyle w:val="MeasureTitle"/>
      </w:pPr>
      <w:r>
        <w:lastRenderedPageBreak/>
        <w:t>Revive – National Cultural Policy Location Offset</w:t>
      </w:r>
    </w:p>
    <w:p w14:paraId="1FFEBA27"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457440B4" w14:textId="77777777">
        <w:trPr>
          <w:cantSplit/>
        </w:trPr>
        <w:tc>
          <w:tcPr>
            <w:tcW w:w="2494" w:type="dxa"/>
            <w:tcBorders>
              <w:top w:val="single" w:sz="4" w:space="0" w:color="000000"/>
              <w:bottom w:val="single" w:sz="4" w:space="0" w:color="000000"/>
            </w:tcBorders>
          </w:tcPr>
          <w:p w14:paraId="0A383E51" w14:textId="77777777" w:rsidR="00B449D0" w:rsidRDefault="00B449D0">
            <w:pPr>
              <w:pStyle w:val="MeasureTableYearHeadings"/>
              <w:keepNext/>
            </w:pPr>
          </w:p>
        </w:tc>
        <w:tc>
          <w:tcPr>
            <w:tcW w:w="1043" w:type="dxa"/>
            <w:tcBorders>
              <w:top w:val="single" w:sz="4" w:space="0" w:color="000000"/>
              <w:bottom w:val="single" w:sz="4" w:space="0" w:color="000000"/>
            </w:tcBorders>
          </w:tcPr>
          <w:p w14:paraId="2ABB5C3B" w14:textId="238C7EE2"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70CDFCC0" w14:textId="0C77D172"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2966503B" w14:textId="0EB1E1C5"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5520B249" w14:textId="7CB5723B"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626485F7" w14:textId="1B0F7973" w:rsidR="00B449D0" w:rsidRDefault="00175344">
            <w:pPr>
              <w:pStyle w:val="MeasureTableYearHeadings"/>
              <w:keepNext/>
            </w:pPr>
            <w:r>
              <w:t>2027</w:t>
            </w:r>
            <w:r w:rsidR="00076D78">
              <w:noBreakHyphen/>
            </w:r>
            <w:r>
              <w:t>28</w:t>
            </w:r>
          </w:p>
        </w:tc>
      </w:tr>
      <w:tr w:rsidR="00B449D0" w14:paraId="0D41252F" w14:textId="77777777">
        <w:trPr>
          <w:cantSplit/>
        </w:trPr>
        <w:tc>
          <w:tcPr>
            <w:tcW w:w="2494" w:type="dxa"/>
            <w:tcBorders>
              <w:top w:val="single" w:sz="4" w:space="0" w:color="000000"/>
              <w:bottom w:val="single" w:sz="4" w:space="0" w:color="000000"/>
            </w:tcBorders>
          </w:tcPr>
          <w:p w14:paraId="17E3096B" w14:textId="77777777" w:rsidR="00B449D0" w:rsidRDefault="00175344">
            <w:pPr>
              <w:pStyle w:val="MeasureTableHeadingleftalignedwith2ptsspacing"/>
              <w:keepNext/>
            </w:pPr>
            <w:r>
              <w:t>Australian Taxation Office</w:t>
            </w:r>
          </w:p>
        </w:tc>
        <w:tc>
          <w:tcPr>
            <w:tcW w:w="1043" w:type="dxa"/>
            <w:tcBorders>
              <w:top w:val="single" w:sz="4" w:space="0" w:color="000000"/>
              <w:bottom w:val="single" w:sz="4" w:space="0" w:color="000000"/>
            </w:tcBorders>
          </w:tcPr>
          <w:p w14:paraId="7BED010B" w14:textId="5CB9D771"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E4E0585" w14:textId="4E9FAD9B"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236A958" w14:textId="06319A78"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60B4945" w14:textId="77777777" w:rsidR="00B449D0" w:rsidRDefault="00175344">
            <w:pPr>
              <w:pStyle w:val="MeasureTableDataRightAlignedwith2ptsspacing"/>
              <w:keepNext/>
            </w:pPr>
            <w:r>
              <w:t>4.2</w:t>
            </w:r>
          </w:p>
        </w:tc>
        <w:tc>
          <w:tcPr>
            <w:tcW w:w="1043" w:type="dxa"/>
            <w:tcBorders>
              <w:top w:val="single" w:sz="4" w:space="0" w:color="000000"/>
              <w:bottom w:val="single" w:sz="4" w:space="0" w:color="000000"/>
            </w:tcBorders>
          </w:tcPr>
          <w:p w14:paraId="1A06ADAA" w14:textId="77777777" w:rsidR="00B449D0" w:rsidRDefault="00175344">
            <w:pPr>
              <w:pStyle w:val="MeasureTableDataRightAlignedwith2ptsspacing"/>
              <w:keepNext/>
            </w:pPr>
            <w:r>
              <w:t>1.1</w:t>
            </w:r>
          </w:p>
        </w:tc>
      </w:tr>
      <w:tr w:rsidR="00B449D0" w14:paraId="56C87DC5" w14:textId="77777777">
        <w:trPr>
          <w:cantSplit/>
        </w:trPr>
        <w:tc>
          <w:tcPr>
            <w:tcW w:w="2494" w:type="dxa"/>
            <w:tcBorders>
              <w:top w:val="single" w:sz="4" w:space="0" w:color="000000"/>
              <w:bottom w:val="single" w:sz="4" w:space="0" w:color="000000"/>
            </w:tcBorders>
          </w:tcPr>
          <w:p w14:paraId="173C280F" w14:textId="77777777" w:rsidR="00B449D0" w:rsidRDefault="00175344">
            <w:pPr>
              <w:pStyle w:val="MeasureTableHeadingleftalignedwith2ptsspacing"/>
              <w:keepNext/>
            </w:pPr>
            <w:r>
              <w:t>Department of Infrastructure, Transport, Regional Development, Communications and the Arts</w:t>
            </w:r>
          </w:p>
        </w:tc>
        <w:tc>
          <w:tcPr>
            <w:tcW w:w="1043" w:type="dxa"/>
            <w:tcBorders>
              <w:top w:val="single" w:sz="4" w:space="0" w:color="000000"/>
              <w:bottom w:val="single" w:sz="4" w:space="0" w:color="000000"/>
            </w:tcBorders>
          </w:tcPr>
          <w:p w14:paraId="79D992D3" w14:textId="634EF2AB"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AE29E84" w14:textId="00992595"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2E7FD27" w14:textId="4D9C024D"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8E79AC9" w14:textId="2C11FD60"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829CDC9" w14:textId="230EB877" w:rsidR="00B449D0" w:rsidRDefault="00076D78">
            <w:pPr>
              <w:pStyle w:val="MeasureTableDataRightAlignedwith2ptsspacing"/>
              <w:keepNext/>
            </w:pPr>
            <w:r>
              <w:noBreakHyphen/>
            </w:r>
          </w:p>
        </w:tc>
      </w:tr>
      <w:tr w:rsidR="00B449D0" w14:paraId="1C40CF3B" w14:textId="77777777">
        <w:trPr>
          <w:cantSplit/>
        </w:trPr>
        <w:tc>
          <w:tcPr>
            <w:tcW w:w="2494" w:type="dxa"/>
            <w:tcBorders>
              <w:top w:val="single" w:sz="4" w:space="0" w:color="000000"/>
              <w:bottom w:val="single" w:sz="4" w:space="0" w:color="000000"/>
            </w:tcBorders>
          </w:tcPr>
          <w:p w14:paraId="648DE207"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3225233A" w14:textId="2DFD6194"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55C52523" w14:textId="311A7229"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072E8AFB" w14:textId="62CDDBB2"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1F967BCE" w14:textId="77777777" w:rsidR="00B449D0" w:rsidRDefault="00175344">
            <w:pPr>
              <w:pStyle w:val="Totaldatarowrightaligned"/>
              <w:keepNext/>
            </w:pPr>
            <w:r>
              <w:t>4.2</w:t>
            </w:r>
          </w:p>
        </w:tc>
        <w:tc>
          <w:tcPr>
            <w:tcW w:w="1043" w:type="dxa"/>
            <w:tcBorders>
              <w:top w:val="single" w:sz="4" w:space="0" w:color="000000"/>
              <w:bottom w:val="single" w:sz="4" w:space="0" w:color="000000"/>
            </w:tcBorders>
          </w:tcPr>
          <w:p w14:paraId="6B183F49" w14:textId="77777777" w:rsidR="00B449D0" w:rsidRDefault="00175344">
            <w:pPr>
              <w:pStyle w:val="Totaldatarowrightaligned"/>
              <w:keepNext/>
            </w:pPr>
            <w:r>
              <w:t>1.1</w:t>
            </w:r>
          </w:p>
        </w:tc>
      </w:tr>
    </w:tbl>
    <w:p w14:paraId="7D5AB9B6" w14:textId="77777777" w:rsidR="00B449D0" w:rsidRDefault="00B449D0" w:rsidP="00380A42">
      <w:pPr>
        <w:pStyle w:val="SingleParagraph0"/>
      </w:pPr>
    </w:p>
    <w:p w14:paraId="1C936C90" w14:textId="045297C1" w:rsidR="00B449D0" w:rsidRDefault="00175344">
      <w:pPr>
        <w:pStyle w:val="Normal2"/>
      </w:pPr>
      <w:r>
        <w:t>The Government will provide $5.2 million over two years from 2026–27 (and $1.1 million in 2029</w:t>
      </w:r>
      <w:r w:rsidR="00FA4F95">
        <w:t>–</w:t>
      </w:r>
      <w:r>
        <w:t xml:space="preserve">30 and $1.3 million per year ongoing from 2030–31) to support the production of large budget screen productions to film in Australia by reducing the minimum Qualifying Australian Production Expenditure threshold from $20.0 million to $15.0 million for feature films under the </w:t>
      </w:r>
      <w:r w:rsidRPr="00175344">
        <w:rPr>
          <w:i/>
        </w:rPr>
        <w:t>Location Offset.</w:t>
      </w:r>
    </w:p>
    <w:p w14:paraId="5EB88416" w14:textId="77777777" w:rsidR="00B449D0" w:rsidRDefault="00175344">
      <w:pPr>
        <w:pStyle w:val="Normal2"/>
      </w:pPr>
      <w:r>
        <w:t xml:space="preserve">This measure builds on the 2023–24 Budget measure titled </w:t>
      </w:r>
      <w:r w:rsidRPr="00175344">
        <w:rPr>
          <w:i/>
        </w:rPr>
        <w:t>Revive – National Cultural Policy and Location Incentive.</w:t>
      </w:r>
    </w:p>
    <w:p w14:paraId="67B02D89" w14:textId="77777777" w:rsidR="00B449D0" w:rsidRDefault="00175344">
      <w:pPr>
        <w:pStyle w:val="MeasureTitle"/>
      </w:pPr>
      <w:r>
        <w:t>Social Media Age Limits</w:t>
      </w:r>
    </w:p>
    <w:p w14:paraId="6CCFD009"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0DB4A795" w14:textId="77777777">
        <w:trPr>
          <w:cantSplit/>
        </w:trPr>
        <w:tc>
          <w:tcPr>
            <w:tcW w:w="2494" w:type="dxa"/>
            <w:tcBorders>
              <w:top w:val="single" w:sz="4" w:space="0" w:color="000000"/>
              <w:bottom w:val="single" w:sz="4" w:space="0" w:color="000000"/>
            </w:tcBorders>
          </w:tcPr>
          <w:p w14:paraId="7B6CDF5A" w14:textId="77777777" w:rsidR="00B449D0" w:rsidRDefault="00B449D0">
            <w:pPr>
              <w:pStyle w:val="MeasureTableYearHeadings"/>
              <w:keepNext/>
            </w:pPr>
          </w:p>
        </w:tc>
        <w:tc>
          <w:tcPr>
            <w:tcW w:w="1043" w:type="dxa"/>
            <w:tcBorders>
              <w:top w:val="single" w:sz="4" w:space="0" w:color="000000"/>
              <w:bottom w:val="single" w:sz="4" w:space="0" w:color="000000"/>
            </w:tcBorders>
          </w:tcPr>
          <w:p w14:paraId="1AC18A17" w14:textId="49E38535"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0DDB5AB7" w14:textId="3FE512C5"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3333E776" w14:textId="7AA34DBE"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6943708F" w14:textId="6E88E8AD"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5B41FDDB" w14:textId="329D3743" w:rsidR="00B449D0" w:rsidRDefault="00175344">
            <w:pPr>
              <w:pStyle w:val="MeasureTableYearHeadings"/>
              <w:keepNext/>
            </w:pPr>
            <w:r>
              <w:t>2027</w:t>
            </w:r>
            <w:r w:rsidR="00076D78">
              <w:noBreakHyphen/>
            </w:r>
            <w:r>
              <w:t>28</w:t>
            </w:r>
          </w:p>
        </w:tc>
      </w:tr>
      <w:tr w:rsidR="00B449D0" w14:paraId="4C38C016" w14:textId="77777777">
        <w:trPr>
          <w:cantSplit/>
        </w:trPr>
        <w:tc>
          <w:tcPr>
            <w:tcW w:w="2494" w:type="dxa"/>
            <w:tcBorders>
              <w:top w:val="single" w:sz="4" w:space="0" w:color="000000"/>
              <w:bottom w:val="single" w:sz="4" w:space="0" w:color="000000"/>
            </w:tcBorders>
          </w:tcPr>
          <w:p w14:paraId="668DBD9E" w14:textId="77777777" w:rsidR="00B449D0" w:rsidRDefault="00175344">
            <w:pPr>
              <w:pStyle w:val="MeasureTableHeadingleftalignedwith2ptsspacing"/>
              <w:keepNext/>
            </w:pPr>
            <w:r>
              <w:t>Department of Infrastructure, Transport, Regional Development, Communications and the Arts</w:t>
            </w:r>
          </w:p>
        </w:tc>
        <w:tc>
          <w:tcPr>
            <w:tcW w:w="1043" w:type="dxa"/>
            <w:tcBorders>
              <w:top w:val="single" w:sz="4" w:space="0" w:color="000000"/>
              <w:bottom w:val="single" w:sz="4" w:space="0" w:color="000000"/>
            </w:tcBorders>
          </w:tcPr>
          <w:p w14:paraId="66B042F8" w14:textId="30AC54DC"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3060581" w14:textId="77777777" w:rsidR="00B449D0" w:rsidRDefault="00175344">
            <w:pPr>
              <w:pStyle w:val="MeasureTableDataRightAlignedwith2ptsspacing"/>
              <w:keepNext/>
            </w:pPr>
            <w:r>
              <w:t>5.1</w:t>
            </w:r>
          </w:p>
        </w:tc>
        <w:tc>
          <w:tcPr>
            <w:tcW w:w="1043" w:type="dxa"/>
            <w:tcBorders>
              <w:top w:val="single" w:sz="4" w:space="0" w:color="000000"/>
              <w:bottom w:val="single" w:sz="4" w:space="0" w:color="000000"/>
            </w:tcBorders>
          </w:tcPr>
          <w:p w14:paraId="690DDE6F" w14:textId="77777777" w:rsidR="00B449D0" w:rsidRDefault="00175344">
            <w:pPr>
              <w:pStyle w:val="MeasureTableDataRightAlignedwith2ptsspacing"/>
              <w:keepNext/>
            </w:pPr>
            <w:r>
              <w:t>12.4</w:t>
            </w:r>
          </w:p>
        </w:tc>
        <w:tc>
          <w:tcPr>
            <w:tcW w:w="1043" w:type="dxa"/>
            <w:tcBorders>
              <w:top w:val="single" w:sz="4" w:space="0" w:color="000000"/>
              <w:bottom w:val="single" w:sz="4" w:space="0" w:color="000000"/>
            </w:tcBorders>
          </w:tcPr>
          <w:p w14:paraId="541B277B" w14:textId="77777777" w:rsidR="00B449D0" w:rsidRDefault="00175344">
            <w:pPr>
              <w:pStyle w:val="MeasureTableDataRightAlignedwith2ptsspacing"/>
              <w:keepNext/>
            </w:pPr>
            <w:r>
              <w:t>4.4</w:t>
            </w:r>
          </w:p>
        </w:tc>
        <w:tc>
          <w:tcPr>
            <w:tcW w:w="1043" w:type="dxa"/>
            <w:tcBorders>
              <w:top w:val="single" w:sz="4" w:space="0" w:color="000000"/>
              <w:bottom w:val="single" w:sz="4" w:space="0" w:color="000000"/>
            </w:tcBorders>
          </w:tcPr>
          <w:p w14:paraId="30C68DC0" w14:textId="77777777" w:rsidR="00B449D0" w:rsidRDefault="00175344">
            <w:pPr>
              <w:pStyle w:val="MeasureTableDataRightAlignedwith2ptsspacing"/>
              <w:keepNext/>
            </w:pPr>
            <w:r>
              <w:t>3.6</w:t>
            </w:r>
          </w:p>
        </w:tc>
      </w:tr>
      <w:tr w:rsidR="00B449D0" w14:paraId="3EEAA8F0" w14:textId="77777777">
        <w:trPr>
          <w:cantSplit/>
        </w:trPr>
        <w:tc>
          <w:tcPr>
            <w:tcW w:w="2494" w:type="dxa"/>
            <w:tcBorders>
              <w:top w:val="single" w:sz="4" w:space="0" w:color="000000"/>
              <w:bottom w:val="single" w:sz="4" w:space="0" w:color="000000"/>
            </w:tcBorders>
          </w:tcPr>
          <w:p w14:paraId="382DF4D1" w14:textId="77777777" w:rsidR="00B449D0" w:rsidRDefault="00175344">
            <w:pPr>
              <w:pStyle w:val="MeasureTableHeadingleftalignedwith2ptsspacing"/>
              <w:keepNext/>
            </w:pPr>
            <w:r>
              <w:t>Australian Communications and Media Authority</w:t>
            </w:r>
          </w:p>
        </w:tc>
        <w:tc>
          <w:tcPr>
            <w:tcW w:w="1043" w:type="dxa"/>
            <w:tcBorders>
              <w:top w:val="single" w:sz="4" w:space="0" w:color="000000"/>
              <w:bottom w:val="single" w:sz="4" w:space="0" w:color="000000"/>
            </w:tcBorders>
          </w:tcPr>
          <w:p w14:paraId="5615D42F" w14:textId="60B77E98"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E79FC3F" w14:textId="77777777" w:rsidR="00B449D0" w:rsidRDefault="00175344">
            <w:pPr>
              <w:pStyle w:val="MeasureTableDataRightAlignedwith2ptsspacing"/>
              <w:keepNext/>
            </w:pPr>
            <w:r>
              <w:t>3.8</w:t>
            </w:r>
          </w:p>
        </w:tc>
        <w:tc>
          <w:tcPr>
            <w:tcW w:w="1043" w:type="dxa"/>
            <w:tcBorders>
              <w:top w:val="single" w:sz="4" w:space="0" w:color="000000"/>
              <w:bottom w:val="single" w:sz="4" w:space="0" w:color="000000"/>
            </w:tcBorders>
          </w:tcPr>
          <w:p w14:paraId="48CEC950" w14:textId="77777777" w:rsidR="00B449D0" w:rsidRDefault="00175344">
            <w:pPr>
              <w:pStyle w:val="MeasureTableDataRightAlignedwith2ptsspacing"/>
              <w:keepNext/>
            </w:pPr>
            <w:r>
              <w:t>16.2</w:t>
            </w:r>
          </w:p>
        </w:tc>
        <w:tc>
          <w:tcPr>
            <w:tcW w:w="1043" w:type="dxa"/>
            <w:tcBorders>
              <w:top w:val="single" w:sz="4" w:space="0" w:color="000000"/>
              <w:bottom w:val="single" w:sz="4" w:space="0" w:color="000000"/>
            </w:tcBorders>
          </w:tcPr>
          <w:p w14:paraId="400DE664" w14:textId="77777777" w:rsidR="00B449D0" w:rsidRDefault="00175344">
            <w:pPr>
              <w:pStyle w:val="MeasureTableDataRightAlignedwith2ptsspacing"/>
              <w:keepNext/>
            </w:pPr>
            <w:r>
              <w:t>13.3</w:t>
            </w:r>
          </w:p>
        </w:tc>
        <w:tc>
          <w:tcPr>
            <w:tcW w:w="1043" w:type="dxa"/>
            <w:tcBorders>
              <w:top w:val="single" w:sz="4" w:space="0" w:color="000000"/>
              <w:bottom w:val="single" w:sz="4" w:space="0" w:color="000000"/>
            </w:tcBorders>
          </w:tcPr>
          <w:p w14:paraId="704C6C7B" w14:textId="77777777" w:rsidR="00B449D0" w:rsidRDefault="00175344">
            <w:pPr>
              <w:pStyle w:val="MeasureTableDataRightAlignedwith2ptsspacing"/>
              <w:keepNext/>
            </w:pPr>
            <w:r>
              <w:t>12.4</w:t>
            </w:r>
          </w:p>
        </w:tc>
      </w:tr>
      <w:tr w:rsidR="00B449D0" w14:paraId="727642F6" w14:textId="77777777">
        <w:trPr>
          <w:cantSplit/>
        </w:trPr>
        <w:tc>
          <w:tcPr>
            <w:tcW w:w="2494" w:type="dxa"/>
            <w:tcBorders>
              <w:top w:val="single" w:sz="4" w:space="0" w:color="000000"/>
              <w:bottom w:val="single" w:sz="4" w:space="0" w:color="000000"/>
            </w:tcBorders>
          </w:tcPr>
          <w:p w14:paraId="4B5FDB93" w14:textId="77777777" w:rsidR="00B449D0" w:rsidRDefault="00175344">
            <w:pPr>
              <w:pStyle w:val="MeasureTableHeadingleftalignedwith2ptsspacing"/>
              <w:keepNext/>
            </w:pPr>
            <w:r>
              <w:t>Office of the Australian Information Commissioner</w:t>
            </w:r>
          </w:p>
        </w:tc>
        <w:tc>
          <w:tcPr>
            <w:tcW w:w="1043" w:type="dxa"/>
            <w:tcBorders>
              <w:top w:val="single" w:sz="4" w:space="0" w:color="000000"/>
              <w:bottom w:val="single" w:sz="4" w:space="0" w:color="000000"/>
            </w:tcBorders>
          </w:tcPr>
          <w:p w14:paraId="37776ED2" w14:textId="2D688051"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BE32EA6" w14:textId="77777777" w:rsidR="00B449D0" w:rsidRDefault="00175344">
            <w:pPr>
              <w:pStyle w:val="MeasureTableDataRightAlignedwith2ptsspacing"/>
              <w:keepNext/>
            </w:pPr>
            <w:r>
              <w:t>0.6</w:t>
            </w:r>
          </w:p>
        </w:tc>
        <w:tc>
          <w:tcPr>
            <w:tcW w:w="1043" w:type="dxa"/>
            <w:tcBorders>
              <w:top w:val="single" w:sz="4" w:space="0" w:color="000000"/>
              <w:bottom w:val="single" w:sz="4" w:space="0" w:color="000000"/>
            </w:tcBorders>
          </w:tcPr>
          <w:p w14:paraId="558197A1" w14:textId="77777777" w:rsidR="00B449D0" w:rsidRDefault="00175344">
            <w:pPr>
              <w:pStyle w:val="MeasureTableDataRightAlignedwith2ptsspacing"/>
              <w:keepNext/>
            </w:pPr>
            <w:r>
              <w:t>2.2</w:t>
            </w:r>
          </w:p>
        </w:tc>
        <w:tc>
          <w:tcPr>
            <w:tcW w:w="1043" w:type="dxa"/>
            <w:tcBorders>
              <w:top w:val="single" w:sz="4" w:space="0" w:color="000000"/>
              <w:bottom w:val="single" w:sz="4" w:space="0" w:color="000000"/>
            </w:tcBorders>
          </w:tcPr>
          <w:p w14:paraId="67A2E91B" w14:textId="77777777" w:rsidR="00B449D0" w:rsidRDefault="00175344">
            <w:pPr>
              <w:pStyle w:val="MeasureTableDataRightAlignedwith2ptsspacing"/>
              <w:keepNext/>
            </w:pPr>
            <w:r>
              <w:t>1.1</w:t>
            </w:r>
          </w:p>
        </w:tc>
        <w:tc>
          <w:tcPr>
            <w:tcW w:w="1043" w:type="dxa"/>
            <w:tcBorders>
              <w:top w:val="single" w:sz="4" w:space="0" w:color="000000"/>
              <w:bottom w:val="single" w:sz="4" w:space="0" w:color="000000"/>
            </w:tcBorders>
          </w:tcPr>
          <w:p w14:paraId="6FD5A70B" w14:textId="77777777" w:rsidR="00B449D0" w:rsidRDefault="00175344">
            <w:pPr>
              <w:pStyle w:val="MeasureTableDataRightAlignedwith2ptsspacing"/>
              <w:keepNext/>
            </w:pPr>
            <w:r>
              <w:t>1.1</w:t>
            </w:r>
          </w:p>
        </w:tc>
      </w:tr>
      <w:tr w:rsidR="00B449D0" w14:paraId="130C3F44" w14:textId="77777777">
        <w:trPr>
          <w:cantSplit/>
        </w:trPr>
        <w:tc>
          <w:tcPr>
            <w:tcW w:w="2494" w:type="dxa"/>
            <w:tcBorders>
              <w:top w:val="single" w:sz="4" w:space="0" w:color="000000"/>
              <w:bottom w:val="single" w:sz="4" w:space="0" w:color="000000"/>
            </w:tcBorders>
          </w:tcPr>
          <w:p w14:paraId="3DF3BBD9"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4A7A3DA3" w14:textId="75AA325B"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4E9B6CD5" w14:textId="77777777" w:rsidR="00B449D0" w:rsidRDefault="00175344">
            <w:pPr>
              <w:pStyle w:val="Totaldatarowrightaligned"/>
              <w:keepNext/>
            </w:pPr>
            <w:r>
              <w:t>9.5</w:t>
            </w:r>
          </w:p>
        </w:tc>
        <w:tc>
          <w:tcPr>
            <w:tcW w:w="1043" w:type="dxa"/>
            <w:tcBorders>
              <w:top w:val="single" w:sz="4" w:space="0" w:color="000000"/>
              <w:bottom w:val="single" w:sz="4" w:space="0" w:color="000000"/>
            </w:tcBorders>
          </w:tcPr>
          <w:p w14:paraId="3BAB0052" w14:textId="77777777" w:rsidR="00B449D0" w:rsidRDefault="00175344">
            <w:pPr>
              <w:pStyle w:val="Totaldatarowrightaligned"/>
              <w:keepNext/>
            </w:pPr>
            <w:r>
              <w:t>30.7</w:t>
            </w:r>
          </w:p>
        </w:tc>
        <w:tc>
          <w:tcPr>
            <w:tcW w:w="1043" w:type="dxa"/>
            <w:tcBorders>
              <w:top w:val="single" w:sz="4" w:space="0" w:color="000000"/>
              <w:bottom w:val="single" w:sz="4" w:space="0" w:color="000000"/>
            </w:tcBorders>
          </w:tcPr>
          <w:p w14:paraId="2A381492" w14:textId="77777777" w:rsidR="00B449D0" w:rsidRDefault="00175344">
            <w:pPr>
              <w:pStyle w:val="Totaldatarowrightaligned"/>
              <w:keepNext/>
            </w:pPr>
            <w:r>
              <w:t>18.8</w:t>
            </w:r>
          </w:p>
        </w:tc>
        <w:tc>
          <w:tcPr>
            <w:tcW w:w="1043" w:type="dxa"/>
            <w:tcBorders>
              <w:top w:val="single" w:sz="4" w:space="0" w:color="000000"/>
              <w:bottom w:val="single" w:sz="4" w:space="0" w:color="000000"/>
            </w:tcBorders>
          </w:tcPr>
          <w:p w14:paraId="4479E328" w14:textId="77777777" w:rsidR="00B449D0" w:rsidRDefault="00175344">
            <w:pPr>
              <w:pStyle w:val="Totaldatarowrightaligned"/>
              <w:keepNext/>
            </w:pPr>
            <w:r>
              <w:t>17.1</w:t>
            </w:r>
          </w:p>
        </w:tc>
      </w:tr>
    </w:tbl>
    <w:p w14:paraId="57E3BCFD" w14:textId="77777777" w:rsidR="00B449D0" w:rsidRDefault="00B449D0" w:rsidP="00380A42">
      <w:pPr>
        <w:pStyle w:val="SingleParagraph0"/>
      </w:pPr>
    </w:p>
    <w:p w14:paraId="56D612F8" w14:textId="77777777" w:rsidR="00B449D0" w:rsidRDefault="00175344">
      <w:pPr>
        <w:pStyle w:val="Normal2"/>
      </w:pPr>
      <w:r w:rsidRPr="7F762F0D">
        <w:rPr>
          <w:lang w:val="en-US"/>
        </w:rPr>
        <w:t>The Government will provide $76.1 million over four years from 2024–25 (and $16.9 million per year ongoing from 2028–29) to establish a minimum age of access to social media. Funding includes:</w:t>
      </w:r>
    </w:p>
    <w:p w14:paraId="6DA2A4DC" w14:textId="77777777" w:rsidR="00B449D0" w:rsidRDefault="00175344">
      <w:pPr>
        <w:pStyle w:val="Bullet"/>
      </w:pPr>
      <w:r>
        <w:t>$45.7 million over four years from 2024–25 (and $12.3 million per year ongoing) for the Office of the eSafety Commissioner to provide regulatory oversight and enforcement functions</w:t>
      </w:r>
    </w:p>
    <w:p w14:paraId="139B73ED" w14:textId="66254193" w:rsidR="00B449D0" w:rsidRDefault="00175344">
      <w:pPr>
        <w:pStyle w:val="Bullet"/>
      </w:pPr>
      <w:r>
        <w:t>$15.5 million over four years from 2024–25 (and $3.5 million per year ongoing) for the Department of Infrastructure, Transport, Regional Development, Communications and the Arts to support the delivery of the Government</w:t>
      </w:r>
      <w:r w:rsidR="00076D78">
        <w:t>’</w:t>
      </w:r>
      <w:r>
        <w:t>s online safety priorities</w:t>
      </w:r>
    </w:p>
    <w:p w14:paraId="4DBB0312" w14:textId="77777777" w:rsidR="00B449D0" w:rsidRDefault="00175344">
      <w:pPr>
        <w:pStyle w:val="Bullet"/>
      </w:pPr>
      <w:r>
        <w:t>$10.0 million over two years from 2024–25 to deliver a national public education campaign to help parents and carers, as well as young people, their educators and the community understand changes to aid the transition to a social media minimum age</w:t>
      </w:r>
    </w:p>
    <w:p w14:paraId="1A719751" w14:textId="77777777" w:rsidR="00B449D0" w:rsidRDefault="00175344">
      <w:pPr>
        <w:pStyle w:val="Bullet"/>
      </w:pPr>
      <w:r>
        <w:lastRenderedPageBreak/>
        <w:t>$5.0 million over four years from 2024–25 (and $1.1 million per year ongoing) for the Office of the Australian Information Commissioner to provide regulatory oversight of the privacy safeguards.</w:t>
      </w:r>
    </w:p>
    <w:p w14:paraId="12C6C6BC" w14:textId="77777777" w:rsidR="00B449D0" w:rsidRDefault="00175344">
      <w:pPr>
        <w:pStyle w:val="MeasureTitle"/>
      </w:pPr>
      <w:r>
        <w:t>Supporting Aviation Priorities</w:t>
      </w:r>
    </w:p>
    <w:p w14:paraId="6EC2D8A2"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679167B3" w14:textId="77777777">
        <w:trPr>
          <w:cantSplit/>
        </w:trPr>
        <w:tc>
          <w:tcPr>
            <w:tcW w:w="2494" w:type="dxa"/>
            <w:tcBorders>
              <w:top w:val="single" w:sz="4" w:space="0" w:color="000000"/>
              <w:bottom w:val="single" w:sz="4" w:space="0" w:color="000000"/>
            </w:tcBorders>
          </w:tcPr>
          <w:p w14:paraId="43FDC3D9" w14:textId="77777777" w:rsidR="00B449D0" w:rsidRDefault="00B449D0">
            <w:pPr>
              <w:pStyle w:val="MeasureTableYearHeadings"/>
              <w:keepNext/>
            </w:pPr>
          </w:p>
        </w:tc>
        <w:tc>
          <w:tcPr>
            <w:tcW w:w="1043" w:type="dxa"/>
            <w:tcBorders>
              <w:top w:val="single" w:sz="4" w:space="0" w:color="000000"/>
              <w:bottom w:val="single" w:sz="4" w:space="0" w:color="000000"/>
            </w:tcBorders>
          </w:tcPr>
          <w:p w14:paraId="794F458D" w14:textId="3E4AE30E"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712C3DBD" w14:textId="359D29E7"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49495DE4" w14:textId="3B2FCD82"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1EA3D2C4" w14:textId="74B27D5C"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0DD96201" w14:textId="1417F8D9" w:rsidR="00B449D0" w:rsidRDefault="00175344">
            <w:pPr>
              <w:pStyle w:val="MeasureTableYearHeadings"/>
              <w:keepNext/>
            </w:pPr>
            <w:r>
              <w:t>2027</w:t>
            </w:r>
            <w:r w:rsidR="00076D78">
              <w:noBreakHyphen/>
            </w:r>
            <w:r>
              <w:t>28</w:t>
            </w:r>
          </w:p>
        </w:tc>
      </w:tr>
      <w:tr w:rsidR="00B449D0" w14:paraId="04790365" w14:textId="77777777">
        <w:trPr>
          <w:cantSplit/>
        </w:trPr>
        <w:tc>
          <w:tcPr>
            <w:tcW w:w="2494" w:type="dxa"/>
            <w:tcBorders>
              <w:top w:val="single" w:sz="4" w:space="0" w:color="000000"/>
              <w:bottom w:val="single" w:sz="4" w:space="0" w:color="000000"/>
            </w:tcBorders>
          </w:tcPr>
          <w:p w14:paraId="504425BA" w14:textId="77777777" w:rsidR="00B449D0" w:rsidRDefault="00175344">
            <w:pPr>
              <w:pStyle w:val="MeasureTableHeadingleftalignedwith2ptsspacing"/>
              <w:keepNext/>
            </w:pPr>
            <w:r>
              <w:t>Department of Infrastructure, Transport, Regional Development, Communications and the Arts</w:t>
            </w:r>
          </w:p>
        </w:tc>
        <w:tc>
          <w:tcPr>
            <w:tcW w:w="1043" w:type="dxa"/>
            <w:tcBorders>
              <w:top w:val="single" w:sz="4" w:space="0" w:color="000000"/>
              <w:bottom w:val="single" w:sz="4" w:space="0" w:color="000000"/>
            </w:tcBorders>
          </w:tcPr>
          <w:p w14:paraId="61683965" w14:textId="325531A6"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66EB5F3" w14:textId="77777777" w:rsidR="00B449D0" w:rsidRDefault="00175344">
            <w:pPr>
              <w:pStyle w:val="MeasureTableDataRightAlignedwith2ptsspacing"/>
              <w:keepNext/>
            </w:pPr>
            <w:r>
              <w:t>14.2</w:t>
            </w:r>
          </w:p>
        </w:tc>
        <w:tc>
          <w:tcPr>
            <w:tcW w:w="1043" w:type="dxa"/>
            <w:tcBorders>
              <w:top w:val="single" w:sz="4" w:space="0" w:color="000000"/>
              <w:bottom w:val="single" w:sz="4" w:space="0" w:color="000000"/>
            </w:tcBorders>
          </w:tcPr>
          <w:p w14:paraId="10471873" w14:textId="77777777" w:rsidR="00B449D0" w:rsidRDefault="00175344">
            <w:pPr>
              <w:pStyle w:val="MeasureTableDataRightAlignedwith2ptsspacing"/>
              <w:keepNext/>
            </w:pPr>
            <w:r>
              <w:t>1.7</w:t>
            </w:r>
          </w:p>
        </w:tc>
        <w:tc>
          <w:tcPr>
            <w:tcW w:w="1043" w:type="dxa"/>
            <w:tcBorders>
              <w:top w:val="single" w:sz="4" w:space="0" w:color="000000"/>
              <w:bottom w:val="single" w:sz="4" w:space="0" w:color="000000"/>
            </w:tcBorders>
          </w:tcPr>
          <w:p w14:paraId="1281C048" w14:textId="07098F6F"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6BA4F18" w14:textId="137A89AF" w:rsidR="00B449D0" w:rsidRDefault="00076D78">
            <w:pPr>
              <w:pStyle w:val="MeasureTableDataRightAlignedwith2ptsspacing"/>
              <w:keepNext/>
            </w:pPr>
            <w:r>
              <w:noBreakHyphen/>
            </w:r>
          </w:p>
        </w:tc>
      </w:tr>
      <w:tr w:rsidR="00B449D0" w14:paraId="150B5E34" w14:textId="77777777">
        <w:trPr>
          <w:cantSplit/>
        </w:trPr>
        <w:tc>
          <w:tcPr>
            <w:tcW w:w="2494" w:type="dxa"/>
            <w:tcBorders>
              <w:top w:val="single" w:sz="4" w:space="0" w:color="000000"/>
              <w:bottom w:val="single" w:sz="4" w:space="0" w:color="000000"/>
            </w:tcBorders>
          </w:tcPr>
          <w:p w14:paraId="3183EB98" w14:textId="77777777" w:rsidR="00B449D0" w:rsidRDefault="00175344">
            <w:pPr>
              <w:pStyle w:val="MeasureTableHeadingleftalignedwith2ptsspacing"/>
              <w:keepNext/>
            </w:pPr>
            <w:r>
              <w:t>Department of the Treasury</w:t>
            </w:r>
          </w:p>
        </w:tc>
        <w:tc>
          <w:tcPr>
            <w:tcW w:w="1043" w:type="dxa"/>
            <w:tcBorders>
              <w:top w:val="single" w:sz="4" w:space="0" w:color="000000"/>
              <w:bottom w:val="single" w:sz="4" w:space="0" w:color="000000"/>
            </w:tcBorders>
          </w:tcPr>
          <w:p w14:paraId="2CF1FF03" w14:textId="3BD4CAB3"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AD0D2EE" w14:textId="77777777" w:rsidR="00B449D0" w:rsidRDefault="00175344">
            <w:pPr>
              <w:pStyle w:val="MeasureTableDataRightAlignedwith2ptsspacing"/>
              <w:keepNext/>
            </w:pPr>
            <w:r>
              <w:t>10.0</w:t>
            </w:r>
          </w:p>
        </w:tc>
        <w:tc>
          <w:tcPr>
            <w:tcW w:w="1043" w:type="dxa"/>
            <w:tcBorders>
              <w:top w:val="single" w:sz="4" w:space="0" w:color="000000"/>
              <w:bottom w:val="single" w:sz="4" w:space="0" w:color="000000"/>
            </w:tcBorders>
          </w:tcPr>
          <w:p w14:paraId="1838E12F" w14:textId="77777777" w:rsidR="00B449D0" w:rsidRDefault="00175344">
            <w:pPr>
              <w:pStyle w:val="MeasureTableDataRightAlignedwith2ptsspacing"/>
              <w:keepNext/>
            </w:pPr>
            <w:r>
              <w:t>6.2</w:t>
            </w:r>
          </w:p>
        </w:tc>
        <w:tc>
          <w:tcPr>
            <w:tcW w:w="1043" w:type="dxa"/>
            <w:tcBorders>
              <w:top w:val="single" w:sz="4" w:space="0" w:color="000000"/>
              <w:bottom w:val="single" w:sz="4" w:space="0" w:color="000000"/>
            </w:tcBorders>
          </w:tcPr>
          <w:p w14:paraId="5923910E" w14:textId="274855D2"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4809CC7" w14:textId="33D87938" w:rsidR="00B449D0" w:rsidRDefault="00076D78">
            <w:pPr>
              <w:pStyle w:val="MeasureTableDataRightAlignedwith2ptsspacing"/>
              <w:keepNext/>
            </w:pPr>
            <w:r>
              <w:noBreakHyphen/>
            </w:r>
          </w:p>
        </w:tc>
      </w:tr>
      <w:tr w:rsidR="00B449D0" w14:paraId="64484BB4" w14:textId="77777777">
        <w:trPr>
          <w:cantSplit/>
        </w:trPr>
        <w:tc>
          <w:tcPr>
            <w:tcW w:w="2494" w:type="dxa"/>
            <w:tcBorders>
              <w:top w:val="single" w:sz="4" w:space="0" w:color="000000"/>
              <w:bottom w:val="single" w:sz="4" w:space="0" w:color="000000"/>
            </w:tcBorders>
          </w:tcPr>
          <w:p w14:paraId="7029B78C" w14:textId="57C3BDED" w:rsidR="00B449D0" w:rsidRDefault="00175344">
            <w:pPr>
              <w:pStyle w:val="MeasureTableHeadingleftalignedwith2ptsspacing"/>
              <w:keepNext/>
            </w:pPr>
            <w:r>
              <w:t>Attorney</w:t>
            </w:r>
            <w:r w:rsidR="00076D78">
              <w:noBreakHyphen/>
            </w:r>
            <w:r>
              <w:t>General</w:t>
            </w:r>
            <w:r w:rsidR="00076D78">
              <w:t>’</w:t>
            </w:r>
            <w:r>
              <w:t>s Department</w:t>
            </w:r>
          </w:p>
        </w:tc>
        <w:tc>
          <w:tcPr>
            <w:tcW w:w="1043" w:type="dxa"/>
            <w:tcBorders>
              <w:top w:val="single" w:sz="4" w:space="0" w:color="000000"/>
              <w:bottom w:val="single" w:sz="4" w:space="0" w:color="000000"/>
            </w:tcBorders>
          </w:tcPr>
          <w:p w14:paraId="0B735AB7" w14:textId="3974703D"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636BE4D6" w14:textId="56956D42"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D36D516" w14:textId="7508A1E9"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B9983AE" w14:textId="780EF782"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B5DB07B" w14:textId="5E6FAC80" w:rsidR="00B449D0" w:rsidRDefault="00076D78">
            <w:pPr>
              <w:pStyle w:val="MeasureTableDataRightAlignedwith2ptsspacing"/>
              <w:keepNext/>
            </w:pPr>
            <w:r>
              <w:noBreakHyphen/>
            </w:r>
          </w:p>
        </w:tc>
      </w:tr>
      <w:tr w:rsidR="00B449D0" w14:paraId="25FB16B7" w14:textId="77777777">
        <w:trPr>
          <w:cantSplit/>
        </w:trPr>
        <w:tc>
          <w:tcPr>
            <w:tcW w:w="2494" w:type="dxa"/>
            <w:tcBorders>
              <w:top w:val="single" w:sz="4" w:space="0" w:color="000000"/>
              <w:bottom w:val="single" w:sz="4" w:space="0" w:color="000000"/>
            </w:tcBorders>
          </w:tcPr>
          <w:p w14:paraId="448D1D3F"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74A7C017" w14:textId="25A4AC1A"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62813A20" w14:textId="77777777" w:rsidR="00B449D0" w:rsidRDefault="00175344">
            <w:pPr>
              <w:pStyle w:val="Totaldatarowrightaligned"/>
              <w:keepNext/>
            </w:pPr>
            <w:r>
              <w:t>24.2</w:t>
            </w:r>
          </w:p>
        </w:tc>
        <w:tc>
          <w:tcPr>
            <w:tcW w:w="1043" w:type="dxa"/>
            <w:tcBorders>
              <w:top w:val="single" w:sz="4" w:space="0" w:color="000000"/>
              <w:bottom w:val="single" w:sz="4" w:space="0" w:color="000000"/>
            </w:tcBorders>
          </w:tcPr>
          <w:p w14:paraId="129FBC90" w14:textId="77777777" w:rsidR="00B449D0" w:rsidRDefault="00175344">
            <w:pPr>
              <w:pStyle w:val="Totaldatarowrightaligned"/>
              <w:keepNext/>
            </w:pPr>
            <w:r>
              <w:t>7.9</w:t>
            </w:r>
          </w:p>
        </w:tc>
        <w:tc>
          <w:tcPr>
            <w:tcW w:w="1043" w:type="dxa"/>
            <w:tcBorders>
              <w:top w:val="single" w:sz="4" w:space="0" w:color="000000"/>
              <w:bottom w:val="single" w:sz="4" w:space="0" w:color="000000"/>
            </w:tcBorders>
          </w:tcPr>
          <w:p w14:paraId="1511991C" w14:textId="6080C031"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5F2B94DF" w14:textId="062D1482" w:rsidR="00B449D0" w:rsidRDefault="00076D78">
            <w:pPr>
              <w:pStyle w:val="Totaldatarowrightaligned"/>
              <w:keepNext/>
            </w:pPr>
            <w:r>
              <w:noBreakHyphen/>
            </w:r>
          </w:p>
        </w:tc>
      </w:tr>
      <w:tr w:rsidR="00B449D0" w14:paraId="04972411" w14:textId="77777777">
        <w:trPr>
          <w:cantSplit/>
        </w:trPr>
        <w:tc>
          <w:tcPr>
            <w:tcW w:w="2494" w:type="dxa"/>
          </w:tcPr>
          <w:p w14:paraId="2CA32CF2" w14:textId="77777777" w:rsidR="00B449D0" w:rsidRDefault="00175344">
            <w:pPr>
              <w:pStyle w:val="AgencyName"/>
              <w:keepNext/>
            </w:pPr>
            <w:r>
              <w:t>Related receipts ($m)</w:t>
            </w:r>
          </w:p>
        </w:tc>
        <w:tc>
          <w:tcPr>
            <w:tcW w:w="1043" w:type="dxa"/>
          </w:tcPr>
          <w:p w14:paraId="0AFFF7D0" w14:textId="77777777" w:rsidR="00B449D0" w:rsidRDefault="00B449D0">
            <w:pPr>
              <w:pStyle w:val="AgencyName"/>
              <w:keepNext/>
            </w:pPr>
          </w:p>
        </w:tc>
        <w:tc>
          <w:tcPr>
            <w:tcW w:w="1043" w:type="dxa"/>
          </w:tcPr>
          <w:p w14:paraId="18D2AD5F" w14:textId="77777777" w:rsidR="00B449D0" w:rsidRDefault="00B449D0">
            <w:pPr>
              <w:pStyle w:val="AgencyName"/>
              <w:keepNext/>
            </w:pPr>
          </w:p>
        </w:tc>
        <w:tc>
          <w:tcPr>
            <w:tcW w:w="1043" w:type="dxa"/>
          </w:tcPr>
          <w:p w14:paraId="6551E1F0" w14:textId="77777777" w:rsidR="00B449D0" w:rsidRDefault="00B449D0">
            <w:pPr>
              <w:pStyle w:val="AgencyName"/>
              <w:keepNext/>
            </w:pPr>
          </w:p>
        </w:tc>
        <w:tc>
          <w:tcPr>
            <w:tcW w:w="1043" w:type="dxa"/>
          </w:tcPr>
          <w:p w14:paraId="11559885" w14:textId="77777777" w:rsidR="00B449D0" w:rsidRDefault="00B449D0">
            <w:pPr>
              <w:pStyle w:val="AgencyName"/>
              <w:keepNext/>
            </w:pPr>
          </w:p>
        </w:tc>
        <w:tc>
          <w:tcPr>
            <w:tcW w:w="1043" w:type="dxa"/>
          </w:tcPr>
          <w:p w14:paraId="1BC8E21D" w14:textId="77777777" w:rsidR="00B449D0" w:rsidRDefault="00B449D0">
            <w:pPr>
              <w:pStyle w:val="AgencyName"/>
              <w:keepNext/>
            </w:pPr>
          </w:p>
        </w:tc>
      </w:tr>
      <w:tr w:rsidR="00B449D0" w14:paraId="3BF9A8A7" w14:textId="77777777">
        <w:tc>
          <w:tcPr>
            <w:tcW w:w="2494" w:type="dxa"/>
          </w:tcPr>
          <w:p w14:paraId="354F5620" w14:textId="77777777" w:rsidR="00B449D0" w:rsidRDefault="00175344">
            <w:pPr>
              <w:pStyle w:val="AgencyNamewith2ptsspacing"/>
              <w:keepNext/>
            </w:pPr>
            <w:r>
              <w:t>Department of Infrastructure, Transport, Regional Development, Communications and the Arts</w:t>
            </w:r>
          </w:p>
        </w:tc>
        <w:tc>
          <w:tcPr>
            <w:tcW w:w="1043" w:type="dxa"/>
          </w:tcPr>
          <w:p w14:paraId="3FA7DB13" w14:textId="4B732270" w:rsidR="00B449D0" w:rsidRDefault="00076D78">
            <w:pPr>
              <w:pStyle w:val="Measuretabledatarightaligneditalics"/>
              <w:keepNext/>
            </w:pPr>
            <w:r>
              <w:noBreakHyphen/>
            </w:r>
          </w:p>
        </w:tc>
        <w:tc>
          <w:tcPr>
            <w:tcW w:w="1043" w:type="dxa"/>
          </w:tcPr>
          <w:p w14:paraId="258C2C64" w14:textId="796D3650" w:rsidR="00B449D0" w:rsidRDefault="00076D78">
            <w:pPr>
              <w:pStyle w:val="Measuretabledatarightaligneditalics"/>
              <w:keepNext/>
            </w:pPr>
            <w:r>
              <w:noBreakHyphen/>
            </w:r>
          </w:p>
        </w:tc>
        <w:tc>
          <w:tcPr>
            <w:tcW w:w="1043" w:type="dxa"/>
          </w:tcPr>
          <w:p w14:paraId="0D8FAC8E" w14:textId="77777777" w:rsidR="00B449D0" w:rsidRDefault="00175344">
            <w:pPr>
              <w:pStyle w:val="Measuretabledatarightaligneditalics"/>
              <w:keepNext/>
            </w:pPr>
            <w:r>
              <w:t>nfp</w:t>
            </w:r>
          </w:p>
        </w:tc>
        <w:tc>
          <w:tcPr>
            <w:tcW w:w="1043" w:type="dxa"/>
          </w:tcPr>
          <w:p w14:paraId="5BDB8E37" w14:textId="66F7F83F" w:rsidR="00B449D0" w:rsidRDefault="00076D78">
            <w:pPr>
              <w:pStyle w:val="Measuretabledatarightaligneditalics"/>
              <w:keepNext/>
            </w:pPr>
            <w:r>
              <w:noBreakHyphen/>
            </w:r>
          </w:p>
        </w:tc>
        <w:tc>
          <w:tcPr>
            <w:tcW w:w="1043" w:type="dxa"/>
          </w:tcPr>
          <w:p w14:paraId="10EBAA87" w14:textId="3651B0DC" w:rsidR="00B449D0" w:rsidRDefault="00076D78">
            <w:pPr>
              <w:pStyle w:val="Measuretabledatarightaligneditalics"/>
              <w:keepNext/>
            </w:pPr>
            <w:r>
              <w:noBreakHyphen/>
            </w:r>
          </w:p>
        </w:tc>
      </w:tr>
    </w:tbl>
    <w:p w14:paraId="73C7DD91" w14:textId="77777777" w:rsidR="00B449D0" w:rsidRDefault="00B449D0" w:rsidP="00380A42">
      <w:pPr>
        <w:pStyle w:val="SingleParagraph0"/>
      </w:pPr>
    </w:p>
    <w:p w14:paraId="558BE7C7" w14:textId="77777777" w:rsidR="00B449D0" w:rsidRDefault="00175344">
      <w:pPr>
        <w:pStyle w:val="Normal2"/>
      </w:pPr>
      <w:r>
        <w:t>The Government will provide $44.3 million over four years from 2024–25 to support aviation connectivity for regional and remote communities and implementation of Aviation White Paper initiatives, including:</w:t>
      </w:r>
    </w:p>
    <w:p w14:paraId="7347B0E8" w14:textId="77777777" w:rsidR="00B449D0" w:rsidRDefault="00175344">
      <w:pPr>
        <w:pStyle w:val="Bullet"/>
      </w:pPr>
      <w:r>
        <w:t>$16.2 million over two years from 2024–25 towards the Whyalla Airport runway upgrade</w:t>
      </w:r>
    </w:p>
    <w:p w14:paraId="205A988A" w14:textId="77777777" w:rsidR="00B449D0" w:rsidRDefault="00175344">
      <w:pPr>
        <w:pStyle w:val="Bullet"/>
      </w:pPr>
      <w:r>
        <w:t>$14.2 million in 2024–25 for the Department of Infrastructure, Transport, Regional Development, Communications and the Arts to support the delivery of aviation priorities</w:t>
      </w:r>
    </w:p>
    <w:p w14:paraId="4E9A9B1B" w14:textId="77777777" w:rsidR="00B449D0" w:rsidRDefault="00175344">
      <w:pPr>
        <w:pStyle w:val="Bullet"/>
      </w:pPr>
      <w:r>
        <w:t>$7.2 million over two years from 2024–25 to enhance consumer protections for aviation customers through the establishment of an independent Aviation Industry Ombuds Scheme and a new Aviation Customer Rights Charter</w:t>
      </w:r>
    </w:p>
    <w:p w14:paraId="1C3D44C2" w14:textId="77777777" w:rsidR="00B449D0" w:rsidRDefault="00175344">
      <w:pPr>
        <w:pStyle w:val="Bullet"/>
      </w:pPr>
      <w:r>
        <w:t>$2.7 million over four years from 2024–25 to improve accessibility to air travel for people with disability</w:t>
      </w:r>
    </w:p>
    <w:p w14:paraId="75839A2B" w14:textId="77777777" w:rsidR="00B449D0" w:rsidRDefault="00175344">
      <w:pPr>
        <w:pStyle w:val="Bullet"/>
      </w:pPr>
      <w:r>
        <w:t>$2.4 million over two years from 2024–25 to improve planning on and around federally leased airports to minimise the impacts of aircraft noise</w:t>
      </w:r>
    </w:p>
    <w:p w14:paraId="54BE5FB4" w14:textId="77777777" w:rsidR="00B449D0" w:rsidRDefault="00175344">
      <w:pPr>
        <w:pStyle w:val="Bullet"/>
      </w:pPr>
      <w:r>
        <w:t xml:space="preserve">$1.7 million in 2025–26 for the </w:t>
      </w:r>
      <w:r w:rsidRPr="00175344">
        <w:rPr>
          <w:i/>
        </w:rPr>
        <w:t>Remote Air Services Subsidy Scheme</w:t>
      </w:r>
      <w:r>
        <w:t xml:space="preserve"> to continue to subsidise the carriage of passengers and essential goods to communities in remote and isolated areas of Australia.</w:t>
      </w:r>
    </w:p>
    <w:p w14:paraId="266A4E70" w14:textId="77777777" w:rsidR="00B449D0" w:rsidRDefault="00175344">
      <w:pPr>
        <w:pStyle w:val="Normal2"/>
      </w:pPr>
      <w:r w:rsidRPr="7F762F0D">
        <w:rPr>
          <w:lang w:val="en-US"/>
        </w:rPr>
        <w:t>The Government is also providing financing of up to $80.0 million to keep Regional Express (Rex) operational throughout its administration process and is guaranteeing regional flight bookings for Rex customers to 30 June 2025, in line with the approved extension of the convening period by the Federal Court. The financial impacts are not for publication (nfp) as publication would disclose individual financing arrangements with third parties.</w:t>
      </w:r>
    </w:p>
    <w:p w14:paraId="574FF48E" w14:textId="77777777" w:rsidR="00B449D0" w:rsidRDefault="00175344">
      <w:pPr>
        <w:pStyle w:val="Normal2"/>
      </w:pPr>
      <w:r>
        <w:lastRenderedPageBreak/>
        <w:t>The Government has already provided partial funding for this measure.</w:t>
      </w:r>
    </w:p>
    <w:p w14:paraId="3165CB92" w14:textId="77777777" w:rsidR="00B449D0" w:rsidRDefault="00175344">
      <w:pPr>
        <w:pStyle w:val="Normal2"/>
      </w:pPr>
      <w:r>
        <w:t xml:space="preserve">This measure builds on the 2024–25 Budget measure titled </w:t>
      </w:r>
      <w:r w:rsidRPr="00175344">
        <w:rPr>
          <w:i/>
        </w:rPr>
        <w:t>Supporting Transport Priorities.</w:t>
      </w:r>
    </w:p>
    <w:p w14:paraId="293F6DAB" w14:textId="77777777" w:rsidR="00B449D0" w:rsidRDefault="00175344">
      <w:pPr>
        <w:pStyle w:val="MeasureTitle"/>
      </w:pPr>
      <w:r>
        <w:t>Supporting Connectivity</w:t>
      </w:r>
    </w:p>
    <w:p w14:paraId="015EF37F"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397349F8" w14:textId="77777777">
        <w:trPr>
          <w:cantSplit/>
        </w:trPr>
        <w:tc>
          <w:tcPr>
            <w:tcW w:w="2494" w:type="dxa"/>
            <w:tcBorders>
              <w:top w:val="single" w:sz="4" w:space="0" w:color="000000"/>
              <w:bottom w:val="single" w:sz="4" w:space="0" w:color="000000"/>
            </w:tcBorders>
          </w:tcPr>
          <w:p w14:paraId="32AFEF5B" w14:textId="77777777" w:rsidR="00B449D0" w:rsidRDefault="00B449D0">
            <w:pPr>
              <w:pStyle w:val="MeasureTableYearHeadings"/>
              <w:keepNext/>
            </w:pPr>
          </w:p>
        </w:tc>
        <w:tc>
          <w:tcPr>
            <w:tcW w:w="1043" w:type="dxa"/>
            <w:tcBorders>
              <w:top w:val="single" w:sz="4" w:space="0" w:color="000000"/>
              <w:bottom w:val="single" w:sz="4" w:space="0" w:color="000000"/>
            </w:tcBorders>
          </w:tcPr>
          <w:p w14:paraId="227E53F2" w14:textId="0D55629A"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636740BE" w14:textId="6580441D"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0B2BA8B5" w14:textId="1E8478FB"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24F3E44C" w14:textId="3F20EA7B"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3B8A0875" w14:textId="0CDC12F6" w:rsidR="00B449D0" w:rsidRDefault="00175344">
            <w:pPr>
              <w:pStyle w:val="MeasureTableYearHeadings"/>
              <w:keepNext/>
            </w:pPr>
            <w:r>
              <w:t>2027</w:t>
            </w:r>
            <w:r w:rsidR="00076D78">
              <w:noBreakHyphen/>
            </w:r>
            <w:r>
              <w:t>28</w:t>
            </w:r>
          </w:p>
        </w:tc>
      </w:tr>
      <w:tr w:rsidR="00B449D0" w14:paraId="71081C65" w14:textId="77777777">
        <w:trPr>
          <w:cantSplit/>
        </w:trPr>
        <w:tc>
          <w:tcPr>
            <w:tcW w:w="2494" w:type="dxa"/>
            <w:tcBorders>
              <w:top w:val="single" w:sz="4" w:space="0" w:color="000000"/>
              <w:bottom w:val="single" w:sz="4" w:space="0" w:color="000000"/>
            </w:tcBorders>
          </w:tcPr>
          <w:p w14:paraId="16E9844A" w14:textId="77777777" w:rsidR="00B449D0" w:rsidRDefault="00175344">
            <w:pPr>
              <w:pStyle w:val="MeasureTableHeadingleftalignedwith2ptsspacing"/>
              <w:keepNext/>
            </w:pPr>
            <w:r>
              <w:t>Department of the Treasury</w:t>
            </w:r>
          </w:p>
        </w:tc>
        <w:tc>
          <w:tcPr>
            <w:tcW w:w="1043" w:type="dxa"/>
            <w:tcBorders>
              <w:top w:val="single" w:sz="4" w:space="0" w:color="000000"/>
              <w:bottom w:val="single" w:sz="4" w:space="0" w:color="000000"/>
            </w:tcBorders>
          </w:tcPr>
          <w:p w14:paraId="1784D284" w14:textId="5677AF97"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D8CDE4E" w14:textId="77777777" w:rsidR="00B449D0" w:rsidRDefault="00175344">
            <w:pPr>
              <w:pStyle w:val="MeasureTableDataRightAlignedwith2ptsspacing"/>
              <w:keepNext/>
            </w:pPr>
            <w:r>
              <w:t>2.0</w:t>
            </w:r>
          </w:p>
        </w:tc>
        <w:tc>
          <w:tcPr>
            <w:tcW w:w="1043" w:type="dxa"/>
            <w:tcBorders>
              <w:top w:val="single" w:sz="4" w:space="0" w:color="000000"/>
              <w:bottom w:val="single" w:sz="4" w:space="0" w:color="000000"/>
            </w:tcBorders>
          </w:tcPr>
          <w:p w14:paraId="003933B3" w14:textId="0D43AC7A"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D8119F1" w14:textId="4298E11C"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CCD0A11" w14:textId="7EB94EEE" w:rsidR="00B449D0" w:rsidRDefault="00076D78">
            <w:pPr>
              <w:pStyle w:val="MeasureTableDataRightAlignedwith2ptsspacing"/>
              <w:keepNext/>
            </w:pPr>
            <w:r>
              <w:noBreakHyphen/>
            </w:r>
          </w:p>
        </w:tc>
      </w:tr>
      <w:tr w:rsidR="00B449D0" w14:paraId="118652A2" w14:textId="77777777">
        <w:trPr>
          <w:cantSplit/>
        </w:trPr>
        <w:tc>
          <w:tcPr>
            <w:tcW w:w="2494" w:type="dxa"/>
            <w:tcBorders>
              <w:top w:val="single" w:sz="4" w:space="0" w:color="000000"/>
              <w:bottom w:val="single" w:sz="4" w:space="0" w:color="000000"/>
            </w:tcBorders>
          </w:tcPr>
          <w:p w14:paraId="5F362FF2" w14:textId="77777777" w:rsidR="00B449D0" w:rsidRDefault="00175344">
            <w:pPr>
              <w:pStyle w:val="MeasureTableHeadingleftalignedwith2ptsspacing"/>
              <w:keepNext/>
            </w:pPr>
            <w:r>
              <w:t>Department of Infrastructure, Transport, Regional Development, Communications and the Arts</w:t>
            </w:r>
          </w:p>
        </w:tc>
        <w:tc>
          <w:tcPr>
            <w:tcW w:w="1043" w:type="dxa"/>
            <w:tcBorders>
              <w:top w:val="single" w:sz="4" w:space="0" w:color="000000"/>
              <w:bottom w:val="single" w:sz="4" w:space="0" w:color="000000"/>
            </w:tcBorders>
          </w:tcPr>
          <w:p w14:paraId="3CDA4E6D" w14:textId="36CDB85E"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DFF7A93" w14:textId="1FA2D6D3" w:rsidR="00B449D0" w:rsidRDefault="00076D78">
            <w:pPr>
              <w:pStyle w:val="MeasureTableDataRightAlignedwith2ptsspacing"/>
              <w:keepNext/>
            </w:pPr>
            <w:r>
              <w:noBreakHyphen/>
            </w:r>
            <w:r w:rsidR="00175344">
              <w:t>1.2</w:t>
            </w:r>
          </w:p>
        </w:tc>
        <w:tc>
          <w:tcPr>
            <w:tcW w:w="1043" w:type="dxa"/>
            <w:tcBorders>
              <w:top w:val="single" w:sz="4" w:space="0" w:color="000000"/>
              <w:bottom w:val="single" w:sz="4" w:space="0" w:color="000000"/>
            </w:tcBorders>
          </w:tcPr>
          <w:p w14:paraId="6D0E1E1C" w14:textId="77777777" w:rsidR="00B449D0" w:rsidRDefault="00175344">
            <w:pPr>
              <w:pStyle w:val="MeasureTableDataRightAlignedwith2ptsspacing"/>
              <w:keepNext/>
            </w:pPr>
            <w:r>
              <w:t>1.1</w:t>
            </w:r>
          </w:p>
        </w:tc>
        <w:tc>
          <w:tcPr>
            <w:tcW w:w="1043" w:type="dxa"/>
            <w:tcBorders>
              <w:top w:val="single" w:sz="4" w:space="0" w:color="000000"/>
              <w:bottom w:val="single" w:sz="4" w:space="0" w:color="000000"/>
            </w:tcBorders>
          </w:tcPr>
          <w:p w14:paraId="51A607AA" w14:textId="77777777" w:rsidR="00B449D0" w:rsidRDefault="00175344">
            <w:pPr>
              <w:pStyle w:val="MeasureTableDataRightAlignedwith2ptsspacing"/>
              <w:keepNext/>
            </w:pPr>
            <w:r>
              <w:t>1.2</w:t>
            </w:r>
          </w:p>
        </w:tc>
        <w:tc>
          <w:tcPr>
            <w:tcW w:w="1043" w:type="dxa"/>
            <w:tcBorders>
              <w:top w:val="single" w:sz="4" w:space="0" w:color="000000"/>
              <w:bottom w:val="single" w:sz="4" w:space="0" w:color="000000"/>
            </w:tcBorders>
          </w:tcPr>
          <w:p w14:paraId="6980E962" w14:textId="77777777" w:rsidR="00B449D0" w:rsidRDefault="00175344">
            <w:pPr>
              <w:pStyle w:val="MeasureTableDataRightAlignedwith2ptsspacing"/>
              <w:keepNext/>
            </w:pPr>
            <w:r>
              <w:t>1.2</w:t>
            </w:r>
          </w:p>
        </w:tc>
      </w:tr>
      <w:tr w:rsidR="00B449D0" w14:paraId="225A1D89" w14:textId="77777777">
        <w:trPr>
          <w:cantSplit/>
        </w:trPr>
        <w:tc>
          <w:tcPr>
            <w:tcW w:w="2494" w:type="dxa"/>
            <w:tcBorders>
              <w:top w:val="single" w:sz="4" w:space="0" w:color="000000"/>
              <w:bottom w:val="single" w:sz="4" w:space="0" w:color="000000"/>
            </w:tcBorders>
          </w:tcPr>
          <w:p w14:paraId="691CD842"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12A139CA" w14:textId="4782EFE9"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4E32BDBE" w14:textId="77777777" w:rsidR="00B449D0" w:rsidRDefault="00175344">
            <w:pPr>
              <w:pStyle w:val="Totaldatarowrightaligned"/>
              <w:keepNext/>
            </w:pPr>
            <w:r>
              <w:t>0.8</w:t>
            </w:r>
          </w:p>
        </w:tc>
        <w:tc>
          <w:tcPr>
            <w:tcW w:w="1043" w:type="dxa"/>
            <w:tcBorders>
              <w:top w:val="single" w:sz="4" w:space="0" w:color="000000"/>
              <w:bottom w:val="single" w:sz="4" w:space="0" w:color="000000"/>
            </w:tcBorders>
          </w:tcPr>
          <w:p w14:paraId="0BA6072E" w14:textId="77777777" w:rsidR="00B449D0" w:rsidRDefault="00175344">
            <w:pPr>
              <w:pStyle w:val="Totaldatarowrightaligned"/>
              <w:keepNext/>
            </w:pPr>
            <w:r>
              <w:t>1.1</w:t>
            </w:r>
          </w:p>
        </w:tc>
        <w:tc>
          <w:tcPr>
            <w:tcW w:w="1043" w:type="dxa"/>
            <w:tcBorders>
              <w:top w:val="single" w:sz="4" w:space="0" w:color="000000"/>
              <w:bottom w:val="single" w:sz="4" w:space="0" w:color="000000"/>
            </w:tcBorders>
          </w:tcPr>
          <w:p w14:paraId="7B6E2B6D" w14:textId="77777777" w:rsidR="00B449D0" w:rsidRDefault="00175344">
            <w:pPr>
              <w:pStyle w:val="Totaldatarowrightaligned"/>
              <w:keepNext/>
            </w:pPr>
            <w:r>
              <w:t>1.2</w:t>
            </w:r>
          </w:p>
        </w:tc>
        <w:tc>
          <w:tcPr>
            <w:tcW w:w="1043" w:type="dxa"/>
            <w:tcBorders>
              <w:top w:val="single" w:sz="4" w:space="0" w:color="000000"/>
              <w:bottom w:val="single" w:sz="4" w:space="0" w:color="000000"/>
            </w:tcBorders>
          </w:tcPr>
          <w:p w14:paraId="4C84EBE2" w14:textId="77777777" w:rsidR="00B449D0" w:rsidRDefault="00175344">
            <w:pPr>
              <w:pStyle w:val="Totaldatarowrightaligned"/>
              <w:keepNext/>
            </w:pPr>
            <w:r>
              <w:t>1.2</w:t>
            </w:r>
          </w:p>
        </w:tc>
      </w:tr>
    </w:tbl>
    <w:p w14:paraId="762BE1D7" w14:textId="77777777" w:rsidR="00B449D0" w:rsidRDefault="00B449D0" w:rsidP="00380A42">
      <w:pPr>
        <w:pStyle w:val="SingleParagraph0"/>
      </w:pPr>
    </w:p>
    <w:p w14:paraId="0C83E37A" w14:textId="77777777" w:rsidR="00B449D0" w:rsidRDefault="00175344">
      <w:pPr>
        <w:pStyle w:val="Normal2"/>
      </w:pPr>
      <w:r>
        <w:t>The Government will provide $23.7 million over four years from 2024–25 (and $1.2 million per year to 2029–30) to support telecommunications connectivity. Funding includes:</w:t>
      </w:r>
    </w:p>
    <w:p w14:paraId="3ABA883A" w14:textId="77777777" w:rsidR="00B449D0" w:rsidRDefault="00175344">
      <w:pPr>
        <w:pStyle w:val="Bullet"/>
      </w:pPr>
      <w:r>
        <w:t>$16.0 million over two years from 2024–25 to extend the Strengthening Telecommunications Against Natural Disasters Package to continue Sky Muster Community Wi‑Fi services at emergency coordination points to 30 June 2029 and to improve telecommunications infrastructure resilience in regional Western Australia</w:t>
      </w:r>
    </w:p>
    <w:p w14:paraId="2108E8CC" w14:textId="77777777" w:rsidR="00B449D0" w:rsidRDefault="00175344">
      <w:pPr>
        <w:pStyle w:val="Bullet"/>
      </w:pPr>
      <w:r>
        <w:t>$4.2 million over four years from 2024–25 (and $1.2 million per year to 2029–30) for the Department of Infrastructure, Transport, Regional Development, Communications and the Arts for the delivery of communications priorities, including boosting connectivity and digital inclusion</w:t>
      </w:r>
    </w:p>
    <w:p w14:paraId="6DD797C6" w14:textId="6F948334" w:rsidR="00B449D0" w:rsidRDefault="00175344">
      <w:pPr>
        <w:pStyle w:val="Bullet"/>
      </w:pPr>
      <w:r>
        <w:t>$3.5 million in 2024–25 for trials to test alternative technology options for legacy voice services to support the design of modern Universal Service Obligation services.</w:t>
      </w:r>
    </w:p>
    <w:p w14:paraId="02E67394" w14:textId="7BFE238E" w:rsidR="00B449D0" w:rsidRDefault="00175344">
      <w:pPr>
        <w:pStyle w:val="Normal2"/>
      </w:pPr>
      <w:r>
        <w:t>The cost of this measure will be partially met by redirecting funding from the 2022</w:t>
      </w:r>
      <w:r w:rsidR="00E80B27">
        <w:t>‍</w:t>
      </w:r>
      <w:r>
        <w:t>–</w:t>
      </w:r>
      <w:r w:rsidR="00E80B27">
        <w:t>‍</w:t>
      </w:r>
      <w:r>
        <w:t xml:space="preserve">23 October Budget measure titled </w:t>
      </w:r>
      <w:r w:rsidRPr="00175344">
        <w:rPr>
          <w:i/>
        </w:rPr>
        <w:t>Better Connectivity Plan for Regional and Rural Australia</w:t>
      </w:r>
      <w:r>
        <w:t>.</w:t>
      </w:r>
    </w:p>
    <w:p w14:paraId="5DECB6ED" w14:textId="77777777" w:rsidR="00B449D0" w:rsidRDefault="00175344">
      <w:pPr>
        <w:pStyle w:val="MeasureTitle"/>
      </w:pPr>
      <w:r>
        <w:lastRenderedPageBreak/>
        <w:t>Supporting News and Media Diversity</w:t>
      </w:r>
    </w:p>
    <w:p w14:paraId="5D328AD9"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75061A93" w14:textId="77777777">
        <w:trPr>
          <w:cantSplit/>
        </w:trPr>
        <w:tc>
          <w:tcPr>
            <w:tcW w:w="2494" w:type="dxa"/>
            <w:tcBorders>
              <w:top w:val="single" w:sz="4" w:space="0" w:color="000000"/>
              <w:bottom w:val="single" w:sz="4" w:space="0" w:color="000000"/>
            </w:tcBorders>
          </w:tcPr>
          <w:p w14:paraId="77059520" w14:textId="77777777" w:rsidR="00B449D0" w:rsidRDefault="00B449D0">
            <w:pPr>
              <w:pStyle w:val="MeasureTableYearHeadings"/>
              <w:keepNext/>
            </w:pPr>
          </w:p>
        </w:tc>
        <w:tc>
          <w:tcPr>
            <w:tcW w:w="1043" w:type="dxa"/>
            <w:tcBorders>
              <w:top w:val="single" w:sz="4" w:space="0" w:color="000000"/>
              <w:bottom w:val="single" w:sz="4" w:space="0" w:color="000000"/>
            </w:tcBorders>
          </w:tcPr>
          <w:p w14:paraId="2C36D4DA" w14:textId="33176A20"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4E907C25" w14:textId="0B7EB3D9"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17F78630" w14:textId="4C2A45E2"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0DE3A4C0" w14:textId="6782F693"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71340DE6" w14:textId="26310153" w:rsidR="00B449D0" w:rsidRDefault="00175344">
            <w:pPr>
              <w:pStyle w:val="MeasureTableYearHeadings"/>
              <w:keepNext/>
            </w:pPr>
            <w:r>
              <w:t>2027</w:t>
            </w:r>
            <w:r w:rsidR="00076D78">
              <w:noBreakHyphen/>
            </w:r>
            <w:r>
              <w:t>28</w:t>
            </w:r>
          </w:p>
        </w:tc>
      </w:tr>
      <w:tr w:rsidR="00B449D0" w14:paraId="4F71BD9F" w14:textId="77777777">
        <w:trPr>
          <w:cantSplit/>
        </w:trPr>
        <w:tc>
          <w:tcPr>
            <w:tcW w:w="2494" w:type="dxa"/>
            <w:tcBorders>
              <w:top w:val="single" w:sz="4" w:space="0" w:color="000000"/>
              <w:bottom w:val="single" w:sz="4" w:space="0" w:color="000000"/>
            </w:tcBorders>
          </w:tcPr>
          <w:p w14:paraId="06367A82" w14:textId="77777777" w:rsidR="00B449D0" w:rsidRDefault="00175344">
            <w:pPr>
              <w:pStyle w:val="MeasureTableHeadingleftalignedwith2ptsspacing"/>
              <w:keepNext/>
            </w:pPr>
            <w:r>
              <w:t>Department of Infrastructure, Transport, Regional Development, Communications and the Arts</w:t>
            </w:r>
          </w:p>
        </w:tc>
        <w:tc>
          <w:tcPr>
            <w:tcW w:w="1043" w:type="dxa"/>
            <w:tcBorders>
              <w:top w:val="single" w:sz="4" w:space="0" w:color="000000"/>
              <w:bottom w:val="single" w:sz="4" w:space="0" w:color="000000"/>
            </w:tcBorders>
          </w:tcPr>
          <w:p w14:paraId="73067F80" w14:textId="18AF46A7"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B564D21" w14:textId="77777777" w:rsidR="00B449D0" w:rsidRDefault="00175344">
            <w:pPr>
              <w:pStyle w:val="MeasureTableDataRightAlignedwith2ptsspacing"/>
              <w:keepNext/>
            </w:pPr>
            <w:r>
              <w:t>2.1</w:t>
            </w:r>
          </w:p>
        </w:tc>
        <w:tc>
          <w:tcPr>
            <w:tcW w:w="1043" w:type="dxa"/>
            <w:tcBorders>
              <w:top w:val="single" w:sz="4" w:space="0" w:color="000000"/>
              <w:bottom w:val="single" w:sz="4" w:space="0" w:color="000000"/>
            </w:tcBorders>
          </w:tcPr>
          <w:p w14:paraId="18D9E01B" w14:textId="77777777" w:rsidR="00B449D0" w:rsidRDefault="00175344">
            <w:pPr>
              <w:pStyle w:val="MeasureTableDataRightAlignedwith2ptsspacing"/>
              <w:keepNext/>
            </w:pPr>
            <w:r>
              <w:t>56.6</w:t>
            </w:r>
          </w:p>
        </w:tc>
        <w:tc>
          <w:tcPr>
            <w:tcW w:w="1043" w:type="dxa"/>
            <w:tcBorders>
              <w:top w:val="single" w:sz="4" w:space="0" w:color="000000"/>
              <w:bottom w:val="single" w:sz="4" w:space="0" w:color="000000"/>
            </w:tcBorders>
          </w:tcPr>
          <w:p w14:paraId="79771B9C" w14:textId="77777777" w:rsidR="00B449D0" w:rsidRDefault="00175344">
            <w:pPr>
              <w:pStyle w:val="MeasureTableDataRightAlignedwith2ptsspacing"/>
              <w:keepNext/>
            </w:pPr>
            <w:r>
              <w:t>55.8</w:t>
            </w:r>
          </w:p>
        </w:tc>
        <w:tc>
          <w:tcPr>
            <w:tcW w:w="1043" w:type="dxa"/>
            <w:tcBorders>
              <w:top w:val="single" w:sz="4" w:space="0" w:color="000000"/>
              <w:bottom w:val="single" w:sz="4" w:space="0" w:color="000000"/>
            </w:tcBorders>
          </w:tcPr>
          <w:p w14:paraId="696B2B87" w14:textId="77777777" w:rsidR="00B449D0" w:rsidRDefault="00175344">
            <w:pPr>
              <w:pStyle w:val="MeasureTableDataRightAlignedwith2ptsspacing"/>
              <w:keepNext/>
            </w:pPr>
            <w:r>
              <w:t>54.9</w:t>
            </w:r>
          </w:p>
        </w:tc>
      </w:tr>
      <w:tr w:rsidR="00B449D0" w14:paraId="35BC7CF3" w14:textId="77777777">
        <w:trPr>
          <w:cantSplit/>
        </w:trPr>
        <w:tc>
          <w:tcPr>
            <w:tcW w:w="2494" w:type="dxa"/>
            <w:tcBorders>
              <w:top w:val="single" w:sz="4" w:space="0" w:color="000000"/>
              <w:bottom w:val="single" w:sz="4" w:space="0" w:color="000000"/>
            </w:tcBorders>
          </w:tcPr>
          <w:p w14:paraId="598465F6" w14:textId="77777777" w:rsidR="00B449D0" w:rsidRDefault="00175344">
            <w:pPr>
              <w:pStyle w:val="MeasureTableHeadingleftalignedwith2ptsspacing"/>
              <w:keepNext/>
            </w:pPr>
            <w:r>
              <w:t>Special Broadcasting Service Corporation</w:t>
            </w:r>
          </w:p>
        </w:tc>
        <w:tc>
          <w:tcPr>
            <w:tcW w:w="1043" w:type="dxa"/>
            <w:tcBorders>
              <w:top w:val="single" w:sz="4" w:space="0" w:color="000000"/>
              <w:bottom w:val="single" w:sz="4" w:space="0" w:color="000000"/>
            </w:tcBorders>
          </w:tcPr>
          <w:p w14:paraId="4748691B" w14:textId="162468CB"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FF50960" w14:textId="77777777" w:rsidR="00B449D0" w:rsidRDefault="00175344">
            <w:pPr>
              <w:pStyle w:val="MeasureTableDataRightAlignedwith2ptsspacing"/>
              <w:keepNext/>
            </w:pPr>
            <w:r>
              <w:t>2.0</w:t>
            </w:r>
          </w:p>
        </w:tc>
        <w:tc>
          <w:tcPr>
            <w:tcW w:w="1043" w:type="dxa"/>
            <w:tcBorders>
              <w:top w:val="single" w:sz="4" w:space="0" w:color="000000"/>
              <w:bottom w:val="single" w:sz="4" w:space="0" w:color="000000"/>
            </w:tcBorders>
          </w:tcPr>
          <w:p w14:paraId="3675762D" w14:textId="77777777" w:rsidR="00B449D0" w:rsidRDefault="00175344">
            <w:pPr>
              <w:pStyle w:val="MeasureTableDataRightAlignedwith2ptsspacing"/>
              <w:keepNext/>
            </w:pPr>
            <w:r>
              <w:t>3.9</w:t>
            </w:r>
          </w:p>
        </w:tc>
        <w:tc>
          <w:tcPr>
            <w:tcW w:w="1043" w:type="dxa"/>
            <w:tcBorders>
              <w:top w:val="single" w:sz="4" w:space="0" w:color="000000"/>
              <w:bottom w:val="single" w:sz="4" w:space="0" w:color="000000"/>
            </w:tcBorders>
          </w:tcPr>
          <w:p w14:paraId="53436F11" w14:textId="3E6088BB"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D08CD65" w14:textId="3D9B87C5" w:rsidR="00B449D0" w:rsidRDefault="00076D78">
            <w:pPr>
              <w:pStyle w:val="MeasureTableDataRightAlignedwith2ptsspacing"/>
              <w:keepNext/>
            </w:pPr>
            <w:r>
              <w:noBreakHyphen/>
            </w:r>
          </w:p>
        </w:tc>
      </w:tr>
      <w:tr w:rsidR="00B449D0" w14:paraId="7DBAA8F2" w14:textId="77777777">
        <w:trPr>
          <w:cantSplit/>
        </w:trPr>
        <w:tc>
          <w:tcPr>
            <w:tcW w:w="2494" w:type="dxa"/>
            <w:tcBorders>
              <w:top w:val="single" w:sz="4" w:space="0" w:color="000000"/>
              <w:bottom w:val="single" w:sz="4" w:space="0" w:color="000000"/>
            </w:tcBorders>
          </w:tcPr>
          <w:p w14:paraId="1B124747" w14:textId="77777777" w:rsidR="00B449D0" w:rsidRDefault="00175344">
            <w:pPr>
              <w:pStyle w:val="MeasureTableHeadingleftalignedwith2ptsspacing"/>
              <w:keepNext/>
            </w:pPr>
            <w:r>
              <w:t>Australian Taxation Office</w:t>
            </w:r>
          </w:p>
        </w:tc>
        <w:tc>
          <w:tcPr>
            <w:tcW w:w="1043" w:type="dxa"/>
            <w:tcBorders>
              <w:top w:val="single" w:sz="4" w:space="0" w:color="000000"/>
              <w:bottom w:val="single" w:sz="4" w:space="0" w:color="000000"/>
            </w:tcBorders>
          </w:tcPr>
          <w:p w14:paraId="27452FD5" w14:textId="2DADD19A"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448CB55" w14:textId="77777777" w:rsidR="00B449D0" w:rsidRDefault="00175344">
            <w:pPr>
              <w:pStyle w:val="MeasureTableDataRightAlignedwith2ptsspacing"/>
              <w:keepNext/>
            </w:pPr>
            <w:r>
              <w:t>0.8</w:t>
            </w:r>
          </w:p>
        </w:tc>
        <w:tc>
          <w:tcPr>
            <w:tcW w:w="1043" w:type="dxa"/>
            <w:tcBorders>
              <w:top w:val="single" w:sz="4" w:space="0" w:color="000000"/>
              <w:bottom w:val="single" w:sz="4" w:space="0" w:color="000000"/>
            </w:tcBorders>
          </w:tcPr>
          <w:p w14:paraId="17AD4443" w14:textId="77777777" w:rsidR="00B449D0" w:rsidRDefault="00175344">
            <w:pPr>
              <w:pStyle w:val="MeasureTableDataRightAlignedwith2ptsspacing"/>
              <w:keepNext/>
            </w:pPr>
            <w:r>
              <w:t>0.8</w:t>
            </w:r>
          </w:p>
        </w:tc>
        <w:tc>
          <w:tcPr>
            <w:tcW w:w="1043" w:type="dxa"/>
            <w:tcBorders>
              <w:top w:val="single" w:sz="4" w:space="0" w:color="000000"/>
              <w:bottom w:val="single" w:sz="4" w:space="0" w:color="000000"/>
            </w:tcBorders>
          </w:tcPr>
          <w:p w14:paraId="6D2083A5" w14:textId="77777777" w:rsidR="00B449D0" w:rsidRDefault="00175344">
            <w:pPr>
              <w:pStyle w:val="MeasureTableDataRightAlignedwith2ptsspacing"/>
              <w:keepNext/>
            </w:pPr>
            <w:r>
              <w:t>0.3</w:t>
            </w:r>
          </w:p>
        </w:tc>
        <w:tc>
          <w:tcPr>
            <w:tcW w:w="1043" w:type="dxa"/>
            <w:tcBorders>
              <w:top w:val="single" w:sz="4" w:space="0" w:color="000000"/>
              <w:bottom w:val="single" w:sz="4" w:space="0" w:color="000000"/>
            </w:tcBorders>
          </w:tcPr>
          <w:p w14:paraId="136751D2" w14:textId="6AC4D2DB" w:rsidR="00B449D0" w:rsidRDefault="00076D78">
            <w:pPr>
              <w:pStyle w:val="MeasureTableDataRightAlignedwith2ptsspacing"/>
              <w:keepNext/>
            </w:pPr>
            <w:r>
              <w:noBreakHyphen/>
            </w:r>
          </w:p>
        </w:tc>
      </w:tr>
      <w:tr w:rsidR="00B449D0" w14:paraId="4E9749FD" w14:textId="77777777">
        <w:trPr>
          <w:cantSplit/>
        </w:trPr>
        <w:tc>
          <w:tcPr>
            <w:tcW w:w="2494" w:type="dxa"/>
            <w:tcBorders>
              <w:top w:val="single" w:sz="4" w:space="0" w:color="000000"/>
              <w:bottom w:val="single" w:sz="4" w:space="0" w:color="000000"/>
            </w:tcBorders>
          </w:tcPr>
          <w:p w14:paraId="7CF04CF0" w14:textId="77777777" w:rsidR="00B449D0" w:rsidRDefault="00175344">
            <w:pPr>
              <w:pStyle w:val="MeasureTableHeadingleftalignedwith2ptsspacing"/>
              <w:keepNext/>
            </w:pPr>
            <w:r>
              <w:t>National Indigenous Australians Agency</w:t>
            </w:r>
          </w:p>
        </w:tc>
        <w:tc>
          <w:tcPr>
            <w:tcW w:w="1043" w:type="dxa"/>
            <w:tcBorders>
              <w:top w:val="single" w:sz="4" w:space="0" w:color="000000"/>
              <w:bottom w:val="single" w:sz="4" w:space="0" w:color="000000"/>
            </w:tcBorders>
          </w:tcPr>
          <w:p w14:paraId="29C48B4D" w14:textId="160C6E92"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420C30A" w14:textId="2786DCCA"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7E74E12" w14:textId="77777777" w:rsidR="00B449D0" w:rsidRDefault="00175344">
            <w:pPr>
              <w:pStyle w:val="MeasureTableDataRightAlignedwith2ptsspacing"/>
              <w:keepNext/>
            </w:pPr>
            <w:r>
              <w:t>4.0</w:t>
            </w:r>
          </w:p>
        </w:tc>
        <w:tc>
          <w:tcPr>
            <w:tcW w:w="1043" w:type="dxa"/>
            <w:tcBorders>
              <w:top w:val="single" w:sz="4" w:space="0" w:color="000000"/>
              <w:bottom w:val="single" w:sz="4" w:space="0" w:color="000000"/>
            </w:tcBorders>
          </w:tcPr>
          <w:p w14:paraId="6FAAD0B1" w14:textId="77777777" w:rsidR="00B449D0" w:rsidRDefault="00175344">
            <w:pPr>
              <w:pStyle w:val="MeasureTableDataRightAlignedwith2ptsspacing"/>
              <w:keepNext/>
            </w:pPr>
            <w:r>
              <w:t>4.0</w:t>
            </w:r>
          </w:p>
        </w:tc>
        <w:tc>
          <w:tcPr>
            <w:tcW w:w="1043" w:type="dxa"/>
            <w:tcBorders>
              <w:top w:val="single" w:sz="4" w:space="0" w:color="000000"/>
              <w:bottom w:val="single" w:sz="4" w:space="0" w:color="000000"/>
            </w:tcBorders>
          </w:tcPr>
          <w:p w14:paraId="0715136F" w14:textId="77777777" w:rsidR="00B449D0" w:rsidRDefault="00175344">
            <w:pPr>
              <w:pStyle w:val="MeasureTableDataRightAlignedwith2ptsspacing"/>
              <w:keepNext/>
            </w:pPr>
            <w:r>
              <w:t>4.0</w:t>
            </w:r>
          </w:p>
        </w:tc>
      </w:tr>
      <w:tr w:rsidR="00B449D0" w14:paraId="4E624FB0" w14:textId="77777777">
        <w:trPr>
          <w:cantSplit/>
        </w:trPr>
        <w:tc>
          <w:tcPr>
            <w:tcW w:w="2494" w:type="dxa"/>
            <w:tcBorders>
              <w:top w:val="single" w:sz="4" w:space="0" w:color="000000"/>
              <w:bottom w:val="single" w:sz="4" w:space="0" w:color="000000"/>
            </w:tcBorders>
          </w:tcPr>
          <w:p w14:paraId="1CFE3F63" w14:textId="77777777" w:rsidR="00B449D0" w:rsidRDefault="00175344">
            <w:pPr>
              <w:pStyle w:val="MeasureTableHeadingleftalignedwith2ptsspacing"/>
              <w:keepNext/>
            </w:pPr>
            <w:r>
              <w:t>Australian Broadcasting Corporation</w:t>
            </w:r>
          </w:p>
        </w:tc>
        <w:tc>
          <w:tcPr>
            <w:tcW w:w="1043" w:type="dxa"/>
            <w:tcBorders>
              <w:top w:val="single" w:sz="4" w:space="0" w:color="000000"/>
              <w:bottom w:val="single" w:sz="4" w:space="0" w:color="000000"/>
            </w:tcBorders>
          </w:tcPr>
          <w:p w14:paraId="60D26F96" w14:textId="1D691E3A"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40FB74B" w14:textId="35731741"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69F77E01" w14:textId="631574D5"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6A9CA53" w14:textId="77777777" w:rsidR="00B449D0" w:rsidRDefault="00175344">
            <w:pPr>
              <w:pStyle w:val="MeasureTableDataRightAlignedwith2ptsspacing"/>
              <w:keepNext/>
            </w:pPr>
            <w:r>
              <w:t>40.9</w:t>
            </w:r>
          </w:p>
        </w:tc>
        <w:tc>
          <w:tcPr>
            <w:tcW w:w="1043" w:type="dxa"/>
            <w:tcBorders>
              <w:top w:val="single" w:sz="4" w:space="0" w:color="000000"/>
              <w:bottom w:val="single" w:sz="4" w:space="0" w:color="000000"/>
            </w:tcBorders>
          </w:tcPr>
          <w:p w14:paraId="4AC3A373" w14:textId="77777777" w:rsidR="00B449D0" w:rsidRDefault="00175344">
            <w:pPr>
              <w:pStyle w:val="MeasureTableDataRightAlignedwith2ptsspacing"/>
              <w:keepNext/>
            </w:pPr>
            <w:r>
              <w:t>42.2</w:t>
            </w:r>
          </w:p>
        </w:tc>
      </w:tr>
      <w:tr w:rsidR="00B449D0" w14:paraId="402ACA16" w14:textId="77777777">
        <w:trPr>
          <w:cantSplit/>
        </w:trPr>
        <w:tc>
          <w:tcPr>
            <w:tcW w:w="2494" w:type="dxa"/>
            <w:tcBorders>
              <w:top w:val="single" w:sz="4" w:space="0" w:color="000000"/>
              <w:bottom w:val="single" w:sz="4" w:space="0" w:color="000000"/>
            </w:tcBorders>
          </w:tcPr>
          <w:p w14:paraId="2C97F5C5"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5CBC5072" w14:textId="4EB3D3C6"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3F670300" w14:textId="77777777" w:rsidR="00B449D0" w:rsidRDefault="00175344">
            <w:pPr>
              <w:pStyle w:val="Totaldatarowrightaligned"/>
              <w:keepNext/>
            </w:pPr>
            <w:r>
              <w:t>4.8</w:t>
            </w:r>
          </w:p>
        </w:tc>
        <w:tc>
          <w:tcPr>
            <w:tcW w:w="1043" w:type="dxa"/>
            <w:tcBorders>
              <w:top w:val="single" w:sz="4" w:space="0" w:color="000000"/>
              <w:bottom w:val="single" w:sz="4" w:space="0" w:color="000000"/>
            </w:tcBorders>
          </w:tcPr>
          <w:p w14:paraId="6DEAEBD1" w14:textId="77777777" w:rsidR="00B449D0" w:rsidRDefault="00175344">
            <w:pPr>
              <w:pStyle w:val="Totaldatarowrightaligned"/>
              <w:keepNext/>
            </w:pPr>
            <w:r>
              <w:t>65.3</w:t>
            </w:r>
          </w:p>
        </w:tc>
        <w:tc>
          <w:tcPr>
            <w:tcW w:w="1043" w:type="dxa"/>
            <w:tcBorders>
              <w:top w:val="single" w:sz="4" w:space="0" w:color="000000"/>
              <w:bottom w:val="single" w:sz="4" w:space="0" w:color="000000"/>
            </w:tcBorders>
          </w:tcPr>
          <w:p w14:paraId="6865A271" w14:textId="77777777" w:rsidR="00B449D0" w:rsidRDefault="00175344">
            <w:pPr>
              <w:pStyle w:val="Totaldatarowrightaligned"/>
              <w:keepNext/>
            </w:pPr>
            <w:r>
              <w:t>101.0</w:t>
            </w:r>
          </w:p>
        </w:tc>
        <w:tc>
          <w:tcPr>
            <w:tcW w:w="1043" w:type="dxa"/>
            <w:tcBorders>
              <w:top w:val="single" w:sz="4" w:space="0" w:color="000000"/>
              <w:bottom w:val="single" w:sz="4" w:space="0" w:color="000000"/>
            </w:tcBorders>
          </w:tcPr>
          <w:p w14:paraId="1E15AA16" w14:textId="77777777" w:rsidR="00B449D0" w:rsidRDefault="00175344">
            <w:pPr>
              <w:pStyle w:val="Totaldatarowrightaligned"/>
              <w:keepNext/>
            </w:pPr>
            <w:r>
              <w:t>101.1</w:t>
            </w:r>
          </w:p>
        </w:tc>
      </w:tr>
      <w:tr w:rsidR="00B449D0" w14:paraId="39A1BED7" w14:textId="77777777">
        <w:trPr>
          <w:cantSplit/>
        </w:trPr>
        <w:tc>
          <w:tcPr>
            <w:tcW w:w="2494" w:type="dxa"/>
          </w:tcPr>
          <w:p w14:paraId="44977B65" w14:textId="77777777" w:rsidR="00B449D0" w:rsidRDefault="00175344">
            <w:pPr>
              <w:pStyle w:val="AgencyName"/>
              <w:keepNext/>
            </w:pPr>
            <w:r>
              <w:t>Related receipts ($m)</w:t>
            </w:r>
          </w:p>
        </w:tc>
        <w:tc>
          <w:tcPr>
            <w:tcW w:w="1043" w:type="dxa"/>
          </w:tcPr>
          <w:p w14:paraId="02659D86" w14:textId="77777777" w:rsidR="00B449D0" w:rsidRDefault="00B449D0">
            <w:pPr>
              <w:pStyle w:val="AgencyName"/>
              <w:keepNext/>
            </w:pPr>
          </w:p>
        </w:tc>
        <w:tc>
          <w:tcPr>
            <w:tcW w:w="1043" w:type="dxa"/>
          </w:tcPr>
          <w:p w14:paraId="0F58CA44" w14:textId="77777777" w:rsidR="00B449D0" w:rsidRDefault="00B449D0">
            <w:pPr>
              <w:pStyle w:val="AgencyName"/>
              <w:keepNext/>
            </w:pPr>
          </w:p>
        </w:tc>
        <w:tc>
          <w:tcPr>
            <w:tcW w:w="1043" w:type="dxa"/>
          </w:tcPr>
          <w:p w14:paraId="5C54491A" w14:textId="77777777" w:rsidR="00B449D0" w:rsidRDefault="00B449D0">
            <w:pPr>
              <w:pStyle w:val="AgencyName"/>
              <w:keepNext/>
            </w:pPr>
          </w:p>
        </w:tc>
        <w:tc>
          <w:tcPr>
            <w:tcW w:w="1043" w:type="dxa"/>
          </w:tcPr>
          <w:p w14:paraId="28855658" w14:textId="77777777" w:rsidR="00B449D0" w:rsidRDefault="00B449D0">
            <w:pPr>
              <w:pStyle w:val="AgencyName"/>
              <w:keepNext/>
            </w:pPr>
          </w:p>
        </w:tc>
        <w:tc>
          <w:tcPr>
            <w:tcW w:w="1043" w:type="dxa"/>
          </w:tcPr>
          <w:p w14:paraId="1E4E3707" w14:textId="77777777" w:rsidR="00B449D0" w:rsidRDefault="00B449D0">
            <w:pPr>
              <w:pStyle w:val="AgencyName"/>
              <w:keepNext/>
            </w:pPr>
          </w:p>
        </w:tc>
      </w:tr>
      <w:tr w:rsidR="00B449D0" w14:paraId="408D62C4" w14:textId="77777777">
        <w:tc>
          <w:tcPr>
            <w:tcW w:w="2494" w:type="dxa"/>
          </w:tcPr>
          <w:p w14:paraId="0D2319E5" w14:textId="77777777" w:rsidR="00B449D0" w:rsidRDefault="00175344">
            <w:pPr>
              <w:pStyle w:val="AgencyNamewith2ptsspacing"/>
              <w:keepNext/>
            </w:pPr>
            <w:r>
              <w:t>Australian Taxation Office</w:t>
            </w:r>
          </w:p>
        </w:tc>
        <w:tc>
          <w:tcPr>
            <w:tcW w:w="1043" w:type="dxa"/>
          </w:tcPr>
          <w:p w14:paraId="16A52D3A" w14:textId="442A150D" w:rsidR="00B449D0" w:rsidRDefault="00076D78">
            <w:pPr>
              <w:pStyle w:val="Measuretabledatarightaligneditalics"/>
              <w:keepNext/>
            </w:pPr>
            <w:r>
              <w:noBreakHyphen/>
            </w:r>
          </w:p>
        </w:tc>
        <w:tc>
          <w:tcPr>
            <w:tcW w:w="1043" w:type="dxa"/>
          </w:tcPr>
          <w:p w14:paraId="59C4C50A" w14:textId="606AA09B" w:rsidR="00B449D0" w:rsidRDefault="00076D78">
            <w:pPr>
              <w:pStyle w:val="Measuretabledatarightaligneditalics"/>
              <w:keepNext/>
            </w:pPr>
            <w:r>
              <w:noBreakHyphen/>
            </w:r>
          </w:p>
        </w:tc>
        <w:tc>
          <w:tcPr>
            <w:tcW w:w="1043" w:type="dxa"/>
          </w:tcPr>
          <w:p w14:paraId="6CC7E899" w14:textId="7B877ADD" w:rsidR="00B449D0" w:rsidRDefault="001773B0">
            <w:pPr>
              <w:pStyle w:val="Measuretabledatarightaligneditalics"/>
              <w:keepNext/>
            </w:pPr>
            <w:r>
              <w:t>..</w:t>
            </w:r>
          </w:p>
        </w:tc>
        <w:tc>
          <w:tcPr>
            <w:tcW w:w="1043" w:type="dxa"/>
          </w:tcPr>
          <w:p w14:paraId="4C3318DD" w14:textId="5CF5EF72" w:rsidR="00B449D0" w:rsidRDefault="001773B0">
            <w:pPr>
              <w:pStyle w:val="Measuretabledatarightaligneditalics"/>
              <w:keepNext/>
            </w:pPr>
            <w:r>
              <w:t>..</w:t>
            </w:r>
          </w:p>
        </w:tc>
        <w:tc>
          <w:tcPr>
            <w:tcW w:w="1043" w:type="dxa"/>
          </w:tcPr>
          <w:p w14:paraId="5F4DA3AF" w14:textId="4A7CB56D" w:rsidR="00B449D0" w:rsidRDefault="001773B0">
            <w:pPr>
              <w:pStyle w:val="Measuretabledatarightaligneditalics"/>
              <w:keepNext/>
            </w:pPr>
            <w:r>
              <w:t>..</w:t>
            </w:r>
          </w:p>
        </w:tc>
      </w:tr>
      <w:tr w:rsidR="00B449D0" w14:paraId="2AF74034" w14:textId="77777777">
        <w:trPr>
          <w:cantSplit/>
        </w:trPr>
        <w:tc>
          <w:tcPr>
            <w:tcW w:w="2494" w:type="dxa"/>
            <w:tcBorders>
              <w:top w:val="single" w:sz="4" w:space="0" w:color="000000"/>
              <w:bottom w:val="single" w:sz="4" w:space="0" w:color="000000"/>
            </w:tcBorders>
          </w:tcPr>
          <w:p w14:paraId="0B12CC27" w14:textId="77777777" w:rsidR="00B449D0" w:rsidRDefault="00175344">
            <w:pPr>
              <w:pStyle w:val="AgencyNamewith2ptsspacing"/>
              <w:keepNext/>
            </w:pPr>
            <w:r>
              <w:t>Australian Communications and Media Authority</w:t>
            </w:r>
          </w:p>
        </w:tc>
        <w:tc>
          <w:tcPr>
            <w:tcW w:w="1043" w:type="dxa"/>
            <w:tcBorders>
              <w:top w:val="single" w:sz="4" w:space="0" w:color="000000"/>
              <w:bottom w:val="single" w:sz="4" w:space="0" w:color="000000"/>
            </w:tcBorders>
          </w:tcPr>
          <w:p w14:paraId="6B2EAA90" w14:textId="23446AB2" w:rsidR="00B449D0" w:rsidRDefault="00076D78">
            <w:pPr>
              <w:pStyle w:val="Measuretabledatarightaligneditalics"/>
              <w:keepNext/>
            </w:pPr>
            <w:r>
              <w:noBreakHyphen/>
            </w:r>
          </w:p>
        </w:tc>
        <w:tc>
          <w:tcPr>
            <w:tcW w:w="1043" w:type="dxa"/>
            <w:tcBorders>
              <w:top w:val="single" w:sz="4" w:space="0" w:color="000000"/>
              <w:bottom w:val="single" w:sz="4" w:space="0" w:color="000000"/>
            </w:tcBorders>
          </w:tcPr>
          <w:p w14:paraId="78525191" w14:textId="1C792FA5" w:rsidR="00B449D0" w:rsidRDefault="00076D78">
            <w:pPr>
              <w:pStyle w:val="Measuretabledatarightaligneditalics"/>
              <w:keepNext/>
            </w:pPr>
            <w:r>
              <w:noBreakHyphen/>
            </w:r>
          </w:p>
        </w:tc>
        <w:tc>
          <w:tcPr>
            <w:tcW w:w="1043" w:type="dxa"/>
            <w:tcBorders>
              <w:top w:val="single" w:sz="4" w:space="0" w:color="000000"/>
              <w:bottom w:val="single" w:sz="4" w:space="0" w:color="000000"/>
            </w:tcBorders>
          </w:tcPr>
          <w:p w14:paraId="0910203D" w14:textId="6C8AFA36" w:rsidR="00B449D0" w:rsidRDefault="00076D78">
            <w:pPr>
              <w:pStyle w:val="Measuretabledatarightaligneditalics"/>
              <w:keepNext/>
            </w:pPr>
            <w:r>
              <w:noBreakHyphen/>
            </w:r>
            <w:r w:rsidR="00175344">
              <w:t>50.2</w:t>
            </w:r>
          </w:p>
        </w:tc>
        <w:tc>
          <w:tcPr>
            <w:tcW w:w="1043" w:type="dxa"/>
            <w:tcBorders>
              <w:top w:val="single" w:sz="4" w:space="0" w:color="000000"/>
              <w:bottom w:val="single" w:sz="4" w:space="0" w:color="000000"/>
            </w:tcBorders>
          </w:tcPr>
          <w:p w14:paraId="4AB181AD" w14:textId="67F3A874" w:rsidR="00B449D0" w:rsidRDefault="00076D78">
            <w:pPr>
              <w:pStyle w:val="Measuretabledatarightaligneditalics"/>
              <w:keepNext/>
            </w:pPr>
            <w:r>
              <w:noBreakHyphen/>
            </w:r>
            <w:r w:rsidR="00175344">
              <w:t>0.1</w:t>
            </w:r>
          </w:p>
        </w:tc>
        <w:tc>
          <w:tcPr>
            <w:tcW w:w="1043" w:type="dxa"/>
            <w:tcBorders>
              <w:top w:val="single" w:sz="4" w:space="0" w:color="000000"/>
              <w:bottom w:val="single" w:sz="4" w:space="0" w:color="000000"/>
            </w:tcBorders>
          </w:tcPr>
          <w:p w14:paraId="16C8A88F" w14:textId="50402C90" w:rsidR="00B449D0" w:rsidRDefault="00076D78">
            <w:pPr>
              <w:pStyle w:val="Measuretabledatarightaligneditalics"/>
              <w:keepNext/>
            </w:pPr>
            <w:r>
              <w:noBreakHyphen/>
            </w:r>
          </w:p>
        </w:tc>
      </w:tr>
      <w:tr w:rsidR="00B449D0" w14:paraId="6262F902" w14:textId="77777777">
        <w:trPr>
          <w:cantSplit/>
        </w:trPr>
        <w:tc>
          <w:tcPr>
            <w:tcW w:w="2494" w:type="dxa"/>
            <w:tcBorders>
              <w:top w:val="single" w:sz="4" w:space="0" w:color="000000"/>
              <w:bottom w:val="single" w:sz="4" w:space="0" w:color="000000"/>
            </w:tcBorders>
          </w:tcPr>
          <w:p w14:paraId="6A66E4F4" w14:textId="77777777" w:rsidR="00B449D0" w:rsidRDefault="00175344">
            <w:pPr>
              <w:pStyle w:val="Totalrowitalicsleftaligned"/>
              <w:keepNext/>
            </w:pPr>
            <w:r>
              <w:t>Total – Receipts</w:t>
            </w:r>
          </w:p>
        </w:tc>
        <w:tc>
          <w:tcPr>
            <w:tcW w:w="1043" w:type="dxa"/>
            <w:tcBorders>
              <w:top w:val="single" w:sz="4" w:space="0" w:color="000000"/>
              <w:bottom w:val="single" w:sz="4" w:space="0" w:color="000000"/>
            </w:tcBorders>
          </w:tcPr>
          <w:p w14:paraId="086A4B39" w14:textId="4C147154" w:rsidR="00B449D0" w:rsidRDefault="00076D78">
            <w:pPr>
              <w:pStyle w:val="Measuretabledatarightaligneditalics"/>
              <w:keepNext/>
            </w:pPr>
            <w:r>
              <w:noBreakHyphen/>
            </w:r>
          </w:p>
        </w:tc>
        <w:tc>
          <w:tcPr>
            <w:tcW w:w="1043" w:type="dxa"/>
            <w:tcBorders>
              <w:top w:val="single" w:sz="4" w:space="0" w:color="000000"/>
              <w:bottom w:val="single" w:sz="4" w:space="0" w:color="000000"/>
            </w:tcBorders>
          </w:tcPr>
          <w:p w14:paraId="70D4705E" w14:textId="5C40FFED" w:rsidR="00B449D0" w:rsidRDefault="00076D78">
            <w:pPr>
              <w:pStyle w:val="Measuretabledatarightaligneditalics"/>
              <w:keepNext/>
            </w:pPr>
            <w:r>
              <w:noBreakHyphen/>
            </w:r>
          </w:p>
        </w:tc>
        <w:tc>
          <w:tcPr>
            <w:tcW w:w="1043" w:type="dxa"/>
            <w:tcBorders>
              <w:top w:val="single" w:sz="4" w:space="0" w:color="000000"/>
              <w:bottom w:val="single" w:sz="4" w:space="0" w:color="000000"/>
            </w:tcBorders>
          </w:tcPr>
          <w:p w14:paraId="20E7BBDD" w14:textId="5A8A72EE" w:rsidR="00B449D0" w:rsidRDefault="00076D78">
            <w:pPr>
              <w:pStyle w:val="Measuretabledatarightaligneditalics"/>
              <w:keepNext/>
            </w:pPr>
            <w:r>
              <w:noBreakHyphen/>
            </w:r>
            <w:r w:rsidR="00175344">
              <w:t>50.2</w:t>
            </w:r>
          </w:p>
        </w:tc>
        <w:tc>
          <w:tcPr>
            <w:tcW w:w="1043" w:type="dxa"/>
            <w:tcBorders>
              <w:top w:val="single" w:sz="4" w:space="0" w:color="000000"/>
              <w:bottom w:val="single" w:sz="4" w:space="0" w:color="000000"/>
            </w:tcBorders>
          </w:tcPr>
          <w:p w14:paraId="751ECE8B" w14:textId="0B4A64D8" w:rsidR="00B449D0" w:rsidRDefault="00076D78">
            <w:pPr>
              <w:pStyle w:val="Measuretabledatarightaligneditalics"/>
              <w:keepNext/>
            </w:pPr>
            <w:r>
              <w:noBreakHyphen/>
            </w:r>
            <w:r w:rsidR="00175344">
              <w:t>0.1</w:t>
            </w:r>
          </w:p>
        </w:tc>
        <w:tc>
          <w:tcPr>
            <w:tcW w:w="1043" w:type="dxa"/>
            <w:tcBorders>
              <w:top w:val="single" w:sz="4" w:space="0" w:color="000000"/>
              <w:bottom w:val="single" w:sz="4" w:space="0" w:color="000000"/>
            </w:tcBorders>
          </w:tcPr>
          <w:p w14:paraId="39E6B2B7" w14:textId="2F7A55A8" w:rsidR="00B449D0" w:rsidRDefault="000450D3">
            <w:pPr>
              <w:pStyle w:val="Measuretabledatarightaligneditalics"/>
              <w:keepNext/>
            </w:pPr>
            <w:r>
              <w:t>..</w:t>
            </w:r>
          </w:p>
        </w:tc>
      </w:tr>
    </w:tbl>
    <w:p w14:paraId="09F7BC76" w14:textId="77777777" w:rsidR="00B449D0" w:rsidRDefault="00B449D0" w:rsidP="00380A42">
      <w:pPr>
        <w:pStyle w:val="SingleParagraph0"/>
      </w:pPr>
    </w:p>
    <w:p w14:paraId="0005C294" w14:textId="77777777" w:rsidR="00B449D0" w:rsidRDefault="00175344">
      <w:pPr>
        <w:pStyle w:val="Normal2"/>
      </w:pPr>
      <w:r>
        <w:t>The Government will provide $285.3 million over four years from 2024–25 (and $44.7 million in 2028–29 and $43.0 million per year ongoing) to support news and media diversity in Australia. Funding includes:</w:t>
      </w:r>
    </w:p>
    <w:p w14:paraId="780654B8" w14:textId="77777777" w:rsidR="00B449D0" w:rsidRDefault="00175344">
      <w:pPr>
        <w:pStyle w:val="Bullet"/>
      </w:pPr>
      <w:r>
        <w:t xml:space="preserve">$168.5 million over four years from 2024–25 for the </w:t>
      </w:r>
      <w:r w:rsidRPr="00175344">
        <w:rPr>
          <w:i/>
        </w:rPr>
        <w:t>News Media Assistance Program</w:t>
      </w:r>
      <w:r>
        <w:t>, including:</w:t>
      </w:r>
    </w:p>
    <w:p w14:paraId="25ED1673" w14:textId="77777777" w:rsidR="00B449D0" w:rsidRDefault="00175344">
      <w:pPr>
        <w:pStyle w:val="Dash"/>
      </w:pPr>
      <w:r>
        <w:t xml:space="preserve">$116.7 million over four years from 2024–25 (and $1.7 million in 2028–29) for the </w:t>
      </w:r>
      <w:r w:rsidRPr="00175344">
        <w:rPr>
          <w:i/>
        </w:rPr>
        <w:t>News Media Assistance Program</w:t>
      </w:r>
      <w:r>
        <w:t xml:space="preserve"> to sustain public interest news and journalism, support business innovation and build commercial sustainability and resilience of news organisations, including $17.6 million for the Department of Infrastructure, Transport, Regional Development, Communications and the Arts to support program delivery</w:t>
      </w:r>
    </w:p>
    <w:p w14:paraId="138307EE" w14:textId="77777777" w:rsidR="00B449D0" w:rsidRDefault="00175344">
      <w:pPr>
        <w:pStyle w:val="Dash"/>
      </w:pPr>
      <w:r>
        <w:t>$33.0 million over three years from 2025–26 to support the financial sustainability of the Australian Associated Press</w:t>
      </w:r>
    </w:p>
    <w:p w14:paraId="24D3FA3F" w14:textId="77777777" w:rsidR="00B449D0" w:rsidRDefault="00175344">
      <w:pPr>
        <w:pStyle w:val="Dash"/>
      </w:pPr>
      <w:r>
        <w:t xml:space="preserve">$15.0 million in 2024–25 for the </w:t>
      </w:r>
      <w:r w:rsidRPr="00175344">
        <w:rPr>
          <w:i/>
        </w:rPr>
        <w:t>News Media Relief Program</w:t>
      </w:r>
      <w:r>
        <w:t xml:space="preserve"> to provide urgent support for eligible regional, independent suburban, multicultural and First Nations news publishers</w:t>
      </w:r>
    </w:p>
    <w:p w14:paraId="733412FB" w14:textId="77777777" w:rsidR="00B449D0" w:rsidRDefault="00175344">
      <w:pPr>
        <w:pStyle w:val="Dash"/>
      </w:pPr>
      <w:r>
        <w:t>$3.8 million over three years from 2025–26 to develop a National Media Literacy Strategy to improve media literacy in Australia.</w:t>
      </w:r>
    </w:p>
    <w:p w14:paraId="2FC92E0E" w14:textId="77777777" w:rsidR="00B449D0" w:rsidRDefault="00175344">
      <w:pPr>
        <w:pStyle w:val="Bullet"/>
      </w:pPr>
      <w:r>
        <w:t>$89.8 million over four years from 2024–25 for National Broadcasters, including:</w:t>
      </w:r>
    </w:p>
    <w:p w14:paraId="53F8A720" w14:textId="77777777" w:rsidR="00B449D0" w:rsidRDefault="00175344">
      <w:pPr>
        <w:pStyle w:val="Dash"/>
      </w:pPr>
      <w:r>
        <w:t>$83.1 million over two years from 2026–27 (and $43.0 million per year ongoing) for the Australian Broadcasting Corporation (ABC) to provide stable funding to support the operation of its television, radio and digital media services</w:t>
      </w:r>
    </w:p>
    <w:p w14:paraId="053060E1" w14:textId="77777777" w:rsidR="00B449D0" w:rsidRDefault="00175344">
      <w:pPr>
        <w:pStyle w:val="Dash"/>
      </w:pPr>
      <w:r>
        <w:lastRenderedPageBreak/>
        <w:t>$6.7 million over two years from 2024–25 for the Special Broadcasting Service (SBS), supported by the Department of Infrastructure, Transport, Regional Development, Communications and the Arts to develop a business case to establish a standalone Western Sydney production hub and talent incubator.</w:t>
      </w:r>
    </w:p>
    <w:p w14:paraId="2C013A95" w14:textId="0334D9F0" w:rsidR="00B449D0" w:rsidRDefault="00175344">
      <w:pPr>
        <w:pStyle w:val="Bullet"/>
      </w:pPr>
      <w:r>
        <w:t>$27.0 million over three years from 2025–26 for Community Broadcasting and First</w:t>
      </w:r>
      <w:r w:rsidR="000E6B61">
        <w:t> </w:t>
      </w:r>
      <w:r>
        <w:t>Nations Media, including:</w:t>
      </w:r>
    </w:p>
    <w:p w14:paraId="46312B5D" w14:textId="77777777" w:rsidR="00B449D0" w:rsidRDefault="00175344">
      <w:pPr>
        <w:pStyle w:val="Dash"/>
      </w:pPr>
      <w:r>
        <w:t xml:space="preserve">$15.0 million over three years from 2025–26 for the </w:t>
      </w:r>
      <w:r w:rsidRPr="00175344">
        <w:rPr>
          <w:i/>
        </w:rPr>
        <w:t>Community Broadcasting Program</w:t>
      </w:r>
      <w:r>
        <w:t xml:space="preserve"> to support the community broadcasting sector, including community television</w:t>
      </w:r>
    </w:p>
    <w:p w14:paraId="67596254" w14:textId="77777777" w:rsidR="00B449D0" w:rsidRDefault="00175344">
      <w:pPr>
        <w:pStyle w:val="Dash"/>
      </w:pPr>
      <w:r>
        <w:t xml:space="preserve">$12.0 million over three years from 2025–26 for the </w:t>
      </w:r>
      <w:r w:rsidRPr="00175344">
        <w:rPr>
          <w:i/>
        </w:rPr>
        <w:t>Indigenous Broadcasting and Media Program</w:t>
      </w:r>
      <w:r>
        <w:t xml:space="preserve"> to support the First Nations media and broadcasting sector.</w:t>
      </w:r>
    </w:p>
    <w:p w14:paraId="6B1E1EA8" w14:textId="77777777" w:rsidR="00B449D0" w:rsidRDefault="00175344">
      <w:pPr>
        <w:pStyle w:val="Normal2"/>
      </w:pPr>
      <w:r>
        <w:t>The Government will also:</w:t>
      </w:r>
    </w:p>
    <w:p w14:paraId="7D8B13AE" w14:textId="77777777" w:rsidR="00B449D0" w:rsidRDefault="00175344">
      <w:pPr>
        <w:pStyle w:val="Bullet"/>
      </w:pPr>
      <w:r>
        <w:t>suspend the Commercial Broadcasting Tax for one year, from 9 June 2025 to 8 June 2026, to provide temporary relief for commercial television and radio broadcasters. This change is estimated to decrease receipts by $50.3 million over two years from 2025–26</w:t>
      </w:r>
    </w:p>
    <w:p w14:paraId="5B7EF5C4" w14:textId="025D84AC" w:rsidR="00B449D0" w:rsidRDefault="00175344">
      <w:pPr>
        <w:pStyle w:val="Bullet"/>
      </w:pPr>
      <w:r>
        <w:t xml:space="preserve">introduce the News Bargaining Incentive to support the sustainability of news and public interest journalism. Funding includes $1.9 million over three years from 2024–25 for the </w:t>
      </w:r>
      <w:r w:rsidR="007F1078">
        <w:t xml:space="preserve">Australian Taxation Office </w:t>
      </w:r>
      <w:r>
        <w:t>to introduce and administer the Incentive, which will apply for income years starting on or after 1 January 2025</w:t>
      </w:r>
    </w:p>
    <w:p w14:paraId="30A74E46" w14:textId="77777777" w:rsidR="00B449D0" w:rsidRDefault="00175344">
      <w:pPr>
        <w:pStyle w:val="Bullet"/>
      </w:pPr>
      <w:r>
        <w:t>mandate a minimum commitment of $3.0 million per year for two years from 2025–26 for regional newspaper advertising across the total annual Commonwealth Government media advertising spend.</w:t>
      </w:r>
    </w:p>
    <w:p w14:paraId="1D72A6C1" w14:textId="77777777" w:rsidR="00B449D0" w:rsidRDefault="00175344">
      <w:pPr>
        <w:pStyle w:val="Normal2"/>
      </w:pPr>
      <w:r w:rsidRPr="7F762F0D">
        <w:rPr>
          <w:lang w:val="en-US"/>
        </w:rPr>
        <w:t xml:space="preserve">The cost of the </w:t>
      </w:r>
      <w:r w:rsidRPr="7F762F0D">
        <w:rPr>
          <w:i/>
          <w:iCs/>
          <w:lang w:val="en-US"/>
        </w:rPr>
        <w:t>News Media Relief Program</w:t>
      </w:r>
      <w:r w:rsidRPr="7F762F0D">
        <w:rPr>
          <w:lang w:val="en-US"/>
        </w:rPr>
        <w:t xml:space="preserve"> measure will be met from a reprioritisation of funding from the 2022–23 October Budget measure titled </w:t>
      </w:r>
      <w:r w:rsidRPr="7F762F0D">
        <w:rPr>
          <w:i/>
          <w:iCs/>
          <w:lang w:val="en-US"/>
        </w:rPr>
        <w:t>Better Connectivity Plan for Regional and Rural Australia</w:t>
      </w:r>
      <w:r w:rsidRPr="7F762F0D">
        <w:rPr>
          <w:lang w:val="en-US"/>
        </w:rPr>
        <w:t>.</w:t>
      </w:r>
    </w:p>
    <w:p w14:paraId="421F9B5B" w14:textId="77777777" w:rsidR="00B449D0" w:rsidRDefault="00B449D0">
      <w:pPr>
        <w:sectPr w:rsidR="00B449D0" w:rsidSect="00301E48">
          <w:headerReference w:type="even" r:id="rId114"/>
          <w:headerReference w:type="default" r:id="rId115"/>
          <w:footerReference w:type="even" r:id="rId116"/>
          <w:footerReference w:type="default" r:id="rId117"/>
          <w:headerReference w:type="first" r:id="rId118"/>
          <w:footerReference w:type="first" r:id="rId119"/>
          <w:pgSz w:w="11906" w:h="16838"/>
          <w:pgMar w:top="2835" w:right="2098" w:bottom="2466" w:left="2098" w:header="1814" w:footer="1814" w:gutter="0"/>
          <w:cols w:space="720"/>
          <w:docGrid w:linePitch="272"/>
        </w:sectPr>
      </w:pPr>
    </w:p>
    <w:p w14:paraId="0B49D9F9" w14:textId="77777777" w:rsidR="00B449D0" w:rsidRDefault="00175344">
      <w:pPr>
        <w:pStyle w:val="PortfolioName"/>
      </w:pPr>
      <w:r>
        <w:lastRenderedPageBreak/>
        <w:t>Prime Minister and Cabinet</w:t>
      </w:r>
    </w:p>
    <w:p w14:paraId="2B3BDE08" w14:textId="77777777" w:rsidR="00B449D0" w:rsidRDefault="00175344">
      <w:pPr>
        <w:pStyle w:val="MeasureTitle"/>
      </w:pPr>
      <w:r>
        <w:t>Aboriginal Hostels Limited Reform Agenda</w:t>
      </w:r>
    </w:p>
    <w:p w14:paraId="32C191B4"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727BE4FC" w14:textId="77777777">
        <w:trPr>
          <w:cantSplit/>
        </w:trPr>
        <w:tc>
          <w:tcPr>
            <w:tcW w:w="2494" w:type="dxa"/>
            <w:tcBorders>
              <w:top w:val="single" w:sz="4" w:space="0" w:color="000000"/>
              <w:bottom w:val="single" w:sz="4" w:space="0" w:color="000000"/>
            </w:tcBorders>
          </w:tcPr>
          <w:p w14:paraId="46FF7417" w14:textId="77777777" w:rsidR="00B449D0" w:rsidRDefault="00B449D0">
            <w:pPr>
              <w:pStyle w:val="MeasureTableYearHeadings"/>
              <w:keepNext/>
            </w:pPr>
          </w:p>
        </w:tc>
        <w:tc>
          <w:tcPr>
            <w:tcW w:w="1043" w:type="dxa"/>
            <w:tcBorders>
              <w:top w:val="single" w:sz="4" w:space="0" w:color="000000"/>
              <w:bottom w:val="single" w:sz="4" w:space="0" w:color="000000"/>
            </w:tcBorders>
          </w:tcPr>
          <w:p w14:paraId="51157E0E" w14:textId="125B0F2E"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4091C7E9" w14:textId="3175FE07"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33AF13E8" w14:textId="73905C1B"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5E9B7216" w14:textId="6C6A7B7D"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0C74A8C9" w14:textId="281131D2" w:rsidR="00B449D0" w:rsidRDefault="00175344">
            <w:pPr>
              <w:pStyle w:val="MeasureTableYearHeadings"/>
              <w:keepNext/>
            </w:pPr>
            <w:r>
              <w:t>2027</w:t>
            </w:r>
            <w:r w:rsidR="00076D78">
              <w:noBreakHyphen/>
            </w:r>
            <w:r>
              <w:t>28</w:t>
            </w:r>
          </w:p>
        </w:tc>
      </w:tr>
      <w:tr w:rsidR="00B449D0" w14:paraId="30FE0247" w14:textId="77777777">
        <w:trPr>
          <w:cantSplit/>
        </w:trPr>
        <w:tc>
          <w:tcPr>
            <w:tcW w:w="2494" w:type="dxa"/>
            <w:tcBorders>
              <w:top w:val="single" w:sz="4" w:space="0" w:color="000000"/>
              <w:bottom w:val="single" w:sz="4" w:space="0" w:color="000000"/>
            </w:tcBorders>
          </w:tcPr>
          <w:p w14:paraId="160C79B5" w14:textId="77777777" w:rsidR="00B449D0" w:rsidRDefault="00175344">
            <w:pPr>
              <w:pStyle w:val="MeasureTableHeadingleftalignedwith2ptsspacing"/>
              <w:keepNext/>
            </w:pPr>
            <w:r>
              <w:t>Aboriginal Hostels Limited</w:t>
            </w:r>
          </w:p>
        </w:tc>
        <w:tc>
          <w:tcPr>
            <w:tcW w:w="1043" w:type="dxa"/>
            <w:tcBorders>
              <w:top w:val="single" w:sz="4" w:space="0" w:color="000000"/>
              <w:bottom w:val="single" w:sz="4" w:space="0" w:color="000000"/>
            </w:tcBorders>
          </w:tcPr>
          <w:p w14:paraId="77A5C66E" w14:textId="440CA646"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DBA5436" w14:textId="060C8FDB"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603D64F8" w14:textId="77777777" w:rsidR="00B449D0" w:rsidRDefault="00175344">
            <w:pPr>
              <w:pStyle w:val="MeasureTableDataRightAlignedwith2ptsspacing"/>
              <w:keepNext/>
            </w:pPr>
            <w:r>
              <w:t>10.0</w:t>
            </w:r>
          </w:p>
        </w:tc>
        <w:tc>
          <w:tcPr>
            <w:tcW w:w="1043" w:type="dxa"/>
            <w:tcBorders>
              <w:top w:val="single" w:sz="4" w:space="0" w:color="000000"/>
              <w:bottom w:val="single" w:sz="4" w:space="0" w:color="000000"/>
            </w:tcBorders>
          </w:tcPr>
          <w:p w14:paraId="2E5777A1" w14:textId="74D2CB46"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6C9526CA" w14:textId="39C1F0E2" w:rsidR="00B449D0" w:rsidRDefault="00076D78">
            <w:pPr>
              <w:pStyle w:val="MeasureTableDataRightAlignedwith2ptsspacing"/>
              <w:keepNext/>
            </w:pPr>
            <w:r>
              <w:noBreakHyphen/>
            </w:r>
          </w:p>
        </w:tc>
      </w:tr>
      <w:tr w:rsidR="00B449D0" w14:paraId="4E40C391" w14:textId="77777777">
        <w:trPr>
          <w:cantSplit/>
        </w:trPr>
        <w:tc>
          <w:tcPr>
            <w:tcW w:w="2494" w:type="dxa"/>
            <w:tcBorders>
              <w:top w:val="single" w:sz="4" w:space="0" w:color="000000"/>
              <w:bottom w:val="single" w:sz="4" w:space="0" w:color="000000"/>
            </w:tcBorders>
          </w:tcPr>
          <w:p w14:paraId="1BAA310A" w14:textId="77777777" w:rsidR="00B449D0" w:rsidRDefault="00175344">
            <w:pPr>
              <w:pStyle w:val="MeasureTableHeadingleftalignedwith2ptsspacing"/>
              <w:keepNext/>
            </w:pPr>
            <w:r>
              <w:t>National Indigenous Australians Agency</w:t>
            </w:r>
          </w:p>
        </w:tc>
        <w:tc>
          <w:tcPr>
            <w:tcW w:w="1043" w:type="dxa"/>
            <w:tcBorders>
              <w:top w:val="single" w:sz="4" w:space="0" w:color="000000"/>
              <w:bottom w:val="single" w:sz="4" w:space="0" w:color="000000"/>
            </w:tcBorders>
          </w:tcPr>
          <w:p w14:paraId="6B281EE7" w14:textId="00D48538"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D366EB0" w14:textId="5BFC6A12"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C414FFF" w14:textId="6C390006" w:rsidR="00B449D0" w:rsidRDefault="00076D78">
            <w:pPr>
              <w:pStyle w:val="MeasureTableDataRightAlignedwith2ptsspacing"/>
              <w:keepNext/>
            </w:pPr>
            <w:r>
              <w:noBreakHyphen/>
            </w:r>
            <w:r w:rsidR="00175344">
              <w:t>10.0</w:t>
            </w:r>
          </w:p>
        </w:tc>
        <w:tc>
          <w:tcPr>
            <w:tcW w:w="1043" w:type="dxa"/>
            <w:tcBorders>
              <w:top w:val="single" w:sz="4" w:space="0" w:color="000000"/>
              <w:bottom w:val="single" w:sz="4" w:space="0" w:color="000000"/>
            </w:tcBorders>
          </w:tcPr>
          <w:p w14:paraId="60A6BF6E" w14:textId="0980B838"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80AB7F9" w14:textId="59D1B554" w:rsidR="00B449D0" w:rsidRDefault="00076D78">
            <w:pPr>
              <w:pStyle w:val="MeasureTableDataRightAlignedwith2ptsspacing"/>
              <w:keepNext/>
            </w:pPr>
            <w:r>
              <w:noBreakHyphen/>
            </w:r>
          </w:p>
        </w:tc>
      </w:tr>
      <w:tr w:rsidR="00B449D0" w14:paraId="7A14B599" w14:textId="77777777">
        <w:trPr>
          <w:cantSplit/>
        </w:trPr>
        <w:tc>
          <w:tcPr>
            <w:tcW w:w="2494" w:type="dxa"/>
            <w:tcBorders>
              <w:top w:val="single" w:sz="4" w:space="0" w:color="000000"/>
              <w:bottom w:val="single" w:sz="4" w:space="0" w:color="000000"/>
            </w:tcBorders>
          </w:tcPr>
          <w:p w14:paraId="259B721C"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57756D3E" w14:textId="20FD76AB"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4EECD1E4" w14:textId="3AC09DE6"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6E3D0705" w14:textId="79D58218"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364339F0" w14:textId="2B313E6A"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4C126E0D" w14:textId="3EB14434" w:rsidR="00B449D0" w:rsidRDefault="00076D78">
            <w:pPr>
              <w:pStyle w:val="Totaldatarowrightaligned"/>
              <w:keepNext/>
            </w:pPr>
            <w:r>
              <w:noBreakHyphen/>
            </w:r>
          </w:p>
        </w:tc>
      </w:tr>
    </w:tbl>
    <w:p w14:paraId="0787965D" w14:textId="77777777" w:rsidR="00B449D0" w:rsidRDefault="00B449D0" w:rsidP="00380A42">
      <w:pPr>
        <w:pStyle w:val="SingleParagraph0"/>
      </w:pPr>
    </w:p>
    <w:p w14:paraId="77A010EC" w14:textId="77777777" w:rsidR="00B449D0" w:rsidRDefault="00175344">
      <w:pPr>
        <w:pStyle w:val="Normal2"/>
      </w:pPr>
      <w:r>
        <w:t>The Government will provide $10.0 million in 2025–26 to Aboriginal Hostels Limited to continue to fund improvements to Aboriginal hostels. Funding includes:</w:t>
      </w:r>
    </w:p>
    <w:p w14:paraId="52B63534" w14:textId="77777777" w:rsidR="00B449D0" w:rsidRDefault="00175344">
      <w:pPr>
        <w:pStyle w:val="Bullet"/>
      </w:pPr>
      <w:r>
        <w:t>$3.6 million to provide additional hostel attendants in high and very high‑risk locations to ensure 24 hour security, and increase the classification of hostel managers and assistant hostel managers</w:t>
      </w:r>
    </w:p>
    <w:p w14:paraId="3323F551" w14:textId="77777777" w:rsidR="00B449D0" w:rsidRDefault="00175344">
      <w:pPr>
        <w:pStyle w:val="Bullet"/>
      </w:pPr>
      <w:r>
        <w:t>$2.2 million to increase the daily food allowance per occupied bed to improve the quality of meals provided</w:t>
      </w:r>
    </w:p>
    <w:p w14:paraId="0586EDB6" w14:textId="77777777" w:rsidR="00B449D0" w:rsidRDefault="00175344">
      <w:pPr>
        <w:pStyle w:val="Bullet"/>
      </w:pPr>
      <w:r>
        <w:t>$2.1 million for ongoing maintenance costs in all hostels, including hostel amenity improvements and physical security upgrades</w:t>
      </w:r>
    </w:p>
    <w:p w14:paraId="245A04F5" w14:textId="77777777" w:rsidR="00B449D0" w:rsidRDefault="00175344">
      <w:pPr>
        <w:pStyle w:val="Bullet"/>
      </w:pPr>
      <w:r>
        <w:t>$1.2 million for nutrition, human resources and ICT services</w:t>
      </w:r>
    </w:p>
    <w:p w14:paraId="2C7CFA6E" w14:textId="77777777" w:rsidR="00B449D0" w:rsidRDefault="00175344">
      <w:pPr>
        <w:pStyle w:val="Bullet"/>
      </w:pPr>
      <w:r>
        <w:t>$0.6 million to upgrade ICT systems.</w:t>
      </w:r>
    </w:p>
    <w:p w14:paraId="51A0161E" w14:textId="1A557981" w:rsidR="00B449D0" w:rsidRDefault="00175344">
      <w:pPr>
        <w:pStyle w:val="Normal2"/>
      </w:pPr>
      <w:r w:rsidRPr="7F762F0D">
        <w:rPr>
          <w:lang w:val="en-US"/>
        </w:rPr>
        <w:t>The cost of this measure will be met from reprioritisation of funding from within the National Indigenous Australians Agency</w:t>
      </w:r>
      <w:r w:rsidR="00076D78">
        <w:rPr>
          <w:lang w:val="en-US"/>
        </w:rPr>
        <w:t>’</w:t>
      </w:r>
      <w:r w:rsidRPr="7F762F0D">
        <w:rPr>
          <w:lang w:val="en-US"/>
        </w:rPr>
        <w:t xml:space="preserve">s </w:t>
      </w:r>
      <w:r w:rsidRPr="7F762F0D">
        <w:rPr>
          <w:i/>
          <w:iCs/>
          <w:lang w:val="en-US"/>
        </w:rPr>
        <w:t>Indigenous Advancement Strategy</w:t>
      </w:r>
      <w:r w:rsidRPr="7F762F0D">
        <w:rPr>
          <w:lang w:val="en-US"/>
        </w:rPr>
        <w:t>.</w:t>
      </w:r>
    </w:p>
    <w:p w14:paraId="057D53AB" w14:textId="77777777" w:rsidR="00B449D0" w:rsidRDefault="00175344">
      <w:pPr>
        <w:pStyle w:val="Normal2"/>
      </w:pPr>
      <w:r>
        <w:t xml:space="preserve">This measure extends the 2023–24 Budget measure titled </w:t>
      </w:r>
      <w:r w:rsidRPr="00175344">
        <w:rPr>
          <w:i/>
        </w:rPr>
        <w:t>Closing the Gap – further investment.</w:t>
      </w:r>
    </w:p>
    <w:p w14:paraId="33FF87A3" w14:textId="77777777" w:rsidR="00B449D0" w:rsidRDefault="00175344">
      <w:pPr>
        <w:pStyle w:val="MeasureTitle"/>
      </w:pPr>
      <w:r>
        <w:t>First Nations Economic Empowerment</w:t>
      </w:r>
    </w:p>
    <w:p w14:paraId="6D033AC0"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2EE36A60" w14:textId="77777777">
        <w:trPr>
          <w:cantSplit/>
        </w:trPr>
        <w:tc>
          <w:tcPr>
            <w:tcW w:w="2494" w:type="dxa"/>
            <w:tcBorders>
              <w:top w:val="single" w:sz="4" w:space="0" w:color="000000"/>
              <w:bottom w:val="single" w:sz="4" w:space="0" w:color="000000"/>
            </w:tcBorders>
          </w:tcPr>
          <w:p w14:paraId="2FF1BCFB" w14:textId="77777777" w:rsidR="00B449D0" w:rsidRDefault="00B449D0">
            <w:pPr>
              <w:pStyle w:val="MeasureTableYearHeadings"/>
              <w:keepNext/>
            </w:pPr>
          </w:p>
        </w:tc>
        <w:tc>
          <w:tcPr>
            <w:tcW w:w="1043" w:type="dxa"/>
            <w:tcBorders>
              <w:top w:val="single" w:sz="4" w:space="0" w:color="000000"/>
              <w:bottom w:val="single" w:sz="4" w:space="0" w:color="000000"/>
            </w:tcBorders>
          </w:tcPr>
          <w:p w14:paraId="67EBABF1" w14:textId="5551BBE4"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573036AF" w14:textId="502A4BFD"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6FAEB442" w14:textId="27289A04"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1C463C45" w14:textId="0A02150F"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4D82D2F2" w14:textId="366BCB41" w:rsidR="00B449D0" w:rsidRDefault="00175344">
            <w:pPr>
              <w:pStyle w:val="MeasureTableYearHeadings"/>
              <w:keepNext/>
            </w:pPr>
            <w:r>
              <w:t>2027</w:t>
            </w:r>
            <w:r w:rsidR="00076D78">
              <w:noBreakHyphen/>
            </w:r>
            <w:r>
              <w:t>28</w:t>
            </w:r>
          </w:p>
        </w:tc>
      </w:tr>
      <w:tr w:rsidR="00B449D0" w14:paraId="48CDB754" w14:textId="77777777">
        <w:trPr>
          <w:cantSplit/>
        </w:trPr>
        <w:tc>
          <w:tcPr>
            <w:tcW w:w="2494" w:type="dxa"/>
            <w:tcBorders>
              <w:top w:val="single" w:sz="4" w:space="0" w:color="000000"/>
              <w:bottom w:val="single" w:sz="4" w:space="0" w:color="000000"/>
            </w:tcBorders>
          </w:tcPr>
          <w:p w14:paraId="6574C442" w14:textId="77777777" w:rsidR="00B449D0" w:rsidRDefault="00175344">
            <w:pPr>
              <w:pStyle w:val="MeasureTableHeadingleftalignedwith2ptsspacing"/>
              <w:keepNext/>
            </w:pPr>
            <w:r>
              <w:t>Indigenous Business Australia</w:t>
            </w:r>
          </w:p>
        </w:tc>
        <w:tc>
          <w:tcPr>
            <w:tcW w:w="1043" w:type="dxa"/>
            <w:tcBorders>
              <w:top w:val="single" w:sz="4" w:space="0" w:color="000000"/>
              <w:bottom w:val="single" w:sz="4" w:space="0" w:color="000000"/>
            </w:tcBorders>
          </w:tcPr>
          <w:p w14:paraId="4B99FA95" w14:textId="115B3086"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6D2F0177" w14:textId="1635ADE5"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F581C2E" w14:textId="1DD28B34"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23DE48F" w14:textId="0ECF7290"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B75FF3E" w14:textId="6258EDE2" w:rsidR="00B449D0" w:rsidRDefault="00076D78">
            <w:pPr>
              <w:pStyle w:val="MeasureTableDataRightAlignedwith2ptsspacing"/>
              <w:keepNext/>
            </w:pPr>
            <w:r>
              <w:noBreakHyphen/>
            </w:r>
          </w:p>
        </w:tc>
      </w:tr>
    </w:tbl>
    <w:p w14:paraId="16FEE823" w14:textId="77777777" w:rsidR="00B449D0" w:rsidRDefault="00B449D0" w:rsidP="00380A42">
      <w:pPr>
        <w:pStyle w:val="SingleParagraph0"/>
      </w:pPr>
    </w:p>
    <w:p w14:paraId="4C1C394B" w14:textId="77777777" w:rsidR="00B449D0" w:rsidRDefault="00175344">
      <w:pPr>
        <w:pStyle w:val="Normal2"/>
      </w:pPr>
      <w:r w:rsidRPr="7F762F0D">
        <w:rPr>
          <w:lang w:val="en-US"/>
        </w:rPr>
        <w:t>The Government will provide $16.9 million over five years from 2024–25 to support development of a First Nations Economic Framework and establish a First Nations Economic Partnership (the Partnership).</w:t>
      </w:r>
    </w:p>
    <w:p w14:paraId="71CEBD06" w14:textId="48D5FC51" w:rsidR="00B449D0" w:rsidRDefault="00175344">
      <w:pPr>
        <w:pStyle w:val="Normal2"/>
      </w:pPr>
      <w:r w:rsidRPr="7F762F0D">
        <w:rPr>
          <w:lang w:val="en-US"/>
        </w:rPr>
        <w:t xml:space="preserve">The Government has also progressed amendments to the </w:t>
      </w:r>
      <w:r w:rsidRPr="7F762F0D">
        <w:rPr>
          <w:i/>
          <w:iCs/>
          <w:lang w:val="en-US"/>
        </w:rPr>
        <w:t xml:space="preserve">Aboriginal and Torres Strait Islander Act 2005 </w:t>
      </w:r>
      <w:r w:rsidRPr="7F762F0D">
        <w:rPr>
          <w:lang w:val="en-US"/>
        </w:rPr>
        <w:t>to enhance Indigenous Business Australia</w:t>
      </w:r>
      <w:r w:rsidR="00076D78">
        <w:rPr>
          <w:lang w:val="en-US"/>
        </w:rPr>
        <w:t>’</w:t>
      </w:r>
      <w:r w:rsidRPr="7F762F0D">
        <w:rPr>
          <w:lang w:val="en-US"/>
        </w:rPr>
        <w:t>s ability to leverage its capital and investments to support First Nations economic self‑determination.</w:t>
      </w:r>
    </w:p>
    <w:p w14:paraId="233673A9" w14:textId="77777777" w:rsidR="00B449D0" w:rsidRDefault="00175344">
      <w:pPr>
        <w:pStyle w:val="Normal2"/>
      </w:pPr>
      <w:r>
        <w:t>The Government has already provided funding for this measure.</w:t>
      </w:r>
    </w:p>
    <w:p w14:paraId="7AFFE432" w14:textId="77777777" w:rsidR="00B449D0" w:rsidRDefault="00175344">
      <w:pPr>
        <w:pStyle w:val="Normal2"/>
      </w:pPr>
      <w:r w:rsidRPr="7F762F0D">
        <w:rPr>
          <w:lang w:val="en-US"/>
        </w:rPr>
        <w:lastRenderedPageBreak/>
        <w:t>Partial funding for this measure is provisioned in the Contingency Reserve and these amounts are not for publication (nfp) pending the finalisation of the Partnership, including engagement and negotiation with First Nations communities and stakeholders.</w:t>
      </w:r>
    </w:p>
    <w:p w14:paraId="45E24F25" w14:textId="77777777" w:rsidR="00B449D0" w:rsidRDefault="00175344">
      <w:pPr>
        <w:pStyle w:val="MeasureTitle"/>
      </w:pPr>
      <w:r>
        <w:t>McDonald v Commonwealth Class Action ‑ settlement</w:t>
      </w:r>
    </w:p>
    <w:p w14:paraId="16031762"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323C91FF" w14:textId="77777777">
        <w:trPr>
          <w:cantSplit/>
        </w:trPr>
        <w:tc>
          <w:tcPr>
            <w:tcW w:w="2494" w:type="dxa"/>
            <w:tcBorders>
              <w:top w:val="single" w:sz="4" w:space="0" w:color="000000"/>
              <w:bottom w:val="single" w:sz="4" w:space="0" w:color="000000"/>
            </w:tcBorders>
          </w:tcPr>
          <w:p w14:paraId="0FA4D562" w14:textId="77777777" w:rsidR="00B449D0" w:rsidRDefault="00B449D0">
            <w:pPr>
              <w:pStyle w:val="MeasureTableYearHeadings"/>
              <w:keepNext/>
            </w:pPr>
          </w:p>
        </w:tc>
        <w:tc>
          <w:tcPr>
            <w:tcW w:w="1043" w:type="dxa"/>
            <w:tcBorders>
              <w:top w:val="single" w:sz="4" w:space="0" w:color="000000"/>
              <w:bottom w:val="single" w:sz="4" w:space="0" w:color="000000"/>
            </w:tcBorders>
          </w:tcPr>
          <w:p w14:paraId="419ACEB8" w14:textId="1CFEB523"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6AF93292" w14:textId="78A3081F"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7516010C" w14:textId="18EC82A4"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68332CDB" w14:textId="2B936A7A"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0E4CC55F" w14:textId="32161C9E" w:rsidR="00B449D0" w:rsidRDefault="00175344">
            <w:pPr>
              <w:pStyle w:val="MeasureTableYearHeadings"/>
              <w:keepNext/>
            </w:pPr>
            <w:r>
              <w:t>2027</w:t>
            </w:r>
            <w:r w:rsidR="00076D78">
              <w:noBreakHyphen/>
            </w:r>
            <w:r>
              <w:t>28</w:t>
            </w:r>
          </w:p>
        </w:tc>
      </w:tr>
      <w:tr w:rsidR="00B449D0" w14:paraId="371B2AB4" w14:textId="77777777">
        <w:trPr>
          <w:cantSplit/>
        </w:trPr>
        <w:tc>
          <w:tcPr>
            <w:tcW w:w="2494" w:type="dxa"/>
            <w:tcBorders>
              <w:top w:val="single" w:sz="4" w:space="0" w:color="000000"/>
              <w:bottom w:val="single" w:sz="4" w:space="0" w:color="000000"/>
            </w:tcBorders>
          </w:tcPr>
          <w:p w14:paraId="58B9BE39" w14:textId="77777777" w:rsidR="00B449D0" w:rsidRDefault="00175344">
            <w:pPr>
              <w:pStyle w:val="MeasureTableHeadingleftalignedwith2ptsspacing"/>
              <w:keepNext/>
            </w:pPr>
            <w:r>
              <w:t>National Indigenous Australians Agency</w:t>
            </w:r>
          </w:p>
        </w:tc>
        <w:tc>
          <w:tcPr>
            <w:tcW w:w="1043" w:type="dxa"/>
            <w:tcBorders>
              <w:top w:val="single" w:sz="4" w:space="0" w:color="000000"/>
              <w:bottom w:val="single" w:sz="4" w:space="0" w:color="000000"/>
            </w:tcBorders>
          </w:tcPr>
          <w:p w14:paraId="68C381B2" w14:textId="6AE639EE"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F538692" w14:textId="77777777" w:rsidR="00B449D0" w:rsidRDefault="00175344">
            <w:pPr>
              <w:pStyle w:val="MeasureTableDataRightAlignedwith2ptsspacing"/>
              <w:keepNext/>
            </w:pPr>
            <w:r>
              <w:t>nfp</w:t>
            </w:r>
          </w:p>
        </w:tc>
        <w:tc>
          <w:tcPr>
            <w:tcW w:w="1043" w:type="dxa"/>
            <w:tcBorders>
              <w:top w:val="single" w:sz="4" w:space="0" w:color="000000"/>
              <w:bottom w:val="single" w:sz="4" w:space="0" w:color="000000"/>
            </w:tcBorders>
          </w:tcPr>
          <w:p w14:paraId="325E6103" w14:textId="77777777" w:rsidR="00B449D0" w:rsidRDefault="00175344">
            <w:pPr>
              <w:pStyle w:val="MeasureTableDataRightAlignedwith2ptsspacing"/>
              <w:keepNext/>
            </w:pPr>
            <w:r>
              <w:t>nfp</w:t>
            </w:r>
          </w:p>
        </w:tc>
        <w:tc>
          <w:tcPr>
            <w:tcW w:w="1043" w:type="dxa"/>
            <w:tcBorders>
              <w:top w:val="single" w:sz="4" w:space="0" w:color="000000"/>
              <w:bottom w:val="single" w:sz="4" w:space="0" w:color="000000"/>
            </w:tcBorders>
          </w:tcPr>
          <w:p w14:paraId="69BC7EFD" w14:textId="1E10E62C"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F609403" w14:textId="7EFBE286" w:rsidR="00B449D0" w:rsidRDefault="00076D78">
            <w:pPr>
              <w:pStyle w:val="MeasureTableDataRightAlignedwith2ptsspacing"/>
              <w:keepNext/>
            </w:pPr>
            <w:r>
              <w:noBreakHyphen/>
            </w:r>
          </w:p>
        </w:tc>
      </w:tr>
    </w:tbl>
    <w:p w14:paraId="28421FB9" w14:textId="77777777" w:rsidR="00B449D0" w:rsidRDefault="00B449D0" w:rsidP="00380A42">
      <w:pPr>
        <w:pStyle w:val="SingleParagraph0"/>
      </w:pPr>
    </w:p>
    <w:p w14:paraId="0BC7B801" w14:textId="5699F4F4" w:rsidR="00B449D0" w:rsidRDefault="00175344">
      <w:pPr>
        <w:pStyle w:val="Normal2"/>
      </w:pPr>
      <w:r>
        <w:t>The Government ​will provide $202.0 million​ ​over two years from 2024–25​ to make settlement payments following the Federal Court</w:t>
      </w:r>
      <w:r w:rsidR="00076D78">
        <w:t>’</w:t>
      </w:r>
      <w:r>
        <w:t xml:space="preserve">s approval of the </w:t>
      </w:r>
      <w:r w:rsidRPr="00175344">
        <w:rPr>
          <w:i/>
        </w:rPr>
        <w:t xml:space="preserve">McDonald v Commonwealth </w:t>
      </w:r>
      <w:r>
        <w:t>class action, for First Nations people who worked in the Northern Territory between 1933 and 1971 under unfair Commonwealth laws that denied them fair financial reward.</w:t>
      </w:r>
    </w:p>
    <w:p w14:paraId="07EAAFE5" w14:textId="77777777" w:rsidR="00B449D0" w:rsidRDefault="00175344">
      <w:pPr>
        <w:pStyle w:val="Normal2"/>
      </w:pPr>
      <w:r>
        <w:t>The Government has already provided partial funding for this measure.</w:t>
      </w:r>
    </w:p>
    <w:p w14:paraId="516A9A24" w14:textId="189832DE" w:rsidR="00B449D0" w:rsidRDefault="00175344">
      <w:pPr>
        <w:pStyle w:val="Normal2"/>
      </w:pPr>
      <w:r w:rsidRPr="7F762F0D">
        <w:rPr>
          <w:lang w:val="en-US"/>
        </w:rPr>
        <w:t>The financial implications of some elements of this measure are not for publication (nfp) because they would impair the Commonwealth position in settlement discussions.</w:t>
      </w:r>
    </w:p>
    <w:p w14:paraId="01A82888" w14:textId="77777777" w:rsidR="00B449D0" w:rsidRDefault="00175344">
      <w:pPr>
        <w:pStyle w:val="MeasureTitle"/>
      </w:pPr>
      <w:r>
        <w:t>New Remote Employment Service</w:t>
      </w:r>
    </w:p>
    <w:p w14:paraId="2B278787"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6254300D" w14:textId="77777777">
        <w:trPr>
          <w:cantSplit/>
        </w:trPr>
        <w:tc>
          <w:tcPr>
            <w:tcW w:w="2494" w:type="dxa"/>
            <w:tcBorders>
              <w:top w:val="single" w:sz="4" w:space="0" w:color="000000"/>
              <w:bottom w:val="single" w:sz="4" w:space="0" w:color="000000"/>
            </w:tcBorders>
          </w:tcPr>
          <w:p w14:paraId="268720A2" w14:textId="77777777" w:rsidR="00B449D0" w:rsidRDefault="00B449D0">
            <w:pPr>
              <w:pStyle w:val="MeasureTableYearHeadings"/>
              <w:keepNext/>
            </w:pPr>
          </w:p>
        </w:tc>
        <w:tc>
          <w:tcPr>
            <w:tcW w:w="1043" w:type="dxa"/>
            <w:tcBorders>
              <w:top w:val="single" w:sz="4" w:space="0" w:color="000000"/>
              <w:bottom w:val="single" w:sz="4" w:space="0" w:color="000000"/>
            </w:tcBorders>
          </w:tcPr>
          <w:p w14:paraId="28FBBCFC" w14:textId="27EBB8B7"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5C8DCE5F" w14:textId="15165A7F"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47330B42" w14:textId="627FB9C8"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0C43C4FC" w14:textId="7E60FD2D"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1EE8C181" w14:textId="756F150A" w:rsidR="00B449D0" w:rsidRDefault="00175344">
            <w:pPr>
              <w:pStyle w:val="MeasureTableYearHeadings"/>
              <w:keepNext/>
            </w:pPr>
            <w:r>
              <w:t>2027</w:t>
            </w:r>
            <w:r w:rsidR="00076D78">
              <w:noBreakHyphen/>
            </w:r>
            <w:r>
              <w:t>28</w:t>
            </w:r>
          </w:p>
        </w:tc>
      </w:tr>
      <w:tr w:rsidR="00B449D0" w14:paraId="6AA18E6A" w14:textId="77777777">
        <w:trPr>
          <w:cantSplit/>
        </w:trPr>
        <w:tc>
          <w:tcPr>
            <w:tcW w:w="2494" w:type="dxa"/>
            <w:tcBorders>
              <w:top w:val="single" w:sz="4" w:space="0" w:color="000000"/>
              <w:bottom w:val="single" w:sz="4" w:space="0" w:color="000000"/>
            </w:tcBorders>
          </w:tcPr>
          <w:p w14:paraId="52C459C8" w14:textId="77777777" w:rsidR="00B449D0" w:rsidRDefault="00175344">
            <w:pPr>
              <w:pStyle w:val="MeasureTableHeadingleftalignedwith2ptsspacing"/>
              <w:keepNext/>
            </w:pPr>
            <w:r>
              <w:t>Department of Employment and Workplace Relations</w:t>
            </w:r>
          </w:p>
        </w:tc>
        <w:tc>
          <w:tcPr>
            <w:tcW w:w="1043" w:type="dxa"/>
            <w:tcBorders>
              <w:top w:val="single" w:sz="4" w:space="0" w:color="000000"/>
              <w:bottom w:val="single" w:sz="4" w:space="0" w:color="000000"/>
            </w:tcBorders>
          </w:tcPr>
          <w:p w14:paraId="51B53F8C" w14:textId="79429535"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153BB4C" w14:textId="77777777" w:rsidR="00B449D0" w:rsidRDefault="00175344">
            <w:pPr>
              <w:pStyle w:val="MeasureTableDataRightAlignedwith2ptsspacing"/>
              <w:keepNext/>
            </w:pPr>
            <w:r>
              <w:t>7.7</w:t>
            </w:r>
          </w:p>
        </w:tc>
        <w:tc>
          <w:tcPr>
            <w:tcW w:w="1043" w:type="dxa"/>
            <w:tcBorders>
              <w:top w:val="single" w:sz="4" w:space="0" w:color="000000"/>
              <w:bottom w:val="single" w:sz="4" w:space="0" w:color="000000"/>
            </w:tcBorders>
          </w:tcPr>
          <w:p w14:paraId="7445197D" w14:textId="77777777" w:rsidR="00B449D0" w:rsidRDefault="00175344">
            <w:pPr>
              <w:pStyle w:val="MeasureTableDataRightAlignedwith2ptsspacing"/>
              <w:keepNext/>
            </w:pPr>
            <w:r>
              <w:t>5.9</w:t>
            </w:r>
          </w:p>
        </w:tc>
        <w:tc>
          <w:tcPr>
            <w:tcW w:w="1043" w:type="dxa"/>
            <w:tcBorders>
              <w:top w:val="single" w:sz="4" w:space="0" w:color="000000"/>
              <w:bottom w:val="single" w:sz="4" w:space="0" w:color="000000"/>
            </w:tcBorders>
          </w:tcPr>
          <w:p w14:paraId="19EFCA2C" w14:textId="77777777" w:rsidR="00B449D0" w:rsidRDefault="00175344">
            <w:pPr>
              <w:pStyle w:val="MeasureTableDataRightAlignedwith2ptsspacing"/>
              <w:keepNext/>
            </w:pPr>
            <w:r>
              <w:t>0.9</w:t>
            </w:r>
          </w:p>
        </w:tc>
        <w:tc>
          <w:tcPr>
            <w:tcW w:w="1043" w:type="dxa"/>
            <w:tcBorders>
              <w:top w:val="single" w:sz="4" w:space="0" w:color="000000"/>
              <w:bottom w:val="single" w:sz="4" w:space="0" w:color="000000"/>
            </w:tcBorders>
          </w:tcPr>
          <w:p w14:paraId="1F2BB3E8" w14:textId="77777777" w:rsidR="00B449D0" w:rsidRDefault="00175344">
            <w:pPr>
              <w:pStyle w:val="MeasureTableDataRightAlignedwith2ptsspacing"/>
              <w:keepNext/>
            </w:pPr>
            <w:r>
              <w:t>1.7</w:t>
            </w:r>
          </w:p>
        </w:tc>
      </w:tr>
      <w:tr w:rsidR="00B449D0" w14:paraId="2A1C7E1F" w14:textId="77777777">
        <w:trPr>
          <w:cantSplit/>
        </w:trPr>
        <w:tc>
          <w:tcPr>
            <w:tcW w:w="2494" w:type="dxa"/>
            <w:tcBorders>
              <w:top w:val="single" w:sz="4" w:space="0" w:color="000000"/>
              <w:bottom w:val="single" w:sz="4" w:space="0" w:color="000000"/>
            </w:tcBorders>
          </w:tcPr>
          <w:p w14:paraId="52E16F1E" w14:textId="77777777" w:rsidR="00B449D0" w:rsidRDefault="00175344">
            <w:pPr>
              <w:pStyle w:val="MeasureTableHeadingleftalignedwith2ptsspacing"/>
              <w:keepNext/>
            </w:pPr>
            <w:r>
              <w:t>National Indigenous Australians Agency</w:t>
            </w:r>
          </w:p>
        </w:tc>
        <w:tc>
          <w:tcPr>
            <w:tcW w:w="1043" w:type="dxa"/>
            <w:tcBorders>
              <w:top w:val="single" w:sz="4" w:space="0" w:color="000000"/>
              <w:bottom w:val="single" w:sz="4" w:space="0" w:color="000000"/>
            </w:tcBorders>
          </w:tcPr>
          <w:p w14:paraId="2D70C058" w14:textId="127DAA39"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98FBFC4" w14:textId="77777777" w:rsidR="00B449D0" w:rsidRDefault="00175344">
            <w:pPr>
              <w:pStyle w:val="MeasureTableDataRightAlignedwith2ptsspacing"/>
              <w:keepNext/>
            </w:pPr>
            <w:r>
              <w:t>4.4</w:t>
            </w:r>
          </w:p>
        </w:tc>
        <w:tc>
          <w:tcPr>
            <w:tcW w:w="1043" w:type="dxa"/>
            <w:tcBorders>
              <w:top w:val="single" w:sz="4" w:space="0" w:color="000000"/>
              <w:bottom w:val="single" w:sz="4" w:space="0" w:color="000000"/>
            </w:tcBorders>
          </w:tcPr>
          <w:p w14:paraId="7ABCAD33" w14:textId="77777777" w:rsidR="00B449D0" w:rsidRDefault="00175344">
            <w:pPr>
              <w:pStyle w:val="MeasureTableDataRightAlignedwith2ptsspacing"/>
              <w:keepNext/>
            </w:pPr>
            <w:r>
              <w:t>134.0</w:t>
            </w:r>
          </w:p>
        </w:tc>
        <w:tc>
          <w:tcPr>
            <w:tcW w:w="1043" w:type="dxa"/>
            <w:tcBorders>
              <w:top w:val="single" w:sz="4" w:space="0" w:color="000000"/>
              <w:bottom w:val="single" w:sz="4" w:space="0" w:color="000000"/>
            </w:tcBorders>
          </w:tcPr>
          <w:p w14:paraId="334D660E" w14:textId="77777777" w:rsidR="00B449D0" w:rsidRDefault="00175344">
            <w:pPr>
              <w:pStyle w:val="MeasureTableDataRightAlignedwith2ptsspacing"/>
              <w:keepNext/>
            </w:pPr>
            <w:r>
              <w:t>121.9</w:t>
            </w:r>
          </w:p>
        </w:tc>
        <w:tc>
          <w:tcPr>
            <w:tcW w:w="1043" w:type="dxa"/>
            <w:tcBorders>
              <w:top w:val="single" w:sz="4" w:space="0" w:color="000000"/>
              <w:bottom w:val="single" w:sz="4" w:space="0" w:color="000000"/>
            </w:tcBorders>
          </w:tcPr>
          <w:p w14:paraId="3B50E98C" w14:textId="77777777" w:rsidR="00B449D0" w:rsidRDefault="00175344">
            <w:pPr>
              <w:pStyle w:val="MeasureTableDataRightAlignedwith2ptsspacing"/>
              <w:keepNext/>
            </w:pPr>
            <w:r>
              <w:t>120.1</w:t>
            </w:r>
          </w:p>
        </w:tc>
      </w:tr>
      <w:tr w:rsidR="00B449D0" w14:paraId="68F1408D" w14:textId="77777777">
        <w:trPr>
          <w:cantSplit/>
        </w:trPr>
        <w:tc>
          <w:tcPr>
            <w:tcW w:w="2494" w:type="dxa"/>
            <w:tcBorders>
              <w:top w:val="single" w:sz="4" w:space="0" w:color="000000"/>
              <w:bottom w:val="single" w:sz="4" w:space="0" w:color="000000"/>
            </w:tcBorders>
          </w:tcPr>
          <w:p w14:paraId="221F3212" w14:textId="77777777" w:rsidR="00B449D0" w:rsidRDefault="00175344">
            <w:pPr>
              <w:pStyle w:val="MeasureTableHeadingleftalignedwith2ptsspacing"/>
              <w:keepNext/>
            </w:pPr>
            <w:r>
              <w:t>Department of Social Services</w:t>
            </w:r>
          </w:p>
        </w:tc>
        <w:tc>
          <w:tcPr>
            <w:tcW w:w="1043" w:type="dxa"/>
            <w:tcBorders>
              <w:top w:val="single" w:sz="4" w:space="0" w:color="000000"/>
              <w:bottom w:val="single" w:sz="4" w:space="0" w:color="000000"/>
            </w:tcBorders>
          </w:tcPr>
          <w:p w14:paraId="21D0A8F8" w14:textId="392C0842"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CEEF00F" w14:textId="2D61F258"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57C519B" w14:textId="77777777" w:rsidR="00B449D0" w:rsidRDefault="00175344">
            <w:pPr>
              <w:pStyle w:val="MeasureTableDataRightAlignedwith2ptsspacing"/>
              <w:keepNext/>
            </w:pPr>
            <w:r>
              <w:t>15.3</w:t>
            </w:r>
          </w:p>
        </w:tc>
        <w:tc>
          <w:tcPr>
            <w:tcW w:w="1043" w:type="dxa"/>
            <w:tcBorders>
              <w:top w:val="single" w:sz="4" w:space="0" w:color="000000"/>
              <w:bottom w:val="single" w:sz="4" w:space="0" w:color="000000"/>
            </w:tcBorders>
          </w:tcPr>
          <w:p w14:paraId="1D537F34" w14:textId="77777777" w:rsidR="00B449D0" w:rsidRDefault="00175344">
            <w:pPr>
              <w:pStyle w:val="MeasureTableDataRightAlignedwith2ptsspacing"/>
              <w:keepNext/>
            </w:pPr>
            <w:r>
              <w:t>17.0</w:t>
            </w:r>
          </w:p>
        </w:tc>
        <w:tc>
          <w:tcPr>
            <w:tcW w:w="1043" w:type="dxa"/>
            <w:tcBorders>
              <w:top w:val="single" w:sz="4" w:space="0" w:color="000000"/>
              <w:bottom w:val="single" w:sz="4" w:space="0" w:color="000000"/>
            </w:tcBorders>
          </w:tcPr>
          <w:p w14:paraId="2743A3D7" w14:textId="77777777" w:rsidR="00B449D0" w:rsidRDefault="00175344">
            <w:pPr>
              <w:pStyle w:val="MeasureTableDataRightAlignedwith2ptsspacing"/>
              <w:keepNext/>
            </w:pPr>
            <w:r>
              <w:t>2.6</w:t>
            </w:r>
          </w:p>
        </w:tc>
      </w:tr>
      <w:tr w:rsidR="00B449D0" w14:paraId="4F622FDF" w14:textId="77777777">
        <w:trPr>
          <w:cantSplit/>
        </w:trPr>
        <w:tc>
          <w:tcPr>
            <w:tcW w:w="2494" w:type="dxa"/>
            <w:tcBorders>
              <w:top w:val="single" w:sz="4" w:space="0" w:color="000000"/>
              <w:bottom w:val="single" w:sz="4" w:space="0" w:color="000000"/>
            </w:tcBorders>
          </w:tcPr>
          <w:p w14:paraId="0A464C13" w14:textId="77777777" w:rsidR="00B449D0" w:rsidRDefault="00175344">
            <w:pPr>
              <w:pStyle w:val="MeasureTableHeadingleftalignedwith2ptsspacing"/>
              <w:keepNext/>
            </w:pPr>
            <w:r>
              <w:t>Services Australia</w:t>
            </w:r>
          </w:p>
        </w:tc>
        <w:tc>
          <w:tcPr>
            <w:tcW w:w="1043" w:type="dxa"/>
            <w:tcBorders>
              <w:top w:val="single" w:sz="4" w:space="0" w:color="000000"/>
              <w:bottom w:val="single" w:sz="4" w:space="0" w:color="000000"/>
            </w:tcBorders>
          </w:tcPr>
          <w:p w14:paraId="45E12921" w14:textId="4EC7B20C"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69F3A19D" w14:textId="31C9D703" w:rsidR="00B449D0" w:rsidRDefault="00076D78">
            <w:pPr>
              <w:pStyle w:val="MeasureTableDataRightAlignedwith2ptsspacing"/>
              <w:keepNext/>
            </w:pPr>
            <w:r>
              <w:noBreakHyphen/>
            </w:r>
            <w:r w:rsidR="00175344">
              <w:t>1.5</w:t>
            </w:r>
          </w:p>
        </w:tc>
        <w:tc>
          <w:tcPr>
            <w:tcW w:w="1043" w:type="dxa"/>
            <w:tcBorders>
              <w:top w:val="single" w:sz="4" w:space="0" w:color="000000"/>
              <w:bottom w:val="single" w:sz="4" w:space="0" w:color="000000"/>
            </w:tcBorders>
          </w:tcPr>
          <w:p w14:paraId="428C00F1" w14:textId="77777777" w:rsidR="00B449D0" w:rsidRDefault="00175344">
            <w:pPr>
              <w:pStyle w:val="MeasureTableDataRightAlignedwith2ptsspacing"/>
              <w:keepNext/>
            </w:pPr>
            <w:r>
              <w:t>28.6</w:t>
            </w:r>
          </w:p>
        </w:tc>
        <w:tc>
          <w:tcPr>
            <w:tcW w:w="1043" w:type="dxa"/>
            <w:tcBorders>
              <w:top w:val="single" w:sz="4" w:space="0" w:color="000000"/>
              <w:bottom w:val="single" w:sz="4" w:space="0" w:color="000000"/>
            </w:tcBorders>
          </w:tcPr>
          <w:p w14:paraId="100CEF87" w14:textId="77777777" w:rsidR="00B449D0" w:rsidRDefault="00175344">
            <w:pPr>
              <w:pStyle w:val="MeasureTableDataRightAlignedwith2ptsspacing"/>
              <w:keepNext/>
            </w:pPr>
            <w:r>
              <w:t>2.3</w:t>
            </w:r>
          </w:p>
        </w:tc>
        <w:tc>
          <w:tcPr>
            <w:tcW w:w="1043" w:type="dxa"/>
            <w:tcBorders>
              <w:top w:val="single" w:sz="4" w:space="0" w:color="000000"/>
              <w:bottom w:val="single" w:sz="4" w:space="0" w:color="000000"/>
            </w:tcBorders>
          </w:tcPr>
          <w:p w14:paraId="5B4DB694" w14:textId="77777777" w:rsidR="00B449D0" w:rsidRDefault="00175344">
            <w:pPr>
              <w:pStyle w:val="MeasureTableDataRightAlignedwith2ptsspacing"/>
              <w:keepNext/>
            </w:pPr>
            <w:r>
              <w:t>0.6</w:t>
            </w:r>
          </w:p>
        </w:tc>
      </w:tr>
      <w:tr w:rsidR="00B449D0" w14:paraId="727BAE16" w14:textId="77777777">
        <w:trPr>
          <w:cantSplit/>
        </w:trPr>
        <w:tc>
          <w:tcPr>
            <w:tcW w:w="2494" w:type="dxa"/>
            <w:tcBorders>
              <w:top w:val="single" w:sz="4" w:space="0" w:color="000000"/>
              <w:bottom w:val="single" w:sz="4" w:space="0" w:color="000000"/>
            </w:tcBorders>
          </w:tcPr>
          <w:p w14:paraId="04D34B44"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38FB2D98" w14:textId="6C3CEA3C"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1710FB69" w14:textId="77777777" w:rsidR="00B449D0" w:rsidRDefault="00175344">
            <w:pPr>
              <w:pStyle w:val="Totaldatarowrightaligned"/>
              <w:keepNext/>
            </w:pPr>
            <w:r>
              <w:t>10.6</w:t>
            </w:r>
          </w:p>
        </w:tc>
        <w:tc>
          <w:tcPr>
            <w:tcW w:w="1043" w:type="dxa"/>
            <w:tcBorders>
              <w:top w:val="single" w:sz="4" w:space="0" w:color="000000"/>
              <w:bottom w:val="single" w:sz="4" w:space="0" w:color="000000"/>
            </w:tcBorders>
          </w:tcPr>
          <w:p w14:paraId="0189A0CC" w14:textId="77777777" w:rsidR="00B449D0" w:rsidRDefault="00175344">
            <w:pPr>
              <w:pStyle w:val="Totaldatarowrightaligned"/>
              <w:keepNext/>
            </w:pPr>
            <w:r>
              <w:t>183.8</w:t>
            </w:r>
          </w:p>
        </w:tc>
        <w:tc>
          <w:tcPr>
            <w:tcW w:w="1043" w:type="dxa"/>
            <w:tcBorders>
              <w:top w:val="single" w:sz="4" w:space="0" w:color="000000"/>
              <w:bottom w:val="single" w:sz="4" w:space="0" w:color="000000"/>
            </w:tcBorders>
          </w:tcPr>
          <w:p w14:paraId="17EA67B0" w14:textId="77777777" w:rsidR="00B449D0" w:rsidRDefault="00175344">
            <w:pPr>
              <w:pStyle w:val="Totaldatarowrightaligned"/>
              <w:keepNext/>
            </w:pPr>
            <w:r>
              <w:t>142.1</w:t>
            </w:r>
          </w:p>
        </w:tc>
        <w:tc>
          <w:tcPr>
            <w:tcW w:w="1043" w:type="dxa"/>
            <w:tcBorders>
              <w:top w:val="single" w:sz="4" w:space="0" w:color="000000"/>
              <w:bottom w:val="single" w:sz="4" w:space="0" w:color="000000"/>
            </w:tcBorders>
          </w:tcPr>
          <w:p w14:paraId="1698798C" w14:textId="77777777" w:rsidR="00B449D0" w:rsidRDefault="00175344">
            <w:pPr>
              <w:pStyle w:val="Totaldatarowrightaligned"/>
              <w:keepNext/>
            </w:pPr>
            <w:r>
              <w:t>124.9</w:t>
            </w:r>
          </w:p>
        </w:tc>
      </w:tr>
    </w:tbl>
    <w:p w14:paraId="0DD2695C" w14:textId="77777777" w:rsidR="00B449D0" w:rsidRDefault="00B449D0" w:rsidP="00380A42">
      <w:pPr>
        <w:pStyle w:val="SingleParagraph0"/>
      </w:pPr>
    </w:p>
    <w:p w14:paraId="5C20A4BE" w14:textId="526914E7" w:rsidR="00B449D0" w:rsidRDefault="00175344">
      <w:pPr>
        <w:pStyle w:val="Normal2"/>
      </w:pPr>
      <w:r w:rsidRPr="7F762F0D">
        <w:rPr>
          <w:lang w:val="en-US"/>
        </w:rPr>
        <w:t>The Government will provide $1.5</w:t>
      </w:r>
      <w:r w:rsidR="002A7001">
        <w:rPr>
          <w:lang w:val="en-US"/>
        </w:rPr>
        <w:t> billion</w:t>
      </w:r>
      <w:r w:rsidRPr="7F762F0D">
        <w:rPr>
          <w:lang w:val="en-US"/>
        </w:rPr>
        <w:t xml:space="preserve"> over four years from 2024–25 (and $448.8 million in 2028–29), including $7.1 million in capital funding over two years from 2024–25, to implement a new remote employment services program and to provide continuity of support to participants under the </w:t>
      </w:r>
      <w:r w:rsidRPr="7F762F0D">
        <w:rPr>
          <w:i/>
          <w:iCs/>
          <w:lang w:val="en-US"/>
        </w:rPr>
        <w:t>New Jobs Program</w:t>
      </w:r>
      <w:r w:rsidRPr="7F762F0D">
        <w:rPr>
          <w:lang w:val="en-US"/>
        </w:rPr>
        <w:t xml:space="preserve"> trial. The new remote employment services program is the next phase of reforms to replace the </w:t>
      </w:r>
      <w:r w:rsidRPr="7F762F0D">
        <w:rPr>
          <w:i/>
          <w:iCs/>
          <w:lang w:val="en-US"/>
        </w:rPr>
        <w:t>Community Development Program</w:t>
      </w:r>
      <w:r w:rsidRPr="7F762F0D">
        <w:rPr>
          <w:lang w:val="en-US"/>
        </w:rPr>
        <w:t xml:space="preserve"> with a program to support real jobs, proper wages and decent conditions. Funding includes:</w:t>
      </w:r>
    </w:p>
    <w:p w14:paraId="6B5D014F" w14:textId="77777777" w:rsidR="00B449D0" w:rsidRDefault="00175344">
      <w:pPr>
        <w:pStyle w:val="Bullet"/>
      </w:pPr>
      <w:r>
        <w:t>$1.4 billion over four years from 2024–25 (and $446.3 million in 2028–29) to establish the new Remote Employment Transition Program (Transition Program) that will support people in remote Australia into pathways to work and is tailored to remote labour market conditions and community needs</w:t>
      </w:r>
    </w:p>
    <w:p w14:paraId="6A08304D" w14:textId="77777777" w:rsidR="00B449D0" w:rsidRDefault="00175344">
      <w:pPr>
        <w:pStyle w:val="Bullet"/>
      </w:pPr>
      <w:r>
        <w:lastRenderedPageBreak/>
        <w:t>$19.3 million over four years from 2024–25 (and $2.5 million in 2028–29) to improve the delivery of existing job seeker assessment tools, and pilot and evaluate ways to test how existing job seeker processes and assessment tools could be more fit for purpose in the remote employment context</w:t>
      </w:r>
    </w:p>
    <w:p w14:paraId="2DF51FA6" w14:textId="21E43289" w:rsidR="00492F71" w:rsidRDefault="00492F71" w:rsidP="00492F71">
      <w:pPr>
        <w:pStyle w:val="Bullet"/>
      </w:pPr>
      <w:r>
        <w:t xml:space="preserve">$14.3 million in 2024–25 to extend the </w:t>
      </w:r>
      <w:r w:rsidRPr="00175344">
        <w:rPr>
          <w:i/>
        </w:rPr>
        <w:t xml:space="preserve">New Jobs Program </w:t>
      </w:r>
      <w:r>
        <w:t xml:space="preserve">trial to 30 June 2025 to support a smooth transition of jobs to the </w:t>
      </w:r>
      <w:r w:rsidRPr="00175344">
        <w:rPr>
          <w:i/>
        </w:rPr>
        <w:t>Remote Jobs and Economic Development Program</w:t>
      </w:r>
    </w:p>
    <w:p w14:paraId="5731FCDF" w14:textId="77777777" w:rsidR="00B449D0" w:rsidRDefault="00175344">
      <w:pPr>
        <w:pStyle w:val="Bullet"/>
      </w:pPr>
      <w:r>
        <w:t>$5.7 million over three years from 2024–25 to improve the capability and performance of providers to deliver quality services and outcomes under the Transition Program</w:t>
      </w:r>
    </w:p>
    <w:p w14:paraId="33BEDD5D" w14:textId="16B7866C" w:rsidR="00B449D0" w:rsidRDefault="00175344">
      <w:pPr>
        <w:pStyle w:val="Bullet"/>
      </w:pPr>
      <w:r>
        <w:t>$4.2 million over two years from 2024–25 to uplift English and first language, literacy and numeracy skills and training for job seekers under the Transition Program</w:t>
      </w:r>
      <w:r w:rsidR="00492F71">
        <w:t>.</w:t>
      </w:r>
    </w:p>
    <w:p w14:paraId="5B6C8DC7" w14:textId="77777777" w:rsidR="00B449D0" w:rsidRDefault="00175344">
      <w:pPr>
        <w:pStyle w:val="Normal2"/>
      </w:pPr>
      <w:r>
        <w:t xml:space="preserve">The Government will also provide $15.0 million over two years from 2024–25 to extend the </w:t>
      </w:r>
      <w:r w:rsidRPr="00175344">
        <w:rPr>
          <w:i/>
        </w:rPr>
        <w:t>Tailored Assistance Employment Grant</w:t>
      </w:r>
      <w:r>
        <w:t xml:space="preserve"> program to 31 December 2025 to ensure service continuity for First Nations jobseekers through funding tailored activities that address barriers to employment and improve retention in the workplace.</w:t>
      </w:r>
    </w:p>
    <w:p w14:paraId="6E87F1B8" w14:textId="075D24A4" w:rsidR="00B449D0" w:rsidRDefault="00175344">
      <w:pPr>
        <w:pStyle w:val="Normal2"/>
      </w:pPr>
      <w:r w:rsidRPr="7F762F0D">
        <w:rPr>
          <w:lang w:val="en-US"/>
        </w:rPr>
        <w:t xml:space="preserve">The cost of this measure will be partially met from a reprioritisation of funding from the 2024–25 Budget measure titled </w:t>
      </w:r>
      <w:r w:rsidRPr="7F762F0D">
        <w:rPr>
          <w:i/>
          <w:iCs/>
          <w:lang w:val="en-US"/>
        </w:rPr>
        <w:t xml:space="preserve">Remote Jobs and Economic Development Program, </w:t>
      </w:r>
      <w:r w:rsidRPr="7F762F0D">
        <w:rPr>
          <w:lang w:val="en-US"/>
        </w:rPr>
        <w:t>within the existing resourcing of the National Indigenous Australians Agency</w:t>
      </w:r>
      <w:r w:rsidR="00076D78">
        <w:rPr>
          <w:lang w:val="en-US"/>
        </w:rPr>
        <w:t>’</w:t>
      </w:r>
      <w:r w:rsidRPr="7F762F0D">
        <w:rPr>
          <w:lang w:val="en-US"/>
        </w:rPr>
        <w:t xml:space="preserve">s </w:t>
      </w:r>
      <w:r w:rsidRPr="7F762F0D">
        <w:rPr>
          <w:i/>
          <w:iCs/>
          <w:lang w:val="en-US"/>
        </w:rPr>
        <w:t>Indigenous Advancement Strategy</w:t>
      </w:r>
      <w:r w:rsidRPr="7F762F0D">
        <w:rPr>
          <w:lang w:val="en-US"/>
        </w:rPr>
        <w:t>, and from savings identified in the Employment and Workplace Relations portfolio.</w:t>
      </w:r>
    </w:p>
    <w:p w14:paraId="7051054B" w14:textId="77777777" w:rsidR="00B449D0" w:rsidRDefault="00175344">
      <w:pPr>
        <w:pStyle w:val="Normal2"/>
      </w:pPr>
      <w:r w:rsidRPr="7F762F0D">
        <w:rPr>
          <w:lang w:val="en-US"/>
        </w:rPr>
        <w:t xml:space="preserve">This measure builds on the 2024–25 Budget measure titled </w:t>
      </w:r>
      <w:r w:rsidRPr="7F762F0D">
        <w:rPr>
          <w:i/>
          <w:iCs/>
          <w:lang w:val="en-US"/>
        </w:rPr>
        <w:t xml:space="preserve">Remote Jobs and Economic Development Program </w:t>
      </w:r>
      <w:r w:rsidRPr="7F762F0D">
        <w:rPr>
          <w:lang w:val="en-US"/>
        </w:rPr>
        <w:t xml:space="preserve">and the 2023–24 MYEFO measure titled </w:t>
      </w:r>
      <w:r w:rsidRPr="7F762F0D">
        <w:rPr>
          <w:i/>
          <w:iCs/>
          <w:lang w:val="en-US"/>
        </w:rPr>
        <w:t>Strengthening support for Aboriginal and Torres Strait Islander communities, women, children and veterans</w:t>
      </w:r>
      <w:r w:rsidRPr="7F762F0D">
        <w:rPr>
          <w:lang w:val="en-US"/>
        </w:rPr>
        <w:t>.</w:t>
      </w:r>
    </w:p>
    <w:p w14:paraId="6F450C59" w14:textId="77777777" w:rsidR="00B449D0" w:rsidRDefault="00175344">
      <w:pPr>
        <w:pStyle w:val="MeasureTitle"/>
      </w:pPr>
      <w:r>
        <w:t>Remuneration for Honours Council Members</w:t>
      </w:r>
    </w:p>
    <w:p w14:paraId="46F7A725"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3BA02D7D" w14:textId="77777777">
        <w:trPr>
          <w:cantSplit/>
        </w:trPr>
        <w:tc>
          <w:tcPr>
            <w:tcW w:w="2494" w:type="dxa"/>
            <w:tcBorders>
              <w:top w:val="single" w:sz="4" w:space="0" w:color="000000"/>
              <w:bottom w:val="single" w:sz="4" w:space="0" w:color="000000"/>
            </w:tcBorders>
          </w:tcPr>
          <w:p w14:paraId="25D4172D" w14:textId="77777777" w:rsidR="00B449D0" w:rsidRDefault="00B449D0">
            <w:pPr>
              <w:pStyle w:val="MeasureTableYearHeadings"/>
              <w:keepNext/>
            </w:pPr>
          </w:p>
        </w:tc>
        <w:tc>
          <w:tcPr>
            <w:tcW w:w="1043" w:type="dxa"/>
            <w:tcBorders>
              <w:top w:val="single" w:sz="4" w:space="0" w:color="000000"/>
              <w:bottom w:val="single" w:sz="4" w:space="0" w:color="000000"/>
            </w:tcBorders>
          </w:tcPr>
          <w:p w14:paraId="5489DFEE" w14:textId="3DD5AE75"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48608B59" w14:textId="1807F85A"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3ACE9FA9" w14:textId="1E921759"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23CFF76E" w14:textId="59C23B89"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7C53F30D" w14:textId="529695DB" w:rsidR="00B449D0" w:rsidRDefault="00175344">
            <w:pPr>
              <w:pStyle w:val="MeasureTableYearHeadings"/>
              <w:keepNext/>
            </w:pPr>
            <w:r>
              <w:t>2027</w:t>
            </w:r>
            <w:r w:rsidR="00076D78">
              <w:noBreakHyphen/>
            </w:r>
            <w:r>
              <w:t>28</w:t>
            </w:r>
          </w:p>
        </w:tc>
      </w:tr>
      <w:tr w:rsidR="00B449D0" w14:paraId="6A5FAFC4" w14:textId="77777777">
        <w:trPr>
          <w:cantSplit/>
        </w:trPr>
        <w:tc>
          <w:tcPr>
            <w:tcW w:w="2494" w:type="dxa"/>
            <w:tcBorders>
              <w:top w:val="single" w:sz="4" w:space="0" w:color="000000"/>
              <w:bottom w:val="single" w:sz="4" w:space="0" w:color="000000"/>
            </w:tcBorders>
          </w:tcPr>
          <w:p w14:paraId="0AFDE051" w14:textId="7184F465" w:rsidR="00B449D0" w:rsidRDefault="00175344">
            <w:pPr>
              <w:pStyle w:val="MeasureTableHeadingleftalignedwith2ptsspacing"/>
              <w:keepNext/>
            </w:pPr>
            <w:r>
              <w:t>Office of the Official Secretary to the Governor</w:t>
            </w:r>
            <w:r w:rsidR="00076D78">
              <w:noBreakHyphen/>
            </w:r>
            <w:r>
              <w:t>General</w:t>
            </w:r>
          </w:p>
        </w:tc>
        <w:tc>
          <w:tcPr>
            <w:tcW w:w="1043" w:type="dxa"/>
            <w:tcBorders>
              <w:top w:val="single" w:sz="4" w:space="0" w:color="000000"/>
              <w:bottom w:val="single" w:sz="4" w:space="0" w:color="000000"/>
            </w:tcBorders>
          </w:tcPr>
          <w:p w14:paraId="489336FA" w14:textId="774B8D50"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2B0ED76" w14:textId="4E1235CA"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68929D22" w14:textId="2B473F8A"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BA31650" w14:textId="060E81EF"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A9BE9A9" w14:textId="65DF2DE9" w:rsidR="00B449D0" w:rsidRDefault="00076D78">
            <w:pPr>
              <w:pStyle w:val="MeasureTableDataRightAlignedwith2ptsspacing"/>
              <w:keepNext/>
            </w:pPr>
            <w:r>
              <w:noBreakHyphen/>
            </w:r>
          </w:p>
        </w:tc>
      </w:tr>
    </w:tbl>
    <w:p w14:paraId="73E6D4F5" w14:textId="77777777" w:rsidR="00B449D0" w:rsidRDefault="00B449D0" w:rsidP="00380A42">
      <w:pPr>
        <w:pStyle w:val="SingleParagraph0"/>
      </w:pPr>
    </w:p>
    <w:p w14:paraId="7984A446" w14:textId="77777777" w:rsidR="00B449D0" w:rsidRDefault="00175344">
      <w:pPr>
        <w:pStyle w:val="Normal2"/>
      </w:pPr>
      <w:r w:rsidRPr="7F762F0D">
        <w:rPr>
          <w:lang w:val="en-US"/>
        </w:rPr>
        <w:t>The Government will provide $1.2 million over four years from 2024–25 (and $0.3 million per year ongoing) to remunerate community representatives on the Council for the Order of Australia, the Australian Bravery Decorations Council and the National Emergency Medal Committee.</w:t>
      </w:r>
    </w:p>
    <w:p w14:paraId="709F1992" w14:textId="77777777" w:rsidR="00B449D0" w:rsidRDefault="00175344">
      <w:pPr>
        <w:pStyle w:val="Normal2"/>
      </w:pPr>
      <w:r w:rsidRPr="7F762F0D">
        <w:rPr>
          <w:lang w:val="en-US"/>
        </w:rPr>
        <w:t>The cost of this measure will be met from within the existing resourcing of the Office of the Official Secretary to the Governor‑General.</w:t>
      </w:r>
    </w:p>
    <w:p w14:paraId="5DE7F524" w14:textId="77777777" w:rsidR="00B87369" w:rsidRDefault="00B87369">
      <w:pPr>
        <w:pStyle w:val="MeasureTitle"/>
      </w:pPr>
      <w:r>
        <w:br w:type="page"/>
      </w:r>
    </w:p>
    <w:p w14:paraId="22A4F7E4" w14:textId="71C99863" w:rsidR="00B449D0" w:rsidRDefault="00175344">
      <w:pPr>
        <w:pStyle w:val="MeasureTitle"/>
      </w:pPr>
      <w:r>
        <w:lastRenderedPageBreak/>
        <w:t>Secretariat of National Aboriginal and Islander Child Care</w:t>
      </w:r>
    </w:p>
    <w:p w14:paraId="2DC6B76D"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6EC5BE09" w14:textId="77777777">
        <w:trPr>
          <w:cantSplit/>
        </w:trPr>
        <w:tc>
          <w:tcPr>
            <w:tcW w:w="2494" w:type="dxa"/>
            <w:tcBorders>
              <w:top w:val="single" w:sz="4" w:space="0" w:color="000000"/>
              <w:bottom w:val="single" w:sz="4" w:space="0" w:color="000000"/>
            </w:tcBorders>
          </w:tcPr>
          <w:p w14:paraId="3B77A305" w14:textId="77777777" w:rsidR="00B449D0" w:rsidRDefault="00B449D0">
            <w:pPr>
              <w:pStyle w:val="MeasureTableYearHeadings"/>
              <w:keepNext/>
            </w:pPr>
          </w:p>
        </w:tc>
        <w:tc>
          <w:tcPr>
            <w:tcW w:w="1043" w:type="dxa"/>
            <w:tcBorders>
              <w:top w:val="single" w:sz="4" w:space="0" w:color="000000"/>
              <w:bottom w:val="single" w:sz="4" w:space="0" w:color="000000"/>
            </w:tcBorders>
          </w:tcPr>
          <w:p w14:paraId="77B5C929" w14:textId="66722ACD"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13F31BA4" w14:textId="057396BB"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70780BDC" w14:textId="0CB13F40"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486BFA59" w14:textId="152487A9"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716FF2E2" w14:textId="664FB449" w:rsidR="00B449D0" w:rsidRDefault="00175344">
            <w:pPr>
              <w:pStyle w:val="MeasureTableYearHeadings"/>
              <w:keepNext/>
            </w:pPr>
            <w:r>
              <w:t>2027</w:t>
            </w:r>
            <w:r w:rsidR="00076D78">
              <w:noBreakHyphen/>
            </w:r>
            <w:r>
              <w:t>28</w:t>
            </w:r>
          </w:p>
        </w:tc>
      </w:tr>
      <w:tr w:rsidR="00B449D0" w14:paraId="3125E6A1" w14:textId="77777777">
        <w:trPr>
          <w:cantSplit/>
        </w:trPr>
        <w:tc>
          <w:tcPr>
            <w:tcW w:w="2494" w:type="dxa"/>
            <w:tcBorders>
              <w:top w:val="single" w:sz="4" w:space="0" w:color="000000"/>
              <w:bottom w:val="single" w:sz="4" w:space="0" w:color="000000"/>
            </w:tcBorders>
          </w:tcPr>
          <w:p w14:paraId="33185BE0" w14:textId="77777777" w:rsidR="00B449D0" w:rsidRDefault="00175344">
            <w:pPr>
              <w:pStyle w:val="MeasureTableHeadingleftalignedwith2ptsspacing"/>
              <w:keepNext/>
            </w:pPr>
            <w:r>
              <w:t>National Indigenous Australians Agency</w:t>
            </w:r>
          </w:p>
        </w:tc>
        <w:tc>
          <w:tcPr>
            <w:tcW w:w="1043" w:type="dxa"/>
            <w:tcBorders>
              <w:top w:val="single" w:sz="4" w:space="0" w:color="000000"/>
              <w:bottom w:val="single" w:sz="4" w:space="0" w:color="000000"/>
            </w:tcBorders>
          </w:tcPr>
          <w:p w14:paraId="48897CE9" w14:textId="77C81C53"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D89DCFF" w14:textId="77777777" w:rsidR="00B449D0" w:rsidRDefault="00175344">
            <w:pPr>
              <w:pStyle w:val="MeasureTableDataRightAlignedwith2ptsspacing"/>
              <w:keepNext/>
            </w:pPr>
            <w:r>
              <w:t>1.1</w:t>
            </w:r>
          </w:p>
        </w:tc>
        <w:tc>
          <w:tcPr>
            <w:tcW w:w="1043" w:type="dxa"/>
            <w:tcBorders>
              <w:top w:val="single" w:sz="4" w:space="0" w:color="000000"/>
              <w:bottom w:val="single" w:sz="4" w:space="0" w:color="000000"/>
            </w:tcBorders>
          </w:tcPr>
          <w:p w14:paraId="0CF00120" w14:textId="77777777" w:rsidR="00B449D0" w:rsidRDefault="00175344">
            <w:pPr>
              <w:pStyle w:val="MeasureTableDataRightAlignedwith2ptsspacing"/>
              <w:keepNext/>
            </w:pPr>
            <w:r>
              <w:t>1.2</w:t>
            </w:r>
          </w:p>
        </w:tc>
        <w:tc>
          <w:tcPr>
            <w:tcW w:w="1043" w:type="dxa"/>
            <w:tcBorders>
              <w:top w:val="single" w:sz="4" w:space="0" w:color="000000"/>
              <w:bottom w:val="single" w:sz="4" w:space="0" w:color="000000"/>
            </w:tcBorders>
          </w:tcPr>
          <w:p w14:paraId="6E67DDF9" w14:textId="67ADD633"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1BB7FE3" w14:textId="66CF7BE5" w:rsidR="00B449D0" w:rsidRDefault="00076D78">
            <w:pPr>
              <w:pStyle w:val="MeasureTableDataRightAlignedwith2ptsspacing"/>
              <w:keepNext/>
            </w:pPr>
            <w:r>
              <w:noBreakHyphen/>
            </w:r>
          </w:p>
        </w:tc>
      </w:tr>
    </w:tbl>
    <w:p w14:paraId="160D8D0D" w14:textId="77777777" w:rsidR="00B449D0" w:rsidRDefault="00B449D0" w:rsidP="00380A42">
      <w:pPr>
        <w:pStyle w:val="SingleParagraph0"/>
      </w:pPr>
    </w:p>
    <w:p w14:paraId="20E8E80B" w14:textId="696B67A6" w:rsidR="00B449D0" w:rsidRDefault="00175344">
      <w:pPr>
        <w:pStyle w:val="Normal2"/>
      </w:pPr>
      <w:r>
        <w:t xml:space="preserve">The Government will provide funding of $2.3 million over two years from 2024–25 to extend the </w:t>
      </w:r>
      <w:r w:rsidRPr="00175344">
        <w:rPr>
          <w:i/>
        </w:rPr>
        <w:t>SNAICC – National Voice of our Children</w:t>
      </w:r>
      <w:r w:rsidR="00076D78">
        <w:rPr>
          <w:i/>
        </w:rPr>
        <w:t>’</w:t>
      </w:r>
      <w:r w:rsidRPr="00175344">
        <w:rPr>
          <w:i/>
        </w:rPr>
        <w:t>s Early Years Support Program</w:t>
      </w:r>
      <w:r>
        <w:t xml:space="preserve"> for 12</w:t>
      </w:r>
      <w:r w:rsidR="00F92EEF">
        <w:t> </w:t>
      </w:r>
      <w:r>
        <w:t>months.</w:t>
      </w:r>
    </w:p>
    <w:p w14:paraId="221AA9F1" w14:textId="77777777" w:rsidR="00B449D0" w:rsidRDefault="00175344">
      <w:pPr>
        <w:pStyle w:val="Normal2"/>
      </w:pPr>
      <w:r w:rsidRPr="7F762F0D">
        <w:rPr>
          <w:lang w:val="en-US"/>
        </w:rPr>
        <w:t>The extension will continue support for evidence‑based early childhood learning and development outcomes delivered by Aboriginal Controlled Community Organisations, including through operational and leadership support.</w:t>
      </w:r>
    </w:p>
    <w:p w14:paraId="73F64203" w14:textId="77777777" w:rsidR="00B449D0" w:rsidRDefault="00175344">
      <w:pPr>
        <w:pStyle w:val="MeasureTitle"/>
      </w:pPr>
      <w:r w:rsidRPr="7F762F0D">
        <w:rPr>
          <w:lang w:val="en-US"/>
        </w:rPr>
        <w:t>Youpla Support Program – additional funding</w:t>
      </w:r>
    </w:p>
    <w:p w14:paraId="494F6786"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6B20C6C9" w14:textId="77777777">
        <w:trPr>
          <w:cantSplit/>
        </w:trPr>
        <w:tc>
          <w:tcPr>
            <w:tcW w:w="2494" w:type="dxa"/>
            <w:tcBorders>
              <w:top w:val="single" w:sz="4" w:space="0" w:color="000000"/>
              <w:bottom w:val="single" w:sz="4" w:space="0" w:color="000000"/>
            </w:tcBorders>
          </w:tcPr>
          <w:p w14:paraId="06435208" w14:textId="77777777" w:rsidR="00B449D0" w:rsidRDefault="00B449D0">
            <w:pPr>
              <w:pStyle w:val="MeasureTableYearHeadings"/>
              <w:keepNext/>
            </w:pPr>
          </w:p>
        </w:tc>
        <w:tc>
          <w:tcPr>
            <w:tcW w:w="1043" w:type="dxa"/>
            <w:tcBorders>
              <w:top w:val="single" w:sz="4" w:space="0" w:color="000000"/>
              <w:bottom w:val="single" w:sz="4" w:space="0" w:color="000000"/>
            </w:tcBorders>
          </w:tcPr>
          <w:p w14:paraId="5FAEA1EB" w14:textId="27F2CEF3"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4986AA3C" w14:textId="1BC639B9"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4E3D8EEC" w14:textId="27D519E5"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2AA0C662" w14:textId="36F76287"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74E75E7D" w14:textId="458DAAA2" w:rsidR="00B449D0" w:rsidRDefault="00175344">
            <w:pPr>
              <w:pStyle w:val="MeasureTableYearHeadings"/>
              <w:keepNext/>
            </w:pPr>
            <w:r>
              <w:t>2027</w:t>
            </w:r>
            <w:r w:rsidR="00076D78">
              <w:noBreakHyphen/>
            </w:r>
            <w:r>
              <w:t>28</w:t>
            </w:r>
          </w:p>
        </w:tc>
      </w:tr>
      <w:tr w:rsidR="00B449D0" w14:paraId="085152E1" w14:textId="77777777">
        <w:trPr>
          <w:cantSplit/>
        </w:trPr>
        <w:tc>
          <w:tcPr>
            <w:tcW w:w="2494" w:type="dxa"/>
            <w:tcBorders>
              <w:top w:val="single" w:sz="4" w:space="0" w:color="000000"/>
              <w:bottom w:val="single" w:sz="4" w:space="0" w:color="000000"/>
            </w:tcBorders>
          </w:tcPr>
          <w:p w14:paraId="63770414" w14:textId="77777777" w:rsidR="00B449D0" w:rsidRDefault="00175344">
            <w:pPr>
              <w:pStyle w:val="MeasureTableHeadingleftalignedwith2ptsspacing"/>
              <w:keepNext/>
            </w:pPr>
            <w:r>
              <w:t>National Indigenous Australians Agency</w:t>
            </w:r>
          </w:p>
        </w:tc>
        <w:tc>
          <w:tcPr>
            <w:tcW w:w="1043" w:type="dxa"/>
            <w:tcBorders>
              <w:top w:val="single" w:sz="4" w:space="0" w:color="000000"/>
              <w:bottom w:val="single" w:sz="4" w:space="0" w:color="000000"/>
            </w:tcBorders>
          </w:tcPr>
          <w:p w14:paraId="67E4653B" w14:textId="00D8EC3B"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00C6CD6" w14:textId="07DE57E7"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7B836DE" w14:textId="3BA2FD02"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11DB66B" w14:textId="4EF2AC77"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BEC038E" w14:textId="7E748F08" w:rsidR="00B449D0" w:rsidRDefault="00076D78">
            <w:pPr>
              <w:pStyle w:val="MeasureTableDataRightAlignedwith2ptsspacing"/>
              <w:keepNext/>
            </w:pPr>
            <w:r>
              <w:noBreakHyphen/>
            </w:r>
          </w:p>
        </w:tc>
      </w:tr>
    </w:tbl>
    <w:p w14:paraId="32E5319E" w14:textId="77777777" w:rsidR="00B449D0" w:rsidRDefault="00B449D0" w:rsidP="00380A42">
      <w:pPr>
        <w:pStyle w:val="SingleParagraph0"/>
      </w:pPr>
    </w:p>
    <w:p w14:paraId="1DAD56DD" w14:textId="77777777" w:rsidR="00B449D0" w:rsidRDefault="00175344">
      <w:pPr>
        <w:pStyle w:val="Normal2"/>
      </w:pPr>
      <w:r w:rsidRPr="7F762F0D">
        <w:rPr>
          <w:lang w:val="en-US"/>
        </w:rPr>
        <w:t xml:space="preserve">The Government will provide additional funding of $0.9 million over three years from 2024–25 for the </w:t>
      </w:r>
      <w:r w:rsidRPr="7F762F0D">
        <w:rPr>
          <w:i/>
          <w:iCs/>
          <w:lang w:val="en-US"/>
        </w:rPr>
        <w:t xml:space="preserve">Youpla Support Program. </w:t>
      </w:r>
      <w:r w:rsidRPr="7F762F0D">
        <w:rPr>
          <w:lang w:val="en-US"/>
        </w:rPr>
        <w:t>Funding includes:</w:t>
      </w:r>
    </w:p>
    <w:p w14:paraId="1DEA154F" w14:textId="77777777" w:rsidR="00B449D0" w:rsidRDefault="00175344">
      <w:pPr>
        <w:pStyle w:val="Bullet"/>
      </w:pPr>
      <w:r>
        <w:t>$0.8 million over three years from 2024–25 to provide additional support to the funeral bond provider to ensure services are delivered in a culturally appropriate and accessible manner</w:t>
      </w:r>
    </w:p>
    <w:p w14:paraId="384033F1" w14:textId="77777777" w:rsidR="00B449D0" w:rsidRDefault="00175344">
      <w:pPr>
        <w:pStyle w:val="Bullet"/>
      </w:pPr>
      <w:r>
        <w:t xml:space="preserve">$0.1 million in 2024–25 to enable a minimum resolution payment floor of $100 to all eligible persons who are entitled to receive less than this amount under the </w:t>
      </w:r>
      <w:r w:rsidRPr="00175344">
        <w:rPr>
          <w:i/>
        </w:rPr>
        <w:t>Youpla Support Program.</w:t>
      </w:r>
    </w:p>
    <w:p w14:paraId="12157FE4" w14:textId="0036CF44" w:rsidR="00B449D0" w:rsidRDefault="00175344">
      <w:pPr>
        <w:pStyle w:val="Normal2"/>
      </w:pPr>
      <w:r>
        <w:t>The cost of this measure will be met from within the existing resourcing of the National</w:t>
      </w:r>
      <w:r w:rsidR="00F92EEF">
        <w:t> </w:t>
      </w:r>
      <w:r>
        <w:t>Indigenous</w:t>
      </w:r>
      <w:r w:rsidR="00F92EEF">
        <w:t> </w:t>
      </w:r>
      <w:r>
        <w:t>Australians</w:t>
      </w:r>
      <w:r w:rsidR="00F92EEF">
        <w:t> </w:t>
      </w:r>
      <w:r>
        <w:t>Agency</w:t>
      </w:r>
      <w:r w:rsidR="00076D78">
        <w:t>’</w:t>
      </w:r>
      <w:r>
        <w:t xml:space="preserve">s </w:t>
      </w:r>
      <w:r w:rsidRPr="00175344">
        <w:rPr>
          <w:i/>
        </w:rPr>
        <w:t>Indigenous Advancement Strategy</w:t>
      </w:r>
      <w:r>
        <w:t>.</w:t>
      </w:r>
    </w:p>
    <w:p w14:paraId="5DD81169" w14:textId="77777777" w:rsidR="00B449D0" w:rsidRDefault="00175344">
      <w:pPr>
        <w:pStyle w:val="Normal2"/>
      </w:pPr>
      <w:r w:rsidRPr="7F762F0D">
        <w:rPr>
          <w:lang w:val="en-US"/>
        </w:rPr>
        <w:t xml:space="preserve">This measure builds on the 2024–25 Budget measure titled </w:t>
      </w:r>
      <w:r w:rsidRPr="7F762F0D">
        <w:rPr>
          <w:i/>
          <w:iCs/>
          <w:lang w:val="en-US"/>
        </w:rPr>
        <w:t>Youpla Support Program – continuation</w:t>
      </w:r>
      <w:r w:rsidRPr="7F762F0D">
        <w:rPr>
          <w:lang w:val="en-US"/>
        </w:rPr>
        <w:t>.</w:t>
      </w:r>
    </w:p>
    <w:p w14:paraId="69B49986" w14:textId="77777777" w:rsidR="00B449D0" w:rsidRDefault="00B449D0">
      <w:pPr>
        <w:sectPr w:rsidR="00B449D0" w:rsidSect="00301E48">
          <w:headerReference w:type="even" r:id="rId120"/>
          <w:headerReference w:type="default" r:id="rId121"/>
          <w:footerReference w:type="even" r:id="rId122"/>
          <w:footerReference w:type="default" r:id="rId123"/>
          <w:headerReference w:type="first" r:id="rId124"/>
          <w:footerReference w:type="first" r:id="rId125"/>
          <w:pgSz w:w="11906" w:h="16838"/>
          <w:pgMar w:top="2835" w:right="2098" w:bottom="2466" w:left="2098" w:header="1814" w:footer="1814" w:gutter="0"/>
          <w:cols w:space="720"/>
          <w:docGrid w:linePitch="272"/>
        </w:sectPr>
      </w:pPr>
    </w:p>
    <w:p w14:paraId="50728850" w14:textId="77777777" w:rsidR="00B449D0" w:rsidRDefault="00175344">
      <w:pPr>
        <w:pStyle w:val="PortfolioName"/>
      </w:pPr>
      <w:r>
        <w:lastRenderedPageBreak/>
        <w:t>Social Services</w:t>
      </w:r>
    </w:p>
    <w:p w14:paraId="54E44EB6" w14:textId="77777777" w:rsidR="00B449D0" w:rsidRDefault="00175344">
      <w:pPr>
        <w:pStyle w:val="MeasureTitle"/>
      </w:pPr>
      <w:r>
        <w:t>Carer Support</w:t>
      </w:r>
    </w:p>
    <w:p w14:paraId="55AC7A4D"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5289A30B" w14:textId="77777777">
        <w:trPr>
          <w:cantSplit/>
        </w:trPr>
        <w:tc>
          <w:tcPr>
            <w:tcW w:w="2494" w:type="dxa"/>
            <w:tcBorders>
              <w:top w:val="single" w:sz="4" w:space="0" w:color="000000"/>
              <w:bottom w:val="single" w:sz="4" w:space="0" w:color="000000"/>
            </w:tcBorders>
          </w:tcPr>
          <w:p w14:paraId="54DCC22D" w14:textId="77777777" w:rsidR="00B449D0" w:rsidRDefault="00B449D0">
            <w:pPr>
              <w:pStyle w:val="MeasureTableYearHeadings"/>
              <w:keepNext/>
            </w:pPr>
          </w:p>
        </w:tc>
        <w:tc>
          <w:tcPr>
            <w:tcW w:w="1043" w:type="dxa"/>
            <w:tcBorders>
              <w:top w:val="single" w:sz="4" w:space="0" w:color="000000"/>
              <w:bottom w:val="single" w:sz="4" w:space="0" w:color="000000"/>
            </w:tcBorders>
          </w:tcPr>
          <w:p w14:paraId="341208E6" w14:textId="143602A9"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32EC1D26" w14:textId="5B9B3BF6"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2726FA1F" w14:textId="6E6A5B20"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1D563D66" w14:textId="2C7676CE"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107E2622" w14:textId="5C180EF2" w:rsidR="00B449D0" w:rsidRDefault="00175344">
            <w:pPr>
              <w:pStyle w:val="MeasureTableYearHeadings"/>
              <w:keepNext/>
            </w:pPr>
            <w:r>
              <w:t>2027</w:t>
            </w:r>
            <w:r w:rsidR="00076D78">
              <w:noBreakHyphen/>
            </w:r>
            <w:r>
              <w:t>28</w:t>
            </w:r>
          </w:p>
        </w:tc>
      </w:tr>
      <w:tr w:rsidR="00B449D0" w14:paraId="043A4D58" w14:textId="77777777">
        <w:trPr>
          <w:cantSplit/>
        </w:trPr>
        <w:tc>
          <w:tcPr>
            <w:tcW w:w="2494" w:type="dxa"/>
            <w:tcBorders>
              <w:top w:val="single" w:sz="4" w:space="0" w:color="000000"/>
              <w:bottom w:val="single" w:sz="4" w:space="0" w:color="000000"/>
            </w:tcBorders>
          </w:tcPr>
          <w:p w14:paraId="0540BBC9" w14:textId="77777777" w:rsidR="00B449D0" w:rsidRDefault="00175344">
            <w:pPr>
              <w:pStyle w:val="MeasureTableHeadingleftalignedwith2ptsspacing"/>
              <w:keepNext/>
            </w:pPr>
            <w:r>
              <w:t>Department of Social Services</w:t>
            </w:r>
          </w:p>
        </w:tc>
        <w:tc>
          <w:tcPr>
            <w:tcW w:w="1043" w:type="dxa"/>
            <w:tcBorders>
              <w:top w:val="single" w:sz="4" w:space="0" w:color="000000"/>
              <w:bottom w:val="single" w:sz="4" w:space="0" w:color="000000"/>
            </w:tcBorders>
          </w:tcPr>
          <w:p w14:paraId="1F70B8E1" w14:textId="4D95F619"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27165AE" w14:textId="13571F92"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356AB2A" w14:textId="3DC9F3E8"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EF133C2" w14:textId="74B1D47A"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65BA0F3" w14:textId="2BEA898A" w:rsidR="00B449D0" w:rsidRDefault="00076D78">
            <w:pPr>
              <w:pStyle w:val="MeasureTableDataRightAlignedwith2ptsspacing"/>
              <w:keepNext/>
            </w:pPr>
            <w:r>
              <w:noBreakHyphen/>
            </w:r>
          </w:p>
        </w:tc>
      </w:tr>
    </w:tbl>
    <w:p w14:paraId="4BB5CBE3" w14:textId="77777777" w:rsidR="00B449D0" w:rsidRDefault="00B449D0" w:rsidP="00380A42">
      <w:pPr>
        <w:pStyle w:val="SingleParagraph0"/>
      </w:pPr>
    </w:p>
    <w:p w14:paraId="185B8FAB" w14:textId="77777777" w:rsidR="00B449D0" w:rsidRDefault="00175344">
      <w:pPr>
        <w:pStyle w:val="Normal2"/>
      </w:pPr>
      <w:r w:rsidRPr="7F762F0D">
        <w:rPr>
          <w:lang w:val="en-US"/>
        </w:rPr>
        <w:t xml:space="preserve">The Government will provide $1.6 million over 12 years from 2024–25 to establish a Carer Advisory Committee to guide the implementation and evaluation of the </w:t>
      </w:r>
      <w:r w:rsidRPr="7F762F0D">
        <w:rPr>
          <w:i/>
          <w:iCs/>
          <w:lang w:val="en-US"/>
        </w:rPr>
        <w:t>National Carer Strategy 2024–2034</w:t>
      </w:r>
      <w:r w:rsidRPr="7F762F0D">
        <w:rPr>
          <w:lang w:val="en-US"/>
        </w:rPr>
        <w:t xml:space="preserve"> and accompanying Action Plan 2024–2027.</w:t>
      </w:r>
    </w:p>
    <w:p w14:paraId="0BA3628C" w14:textId="77777777" w:rsidR="00B449D0" w:rsidRDefault="00175344">
      <w:pPr>
        <w:pStyle w:val="Normal2"/>
      </w:pPr>
      <w:r w:rsidRPr="7F762F0D">
        <w:rPr>
          <w:lang w:val="en-US"/>
        </w:rPr>
        <w:t>The Government will also extend the Carer Inclusive Workplace Initiative to 30 June 2026 to assist employers to develop and adopt practices which support employees with caring responsibilities to enter and remain in the workforce.</w:t>
      </w:r>
    </w:p>
    <w:p w14:paraId="16085D05" w14:textId="6E97C830" w:rsidR="00B449D0" w:rsidRDefault="00175344">
      <w:pPr>
        <w:pStyle w:val="Normal2"/>
      </w:pPr>
      <w:r w:rsidRPr="7F762F0D">
        <w:rPr>
          <w:lang w:val="en-US"/>
        </w:rPr>
        <w:t>The cost of this measure will be met from within the existing resourcing of the Department</w:t>
      </w:r>
      <w:r w:rsidR="00F92EEF">
        <w:rPr>
          <w:lang w:val="en-US"/>
        </w:rPr>
        <w:t> </w:t>
      </w:r>
      <w:r w:rsidRPr="7F762F0D">
        <w:rPr>
          <w:lang w:val="en-US"/>
        </w:rPr>
        <w:t>of</w:t>
      </w:r>
      <w:r w:rsidR="00F92EEF">
        <w:rPr>
          <w:lang w:val="en-US"/>
        </w:rPr>
        <w:t> </w:t>
      </w:r>
      <w:r w:rsidRPr="7F762F0D">
        <w:rPr>
          <w:lang w:val="en-US"/>
        </w:rPr>
        <w:t>Social</w:t>
      </w:r>
      <w:r w:rsidR="00F92EEF">
        <w:rPr>
          <w:lang w:val="en-US"/>
        </w:rPr>
        <w:t> </w:t>
      </w:r>
      <w:r w:rsidRPr="7F762F0D">
        <w:rPr>
          <w:lang w:val="en-US"/>
        </w:rPr>
        <w:t>Services.</w:t>
      </w:r>
    </w:p>
    <w:p w14:paraId="59E53938" w14:textId="77777777" w:rsidR="00B449D0" w:rsidRDefault="00175344">
      <w:pPr>
        <w:pStyle w:val="MeasureTitle"/>
      </w:pPr>
      <w:r w:rsidRPr="7F762F0D">
        <w:rPr>
          <w:lang w:val="en-US"/>
        </w:rPr>
        <w:t>Ending Gender‑Based Violence – additional investment</w:t>
      </w:r>
    </w:p>
    <w:p w14:paraId="49D10038"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0CE80142" w14:textId="77777777">
        <w:trPr>
          <w:cantSplit/>
        </w:trPr>
        <w:tc>
          <w:tcPr>
            <w:tcW w:w="2494" w:type="dxa"/>
            <w:tcBorders>
              <w:top w:val="single" w:sz="4" w:space="0" w:color="000000"/>
              <w:bottom w:val="single" w:sz="4" w:space="0" w:color="000000"/>
            </w:tcBorders>
          </w:tcPr>
          <w:p w14:paraId="72024D3E" w14:textId="77777777" w:rsidR="00B449D0" w:rsidRDefault="00B449D0">
            <w:pPr>
              <w:pStyle w:val="MeasureTableYearHeadings"/>
              <w:keepNext/>
            </w:pPr>
          </w:p>
        </w:tc>
        <w:tc>
          <w:tcPr>
            <w:tcW w:w="1043" w:type="dxa"/>
            <w:tcBorders>
              <w:top w:val="single" w:sz="4" w:space="0" w:color="000000"/>
              <w:bottom w:val="single" w:sz="4" w:space="0" w:color="000000"/>
            </w:tcBorders>
          </w:tcPr>
          <w:p w14:paraId="5D5A28C0" w14:textId="470B7CC7"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66DA36DF" w14:textId="183D0469"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5C780325" w14:textId="3F0B22B3"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031D7F22" w14:textId="6FBE1DED"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1DA2E2EB" w14:textId="65B9C5DC" w:rsidR="00B449D0" w:rsidRDefault="00175344">
            <w:pPr>
              <w:pStyle w:val="MeasureTableYearHeadings"/>
              <w:keepNext/>
            </w:pPr>
            <w:r>
              <w:t>2027</w:t>
            </w:r>
            <w:r w:rsidR="00076D78">
              <w:noBreakHyphen/>
            </w:r>
            <w:r>
              <w:t>28</w:t>
            </w:r>
          </w:p>
        </w:tc>
      </w:tr>
      <w:tr w:rsidR="00B449D0" w14:paraId="3A35DD98" w14:textId="77777777">
        <w:trPr>
          <w:cantSplit/>
        </w:trPr>
        <w:tc>
          <w:tcPr>
            <w:tcW w:w="2494" w:type="dxa"/>
            <w:tcBorders>
              <w:top w:val="single" w:sz="4" w:space="0" w:color="000000"/>
              <w:bottom w:val="single" w:sz="4" w:space="0" w:color="000000"/>
            </w:tcBorders>
          </w:tcPr>
          <w:p w14:paraId="3B84E7B7" w14:textId="77777777" w:rsidR="00B449D0" w:rsidRDefault="00175344">
            <w:pPr>
              <w:pStyle w:val="MeasureTableHeadingleftalignedwith2ptsspacing"/>
              <w:keepNext/>
            </w:pPr>
            <w:r>
              <w:t>Department of Health and Aged Care</w:t>
            </w:r>
          </w:p>
        </w:tc>
        <w:tc>
          <w:tcPr>
            <w:tcW w:w="1043" w:type="dxa"/>
            <w:tcBorders>
              <w:top w:val="single" w:sz="4" w:space="0" w:color="000000"/>
              <w:bottom w:val="single" w:sz="4" w:space="0" w:color="000000"/>
            </w:tcBorders>
          </w:tcPr>
          <w:p w14:paraId="74BA2DCC" w14:textId="4DD5E2D0"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57BCE8B" w14:textId="2807A86A"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9AF5F79" w14:textId="257D5C01"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7EE688A" w14:textId="7D159956"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02D7032" w14:textId="1805177A" w:rsidR="00B449D0" w:rsidRDefault="00076D78">
            <w:pPr>
              <w:pStyle w:val="MeasureTableDataRightAlignedwith2ptsspacing"/>
              <w:keepNext/>
            </w:pPr>
            <w:r>
              <w:noBreakHyphen/>
            </w:r>
          </w:p>
        </w:tc>
      </w:tr>
      <w:tr w:rsidR="00B449D0" w14:paraId="01AED204" w14:textId="77777777">
        <w:trPr>
          <w:cantSplit/>
        </w:trPr>
        <w:tc>
          <w:tcPr>
            <w:tcW w:w="2494" w:type="dxa"/>
            <w:tcBorders>
              <w:top w:val="single" w:sz="4" w:space="0" w:color="000000"/>
              <w:bottom w:val="single" w:sz="4" w:space="0" w:color="000000"/>
            </w:tcBorders>
          </w:tcPr>
          <w:p w14:paraId="3F82E93C" w14:textId="77777777" w:rsidR="00B449D0" w:rsidRDefault="00175344">
            <w:pPr>
              <w:pStyle w:val="MeasureTableHeadingleftalignedwith2ptsspacing"/>
              <w:keepNext/>
            </w:pPr>
            <w:r>
              <w:t>Department of Social Services</w:t>
            </w:r>
          </w:p>
        </w:tc>
        <w:tc>
          <w:tcPr>
            <w:tcW w:w="1043" w:type="dxa"/>
            <w:tcBorders>
              <w:top w:val="single" w:sz="4" w:space="0" w:color="000000"/>
              <w:bottom w:val="single" w:sz="4" w:space="0" w:color="000000"/>
            </w:tcBorders>
          </w:tcPr>
          <w:p w14:paraId="1C3A748C" w14:textId="57C22999"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995D8DC" w14:textId="1CCAE381"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4AD13A9" w14:textId="7B7EFF5D"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ED82CE3" w14:textId="6F3D90C2"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63EC8EC" w14:textId="70FE3356" w:rsidR="00B449D0" w:rsidRDefault="00076D78">
            <w:pPr>
              <w:pStyle w:val="MeasureTableDataRightAlignedwith2ptsspacing"/>
              <w:keepNext/>
            </w:pPr>
            <w:r>
              <w:noBreakHyphen/>
            </w:r>
          </w:p>
        </w:tc>
      </w:tr>
      <w:tr w:rsidR="00B449D0" w14:paraId="302C8512" w14:textId="77777777">
        <w:trPr>
          <w:cantSplit/>
        </w:trPr>
        <w:tc>
          <w:tcPr>
            <w:tcW w:w="2494" w:type="dxa"/>
            <w:tcBorders>
              <w:top w:val="single" w:sz="4" w:space="0" w:color="000000"/>
              <w:bottom w:val="single" w:sz="4" w:space="0" w:color="000000"/>
            </w:tcBorders>
          </w:tcPr>
          <w:p w14:paraId="2ABB937C" w14:textId="77777777" w:rsidR="00B449D0" w:rsidRDefault="00175344">
            <w:pPr>
              <w:pStyle w:val="MeasureTableHeadingleftalignedwith2ptsspacing"/>
              <w:keepNext/>
            </w:pPr>
            <w:r>
              <w:t>Services Australia</w:t>
            </w:r>
          </w:p>
        </w:tc>
        <w:tc>
          <w:tcPr>
            <w:tcW w:w="1043" w:type="dxa"/>
            <w:tcBorders>
              <w:top w:val="single" w:sz="4" w:space="0" w:color="000000"/>
              <w:bottom w:val="single" w:sz="4" w:space="0" w:color="000000"/>
            </w:tcBorders>
          </w:tcPr>
          <w:p w14:paraId="7915C015" w14:textId="36F3BD19"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276D3C6" w14:textId="7E65924C"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3A72D5F" w14:textId="372D19CD"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F845234" w14:textId="33C1B8E7"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25273AE" w14:textId="764E7F4B" w:rsidR="00B449D0" w:rsidRDefault="00076D78">
            <w:pPr>
              <w:pStyle w:val="MeasureTableDataRightAlignedwith2ptsspacing"/>
              <w:keepNext/>
            </w:pPr>
            <w:r>
              <w:noBreakHyphen/>
            </w:r>
          </w:p>
        </w:tc>
      </w:tr>
      <w:tr w:rsidR="00B449D0" w14:paraId="2FE8AAF7" w14:textId="77777777">
        <w:trPr>
          <w:cantSplit/>
        </w:trPr>
        <w:tc>
          <w:tcPr>
            <w:tcW w:w="2494" w:type="dxa"/>
            <w:tcBorders>
              <w:top w:val="single" w:sz="4" w:space="0" w:color="000000"/>
              <w:bottom w:val="single" w:sz="4" w:space="0" w:color="000000"/>
            </w:tcBorders>
          </w:tcPr>
          <w:p w14:paraId="36F9D97C"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2A1941A4" w14:textId="22F79DC4"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25F7F105" w14:textId="22E9A049"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33E60863" w14:textId="3A44B6E7"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1ADC80F4" w14:textId="4B6E84A1"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184BD2F4" w14:textId="4519B8F1" w:rsidR="00B449D0" w:rsidRDefault="00076D78">
            <w:pPr>
              <w:pStyle w:val="Totaldatarowrightaligned"/>
              <w:keepNext/>
            </w:pPr>
            <w:r>
              <w:noBreakHyphen/>
            </w:r>
          </w:p>
        </w:tc>
      </w:tr>
    </w:tbl>
    <w:p w14:paraId="0BF394C9" w14:textId="77777777" w:rsidR="00B449D0" w:rsidRDefault="00B449D0" w:rsidP="00380A42">
      <w:pPr>
        <w:pStyle w:val="SingleParagraph0"/>
      </w:pPr>
    </w:p>
    <w:p w14:paraId="1A9F8856" w14:textId="77777777" w:rsidR="00B449D0" w:rsidRDefault="00175344">
      <w:pPr>
        <w:pStyle w:val="Normal2"/>
      </w:pPr>
      <w:r>
        <w:t>The Government will provide $13.5 million over four years from 2023–24 to keep women and children safe. Funding includes:</w:t>
      </w:r>
    </w:p>
    <w:p w14:paraId="753E1040" w14:textId="69D61FDE" w:rsidR="00B449D0" w:rsidRDefault="00175344">
      <w:pPr>
        <w:pStyle w:val="Bullet"/>
      </w:pPr>
      <w:r>
        <w:t xml:space="preserve">$11.1 million in 2023–24 to fund three family, domestic and sexual violence projects, including further funding for the </w:t>
      </w:r>
      <w:r w:rsidRPr="0022710B">
        <w:t>Escaping Violence Payment</w:t>
      </w:r>
      <w:r w:rsidRPr="00175344">
        <w:rPr>
          <w:i/>
        </w:rPr>
        <w:t xml:space="preserve"> </w:t>
      </w:r>
      <w:r>
        <w:t>to meet increased demand, the Australian Bureau of Statistics</w:t>
      </w:r>
      <w:r w:rsidR="00076D78">
        <w:t>’</w:t>
      </w:r>
      <w:r>
        <w:t xml:space="preserve"> </w:t>
      </w:r>
      <w:r w:rsidRPr="00175344">
        <w:rPr>
          <w:i/>
        </w:rPr>
        <w:t>Criminal Justice Data Asset</w:t>
      </w:r>
      <w:r>
        <w:t xml:space="preserve"> to expand available data on perpetrators, and funding to undertake a systems mapping project to identify key intervention points</w:t>
      </w:r>
    </w:p>
    <w:p w14:paraId="69024C40" w14:textId="77777777" w:rsidR="00B449D0" w:rsidRDefault="00175344">
      <w:pPr>
        <w:pStyle w:val="Bullet"/>
      </w:pPr>
      <w:r>
        <w:t>$2.0 million over two years from 2025–26 to strengthen local disaster recovery responses for women and children experiencing family and domestic violence</w:t>
      </w:r>
    </w:p>
    <w:p w14:paraId="18342DC3" w14:textId="77777777" w:rsidR="00B449D0" w:rsidRDefault="00175344">
      <w:pPr>
        <w:pStyle w:val="Bullet"/>
      </w:pPr>
      <w:r>
        <w:t xml:space="preserve">$0.4 million in 2024–25 to expand Medicare access to otherwise ineligible clients of the </w:t>
      </w:r>
      <w:r w:rsidRPr="00175344">
        <w:rPr>
          <w:i/>
        </w:rPr>
        <w:t xml:space="preserve">Forced Marriage Specialist Support Program </w:t>
      </w:r>
      <w:r>
        <w:t>and their dependents.</w:t>
      </w:r>
    </w:p>
    <w:p w14:paraId="24CC44A5" w14:textId="5A32463D" w:rsidR="00B449D0" w:rsidRDefault="00175344">
      <w:pPr>
        <w:pStyle w:val="Normal2"/>
      </w:pPr>
      <w:r>
        <w:t>The cost of this measure will be met from within the existing resourcing of the Department</w:t>
      </w:r>
      <w:r w:rsidR="00E17C2C">
        <w:t> </w:t>
      </w:r>
      <w:r>
        <w:t>of</w:t>
      </w:r>
      <w:r w:rsidR="00E17C2C">
        <w:t> </w:t>
      </w:r>
      <w:r>
        <w:t>Social</w:t>
      </w:r>
      <w:r w:rsidR="00E17C2C">
        <w:t> </w:t>
      </w:r>
      <w:r>
        <w:t>Services, Services Australia and the Department of Health and Aged</w:t>
      </w:r>
      <w:r w:rsidR="00E17C2C">
        <w:t> </w:t>
      </w:r>
      <w:r>
        <w:t>Care.</w:t>
      </w:r>
    </w:p>
    <w:p w14:paraId="4B722743" w14:textId="77777777" w:rsidR="00B449D0" w:rsidRDefault="00175344">
      <w:pPr>
        <w:pStyle w:val="Normal2"/>
      </w:pPr>
      <w:r w:rsidRPr="7F762F0D">
        <w:rPr>
          <w:lang w:val="en-US"/>
        </w:rPr>
        <w:lastRenderedPageBreak/>
        <w:t xml:space="preserve">This measure builds on the 2024–25 Budget measures titled </w:t>
      </w:r>
      <w:r w:rsidRPr="7F762F0D">
        <w:rPr>
          <w:i/>
          <w:iCs/>
          <w:lang w:val="en-US"/>
        </w:rPr>
        <w:t>The Leaving Violence Program – financial support for victim‑survivors of intimate partner violenc</w:t>
      </w:r>
      <w:r w:rsidRPr="7F762F0D">
        <w:rPr>
          <w:lang w:val="en-US"/>
        </w:rPr>
        <w:t>e and</w:t>
      </w:r>
      <w:r w:rsidRPr="7F762F0D">
        <w:rPr>
          <w:i/>
          <w:iCs/>
          <w:lang w:val="en-US"/>
        </w:rPr>
        <w:t xml:space="preserve"> Ending Gender‑Based Violence – additional resourcing</w:t>
      </w:r>
      <w:r w:rsidRPr="7F762F0D">
        <w:rPr>
          <w:lang w:val="en-US"/>
        </w:rPr>
        <w:t>.</w:t>
      </w:r>
    </w:p>
    <w:p w14:paraId="75590D74" w14:textId="249A6FF6" w:rsidR="00B449D0" w:rsidRDefault="00175344">
      <w:pPr>
        <w:pStyle w:val="Normal2"/>
      </w:pPr>
      <w:r>
        <w:t xml:space="preserve">See also the related payment measures titled </w:t>
      </w:r>
      <w:r w:rsidRPr="00175344">
        <w:rPr>
          <w:i/>
        </w:rPr>
        <w:t>Ending Gender‑Based Violence – National Cabinet</w:t>
      </w:r>
      <w:r>
        <w:t xml:space="preserve"> in Cross Portfolio</w:t>
      </w:r>
      <w:r w:rsidR="005B4CAB">
        <w:t xml:space="preserve"> and </w:t>
      </w:r>
      <w:r w:rsidR="005B4CAB">
        <w:rPr>
          <w:i/>
          <w:iCs/>
        </w:rPr>
        <w:t>National Access to Justice Partnership</w:t>
      </w:r>
      <w:r w:rsidR="005B4CAB">
        <w:t xml:space="preserve"> in the Attorney</w:t>
      </w:r>
      <w:r w:rsidR="00076D78">
        <w:noBreakHyphen/>
      </w:r>
      <w:r w:rsidR="005B4CAB">
        <w:t>General</w:t>
      </w:r>
      <w:r w:rsidR="00076D78">
        <w:t>’</w:t>
      </w:r>
      <w:r w:rsidR="005B4CAB">
        <w:t>s portfolio</w:t>
      </w:r>
      <w:r>
        <w:t>.</w:t>
      </w:r>
    </w:p>
    <w:p w14:paraId="74660C5B" w14:textId="77777777" w:rsidR="00B449D0" w:rsidRDefault="00175344">
      <w:pPr>
        <w:pStyle w:val="Normal2"/>
      </w:pPr>
      <w:r>
        <w:t xml:space="preserve">This measure supports the implementation of the </w:t>
      </w:r>
      <w:r w:rsidRPr="00175344">
        <w:rPr>
          <w:i/>
        </w:rPr>
        <w:t>National Plan to End Violence against Women and Children 2022–32</w:t>
      </w:r>
      <w:r>
        <w:t>.</w:t>
      </w:r>
    </w:p>
    <w:p w14:paraId="09F4EA96" w14:textId="77777777" w:rsidR="00B449D0" w:rsidRDefault="00175344">
      <w:pPr>
        <w:pStyle w:val="MeasureTitle"/>
      </w:pPr>
      <w:r>
        <w:t>Government Response to the Disability Royal Commission</w:t>
      </w:r>
    </w:p>
    <w:p w14:paraId="13D822C9"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4AB88206" w14:textId="77777777">
        <w:trPr>
          <w:cantSplit/>
        </w:trPr>
        <w:tc>
          <w:tcPr>
            <w:tcW w:w="2494" w:type="dxa"/>
            <w:tcBorders>
              <w:top w:val="single" w:sz="4" w:space="0" w:color="000000"/>
              <w:bottom w:val="single" w:sz="4" w:space="0" w:color="000000"/>
            </w:tcBorders>
          </w:tcPr>
          <w:p w14:paraId="65BB2586" w14:textId="77777777" w:rsidR="00B449D0" w:rsidRDefault="00B449D0">
            <w:pPr>
              <w:pStyle w:val="MeasureTableYearHeadings"/>
              <w:keepNext/>
            </w:pPr>
          </w:p>
        </w:tc>
        <w:tc>
          <w:tcPr>
            <w:tcW w:w="1043" w:type="dxa"/>
            <w:tcBorders>
              <w:top w:val="single" w:sz="4" w:space="0" w:color="000000"/>
              <w:bottom w:val="single" w:sz="4" w:space="0" w:color="000000"/>
            </w:tcBorders>
          </w:tcPr>
          <w:p w14:paraId="579B81D6" w14:textId="4F9B8DD3"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03D0C7C3" w14:textId="20BC3027"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7B8C2F38" w14:textId="27509C9D"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4BFC7E10" w14:textId="1DC37C9C"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307D1C6E" w14:textId="07E05B76" w:rsidR="00B449D0" w:rsidRDefault="00175344">
            <w:pPr>
              <w:pStyle w:val="MeasureTableYearHeadings"/>
              <w:keepNext/>
            </w:pPr>
            <w:r>
              <w:t>2027</w:t>
            </w:r>
            <w:r w:rsidR="00076D78">
              <w:noBreakHyphen/>
            </w:r>
            <w:r>
              <w:t>28</w:t>
            </w:r>
          </w:p>
        </w:tc>
      </w:tr>
      <w:tr w:rsidR="00B449D0" w14:paraId="07D01CFF" w14:textId="77777777">
        <w:trPr>
          <w:cantSplit/>
        </w:trPr>
        <w:tc>
          <w:tcPr>
            <w:tcW w:w="2494" w:type="dxa"/>
            <w:tcBorders>
              <w:top w:val="single" w:sz="4" w:space="0" w:color="000000"/>
              <w:bottom w:val="single" w:sz="4" w:space="0" w:color="000000"/>
            </w:tcBorders>
          </w:tcPr>
          <w:p w14:paraId="236106C2" w14:textId="77777777" w:rsidR="00B449D0" w:rsidRDefault="00175344">
            <w:pPr>
              <w:pStyle w:val="MeasureTableHeadingleftalignedwith2ptsspacing"/>
              <w:keepNext/>
            </w:pPr>
            <w:r>
              <w:t>National Disability Insurance Agency</w:t>
            </w:r>
          </w:p>
        </w:tc>
        <w:tc>
          <w:tcPr>
            <w:tcW w:w="1043" w:type="dxa"/>
            <w:tcBorders>
              <w:top w:val="single" w:sz="4" w:space="0" w:color="000000"/>
              <w:bottom w:val="single" w:sz="4" w:space="0" w:color="000000"/>
            </w:tcBorders>
          </w:tcPr>
          <w:p w14:paraId="5C4D0D80" w14:textId="30E8F8EA"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30BDD37" w14:textId="05FDD463"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932482B" w14:textId="517A6BC1"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9077483" w14:textId="5DF7DC72"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E0D85BB" w14:textId="525DBCEB" w:rsidR="00B449D0" w:rsidRDefault="00076D78">
            <w:pPr>
              <w:pStyle w:val="MeasureTableDataRightAlignedwith2ptsspacing"/>
              <w:keepNext/>
            </w:pPr>
            <w:r>
              <w:noBreakHyphen/>
            </w:r>
          </w:p>
        </w:tc>
      </w:tr>
      <w:tr w:rsidR="00B449D0" w14:paraId="6DECB3B0" w14:textId="77777777">
        <w:trPr>
          <w:cantSplit/>
        </w:trPr>
        <w:tc>
          <w:tcPr>
            <w:tcW w:w="2494" w:type="dxa"/>
            <w:tcBorders>
              <w:top w:val="single" w:sz="4" w:space="0" w:color="000000"/>
              <w:bottom w:val="single" w:sz="4" w:space="0" w:color="000000"/>
            </w:tcBorders>
          </w:tcPr>
          <w:p w14:paraId="55F50FBE" w14:textId="77777777" w:rsidR="00B449D0" w:rsidRDefault="00175344">
            <w:pPr>
              <w:pStyle w:val="MeasureTableHeadingleftalignedwith2ptsspacing"/>
              <w:keepNext/>
            </w:pPr>
            <w:r>
              <w:t>Department of Social Services</w:t>
            </w:r>
          </w:p>
        </w:tc>
        <w:tc>
          <w:tcPr>
            <w:tcW w:w="1043" w:type="dxa"/>
            <w:tcBorders>
              <w:top w:val="single" w:sz="4" w:space="0" w:color="000000"/>
              <w:bottom w:val="single" w:sz="4" w:space="0" w:color="000000"/>
            </w:tcBorders>
          </w:tcPr>
          <w:p w14:paraId="3569D333" w14:textId="4308202F"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7D829F0" w14:textId="65FDD9C8"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ACDB0EE" w14:textId="3CA01F4E"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0098502" w14:textId="082393E3"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84082F4" w14:textId="3EDA1472" w:rsidR="00B449D0" w:rsidRDefault="00076D78">
            <w:pPr>
              <w:pStyle w:val="MeasureTableDataRightAlignedwith2ptsspacing"/>
              <w:keepNext/>
            </w:pPr>
            <w:r>
              <w:noBreakHyphen/>
            </w:r>
          </w:p>
        </w:tc>
      </w:tr>
      <w:tr w:rsidR="00B449D0" w14:paraId="237002CB" w14:textId="77777777">
        <w:trPr>
          <w:cantSplit/>
        </w:trPr>
        <w:tc>
          <w:tcPr>
            <w:tcW w:w="2494" w:type="dxa"/>
            <w:tcBorders>
              <w:top w:val="single" w:sz="4" w:space="0" w:color="000000"/>
              <w:bottom w:val="single" w:sz="4" w:space="0" w:color="000000"/>
            </w:tcBorders>
          </w:tcPr>
          <w:p w14:paraId="2CB65A1B" w14:textId="77777777" w:rsidR="00B449D0" w:rsidRDefault="00175344">
            <w:pPr>
              <w:pStyle w:val="MeasureTableHeadingleftalignedwith2ptsspacing"/>
              <w:keepNext/>
            </w:pPr>
            <w:r>
              <w:t>Department of Health and Aged Care</w:t>
            </w:r>
          </w:p>
        </w:tc>
        <w:tc>
          <w:tcPr>
            <w:tcW w:w="1043" w:type="dxa"/>
            <w:tcBorders>
              <w:top w:val="single" w:sz="4" w:space="0" w:color="000000"/>
              <w:bottom w:val="single" w:sz="4" w:space="0" w:color="000000"/>
            </w:tcBorders>
          </w:tcPr>
          <w:p w14:paraId="6AAB7853" w14:textId="2E67FF86"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F340309" w14:textId="51CE278E"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96545EA" w14:textId="10CE23B8"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D37ED16" w14:textId="708D12F1"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58F3EFB" w14:textId="39792791" w:rsidR="00B449D0" w:rsidRDefault="00076D78">
            <w:pPr>
              <w:pStyle w:val="MeasureTableDataRightAlignedwith2ptsspacing"/>
              <w:keepNext/>
            </w:pPr>
            <w:r>
              <w:noBreakHyphen/>
            </w:r>
          </w:p>
        </w:tc>
      </w:tr>
      <w:tr w:rsidR="00B449D0" w14:paraId="5DEBCBFA" w14:textId="77777777">
        <w:trPr>
          <w:cantSplit/>
        </w:trPr>
        <w:tc>
          <w:tcPr>
            <w:tcW w:w="2494" w:type="dxa"/>
            <w:tcBorders>
              <w:top w:val="single" w:sz="4" w:space="0" w:color="000000"/>
              <w:bottom w:val="single" w:sz="4" w:space="0" w:color="000000"/>
            </w:tcBorders>
          </w:tcPr>
          <w:p w14:paraId="1B27F6E5" w14:textId="77777777" w:rsidR="00B449D0" w:rsidRDefault="00175344">
            <w:pPr>
              <w:pStyle w:val="MeasureTableHeadingleftalignedwith2ptsspacing"/>
              <w:keepNext/>
            </w:pPr>
            <w:r>
              <w:t>NDIS Quality and Safeguards Commission</w:t>
            </w:r>
          </w:p>
        </w:tc>
        <w:tc>
          <w:tcPr>
            <w:tcW w:w="1043" w:type="dxa"/>
            <w:tcBorders>
              <w:top w:val="single" w:sz="4" w:space="0" w:color="000000"/>
              <w:bottom w:val="single" w:sz="4" w:space="0" w:color="000000"/>
            </w:tcBorders>
          </w:tcPr>
          <w:p w14:paraId="67377E2A" w14:textId="4422B629"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6EFFC54" w14:textId="2A2EC351"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FB01202" w14:textId="4AA65A88"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0AFBB5B" w14:textId="7A3561D2"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60B369B9" w14:textId="4D644E20" w:rsidR="00B449D0" w:rsidRDefault="00076D78">
            <w:pPr>
              <w:pStyle w:val="MeasureTableDataRightAlignedwith2ptsspacing"/>
              <w:keepNext/>
            </w:pPr>
            <w:r>
              <w:noBreakHyphen/>
            </w:r>
          </w:p>
        </w:tc>
      </w:tr>
      <w:tr w:rsidR="00B449D0" w14:paraId="3FCE203C" w14:textId="77777777">
        <w:trPr>
          <w:cantSplit/>
        </w:trPr>
        <w:tc>
          <w:tcPr>
            <w:tcW w:w="2494" w:type="dxa"/>
            <w:tcBorders>
              <w:top w:val="single" w:sz="4" w:space="0" w:color="000000"/>
              <w:bottom w:val="single" w:sz="4" w:space="0" w:color="000000"/>
            </w:tcBorders>
          </w:tcPr>
          <w:p w14:paraId="39FD13A2" w14:textId="77777777" w:rsidR="00B449D0" w:rsidRDefault="00175344">
            <w:pPr>
              <w:pStyle w:val="MeasureTableHeadingleftalignedwith2ptsspacing"/>
              <w:keepNext/>
            </w:pPr>
            <w:r>
              <w:t>Department of Home Affairs</w:t>
            </w:r>
          </w:p>
        </w:tc>
        <w:tc>
          <w:tcPr>
            <w:tcW w:w="1043" w:type="dxa"/>
            <w:tcBorders>
              <w:top w:val="single" w:sz="4" w:space="0" w:color="000000"/>
              <w:bottom w:val="single" w:sz="4" w:space="0" w:color="000000"/>
            </w:tcBorders>
          </w:tcPr>
          <w:p w14:paraId="3CE6F136" w14:textId="14E678AD"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2C089C6" w14:textId="4F83EAC0"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F722CA6" w14:textId="0E8A3708"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A27AD3B" w14:textId="7EAE2FC9"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6F2D8181" w14:textId="0090494E" w:rsidR="00B449D0" w:rsidRDefault="00076D78">
            <w:pPr>
              <w:pStyle w:val="MeasureTableDataRightAlignedwith2ptsspacing"/>
              <w:keepNext/>
            </w:pPr>
            <w:r>
              <w:noBreakHyphen/>
            </w:r>
          </w:p>
        </w:tc>
      </w:tr>
      <w:tr w:rsidR="00B449D0" w14:paraId="2B4F8442" w14:textId="77777777">
        <w:trPr>
          <w:cantSplit/>
        </w:trPr>
        <w:tc>
          <w:tcPr>
            <w:tcW w:w="2494" w:type="dxa"/>
            <w:tcBorders>
              <w:top w:val="single" w:sz="4" w:space="0" w:color="000000"/>
              <w:bottom w:val="single" w:sz="4" w:space="0" w:color="000000"/>
            </w:tcBorders>
          </w:tcPr>
          <w:p w14:paraId="61B766B3"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53EBD71D" w14:textId="7D3C2403"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19A85791" w14:textId="0401839F"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6A341BF5" w14:textId="638DF8DB"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6C216E60" w14:textId="479EAF74"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59945A0D" w14:textId="68B9C253" w:rsidR="00B449D0" w:rsidRDefault="00076D78">
            <w:pPr>
              <w:pStyle w:val="Totaldatarowrightaligned"/>
              <w:keepNext/>
            </w:pPr>
            <w:r>
              <w:noBreakHyphen/>
            </w:r>
          </w:p>
        </w:tc>
      </w:tr>
    </w:tbl>
    <w:p w14:paraId="2491A228" w14:textId="77777777" w:rsidR="00B449D0" w:rsidRDefault="00B449D0" w:rsidP="00380A42">
      <w:pPr>
        <w:pStyle w:val="SingleParagraph0"/>
      </w:pPr>
    </w:p>
    <w:p w14:paraId="0206ABA1" w14:textId="0271A5A9" w:rsidR="00B449D0" w:rsidRDefault="00175344">
      <w:pPr>
        <w:pStyle w:val="Normal2"/>
      </w:pPr>
      <w:r>
        <w:t>The Government will provide $103.2 million over five years from 2023–24 to deliver and implement recommendations from the Disability Royal Commission. Funding includes:</w:t>
      </w:r>
    </w:p>
    <w:p w14:paraId="54F303D2" w14:textId="13979797" w:rsidR="00B449D0" w:rsidRDefault="00175344">
      <w:pPr>
        <w:pStyle w:val="Bullet"/>
      </w:pPr>
      <w:r>
        <w:t xml:space="preserve">$39.7 million over four years from 2024–25 </w:t>
      </w:r>
      <w:r w:rsidR="00933E29">
        <w:t xml:space="preserve">(and $12.9 million ongoing) </w:t>
      </w:r>
      <w:r>
        <w:t>to establish a new disability advocacy program</w:t>
      </w:r>
    </w:p>
    <w:p w14:paraId="09E6824F" w14:textId="5CED04FB" w:rsidR="00B449D0" w:rsidRDefault="00175344">
      <w:pPr>
        <w:pStyle w:val="Bullet"/>
      </w:pPr>
      <w:r>
        <w:t>$19.6 million over four years from 2024–25 to support and improve community attitudes around disability</w:t>
      </w:r>
    </w:p>
    <w:p w14:paraId="6B21D435" w14:textId="31F6CA7F" w:rsidR="00B449D0" w:rsidRDefault="00175344">
      <w:pPr>
        <w:pStyle w:val="Bullet"/>
      </w:pPr>
      <w:r>
        <w:t xml:space="preserve">$13.9 million over four years from 2024–25 </w:t>
      </w:r>
      <w:r w:rsidR="00933E29">
        <w:t>(</w:t>
      </w:r>
      <w:r>
        <w:t>and an additional $1.7 million in 2028–29</w:t>
      </w:r>
      <w:r w:rsidR="00933E29">
        <w:t>)</w:t>
      </w:r>
      <w:r>
        <w:t xml:space="preserve"> to unify national disability quality and safeguarding arrangements</w:t>
      </w:r>
    </w:p>
    <w:p w14:paraId="0BD6E859" w14:textId="77777777" w:rsidR="00B449D0" w:rsidRDefault="00175344">
      <w:pPr>
        <w:pStyle w:val="Bullet"/>
      </w:pPr>
      <w:r>
        <w:t>$12.3 million over four years from 2024–25 to improve national approaches to accessible information and communications</w:t>
      </w:r>
    </w:p>
    <w:p w14:paraId="4E9C51CF" w14:textId="09C42D28" w:rsidR="00B449D0" w:rsidRDefault="00175344">
      <w:pPr>
        <w:pStyle w:val="Bullet"/>
      </w:pPr>
      <w:r>
        <w:t xml:space="preserve">$12.1 million over four years from 2024–25 </w:t>
      </w:r>
      <w:r w:rsidR="00933E29">
        <w:t>(</w:t>
      </w:r>
      <w:r>
        <w:t>and $5.8 million ongoing</w:t>
      </w:r>
      <w:r w:rsidR="00933E29">
        <w:t>)</w:t>
      </w:r>
      <w:r>
        <w:t xml:space="preserve"> to amend the Migration Health Requirement to be fairer and more inclusive for children with disability</w:t>
      </w:r>
    </w:p>
    <w:p w14:paraId="5DFB43DF" w14:textId="77777777" w:rsidR="00B449D0" w:rsidRDefault="00175344">
      <w:pPr>
        <w:pStyle w:val="Bullet"/>
      </w:pPr>
      <w:r>
        <w:t xml:space="preserve">$6.9 million over five years from 2023–24 to review and modernise the </w:t>
      </w:r>
      <w:r w:rsidRPr="00175344">
        <w:rPr>
          <w:i/>
        </w:rPr>
        <w:t>Disability Discrimination Act 1992</w:t>
      </w:r>
    </w:p>
    <w:p w14:paraId="0B679B68" w14:textId="77777777" w:rsidR="00B449D0" w:rsidRDefault="00175344">
      <w:pPr>
        <w:pStyle w:val="Bullet"/>
      </w:pPr>
      <w:r>
        <w:t>$4.4 million over two years from 2024–25 for a consistent approach to community visitor schemes</w:t>
      </w:r>
    </w:p>
    <w:p w14:paraId="20C18CA5" w14:textId="77777777" w:rsidR="00B449D0" w:rsidRDefault="00175344">
      <w:pPr>
        <w:pStyle w:val="Bullet"/>
      </w:pPr>
      <w:r>
        <w:t xml:space="preserve">$3.7 million over two years from 2024–25 to continue the </w:t>
      </w:r>
      <w:r w:rsidRPr="00175344">
        <w:rPr>
          <w:i/>
        </w:rPr>
        <w:t>Primary Care Enhancement Program for People with Intellectual Disability</w:t>
      </w:r>
    </w:p>
    <w:p w14:paraId="3C3D61B2" w14:textId="77777777" w:rsidR="00B449D0" w:rsidRDefault="00175344">
      <w:pPr>
        <w:pStyle w:val="Bullet"/>
      </w:pPr>
      <w:r>
        <w:lastRenderedPageBreak/>
        <w:t>$1.2 million over two years from 2024–25 to develop targets to reduce and eliminate restrictive practices.</w:t>
      </w:r>
    </w:p>
    <w:p w14:paraId="19D9B5A5" w14:textId="0BE5010F" w:rsidR="00B449D0" w:rsidRDefault="00175344">
      <w:pPr>
        <w:pStyle w:val="Normal2"/>
      </w:pPr>
      <w:r w:rsidRPr="7F762F0D">
        <w:rPr>
          <w:lang w:val="en-US"/>
        </w:rPr>
        <w:t>The Government has already provided partial funding for this measure and partial costs will be met from within the existing resourcing of the Department of Health and Aged</w:t>
      </w:r>
      <w:r w:rsidR="00191DF1">
        <w:rPr>
          <w:lang w:val="en-US"/>
        </w:rPr>
        <w:t> </w:t>
      </w:r>
      <w:r w:rsidRPr="7F762F0D">
        <w:rPr>
          <w:lang w:val="en-US"/>
        </w:rPr>
        <w:t>Care.</w:t>
      </w:r>
    </w:p>
    <w:p w14:paraId="501A3576" w14:textId="77777777" w:rsidR="00B449D0" w:rsidRDefault="00175344">
      <w:pPr>
        <w:pStyle w:val="MeasureTitle"/>
      </w:pPr>
      <w:r>
        <w:t>Income Management – maintenance</w:t>
      </w:r>
    </w:p>
    <w:p w14:paraId="1881C464"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6FFB9EB6" w14:textId="77777777">
        <w:trPr>
          <w:cantSplit/>
        </w:trPr>
        <w:tc>
          <w:tcPr>
            <w:tcW w:w="2494" w:type="dxa"/>
            <w:tcBorders>
              <w:top w:val="single" w:sz="4" w:space="0" w:color="000000"/>
              <w:bottom w:val="single" w:sz="4" w:space="0" w:color="000000"/>
            </w:tcBorders>
          </w:tcPr>
          <w:p w14:paraId="4557DF9C" w14:textId="77777777" w:rsidR="00B449D0" w:rsidRDefault="00B449D0">
            <w:pPr>
              <w:pStyle w:val="MeasureTableYearHeadings"/>
              <w:keepNext/>
            </w:pPr>
          </w:p>
        </w:tc>
        <w:tc>
          <w:tcPr>
            <w:tcW w:w="1043" w:type="dxa"/>
            <w:tcBorders>
              <w:top w:val="single" w:sz="4" w:space="0" w:color="000000"/>
              <w:bottom w:val="single" w:sz="4" w:space="0" w:color="000000"/>
            </w:tcBorders>
          </w:tcPr>
          <w:p w14:paraId="572A2EC0" w14:textId="520F04A4"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085055BE" w14:textId="0656AF66"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0CF61346" w14:textId="273AF777"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574E0F36" w14:textId="20F8B02C"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68AA7FF4" w14:textId="1CF33E57" w:rsidR="00B449D0" w:rsidRDefault="00175344">
            <w:pPr>
              <w:pStyle w:val="MeasureTableYearHeadings"/>
              <w:keepNext/>
            </w:pPr>
            <w:r>
              <w:t>2027</w:t>
            </w:r>
            <w:r w:rsidR="00076D78">
              <w:noBreakHyphen/>
            </w:r>
            <w:r>
              <w:t>28</w:t>
            </w:r>
          </w:p>
        </w:tc>
      </w:tr>
      <w:tr w:rsidR="00B449D0" w14:paraId="4942163E" w14:textId="77777777">
        <w:trPr>
          <w:cantSplit/>
        </w:trPr>
        <w:tc>
          <w:tcPr>
            <w:tcW w:w="2494" w:type="dxa"/>
            <w:tcBorders>
              <w:top w:val="single" w:sz="4" w:space="0" w:color="000000"/>
              <w:bottom w:val="single" w:sz="4" w:space="0" w:color="000000"/>
            </w:tcBorders>
          </w:tcPr>
          <w:p w14:paraId="23049B9D" w14:textId="77777777" w:rsidR="00B449D0" w:rsidRDefault="00175344">
            <w:pPr>
              <w:pStyle w:val="MeasureTableHeadingleftalignedwith2ptsspacing"/>
              <w:keepNext/>
            </w:pPr>
            <w:r>
              <w:t>Department of Social Services</w:t>
            </w:r>
          </w:p>
        </w:tc>
        <w:tc>
          <w:tcPr>
            <w:tcW w:w="1043" w:type="dxa"/>
            <w:tcBorders>
              <w:top w:val="single" w:sz="4" w:space="0" w:color="000000"/>
              <w:bottom w:val="single" w:sz="4" w:space="0" w:color="000000"/>
            </w:tcBorders>
          </w:tcPr>
          <w:p w14:paraId="02D2944E" w14:textId="5B441FBE"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639025A3" w14:textId="318DBC02"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C00CBFD" w14:textId="304091C4"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59E775C" w14:textId="793B5571"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B55E515" w14:textId="4F511927" w:rsidR="00B449D0" w:rsidRDefault="00076D78">
            <w:pPr>
              <w:pStyle w:val="MeasureTableDataRightAlignedwith2ptsspacing"/>
              <w:keepNext/>
            </w:pPr>
            <w:r>
              <w:noBreakHyphen/>
            </w:r>
          </w:p>
        </w:tc>
      </w:tr>
      <w:tr w:rsidR="00B449D0" w14:paraId="247D6492" w14:textId="77777777">
        <w:trPr>
          <w:cantSplit/>
        </w:trPr>
        <w:tc>
          <w:tcPr>
            <w:tcW w:w="2494" w:type="dxa"/>
            <w:tcBorders>
              <w:top w:val="single" w:sz="4" w:space="0" w:color="000000"/>
              <w:bottom w:val="single" w:sz="4" w:space="0" w:color="000000"/>
            </w:tcBorders>
          </w:tcPr>
          <w:p w14:paraId="075C2A89" w14:textId="77777777" w:rsidR="00B449D0" w:rsidRDefault="00175344">
            <w:pPr>
              <w:pStyle w:val="MeasureTableHeadingleftalignedwith2ptsspacing"/>
              <w:keepNext/>
            </w:pPr>
            <w:r>
              <w:t>Services Australia</w:t>
            </w:r>
          </w:p>
        </w:tc>
        <w:tc>
          <w:tcPr>
            <w:tcW w:w="1043" w:type="dxa"/>
            <w:tcBorders>
              <w:top w:val="single" w:sz="4" w:space="0" w:color="000000"/>
              <w:bottom w:val="single" w:sz="4" w:space="0" w:color="000000"/>
            </w:tcBorders>
          </w:tcPr>
          <w:p w14:paraId="75D86D5C" w14:textId="047C685E"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AE846FB" w14:textId="77777777" w:rsidR="00B449D0" w:rsidRDefault="00175344">
            <w:pPr>
              <w:pStyle w:val="MeasureTableDataRightAlignedwith2ptsspacing"/>
              <w:keepNext/>
            </w:pPr>
            <w:r>
              <w:t>nfp</w:t>
            </w:r>
          </w:p>
        </w:tc>
        <w:tc>
          <w:tcPr>
            <w:tcW w:w="1043" w:type="dxa"/>
            <w:tcBorders>
              <w:top w:val="single" w:sz="4" w:space="0" w:color="000000"/>
              <w:bottom w:val="single" w:sz="4" w:space="0" w:color="000000"/>
            </w:tcBorders>
          </w:tcPr>
          <w:p w14:paraId="0BF7B5AC" w14:textId="77777777" w:rsidR="00B449D0" w:rsidRDefault="00175344">
            <w:pPr>
              <w:pStyle w:val="MeasureTableDataRightAlignedwith2ptsspacing"/>
              <w:keepNext/>
            </w:pPr>
            <w:r>
              <w:t>nfp</w:t>
            </w:r>
          </w:p>
        </w:tc>
        <w:tc>
          <w:tcPr>
            <w:tcW w:w="1043" w:type="dxa"/>
            <w:tcBorders>
              <w:top w:val="single" w:sz="4" w:space="0" w:color="000000"/>
              <w:bottom w:val="single" w:sz="4" w:space="0" w:color="000000"/>
            </w:tcBorders>
          </w:tcPr>
          <w:p w14:paraId="39013A96" w14:textId="64EEF000"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F3161AF" w14:textId="11C66184" w:rsidR="00B449D0" w:rsidRDefault="00076D78">
            <w:pPr>
              <w:pStyle w:val="MeasureTableDataRightAlignedwith2ptsspacing"/>
              <w:keepNext/>
            </w:pPr>
            <w:r>
              <w:noBreakHyphen/>
            </w:r>
          </w:p>
        </w:tc>
      </w:tr>
      <w:tr w:rsidR="00B449D0" w14:paraId="2314EF1A" w14:textId="77777777">
        <w:trPr>
          <w:cantSplit/>
        </w:trPr>
        <w:tc>
          <w:tcPr>
            <w:tcW w:w="2494" w:type="dxa"/>
            <w:tcBorders>
              <w:top w:val="single" w:sz="4" w:space="0" w:color="000000"/>
              <w:bottom w:val="single" w:sz="4" w:space="0" w:color="000000"/>
            </w:tcBorders>
          </w:tcPr>
          <w:p w14:paraId="79880163"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71AA36B0" w14:textId="13CA0BC5"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2A00E45E" w14:textId="2982854E"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7F45A94F" w14:textId="465BBC90"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2E7D40A0" w14:textId="4E6D9F55"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1624F698" w14:textId="6288E0E3" w:rsidR="00B449D0" w:rsidRDefault="00076D78">
            <w:pPr>
              <w:pStyle w:val="Totaldatarowrightaligned"/>
              <w:keepNext/>
            </w:pPr>
            <w:r>
              <w:noBreakHyphen/>
            </w:r>
          </w:p>
        </w:tc>
      </w:tr>
    </w:tbl>
    <w:p w14:paraId="75256FAA" w14:textId="77777777" w:rsidR="00B449D0" w:rsidRDefault="00B449D0" w:rsidP="00380A42">
      <w:pPr>
        <w:pStyle w:val="SingleParagraph0"/>
      </w:pPr>
    </w:p>
    <w:p w14:paraId="3839C7F1" w14:textId="77777777" w:rsidR="00B449D0" w:rsidRDefault="00175344">
      <w:pPr>
        <w:pStyle w:val="Normal2"/>
      </w:pPr>
      <w:r w:rsidRPr="7F762F0D">
        <w:rPr>
          <w:lang w:val="en-US"/>
        </w:rPr>
        <w:t xml:space="preserve">The Government will provide $6.9 million over two years from 2024–25 to maintain the </w:t>
      </w:r>
      <w:r w:rsidRPr="7F762F0D">
        <w:rPr>
          <w:i/>
          <w:iCs/>
          <w:lang w:val="en-US"/>
        </w:rPr>
        <w:t>Income Management</w:t>
      </w:r>
      <w:r w:rsidRPr="7F762F0D">
        <w:rPr>
          <w:lang w:val="en-US"/>
        </w:rPr>
        <w:t xml:space="preserve"> program and continue to undertake consultation with stakeholders and communities on the future of </w:t>
      </w:r>
      <w:r w:rsidRPr="7F762F0D">
        <w:rPr>
          <w:i/>
          <w:iCs/>
          <w:lang w:val="en-US"/>
        </w:rPr>
        <w:t>Income Management</w:t>
      </w:r>
      <w:r w:rsidRPr="7F762F0D">
        <w:rPr>
          <w:lang w:val="en-US"/>
        </w:rPr>
        <w:t>.</w:t>
      </w:r>
    </w:p>
    <w:p w14:paraId="1BB833B5" w14:textId="6B6C13FF" w:rsidR="00B449D0" w:rsidRDefault="00175344">
      <w:pPr>
        <w:pStyle w:val="Normal2"/>
      </w:pPr>
      <w:r w:rsidRPr="7F762F0D">
        <w:rPr>
          <w:lang w:val="en-US"/>
        </w:rPr>
        <w:t>The Government has already provided funding for this measure. The financial implications for some elements of this measure are not for publication (nfp) because they would impair the Commonwealth</w:t>
      </w:r>
      <w:r w:rsidR="00076D78">
        <w:rPr>
          <w:lang w:val="en-US"/>
        </w:rPr>
        <w:t>’</w:t>
      </w:r>
      <w:r w:rsidRPr="7F762F0D">
        <w:rPr>
          <w:lang w:val="en-US"/>
        </w:rPr>
        <w:t>s position in negotiating contracts for these services.</w:t>
      </w:r>
    </w:p>
    <w:p w14:paraId="04A4615A" w14:textId="77777777" w:rsidR="00B449D0" w:rsidRDefault="00175344">
      <w:pPr>
        <w:pStyle w:val="MeasureTitle"/>
      </w:pPr>
      <w:r>
        <w:t>National Disability Insurance Scheme Reform</w:t>
      </w:r>
    </w:p>
    <w:p w14:paraId="31376ED2"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01CBFC38" w14:textId="77777777">
        <w:trPr>
          <w:cantSplit/>
        </w:trPr>
        <w:tc>
          <w:tcPr>
            <w:tcW w:w="2494" w:type="dxa"/>
            <w:tcBorders>
              <w:top w:val="single" w:sz="4" w:space="0" w:color="000000"/>
              <w:bottom w:val="single" w:sz="4" w:space="0" w:color="000000"/>
            </w:tcBorders>
          </w:tcPr>
          <w:p w14:paraId="36A33FD0" w14:textId="77777777" w:rsidR="00B449D0" w:rsidRDefault="00B449D0">
            <w:pPr>
              <w:pStyle w:val="MeasureTableYearHeadings"/>
              <w:keepNext/>
            </w:pPr>
          </w:p>
        </w:tc>
        <w:tc>
          <w:tcPr>
            <w:tcW w:w="1043" w:type="dxa"/>
            <w:tcBorders>
              <w:top w:val="single" w:sz="4" w:space="0" w:color="000000"/>
              <w:bottom w:val="single" w:sz="4" w:space="0" w:color="000000"/>
            </w:tcBorders>
          </w:tcPr>
          <w:p w14:paraId="2FD3DA04" w14:textId="7B8EE0A2"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6D5FA1EB" w14:textId="1DEB3ED5"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08D3A5BE" w14:textId="0AB4A4AB"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3A8A16C2" w14:textId="49368B29"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5E97D4CF" w14:textId="36B7182C" w:rsidR="00B449D0" w:rsidRDefault="00175344">
            <w:pPr>
              <w:pStyle w:val="MeasureTableYearHeadings"/>
              <w:keepNext/>
            </w:pPr>
            <w:r>
              <w:t>2027</w:t>
            </w:r>
            <w:r w:rsidR="00076D78">
              <w:noBreakHyphen/>
            </w:r>
            <w:r>
              <w:t>28</w:t>
            </w:r>
          </w:p>
        </w:tc>
      </w:tr>
      <w:tr w:rsidR="00B449D0" w14:paraId="70C48ECF" w14:textId="77777777">
        <w:trPr>
          <w:cantSplit/>
        </w:trPr>
        <w:tc>
          <w:tcPr>
            <w:tcW w:w="2494" w:type="dxa"/>
            <w:tcBorders>
              <w:top w:val="single" w:sz="4" w:space="0" w:color="000000"/>
              <w:bottom w:val="single" w:sz="4" w:space="0" w:color="000000"/>
            </w:tcBorders>
          </w:tcPr>
          <w:p w14:paraId="09979CDB" w14:textId="77777777" w:rsidR="00B449D0" w:rsidRDefault="00175344">
            <w:pPr>
              <w:pStyle w:val="MeasureTableHeadingleftalignedwith2ptsspacing"/>
              <w:keepNext/>
            </w:pPr>
            <w:r>
              <w:t>National Disability Insurance Agency</w:t>
            </w:r>
          </w:p>
        </w:tc>
        <w:tc>
          <w:tcPr>
            <w:tcW w:w="1043" w:type="dxa"/>
            <w:tcBorders>
              <w:top w:val="single" w:sz="4" w:space="0" w:color="000000"/>
              <w:bottom w:val="single" w:sz="4" w:space="0" w:color="000000"/>
            </w:tcBorders>
          </w:tcPr>
          <w:p w14:paraId="18692CFE" w14:textId="5A51E54E"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5EFD5EC" w14:textId="51EEA97E"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CEE782B" w14:textId="77777777" w:rsidR="00B449D0" w:rsidRDefault="00175344">
            <w:pPr>
              <w:pStyle w:val="MeasureTableDataRightAlignedwith2ptsspacing"/>
              <w:keepNext/>
            </w:pPr>
            <w:r>
              <w:t>785.8</w:t>
            </w:r>
          </w:p>
        </w:tc>
        <w:tc>
          <w:tcPr>
            <w:tcW w:w="1043" w:type="dxa"/>
            <w:tcBorders>
              <w:top w:val="single" w:sz="4" w:space="0" w:color="000000"/>
              <w:bottom w:val="single" w:sz="4" w:space="0" w:color="000000"/>
            </w:tcBorders>
          </w:tcPr>
          <w:p w14:paraId="5384D902" w14:textId="77777777" w:rsidR="00B449D0" w:rsidRDefault="00175344">
            <w:pPr>
              <w:pStyle w:val="MeasureTableDataRightAlignedwith2ptsspacing"/>
              <w:keepNext/>
            </w:pPr>
            <w:r>
              <w:t>2.3</w:t>
            </w:r>
          </w:p>
        </w:tc>
        <w:tc>
          <w:tcPr>
            <w:tcW w:w="1043" w:type="dxa"/>
            <w:tcBorders>
              <w:top w:val="single" w:sz="4" w:space="0" w:color="000000"/>
              <w:bottom w:val="single" w:sz="4" w:space="0" w:color="000000"/>
            </w:tcBorders>
          </w:tcPr>
          <w:p w14:paraId="2A85F995" w14:textId="4D8BAB0E" w:rsidR="00B449D0" w:rsidRDefault="00076D78">
            <w:pPr>
              <w:pStyle w:val="MeasureTableDataRightAlignedwith2ptsspacing"/>
              <w:keepNext/>
            </w:pPr>
            <w:r>
              <w:noBreakHyphen/>
            </w:r>
          </w:p>
        </w:tc>
      </w:tr>
      <w:tr w:rsidR="00B449D0" w14:paraId="6549A257" w14:textId="77777777">
        <w:trPr>
          <w:cantSplit/>
        </w:trPr>
        <w:tc>
          <w:tcPr>
            <w:tcW w:w="2494" w:type="dxa"/>
            <w:tcBorders>
              <w:top w:val="single" w:sz="4" w:space="0" w:color="000000"/>
              <w:bottom w:val="single" w:sz="4" w:space="0" w:color="000000"/>
            </w:tcBorders>
          </w:tcPr>
          <w:p w14:paraId="3FA7988E" w14:textId="77777777" w:rsidR="00B449D0" w:rsidRDefault="00175344">
            <w:pPr>
              <w:pStyle w:val="MeasureTableHeadingleftalignedwith2ptsspacing"/>
              <w:keepNext/>
            </w:pPr>
            <w:r>
              <w:t>NDIS Quality and Safeguards Commission</w:t>
            </w:r>
          </w:p>
        </w:tc>
        <w:tc>
          <w:tcPr>
            <w:tcW w:w="1043" w:type="dxa"/>
            <w:tcBorders>
              <w:top w:val="single" w:sz="4" w:space="0" w:color="000000"/>
              <w:bottom w:val="single" w:sz="4" w:space="0" w:color="000000"/>
            </w:tcBorders>
          </w:tcPr>
          <w:p w14:paraId="1B945515" w14:textId="3CD71E3E"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490C3C6" w14:textId="34DACB54"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60B33ECC" w14:textId="77777777" w:rsidR="00B449D0" w:rsidRDefault="00175344">
            <w:pPr>
              <w:pStyle w:val="MeasureTableDataRightAlignedwith2ptsspacing"/>
              <w:keepNext/>
            </w:pPr>
            <w:r>
              <w:t>71.3</w:t>
            </w:r>
          </w:p>
        </w:tc>
        <w:tc>
          <w:tcPr>
            <w:tcW w:w="1043" w:type="dxa"/>
            <w:tcBorders>
              <w:top w:val="single" w:sz="4" w:space="0" w:color="000000"/>
              <w:bottom w:val="single" w:sz="4" w:space="0" w:color="000000"/>
            </w:tcBorders>
          </w:tcPr>
          <w:p w14:paraId="577CF6F8" w14:textId="77777777" w:rsidR="00B449D0" w:rsidRDefault="00175344">
            <w:pPr>
              <w:pStyle w:val="MeasureTableDataRightAlignedwith2ptsspacing"/>
              <w:keepNext/>
            </w:pPr>
            <w:r>
              <w:t>72.5</w:t>
            </w:r>
          </w:p>
        </w:tc>
        <w:tc>
          <w:tcPr>
            <w:tcW w:w="1043" w:type="dxa"/>
            <w:tcBorders>
              <w:top w:val="single" w:sz="4" w:space="0" w:color="000000"/>
              <w:bottom w:val="single" w:sz="4" w:space="0" w:color="000000"/>
            </w:tcBorders>
          </w:tcPr>
          <w:p w14:paraId="701B6048" w14:textId="37AEBB93" w:rsidR="00B449D0" w:rsidRDefault="00076D78">
            <w:pPr>
              <w:pStyle w:val="MeasureTableDataRightAlignedwith2ptsspacing"/>
              <w:keepNext/>
            </w:pPr>
            <w:r>
              <w:noBreakHyphen/>
            </w:r>
          </w:p>
        </w:tc>
      </w:tr>
      <w:tr w:rsidR="00B449D0" w14:paraId="6F00442E" w14:textId="77777777">
        <w:trPr>
          <w:cantSplit/>
        </w:trPr>
        <w:tc>
          <w:tcPr>
            <w:tcW w:w="2494" w:type="dxa"/>
            <w:tcBorders>
              <w:top w:val="single" w:sz="4" w:space="0" w:color="000000"/>
              <w:bottom w:val="single" w:sz="4" w:space="0" w:color="000000"/>
            </w:tcBorders>
          </w:tcPr>
          <w:p w14:paraId="54E5CAEE" w14:textId="77777777" w:rsidR="00B449D0" w:rsidRDefault="00175344">
            <w:pPr>
              <w:pStyle w:val="MeasureTableHeadingleftalignedwith2ptsspacing"/>
              <w:keepNext/>
            </w:pPr>
            <w:r>
              <w:t>Department of Social Services</w:t>
            </w:r>
          </w:p>
        </w:tc>
        <w:tc>
          <w:tcPr>
            <w:tcW w:w="1043" w:type="dxa"/>
            <w:tcBorders>
              <w:top w:val="single" w:sz="4" w:space="0" w:color="000000"/>
              <w:bottom w:val="single" w:sz="4" w:space="0" w:color="000000"/>
            </w:tcBorders>
          </w:tcPr>
          <w:p w14:paraId="0EA6F8D0" w14:textId="60C6B370"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6A3E9B4" w14:textId="16203176"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9496353" w14:textId="77777777" w:rsidR="00B449D0" w:rsidRDefault="00175344">
            <w:pPr>
              <w:pStyle w:val="MeasureTableDataRightAlignedwith2ptsspacing"/>
              <w:keepNext/>
            </w:pPr>
            <w:r>
              <w:t>7.6</w:t>
            </w:r>
          </w:p>
        </w:tc>
        <w:tc>
          <w:tcPr>
            <w:tcW w:w="1043" w:type="dxa"/>
            <w:tcBorders>
              <w:top w:val="single" w:sz="4" w:space="0" w:color="000000"/>
              <w:bottom w:val="single" w:sz="4" w:space="0" w:color="000000"/>
            </w:tcBorders>
          </w:tcPr>
          <w:p w14:paraId="1F744531" w14:textId="28D5A3A5"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A8F1AB4" w14:textId="6E925089" w:rsidR="00B449D0" w:rsidRDefault="00076D78">
            <w:pPr>
              <w:pStyle w:val="MeasureTableDataRightAlignedwith2ptsspacing"/>
              <w:keepNext/>
            </w:pPr>
            <w:r>
              <w:noBreakHyphen/>
            </w:r>
          </w:p>
        </w:tc>
      </w:tr>
      <w:tr w:rsidR="00B449D0" w14:paraId="09E4C2E6" w14:textId="77777777">
        <w:trPr>
          <w:cantSplit/>
        </w:trPr>
        <w:tc>
          <w:tcPr>
            <w:tcW w:w="2494" w:type="dxa"/>
            <w:tcBorders>
              <w:top w:val="single" w:sz="4" w:space="0" w:color="000000"/>
              <w:bottom w:val="single" w:sz="4" w:space="0" w:color="000000"/>
            </w:tcBorders>
          </w:tcPr>
          <w:p w14:paraId="78447BEA" w14:textId="77777777" w:rsidR="00B449D0" w:rsidRDefault="00175344">
            <w:pPr>
              <w:pStyle w:val="MeasureTableHeadingleftalignedwith2ptsspacing"/>
              <w:keepNext/>
            </w:pPr>
            <w:r>
              <w:t>Department of Finance</w:t>
            </w:r>
          </w:p>
        </w:tc>
        <w:tc>
          <w:tcPr>
            <w:tcW w:w="1043" w:type="dxa"/>
            <w:tcBorders>
              <w:top w:val="single" w:sz="4" w:space="0" w:color="000000"/>
              <w:bottom w:val="single" w:sz="4" w:space="0" w:color="000000"/>
            </w:tcBorders>
          </w:tcPr>
          <w:p w14:paraId="7652ACBA" w14:textId="76BCB8CE"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CB94AFD" w14:textId="5059AC31"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B7EA9A5" w14:textId="1291F6CF"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53F01B2" w14:textId="59DB4DA5"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6D30F2F0" w14:textId="7751DC4B" w:rsidR="00B449D0" w:rsidRDefault="00076D78">
            <w:pPr>
              <w:pStyle w:val="MeasureTableDataRightAlignedwith2ptsspacing"/>
              <w:keepNext/>
            </w:pPr>
            <w:r>
              <w:noBreakHyphen/>
            </w:r>
          </w:p>
        </w:tc>
      </w:tr>
      <w:tr w:rsidR="00B449D0" w14:paraId="2B5B7AC7" w14:textId="77777777">
        <w:trPr>
          <w:cantSplit/>
        </w:trPr>
        <w:tc>
          <w:tcPr>
            <w:tcW w:w="2494" w:type="dxa"/>
            <w:tcBorders>
              <w:top w:val="single" w:sz="4" w:space="0" w:color="000000"/>
              <w:bottom w:val="single" w:sz="4" w:space="0" w:color="000000"/>
            </w:tcBorders>
          </w:tcPr>
          <w:p w14:paraId="28159FA3"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6099FEE3" w14:textId="4F1C0D8E"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0ED44008" w14:textId="0DF6EE8A"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7FA92627" w14:textId="77777777" w:rsidR="00B449D0" w:rsidRDefault="00175344">
            <w:pPr>
              <w:pStyle w:val="Totaldatarowrightaligned"/>
              <w:keepNext/>
            </w:pPr>
            <w:r>
              <w:t>864.7</w:t>
            </w:r>
          </w:p>
        </w:tc>
        <w:tc>
          <w:tcPr>
            <w:tcW w:w="1043" w:type="dxa"/>
            <w:tcBorders>
              <w:top w:val="single" w:sz="4" w:space="0" w:color="000000"/>
              <w:bottom w:val="single" w:sz="4" w:space="0" w:color="000000"/>
            </w:tcBorders>
          </w:tcPr>
          <w:p w14:paraId="1729AFAA" w14:textId="77777777" w:rsidR="00B449D0" w:rsidRDefault="00175344">
            <w:pPr>
              <w:pStyle w:val="Totaldatarowrightaligned"/>
              <w:keepNext/>
            </w:pPr>
            <w:r>
              <w:t>74.8</w:t>
            </w:r>
          </w:p>
        </w:tc>
        <w:tc>
          <w:tcPr>
            <w:tcW w:w="1043" w:type="dxa"/>
            <w:tcBorders>
              <w:top w:val="single" w:sz="4" w:space="0" w:color="000000"/>
              <w:bottom w:val="single" w:sz="4" w:space="0" w:color="000000"/>
            </w:tcBorders>
          </w:tcPr>
          <w:p w14:paraId="3544CC39" w14:textId="41ABBF90" w:rsidR="00B449D0" w:rsidRDefault="00076D78">
            <w:pPr>
              <w:pStyle w:val="Totaldatarowrightaligned"/>
              <w:keepNext/>
            </w:pPr>
            <w:r>
              <w:noBreakHyphen/>
            </w:r>
          </w:p>
        </w:tc>
      </w:tr>
      <w:tr w:rsidR="00B449D0" w14:paraId="4365E9D0" w14:textId="77777777">
        <w:trPr>
          <w:cantSplit/>
        </w:trPr>
        <w:tc>
          <w:tcPr>
            <w:tcW w:w="2494" w:type="dxa"/>
          </w:tcPr>
          <w:p w14:paraId="6F81F67D" w14:textId="77777777" w:rsidR="00B449D0" w:rsidRDefault="00175344">
            <w:pPr>
              <w:pStyle w:val="AgencyName"/>
              <w:keepNext/>
            </w:pPr>
            <w:r>
              <w:t>Related receipts ($m)</w:t>
            </w:r>
          </w:p>
        </w:tc>
        <w:tc>
          <w:tcPr>
            <w:tcW w:w="1043" w:type="dxa"/>
          </w:tcPr>
          <w:p w14:paraId="67D9FD36" w14:textId="77777777" w:rsidR="00B449D0" w:rsidRDefault="00B449D0">
            <w:pPr>
              <w:pStyle w:val="AgencyName"/>
              <w:keepNext/>
            </w:pPr>
          </w:p>
        </w:tc>
        <w:tc>
          <w:tcPr>
            <w:tcW w:w="1043" w:type="dxa"/>
          </w:tcPr>
          <w:p w14:paraId="30D3FEB9" w14:textId="77777777" w:rsidR="00B449D0" w:rsidRDefault="00B449D0">
            <w:pPr>
              <w:pStyle w:val="AgencyName"/>
              <w:keepNext/>
            </w:pPr>
          </w:p>
        </w:tc>
        <w:tc>
          <w:tcPr>
            <w:tcW w:w="1043" w:type="dxa"/>
          </w:tcPr>
          <w:p w14:paraId="4FDFCD95" w14:textId="77777777" w:rsidR="00B449D0" w:rsidRDefault="00B449D0">
            <w:pPr>
              <w:pStyle w:val="AgencyName"/>
              <w:keepNext/>
            </w:pPr>
          </w:p>
        </w:tc>
        <w:tc>
          <w:tcPr>
            <w:tcW w:w="1043" w:type="dxa"/>
          </w:tcPr>
          <w:p w14:paraId="57DEA6D1" w14:textId="77777777" w:rsidR="00B449D0" w:rsidRDefault="00B449D0">
            <w:pPr>
              <w:pStyle w:val="AgencyName"/>
              <w:keepNext/>
            </w:pPr>
          </w:p>
        </w:tc>
        <w:tc>
          <w:tcPr>
            <w:tcW w:w="1043" w:type="dxa"/>
          </w:tcPr>
          <w:p w14:paraId="13B28A07" w14:textId="77777777" w:rsidR="00B449D0" w:rsidRDefault="00B449D0">
            <w:pPr>
              <w:pStyle w:val="AgencyName"/>
              <w:keepNext/>
            </w:pPr>
          </w:p>
        </w:tc>
      </w:tr>
      <w:tr w:rsidR="00B449D0" w14:paraId="05F8CAEC" w14:textId="77777777">
        <w:tc>
          <w:tcPr>
            <w:tcW w:w="2494" w:type="dxa"/>
          </w:tcPr>
          <w:p w14:paraId="37C79E0A" w14:textId="77777777" w:rsidR="00B449D0" w:rsidRDefault="00175344">
            <w:pPr>
              <w:pStyle w:val="AgencyNamewith2ptsspacing"/>
              <w:keepNext/>
            </w:pPr>
            <w:r>
              <w:t>National Disability Insurance Agency</w:t>
            </w:r>
          </w:p>
        </w:tc>
        <w:tc>
          <w:tcPr>
            <w:tcW w:w="1043" w:type="dxa"/>
          </w:tcPr>
          <w:p w14:paraId="0006B86F" w14:textId="6E7CE595" w:rsidR="00B449D0" w:rsidRDefault="00076D78">
            <w:pPr>
              <w:pStyle w:val="Measuretabledatarightaligneditalics"/>
              <w:keepNext/>
            </w:pPr>
            <w:r>
              <w:noBreakHyphen/>
            </w:r>
          </w:p>
        </w:tc>
        <w:tc>
          <w:tcPr>
            <w:tcW w:w="1043" w:type="dxa"/>
          </w:tcPr>
          <w:p w14:paraId="1CDE22CA" w14:textId="01211253" w:rsidR="00B449D0" w:rsidRDefault="00076D78">
            <w:pPr>
              <w:pStyle w:val="Measuretabledatarightaligneditalics"/>
              <w:keepNext/>
            </w:pPr>
            <w:r>
              <w:noBreakHyphen/>
            </w:r>
          </w:p>
        </w:tc>
        <w:tc>
          <w:tcPr>
            <w:tcW w:w="1043" w:type="dxa"/>
          </w:tcPr>
          <w:p w14:paraId="10E95629" w14:textId="6B54D8AA" w:rsidR="00B449D0" w:rsidRDefault="00076D78">
            <w:pPr>
              <w:pStyle w:val="Measuretabledatarightaligneditalics"/>
              <w:keepNext/>
            </w:pPr>
            <w:r>
              <w:noBreakHyphen/>
            </w:r>
          </w:p>
        </w:tc>
        <w:tc>
          <w:tcPr>
            <w:tcW w:w="1043" w:type="dxa"/>
          </w:tcPr>
          <w:p w14:paraId="629B1B8A" w14:textId="3ECFC0C5" w:rsidR="00B449D0" w:rsidRDefault="00076D78">
            <w:pPr>
              <w:pStyle w:val="Measuretabledatarightaligneditalics"/>
              <w:keepNext/>
            </w:pPr>
            <w:r>
              <w:noBreakHyphen/>
            </w:r>
          </w:p>
        </w:tc>
        <w:tc>
          <w:tcPr>
            <w:tcW w:w="1043" w:type="dxa"/>
          </w:tcPr>
          <w:p w14:paraId="737C6342" w14:textId="35AF47FF" w:rsidR="00B449D0" w:rsidRDefault="00076D78">
            <w:pPr>
              <w:pStyle w:val="Measuretabledatarightaligneditalics"/>
              <w:keepNext/>
            </w:pPr>
            <w:r>
              <w:noBreakHyphen/>
            </w:r>
          </w:p>
        </w:tc>
      </w:tr>
    </w:tbl>
    <w:p w14:paraId="348D8199" w14:textId="77777777" w:rsidR="00B449D0" w:rsidRDefault="00B449D0" w:rsidP="00380A42">
      <w:pPr>
        <w:pStyle w:val="SingleParagraph0"/>
      </w:pPr>
    </w:p>
    <w:p w14:paraId="33B19776" w14:textId="01F30880" w:rsidR="00B449D0" w:rsidRDefault="00175344">
      <w:pPr>
        <w:pStyle w:val="Normal2"/>
      </w:pPr>
      <w:r w:rsidRPr="7F762F0D">
        <w:rPr>
          <w:lang w:val="en-US"/>
        </w:rPr>
        <w:t>The Government will provide $1.1</w:t>
      </w:r>
      <w:r w:rsidR="002A7001">
        <w:rPr>
          <w:lang w:val="en-US"/>
        </w:rPr>
        <w:t> billion</w:t>
      </w:r>
      <w:r w:rsidRPr="7F762F0D">
        <w:rPr>
          <w:lang w:val="en-US"/>
        </w:rPr>
        <w:t xml:space="preserve"> over three years from 2024–25 to support the design and implementation of Foundational Supports, further reforms to the National Disability Insurance Scheme (NDIS) and implementation of the </w:t>
      </w:r>
      <w:r w:rsidRPr="7F762F0D">
        <w:rPr>
          <w:i/>
          <w:iCs/>
          <w:lang w:val="en-US"/>
        </w:rPr>
        <w:t>National Disability Insurance Scheme Amendment (Getting the NDIS Back on Track No.1) Act 2024</w:t>
      </w:r>
      <w:r w:rsidRPr="7F762F0D">
        <w:rPr>
          <w:lang w:val="en-US"/>
        </w:rPr>
        <w:t xml:space="preserve"> which came into effect on 3 October 2024. Funding includes:</w:t>
      </w:r>
    </w:p>
    <w:p w14:paraId="3F0C4B48" w14:textId="77777777" w:rsidR="00B449D0" w:rsidRDefault="00175344">
      <w:pPr>
        <w:pStyle w:val="Bullet"/>
      </w:pPr>
      <w:r>
        <w:t>$503.5 million in 2025–26 to ensure the National Disability Insurance Agency (NDIA) can continue to support NDIS participants</w:t>
      </w:r>
    </w:p>
    <w:p w14:paraId="55B0D296" w14:textId="77777777" w:rsidR="00B449D0" w:rsidRDefault="00175344">
      <w:pPr>
        <w:pStyle w:val="Bullet"/>
      </w:pPr>
      <w:r>
        <w:lastRenderedPageBreak/>
        <w:t>$280.0 million in 2025–26 to the NDIA to begin implementation of the new planning framework</w:t>
      </w:r>
    </w:p>
    <w:p w14:paraId="7B8B9EA1" w14:textId="77777777" w:rsidR="00B449D0" w:rsidRDefault="00175344">
      <w:pPr>
        <w:pStyle w:val="Bullet"/>
      </w:pPr>
      <w:r>
        <w:t>$143.9 million over two years from 2025–26 to the NDIS Quality and Safeguards Commission to improve the quality and safety of the NDIS supports and services for participants</w:t>
      </w:r>
    </w:p>
    <w:p w14:paraId="36517409" w14:textId="77777777" w:rsidR="00B449D0" w:rsidRDefault="00175344">
      <w:pPr>
        <w:pStyle w:val="Bullet"/>
      </w:pPr>
      <w:r>
        <w:t>$110.4 million over two years from 2024–25 to boost fraud detecting information technology systems at the NDIA, to further safeguard the integrity of the NDIS</w:t>
      </w:r>
    </w:p>
    <w:p w14:paraId="6DDD4652" w14:textId="77777777" w:rsidR="00B449D0" w:rsidRDefault="00175344">
      <w:pPr>
        <w:pStyle w:val="Bullet"/>
      </w:pPr>
      <w:r>
        <w:t>$18.5 million over three years from 2024–25 to continue design and consultation work for the implementation of Foundational Supports for children with disability or developmental concerns and their parents and carers</w:t>
      </w:r>
    </w:p>
    <w:p w14:paraId="5CDFBBD0" w14:textId="77777777" w:rsidR="00B449D0" w:rsidRDefault="00175344">
      <w:pPr>
        <w:pStyle w:val="Bullet"/>
      </w:pPr>
      <w:r>
        <w:t>$4.5 million over two years from 2025–26 to the NDIA to undertake further design and consultation on an early intervention pathway for children in the NDIS.</w:t>
      </w:r>
    </w:p>
    <w:p w14:paraId="0E34F681" w14:textId="77777777" w:rsidR="00B449D0" w:rsidRDefault="00175344">
      <w:pPr>
        <w:pStyle w:val="Normal2"/>
      </w:pPr>
      <w:r>
        <w:t>The Government has already provided partial funding for this measure.</w:t>
      </w:r>
    </w:p>
    <w:p w14:paraId="20E16179" w14:textId="77777777" w:rsidR="00B449D0" w:rsidRDefault="00175344">
      <w:pPr>
        <w:pStyle w:val="Normal2"/>
      </w:pPr>
      <w:r w:rsidRPr="7F762F0D">
        <w:rPr>
          <w:lang w:val="en-US"/>
        </w:rPr>
        <w:t>The cost of this measure will be partially met from within the existing resourcing of the Department of Social Services.</w:t>
      </w:r>
    </w:p>
    <w:p w14:paraId="016511B0" w14:textId="77777777" w:rsidR="00B449D0" w:rsidRDefault="00175344">
      <w:pPr>
        <w:pStyle w:val="Normal2"/>
      </w:pPr>
      <w:r>
        <w:t xml:space="preserve">This measure builds on the 2024–25 Budget measure titled </w:t>
      </w:r>
      <w:r w:rsidRPr="00175344">
        <w:rPr>
          <w:i/>
        </w:rPr>
        <w:t>National Disability Insurance Scheme – getting the NDIS back on track</w:t>
      </w:r>
      <w:r>
        <w:t>.</w:t>
      </w:r>
    </w:p>
    <w:p w14:paraId="1D643F4B" w14:textId="77777777" w:rsidR="00B449D0" w:rsidRDefault="00175344">
      <w:pPr>
        <w:pStyle w:val="MeasureTitle"/>
      </w:pPr>
      <w:r>
        <w:t>Partnering with Communities for Change</w:t>
      </w:r>
    </w:p>
    <w:p w14:paraId="29DCD61F"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51EDACC6" w14:textId="77777777">
        <w:trPr>
          <w:cantSplit/>
        </w:trPr>
        <w:tc>
          <w:tcPr>
            <w:tcW w:w="2494" w:type="dxa"/>
            <w:tcBorders>
              <w:top w:val="single" w:sz="4" w:space="0" w:color="000000"/>
              <w:bottom w:val="single" w:sz="4" w:space="0" w:color="000000"/>
            </w:tcBorders>
          </w:tcPr>
          <w:p w14:paraId="180F393F" w14:textId="77777777" w:rsidR="00B449D0" w:rsidRDefault="00B449D0">
            <w:pPr>
              <w:pStyle w:val="MeasureTableYearHeadings"/>
              <w:keepNext/>
            </w:pPr>
          </w:p>
        </w:tc>
        <w:tc>
          <w:tcPr>
            <w:tcW w:w="1043" w:type="dxa"/>
            <w:tcBorders>
              <w:top w:val="single" w:sz="4" w:space="0" w:color="000000"/>
              <w:bottom w:val="single" w:sz="4" w:space="0" w:color="000000"/>
            </w:tcBorders>
          </w:tcPr>
          <w:p w14:paraId="1B13D6C8" w14:textId="17C80C7D"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63236AEB" w14:textId="70375F81"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60C99AAA" w14:textId="20AF8E6D"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313F5376" w14:textId="7B455194"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65719854" w14:textId="16B578D7" w:rsidR="00B449D0" w:rsidRDefault="00175344">
            <w:pPr>
              <w:pStyle w:val="MeasureTableYearHeadings"/>
              <w:keepNext/>
            </w:pPr>
            <w:r>
              <w:t>2027</w:t>
            </w:r>
            <w:r w:rsidR="00076D78">
              <w:noBreakHyphen/>
            </w:r>
            <w:r>
              <w:t>28</w:t>
            </w:r>
          </w:p>
        </w:tc>
      </w:tr>
      <w:tr w:rsidR="00B449D0" w14:paraId="79CC3C9C" w14:textId="77777777">
        <w:trPr>
          <w:cantSplit/>
        </w:trPr>
        <w:tc>
          <w:tcPr>
            <w:tcW w:w="2494" w:type="dxa"/>
            <w:tcBorders>
              <w:top w:val="single" w:sz="4" w:space="0" w:color="000000"/>
              <w:bottom w:val="single" w:sz="4" w:space="0" w:color="000000"/>
            </w:tcBorders>
          </w:tcPr>
          <w:p w14:paraId="260A151A" w14:textId="77777777" w:rsidR="00B449D0" w:rsidRDefault="00175344">
            <w:pPr>
              <w:pStyle w:val="MeasureTableHeadingleftalignedwith2ptsspacing"/>
              <w:keepNext/>
            </w:pPr>
            <w:r>
              <w:t>Department of Social Services</w:t>
            </w:r>
          </w:p>
        </w:tc>
        <w:tc>
          <w:tcPr>
            <w:tcW w:w="1043" w:type="dxa"/>
            <w:tcBorders>
              <w:top w:val="single" w:sz="4" w:space="0" w:color="000000"/>
              <w:bottom w:val="single" w:sz="4" w:space="0" w:color="000000"/>
            </w:tcBorders>
          </w:tcPr>
          <w:p w14:paraId="6BD852DF" w14:textId="7A80E746"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64F01957" w14:textId="77777777" w:rsidR="00B449D0" w:rsidRDefault="00175344">
            <w:pPr>
              <w:pStyle w:val="MeasureTableDataRightAlignedwith2ptsspacing"/>
              <w:keepNext/>
            </w:pPr>
            <w:r>
              <w:t>2.5</w:t>
            </w:r>
          </w:p>
        </w:tc>
        <w:tc>
          <w:tcPr>
            <w:tcW w:w="1043" w:type="dxa"/>
            <w:tcBorders>
              <w:top w:val="single" w:sz="4" w:space="0" w:color="000000"/>
              <w:bottom w:val="single" w:sz="4" w:space="0" w:color="000000"/>
            </w:tcBorders>
          </w:tcPr>
          <w:p w14:paraId="6A0900D6" w14:textId="77777777" w:rsidR="00B449D0" w:rsidRDefault="00175344">
            <w:pPr>
              <w:pStyle w:val="MeasureTableDataRightAlignedwith2ptsspacing"/>
              <w:keepNext/>
            </w:pPr>
            <w:r>
              <w:t>2.8</w:t>
            </w:r>
          </w:p>
        </w:tc>
        <w:tc>
          <w:tcPr>
            <w:tcW w:w="1043" w:type="dxa"/>
            <w:tcBorders>
              <w:top w:val="single" w:sz="4" w:space="0" w:color="000000"/>
              <w:bottom w:val="single" w:sz="4" w:space="0" w:color="000000"/>
            </w:tcBorders>
          </w:tcPr>
          <w:p w14:paraId="7671F099" w14:textId="77777777" w:rsidR="00B449D0" w:rsidRDefault="00175344">
            <w:pPr>
              <w:pStyle w:val="MeasureTableDataRightAlignedwith2ptsspacing"/>
              <w:keepNext/>
            </w:pPr>
            <w:r>
              <w:t>0.6</w:t>
            </w:r>
          </w:p>
        </w:tc>
        <w:tc>
          <w:tcPr>
            <w:tcW w:w="1043" w:type="dxa"/>
            <w:tcBorders>
              <w:top w:val="single" w:sz="4" w:space="0" w:color="000000"/>
              <w:bottom w:val="single" w:sz="4" w:space="0" w:color="000000"/>
            </w:tcBorders>
          </w:tcPr>
          <w:p w14:paraId="0C281C24" w14:textId="2032D517" w:rsidR="00B449D0" w:rsidRDefault="00076D78">
            <w:pPr>
              <w:pStyle w:val="MeasureTableDataRightAlignedwith2ptsspacing"/>
              <w:keepNext/>
            </w:pPr>
            <w:r>
              <w:noBreakHyphen/>
            </w:r>
          </w:p>
        </w:tc>
      </w:tr>
    </w:tbl>
    <w:p w14:paraId="2B3E1AF8" w14:textId="77777777" w:rsidR="00B449D0" w:rsidRDefault="00B449D0" w:rsidP="00380A42">
      <w:pPr>
        <w:pStyle w:val="SingleParagraph0"/>
      </w:pPr>
    </w:p>
    <w:p w14:paraId="089D5DF6" w14:textId="77777777" w:rsidR="00B449D0" w:rsidRDefault="00175344">
      <w:pPr>
        <w:pStyle w:val="Normal2"/>
      </w:pPr>
      <w:r>
        <w:t>The Government will provide $22.0 million over four years from 2024–25 (and $4.4 million in 2028–29) to partner with communities for change and reduce cycles of disadvantage through targeted, community‑based interventions. Funding includes:</w:t>
      </w:r>
    </w:p>
    <w:p w14:paraId="182A4CE2" w14:textId="77777777" w:rsidR="00B449D0" w:rsidRDefault="00175344">
      <w:pPr>
        <w:pStyle w:val="Bullet"/>
      </w:pPr>
      <w:r>
        <w:t>$14.9 million over four years from 2024–25 (and an additional $4.4 million in 2028–29) to strengthen the capacity of communities to design and deliver place‑based programs through funding for Partnerships for Local Action and Community Empowerment (PLACE), with funding to be matched by five philanthropic partners</w:t>
      </w:r>
    </w:p>
    <w:p w14:paraId="29D43B84" w14:textId="77777777" w:rsidR="00B449D0" w:rsidRDefault="00175344">
      <w:pPr>
        <w:pStyle w:val="Bullet"/>
      </w:pPr>
      <w:r>
        <w:t xml:space="preserve">$3.8 million over two years from 2024–25 to expand the </w:t>
      </w:r>
      <w:r w:rsidRPr="0022710B">
        <w:rPr>
          <w:i/>
        </w:rPr>
        <w:t>Strong and Resilient Communities – Inclusive Communities</w:t>
      </w:r>
      <w:r>
        <w:t xml:space="preserve"> grant program, to support the social and economic participation of vulnerable and disadvantaged people through local community‑driven solutions</w:t>
      </w:r>
    </w:p>
    <w:p w14:paraId="4DFC0062" w14:textId="77777777" w:rsidR="00B449D0" w:rsidRDefault="00175344">
      <w:pPr>
        <w:pStyle w:val="Bullet"/>
      </w:pPr>
      <w:r>
        <w:t>$2.0 million over three years from 2024–25 to provide child safety education and programs to children and young people to prevent abuse, through new funding to the Daniel Morcombe Foundation</w:t>
      </w:r>
    </w:p>
    <w:p w14:paraId="57A789BD" w14:textId="77777777" w:rsidR="00B449D0" w:rsidRDefault="00175344">
      <w:pPr>
        <w:pStyle w:val="Bullet"/>
      </w:pPr>
      <w:r>
        <w:t>$1.3 million in 2025–26 to extend funding for six national peak organisations under the Families and Communities Service Improvement activity.</w:t>
      </w:r>
    </w:p>
    <w:p w14:paraId="515C0534" w14:textId="6631CCE7" w:rsidR="00B449D0" w:rsidRDefault="00175344">
      <w:pPr>
        <w:pStyle w:val="Normal2"/>
      </w:pPr>
      <w:r w:rsidRPr="7F762F0D">
        <w:rPr>
          <w:lang w:val="en-US"/>
        </w:rPr>
        <w:t xml:space="preserve">The Government will also redesign the </w:t>
      </w:r>
      <w:r w:rsidRPr="7F762F0D">
        <w:rPr>
          <w:i/>
          <w:iCs/>
          <w:lang w:val="en-US"/>
        </w:rPr>
        <w:t xml:space="preserve">Volunteer Grants </w:t>
      </w:r>
      <w:r w:rsidRPr="7F762F0D">
        <w:rPr>
          <w:lang w:val="en-US"/>
        </w:rPr>
        <w:t xml:space="preserve">program to focus on supporting the wellbeing and development of children, and on communication, insurance, or certain </w:t>
      </w:r>
      <w:r w:rsidRPr="7F762F0D">
        <w:rPr>
          <w:lang w:val="en-US"/>
        </w:rPr>
        <w:lastRenderedPageBreak/>
        <w:t>travel items that will benefit program volunteers, to support the efforts of Australia</w:t>
      </w:r>
      <w:r w:rsidR="00076D78">
        <w:rPr>
          <w:lang w:val="en-US"/>
        </w:rPr>
        <w:t>’</w:t>
      </w:r>
      <w:r w:rsidRPr="7F762F0D">
        <w:rPr>
          <w:lang w:val="en-US"/>
        </w:rPr>
        <w:t>s volunteers and to encourage and increase participation in volunteering.</w:t>
      </w:r>
    </w:p>
    <w:p w14:paraId="52408B29" w14:textId="77777777" w:rsidR="00B449D0" w:rsidRDefault="00175344">
      <w:pPr>
        <w:pStyle w:val="Normal2"/>
      </w:pPr>
      <w:r>
        <w:t>The Government has already provided partial funding for this measure.</w:t>
      </w:r>
    </w:p>
    <w:p w14:paraId="1127739F" w14:textId="77777777" w:rsidR="00B449D0" w:rsidRDefault="00175344">
      <w:pPr>
        <w:pStyle w:val="Normal2"/>
      </w:pPr>
      <w:r w:rsidRPr="7F762F0D">
        <w:rPr>
          <w:lang w:val="en-US"/>
        </w:rPr>
        <w:t>The cost of this measure will be partially met from within the existing resources of the Department of Social Services.</w:t>
      </w:r>
    </w:p>
    <w:p w14:paraId="318B586E" w14:textId="77777777" w:rsidR="00B449D0" w:rsidRDefault="00175344">
      <w:pPr>
        <w:pStyle w:val="Normal2"/>
      </w:pPr>
      <w:r>
        <w:t xml:space="preserve">This measure builds on the 2023–24 Budget measure titled </w:t>
      </w:r>
      <w:r w:rsidRPr="00175344">
        <w:rPr>
          <w:i/>
        </w:rPr>
        <w:t>Targeting Entrenched Community Disadvantage</w:t>
      </w:r>
      <w:r>
        <w:t>.</w:t>
      </w:r>
    </w:p>
    <w:p w14:paraId="6686E557" w14:textId="77777777" w:rsidR="00B449D0" w:rsidRDefault="00B449D0">
      <w:pPr>
        <w:sectPr w:rsidR="00B449D0" w:rsidSect="00301E48">
          <w:headerReference w:type="even" r:id="rId126"/>
          <w:headerReference w:type="default" r:id="rId127"/>
          <w:footerReference w:type="even" r:id="rId128"/>
          <w:footerReference w:type="default" r:id="rId129"/>
          <w:headerReference w:type="first" r:id="rId130"/>
          <w:footerReference w:type="first" r:id="rId131"/>
          <w:pgSz w:w="11906" w:h="16838"/>
          <w:pgMar w:top="2835" w:right="2098" w:bottom="2466" w:left="2098" w:header="1814" w:footer="1814" w:gutter="0"/>
          <w:cols w:space="720"/>
          <w:docGrid w:linePitch="272"/>
        </w:sectPr>
      </w:pPr>
    </w:p>
    <w:p w14:paraId="60192B12" w14:textId="77777777" w:rsidR="00B449D0" w:rsidRDefault="00175344">
      <w:pPr>
        <w:pStyle w:val="PortfolioName"/>
      </w:pPr>
      <w:r>
        <w:lastRenderedPageBreak/>
        <w:t>Treasury</w:t>
      </w:r>
    </w:p>
    <w:p w14:paraId="40964408" w14:textId="77777777" w:rsidR="00B449D0" w:rsidRDefault="00175344">
      <w:pPr>
        <w:pStyle w:val="MeasureTitle"/>
      </w:pPr>
      <w:r>
        <w:t>Addressing Surcharges</w:t>
      </w:r>
    </w:p>
    <w:p w14:paraId="5FBCAF5C"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5278A1CE" w14:textId="77777777">
        <w:trPr>
          <w:cantSplit/>
        </w:trPr>
        <w:tc>
          <w:tcPr>
            <w:tcW w:w="2494" w:type="dxa"/>
            <w:tcBorders>
              <w:top w:val="single" w:sz="4" w:space="0" w:color="000000"/>
              <w:bottom w:val="single" w:sz="4" w:space="0" w:color="000000"/>
            </w:tcBorders>
          </w:tcPr>
          <w:p w14:paraId="64A04F0F" w14:textId="77777777" w:rsidR="00B449D0" w:rsidRDefault="00B449D0">
            <w:pPr>
              <w:pStyle w:val="MeasureTableYearHeadings"/>
              <w:keepNext/>
            </w:pPr>
          </w:p>
        </w:tc>
        <w:tc>
          <w:tcPr>
            <w:tcW w:w="1043" w:type="dxa"/>
            <w:tcBorders>
              <w:top w:val="single" w:sz="4" w:space="0" w:color="000000"/>
              <w:bottom w:val="single" w:sz="4" w:space="0" w:color="000000"/>
            </w:tcBorders>
          </w:tcPr>
          <w:p w14:paraId="7505EF34" w14:textId="10170687"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7FB68849" w14:textId="763D3CDB"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18975607" w14:textId="13DF5A13"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00CC079D" w14:textId="65D16FF7"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2E4CC6F0" w14:textId="49B825ED" w:rsidR="00B449D0" w:rsidRDefault="00175344">
            <w:pPr>
              <w:pStyle w:val="MeasureTableYearHeadings"/>
              <w:keepNext/>
            </w:pPr>
            <w:r>
              <w:t>2027</w:t>
            </w:r>
            <w:r w:rsidR="00076D78">
              <w:noBreakHyphen/>
            </w:r>
            <w:r>
              <w:t>28</w:t>
            </w:r>
          </w:p>
        </w:tc>
      </w:tr>
      <w:tr w:rsidR="00B449D0" w14:paraId="5F696559" w14:textId="77777777">
        <w:trPr>
          <w:cantSplit/>
        </w:trPr>
        <w:tc>
          <w:tcPr>
            <w:tcW w:w="2494" w:type="dxa"/>
            <w:tcBorders>
              <w:top w:val="single" w:sz="4" w:space="0" w:color="000000"/>
              <w:bottom w:val="single" w:sz="4" w:space="0" w:color="000000"/>
            </w:tcBorders>
          </w:tcPr>
          <w:p w14:paraId="78E43F26" w14:textId="77777777" w:rsidR="00B449D0" w:rsidRDefault="00175344">
            <w:pPr>
              <w:pStyle w:val="MeasureTableHeadingleftalignedwith2ptsspacing"/>
              <w:keepNext/>
            </w:pPr>
            <w:r>
              <w:t>Australian Taxation Office</w:t>
            </w:r>
          </w:p>
        </w:tc>
        <w:tc>
          <w:tcPr>
            <w:tcW w:w="1043" w:type="dxa"/>
            <w:tcBorders>
              <w:top w:val="single" w:sz="4" w:space="0" w:color="000000"/>
              <w:bottom w:val="single" w:sz="4" w:space="0" w:color="000000"/>
            </w:tcBorders>
          </w:tcPr>
          <w:p w14:paraId="67579F1F" w14:textId="1C567DC1"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7804E17" w14:textId="77777777" w:rsidR="00B449D0" w:rsidRDefault="00175344">
            <w:pPr>
              <w:pStyle w:val="MeasureTableDataRightAlignedwith2ptsspacing"/>
              <w:keepNext/>
            </w:pPr>
            <w:r>
              <w:t>5.0</w:t>
            </w:r>
          </w:p>
        </w:tc>
        <w:tc>
          <w:tcPr>
            <w:tcW w:w="1043" w:type="dxa"/>
            <w:tcBorders>
              <w:top w:val="single" w:sz="4" w:space="0" w:color="000000"/>
              <w:bottom w:val="single" w:sz="4" w:space="0" w:color="000000"/>
            </w:tcBorders>
          </w:tcPr>
          <w:p w14:paraId="00409C6E" w14:textId="77777777" w:rsidR="00B449D0" w:rsidRDefault="00175344">
            <w:pPr>
              <w:pStyle w:val="MeasureTableDataRightAlignedwith2ptsspacing"/>
              <w:keepNext/>
            </w:pPr>
            <w:r>
              <w:t>9.4</w:t>
            </w:r>
          </w:p>
        </w:tc>
        <w:tc>
          <w:tcPr>
            <w:tcW w:w="1043" w:type="dxa"/>
            <w:tcBorders>
              <w:top w:val="single" w:sz="4" w:space="0" w:color="000000"/>
              <w:bottom w:val="single" w:sz="4" w:space="0" w:color="000000"/>
            </w:tcBorders>
          </w:tcPr>
          <w:p w14:paraId="49BDD3CB" w14:textId="77777777" w:rsidR="00B449D0" w:rsidRDefault="00175344">
            <w:pPr>
              <w:pStyle w:val="MeasureTableDataRightAlignedwith2ptsspacing"/>
              <w:keepNext/>
            </w:pPr>
            <w:r>
              <w:t>9.7</w:t>
            </w:r>
          </w:p>
        </w:tc>
        <w:tc>
          <w:tcPr>
            <w:tcW w:w="1043" w:type="dxa"/>
            <w:tcBorders>
              <w:top w:val="single" w:sz="4" w:space="0" w:color="000000"/>
              <w:bottom w:val="single" w:sz="4" w:space="0" w:color="000000"/>
            </w:tcBorders>
          </w:tcPr>
          <w:p w14:paraId="1272F68E" w14:textId="77777777" w:rsidR="00B449D0" w:rsidRDefault="00175344">
            <w:pPr>
              <w:pStyle w:val="MeasureTableDataRightAlignedwith2ptsspacing"/>
              <w:keepNext/>
            </w:pPr>
            <w:r>
              <w:t>10.0</w:t>
            </w:r>
          </w:p>
        </w:tc>
      </w:tr>
      <w:tr w:rsidR="00B449D0" w14:paraId="5E1B331B" w14:textId="77777777">
        <w:trPr>
          <w:cantSplit/>
        </w:trPr>
        <w:tc>
          <w:tcPr>
            <w:tcW w:w="2494" w:type="dxa"/>
            <w:tcBorders>
              <w:top w:val="single" w:sz="4" w:space="0" w:color="000000"/>
              <w:bottom w:val="single" w:sz="4" w:space="0" w:color="000000"/>
            </w:tcBorders>
          </w:tcPr>
          <w:p w14:paraId="6961F746" w14:textId="77777777" w:rsidR="00B449D0" w:rsidRDefault="00175344">
            <w:pPr>
              <w:pStyle w:val="MeasureTableHeadingleftalignedwith2ptsspacing"/>
              <w:keepNext/>
            </w:pPr>
            <w:r>
              <w:t>Australian Competition and Consumer Commission</w:t>
            </w:r>
          </w:p>
        </w:tc>
        <w:tc>
          <w:tcPr>
            <w:tcW w:w="1043" w:type="dxa"/>
            <w:tcBorders>
              <w:top w:val="single" w:sz="4" w:space="0" w:color="000000"/>
              <w:bottom w:val="single" w:sz="4" w:space="0" w:color="000000"/>
            </w:tcBorders>
          </w:tcPr>
          <w:p w14:paraId="6E582081" w14:textId="06DBFA33"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5E3DA2B" w14:textId="77777777" w:rsidR="00B449D0" w:rsidRDefault="00175344">
            <w:pPr>
              <w:pStyle w:val="MeasureTableDataRightAlignedwith2ptsspacing"/>
              <w:keepNext/>
            </w:pPr>
            <w:r>
              <w:t>1.1</w:t>
            </w:r>
          </w:p>
        </w:tc>
        <w:tc>
          <w:tcPr>
            <w:tcW w:w="1043" w:type="dxa"/>
            <w:tcBorders>
              <w:top w:val="single" w:sz="4" w:space="0" w:color="000000"/>
              <w:bottom w:val="single" w:sz="4" w:space="0" w:color="000000"/>
            </w:tcBorders>
          </w:tcPr>
          <w:p w14:paraId="51356D46" w14:textId="77777777" w:rsidR="00B449D0" w:rsidRDefault="00175344">
            <w:pPr>
              <w:pStyle w:val="MeasureTableDataRightAlignedwith2ptsspacing"/>
              <w:keepNext/>
            </w:pPr>
            <w:r>
              <w:t>1.1</w:t>
            </w:r>
          </w:p>
        </w:tc>
        <w:tc>
          <w:tcPr>
            <w:tcW w:w="1043" w:type="dxa"/>
            <w:tcBorders>
              <w:top w:val="single" w:sz="4" w:space="0" w:color="000000"/>
              <w:bottom w:val="single" w:sz="4" w:space="0" w:color="000000"/>
            </w:tcBorders>
          </w:tcPr>
          <w:p w14:paraId="09AE057A" w14:textId="478DB13E"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414D423" w14:textId="12992369" w:rsidR="00B449D0" w:rsidRDefault="00076D78">
            <w:pPr>
              <w:pStyle w:val="MeasureTableDataRightAlignedwith2ptsspacing"/>
              <w:keepNext/>
            </w:pPr>
            <w:r>
              <w:noBreakHyphen/>
            </w:r>
          </w:p>
        </w:tc>
      </w:tr>
      <w:tr w:rsidR="00B449D0" w14:paraId="27FA6301" w14:textId="77777777">
        <w:trPr>
          <w:cantSplit/>
        </w:trPr>
        <w:tc>
          <w:tcPr>
            <w:tcW w:w="2494" w:type="dxa"/>
            <w:tcBorders>
              <w:top w:val="single" w:sz="4" w:space="0" w:color="000000"/>
              <w:bottom w:val="single" w:sz="4" w:space="0" w:color="000000"/>
            </w:tcBorders>
          </w:tcPr>
          <w:p w14:paraId="54847E54" w14:textId="77777777" w:rsidR="00B449D0" w:rsidRDefault="00175344">
            <w:pPr>
              <w:pStyle w:val="MeasureTableHeadingleftalignedwith2ptsspacing"/>
              <w:keepNext/>
            </w:pPr>
            <w:r>
              <w:t>Services Australia</w:t>
            </w:r>
          </w:p>
        </w:tc>
        <w:tc>
          <w:tcPr>
            <w:tcW w:w="1043" w:type="dxa"/>
            <w:tcBorders>
              <w:top w:val="single" w:sz="4" w:space="0" w:color="000000"/>
              <w:bottom w:val="single" w:sz="4" w:space="0" w:color="000000"/>
            </w:tcBorders>
          </w:tcPr>
          <w:p w14:paraId="79EF4F74" w14:textId="75455991"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6CC80767" w14:textId="77777777" w:rsidR="00B449D0" w:rsidRDefault="00175344">
            <w:pPr>
              <w:pStyle w:val="MeasureTableDataRightAlignedwith2ptsspacing"/>
              <w:keepNext/>
            </w:pPr>
            <w:r>
              <w:t>0.1</w:t>
            </w:r>
          </w:p>
        </w:tc>
        <w:tc>
          <w:tcPr>
            <w:tcW w:w="1043" w:type="dxa"/>
            <w:tcBorders>
              <w:top w:val="single" w:sz="4" w:space="0" w:color="000000"/>
              <w:bottom w:val="single" w:sz="4" w:space="0" w:color="000000"/>
            </w:tcBorders>
          </w:tcPr>
          <w:p w14:paraId="50D0FAC5" w14:textId="77777777" w:rsidR="00B449D0" w:rsidRDefault="00175344">
            <w:pPr>
              <w:pStyle w:val="MeasureTableDataRightAlignedwith2ptsspacing"/>
              <w:keepNext/>
            </w:pPr>
            <w:r>
              <w:t>0.3</w:t>
            </w:r>
          </w:p>
        </w:tc>
        <w:tc>
          <w:tcPr>
            <w:tcW w:w="1043" w:type="dxa"/>
            <w:tcBorders>
              <w:top w:val="single" w:sz="4" w:space="0" w:color="000000"/>
              <w:bottom w:val="single" w:sz="4" w:space="0" w:color="000000"/>
            </w:tcBorders>
          </w:tcPr>
          <w:p w14:paraId="7C31373F" w14:textId="77777777" w:rsidR="00B449D0" w:rsidRDefault="00175344">
            <w:pPr>
              <w:pStyle w:val="MeasureTableDataRightAlignedwith2ptsspacing"/>
              <w:keepNext/>
            </w:pPr>
            <w:r>
              <w:t>0.4</w:t>
            </w:r>
          </w:p>
        </w:tc>
        <w:tc>
          <w:tcPr>
            <w:tcW w:w="1043" w:type="dxa"/>
            <w:tcBorders>
              <w:top w:val="single" w:sz="4" w:space="0" w:color="000000"/>
              <w:bottom w:val="single" w:sz="4" w:space="0" w:color="000000"/>
            </w:tcBorders>
          </w:tcPr>
          <w:p w14:paraId="07216A5F" w14:textId="77777777" w:rsidR="00B449D0" w:rsidRDefault="00175344">
            <w:pPr>
              <w:pStyle w:val="MeasureTableDataRightAlignedwith2ptsspacing"/>
              <w:keepNext/>
            </w:pPr>
            <w:r>
              <w:t>0.5</w:t>
            </w:r>
          </w:p>
        </w:tc>
      </w:tr>
      <w:tr w:rsidR="00B449D0" w14:paraId="4D5BF9D6" w14:textId="77777777">
        <w:trPr>
          <w:cantSplit/>
        </w:trPr>
        <w:tc>
          <w:tcPr>
            <w:tcW w:w="2494" w:type="dxa"/>
            <w:tcBorders>
              <w:top w:val="single" w:sz="4" w:space="0" w:color="000000"/>
              <w:bottom w:val="single" w:sz="4" w:space="0" w:color="000000"/>
            </w:tcBorders>
          </w:tcPr>
          <w:p w14:paraId="4BB4E272"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75601B62" w14:textId="48B5DD55"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030774FE" w14:textId="77777777" w:rsidR="00B449D0" w:rsidRDefault="00175344">
            <w:pPr>
              <w:pStyle w:val="Totaldatarowrightaligned"/>
              <w:keepNext/>
            </w:pPr>
            <w:r>
              <w:t>6.2</w:t>
            </w:r>
          </w:p>
        </w:tc>
        <w:tc>
          <w:tcPr>
            <w:tcW w:w="1043" w:type="dxa"/>
            <w:tcBorders>
              <w:top w:val="single" w:sz="4" w:space="0" w:color="000000"/>
              <w:bottom w:val="single" w:sz="4" w:space="0" w:color="000000"/>
            </w:tcBorders>
          </w:tcPr>
          <w:p w14:paraId="501FE773" w14:textId="77777777" w:rsidR="00B449D0" w:rsidRDefault="00175344">
            <w:pPr>
              <w:pStyle w:val="Totaldatarowrightaligned"/>
              <w:keepNext/>
            </w:pPr>
            <w:r>
              <w:t>10.8</w:t>
            </w:r>
          </w:p>
        </w:tc>
        <w:tc>
          <w:tcPr>
            <w:tcW w:w="1043" w:type="dxa"/>
            <w:tcBorders>
              <w:top w:val="single" w:sz="4" w:space="0" w:color="000000"/>
              <w:bottom w:val="single" w:sz="4" w:space="0" w:color="000000"/>
            </w:tcBorders>
          </w:tcPr>
          <w:p w14:paraId="72FF02F0" w14:textId="77777777" w:rsidR="00B449D0" w:rsidRDefault="00175344">
            <w:pPr>
              <w:pStyle w:val="Totaldatarowrightaligned"/>
              <w:keepNext/>
            </w:pPr>
            <w:r>
              <w:t>10.1</w:t>
            </w:r>
          </w:p>
        </w:tc>
        <w:tc>
          <w:tcPr>
            <w:tcW w:w="1043" w:type="dxa"/>
            <w:tcBorders>
              <w:top w:val="single" w:sz="4" w:space="0" w:color="000000"/>
              <w:bottom w:val="single" w:sz="4" w:space="0" w:color="000000"/>
            </w:tcBorders>
          </w:tcPr>
          <w:p w14:paraId="3C20B211" w14:textId="77777777" w:rsidR="00B449D0" w:rsidRDefault="00175344">
            <w:pPr>
              <w:pStyle w:val="Totaldatarowrightaligned"/>
              <w:keepNext/>
            </w:pPr>
            <w:r>
              <w:t>10.5</w:t>
            </w:r>
          </w:p>
        </w:tc>
      </w:tr>
    </w:tbl>
    <w:p w14:paraId="5C8C6167" w14:textId="77777777" w:rsidR="00B449D0" w:rsidRDefault="00B449D0" w:rsidP="00380A42">
      <w:pPr>
        <w:pStyle w:val="SingleParagraph0"/>
      </w:pPr>
    </w:p>
    <w:p w14:paraId="1081A462" w14:textId="77777777" w:rsidR="00B449D0" w:rsidRDefault="00175344">
      <w:pPr>
        <w:pStyle w:val="Normal2"/>
      </w:pPr>
      <w:r>
        <w:t>The Government will provide $37.6 million over four years from 2024–25 (and $10.9 million per year ongoing) to reduce card surcharges. Funding includes:</w:t>
      </w:r>
    </w:p>
    <w:p w14:paraId="588BEFA9" w14:textId="77777777" w:rsidR="00B449D0" w:rsidRDefault="00175344">
      <w:pPr>
        <w:pStyle w:val="Bullet"/>
      </w:pPr>
      <w:r>
        <w:t>$35.5 million over four years from 2024–25 (and $10.9 million per year ongoing) for the Australian Taxation Office and Services Australia to stop passing on debit card surcharges from 1 January 2025</w:t>
      </w:r>
    </w:p>
    <w:p w14:paraId="0B75F8BF" w14:textId="77777777" w:rsidR="00B449D0" w:rsidRDefault="00175344">
      <w:pPr>
        <w:pStyle w:val="Bullet"/>
      </w:pPr>
      <w:r>
        <w:t>$2.1 million over two years from 2024–25 for the Australian Competition and Consumer Commission to improve compliance with the current legislative ban on excessive card surcharges, by increasing monitoring activity and developing a campaign to increase awareness and understanding of surcharging.</w:t>
      </w:r>
    </w:p>
    <w:p w14:paraId="47D45C67" w14:textId="3D179C05" w:rsidR="00B449D0" w:rsidRDefault="00175344">
      <w:pPr>
        <w:pStyle w:val="Normal2"/>
      </w:pPr>
      <w:r w:rsidRPr="7F762F0D">
        <w:rPr>
          <w:lang w:val="en-US"/>
        </w:rPr>
        <w:t>The Government is prepared to ban debit card surcharging from 1 January 2026, subject to the outcome of the Reserve Bank of Australia</w:t>
      </w:r>
      <w:r w:rsidR="00076D78">
        <w:rPr>
          <w:lang w:val="en-US"/>
        </w:rPr>
        <w:t>’</w:t>
      </w:r>
      <w:r w:rsidRPr="7F762F0D">
        <w:rPr>
          <w:lang w:val="en-US"/>
        </w:rPr>
        <w:t>s Review of merchant card payment costs and surcharging, and safeguards to ensure both small businesses and consumers can benefit from lower costs.</w:t>
      </w:r>
    </w:p>
    <w:p w14:paraId="38E9AAEB" w14:textId="77777777" w:rsidR="00B449D0" w:rsidRDefault="00175344">
      <w:pPr>
        <w:pStyle w:val="MeasureTitle"/>
      </w:pPr>
      <w:r>
        <w:t>Ensuring a Better Deal for Consumers</w:t>
      </w:r>
    </w:p>
    <w:p w14:paraId="774EC87E"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1239D5BE" w14:textId="77777777">
        <w:trPr>
          <w:cantSplit/>
        </w:trPr>
        <w:tc>
          <w:tcPr>
            <w:tcW w:w="2494" w:type="dxa"/>
            <w:tcBorders>
              <w:top w:val="single" w:sz="4" w:space="0" w:color="000000"/>
              <w:bottom w:val="single" w:sz="4" w:space="0" w:color="000000"/>
            </w:tcBorders>
          </w:tcPr>
          <w:p w14:paraId="246E82C9" w14:textId="77777777" w:rsidR="00B449D0" w:rsidRDefault="00B449D0">
            <w:pPr>
              <w:pStyle w:val="MeasureTableYearHeadings"/>
              <w:keepNext/>
            </w:pPr>
          </w:p>
        </w:tc>
        <w:tc>
          <w:tcPr>
            <w:tcW w:w="1043" w:type="dxa"/>
            <w:tcBorders>
              <w:top w:val="single" w:sz="4" w:space="0" w:color="000000"/>
              <w:bottom w:val="single" w:sz="4" w:space="0" w:color="000000"/>
            </w:tcBorders>
          </w:tcPr>
          <w:p w14:paraId="3E9C19FC" w14:textId="004934DA"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059D9E89" w14:textId="4603A2B6"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0AD793E9" w14:textId="7378FE39"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0B521695" w14:textId="230A3792"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673909CC" w14:textId="31341683" w:rsidR="00B449D0" w:rsidRDefault="00175344">
            <w:pPr>
              <w:pStyle w:val="MeasureTableYearHeadings"/>
              <w:keepNext/>
            </w:pPr>
            <w:r>
              <w:t>2027</w:t>
            </w:r>
            <w:r w:rsidR="00076D78">
              <w:noBreakHyphen/>
            </w:r>
            <w:r>
              <w:t>28</w:t>
            </w:r>
          </w:p>
        </w:tc>
      </w:tr>
      <w:tr w:rsidR="00B449D0" w14:paraId="40485418" w14:textId="77777777">
        <w:trPr>
          <w:cantSplit/>
        </w:trPr>
        <w:tc>
          <w:tcPr>
            <w:tcW w:w="2494" w:type="dxa"/>
            <w:tcBorders>
              <w:top w:val="single" w:sz="4" w:space="0" w:color="000000"/>
              <w:bottom w:val="single" w:sz="4" w:space="0" w:color="000000"/>
            </w:tcBorders>
          </w:tcPr>
          <w:p w14:paraId="4FC98C73" w14:textId="77777777" w:rsidR="00B449D0" w:rsidRDefault="00175344">
            <w:pPr>
              <w:pStyle w:val="MeasureTableHeadingleftalignedwith2ptsspacing"/>
              <w:keepNext/>
            </w:pPr>
            <w:r>
              <w:t>Australian Competition and Consumer Commission</w:t>
            </w:r>
          </w:p>
        </w:tc>
        <w:tc>
          <w:tcPr>
            <w:tcW w:w="1043" w:type="dxa"/>
            <w:tcBorders>
              <w:top w:val="single" w:sz="4" w:space="0" w:color="000000"/>
              <w:bottom w:val="single" w:sz="4" w:space="0" w:color="000000"/>
            </w:tcBorders>
          </w:tcPr>
          <w:p w14:paraId="021DFAFD" w14:textId="461EBBDA"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3325BE7" w14:textId="77777777" w:rsidR="00B449D0" w:rsidRDefault="00175344">
            <w:pPr>
              <w:pStyle w:val="MeasureTableDataRightAlignedwith2ptsspacing"/>
              <w:keepNext/>
            </w:pPr>
            <w:r>
              <w:t>4.7</w:t>
            </w:r>
          </w:p>
        </w:tc>
        <w:tc>
          <w:tcPr>
            <w:tcW w:w="1043" w:type="dxa"/>
            <w:tcBorders>
              <w:top w:val="single" w:sz="4" w:space="0" w:color="000000"/>
              <w:bottom w:val="single" w:sz="4" w:space="0" w:color="000000"/>
            </w:tcBorders>
          </w:tcPr>
          <w:p w14:paraId="4DFC9C43" w14:textId="77777777" w:rsidR="00B449D0" w:rsidRDefault="00175344">
            <w:pPr>
              <w:pStyle w:val="MeasureTableDataRightAlignedwith2ptsspacing"/>
              <w:keepNext/>
            </w:pPr>
            <w:r>
              <w:t>8.5</w:t>
            </w:r>
          </w:p>
        </w:tc>
        <w:tc>
          <w:tcPr>
            <w:tcW w:w="1043" w:type="dxa"/>
            <w:tcBorders>
              <w:top w:val="single" w:sz="4" w:space="0" w:color="000000"/>
              <w:bottom w:val="single" w:sz="4" w:space="0" w:color="000000"/>
            </w:tcBorders>
          </w:tcPr>
          <w:p w14:paraId="6F03A408" w14:textId="77777777" w:rsidR="00B449D0" w:rsidRDefault="00175344">
            <w:pPr>
              <w:pStyle w:val="MeasureTableDataRightAlignedwith2ptsspacing"/>
              <w:keepNext/>
            </w:pPr>
            <w:r>
              <w:t>8.6</w:t>
            </w:r>
          </w:p>
        </w:tc>
        <w:tc>
          <w:tcPr>
            <w:tcW w:w="1043" w:type="dxa"/>
            <w:tcBorders>
              <w:top w:val="single" w:sz="4" w:space="0" w:color="000000"/>
              <w:bottom w:val="single" w:sz="4" w:space="0" w:color="000000"/>
            </w:tcBorders>
          </w:tcPr>
          <w:p w14:paraId="79B8C41C" w14:textId="77777777" w:rsidR="00B449D0" w:rsidRDefault="00175344">
            <w:pPr>
              <w:pStyle w:val="MeasureTableDataRightAlignedwith2ptsspacing"/>
              <w:keepNext/>
            </w:pPr>
            <w:r>
              <w:t>8.7</w:t>
            </w:r>
          </w:p>
        </w:tc>
      </w:tr>
      <w:tr w:rsidR="00B449D0" w14:paraId="779C2232" w14:textId="77777777">
        <w:trPr>
          <w:cantSplit/>
        </w:trPr>
        <w:tc>
          <w:tcPr>
            <w:tcW w:w="2494" w:type="dxa"/>
            <w:tcBorders>
              <w:top w:val="single" w:sz="4" w:space="0" w:color="000000"/>
              <w:bottom w:val="single" w:sz="4" w:space="0" w:color="000000"/>
            </w:tcBorders>
          </w:tcPr>
          <w:p w14:paraId="31CEE22E" w14:textId="77777777" w:rsidR="00B449D0" w:rsidRDefault="00175344">
            <w:pPr>
              <w:pStyle w:val="MeasureTableHeadingleftalignedwith2ptsspacing"/>
              <w:keepNext/>
            </w:pPr>
            <w:r>
              <w:t>Department of the Treasury</w:t>
            </w:r>
          </w:p>
        </w:tc>
        <w:tc>
          <w:tcPr>
            <w:tcW w:w="1043" w:type="dxa"/>
            <w:tcBorders>
              <w:top w:val="single" w:sz="4" w:space="0" w:color="000000"/>
              <w:bottom w:val="single" w:sz="4" w:space="0" w:color="000000"/>
            </w:tcBorders>
          </w:tcPr>
          <w:p w14:paraId="68C7C0CC" w14:textId="7F267335"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23C33E4" w14:textId="0FE83116"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6A9F8D3D" w14:textId="4C1268ED"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5FA4E15" w14:textId="128A1CD6"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6E9224D6" w14:textId="0B592480" w:rsidR="00B449D0" w:rsidRDefault="00076D78">
            <w:pPr>
              <w:pStyle w:val="MeasureTableDataRightAlignedwith2ptsspacing"/>
              <w:keepNext/>
            </w:pPr>
            <w:r>
              <w:noBreakHyphen/>
            </w:r>
          </w:p>
        </w:tc>
      </w:tr>
      <w:tr w:rsidR="00B449D0" w14:paraId="2EE0352A" w14:textId="77777777">
        <w:trPr>
          <w:cantSplit/>
        </w:trPr>
        <w:tc>
          <w:tcPr>
            <w:tcW w:w="2494" w:type="dxa"/>
            <w:tcBorders>
              <w:top w:val="single" w:sz="4" w:space="0" w:color="000000"/>
              <w:bottom w:val="single" w:sz="4" w:space="0" w:color="000000"/>
            </w:tcBorders>
          </w:tcPr>
          <w:p w14:paraId="3BD8CD21"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0742334C" w14:textId="43A7A18C"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11B6A8F4" w14:textId="77777777" w:rsidR="00B449D0" w:rsidRDefault="00175344">
            <w:pPr>
              <w:pStyle w:val="Totaldatarowrightaligned"/>
              <w:keepNext/>
            </w:pPr>
            <w:r>
              <w:t>4.7</w:t>
            </w:r>
          </w:p>
        </w:tc>
        <w:tc>
          <w:tcPr>
            <w:tcW w:w="1043" w:type="dxa"/>
            <w:tcBorders>
              <w:top w:val="single" w:sz="4" w:space="0" w:color="000000"/>
              <w:bottom w:val="single" w:sz="4" w:space="0" w:color="000000"/>
            </w:tcBorders>
          </w:tcPr>
          <w:p w14:paraId="277C50EA" w14:textId="77777777" w:rsidR="00B449D0" w:rsidRDefault="00175344">
            <w:pPr>
              <w:pStyle w:val="Totaldatarowrightaligned"/>
              <w:keepNext/>
            </w:pPr>
            <w:r>
              <w:t>8.5</w:t>
            </w:r>
          </w:p>
        </w:tc>
        <w:tc>
          <w:tcPr>
            <w:tcW w:w="1043" w:type="dxa"/>
            <w:tcBorders>
              <w:top w:val="single" w:sz="4" w:space="0" w:color="000000"/>
              <w:bottom w:val="single" w:sz="4" w:space="0" w:color="000000"/>
            </w:tcBorders>
          </w:tcPr>
          <w:p w14:paraId="6738E44B" w14:textId="77777777" w:rsidR="00B449D0" w:rsidRDefault="00175344">
            <w:pPr>
              <w:pStyle w:val="Totaldatarowrightaligned"/>
              <w:keepNext/>
            </w:pPr>
            <w:r>
              <w:t>8.6</w:t>
            </w:r>
          </w:p>
        </w:tc>
        <w:tc>
          <w:tcPr>
            <w:tcW w:w="1043" w:type="dxa"/>
            <w:tcBorders>
              <w:top w:val="single" w:sz="4" w:space="0" w:color="000000"/>
              <w:bottom w:val="single" w:sz="4" w:space="0" w:color="000000"/>
            </w:tcBorders>
          </w:tcPr>
          <w:p w14:paraId="0C9AEF6F" w14:textId="77777777" w:rsidR="00B449D0" w:rsidRDefault="00175344">
            <w:pPr>
              <w:pStyle w:val="Totaldatarowrightaligned"/>
              <w:keepNext/>
            </w:pPr>
            <w:r>
              <w:t>8.7</w:t>
            </w:r>
          </w:p>
        </w:tc>
      </w:tr>
      <w:tr w:rsidR="00B449D0" w14:paraId="7B853D88" w14:textId="77777777">
        <w:trPr>
          <w:cantSplit/>
        </w:trPr>
        <w:tc>
          <w:tcPr>
            <w:tcW w:w="2494" w:type="dxa"/>
          </w:tcPr>
          <w:p w14:paraId="6A645CCE" w14:textId="77777777" w:rsidR="00B449D0" w:rsidRDefault="00175344">
            <w:pPr>
              <w:pStyle w:val="AgencyName"/>
              <w:keepNext/>
            </w:pPr>
            <w:r>
              <w:t>Related receipts ($m)</w:t>
            </w:r>
          </w:p>
        </w:tc>
        <w:tc>
          <w:tcPr>
            <w:tcW w:w="1043" w:type="dxa"/>
          </w:tcPr>
          <w:p w14:paraId="27492ECB" w14:textId="77777777" w:rsidR="00B449D0" w:rsidRDefault="00B449D0">
            <w:pPr>
              <w:pStyle w:val="AgencyName"/>
              <w:keepNext/>
            </w:pPr>
          </w:p>
        </w:tc>
        <w:tc>
          <w:tcPr>
            <w:tcW w:w="1043" w:type="dxa"/>
          </w:tcPr>
          <w:p w14:paraId="3D94E110" w14:textId="77777777" w:rsidR="00B449D0" w:rsidRDefault="00B449D0">
            <w:pPr>
              <w:pStyle w:val="AgencyName"/>
              <w:keepNext/>
            </w:pPr>
          </w:p>
        </w:tc>
        <w:tc>
          <w:tcPr>
            <w:tcW w:w="1043" w:type="dxa"/>
          </w:tcPr>
          <w:p w14:paraId="138AE8F3" w14:textId="77777777" w:rsidR="00B449D0" w:rsidRDefault="00B449D0">
            <w:pPr>
              <w:pStyle w:val="AgencyName"/>
              <w:keepNext/>
            </w:pPr>
          </w:p>
        </w:tc>
        <w:tc>
          <w:tcPr>
            <w:tcW w:w="1043" w:type="dxa"/>
          </w:tcPr>
          <w:p w14:paraId="5317665A" w14:textId="77777777" w:rsidR="00B449D0" w:rsidRDefault="00B449D0">
            <w:pPr>
              <w:pStyle w:val="AgencyName"/>
              <w:keepNext/>
            </w:pPr>
          </w:p>
        </w:tc>
        <w:tc>
          <w:tcPr>
            <w:tcW w:w="1043" w:type="dxa"/>
          </w:tcPr>
          <w:p w14:paraId="43BE6DC0" w14:textId="77777777" w:rsidR="00B449D0" w:rsidRDefault="00B449D0">
            <w:pPr>
              <w:pStyle w:val="AgencyName"/>
              <w:keepNext/>
            </w:pPr>
          </w:p>
        </w:tc>
      </w:tr>
      <w:tr w:rsidR="00B449D0" w14:paraId="6CDEFFB7" w14:textId="77777777">
        <w:tc>
          <w:tcPr>
            <w:tcW w:w="2494" w:type="dxa"/>
          </w:tcPr>
          <w:p w14:paraId="419681FE" w14:textId="77777777" w:rsidR="00B449D0" w:rsidRDefault="00175344">
            <w:pPr>
              <w:pStyle w:val="AgencyNamewith2ptsspacing"/>
              <w:keepNext/>
            </w:pPr>
            <w:r>
              <w:t>Australian Competition and Consumer Commission</w:t>
            </w:r>
          </w:p>
        </w:tc>
        <w:tc>
          <w:tcPr>
            <w:tcW w:w="1043" w:type="dxa"/>
          </w:tcPr>
          <w:p w14:paraId="4605C337" w14:textId="7B3613C4" w:rsidR="00B449D0" w:rsidRDefault="00076D78">
            <w:pPr>
              <w:pStyle w:val="Measuretabledatarightaligneditalics"/>
              <w:keepNext/>
            </w:pPr>
            <w:r>
              <w:noBreakHyphen/>
            </w:r>
          </w:p>
        </w:tc>
        <w:tc>
          <w:tcPr>
            <w:tcW w:w="1043" w:type="dxa"/>
          </w:tcPr>
          <w:p w14:paraId="661EFBEE" w14:textId="1867A8EE" w:rsidR="00B449D0" w:rsidRDefault="00076D78">
            <w:pPr>
              <w:pStyle w:val="Measuretabledatarightaligneditalics"/>
              <w:keepNext/>
            </w:pPr>
            <w:r>
              <w:noBreakHyphen/>
            </w:r>
          </w:p>
        </w:tc>
        <w:tc>
          <w:tcPr>
            <w:tcW w:w="1043" w:type="dxa"/>
          </w:tcPr>
          <w:p w14:paraId="4DB3C954" w14:textId="77777777" w:rsidR="00B449D0" w:rsidRDefault="00175344">
            <w:pPr>
              <w:pStyle w:val="Measuretabledatarightaligneditalics"/>
              <w:keepNext/>
            </w:pPr>
            <w:r>
              <w:t>7.0</w:t>
            </w:r>
          </w:p>
        </w:tc>
        <w:tc>
          <w:tcPr>
            <w:tcW w:w="1043" w:type="dxa"/>
          </w:tcPr>
          <w:p w14:paraId="053F7CA0" w14:textId="77777777" w:rsidR="00B449D0" w:rsidRDefault="00175344">
            <w:pPr>
              <w:pStyle w:val="Measuretabledatarightaligneditalics"/>
              <w:keepNext/>
            </w:pPr>
            <w:r>
              <w:t>8.0</w:t>
            </w:r>
          </w:p>
        </w:tc>
        <w:tc>
          <w:tcPr>
            <w:tcW w:w="1043" w:type="dxa"/>
          </w:tcPr>
          <w:p w14:paraId="6F9CC92F" w14:textId="77777777" w:rsidR="00B449D0" w:rsidRDefault="00175344">
            <w:pPr>
              <w:pStyle w:val="Measuretabledatarightaligneditalics"/>
              <w:keepNext/>
            </w:pPr>
            <w:r>
              <w:t>13.0</w:t>
            </w:r>
          </w:p>
        </w:tc>
      </w:tr>
    </w:tbl>
    <w:p w14:paraId="42050232" w14:textId="77777777" w:rsidR="00B449D0" w:rsidRDefault="00B449D0" w:rsidP="00380A42">
      <w:pPr>
        <w:pStyle w:val="SingleParagraph0"/>
      </w:pPr>
    </w:p>
    <w:p w14:paraId="55321599" w14:textId="77777777" w:rsidR="00B449D0" w:rsidRDefault="00175344">
      <w:pPr>
        <w:pStyle w:val="Normal2"/>
      </w:pPr>
      <w:r>
        <w:t>The Government will provide funding of $30.6 million over four years from 2024–25 to ease cost‑of‑living pressures and support a better deal for consumers, including:</w:t>
      </w:r>
    </w:p>
    <w:p w14:paraId="7D737BD3" w14:textId="77777777" w:rsidR="00B449D0" w:rsidRDefault="00175344">
      <w:pPr>
        <w:pStyle w:val="Bullet"/>
      </w:pPr>
      <w:r>
        <w:t>$30.4 million over four years from 2024–25 for the Australian Competition and Consumer Commission (ACCC) to increase investigation and enforcement activity on harmful or misleading conduct in the supermarket and retail sectors</w:t>
      </w:r>
    </w:p>
    <w:p w14:paraId="52624769" w14:textId="77777777" w:rsidR="00B449D0" w:rsidRDefault="00175344">
      <w:pPr>
        <w:pStyle w:val="Bullet"/>
      </w:pPr>
      <w:r>
        <w:lastRenderedPageBreak/>
        <w:t>$0.3 million in 2024–25 for the ACCC to increase awareness of unit pricing information to assist shoppers to get better value for money at the supermarket, with the Government to introduce penalties for unit pricing non‑compliance by grocery retailers.</w:t>
      </w:r>
    </w:p>
    <w:p w14:paraId="1F5A676E" w14:textId="77777777" w:rsidR="00B449D0" w:rsidRDefault="00175344">
      <w:pPr>
        <w:pStyle w:val="Normal2"/>
      </w:pPr>
      <w:r>
        <w:t>In addition, the Government will work with state and territory governments to introduce proposed bans on unfair trading practices, to address drip pricing and subscription traps, and empower regulators to issue infringement notices or pursue penalties for breaches of the Consumer Guarantee and Supplier Indemnification provisions of the Australian Consumer Law.</w:t>
      </w:r>
    </w:p>
    <w:p w14:paraId="6A3EAA18" w14:textId="3A2C561D" w:rsidR="00B449D0" w:rsidRDefault="00175344">
      <w:pPr>
        <w:pStyle w:val="Normal2"/>
      </w:pPr>
      <w:r w:rsidRPr="7F762F0D">
        <w:rPr>
          <w:lang w:val="en-US"/>
        </w:rPr>
        <w:t>The cost of this measure will be partially met from within the Treasury</w:t>
      </w:r>
      <w:r w:rsidR="00076D78">
        <w:rPr>
          <w:lang w:val="en-US"/>
        </w:rPr>
        <w:t>’</w:t>
      </w:r>
      <w:r w:rsidRPr="7F762F0D">
        <w:rPr>
          <w:lang w:val="en-US"/>
        </w:rPr>
        <w:t>s existing resources and partially offset from an estimated increase in receipts from additional enforcement penalties.</w:t>
      </w:r>
    </w:p>
    <w:p w14:paraId="01105156" w14:textId="77777777" w:rsidR="00B449D0" w:rsidRDefault="00175344">
      <w:pPr>
        <w:pStyle w:val="MeasureTitle"/>
      </w:pPr>
      <w:r>
        <w:t>Housing Support</w:t>
      </w:r>
    </w:p>
    <w:p w14:paraId="6A0CF1F5"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2CC22969" w14:textId="77777777">
        <w:trPr>
          <w:cantSplit/>
        </w:trPr>
        <w:tc>
          <w:tcPr>
            <w:tcW w:w="2494" w:type="dxa"/>
            <w:tcBorders>
              <w:top w:val="single" w:sz="4" w:space="0" w:color="000000"/>
              <w:bottom w:val="single" w:sz="4" w:space="0" w:color="000000"/>
            </w:tcBorders>
          </w:tcPr>
          <w:p w14:paraId="0DAB3A2C" w14:textId="77777777" w:rsidR="00B449D0" w:rsidRDefault="00B449D0">
            <w:pPr>
              <w:pStyle w:val="MeasureTableYearHeadings"/>
              <w:keepNext/>
            </w:pPr>
          </w:p>
        </w:tc>
        <w:tc>
          <w:tcPr>
            <w:tcW w:w="1043" w:type="dxa"/>
            <w:tcBorders>
              <w:top w:val="single" w:sz="4" w:space="0" w:color="000000"/>
              <w:bottom w:val="single" w:sz="4" w:space="0" w:color="000000"/>
            </w:tcBorders>
          </w:tcPr>
          <w:p w14:paraId="7CE353B7" w14:textId="339C471C"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380F9A5A" w14:textId="53C426B0"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49A146BC" w14:textId="3BCA79A0"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4B23848B" w14:textId="24B68BF2"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2CA0B811" w14:textId="104D6BCD" w:rsidR="00B449D0" w:rsidRDefault="00175344">
            <w:pPr>
              <w:pStyle w:val="MeasureTableYearHeadings"/>
              <w:keepNext/>
            </w:pPr>
            <w:r>
              <w:t>2027</w:t>
            </w:r>
            <w:r w:rsidR="00076D78">
              <w:noBreakHyphen/>
            </w:r>
            <w:r>
              <w:t>28</w:t>
            </w:r>
          </w:p>
        </w:tc>
      </w:tr>
      <w:tr w:rsidR="00B449D0" w14:paraId="7B2BBDE1" w14:textId="77777777">
        <w:trPr>
          <w:cantSplit/>
        </w:trPr>
        <w:tc>
          <w:tcPr>
            <w:tcW w:w="2494" w:type="dxa"/>
            <w:tcBorders>
              <w:top w:val="single" w:sz="4" w:space="0" w:color="000000"/>
              <w:bottom w:val="single" w:sz="4" w:space="0" w:color="000000"/>
            </w:tcBorders>
          </w:tcPr>
          <w:p w14:paraId="2FBB74B1" w14:textId="77777777" w:rsidR="00B449D0" w:rsidRDefault="00175344">
            <w:pPr>
              <w:pStyle w:val="MeasureTableHeadingleftalignedwith2ptsspacing"/>
              <w:keepNext/>
            </w:pPr>
            <w:r>
              <w:t>Department of the Treasury</w:t>
            </w:r>
          </w:p>
        </w:tc>
        <w:tc>
          <w:tcPr>
            <w:tcW w:w="1043" w:type="dxa"/>
            <w:tcBorders>
              <w:top w:val="single" w:sz="4" w:space="0" w:color="000000"/>
              <w:bottom w:val="single" w:sz="4" w:space="0" w:color="000000"/>
            </w:tcBorders>
          </w:tcPr>
          <w:p w14:paraId="45787215" w14:textId="3702AE0B"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8BD69EB" w14:textId="77777777" w:rsidR="00B449D0" w:rsidRDefault="00175344">
            <w:pPr>
              <w:pStyle w:val="MeasureTableDataRightAlignedwith2ptsspacing"/>
              <w:keepNext/>
            </w:pPr>
            <w:r>
              <w:t>10.0</w:t>
            </w:r>
          </w:p>
        </w:tc>
        <w:tc>
          <w:tcPr>
            <w:tcW w:w="1043" w:type="dxa"/>
            <w:tcBorders>
              <w:top w:val="single" w:sz="4" w:space="0" w:color="000000"/>
              <w:bottom w:val="single" w:sz="4" w:space="0" w:color="000000"/>
            </w:tcBorders>
          </w:tcPr>
          <w:p w14:paraId="5595317D" w14:textId="1291134A"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7986F6F" w14:textId="58A3D155"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DF7EC2A" w14:textId="391CB616" w:rsidR="00B449D0" w:rsidRDefault="00076D78">
            <w:pPr>
              <w:pStyle w:val="MeasureTableDataRightAlignedwith2ptsspacing"/>
              <w:keepNext/>
            </w:pPr>
            <w:r>
              <w:noBreakHyphen/>
            </w:r>
          </w:p>
        </w:tc>
      </w:tr>
      <w:tr w:rsidR="00B449D0" w14:paraId="3DB8E199" w14:textId="77777777">
        <w:trPr>
          <w:cantSplit/>
        </w:trPr>
        <w:tc>
          <w:tcPr>
            <w:tcW w:w="2494" w:type="dxa"/>
            <w:tcBorders>
              <w:top w:val="single" w:sz="4" w:space="0" w:color="000000"/>
              <w:bottom w:val="single" w:sz="4" w:space="0" w:color="000000"/>
            </w:tcBorders>
          </w:tcPr>
          <w:p w14:paraId="58204A89" w14:textId="77777777" w:rsidR="00B449D0" w:rsidRDefault="00175344">
            <w:pPr>
              <w:pStyle w:val="MeasureTableHeadingleftalignedwith2ptsspacing"/>
              <w:keepNext/>
            </w:pPr>
            <w:r>
              <w:t>Housing Australia</w:t>
            </w:r>
          </w:p>
        </w:tc>
        <w:tc>
          <w:tcPr>
            <w:tcW w:w="1043" w:type="dxa"/>
            <w:tcBorders>
              <w:top w:val="single" w:sz="4" w:space="0" w:color="000000"/>
              <w:bottom w:val="single" w:sz="4" w:space="0" w:color="000000"/>
            </w:tcBorders>
          </w:tcPr>
          <w:p w14:paraId="69D855E4" w14:textId="266EB6B6"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B63E9CA" w14:textId="77777777" w:rsidR="00B449D0" w:rsidRDefault="00175344">
            <w:pPr>
              <w:pStyle w:val="MeasureTableDataRightAlignedwith2ptsspacing"/>
              <w:keepNext/>
            </w:pPr>
            <w:r>
              <w:t>10.0</w:t>
            </w:r>
          </w:p>
        </w:tc>
        <w:tc>
          <w:tcPr>
            <w:tcW w:w="1043" w:type="dxa"/>
            <w:tcBorders>
              <w:top w:val="single" w:sz="4" w:space="0" w:color="000000"/>
              <w:bottom w:val="single" w:sz="4" w:space="0" w:color="000000"/>
            </w:tcBorders>
          </w:tcPr>
          <w:p w14:paraId="330CBBAE" w14:textId="1F62006C"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A88DF20" w14:textId="3D7D30A8"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FE48B18" w14:textId="2074DC7F" w:rsidR="00B449D0" w:rsidRDefault="00076D78">
            <w:pPr>
              <w:pStyle w:val="MeasureTableDataRightAlignedwith2ptsspacing"/>
              <w:keepNext/>
            </w:pPr>
            <w:r>
              <w:noBreakHyphen/>
            </w:r>
          </w:p>
        </w:tc>
      </w:tr>
      <w:tr w:rsidR="00B449D0" w14:paraId="371C3E84" w14:textId="77777777">
        <w:trPr>
          <w:cantSplit/>
        </w:trPr>
        <w:tc>
          <w:tcPr>
            <w:tcW w:w="2494" w:type="dxa"/>
            <w:tcBorders>
              <w:top w:val="single" w:sz="4" w:space="0" w:color="000000"/>
              <w:bottom w:val="single" w:sz="4" w:space="0" w:color="000000"/>
            </w:tcBorders>
          </w:tcPr>
          <w:p w14:paraId="78B3882A" w14:textId="77777777" w:rsidR="00B449D0" w:rsidRDefault="00175344">
            <w:pPr>
              <w:pStyle w:val="MeasureTableHeadingleftalignedwith2ptsspacing"/>
              <w:keepNext/>
            </w:pPr>
            <w:r>
              <w:t>Department of Social Services</w:t>
            </w:r>
          </w:p>
        </w:tc>
        <w:tc>
          <w:tcPr>
            <w:tcW w:w="1043" w:type="dxa"/>
            <w:tcBorders>
              <w:top w:val="single" w:sz="4" w:space="0" w:color="000000"/>
              <w:bottom w:val="single" w:sz="4" w:space="0" w:color="000000"/>
            </w:tcBorders>
          </w:tcPr>
          <w:p w14:paraId="1A7BAE71" w14:textId="146E631F"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5DFF035" w14:textId="69D01CC3"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B0EDBD9" w14:textId="580D49C6"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414EF53" w14:textId="348258A6"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22DEE51" w14:textId="2E394C8C" w:rsidR="00B449D0" w:rsidRDefault="00076D78">
            <w:pPr>
              <w:pStyle w:val="MeasureTableDataRightAlignedwith2ptsspacing"/>
              <w:keepNext/>
            </w:pPr>
            <w:r>
              <w:noBreakHyphen/>
            </w:r>
          </w:p>
        </w:tc>
      </w:tr>
      <w:tr w:rsidR="00B449D0" w14:paraId="14613045" w14:textId="77777777">
        <w:trPr>
          <w:cantSplit/>
        </w:trPr>
        <w:tc>
          <w:tcPr>
            <w:tcW w:w="2494" w:type="dxa"/>
            <w:tcBorders>
              <w:top w:val="single" w:sz="4" w:space="0" w:color="000000"/>
              <w:bottom w:val="single" w:sz="4" w:space="0" w:color="000000"/>
            </w:tcBorders>
          </w:tcPr>
          <w:p w14:paraId="5197246C"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2E5D253E" w14:textId="452275CE"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466A857A" w14:textId="77777777" w:rsidR="00B449D0" w:rsidRDefault="00175344">
            <w:pPr>
              <w:pStyle w:val="Totaldatarowrightaligned"/>
              <w:keepNext/>
            </w:pPr>
            <w:r>
              <w:t>20.0</w:t>
            </w:r>
          </w:p>
        </w:tc>
        <w:tc>
          <w:tcPr>
            <w:tcW w:w="1043" w:type="dxa"/>
            <w:tcBorders>
              <w:top w:val="single" w:sz="4" w:space="0" w:color="000000"/>
              <w:bottom w:val="single" w:sz="4" w:space="0" w:color="000000"/>
            </w:tcBorders>
          </w:tcPr>
          <w:p w14:paraId="7F8F7DDF" w14:textId="7D96132F"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3EDCCB13" w14:textId="7FA0D6BE"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37676381" w14:textId="3D9C3234" w:rsidR="00B449D0" w:rsidRDefault="00076D78">
            <w:pPr>
              <w:pStyle w:val="Totaldatarowrightaligned"/>
              <w:keepNext/>
            </w:pPr>
            <w:r>
              <w:noBreakHyphen/>
            </w:r>
          </w:p>
        </w:tc>
      </w:tr>
    </w:tbl>
    <w:p w14:paraId="6F8589D3" w14:textId="77777777" w:rsidR="00B449D0" w:rsidRDefault="00B449D0" w:rsidP="00380A42">
      <w:pPr>
        <w:pStyle w:val="SingleParagraph0"/>
      </w:pPr>
    </w:p>
    <w:p w14:paraId="71055DC8" w14:textId="77777777" w:rsidR="00B449D0" w:rsidRDefault="00175344">
      <w:pPr>
        <w:pStyle w:val="Normal2"/>
      </w:pPr>
      <w:r>
        <w:t>The Government will provide $20.0 million to support delivery of housing programs, including:</w:t>
      </w:r>
    </w:p>
    <w:p w14:paraId="75EBC4DA" w14:textId="77777777" w:rsidR="00B449D0" w:rsidRDefault="00175344">
      <w:pPr>
        <w:pStyle w:val="Bullet"/>
      </w:pPr>
      <w:r>
        <w:t>$10.0 million in 2024–25 to Housing Australia to fast‑track a round for social and affordable housing projects under the Housing Australia Future Fund targeted to state and territory governments, to commence in 2025</w:t>
      </w:r>
    </w:p>
    <w:p w14:paraId="70EBE17E" w14:textId="311BD37D" w:rsidR="00B449D0" w:rsidRDefault="00175344">
      <w:pPr>
        <w:pStyle w:val="Bullet"/>
      </w:pPr>
      <w:r>
        <w:t>$10.0 million in 2024</w:t>
      </w:r>
      <w:r w:rsidR="00E168A7">
        <w:t>–</w:t>
      </w:r>
      <w:r>
        <w:t>25 to the Treasury to raise community awareness of available housing supports</w:t>
      </w:r>
    </w:p>
    <w:p w14:paraId="24369A2F" w14:textId="77777777" w:rsidR="00B449D0" w:rsidRDefault="00175344">
      <w:pPr>
        <w:pStyle w:val="Bullet"/>
      </w:pPr>
      <w:r>
        <w:t xml:space="preserve">extending the Housing Policy Partnership for 12 months to 30 June 2026 to ensure continued progress and a coordinated approach across Government to progress housing targets under the </w:t>
      </w:r>
      <w:r w:rsidRPr="00175344">
        <w:rPr>
          <w:i/>
        </w:rPr>
        <w:t>National Agreement on Closing the Gap</w:t>
      </w:r>
      <w:r>
        <w:t>.</w:t>
      </w:r>
    </w:p>
    <w:p w14:paraId="5DC5B6D8" w14:textId="77777777" w:rsidR="00B449D0" w:rsidRDefault="00175344">
      <w:pPr>
        <w:pStyle w:val="Normal2"/>
      </w:pPr>
      <w:r>
        <w:t xml:space="preserve">This measure builds on the 2022–23 October Budget measures titled </w:t>
      </w:r>
      <w:r w:rsidRPr="00175344">
        <w:rPr>
          <w:i/>
        </w:rPr>
        <w:t>Safer and More Affordable Housing</w:t>
      </w:r>
      <w:r>
        <w:t xml:space="preserve"> and </w:t>
      </w:r>
      <w:r w:rsidRPr="00175344">
        <w:rPr>
          <w:i/>
        </w:rPr>
        <w:t>Closing the Gap Housing Policy Partnership</w:t>
      </w:r>
      <w:r>
        <w:t>.</w:t>
      </w:r>
    </w:p>
    <w:p w14:paraId="2FF5277E" w14:textId="77777777" w:rsidR="00B87369" w:rsidRDefault="00B87369">
      <w:pPr>
        <w:pStyle w:val="MeasureTitle"/>
      </w:pPr>
      <w:r>
        <w:br w:type="page"/>
      </w:r>
    </w:p>
    <w:p w14:paraId="05045809" w14:textId="5B88F393" w:rsidR="00B449D0" w:rsidRDefault="00175344">
      <w:pPr>
        <w:pStyle w:val="MeasureTitle"/>
      </w:pPr>
      <w:r>
        <w:lastRenderedPageBreak/>
        <w:t>International Assistance – pursuing Australia</w:t>
      </w:r>
      <w:r w:rsidR="00076D78">
        <w:t>’</w:t>
      </w:r>
      <w:r>
        <w:t>s national interest through multilateral development banks</w:t>
      </w:r>
    </w:p>
    <w:p w14:paraId="12B20366"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0805B99C" w14:textId="77777777">
        <w:trPr>
          <w:cantSplit/>
        </w:trPr>
        <w:tc>
          <w:tcPr>
            <w:tcW w:w="2494" w:type="dxa"/>
            <w:tcBorders>
              <w:top w:val="single" w:sz="4" w:space="0" w:color="000000"/>
              <w:bottom w:val="single" w:sz="4" w:space="0" w:color="000000"/>
            </w:tcBorders>
          </w:tcPr>
          <w:p w14:paraId="52392763" w14:textId="77777777" w:rsidR="00B449D0" w:rsidRDefault="00B449D0">
            <w:pPr>
              <w:pStyle w:val="MeasureTableYearHeadings"/>
              <w:keepNext/>
            </w:pPr>
          </w:p>
        </w:tc>
        <w:tc>
          <w:tcPr>
            <w:tcW w:w="1043" w:type="dxa"/>
            <w:tcBorders>
              <w:top w:val="single" w:sz="4" w:space="0" w:color="000000"/>
              <w:bottom w:val="single" w:sz="4" w:space="0" w:color="000000"/>
            </w:tcBorders>
          </w:tcPr>
          <w:p w14:paraId="75A8D7CE" w14:textId="02B2B4E9"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696BE7AE" w14:textId="62FA33FB"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6BA3E323" w14:textId="792B0F8D"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094DA942" w14:textId="22990A62"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0363000E" w14:textId="26B782F5" w:rsidR="00B449D0" w:rsidRDefault="00175344">
            <w:pPr>
              <w:pStyle w:val="MeasureTableYearHeadings"/>
              <w:keepNext/>
            </w:pPr>
            <w:r>
              <w:t>2027</w:t>
            </w:r>
            <w:r w:rsidR="00076D78">
              <w:noBreakHyphen/>
            </w:r>
            <w:r>
              <w:t>28</w:t>
            </w:r>
          </w:p>
        </w:tc>
      </w:tr>
      <w:tr w:rsidR="00B449D0" w14:paraId="760C7FAC" w14:textId="77777777">
        <w:trPr>
          <w:cantSplit/>
        </w:trPr>
        <w:tc>
          <w:tcPr>
            <w:tcW w:w="2494" w:type="dxa"/>
          </w:tcPr>
          <w:p w14:paraId="5EAE42B4" w14:textId="77777777" w:rsidR="00B449D0" w:rsidRDefault="00175344">
            <w:pPr>
              <w:pStyle w:val="AgencyName"/>
              <w:keepNext/>
            </w:pPr>
            <w:r>
              <w:t>Related receipts ($m)</w:t>
            </w:r>
          </w:p>
        </w:tc>
        <w:tc>
          <w:tcPr>
            <w:tcW w:w="1043" w:type="dxa"/>
          </w:tcPr>
          <w:p w14:paraId="5E41D399" w14:textId="77777777" w:rsidR="00B449D0" w:rsidRDefault="00B449D0">
            <w:pPr>
              <w:pStyle w:val="AgencyName"/>
              <w:keepNext/>
            </w:pPr>
          </w:p>
        </w:tc>
        <w:tc>
          <w:tcPr>
            <w:tcW w:w="1043" w:type="dxa"/>
          </w:tcPr>
          <w:p w14:paraId="1E5F771D" w14:textId="77777777" w:rsidR="00B449D0" w:rsidRDefault="00B449D0">
            <w:pPr>
              <w:pStyle w:val="AgencyName"/>
              <w:keepNext/>
            </w:pPr>
          </w:p>
        </w:tc>
        <w:tc>
          <w:tcPr>
            <w:tcW w:w="1043" w:type="dxa"/>
          </w:tcPr>
          <w:p w14:paraId="4F6967E7" w14:textId="77777777" w:rsidR="00B449D0" w:rsidRDefault="00B449D0">
            <w:pPr>
              <w:pStyle w:val="AgencyName"/>
              <w:keepNext/>
            </w:pPr>
          </w:p>
        </w:tc>
        <w:tc>
          <w:tcPr>
            <w:tcW w:w="1043" w:type="dxa"/>
          </w:tcPr>
          <w:p w14:paraId="19C3F6FE" w14:textId="77777777" w:rsidR="00B449D0" w:rsidRDefault="00B449D0">
            <w:pPr>
              <w:pStyle w:val="AgencyName"/>
              <w:keepNext/>
            </w:pPr>
          </w:p>
        </w:tc>
        <w:tc>
          <w:tcPr>
            <w:tcW w:w="1043" w:type="dxa"/>
          </w:tcPr>
          <w:p w14:paraId="0DE71B3C" w14:textId="77777777" w:rsidR="00B449D0" w:rsidRDefault="00B449D0">
            <w:pPr>
              <w:pStyle w:val="AgencyName"/>
              <w:keepNext/>
            </w:pPr>
          </w:p>
        </w:tc>
      </w:tr>
      <w:tr w:rsidR="00B449D0" w14:paraId="75DB6B93" w14:textId="77777777">
        <w:tc>
          <w:tcPr>
            <w:tcW w:w="2494" w:type="dxa"/>
          </w:tcPr>
          <w:p w14:paraId="588AD023" w14:textId="77777777" w:rsidR="00B449D0" w:rsidRDefault="00175344">
            <w:pPr>
              <w:pStyle w:val="AgencyNamewith2ptsspacing"/>
              <w:keepNext/>
            </w:pPr>
            <w:r>
              <w:t>Department of the Treasury</w:t>
            </w:r>
          </w:p>
        </w:tc>
        <w:tc>
          <w:tcPr>
            <w:tcW w:w="1043" w:type="dxa"/>
          </w:tcPr>
          <w:p w14:paraId="605FA2DC" w14:textId="34BD87BD" w:rsidR="00B449D0" w:rsidRDefault="00076D78">
            <w:pPr>
              <w:pStyle w:val="Measuretabledatarightaligneditalics"/>
              <w:keepNext/>
            </w:pPr>
            <w:r>
              <w:noBreakHyphen/>
            </w:r>
          </w:p>
        </w:tc>
        <w:tc>
          <w:tcPr>
            <w:tcW w:w="1043" w:type="dxa"/>
          </w:tcPr>
          <w:p w14:paraId="4FF7AB16" w14:textId="77777777" w:rsidR="00B449D0" w:rsidRDefault="00175344">
            <w:pPr>
              <w:pStyle w:val="Measuretabledatarightaligneditalics"/>
              <w:keepNext/>
            </w:pPr>
            <w:r>
              <w:t>..</w:t>
            </w:r>
          </w:p>
        </w:tc>
        <w:tc>
          <w:tcPr>
            <w:tcW w:w="1043" w:type="dxa"/>
          </w:tcPr>
          <w:p w14:paraId="6B6B4AAC" w14:textId="77777777" w:rsidR="00B449D0" w:rsidRDefault="00175344">
            <w:pPr>
              <w:pStyle w:val="Measuretabledatarightaligneditalics"/>
              <w:keepNext/>
            </w:pPr>
            <w:r>
              <w:t>2.2</w:t>
            </w:r>
          </w:p>
        </w:tc>
        <w:tc>
          <w:tcPr>
            <w:tcW w:w="1043" w:type="dxa"/>
          </w:tcPr>
          <w:p w14:paraId="0E1CA6F7" w14:textId="77777777" w:rsidR="00B449D0" w:rsidRDefault="00175344">
            <w:pPr>
              <w:pStyle w:val="Measuretabledatarightaligneditalics"/>
              <w:keepNext/>
            </w:pPr>
            <w:r>
              <w:t>4.0</w:t>
            </w:r>
          </w:p>
        </w:tc>
        <w:tc>
          <w:tcPr>
            <w:tcW w:w="1043" w:type="dxa"/>
          </w:tcPr>
          <w:p w14:paraId="7C3E1C95" w14:textId="77777777" w:rsidR="00B449D0" w:rsidRDefault="00175344">
            <w:pPr>
              <w:pStyle w:val="Measuretabledatarightaligneditalics"/>
              <w:keepNext/>
            </w:pPr>
            <w:r>
              <w:t>5.8</w:t>
            </w:r>
          </w:p>
        </w:tc>
      </w:tr>
    </w:tbl>
    <w:p w14:paraId="7DBAD285" w14:textId="77777777" w:rsidR="00B449D0" w:rsidRDefault="00B449D0" w:rsidP="00380A42">
      <w:pPr>
        <w:pStyle w:val="SingleParagraph0"/>
      </w:pPr>
    </w:p>
    <w:p w14:paraId="032B3CB8" w14:textId="77777777" w:rsidR="00B449D0" w:rsidRDefault="00175344">
      <w:pPr>
        <w:pStyle w:val="Normal2"/>
      </w:pPr>
      <w:r>
        <w:t>The Government will continue to support multilateral development banks, and their engagement in the Asia‑Pacific region, through the following measures:</w:t>
      </w:r>
    </w:p>
    <w:p w14:paraId="2CC510D3" w14:textId="77777777" w:rsidR="00B449D0" w:rsidRDefault="00175344">
      <w:pPr>
        <w:pStyle w:val="Bullet"/>
      </w:pPr>
      <w:r>
        <w:t>USD200 million (approximately AUD306.2 million) in guarantees of Asian Development Bank loans through their Innovative Finance Facility for Climate in Asia and the Pacific, to accelerate climate change mitigation and adaptation projects</w:t>
      </w:r>
    </w:p>
    <w:p w14:paraId="1F23280D" w14:textId="77777777" w:rsidR="00B449D0" w:rsidRDefault="00175344">
      <w:pPr>
        <w:pStyle w:val="Bullet"/>
      </w:pPr>
      <w:r>
        <w:t>USD150 million (approximately AUD229.6 million) for the purchase of World Bank Group coupon‑bearing hybrid capital that will help scale up action on climate change and other global challenges</w:t>
      </w:r>
    </w:p>
    <w:p w14:paraId="22C44A73" w14:textId="31653253" w:rsidR="00B449D0" w:rsidRDefault="00175344">
      <w:pPr>
        <w:pStyle w:val="Bullet"/>
      </w:pPr>
      <w:r>
        <w:t>EUR40.3 million (approximately AUD66.6 million) for the purchase of new shares issued by the European Bank for Reconstruction and Development to finance Ukraine</w:t>
      </w:r>
      <w:r w:rsidR="00076D78">
        <w:t>’</w:t>
      </w:r>
      <w:r>
        <w:t>s reconstruction.</w:t>
      </w:r>
    </w:p>
    <w:p w14:paraId="5F68DB71" w14:textId="77777777" w:rsidR="00B449D0" w:rsidRDefault="00175344">
      <w:pPr>
        <w:pStyle w:val="Normal2"/>
      </w:pPr>
      <w:r>
        <w:t>Commitments will be phased in over a five‑year period from 2025.</w:t>
      </w:r>
    </w:p>
    <w:p w14:paraId="54B76AB2" w14:textId="77777777" w:rsidR="00B449D0" w:rsidRDefault="00175344">
      <w:pPr>
        <w:pStyle w:val="Normal2"/>
      </w:pPr>
      <w:r>
        <w:t>The financial implications of this measure reflect expected returns on investment in hybrid capital and the provision of guarantees that will have a positive budget impact.</w:t>
      </w:r>
    </w:p>
    <w:p w14:paraId="1B85170B" w14:textId="77777777" w:rsidR="00B449D0" w:rsidRDefault="00175344">
      <w:pPr>
        <w:pStyle w:val="MeasureTitle"/>
      </w:pPr>
      <w:r>
        <w:t>Payday Super</w:t>
      </w:r>
    </w:p>
    <w:p w14:paraId="5BD1B572"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0623FA48" w14:textId="77777777">
        <w:trPr>
          <w:cantSplit/>
        </w:trPr>
        <w:tc>
          <w:tcPr>
            <w:tcW w:w="2494" w:type="dxa"/>
            <w:tcBorders>
              <w:top w:val="single" w:sz="4" w:space="0" w:color="000000"/>
              <w:bottom w:val="single" w:sz="4" w:space="0" w:color="000000"/>
            </w:tcBorders>
          </w:tcPr>
          <w:p w14:paraId="172AB5F3" w14:textId="77777777" w:rsidR="00B449D0" w:rsidRDefault="00B449D0">
            <w:pPr>
              <w:pStyle w:val="MeasureTableYearHeadings"/>
              <w:keepNext/>
            </w:pPr>
          </w:p>
        </w:tc>
        <w:tc>
          <w:tcPr>
            <w:tcW w:w="1043" w:type="dxa"/>
            <w:tcBorders>
              <w:top w:val="single" w:sz="4" w:space="0" w:color="000000"/>
              <w:bottom w:val="single" w:sz="4" w:space="0" w:color="000000"/>
            </w:tcBorders>
          </w:tcPr>
          <w:p w14:paraId="5C92F574" w14:textId="23AC9FF5"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0CDF5C9A" w14:textId="6C43B998"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6FF04447" w14:textId="4E92AB1E"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6F784ACE" w14:textId="1071F068"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74DABA24" w14:textId="3FD59F45" w:rsidR="00B449D0" w:rsidRDefault="00175344">
            <w:pPr>
              <w:pStyle w:val="MeasureTableYearHeadings"/>
              <w:keepNext/>
            </w:pPr>
            <w:r>
              <w:t>2027</w:t>
            </w:r>
            <w:r w:rsidR="00076D78">
              <w:noBreakHyphen/>
            </w:r>
            <w:r>
              <w:t>28</w:t>
            </w:r>
          </w:p>
        </w:tc>
      </w:tr>
      <w:tr w:rsidR="00B449D0" w14:paraId="55BD5343" w14:textId="77777777">
        <w:trPr>
          <w:cantSplit/>
        </w:trPr>
        <w:tc>
          <w:tcPr>
            <w:tcW w:w="2494" w:type="dxa"/>
            <w:tcBorders>
              <w:top w:val="single" w:sz="4" w:space="0" w:color="000000"/>
              <w:bottom w:val="single" w:sz="4" w:space="0" w:color="000000"/>
            </w:tcBorders>
          </w:tcPr>
          <w:p w14:paraId="2D4551BB" w14:textId="77777777" w:rsidR="00B449D0" w:rsidRDefault="00175344">
            <w:pPr>
              <w:pStyle w:val="MeasureTableHeadingleftalignedwith2ptsspacing"/>
              <w:keepNext/>
            </w:pPr>
            <w:r>
              <w:t>Australian Taxation Office</w:t>
            </w:r>
          </w:p>
        </w:tc>
        <w:tc>
          <w:tcPr>
            <w:tcW w:w="1043" w:type="dxa"/>
            <w:tcBorders>
              <w:top w:val="single" w:sz="4" w:space="0" w:color="000000"/>
              <w:bottom w:val="single" w:sz="4" w:space="0" w:color="000000"/>
            </w:tcBorders>
          </w:tcPr>
          <w:p w14:paraId="575D47E7" w14:textId="57327B79"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09C4202" w14:textId="77777777" w:rsidR="00B449D0" w:rsidRDefault="00175344">
            <w:pPr>
              <w:pStyle w:val="MeasureTableDataRightAlignedwith2ptsspacing"/>
              <w:keepNext/>
            </w:pPr>
            <w:r>
              <w:t>63.3</w:t>
            </w:r>
          </w:p>
        </w:tc>
        <w:tc>
          <w:tcPr>
            <w:tcW w:w="1043" w:type="dxa"/>
            <w:tcBorders>
              <w:top w:val="single" w:sz="4" w:space="0" w:color="000000"/>
              <w:bottom w:val="single" w:sz="4" w:space="0" w:color="000000"/>
            </w:tcBorders>
          </w:tcPr>
          <w:p w14:paraId="759D1F70" w14:textId="77777777" w:rsidR="00B449D0" w:rsidRDefault="00175344">
            <w:pPr>
              <w:pStyle w:val="MeasureTableDataRightAlignedwith2ptsspacing"/>
              <w:keepNext/>
            </w:pPr>
            <w:r>
              <w:t>105.4</w:t>
            </w:r>
          </w:p>
        </w:tc>
        <w:tc>
          <w:tcPr>
            <w:tcW w:w="1043" w:type="dxa"/>
            <w:tcBorders>
              <w:top w:val="single" w:sz="4" w:space="0" w:color="000000"/>
              <w:bottom w:val="single" w:sz="4" w:space="0" w:color="000000"/>
            </w:tcBorders>
          </w:tcPr>
          <w:p w14:paraId="27CC0E4A" w14:textId="77777777" w:rsidR="00B449D0" w:rsidRDefault="00175344">
            <w:pPr>
              <w:pStyle w:val="MeasureTableDataRightAlignedwith2ptsspacing"/>
              <w:keepNext/>
            </w:pPr>
            <w:r>
              <w:t>118.2</w:t>
            </w:r>
          </w:p>
        </w:tc>
        <w:tc>
          <w:tcPr>
            <w:tcW w:w="1043" w:type="dxa"/>
            <w:tcBorders>
              <w:top w:val="single" w:sz="4" w:space="0" w:color="000000"/>
              <w:bottom w:val="single" w:sz="4" w:space="0" w:color="000000"/>
            </w:tcBorders>
          </w:tcPr>
          <w:p w14:paraId="5A4CF76F" w14:textId="11145ABF" w:rsidR="00B449D0" w:rsidRDefault="00076D78">
            <w:pPr>
              <w:pStyle w:val="MeasureTableDataRightAlignedwith2ptsspacing"/>
              <w:keepNext/>
            </w:pPr>
            <w:r>
              <w:noBreakHyphen/>
            </w:r>
            <w:r w:rsidR="00175344">
              <w:t>32.7</w:t>
            </w:r>
          </w:p>
        </w:tc>
      </w:tr>
      <w:tr w:rsidR="00B449D0" w14:paraId="0971F805" w14:textId="77777777">
        <w:trPr>
          <w:cantSplit/>
        </w:trPr>
        <w:tc>
          <w:tcPr>
            <w:tcW w:w="2494" w:type="dxa"/>
            <w:tcBorders>
              <w:top w:val="single" w:sz="4" w:space="0" w:color="000000"/>
              <w:bottom w:val="single" w:sz="4" w:space="0" w:color="000000"/>
            </w:tcBorders>
          </w:tcPr>
          <w:p w14:paraId="5B30076E" w14:textId="77777777" w:rsidR="00B449D0" w:rsidRDefault="00175344">
            <w:pPr>
              <w:pStyle w:val="MeasureTableHeadingleftalignedwith2ptsspacing"/>
              <w:keepNext/>
            </w:pPr>
            <w:r>
              <w:t>Department of Finance</w:t>
            </w:r>
          </w:p>
        </w:tc>
        <w:tc>
          <w:tcPr>
            <w:tcW w:w="1043" w:type="dxa"/>
            <w:tcBorders>
              <w:top w:val="single" w:sz="4" w:space="0" w:color="000000"/>
              <w:bottom w:val="single" w:sz="4" w:space="0" w:color="000000"/>
            </w:tcBorders>
          </w:tcPr>
          <w:p w14:paraId="5C99FBD9" w14:textId="314ABE23"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A5F9B76" w14:textId="77777777" w:rsidR="00B449D0" w:rsidRDefault="00175344">
            <w:pPr>
              <w:pStyle w:val="MeasureTableDataRightAlignedwith2ptsspacing"/>
              <w:keepNext/>
            </w:pPr>
            <w:r>
              <w:t>0.1</w:t>
            </w:r>
          </w:p>
        </w:tc>
        <w:tc>
          <w:tcPr>
            <w:tcW w:w="1043" w:type="dxa"/>
            <w:tcBorders>
              <w:top w:val="single" w:sz="4" w:space="0" w:color="000000"/>
              <w:bottom w:val="single" w:sz="4" w:space="0" w:color="000000"/>
            </w:tcBorders>
          </w:tcPr>
          <w:p w14:paraId="60DBB95C" w14:textId="77777777" w:rsidR="00B449D0" w:rsidRDefault="00175344">
            <w:pPr>
              <w:pStyle w:val="MeasureTableDataRightAlignedwith2ptsspacing"/>
              <w:keepNext/>
            </w:pPr>
            <w:r>
              <w:t>0.1</w:t>
            </w:r>
          </w:p>
        </w:tc>
        <w:tc>
          <w:tcPr>
            <w:tcW w:w="1043" w:type="dxa"/>
            <w:tcBorders>
              <w:top w:val="single" w:sz="4" w:space="0" w:color="000000"/>
              <w:bottom w:val="single" w:sz="4" w:space="0" w:color="000000"/>
            </w:tcBorders>
          </w:tcPr>
          <w:p w14:paraId="6862E0CD" w14:textId="77777777" w:rsidR="00B449D0" w:rsidRDefault="00175344">
            <w:pPr>
              <w:pStyle w:val="MeasureTableDataRightAlignedwith2ptsspacing"/>
              <w:keepNext/>
            </w:pPr>
            <w:r>
              <w:t>0.1</w:t>
            </w:r>
          </w:p>
        </w:tc>
        <w:tc>
          <w:tcPr>
            <w:tcW w:w="1043" w:type="dxa"/>
            <w:tcBorders>
              <w:top w:val="single" w:sz="4" w:space="0" w:color="000000"/>
              <w:bottom w:val="single" w:sz="4" w:space="0" w:color="000000"/>
            </w:tcBorders>
          </w:tcPr>
          <w:p w14:paraId="34570545" w14:textId="77777777" w:rsidR="00B449D0" w:rsidRDefault="00175344">
            <w:pPr>
              <w:pStyle w:val="MeasureTableDataRightAlignedwith2ptsspacing"/>
              <w:keepNext/>
            </w:pPr>
            <w:r>
              <w:t>0.1</w:t>
            </w:r>
          </w:p>
        </w:tc>
      </w:tr>
      <w:tr w:rsidR="00B449D0" w14:paraId="3D6C9AF5" w14:textId="77777777">
        <w:trPr>
          <w:cantSplit/>
        </w:trPr>
        <w:tc>
          <w:tcPr>
            <w:tcW w:w="2494" w:type="dxa"/>
            <w:tcBorders>
              <w:top w:val="single" w:sz="4" w:space="0" w:color="000000"/>
              <w:bottom w:val="single" w:sz="4" w:space="0" w:color="000000"/>
            </w:tcBorders>
          </w:tcPr>
          <w:p w14:paraId="74448405" w14:textId="77777777" w:rsidR="00B449D0" w:rsidRDefault="00175344">
            <w:pPr>
              <w:pStyle w:val="MeasureTableHeadingleftalignedwith2ptsspacing"/>
              <w:keepNext/>
            </w:pPr>
            <w:r>
              <w:t>Digital Transformation Agency</w:t>
            </w:r>
          </w:p>
        </w:tc>
        <w:tc>
          <w:tcPr>
            <w:tcW w:w="1043" w:type="dxa"/>
            <w:tcBorders>
              <w:top w:val="single" w:sz="4" w:space="0" w:color="000000"/>
              <w:bottom w:val="single" w:sz="4" w:space="0" w:color="000000"/>
            </w:tcBorders>
          </w:tcPr>
          <w:p w14:paraId="0389BA77" w14:textId="451D150B"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5C32A71" w14:textId="77777777" w:rsidR="00B449D0" w:rsidRDefault="00175344">
            <w:pPr>
              <w:pStyle w:val="MeasureTableDataRightAlignedwith2ptsspacing"/>
              <w:keepNext/>
            </w:pPr>
            <w:r>
              <w:t>0.1</w:t>
            </w:r>
          </w:p>
        </w:tc>
        <w:tc>
          <w:tcPr>
            <w:tcW w:w="1043" w:type="dxa"/>
            <w:tcBorders>
              <w:top w:val="single" w:sz="4" w:space="0" w:color="000000"/>
              <w:bottom w:val="single" w:sz="4" w:space="0" w:color="000000"/>
            </w:tcBorders>
          </w:tcPr>
          <w:p w14:paraId="3B400845" w14:textId="77777777" w:rsidR="00B449D0" w:rsidRDefault="00175344">
            <w:pPr>
              <w:pStyle w:val="MeasureTableDataRightAlignedwith2ptsspacing"/>
              <w:keepNext/>
            </w:pPr>
            <w:r>
              <w:t>0.1</w:t>
            </w:r>
          </w:p>
        </w:tc>
        <w:tc>
          <w:tcPr>
            <w:tcW w:w="1043" w:type="dxa"/>
            <w:tcBorders>
              <w:top w:val="single" w:sz="4" w:space="0" w:color="000000"/>
              <w:bottom w:val="single" w:sz="4" w:space="0" w:color="000000"/>
            </w:tcBorders>
          </w:tcPr>
          <w:p w14:paraId="228A0307" w14:textId="77777777" w:rsidR="00B449D0" w:rsidRDefault="00175344">
            <w:pPr>
              <w:pStyle w:val="MeasureTableDataRightAlignedwith2ptsspacing"/>
              <w:keepNext/>
            </w:pPr>
            <w:r>
              <w:t>0.1</w:t>
            </w:r>
          </w:p>
        </w:tc>
        <w:tc>
          <w:tcPr>
            <w:tcW w:w="1043" w:type="dxa"/>
            <w:tcBorders>
              <w:top w:val="single" w:sz="4" w:space="0" w:color="000000"/>
              <w:bottom w:val="single" w:sz="4" w:space="0" w:color="000000"/>
            </w:tcBorders>
          </w:tcPr>
          <w:p w14:paraId="23A2F3B8" w14:textId="77777777" w:rsidR="00B449D0" w:rsidRDefault="00175344">
            <w:pPr>
              <w:pStyle w:val="MeasureTableDataRightAlignedwith2ptsspacing"/>
              <w:keepNext/>
            </w:pPr>
            <w:r>
              <w:t>0.1</w:t>
            </w:r>
          </w:p>
        </w:tc>
      </w:tr>
      <w:tr w:rsidR="00B449D0" w14:paraId="0F0B7B70" w14:textId="77777777">
        <w:trPr>
          <w:cantSplit/>
        </w:trPr>
        <w:tc>
          <w:tcPr>
            <w:tcW w:w="2494" w:type="dxa"/>
            <w:tcBorders>
              <w:top w:val="single" w:sz="4" w:space="0" w:color="000000"/>
              <w:bottom w:val="single" w:sz="4" w:space="0" w:color="000000"/>
            </w:tcBorders>
          </w:tcPr>
          <w:p w14:paraId="0A817CED"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24A2545C" w14:textId="7AC48464"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028B131C" w14:textId="77777777" w:rsidR="00B449D0" w:rsidRDefault="00175344">
            <w:pPr>
              <w:pStyle w:val="Totaldatarowrightaligned"/>
              <w:keepNext/>
            </w:pPr>
            <w:r>
              <w:t>63.5</w:t>
            </w:r>
          </w:p>
        </w:tc>
        <w:tc>
          <w:tcPr>
            <w:tcW w:w="1043" w:type="dxa"/>
            <w:tcBorders>
              <w:top w:val="single" w:sz="4" w:space="0" w:color="000000"/>
              <w:bottom w:val="single" w:sz="4" w:space="0" w:color="000000"/>
            </w:tcBorders>
          </w:tcPr>
          <w:p w14:paraId="2C68C9CD" w14:textId="77777777" w:rsidR="00B449D0" w:rsidRDefault="00175344">
            <w:pPr>
              <w:pStyle w:val="Totaldatarowrightaligned"/>
              <w:keepNext/>
            </w:pPr>
            <w:r>
              <w:t>105.6</w:t>
            </w:r>
          </w:p>
        </w:tc>
        <w:tc>
          <w:tcPr>
            <w:tcW w:w="1043" w:type="dxa"/>
            <w:tcBorders>
              <w:top w:val="single" w:sz="4" w:space="0" w:color="000000"/>
              <w:bottom w:val="single" w:sz="4" w:space="0" w:color="000000"/>
            </w:tcBorders>
          </w:tcPr>
          <w:p w14:paraId="4B1292E5" w14:textId="77777777" w:rsidR="00B449D0" w:rsidRDefault="00175344">
            <w:pPr>
              <w:pStyle w:val="Totaldatarowrightaligned"/>
              <w:keepNext/>
            </w:pPr>
            <w:r>
              <w:t>118.4</w:t>
            </w:r>
          </w:p>
        </w:tc>
        <w:tc>
          <w:tcPr>
            <w:tcW w:w="1043" w:type="dxa"/>
            <w:tcBorders>
              <w:top w:val="single" w:sz="4" w:space="0" w:color="000000"/>
              <w:bottom w:val="single" w:sz="4" w:space="0" w:color="000000"/>
            </w:tcBorders>
          </w:tcPr>
          <w:p w14:paraId="229A285F" w14:textId="0DE42C3A" w:rsidR="00B449D0" w:rsidRDefault="00076D78">
            <w:pPr>
              <w:pStyle w:val="Totaldatarowrightaligned"/>
              <w:keepNext/>
            </w:pPr>
            <w:r>
              <w:noBreakHyphen/>
            </w:r>
            <w:r w:rsidR="00175344">
              <w:t>32.5</w:t>
            </w:r>
          </w:p>
        </w:tc>
      </w:tr>
      <w:tr w:rsidR="00B449D0" w14:paraId="0E827463" w14:textId="77777777">
        <w:trPr>
          <w:cantSplit/>
        </w:trPr>
        <w:tc>
          <w:tcPr>
            <w:tcW w:w="2494" w:type="dxa"/>
          </w:tcPr>
          <w:p w14:paraId="468B30A2" w14:textId="77777777" w:rsidR="00B449D0" w:rsidRDefault="00175344">
            <w:pPr>
              <w:pStyle w:val="AgencyName"/>
              <w:keepNext/>
            </w:pPr>
            <w:r>
              <w:t>Related receipts ($m)</w:t>
            </w:r>
          </w:p>
        </w:tc>
        <w:tc>
          <w:tcPr>
            <w:tcW w:w="1043" w:type="dxa"/>
          </w:tcPr>
          <w:p w14:paraId="64D5927D" w14:textId="77777777" w:rsidR="00B449D0" w:rsidRDefault="00B449D0">
            <w:pPr>
              <w:pStyle w:val="AgencyName"/>
              <w:keepNext/>
            </w:pPr>
          </w:p>
        </w:tc>
        <w:tc>
          <w:tcPr>
            <w:tcW w:w="1043" w:type="dxa"/>
          </w:tcPr>
          <w:p w14:paraId="7061A4DE" w14:textId="77777777" w:rsidR="00B449D0" w:rsidRDefault="00B449D0">
            <w:pPr>
              <w:pStyle w:val="AgencyName"/>
              <w:keepNext/>
            </w:pPr>
          </w:p>
        </w:tc>
        <w:tc>
          <w:tcPr>
            <w:tcW w:w="1043" w:type="dxa"/>
          </w:tcPr>
          <w:p w14:paraId="6CFEC238" w14:textId="77777777" w:rsidR="00B449D0" w:rsidRDefault="00B449D0">
            <w:pPr>
              <w:pStyle w:val="AgencyName"/>
              <w:keepNext/>
            </w:pPr>
          </w:p>
        </w:tc>
        <w:tc>
          <w:tcPr>
            <w:tcW w:w="1043" w:type="dxa"/>
          </w:tcPr>
          <w:p w14:paraId="046DDC01" w14:textId="77777777" w:rsidR="00B449D0" w:rsidRDefault="00B449D0">
            <w:pPr>
              <w:pStyle w:val="AgencyName"/>
              <w:keepNext/>
            </w:pPr>
          </w:p>
        </w:tc>
        <w:tc>
          <w:tcPr>
            <w:tcW w:w="1043" w:type="dxa"/>
          </w:tcPr>
          <w:p w14:paraId="059DB702" w14:textId="77777777" w:rsidR="00B449D0" w:rsidRDefault="00B449D0">
            <w:pPr>
              <w:pStyle w:val="AgencyName"/>
              <w:keepNext/>
            </w:pPr>
          </w:p>
        </w:tc>
      </w:tr>
      <w:tr w:rsidR="00B449D0" w14:paraId="0E19BC8B" w14:textId="77777777">
        <w:tc>
          <w:tcPr>
            <w:tcW w:w="2494" w:type="dxa"/>
          </w:tcPr>
          <w:p w14:paraId="3DB7B755" w14:textId="77777777" w:rsidR="00B449D0" w:rsidRDefault="00175344">
            <w:pPr>
              <w:pStyle w:val="AgencyNamewith2ptsspacing"/>
              <w:keepNext/>
            </w:pPr>
            <w:r>
              <w:t>Australian Taxation Office</w:t>
            </w:r>
          </w:p>
        </w:tc>
        <w:tc>
          <w:tcPr>
            <w:tcW w:w="1043" w:type="dxa"/>
          </w:tcPr>
          <w:p w14:paraId="4C0108A7" w14:textId="51B4B1C3" w:rsidR="00B449D0" w:rsidRDefault="00076D78">
            <w:pPr>
              <w:pStyle w:val="Measuretabledatarightaligneditalics"/>
              <w:keepNext/>
            </w:pPr>
            <w:r>
              <w:noBreakHyphen/>
            </w:r>
          </w:p>
        </w:tc>
        <w:tc>
          <w:tcPr>
            <w:tcW w:w="1043" w:type="dxa"/>
          </w:tcPr>
          <w:p w14:paraId="5EB5C12A" w14:textId="533A584E" w:rsidR="00B449D0" w:rsidRDefault="00076D78">
            <w:pPr>
              <w:pStyle w:val="Measuretabledatarightaligneditalics"/>
              <w:keepNext/>
            </w:pPr>
            <w:r>
              <w:noBreakHyphen/>
            </w:r>
          </w:p>
        </w:tc>
        <w:tc>
          <w:tcPr>
            <w:tcW w:w="1043" w:type="dxa"/>
          </w:tcPr>
          <w:p w14:paraId="7DC04192" w14:textId="2EE14040" w:rsidR="00B449D0" w:rsidRDefault="00076D78">
            <w:pPr>
              <w:pStyle w:val="Measuretabledatarightaligneditalics"/>
              <w:keepNext/>
            </w:pPr>
            <w:r>
              <w:noBreakHyphen/>
            </w:r>
          </w:p>
        </w:tc>
        <w:tc>
          <w:tcPr>
            <w:tcW w:w="1043" w:type="dxa"/>
          </w:tcPr>
          <w:p w14:paraId="53A06BA9" w14:textId="1E052E5C" w:rsidR="00B449D0" w:rsidRDefault="00076D78">
            <w:pPr>
              <w:pStyle w:val="Measuretabledatarightaligneditalics"/>
              <w:keepNext/>
            </w:pPr>
            <w:r>
              <w:noBreakHyphen/>
            </w:r>
            <w:r w:rsidR="00175344">
              <w:t>20.0</w:t>
            </w:r>
          </w:p>
        </w:tc>
        <w:tc>
          <w:tcPr>
            <w:tcW w:w="1043" w:type="dxa"/>
          </w:tcPr>
          <w:p w14:paraId="4C4F0258" w14:textId="1E2B5A74" w:rsidR="00B449D0" w:rsidRDefault="00076D78">
            <w:pPr>
              <w:pStyle w:val="Measuretabledatarightaligneditalics"/>
              <w:keepNext/>
            </w:pPr>
            <w:r>
              <w:noBreakHyphen/>
            </w:r>
            <w:r w:rsidR="00175344">
              <w:t>107.0</w:t>
            </w:r>
          </w:p>
        </w:tc>
      </w:tr>
    </w:tbl>
    <w:p w14:paraId="0C62DA6B" w14:textId="77777777" w:rsidR="00B449D0" w:rsidRDefault="00B449D0" w:rsidP="00380A42">
      <w:pPr>
        <w:pStyle w:val="SingleParagraph0"/>
      </w:pPr>
    </w:p>
    <w:p w14:paraId="4761FE02" w14:textId="17B4F90F" w:rsidR="00B449D0" w:rsidRDefault="00175344">
      <w:pPr>
        <w:pStyle w:val="Normal2"/>
      </w:pPr>
      <w:r w:rsidRPr="7F762F0D">
        <w:rPr>
          <w:lang w:val="en-US"/>
        </w:rPr>
        <w:t xml:space="preserve">The Government will provide $404.1 million over four years from 2024–25 (and $11.2 million per year ongoing) to implement the 2023–24 Budget measure titled </w:t>
      </w:r>
      <w:r w:rsidRPr="7F762F0D">
        <w:rPr>
          <w:i/>
          <w:iCs/>
          <w:lang w:val="en-US"/>
        </w:rPr>
        <w:t>Securing Australians</w:t>
      </w:r>
      <w:r w:rsidR="00076D78">
        <w:rPr>
          <w:i/>
          <w:iCs/>
          <w:lang w:val="en-US"/>
        </w:rPr>
        <w:t>’</w:t>
      </w:r>
      <w:r w:rsidRPr="7F762F0D">
        <w:rPr>
          <w:i/>
          <w:iCs/>
          <w:lang w:val="en-US"/>
        </w:rPr>
        <w:t xml:space="preserve"> Superannuation Package. </w:t>
      </w:r>
      <w:r w:rsidRPr="7F762F0D">
        <w:rPr>
          <w:lang w:val="en-US"/>
        </w:rPr>
        <w:t>From 1 July 2026, employers will be required to pay their employees</w:t>
      </w:r>
      <w:r w:rsidR="00076D78">
        <w:rPr>
          <w:lang w:val="en-US"/>
        </w:rPr>
        <w:t>’</w:t>
      </w:r>
      <w:r w:rsidRPr="7F762F0D">
        <w:rPr>
          <w:lang w:val="en-US"/>
        </w:rPr>
        <w:t xml:space="preserve"> Superannuation Guarantee entitlements on the same day that they pay salary and wages</w:t>
      </w:r>
      <w:r w:rsidRPr="7F762F0D">
        <w:rPr>
          <w:i/>
          <w:iCs/>
          <w:lang w:val="en-US"/>
        </w:rPr>
        <w:t>.</w:t>
      </w:r>
      <w:r w:rsidRPr="7F762F0D">
        <w:rPr>
          <w:lang w:val="en-US"/>
        </w:rPr>
        <w:t xml:space="preserve"> The funding will enable the Australian Taxation Office (ATO) to build and improve data matching capabilities to match employers</w:t>
      </w:r>
      <w:r w:rsidR="00076D78">
        <w:rPr>
          <w:lang w:val="en-US"/>
        </w:rPr>
        <w:t>’</w:t>
      </w:r>
      <w:r w:rsidRPr="7F762F0D">
        <w:rPr>
          <w:lang w:val="en-US"/>
        </w:rPr>
        <w:t xml:space="preserve"> payroll data with superannuation contribution data, providing the ATO with near real‑time visibility as to whether employers have met their obligations.</w:t>
      </w:r>
    </w:p>
    <w:p w14:paraId="155A62FA" w14:textId="77777777" w:rsidR="00B449D0" w:rsidRDefault="00175344">
      <w:pPr>
        <w:pStyle w:val="Normal2"/>
      </w:pPr>
      <w:r w:rsidRPr="7F762F0D">
        <w:rPr>
          <w:lang w:val="en-US"/>
        </w:rPr>
        <w:t xml:space="preserve">The Government will also redesign the Superannuation Guarantee charge legislation in line with the move to payday super. Penalties and charges will reflect the serious nature of </w:t>
      </w:r>
      <w:r w:rsidRPr="7F762F0D">
        <w:rPr>
          <w:lang w:val="en-US"/>
        </w:rPr>
        <w:lastRenderedPageBreak/>
        <w:t>unpaid or underpaid Superannuation Guarantee, and will be recalibrated to encourage prompt rectification of non‑payment, with scalable consequences to deter severe or repeated non‑compliance. These changes are expected to reduce tax receipts by $127.0 million over two years from 2026–27 and reduce associated payments by $98.0 million over two years from 2026–27 (with an ongoing reduction in both tax receipts and associated payments)</w:t>
      </w:r>
    </w:p>
    <w:p w14:paraId="4793D8E7" w14:textId="737C54AB" w:rsidR="00B449D0" w:rsidRDefault="00175344">
      <w:pPr>
        <w:pStyle w:val="Normal2"/>
      </w:pPr>
      <w:r w:rsidRPr="7F762F0D">
        <w:rPr>
          <w:lang w:val="en-US"/>
        </w:rPr>
        <w:t>The cost of this measure will be partially met from within the existing resourcing of the</w:t>
      </w:r>
      <w:r w:rsidR="00C82227">
        <w:rPr>
          <w:lang w:val="en-US"/>
        </w:rPr>
        <w:t> </w:t>
      </w:r>
      <w:r w:rsidRPr="7F762F0D">
        <w:rPr>
          <w:lang w:val="en-US"/>
        </w:rPr>
        <w:t>ATO.</w:t>
      </w:r>
    </w:p>
    <w:p w14:paraId="0DF4E5B8" w14:textId="283FF7B8" w:rsidR="00B449D0" w:rsidRDefault="00175344">
      <w:pPr>
        <w:pStyle w:val="Normal2"/>
      </w:pPr>
      <w:r>
        <w:t xml:space="preserve">This measure builds on the 2023–24 Budget measure titled </w:t>
      </w:r>
      <w:r w:rsidRPr="00175344">
        <w:rPr>
          <w:i/>
        </w:rPr>
        <w:t>Securing Australians</w:t>
      </w:r>
      <w:r w:rsidR="00076D78">
        <w:rPr>
          <w:i/>
        </w:rPr>
        <w:t>’</w:t>
      </w:r>
      <w:r w:rsidRPr="00175344">
        <w:rPr>
          <w:i/>
        </w:rPr>
        <w:t xml:space="preserve"> Superannuation Package</w:t>
      </w:r>
      <w:r>
        <w:t>.</w:t>
      </w:r>
    </w:p>
    <w:p w14:paraId="071D887B" w14:textId="77777777" w:rsidR="00B449D0" w:rsidRDefault="00175344">
      <w:pPr>
        <w:pStyle w:val="MeasureTitle"/>
      </w:pPr>
      <w:r w:rsidRPr="7F762F0D">
        <w:rPr>
          <w:lang w:val="en-US"/>
        </w:rPr>
        <w:t>Revitalising National Competition Policy</w:t>
      </w:r>
    </w:p>
    <w:p w14:paraId="130998D9"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7F7C6610" w14:textId="77777777">
        <w:trPr>
          <w:cantSplit/>
        </w:trPr>
        <w:tc>
          <w:tcPr>
            <w:tcW w:w="2494" w:type="dxa"/>
            <w:tcBorders>
              <w:top w:val="single" w:sz="4" w:space="0" w:color="000000"/>
              <w:bottom w:val="single" w:sz="4" w:space="0" w:color="000000"/>
            </w:tcBorders>
          </w:tcPr>
          <w:p w14:paraId="72397F37" w14:textId="77777777" w:rsidR="00B449D0" w:rsidRDefault="00B449D0">
            <w:pPr>
              <w:pStyle w:val="MeasureTableYearHeadings"/>
              <w:keepNext/>
            </w:pPr>
          </w:p>
        </w:tc>
        <w:tc>
          <w:tcPr>
            <w:tcW w:w="1043" w:type="dxa"/>
            <w:tcBorders>
              <w:top w:val="single" w:sz="4" w:space="0" w:color="000000"/>
              <w:bottom w:val="single" w:sz="4" w:space="0" w:color="000000"/>
            </w:tcBorders>
          </w:tcPr>
          <w:p w14:paraId="22D25EA3" w14:textId="4871731B"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7B855E37" w14:textId="642CC63F"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467C5D5D" w14:textId="336A4886"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2C169C84" w14:textId="65EEEA88"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7A7F44B9" w14:textId="689B3087" w:rsidR="00B449D0" w:rsidRDefault="00175344">
            <w:pPr>
              <w:pStyle w:val="MeasureTableYearHeadings"/>
              <w:keepNext/>
            </w:pPr>
            <w:r>
              <w:t>2027</w:t>
            </w:r>
            <w:r w:rsidR="00076D78">
              <w:noBreakHyphen/>
            </w:r>
            <w:r>
              <w:t>28</w:t>
            </w:r>
          </w:p>
        </w:tc>
      </w:tr>
      <w:tr w:rsidR="00B449D0" w14:paraId="41E35E9E" w14:textId="77777777">
        <w:trPr>
          <w:cantSplit/>
        </w:trPr>
        <w:tc>
          <w:tcPr>
            <w:tcW w:w="2494" w:type="dxa"/>
            <w:tcBorders>
              <w:top w:val="single" w:sz="4" w:space="0" w:color="000000"/>
              <w:bottom w:val="single" w:sz="4" w:space="0" w:color="000000"/>
            </w:tcBorders>
          </w:tcPr>
          <w:p w14:paraId="62647390" w14:textId="77777777" w:rsidR="00B449D0" w:rsidRDefault="00175344">
            <w:pPr>
              <w:pStyle w:val="MeasureTableHeadingleftalignedwith2ptsspacing"/>
              <w:keepNext/>
            </w:pPr>
            <w:r>
              <w:t>Australian Competition and Consumer Commission</w:t>
            </w:r>
          </w:p>
        </w:tc>
        <w:tc>
          <w:tcPr>
            <w:tcW w:w="1043" w:type="dxa"/>
            <w:tcBorders>
              <w:top w:val="single" w:sz="4" w:space="0" w:color="000000"/>
              <w:bottom w:val="single" w:sz="4" w:space="0" w:color="000000"/>
            </w:tcBorders>
          </w:tcPr>
          <w:p w14:paraId="42B24FFA" w14:textId="668A2035"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DB2FC8A" w14:textId="66658BC6"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668F285A" w14:textId="77777777" w:rsidR="00B449D0" w:rsidRDefault="00175344">
            <w:pPr>
              <w:pStyle w:val="MeasureTableDataRightAlignedwith2ptsspacing"/>
              <w:keepNext/>
            </w:pPr>
            <w:r>
              <w:t>1.5</w:t>
            </w:r>
          </w:p>
        </w:tc>
        <w:tc>
          <w:tcPr>
            <w:tcW w:w="1043" w:type="dxa"/>
            <w:tcBorders>
              <w:top w:val="single" w:sz="4" w:space="0" w:color="000000"/>
              <w:bottom w:val="single" w:sz="4" w:space="0" w:color="000000"/>
            </w:tcBorders>
          </w:tcPr>
          <w:p w14:paraId="1D0BE5F4" w14:textId="77777777" w:rsidR="00B449D0" w:rsidRDefault="00175344">
            <w:pPr>
              <w:pStyle w:val="MeasureTableDataRightAlignedwith2ptsspacing"/>
              <w:keepNext/>
            </w:pPr>
            <w:r>
              <w:t>1.5</w:t>
            </w:r>
          </w:p>
        </w:tc>
        <w:tc>
          <w:tcPr>
            <w:tcW w:w="1043" w:type="dxa"/>
            <w:tcBorders>
              <w:top w:val="single" w:sz="4" w:space="0" w:color="000000"/>
              <w:bottom w:val="single" w:sz="4" w:space="0" w:color="000000"/>
            </w:tcBorders>
          </w:tcPr>
          <w:p w14:paraId="6C8192A3" w14:textId="77777777" w:rsidR="00B449D0" w:rsidRDefault="00175344">
            <w:pPr>
              <w:pStyle w:val="MeasureTableDataRightAlignedwith2ptsspacing"/>
              <w:keepNext/>
            </w:pPr>
            <w:r>
              <w:t>1.5</w:t>
            </w:r>
          </w:p>
        </w:tc>
      </w:tr>
      <w:tr w:rsidR="00B449D0" w14:paraId="422084F5" w14:textId="77777777">
        <w:trPr>
          <w:cantSplit/>
        </w:trPr>
        <w:tc>
          <w:tcPr>
            <w:tcW w:w="2494" w:type="dxa"/>
            <w:tcBorders>
              <w:top w:val="single" w:sz="4" w:space="0" w:color="000000"/>
              <w:bottom w:val="single" w:sz="4" w:space="0" w:color="000000"/>
            </w:tcBorders>
          </w:tcPr>
          <w:p w14:paraId="4AB1A059" w14:textId="77777777" w:rsidR="00B449D0" w:rsidRDefault="00175344">
            <w:pPr>
              <w:pStyle w:val="MeasureTableHeadingleftalignedwith2ptsspacing"/>
              <w:keepNext/>
            </w:pPr>
            <w:r>
              <w:t>Department of the Treasury</w:t>
            </w:r>
          </w:p>
        </w:tc>
        <w:tc>
          <w:tcPr>
            <w:tcW w:w="1043" w:type="dxa"/>
            <w:tcBorders>
              <w:top w:val="single" w:sz="4" w:space="0" w:color="000000"/>
              <w:bottom w:val="single" w:sz="4" w:space="0" w:color="000000"/>
            </w:tcBorders>
          </w:tcPr>
          <w:p w14:paraId="1B616514" w14:textId="5DEFD180"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26F7594" w14:textId="780893CC"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8FE62EB" w14:textId="77777777" w:rsidR="00B449D0" w:rsidRDefault="00175344">
            <w:pPr>
              <w:pStyle w:val="MeasureTableDataRightAlignedwith2ptsspacing"/>
              <w:keepNext/>
            </w:pPr>
            <w:r>
              <w:t>nfp</w:t>
            </w:r>
          </w:p>
        </w:tc>
        <w:tc>
          <w:tcPr>
            <w:tcW w:w="1043" w:type="dxa"/>
            <w:tcBorders>
              <w:top w:val="single" w:sz="4" w:space="0" w:color="000000"/>
              <w:bottom w:val="single" w:sz="4" w:space="0" w:color="000000"/>
            </w:tcBorders>
          </w:tcPr>
          <w:p w14:paraId="22259509" w14:textId="77777777" w:rsidR="00B449D0" w:rsidRDefault="00175344">
            <w:pPr>
              <w:pStyle w:val="MeasureTableDataRightAlignedwith2ptsspacing"/>
              <w:keepNext/>
            </w:pPr>
            <w:r>
              <w:t>nfp</w:t>
            </w:r>
          </w:p>
        </w:tc>
        <w:tc>
          <w:tcPr>
            <w:tcW w:w="1043" w:type="dxa"/>
            <w:tcBorders>
              <w:top w:val="single" w:sz="4" w:space="0" w:color="000000"/>
              <w:bottom w:val="single" w:sz="4" w:space="0" w:color="000000"/>
            </w:tcBorders>
          </w:tcPr>
          <w:p w14:paraId="16D34591" w14:textId="77777777" w:rsidR="00B449D0" w:rsidRDefault="00175344">
            <w:pPr>
              <w:pStyle w:val="MeasureTableDataRightAlignedwith2ptsspacing"/>
              <w:keepNext/>
            </w:pPr>
            <w:r>
              <w:t>nfp</w:t>
            </w:r>
          </w:p>
        </w:tc>
      </w:tr>
      <w:tr w:rsidR="00B449D0" w14:paraId="02A50B6F" w14:textId="77777777">
        <w:trPr>
          <w:cantSplit/>
        </w:trPr>
        <w:tc>
          <w:tcPr>
            <w:tcW w:w="2494" w:type="dxa"/>
            <w:tcBorders>
              <w:top w:val="single" w:sz="4" w:space="0" w:color="000000"/>
              <w:bottom w:val="single" w:sz="4" w:space="0" w:color="000000"/>
            </w:tcBorders>
          </w:tcPr>
          <w:p w14:paraId="749992D0"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42A23BFC" w14:textId="2E350DEB"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64E4074A" w14:textId="3F187BEA"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1AF88C6F" w14:textId="77777777" w:rsidR="00B449D0" w:rsidRDefault="00175344">
            <w:pPr>
              <w:pStyle w:val="Totaldatarowrightaligned"/>
              <w:keepNext/>
            </w:pPr>
            <w:r>
              <w:t>1.5</w:t>
            </w:r>
          </w:p>
        </w:tc>
        <w:tc>
          <w:tcPr>
            <w:tcW w:w="1043" w:type="dxa"/>
            <w:tcBorders>
              <w:top w:val="single" w:sz="4" w:space="0" w:color="000000"/>
              <w:bottom w:val="single" w:sz="4" w:space="0" w:color="000000"/>
            </w:tcBorders>
          </w:tcPr>
          <w:p w14:paraId="4C303D0A" w14:textId="77777777" w:rsidR="00B449D0" w:rsidRDefault="00175344">
            <w:pPr>
              <w:pStyle w:val="Totaldatarowrightaligned"/>
              <w:keepNext/>
            </w:pPr>
            <w:r>
              <w:t>1.5</w:t>
            </w:r>
          </w:p>
        </w:tc>
        <w:tc>
          <w:tcPr>
            <w:tcW w:w="1043" w:type="dxa"/>
            <w:tcBorders>
              <w:top w:val="single" w:sz="4" w:space="0" w:color="000000"/>
              <w:bottom w:val="single" w:sz="4" w:space="0" w:color="000000"/>
            </w:tcBorders>
          </w:tcPr>
          <w:p w14:paraId="71A283BE" w14:textId="77777777" w:rsidR="00B449D0" w:rsidRDefault="00175344">
            <w:pPr>
              <w:pStyle w:val="Totaldatarowrightaligned"/>
              <w:keepNext/>
            </w:pPr>
            <w:r>
              <w:t>1.5</w:t>
            </w:r>
          </w:p>
        </w:tc>
      </w:tr>
    </w:tbl>
    <w:p w14:paraId="10B45B19" w14:textId="77777777" w:rsidR="00B449D0" w:rsidRDefault="00B449D0" w:rsidP="00380A42">
      <w:pPr>
        <w:pStyle w:val="SingleParagraph0"/>
      </w:pPr>
    </w:p>
    <w:p w14:paraId="72178348" w14:textId="6B6647D5" w:rsidR="00B449D0" w:rsidRDefault="00175344">
      <w:pPr>
        <w:pStyle w:val="Normal2"/>
      </w:pPr>
      <w:r w:rsidRPr="7F762F0D">
        <w:rPr>
          <w:lang w:val="en-US"/>
        </w:rPr>
        <w:t xml:space="preserve">The Government will provide $909.3 million over </w:t>
      </w:r>
      <w:r w:rsidR="00492F71">
        <w:rPr>
          <w:lang w:val="en-US"/>
        </w:rPr>
        <w:t>12</w:t>
      </w:r>
      <w:r w:rsidR="00492F71" w:rsidRPr="7F762F0D">
        <w:rPr>
          <w:lang w:val="en-US"/>
        </w:rPr>
        <w:t xml:space="preserve"> </w:t>
      </w:r>
      <w:r w:rsidRPr="7F762F0D">
        <w:rPr>
          <w:lang w:val="en-US"/>
        </w:rPr>
        <w:t>years from 2024–25 to improve competition and ease cost‑of‑living pressures that are impacting Australians. Funding includes:</w:t>
      </w:r>
    </w:p>
    <w:p w14:paraId="0B1450A7" w14:textId="6F499AE9" w:rsidR="00B449D0" w:rsidRDefault="00175344">
      <w:pPr>
        <w:pStyle w:val="Bullet"/>
      </w:pPr>
      <w:r>
        <w:t xml:space="preserve">$900.0 million over </w:t>
      </w:r>
      <w:r w:rsidR="00492F71">
        <w:t>11</w:t>
      </w:r>
      <w:r>
        <w:t xml:space="preserve"> years from 2025–26 to establish a new National Productivity Fund which will incentivise states and territories to undertake reforms to boost competition and productivity across the economy, with initial reforms to include streamlining commercial planning and zoning and removing barriers to modern construction methods</w:t>
      </w:r>
    </w:p>
    <w:p w14:paraId="2566D4EF" w14:textId="77777777" w:rsidR="00B449D0" w:rsidRDefault="00175344">
      <w:pPr>
        <w:pStyle w:val="Bullet"/>
      </w:pPr>
      <w:r>
        <w:t>$4.7 million in 2025–26 to extend the National Competition Taskforce to support implementation of the National Competition Policy, including to complete a review of the Motor Vehicle Service and Repair Information Sharing Scheme and develop a broader right to repair for other consumer products</w:t>
      </w:r>
    </w:p>
    <w:p w14:paraId="7503AC7D" w14:textId="77777777" w:rsidR="00B449D0" w:rsidRDefault="00175344">
      <w:pPr>
        <w:pStyle w:val="Bullet"/>
      </w:pPr>
      <w:r>
        <w:t>$4.5 million over three years from 2025–26 for the Australian Competition and Consumer Commission to expedite the review and updating of mandatory product safety and information standards.</w:t>
      </w:r>
    </w:p>
    <w:p w14:paraId="28FD252F" w14:textId="77777777" w:rsidR="00B449D0" w:rsidRDefault="00175344">
      <w:pPr>
        <w:pStyle w:val="Normal2"/>
      </w:pPr>
      <w:r>
        <w:t>Partial funding will be held in the Contingency Reserve pending passage of legislation.</w:t>
      </w:r>
    </w:p>
    <w:p w14:paraId="12883399" w14:textId="77777777" w:rsidR="00B449D0" w:rsidRDefault="00175344">
      <w:pPr>
        <w:pStyle w:val="Normal2"/>
      </w:pPr>
      <w:r w:rsidRPr="7F762F0D">
        <w:rPr>
          <w:lang w:val="en-US"/>
        </w:rPr>
        <w:t>The expenditure profile for the National Productivity Fund is not for publication (nfp) pending further information from states and territories on the timing of reforms.</w:t>
      </w:r>
    </w:p>
    <w:p w14:paraId="50E941D4" w14:textId="77777777" w:rsidR="007E185F" w:rsidRDefault="007E185F" w:rsidP="00175F57">
      <w:r>
        <w:br w:type="page"/>
      </w:r>
    </w:p>
    <w:p w14:paraId="0E303EEA" w14:textId="57040965" w:rsidR="00B449D0" w:rsidRDefault="00175344">
      <w:pPr>
        <w:pStyle w:val="MeasureTitle"/>
      </w:pPr>
      <w:r>
        <w:lastRenderedPageBreak/>
        <w:t>Streamlining Consumer Redress under the Scams Prevention Framework</w:t>
      </w:r>
    </w:p>
    <w:p w14:paraId="6BEA51AD"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401855E6" w14:textId="77777777">
        <w:trPr>
          <w:cantSplit/>
        </w:trPr>
        <w:tc>
          <w:tcPr>
            <w:tcW w:w="2494" w:type="dxa"/>
            <w:tcBorders>
              <w:top w:val="single" w:sz="4" w:space="0" w:color="000000"/>
              <w:bottom w:val="single" w:sz="4" w:space="0" w:color="000000"/>
            </w:tcBorders>
          </w:tcPr>
          <w:p w14:paraId="174C3C4E" w14:textId="77777777" w:rsidR="00B449D0" w:rsidRDefault="00B449D0">
            <w:pPr>
              <w:pStyle w:val="MeasureTableYearHeadings"/>
              <w:keepNext/>
            </w:pPr>
          </w:p>
        </w:tc>
        <w:tc>
          <w:tcPr>
            <w:tcW w:w="1043" w:type="dxa"/>
            <w:tcBorders>
              <w:top w:val="single" w:sz="4" w:space="0" w:color="000000"/>
              <w:bottom w:val="single" w:sz="4" w:space="0" w:color="000000"/>
            </w:tcBorders>
          </w:tcPr>
          <w:p w14:paraId="62B249E3" w14:textId="7C869269"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6CC9633A" w14:textId="46BF8C40"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04F09924" w14:textId="31C6DCA4"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1D2FB14D" w14:textId="0D86A5A9"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49B1ABCB" w14:textId="40790004" w:rsidR="00B449D0" w:rsidRDefault="00175344">
            <w:pPr>
              <w:pStyle w:val="MeasureTableYearHeadings"/>
              <w:keepNext/>
            </w:pPr>
            <w:r>
              <w:t>2027</w:t>
            </w:r>
            <w:r w:rsidR="00076D78">
              <w:noBreakHyphen/>
            </w:r>
            <w:r>
              <w:t>28</w:t>
            </w:r>
          </w:p>
        </w:tc>
      </w:tr>
      <w:tr w:rsidR="00B449D0" w14:paraId="749641CD" w14:textId="77777777">
        <w:trPr>
          <w:cantSplit/>
        </w:trPr>
        <w:tc>
          <w:tcPr>
            <w:tcW w:w="2494" w:type="dxa"/>
            <w:tcBorders>
              <w:top w:val="single" w:sz="4" w:space="0" w:color="000000"/>
              <w:bottom w:val="single" w:sz="4" w:space="0" w:color="000000"/>
            </w:tcBorders>
          </w:tcPr>
          <w:p w14:paraId="00A43984" w14:textId="77777777" w:rsidR="00B449D0" w:rsidRDefault="00175344">
            <w:pPr>
              <w:pStyle w:val="MeasureTableHeadingleftalignedwith2ptsspacing"/>
              <w:keepNext/>
            </w:pPr>
            <w:r>
              <w:t>Department of the Treasury</w:t>
            </w:r>
          </w:p>
        </w:tc>
        <w:tc>
          <w:tcPr>
            <w:tcW w:w="1043" w:type="dxa"/>
            <w:tcBorders>
              <w:top w:val="single" w:sz="4" w:space="0" w:color="000000"/>
              <w:bottom w:val="single" w:sz="4" w:space="0" w:color="000000"/>
            </w:tcBorders>
          </w:tcPr>
          <w:p w14:paraId="373F3214" w14:textId="63F3AB86"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E70FACB" w14:textId="77777777" w:rsidR="00B449D0" w:rsidRDefault="00175344">
            <w:pPr>
              <w:pStyle w:val="MeasureTableDataRightAlignedwith2ptsspacing"/>
              <w:keepNext/>
            </w:pPr>
            <w:r>
              <w:t>5.2</w:t>
            </w:r>
          </w:p>
        </w:tc>
        <w:tc>
          <w:tcPr>
            <w:tcW w:w="1043" w:type="dxa"/>
            <w:tcBorders>
              <w:top w:val="single" w:sz="4" w:space="0" w:color="000000"/>
              <w:bottom w:val="single" w:sz="4" w:space="0" w:color="000000"/>
            </w:tcBorders>
          </w:tcPr>
          <w:p w14:paraId="1F51EE4D" w14:textId="77777777" w:rsidR="00B449D0" w:rsidRDefault="00175344">
            <w:pPr>
              <w:pStyle w:val="MeasureTableDataRightAlignedwith2ptsspacing"/>
              <w:keepNext/>
            </w:pPr>
            <w:r>
              <w:t>9.5</w:t>
            </w:r>
          </w:p>
        </w:tc>
        <w:tc>
          <w:tcPr>
            <w:tcW w:w="1043" w:type="dxa"/>
            <w:tcBorders>
              <w:top w:val="single" w:sz="4" w:space="0" w:color="000000"/>
              <w:bottom w:val="single" w:sz="4" w:space="0" w:color="000000"/>
            </w:tcBorders>
          </w:tcPr>
          <w:p w14:paraId="252FCE6D" w14:textId="51934F9A"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60EE5E5" w14:textId="0EE8A816" w:rsidR="00B449D0" w:rsidRDefault="00076D78">
            <w:pPr>
              <w:pStyle w:val="MeasureTableDataRightAlignedwith2ptsspacing"/>
              <w:keepNext/>
            </w:pPr>
            <w:r>
              <w:noBreakHyphen/>
            </w:r>
          </w:p>
        </w:tc>
      </w:tr>
      <w:tr w:rsidR="00B449D0" w14:paraId="03D67E63" w14:textId="77777777">
        <w:trPr>
          <w:cantSplit/>
        </w:trPr>
        <w:tc>
          <w:tcPr>
            <w:tcW w:w="2494" w:type="dxa"/>
            <w:tcBorders>
              <w:top w:val="single" w:sz="4" w:space="0" w:color="000000"/>
              <w:bottom w:val="single" w:sz="4" w:space="0" w:color="000000"/>
            </w:tcBorders>
          </w:tcPr>
          <w:p w14:paraId="43675DD8" w14:textId="77777777" w:rsidR="00B449D0" w:rsidRDefault="00175344">
            <w:pPr>
              <w:pStyle w:val="MeasureTableHeadingleftalignedwith2ptsspacing"/>
              <w:keepNext/>
            </w:pPr>
            <w:r>
              <w:t>Australian Securities and Investments Commission</w:t>
            </w:r>
          </w:p>
        </w:tc>
        <w:tc>
          <w:tcPr>
            <w:tcW w:w="1043" w:type="dxa"/>
            <w:tcBorders>
              <w:top w:val="single" w:sz="4" w:space="0" w:color="000000"/>
              <w:bottom w:val="single" w:sz="4" w:space="0" w:color="000000"/>
            </w:tcBorders>
          </w:tcPr>
          <w:p w14:paraId="6F87F16C" w14:textId="21F7C732"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D45A0CA" w14:textId="07DD7BB6"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0336363C" w14:textId="604A7EBF"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51CB4EE6" w14:textId="403CFC19"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F9EA2BF" w14:textId="62FFA906" w:rsidR="00B449D0" w:rsidRDefault="00076D78">
            <w:pPr>
              <w:pStyle w:val="MeasureTableDataRightAlignedwith2ptsspacing"/>
              <w:keepNext/>
            </w:pPr>
            <w:r>
              <w:noBreakHyphen/>
            </w:r>
          </w:p>
        </w:tc>
      </w:tr>
      <w:tr w:rsidR="00B449D0" w14:paraId="16DA0B3B" w14:textId="77777777">
        <w:trPr>
          <w:cantSplit/>
        </w:trPr>
        <w:tc>
          <w:tcPr>
            <w:tcW w:w="2494" w:type="dxa"/>
            <w:tcBorders>
              <w:top w:val="single" w:sz="4" w:space="0" w:color="000000"/>
              <w:bottom w:val="single" w:sz="4" w:space="0" w:color="000000"/>
            </w:tcBorders>
          </w:tcPr>
          <w:p w14:paraId="56BB5F53"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6D44D84E" w14:textId="0B7FFD52"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052B0A6C" w14:textId="77777777" w:rsidR="00B449D0" w:rsidRDefault="00175344">
            <w:pPr>
              <w:pStyle w:val="Totaldatarowrightaligned"/>
              <w:keepNext/>
            </w:pPr>
            <w:r>
              <w:t>5.2</w:t>
            </w:r>
          </w:p>
        </w:tc>
        <w:tc>
          <w:tcPr>
            <w:tcW w:w="1043" w:type="dxa"/>
            <w:tcBorders>
              <w:top w:val="single" w:sz="4" w:space="0" w:color="000000"/>
              <w:bottom w:val="single" w:sz="4" w:space="0" w:color="000000"/>
            </w:tcBorders>
          </w:tcPr>
          <w:p w14:paraId="5F3B7BDE" w14:textId="77777777" w:rsidR="00B449D0" w:rsidRDefault="00175344">
            <w:pPr>
              <w:pStyle w:val="Totaldatarowrightaligned"/>
              <w:keepNext/>
            </w:pPr>
            <w:r>
              <w:t>9.5</w:t>
            </w:r>
          </w:p>
        </w:tc>
        <w:tc>
          <w:tcPr>
            <w:tcW w:w="1043" w:type="dxa"/>
            <w:tcBorders>
              <w:top w:val="single" w:sz="4" w:space="0" w:color="000000"/>
              <w:bottom w:val="single" w:sz="4" w:space="0" w:color="000000"/>
            </w:tcBorders>
          </w:tcPr>
          <w:p w14:paraId="080BDB0E" w14:textId="6F3964CE"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49DF4EAC" w14:textId="4BC25AF7" w:rsidR="00B449D0" w:rsidRDefault="00076D78">
            <w:pPr>
              <w:pStyle w:val="Totaldatarowrightaligned"/>
              <w:keepNext/>
            </w:pPr>
            <w:r>
              <w:noBreakHyphen/>
            </w:r>
          </w:p>
        </w:tc>
      </w:tr>
    </w:tbl>
    <w:p w14:paraId="45ED9BBE" w14:textId="77777777" w:rsidR="00B449D0" w:rsidRDefault="00B449D0" w:rsidP="00380A42">
      <w:pPr>
        <w:pStyle w:val="SingleParagraph0"/>
      </w:pPr>
    </w:p>
    <w:p w14:paraId="477CA289" w14:textId="77777777" w:rsidR="00B449D0" w:rsidRDefault="00175344">
      <w:pPr>
        <w:pStyle w:val="Normal2"/>
      </w:pPr>
      <w:r w:rsidRPr="7F762F0D">
        <w:rPr>
          <w:lang w:val="en-US"/>
        </w:rPr>
        <w:t>The Government will provide $14.7 million over two years from 2024–25 to establish an external dispute resolution scheme for scams to be administered by the Australian Financial Complaints Authority. The Scheme will provide a pathway for consumers to seek redress under the Scams Prevention Framework, which will initially apply to the banking, telecommunications and digital platforms sectors. Once operational, the Scheme will be fully cost recovered from industry.</w:t>
      </w:r>
    </w:p>
    <w:p w14:paraId="13744BCC" w14:textId="77777777" w:rsidR="00B449D0" w:rsidRDefault="00175344">
      <w:pPr>
        <w:pStyle w:val="Normal2"/>
      </w:pPr>
      <w:r>
        <w:t xml:space="preserve">This measure builds on the 2024–25 Budget measure titled </w:t>
      </w:r>
      <w:r w:rsidRPr="00175344">
        <w:rPr>
          <w:i/>
        </w:rPr>
        <w:t>Fighting Scams</w:t>
      </w:r>
      <w:r>
        <w:t>.</w:t>
      </w:r>
    </w:p>
    <w:p w14:paraId="6F8C8568" w14:textId="77777777" w:rsidR="00B449D0" w:rsidRDefault="00175344">
      <w:pPr>
        <w:pStyle w:val="MeasureTitle"/>
      </w:pPr>
      <w:r>
        <w:t>Superannuation in Retirement</w:t>
      </w:r>
    </w:p>
    <w:p w14:paraId="7CE6DEBD"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36E799AC" w14:textId="77777777">
        <w:trPr>
          <w:cantSplit/>
        </w:trPr>
        <w:tc>
          <w:tcPr>
            <w:tcW w:w="2494" w:type="dxa"/>
            <w:tcBorders>
              <w:top w:val="single" w:sz="4" w:space="0" w:color="000000"/>
              <w:bottom w:val="single" w:sz="4" w:space="0" w:color="000000"/>
            </w:tcBorders>
          </w:tcPr>
          <w:p w14:paraId="3FFBF185" w14:textId="77777777" w:rsidR="00B449D0" w:rsidRDefault="00B449D0">
            <w:pPr>
              <w:pStyle w:val="MeasureTableYearHeadings"/>
              <w:keepNext/>
            </w:pPr>
          </w:p>
        </w:tc>
        <w:tc>
          <w:tcPr>
            <w:tcW w:w="1043" w:type="dxa"/>
            <w:tcBorders>
              <w:top w:val="single" w:sz="4" w:space="0" w:color="000000"/>
              <w:bottom w:val="single" w:sz="4" w:space="0" w:color="000000"/>
            </w:tcBorders>
          </w:tcPr>
          <w:p w14:paraId="3F6D54B5" w14:textId="02ED30A3"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605771FA" w14:textId="30120A60"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15BC75F0" w14:textId="056F796C"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7A054429" w14:textId="16778E02"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3714E024" w14:textId="369639A8" w:rsidR="00B449D0" w:rsidRDefault="00175344">
            <w:pPr>
              <w:pStyle w:val="MeasureTableYearHeadings"/>
              <w:keepNext/>
            </w:pPr>
            <w:r>
              <w:t>2027</w:t>
            </w:r>
            <w:r w:rsidR="00076D78">
              <w:noBreakHyphen/>
            </w:r>
            <w:r>
              <w:t>28</w:t>
            </w:r>
          </w:p>
        </w:tc>
      </w:tr>
      <w:tr w:rsidR="00B449D0" w14:paraId="5F650487" w14:textId="77777777">
        <w:trPr>
          <w:cantSplit/>
        </w:trPr>
        <w:tc>
          <w:tcPr>
            <w:tcW w:w="2494" w:type="dxa"/>
            <w:tcBorders>
              <w:top w:val="single" w:sz="4" w:space="0" w:color="000000"/>
              <w:bottom w:val="single" w:sz="4" w:space="0" w:color="000000"/>
            </w:tcBorders>
          </w:tcPr>
          <w:p w14:paraId="6DFF3818" w14:textId="77777777" w:rsidR="00B449D0" w:rsidRDefault="00175344">
            <w:pPr>
              <w:pStyle w:val="MeasureTableHeadingleftalignedwith2ptsspacing"/>
              <w:keepNext/>
            </w:pPr>
            <w:r>
              <w:t>Australian Securities and Investments Commission</w:t>
            </w:r>
          </w:p>
        </w:tc>
        <w:tc>
          <w:tcPr>
            <w:tcW w:w="1043" w:type="dxa"/>
            <w:tcBorders>
              <w:top w:val="single" w:sz="4" w:space="0" w:color="000000"/>
              <w:bottom w:val="single" w:sz="4" w:space="0" w:color="000000"/>
            </w:tcBorders>
          </w:tcPr>
          <w:p w14:paraId="7317DE09" w14:textId="6945FC08"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5AE0011" w14:textId="77777777" w:rsidR="00B449D0" w:rsidRDefault="00175344">
            <w:pPr>
              <w:pStyle w:val="MeasureTableDataRightAlignedwith2ptsspacing"/>
              <w:keepNext/>
            </w:pPr>
            <w:r>
              <w:t>3.5</w:t>
            </w:r>
          </w:p>
        </w:tc>
        <w:tc>
          <w:tcPr>
            <w:tcW w:w="1043" w:type="dxa"/>
            <w:tcBorders>
              <w:top w:val="single" w:sz="4" w:space="0" w:color="000000"/>
              <w:bottom w:val="single" w:sz="4" w:space="0" w:color="000000"/>
            </w:tcBorders>
          </w:tcPr>
          <w:p w14:paraId="2F4595AC" w14:textId="77777777" w:rsidR="00B449D0" w:rsidRDefault="00175344">
            <w:pPr>
              <w:pStyle w:val="MeasureTableDataRightAlignedwith2ptsspacing"/>
              <w:keepNext/>
            </w:pPr>
            <w:r>
              <w:t>2.9</w:t>
            </w:r>
          </w:p>
        </w:tc>
        <w:tc>
          <w:tcPr>
            <w:tcW w:w="1043" w:type="dxa"/>
            <w:tcBorders>
              <w:top w:val="single" w:sz="4" w:space="0" w:color="000000"/>
              <w:bottom w:val="single" w:sz="4" w:space="0" w:color="000000"/>
            </w:tcBorders>
          </w:tcPr>
          <w:p w14:paraId="1B8BA6F4" w14:textId="77777777" w:rsidR="00B449D0" w:rsidRDefault="00175344">
            <w:pPr>
              <w:pStyle w:val="MeasureTableDataRightAlignedwith2ptsspacing"/>
              <w:keepNext/>
            </w:pPr>
            <w:r>
              <w:t>2.9</w:t>
            </w:r>
          </w:p>
        </w:tc>
        <w:tc>
          <w:tcPr>
            <w:tcW w:w="1043" w:type="dxa"/>
            <w:tcBorders>
              <w:top w:val="single" w:sz="4" w:space="0" w:color="000000"/>
              <w:bottom w:val="single" w:sz="4" w:space="0" w:color="000000"/>
            </w:tcBorders>
          </w:tcPr>
          <w:p w14:paraId="57908C59" w14:textId="77777777" w:rsidR="00B449D0" w:rsidRDefault="00175344">
            <w:pPr>
              <w:pStyle w:val="MeasureTableDataRightAlignedwith2ptsspacing"/>
              <w:keepNext/>
            </w:pPr>
            <w:r>
              <w:t>2.9</w:t>
            </w:r>
          </w:p>
        </w:tc>
      </w:tr>
      <w:tr w:rsidR="00B449D0" w14:paraId="040344C1" w14:textId="77777777">
        <w:trPr>
          <w:cantSplit/>
        </w:trPr>
        <w:tc>
          <w:tcPr>
            <w:tcW w:w="2494" w:type="dxa"/>
            <w:tcBorders>
              <w:top w:val="single" w:sz="4" w:space="0" w:color="000000"/>
              <w:bottom w:val="single" w:sz="4" w:space="0" w:color="000000"/>
            </w:tcBorders>
          </w:tcPr>
          <w:p w14:paraId="416B92D9" w14:textId="77777777" w:rsidR="00B449D0" w:rsidRDefault="00175344">
            <w:pPr>
              <w:pStyle w:val="MeasureTableHeadingleftalignedwith2ptsspacing"/>
              <w:keepNext/>
            </w:pPr>
            <w:r>
              <w:t>Australian Prudential Regulation Authority</w:t>
            </w:r>
          </w:p>
        </w:tc>
        <w:tc>
          <w:tcPr>
            <w:tcW w:w="1043" w:type="dxa"/>
            <w:tcBorders>
              <w:top w:val="single" w:sz="4" w:space="0" w:color="000000"/>
              <w:bottom w:val="single" w:sz="4" w:space="0" w:color="000000"/>
            </w:tcBorders>
          </w:tcPr>
          <w:p w14:paraId="56ED6692" w14:textId="61BC077D"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6C84E3C6" w14:textId="77777777" w:rsidR="00B449D0" w:rsidRDefault="00175344">
            <w:pPr>
              <w:pStyle w:val="MeasureTableDataRightAlignedwith2ptsspacing"/>
              <w:keepNext/>
            </w:pPr>
            <w:r>
              <w:t>1.3</w:t>
            </w:r>
          </w:p>
        </w:tc>
        <w:tc>
          <w:tcPr>
            <w:tcW w:w="1043" w:type="dxa"/>
            <w:tcBorders>
              <w:top w:val="single" w:sz="4" w:space="0" w:color="000000"/>
              <w:bottom w:val="single" w:sz="4" w:space="0" w:color="000000"/>
            </w:tcBorders>
          </w:tcPr>
          <w:p w14:paraId="412322FB" w14:textId="77777777" w:rsidR="00B449D0" w:rsidRDefault="00175344">
            <w:pPr>
              <w:pStyle w:val="MeasureTableDataRightAlignedwith2ptsspacing"/>
              <w:keepNext/>
            </w:pPr>
            <w:r>
              <w:t>2.0</w:t>
            </w:r>
          </w:p>
        </w:tc>
        <w:tc>
          <w:tcPr>
            <w:tcW w:w="1043" w:type="dxa"/>
            <w:tcBorders>
              <w:top w:val="single" w:sz="4" w:space="0" w:color="000000"/>
              <w:bottom w:val="single" w:sz="4" w:space="0" w:color="000000"/>
            </w:tcBorders>
          </w:tcPr>
          <w:p w14:paraId="7C01E15B" w14:textId="77777777" w:rsidR="00B449D0" w:rsidRDefault="00175344">
            <w:pPr>
              <w:pStyle w:val="MeasureTableDataRightAlignedwith2ptsspacing"/>
              <w:keepNext/>
            </w:pPr>
            <w:r>
              <w:t>2.5</w:t>
            </w:r>
          </w:p>
        </w:tc>
        <w:tc>
          <w:tcPr>
            <w:tcW w:w="1043" w:type="dxa"/>
            <w:tcBorders>
              <w:top w:val="single" w:sz="4" w:space="0" w:color="000000"/>
              <w:bottom w:val="single" w:sz="4" w:space="0" w:color="000000"/>
            </w:tcBorders>
          </w:tcPr>
          <w:p w14:paraId="6F2F48A8" w14:textId="77777777" w:rsidR="00B449D0" w:rsidRDefault="00175344">
            <w:pPr>
              <w:pStyle w:val="MeasureTableDataRightAlignedwith2ptsspacing"/>
              <w:keepNext/>
            </w:pPr>
            <w:r>
              <w:t>0.9</w:t>
            </w:r>
          </w:p>
        </w:tc>
      </w:tr>
      <w:tr w:rsidR="00B449D0" w14:paraId="6C6C249A" w14:textId="77777777">
        <w:trPr>
          <w:cantSplit/>
        </w:trPr>
        <w:tc>
          <w:tcPr>
            <w:tcW w:w="2494" w:type="dxa"/>
            <w:tcBorders>
              <w:top w:val="single" w:sz="4" w:space="0" w:color="000000"/>
              <w:bottom w:val="single" w:sz="4" w:space="0" w:color="000000"/>
            </w:tcBorders>
          </w:tcPr>
          <w:p w14:paraId="0C714D00"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71A3A4E8" w14:textId="6F7F4621"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2DFA430E" w14:textId="77777777" w:rsidR="00B449D0" w:rsidRDefault="00175344">
            <w:pPr>
              <w:pStyle w:val="Totaldatarowrightaligned"/>
              <w:keepNext/>
            </w:pPr>
            <w:r>
              <w:t>4.8</w:t>
            </w:r>
          </w:p>
        </w:tc>
        <w:tc>
          <w:tcPr>
            <w:tcW w:w="1043" w:type="dxa"/>
            <w:tcBorders>
              <w:top w:val="single" w:sz="4" w:space="0" w:color="000000"/>
              <w:bottom w:val="single" w:sz="4" w:space="0" w:color="000000"/>
            </w:tcBorders>
          </w:tcPr>
          <w:p w14:paraId="74EB43C7" w14:textId="77777777" w:rsidR="00B449D0" w:rsidRDefault="00175344">
            <w:pPr>
              <w:pStyle w:val="Totaldatarowrightaligned"/>
              <w:keepNext/>
            </w:pPr>
            <w:r>
              <w:t>4.9</w:t>
            </w:r>
          </w:p>
        </w:tc>
        <w:tc>
          <w:tcPr>
            <w:tcW w:w="1043" w:type="dxa"/>
            <w:tcBorders>
              <w:top w:val="single" w:sz="4" w:space="0" w:color="000000"/>
              <w:bottom w:val="single" w:sz="4" w:space="0" w:color="000000"/>
            </w:tcBorders>
          </w:tcPr>
          <w:p w14:paraId="00942561" w14:textId="77777777" w:rsidR="00B449D0" w:rsidRDefault="00175344">
            <w:pPr>
              <w:pStyle w:val="Totaldatarowrightaligned"/>
              <w:keepNext/>
            </w:pPr>
            <w:r>
              <w:t>5.4</w:t>
            </w:r>
          </w:p>
        </w:tc>
        <w:tc>
          <w:tcPr>
            <w:tcW w:w="1043" w:type="dxa"/>
            <w:tcBorders>
              <w:top w:val="single" w:sz="4" w:space="0" w:color="000000"/>
              <w:bottom w:val="single" w:sz="4" w:space="0" w:color="000000"/>
            </w:tcBorders>
          </w:tcPr>
          <w:p w14:paraId="4E6AA5EC" w14:textId="77777777" w:rsidR="00B449D0" w:rsidRDefault="00175344">
            <w:pPr>
              <w:pStyle w:val="Totaldatarowrightaligned"/>
              <w:keepNext/>
            </w:pPr>
            <w:r>
              <w:t>3.8</w:t>
            </w:r>
          </w:p>
        </w:tc>
      </w:tr>
      <w:tr w:rsidR="00B449D0" w14:paraId="0D3BE749" w14:textId="77777777">
        <w:trPr>
          <w:cantSplit/>
        </w:trPr>
        <w:tc>
          <w:tcPr>
            <w:tcW w:w="2494" w:type="dxa"/>
          </w:tcPr>
          <w:p w14:paraId="0BC51365" w14:textId="77777777" w:rsidR="00B449D0" w:rsidRDefault="00175344">
            <w:pPr>
              <w:pStyle w:val="AgencyName"/>
              <w:keepNext/>
            </w:pPr>
            <w:r>
              <w:t>Related receipts ($m)</w:t>
            </w:r>
          </w:p>
        </w:tc>
        <w:tc>
          <w:tcPr>
            <w:tcW w:w="1043" w:type="dxa"/>
          </w:tcPr>
          <w:p w14:paraId="2285CF74" w14:textId="77777777" w:rsidR="00B449D0" w:rsidRDefault="00B449D0">
            <w:pPr>
              <w:pStyle w:val="AgencyName"/>
              <w:keepNext/>
            </w:pPr>
          </w:p>
        </w:tc>
        <w:tc>
          <w:tcPr>
            <w:tcW w:w="1043" w:type="dxa"/>
          </w:tcPr>
          <w:p w14:paraId="02744CBE" w14:textId="77777777" w:rsidR="00B449D0" w:rsidRDefault="00B449D0">
            <w:pPr>
              <w:pStyle w:val="AgencyName"/>
              <w:keepNext/>
            </w:pPr>
          </w:p>
        </w:tc>
        <w:tc>
          <w:tcPr>
            <w:tcW w:w="1043" w:type="dxa"/>
          </w:tcPr>
          <w:p w14:paraId="42B0BFF5" w14:textId="77777777" w:rsidR="00B449D0" w:rsidRDefault="00B449D0">
            <w:pPr>
              <w:pStyle w:val="AgencyName"/>
              <w:keepNext/>
            </w:pPr>
          </w:p>
        </w:tc>
        <w:tc>
          <w:tcPr>
            <w:tcW w:w="1043" w:type="dxa"/>
          </w:tcPr>
          <w:p w14:paraId="11C0F6EC" w14:textId="77777777" w:rsidR="00B449D0" w:rsidRDefault="00B449D0">
            <w:pPr>
              <w:pStyle w:val="AgencyName"/>
              <w:keepNext/>
            </w:pPr>
          </w:p>
        </w:tc>
        <w:tc>
          <w:tcPr>
            <w:tcW w:w="1043" w:type="dxa"/>
          </w:tcPr>
          <w:p w14:paraId="32CD68D8" w14:textId="77777777" w:rsidR="00B449D0" w:rsidRDefault="00B449D0">
            <w:pPr>
              <w:pStyle w:val="AgencyName"/>
              <w:keepNext/>
            </w:pPr>
          </w:p>
        </w:tc>
      </w:tr>
      <w:tr w:rsidR="00B449D0" w14:paraId="5A99990D" w14:textId="77777777">
        <w:tc>
          <w:tcPr>
            <w:tcW w:w="2494" w:type="dxa"/>
          </w:tcPr>
          <w:p w14:paraId="4E249391" w14:textId="77777777" w:rsidR="00B449D0" w:rsidRDefault="00175344">
            <w:pPr>
              <w:pStyle w:val="AgencyNamewith2ptsspacing"/>
              <w:keepNext/>
            </w:pPr>
            <w:r>
              <w:t>Australian Prudential Regulation Authority</w:t>
            </w:r>
          </w:p>
        </w:tc>
        <w:tc>
          <w:tcPr>
            <w:tcW w:w="1043" w:type="dxa"/>
          </w:tcPr>
          <w:p w14:paraId="6C3DF66B" w14:textId="56A8238B" w:rsidR="00B449D0" w:rsidRDefault="00076D78">
            <w:pPr>
              <w:pStyle w:val="Measuretabledatarightaligneditalics"/>
              <w:keepNext/>
            </w:pPr>
            <w:r>
              <w:noBreakHyphen/>
            </w:r>
          </w:p>
        </w:tc>
        <w:tc>
          <w:tcPr>
            <w:tcW w:w="1043" w:type="dxa"/>
          </w:tcPr>
          <w:p w14:paraId="2023516C" w14:textId="77777777" w:rsidR="00B449D0" w:rsidRDefault="00175344">
            <w:pPr>
              <w:pStyle w:val="Measuretabledatarightaligneditalics"/>
              <w:keepNext/>
            </w:pPr>
            <w:r>
              <w:t>1.3</w:t>
            </w:r>
          </w:p>
        </w:tc>
        <w:tc>
          <w:tcPr>
            <w:tcW w:w="1043" w:type="dxa"/>
          </w:tcPr>
          <w:p w14:paraId="05F75B1A" w14:textId="77777777" w:rsidR="00B449D0" w:rsidRDefault="00175344">
            <w:pPr>
              <w:pStyle w:val="Measuretabledatarightaligneditalics"/>
              <w:keepNext/>
            </w:pPr>
            <w:r>
              <w:t>2.0</w:t>
            </w:r>
          </w:p>
        </w:tc>
        <w:tc>
          <w:tcPr>
            <w:tcW w:w="1043" w:type="dxa"/>
          </w:tcPr>
          <w:p w14:paraId="7D6EB721" w14:textId="77777777" w:rsidR="00B449D0" w:rsidRDefault="00175344">
            <w:pPr>
              <w:pStyle w:val="Measuretabledatarightaligneditalics"/>
              <w:keepNext/>
            </w:pPr>
            <w:r>
              <w:t>2.5</w:t>
            </w:r>
          </w:p>
        </w:tc>
        <w:tc>
          <w:tcPr>
            <w:tcW w:w="1043" w:type="dxa"/>
          </w:tcPr>
          <w:p w14:paraId="1B746028" w14:textId="77777777" w:rsidR="00B449D0" w:rsidRDefault="00175344">
            <w:pPr>
              <w:pStyle w:val="Measuretabledatarightaligneditalics"/>
              <w:keepNext/>
            </w:pPr>
            <w:r>
              <w:t>0.9</w:t>
            </w:r>
          </w:p>
        </w:tc>
      </w:tr>
      <w:tr w:rsidR="00B449D0" w14:paraId="0F594458" w14:textId="77777777">
        <w:trPr>
          <w:cantSplit/>
        </w:trPr>
        <w:tc>
          <w:tcPr>
            <w:tcW w:w="2494" w:type="dxa"/>
            <w:tcBorders>
              <w:top w:val="single" w:sz="4" w:space="0" w:color="000000"/>
              <w:bottom w:val="single" w:sz="4" w:space="0" w:color="000000"/>
            </w:tcBorders>
          </w:tcPr>
          <w:p w14:paraId="51915C3E" w14:textId="77777777" w:rsidR="00B449D0" w:rsidRDefault="00175344">
            <w:pPr>
              <w:pStyle w:val="AgencyNamewith2ptsspacing"/>
              <w:keepNext/>
            </w:pPr>
            <w:r>
              <w:t>Australian Securities and Investments Commission</w:t>
            </w:r>
          </w:p>
        </w:tc>
        <w:tc>
          <w:tcPr>
            <w:tcW w:w="1043" w:type="dxa"/>
            <w:tcBorders>
              <w:top w:val="single" w:sz="4" w:space="0" w:color="000000"/>
              <w:bottom w:val="single" w:sz="4" w:space="0" w:color="000000"/>
            </w:tcBorders>
          </w:tcPr>
          <w:p w14:paraId="508C8C2A" w14:textId="40C1FD55" w:rsidR="00B449D0" w:rsidRDefault="00076D78">
            <w:pPr>
              <w:pStyle w:val="Measuretabledatarightaligneditalics"/>
              <w:keepNext/>
            </w:pPr>
            <w:r>
              <w:noBreakHyphen/>
            </w:r>
          </w:p>
        </w:tc>
        <w:tc>
          <w:tcPr>
            <w:tcW w:w="1043" w:type="dxa"/>
            <w:tcBorders>
              <w:top w:val="single" w:sz="4" w:space="0" w:color="000000"/>
              <w:bottom w:val="single" w:sz="4" w:space="0" w:color="000000"/>
            </w:tcBorders>
          </w:tcPr>
          <w:p w14:paraId="3AEA18B3" w14:textId="138E3EFC" w:rsidR="00B449D0" w:rsidRDefault="00076D78">
            <w:pPr>
              <w:pStyle w:val="Measuretabledatarightaligneditalics"/>
              <w:keepNext/>
            </w:pPr>
            <w:r>
              <w:noBreakHyphen/>
            </w:r>
          </w:p>
        </w:tc>
        <w:tc>
          <w:tcPr>
            <w:tcW w:w="1043" w:type="dxa"/>
            <w:tcBorders>
              <w:top w:val="single" w:sz="4" w:space="0" w:color="000000"/>
              <w:bottom w:val="single" w:sz="4" w:space="0" w:color="000000"/>
            </w:tcBorders>
          </w:tcPr>
          <w:p w14:paraId="41C26504" w14:textId="77777777" w:rsidR="00B449D0" w:rsidRDefault="00175344">
            <w:pPr>
              <w:pStyle w:val="Measuretabledatarightaligneditalics"/>
              <w:keepNext/>
            </w:pPr>
            <w:r>
              <w:t>3.5</w:t>
            </w:r>
          </w:p>
        </w:tc>
        <w:tc>
          <w:tcPr>
            <w:tcW w:w="1043" w:type="dxa"/>
            <w:tcBorders>
              <w:top w:val="single" w:sz="4" w:space="0" w:color="000000"/>
              <w:bottom w:val="single" w:sz="4" w:space="0" w:color="000000"/>
            </w:tcBorders>
          </w:tcPr>
          <w:p w14:paraId="59AA2A0F" w14:textId="77777777" w:rsidR="00B449D0" w:rsidRDefault="00175344">
            <w:pPr>
              <w:pStyle w:val="Measuretabledatarightaligneditalics"/>
              <w:keepNext/>
            </w:pPr>
            <w:r>
              <w:t>2.9</w:t>
            </w:r>
          </w:p>
        </w:tc>
        <w:tc>
          <w:tcPr>
            <w:tcW w:w="1043" w:type="dxa"/>
            <w:tcBorders>
              <w:top w:val="single" w:sz="4" w:space="0" w:color="000000"/>
              <w:bottom w:val="single" w:sz="4" w:space="0" w:color="000000"/>
            </w:tcBorders>
          </w:tcPr>
          <w:p w14:paraId="701C78F5" w14:textId="77777777" w:rsidR="00B449D0" w:rsidRDefault="00175344">
            <w:pPr>
              <w:pStyle w:val="Measuretabledatarightaligneditalics"/>
              <w:keepNext/>
            </w:pPr>
            <w:r>
              <w:t>2.9</w:t>
            </w:r>
          </w:p>
        </w:tc>
      </w:tr>
      <w:tr w:rsidR="00B449D0" w14:paraId="460B9527" w14:textId="77777777">
        <w:trPr>
          <w:cantSplit/>
        </w:trPr>
        <w:tc>
          <w:tcPr>
            <w:tcW w:w="2494" w:type="dxa"/>
            <w:tcBorders>
              <w:top w:val="single" w:sz="4" w:space="0" w:color="000000"/>
              <w:bottom w:val="single" w:sz="4" w:space="0" w:color="000000"/>
            </w:tcBorders>
          </w:tcPr>
          <w:p w14:paraId="6E9FA8D3" w14:textId="77777777" w:rsidR="00B449D0" w:rsidRDefault="00175344">
            <w:pPr>
              <w:pStyle w:val="AgencyNamewith2ptsspacing"/>
              <w:keepNext/>
            </w:pPr>
            <w:r>
              <w:t>Australian Taxation Office</w:t>
            </w:r>
          </w:p>
        </w:tc>
        <w:tc>
          <w:tcPr>
            <w:tcW w:w="1043" w:type="dxa"/>
            <w:tcBorders>
              <w:top w:val="single" w:sz="4" w:space="0" w:color="000000"/>
              <w:bottom w:val="single" w:sz="4" w:space="0" w:color="000000"/>
            </w:tcBorders>
          </w:tcPr>
          <w:p w14:paraId="7E1CA414" w14:textId="19EC2794" w:rsidR="00B449D0" w:rsidRDefault="00076D78">
            <w:pPr>
              <w:pStyle w:val="Measuretabledatarightaligneditalics"/>
              <w:keepNext/>
            </w:pPr>
            <w:r>
              <w:noBreakHyphen/>
            </w:r>
          </w:p>
        </w:tc>
        <w:tc>
          <w:tcPr>
            <w:tcW w:w="1043" w:type="dxa"/>
            <w:tcBorders>
              <w:top w:val="single" w:sz="4" w:space="0" w:color="000000"/>
              <w:bottom w:val="single" w:sz="4" w:space="0" w:color="000000"/>
            </w:tcBorders>
          </w:tcPr>
          <w:p w14:paraId="2BCF962B" w14:textId="73AA922C" w:rsidR="00B449D0" w:rsidRDefault="00076D78">
            <w:pPr>
              <w:pStyle w:val="Measuretabledatarightaligneditalics"/>
              <w:keepNext/>
            </w:pPr>
            <w:r>
              <w:noBreakHyphen/>
            </w:r>
          </w:p>
        </w:tc>
        <w:tc>
          <w:tcPr>
            <w:tcW w:w="1043" w:type="dxa"/>
            <w:tcBorders>
              <w:top w:val="single" w:sz="4" w:space="0" w:color="000000"/>
              <w:bottom w:val="single" w:sz="4" w:space="0" w:color="000000"/>
            </w:tcBorders>
          </w:tcPr>
          <w:p w14:paraId="55C0AFAF" w14:textId="030F0481" w:rsidR="00B449D0" w:rsidRDefault="00076D78">
            <w:pPr>
              <w:pStyle w:val="Measuretabledatarightaligneditalics"/>
              <w:keepNext/>
            </w:pPr>
            <w:r>
              <w:noBreakHyphen/>
            </w:r>
          </w:p>
        </w:tc>
        <w:tc>
          <w:tcPr>
            <w:tcW w:w="1043" w:type="dxa"/>
            <w:tcBorders>
              <w:top w:val="single" w:sz="4" w:space="0" w:color="000000"/>
              <w:bottom w:val="single" w:sz="4" w:space="0" w:color="000000"/>
            </w:tcBorders>
          </w:tcPr>
          <w:p w14:paraId="5C20B207" w14:textId="372CB169" w:rsidR="00B449D0" w:rsidRDefault="009D5FCA">
            <w:pPr>
              <w:pStyle w:val="Measuretabledatarightaligneditalics"/>
              <w:keepNext/>
            </w:pPr>
            <w:r>
              <w:t>..</w:t>
            </w:r>
          </w:p>
        </w:tc>
        <w:tc>
          <w:tcPr>
            <w:tcW w:w="1043" w:type="dxa"/>
            <w:tcBorders>
              <w:top w:val="single" w:sz="4" w:space="0" w:color="000000"/>
              <w:bottom w:val="single" w:sz="4" w:space="0" w:color="000000"/>
            </w:tcBorders>
          </w:tcPr>
          <w:p w14:paraId="6D5A8E22" w14:textId="10154AA4" w:rsidR="00B449D0" w:rsidRDefault="009D5FCA">
            <w:pPr>
              <w:pStyle w:val="Measuretabledatarightaligneditalics"/>
              <w:keepNext/>
            </w:pPr>
            <w:r>
              <w:t>..</w:t>
            </w:r>
          </w:p>
        </w:tc>
      </w:tr>
      <w:tr w:rsidR="00B449D0" w14:paraId="44940E37" w14:textId="77777777">
        <w:trPr>
          <w:cantSplit/>
        </w:trPr>
        <w:tc>
          <w:tcPr>
            <w:tcW w:w="2494" w:type="dxa"/>
            <w:tcBorders>
              <w:top w:val="single" w:sz="4" w:space="0" w:color="000000"/>
              <w:bottom w:val="single" w:sz="4" w:space="0" w:color="000000"/>
            </w:tcBorders>
          </w:tcPr>
          <w:p w14:paraId="4565DB19" w14:textId="77777777" w:rsidR="00B449D0" w:rsidRDefault="00175344">
            <w:pPr>
              <w:pStyle w:val="Totalrowitalicsleftaligned"/>
              <w:keepNext/>
            </w:pPr>
            <w:r>
              <w:t>Total – Receipts</w:t>
            </w:r>
          </w:p>
        </w:tc>
        <w:tc>
          <w:tcPr>
            <w:tcW w:w="1043" w:type="dxa"/>
            <w:tcBorders>
              <w:top w:val="single" w:sz="4" w:space="0" w:color="000000"/>
              <w:bottom w:val="single" w:sz="4" w:space="0" w:color="000000"/>
            </w:tcBorders>
          </w:tcPr>
          <w:p w14:paraId="6F93376E" w14:textId="2EADF2A9" w:rsidR="00B449D0" w:rsidRDefault="00076D78">
            <w:pPr>
              <w:pStyle w:val="Measuretabledatarightaligneditalics"/>
              <w:keepNext/>
            </w:pPr>
            <w:r>
              <w:noBreakHyphen/>
            </w:r>
          </w:p>
        </w:tc>
        <w:tc>
          <w:tcPr>
            <w:tcW w:w="1043" w:type="dxa"/>
            <w:tcBorders>
              <w:top w:val="single" w:sz="4" w:space="0" w:color="000000"/>
              <w:bottom w:val="single" w:sz="4" w:space="0" w:color="000000"/>
            </w:tcBorders>
          </w:tcPr>
          <w:p w14:paraId="7DC25FA2" w14:textId="77777777" w:rsidR="00B449D0" w:rsidRDefault="00175344">
            <w:pPr>
              <w:pStyle w:val="Measuretabledatarightaligneditalics"/>
              <w:keepNext/>
            </w:pPr>
            <w:r>
              <w:t>1.3</w:t>
            </w:r>
          </w:p>
        </w:tc>
        <w:tc>
          <w:tcPr>
            <w:tcW w:w="1043" w:type="dxa"/>
            <w:tcBorders>
              <w:top w:val="single" w:sz="4" w:space="0" w:color="000000"/>
              <w:bottom w:val="single" w:sz="4" w:space="0" w:color="000000"/>
            </w:tcBorders>
          </w:tcPr>
          <w:p w14:paraId="24DBC09D" w14:textId="77777777" w:rsidR="00B449D0" w:rsidRDefault="00175344">
            <w:pPr>
              <w:pStyle w:val="Measuretabledatarightaligneditalics"/>
              <w:keepNext/>
            </w:pPr>
            <w:r>
              <w:t>5.5</w:t>
            </w:r>
          </w:p>
        </w:tc>
        <w:tc>
          <w:tcPr>
            <w:tcW w:w="1043" w:type="dxa"/>
            <w:tcBorders>
              <w:top w:val="single" w:sz="4" w:space="0" w:color="000000"/>
              <w:bottom w:val="single" w:sz="4" w:space="0" w:color="000000"/>
            </w:tcBorders>
          </w:tcPr>
          <w:p w14:paraId="1D791D21" w14:textId="77777777" w:rsidR="00B449D0" w:rsidRDefault="00175344">
            <w:pPr>
              <w:pStyle w:val="Measuretabledatarightaligneditalics"/>
              <w:keepNext/>
            </w:pPr>
            <w:r>
              <w:t>5.5</w:t>
            </w:r>
          </w:p>
        </w:tc>
        <w:tc>
          <w:tcPr>
            <w:tcW w:w="1043" w:type="dxa"/>
            <w:tcBorders>
              <w:top w:val="single" w:sz="4" w:space="0" w:color="000000"/>
              <w:bottom w:val="single" w:sz="4" w:space="0" w:color="000000"/>
            </w:tcBorders>
          </w:tcPr>
          <w:p w14:paraId="4A5F4983" w14:textId="77777777" w:rsidR="00B449D0" w:rsidRDefault="00175344">
            <w:pPr>
              <w:pStyle w:val="Measuretabledatarightaligneditalics"/>
              <w:keepNext/>
            </w:pPr>
            <w:r>
              <w:t>3.8</w:t>
            </w:r>
          </w:p>
        </w:tc>
      </w:tr>
    </w:tbl>
    <w:p w14:paraId="7EF235D5" w14:textId="77777777" w:rsidR="00B449D0" w:rsidRDefault="00B449D0" w:rsidP="00380A42">
      <w:pPr>
        <w:pStyle w:val="SingleParagraph0"/>
      </w:pPr>
    </w:p>
    <w:p w14:paraId="2D083520" w14:textId="77777777" w:rsidR="00B449D0" w:rsidRDefault="00175344">
      <w:pPr>
        <w:pStyle w:val="Normal2"/>
      </w:pPr>
      <w:r>
        <w:t>The Government will provide $18.9 million over four years from 2024–25 (and $3.2 million per year ongoing) to ensure the retirement phase of superannuation delivers a dignified retirement for more Australians. Funding includes:</w:t>
      </w:r>
    </w:p>
    <w:p w14:paraId="2EEAD322" w14:textId="475C0F38" w:rsidR="00B449D0" w:rsidRDefault="00175344">
      <w:pPr>
        <w:pStyle w:val="Bullet"/>
      </w:pPr>
      <w:r>
        <w:t xml:space="preserve">$11.5 million over four years from 2024–25 (and $2.7 million per year ongoing) for the </w:t>
      </w:r>
      <w:r w:rsidR="00097184">
        <w:t>Australian Securities and Investment</w:t>
      </w:r>
      <w:r w:rsidR="00BE6E74">
        <w:t>s</w:t>
      </w:r>
      <w:r w:rsidR="00097184">
        <w:t xml:space="preserve"> Commission (</w:t>
      </w:r>
      <w:r>
        <w:t>ASIC</w:t>
      </w:r>
      <w:r w:rsidR="00097184">
        <w:t>)</w:t>
      </w:r>
      <w:r>
        <w:t xml:space="preserve"> to enhance, expand and promote retirement resources and calculators available on the Moneysmart website</w:t>
      </w:r>
    </w:p>
    <w:p w14:paraId="01B29646" w14:textId="77777777" w:rsidR="00B449D0" w:rsidRDefault="00175344">
      <w:pPr>
        <w:pStyle w:val="Bullet"/>
      </w:pPr>
      <w:r>
        <w:t>$7.4 million over four years from 2024–25 (and $0.4 million per year ongoing) for the Australian Prudential Regulation Authority (APRA) and ASIC to introduce a retirement reporting framework to monitor the retirement outcomes delivered for members of superannuation funds in a transparent and consistent way.</w:t>
      </w:r>
    </w:p>
    <w:p w14:paraId="3B3BA384" w14:textId="77777777" w:rsidR="00B449D0" w:rsidRDefault="00175344" w:rsidP="0022710B">
      <w:pPr>
        <w:pStyle w:val="Normal2"/>
        <w:keepNext/>
      </w:pPr>
      <w:r>
        <w:lastRenderedPageBreak/>
        <w:t>The Government will also:</w:t>
      </w:r>
    </w:p>
    <w:p w14:paraId="79FCDF9C" w14:textId="77777777" w:rsidR="00B449D0" w:rsidRDefault="00175344" w:rsidP="0022710B">
      <w:pPr>
        <w:pStyle w:val="Bullet"/>
        <w:keepNext/>
      </w:pPr>
      <w:r>
        <w:t>update innovative income stream regulations to remove unintended barriers, enhance competition, and increase the attractiveness of innovative income stream products for older Australians</w:t>
      </w:r>
    </w:p>
    <w:p w14:paraId="751B60A6" w14:textId="1264596D" w:rsidR="00B449D0" w:rsidRDefault="00175344">
      <w:pPr>
        <w:pStyle w:val="Bullet"/>
      </w:pPr>
      <w:r>
        <w:t>develop a new set of voluntary best practice principles to guide the superannuation industry in designing modern, high‑quality income products that support Australians</w:t>
      </w:r>
      <w:r w:rsidR="00076D78">
        <w:t>’</w:t>
      </w:r>
      <w:r>
        <w:t xml:space="preserve"> financial security in retirement.</w:t>
      </w:r>
    </w:p>
    <w:p w14:paraId="3657BF9C" w14:textId="77777777" w:rsidR="00B449D0" w:rsidRDefault="00175344">
      <w:pPr>
        <w:pStyle w:val="Normal2"/>
      </w:pPr>
      <w:r w:rsidRPr="7F762F0D">
        <w:rPr>
          <w:lang w:val="en-US"/>
        </w:rPr>
        <w:t>The cost of this measure will be partially met from cost recovery through ASIC and APRA industry levies and from within the existing resourcing of the Treasury.</w:t>
      </w:r>
    </w:p>
    <w:p w14:paraId="5F5E8E86" w14:textId="77777777" w:rsidR="00B449D0" w:rsidRDefault="00175344">
      <w:pPr>
        <w:pStyle w:val="MeasureTitle"/>
      </w:pPr>
      <w:r>
        <w:t>Temporary Financial Assistance to the NSW Government for NSW Police Officers</w:t>
      </w:r>
    </w:p>
    <w:p w14:paraId="498E9620"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73A3C265" w14:textId="77777777">
        <w:trPr>
          <w:cantSplit/>
        </w:trPr>
        <w:tc>
          <w:tcPr>
            <w:tcW w:w="2494" w:type="dxa"/>
            <w:tcBorders>
              <w:top w:val="single" w:sz="4" w:space="0" w:color="000000"/>
              <w:bottom w:val="single" w:sz="4" w:space="0" w:color="000000"/>
            </w:tcBorders>
          </w:tcPr>
          <w:p w14:paraId="7E223598" w14:textId="77777777" w:rsidR="00B449D0" w:rsidRDefault="00B449D0">
            <w:pPr>
              <w:pStyle w:val="MeasureTableYearHeadings"/>
              <w:keepNext/>
            </w:pPr>
          </w:p>
        </w:tc>
        <w:tc>
          <w:tcPr>
            <w:tcW w:w="1043" w:type="dxa"/>
            <w:tcBorders>
              <w:top w:val="single" w:sz="4" w:space="0" w:color="000000"/>
              <w:bottom w:val="single" w:sz="4" w:space="0" w:color="000000"/>
            </w:tcBorders>
          </w:tcPr>
          <w:p w14:paraId="016EFE9C" w14:textId="431E67A0"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1A2A59DA" w14:textId="6AA6743B"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65C5B5FE" w14:textId="5A1A52F5"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6CE3C6A5" w14:textId="330ABEE9"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7948A9B7" w14:textId="524496E3" w:rsidR="00B449D0" w:rsidRDefault="00175344">
            <w:pPr>
              <w:pStyle w:val="MeasureTableYearHeadings"/>
              <w:keepNext/>
            </w:pPr>
            <w:r>
              <w:t>2027</w:t>
            </w:r>
            <w:r w:rsidR="00076D78">
              <w:noBreakHyphen/>
            </w:r>
            <w:r>
              <w:t>28</w:t>
            </w:r>
          </w:p>
        </w:tc>
      </w:tr>
      <w:tr w:rsidR="00B449D0" w14:paraId="3C336FE1" w14:textId="77777777">
        <w:trPr>
          <w:cantSplit/>
        </w:trPr>
        <w:tc>
          <w:tcPr>
            <w:tcW w:w="2494" w:type="dxa"/>
            <w:tcBorders>
              <w:top w:val="single" w:sz="4" w:space="0" w:color="000000"/>
              <w:bottom w:val="single" w:sz="4" w:space="0" w:color="000000"/>
            </w:tcBorders>
          </w:tcPr>
          <w:p w14:paraId="6C6592B3" w14:textId="77777777" w:rsidR="00B449D0" w:rsidRDefault="00175344">
            <w:pPr>
              <w:pStyle w:val="MeasureTableHeadingleftalignedwith2ptsspacing"/>
              <w:keepNext/>
            </w:pPr>
            <w:r>
              <w:t>Department of the Treasury</w:t>
            </w:r>
          </w:p>
        </w:tc>
        <w:tc>
          <w:tcPr>
            <w:tcW w:w="1043" w:type="dxa"/>
            <w:tcBorders>
              <w:top w:val="single" w:sz="4" w:space="0" w:color="000000"/>
              <w:bottom w:val="single" w:sz="4" w:space="0" w:color="000000"/>
            </w:tcBorders>
          </w:tcPr>
          <w:p w14:paraId="0FB9E088" w14:textId="169C37A3"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68E76C7D" w14:textId="77777777" w:rsidR="00B449D0" w:rsidRDefault="00175344">
            <w:pPr>
              <w:pStyle w:val="MeasureTableDataRightAlignedwith2ptsspacing"/>
              <w:keepNext/>
            </w:pPr>
            <w:r>
              <w:t>53.0</w:t>
            </w:r>
          </w:p>
        </w:tc>
        <w:tc>
          <w:tcPr>
            <w:tcW w:w="1043" w:type="dxa"/>
            <w:tcBorders>
              <w:top w:val="single" w:sz="4" w:space="0" w:color="000000"/>
              <w:bottom w:val="single" w:sz="4" w:space="0" w:color="000000"/>
            </w:tcBorders>
          </w:tcPr>
          <w:p w14:paraId="1139E243" w14:textId="77777777" w:rsidR="00B449D0" w:rsidRDefault="00175344">
            <w:pPr>
              <w:pStyle w:val="MeasureTableDataRightAlignedwith2ptsspacing"/>
              <w:keepNext/>
            </w:pPr>
            <w:r>
              <w:t>15.0</w:t>
            </w:r>
          </w:p>
        </w:tc>
        <w:tc>
          <w:tcPr>
            <w:tcW w:w="1043" w:type="dxa"/>
            <w:tcBorders>
              <w:top w:val="single" w:sz="4" w:space="0" w:color="000000"/>
              <w:bottom w:val="single" w:sz="4" w:space="0" w:color="000000"/>
            </w:tcBorders>
          </w:tcPr>
          <w:p w14:paraId="74A9D890" w14:textId="1AF92C34"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2E5FD4E" w14:textId="77B2FF08" w:rsidR="00B449D0" w:rsidRDefault="00076D78">
            <w:pPr>
              <w:pStyle w:val="MeasureTableDataRightAlignedwith2ptsspacing"/>
              <w:keepNext/>
            </w:pPr>
            <w:r>
              <w:noBreakHyphen/>
            </w:r>
          </w:p>
        </w:tc>
      </w:tr>
      <w:tr w:rsidR="00B449D0" w14:paraId="0F81CA7C" w14:textId="77777777">
        <w:trPr>
          <w:cantSplit/>
        </w:trPr>
        <w:tc>
          <w:tcPr>
            <w:tcW w:w="2494" w:type="dxa"/>
          </w:tcPr>
          <w:p w14:paraId="1C57DCB6" w14:textId="77777777" w:rsidR="00B449D0" w:rsidRDefault="00175344">
            <w:pPr>
              <w:pStyle w:val="AgencyName"/>
              <w:keepNext/>
            </w:pPr>
            <w:r>
              <w:t>Related receipts ($m)</w:t>
            </w:r>
          </w:p>
        </w:tc>
        <w:tc>
          <w:tcPr>
            <w:tcW w:w="1043" w:type="dxa"/>
          </w:tcPr>
          <w:p w14:paraId="71BB0104" w14:textId="77777777" w:rsidR="00B449D0" w:rsidRDefault="00B449D0">
            <w:pPr>
              <w:pStyle w:val="AgencyName"/>
              <w:keepNext/>
            </w:pPr>
          </w:p>
        </w:tc>
        <w:tc>
          <w:tcPr>
            <w:tcW w:w="1043" w:type="dxa"/>
          </w:tcPr>
          <w:p w14:paraId="2E22DA8F" w14:textId="77777777" w:rsidR="00B449D0" w:rsidRDefault="00B449D0">
            <w:pPr>
              <w:pStyle w:val="AgencyName"/>
              <w:keepNext/>
            </w:pPr>
          </w:p>
        </w:tc>
        <w:tc>
          <w:tcPr>
            <w:tcW w:w="1043" w:type="dxa"/>
          </w:tcPr>
          <w:p w14:paraId="0A276D34" w14:textId="77777777" w:rsidR="00B449D0" w:rsidRDefault="00B449D0">
            <w:pPr>
              <w:pStyle w:val="AgencyName"/>
              <w:keepNext/>
            </w:pPr>
          </w:p>
        </w:tc>
        <w:tc>
          <w:tcPr>
            <w:tcW w:w="1043" w:type="dxa"/>
          </w:tcPr>
          <w:p w14:paraId="259521C9" w14:textId="77777777" w:rsidR="00B449D0" w:rsidRDefault="00B449D0">
            <w:pPr>
              <w:pStyle w:val="AgencyName"/>
              <w:keepNext/>
            </w:pPr>
          </w:p>
        </w:tc>
        <w:tc>
          <w:tcPr>
            <w:tcW w:w="1043" w:type="dxa"/>
          </w:tcPr>
          <w:p w14:paraId="653DD0D8" w14:textId="77777777" w:rsidR="00B449D0" w:rsidRDefault="00B449D0">
            <w:pPr>
              <w:pStyle w:val="AgencyName"/>
              <w:keepNext/>
            </w:pPr>
          </w:p>
        </w:tc>
      </w:tr>
      <w:tr w:rsidR="00B449D0" w14:paraId="744882C0" w14:textId="77777777">
        <w:tc>
          <w:tcPr>
            <w:tcW w:w="2494" w:type="dxa"/>
          </w:tcPr>
          <w:p w14:paraId="0141ACA0" w14:textId="77777777" w:rsidR="00B449D0" w:rsidRDefault="00175344">
            <w:pPr>
              <w:pStyle w:val="AgencyNamewith2ptsspacing"/>
              <w:keepNext/>
            </w:pPr>
            <w:r>
              <w:t>Australian Taxation Office</w:t>
            </w:r>
          </w:p>
        </w:tc>
        <w:tc>
          <w:tcPr>
            <w:tcW w:w="1043" w:type="dxa"/>
          </w:tcPr>
          <w:p w14:paraId="4F8824BB" w14:textId="6A1DAA02" w:rsidR="00B449D0" w:rsidRDefault="00076D78">
            <w:pPr>
              <w:pStyle w:val="Measuretabledatarightaligneditalics"/>
              <w:keepNext/>
            </w:pPr>
            <w:r>
              <w:noBreakHyphen/>
            </w:r>
          </w:p>
        </w:tc>
        <w:tc>
          <w:tcPr>
            <w:tcW w:w="1043" w:type="dxa"/>
          </w:tcPr>
          <w:p w14:paraId="34F5F307" w14:textId="730E952D" w:rsidR="00B449D0" w:rsidRDefault="00076D78">
            <w:pPr>
              <w:pStyle w:val="Measuretabledatarightaligneditalics"/>
              <w:keepNext/>
            </w:pPr>
            <w:r>
              <w:noBreakHyphen/>
            </w:r>
          </w:p>
        </w:tc>
        <w:tc>
          <w:tcPr>
            <w:tcW w:w="1043" w:type="dxa"/>
          </w:tcPr>
          <w:p w14:paraId="5A79115C" w14:textId="77777777" w:rsidR="00B449D0" w:rsidRDefault="00175344">
            <w:pPr>
              <w:pStyle w:val="Measuretabledatarightaligneditalics"/>
              <w:keepNext/>
            </w:pPr>
            <w:r>
              <w:t>19.0</w:t>
            </w:r>
          </w:p>
        </w:tc>
        <w:tc>
          <w:tcPr>
            <w:tcW w:w="1043" w:type="dxa"/>
          </w:tcPr>
          <w:p w14:paraId="719BCAA3" w14:textId="77777777" w:rsidR="00B449D0" w:rsidRDefault="00175344">
            <w:pPr>
              <w:pStyle w:val="Measuretabledatarightaligneditalics"/>
              <w:keepNext/>
            </w:pPr>
            <w:r>
              <w:t>7.0</w:t>
            </w:r>
          </w:p>
        </w:tc>
        <w:tc>
          <w:tcPr>
            <w:tcW w:w="1043" w:type="dxa"/>
          </w:tcPr>
          <w:p w14:paraId="00B9D5B7" w14:textId="25888F73" w:rsidR="00B449D0" w:rsidRDefault="00076D78">
            <w:pPr>
              <w:pStyle w:val="Measuretabledatarightaligneditalics"/>
              <w:keepNext/>
            </w:pPr>
            <w:r>
              <w:noBreakHyphen/>
            </w:r>
          </w:p>
        </w:tc>
      </w:tr>
    </w:tbl>
    <w:p w14:paraId="1CCD0593" w14:textId="77777777" w:rsidR="00B449D0" w:rsidRDefault="00B449D0" w:rsidP="00380A42">
      <w:pPr>
        <w:pStyle w:val="SingleParagraph0"/>
      </w:pPr>
    </w:p>
    <w:p w14:paraId="005BA728" w14:textId="695625BD" w:rsidR="00B449D0" w:rsidRDefault="00175344">
      <w:pPr>
        <w:pStyle w:val="Normal2"/>
      </w:pPr>
      <w:r w:rsidRPr="7F762F0D">
        <w:rPr>
          <w:lang w:val="en-US"/>
        </w:rPr>
        <w:t>The Government will provide $72.0 million over two years from 2024–25 to the NSW</w:t>
      </w:r>
      <w:r w:rsidR="00492F71">
        <w:rPr>
          <w:lang w:val="en-US"/>
        </w:rPr>
        <w:t> </w:t>
      </w:r>
      <w:r w:rsidRPr="7F762F0D">
        <w:rPr>
          <w:lang w:val="en-US"/>
        </w:rPr>
        <w:t>Government to reimburse NSW police officers for certain financial outcomes experienced as a result of the method through which insurance premiums were paid under the former Police Blue Ribbon Insurance scheme.</w:t>
      </w:r>
    </w:p>
    <w:p w14:paraId="57285956" w14:textId="77777777" w:rsidR="00B449D0" w:rsidRDefault="00175344">
      <w:pPr>
        <w:pStyle w:val="Normal2"/>
      </w:pPr>
      <w:r w:rsidRPr="7F762F0D">
        <w:rPr>
          <w:lang w:val="en-US"/>
        </w:rPr>
        <w:t>The funding assistance relates to insurance premiums which were counted as superannuation contributions in the 2023–24 and 2024–25 financial years. The funding represents the end of the transitional assistance on this matter.</w:t>
      </w:r>
    </w:p>
    <w:p w14:paraId="41F80DBD" w14:textId="77777777" w:rsidR="00B449D0" w:rsidRDefault="00175344">
      <w:pPr>
        <w:pStyle w:val="Normal2"/>
      </w:pPr>
      <w:r w:rsidRPr="7F762F0D">
        <w:rPr>
          <w:lang w:val="en-US"/>
        </w:rPr>
        <w:t>The cost of this measure will be partially met by an anticipated increase in tax receipts.</w:t>
      </w:r>
    </w:p>
    <w:p w14:paraId="6433D730" w14:textId="77777777" w:rsidR="00B449D0" w:rsidRDefault="00175344">
      <w:pPr>
        <w:pStyle w:val="Normal2"/>
      </w:pPr>
      <w:r>
        <w:t>The Government has already provided partial funding for this measure.</w:t>
      </w:r>
    </w:p>
    <w:p w14:paraId="33D329E0" w14:textId="77777777" w:rsidR="00B449D0" w:rsidRDefault="00175344">
      <w:pPr>
        <w:pStyle w:val="MeasureTitle"/>
      </w:pPr>
      <w:r w:rsidRPr="7F762F0D">
        <w:rPr>
          <w:lang w:val="en-US"/>
        </w:rPr>
        <w:t>Treasury Portfolio – additional resourcing</w:t>
      </w:r>
    </w:p>
    <w:p w14:paraId="46FA3D42" w14:textId="77777777" w:rsidR="00B449D0" w:rsidRDefault="00175344">
      <w:pPr>
        <w:pStyle w:val="MeasureTableHeading"/>
      </w:pPr>
      <w:r>
        <w:t>Payments ($m)</w:t>
      </w:r>
    </w:p>
    <w:tbl>
      <w:tblPr>
        <w:tblOverlap w:val="never"/>
        <w:tblW w:w="7721" w:type="dxa"/>
        <w:tblBorders>
          <w:top w:val="single" w:sz="4" w:space="0" w:color="000000"/>
          <w:bottom w:val="single" w:sz="4" w:space="0" w:color="000000"/>
        </w:tblBorders>
        <w:tblLayout w:type="fixed"/>
        <w:tblLook w:val="04A0" w:firstRow="1" w:lastRow="0" w:firstColumn="1" w:lastColumn="0" w:noHBand="0" w:noVBand="1"/>
      </w:tblPr>
      <w:tblGrid>
        <w:gridCol w:w="2497"/>
        <w:gridCol w:w="1044"/>
        <w:gridCol w:w="1045"/>
        <w:gridCol w:w="1045"/>
        <w:gridCol w:w="1045"/>
        <w:gridCol w:w="1045"/>
      </w:tblGrid>
      <w:tr w:rsidR="00B449D0" w14:paraId="273BD560" w14:textId="77777777">
        <w:trPr>
          <w:cantSplit/>
        </w:trPr>
        <w:tc>
          <w:tcPr>
            <w:tcW w:w="2494" w:type="dxa"/>
            <w:tcBorders>
              <w:top w:val="single" w:sz="4" w:space="0" w:color="000000"/>
              <w:bottom w:val="single" w:sz="4" w:space="0" w:color="000000"/>
            </w:tcBorders>
          </w:tcPr>
          <w:p w14:paraId="090CE060" w14:textId="77777777" w:rsidR="00B449D0" w:rsidRDefault="00B449D0">
            <w:pPr>
              <w:pStyle w:val="MeasureTableYearHeadings"/>
              <w:keepNext/>
            </w:pPr>
          </w:p>
        </w:tc>
        <w:tc>
          <w:tcPr>
            <w:tcW w:w="1043" w:type="dxa"/>
            <w:tcBorders>
              <w:top w:val="single" w:sz="4" w:space="0" w:color="000000"/>
              <w:bottom w:val="single" w:sz="4" w:space="0" w:color="000000"/>
            </w:tcBorders>
          </w:tcPr>
          <w:p w14:paraId="4E087CB8" w14:textId="66408F79" w:rsidR="00B449D0" w:rsidRDefault="00175344">
            <w:pPr>
              <w:pStyle w:val="MeasureTableYearHeadings"/>
              <w:keepNext/>
            </w:pPr>
            <w:r>
              <w:t>2023</w:t>
            </w:r>
            <w:r w:rsidR="00076D78">
              <w:noBreakHyphen/>
            </w:r>
            <w:r>
              <w:t>24</w:t>
            </w:r>
          </w:p>
        </w:tc>
        <w:tc>
          <w:tcPr>
            <w:tcW w:w="1043" w:type="dxa"/>
            <w:tcBorders>
              <w:top w:val="single" w:sz="4" w:space="0" w:color="000000"/>
              <w:bottom w:val="single" w:sz="4" w:space="0" w:color="000000"/>
            </w:tcBorders>
          </w:tcPr>
          <w:p w14:paraId="36A58160" w14:textId="37869083" w:rsidR="00B449D0" w:rsidRDefault="00175344">
            <w:pPr>
              <w:pStyle w:val="MeasureTableYearHeadings"/>
              <w:keepNext/>
            </w:pPr>
            <w:r>
              <w:t>2024</w:t>
            </w:r>
            <w:r w:rsidR="00076D78">
              <w:noBreakHyphen/>
            </w:r>
            <w:r>
              <w:t>25</w:t>
            </w:r>
          </w:p>
        </w:tc>
        <w:tc>
          <w:tcPr>
            <w:tcW w:w="1043" w:type="dxa"/>
            <w:tcBorders>
              <w:top w:val="single" w:sz="4" w:space="0" w:color="000000"/>
              <w:bottom w:val="single" w:sz="4" w:space="0" w:color="000000"/>
            </w:tcBorders>
          </w:tcPr>
          <w:p w14:paraId="06611440" w14:textId="2579F6CC" w:rsidR="00B449D0" w:rsidRDefault="00175344">
            <w:pPr>
              <w:pStyle w:val="MeasureTableYearHeadings"/>
              <w:keepNext/>
            </w:pPr>
            <w:r>
              <w:t>2025</w:t>
            </w:r>
            <w:r w:rsidR="00076D78">
              <w:noBreakHyphen/>
            </w:r>
            <w:r>
              <w:t>26</w:t>
            </w:r>
          </w:p>
        </w:tc>
        <w:tc>
          <w:tcPr>
            <w:tcW w:w="1043" w:type="dxa"/>
            <w:tcBorders>
              <w:top w:val="single" w:sz="4" w:space="0" w:color="000000"/>
              <w:bottom w:val="single" w:sz="4" w:space="0" w:color="000000"/>
            </w:tcBorders>
          </w:tcPr>
          <w:p w14:paraId="55527C98" w14:textId="678502A5" w:rsidR="00B449D0" w:rsidRDefault="00175344">
            <w:pPr>
              <w:pStyle w:val="MeasureTableYearHeadings"/>
              <w:keepNext/>
            </w:pPr>
            <w:r>
              <w:t>2026</w:t>
            </w:r>
            <w:r w:rsidR="00076D78">
              <w:noBreakHyphen/>
            </w:r>
            <w:r>
              <w:t>27</w:t>
            </w:r>
          </w:p>
        </w:tc>
        <w:tc>
          <w:tcPr>
            <w:tcW w:w="1043" w:type="dxa"/>
            <w:tcBorders>
              <w:top w:val="single" w:sz="4" w:space="0" w:color="000000"/>
              <w:bottom w:val="single" w:sz="4" w:space="0" w:color="000000"/>
            </w:tcBorders>
          </w:tcPr>
          <w:p w14:paraId="5882A68A" w14:textId="06C1DE58" w:rsidR="00B449D0" w:rsidRDefault="00175344">
            <w:pPr>
              <w:pStyle w:val="MeasureTableYearHeadings"/>
              <w:keepNext/>
            </w:pPr>
            <w:r>
              <w:t>2027</w:t>
            </w:r>
            <w:r w:rsidR="00076D78">
              <w:noBreakHyphen/>
            </w:r>
            <w:r>
              <w:t>28</w:t>
            </w:r>
          </w:p>
        </w:tc>
      </w:tr>
      <w:tr w:rsidR="00B449D0" w14:paraId="0DE32A73" w14:textId="77777777">
        <w:trPr>
          <w:cantSplit/>
        </w:trPr>
        <w:tc>
          <w:tcPr>
            <w:tcW w:w="2494" w:type="dxa"/>
            <w:tcBorders>
              <w:top w:val="single" w:sz="4" w:space="0" w:color="000000"/>
              <w:bottom w:val="single" w:sz="4" w:space="0" w:color="000000"/>
            </w:tcBorders>
          </w:tcPr>
          <w:p w14:paraId="3D75842A" w14:textId="77777777" w:rsidR="00B449D0" w:rsidRDefault="00175344">
            <w:pPr>
              <w:pStyle w:val="MeasureTableHeadingleftalignedwith2ptsspacing"/>
              <w:keepNext/>
            </w:pPr>
            <w:r>
              <w:t>Australian Bureau of Statistics</w:t>
            </w:r>
          </w:p>
        </w:tc>
        <w:tc>
          <w:tcPr>
            <w:tcW w:w="1043" w:type="dxa"/>
            <w:tcBorders>
              <w:top w:val="single" w:sz="4" w:space="0" w:color="000000"/>
              <w:bottom w:val="single" w:sz="4" w:space="0" w:color="000000"/>
            </w:tcBorders>
          </w:tcPr>
          <w:p w14:paraId="605C1340" w14:textId="5DDB9A7F"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475B6FD7" w14:textId="77777777" w:rsidR="00B449D0" w:rsidRDefault="00175344">
            <w:pPr>
              <w:pStyle w:val="MeasureTableDataRightAlignedwith2ptsspacing"/>
              <w:keepNext/>
            </w:pPr>
            <w:r>
              <w:t>20.2</w:t>
            </w:r>
          </w:p>
        </w:tc>
        <w:tc>
          <w:tcPr>
            <w:tcW w:w="1043" w:type="dxa"/>
            <w:tcBorders>
              <w:top w:val="single" w:sz="4" w:space="0" w:color="000000"/>
              <w:bottom w:val="single" w:sz="4" w:space="0" w:color="000000"/>
            </w:tcBorders>
          </w:tcPr>
          <w:p w14:paraId="19DE7309" w14:textId="77777777" w:rsidR="00B449D0" w:rsidRDefault="00175344">
            <w:pPr>
              <w:pStyle w:val="MeasureTableDataRightAlignedwith2ptsspacing"/>
              <w:keepNext/>
            </w:pPr>
            <w:r>
              <w:t>44.4</w:t>
            </w:r>
          </w:p>
        </w:tc>
        <w:tc>
          <w:tcPr>
            <w:tcW w:w="1043" w:type="dxa"/>
            <w:tcBorders>
              <w:top w:val="single" w:sz="4" w:space="0" w:color="000000"/>
              <w:bottom w:val="single" w:sz="4" w:space="0" w:color="000000"/>
            </w:tcBorders>
          </w:tcPr>
          <w:p w14:paraId="05EFD147" w14:textId="77777777" w:rsidR="00B449D0" w:rsidRDefault="00175344">
            <w:pPr>
              <w:pStyle w:val="MeasureTableDataRightAlignedwith2ptsspacing"/>
              <w:keepNext/>
            </w:pPr>
            <w:r>
              <w:t>33.5</w:t>
            </w:r>
          </w:p>
        </w:tc>
        <w:tc>
          <w:tcPr>
            <w:tcW w:w="1043" w:type="dxa"/>
            <w:tcBorders>
              <w:top w:val="single" w:sz="4" w:space="0" w:color="000000"/>
              <w:bottom w:val="single" w:sz="4" w:space="0" w:color="000000"/>
            </w:tcBorders>
          </w:tcPr>
          <w:p w14:paraId="5C3C3C53" w14:textId="6B789667" w:rsidR="00B449D0" w:rsidRDefault="00076D78">
            <w:pPr>
              <w:pStyle w:val="MeasureTableDataRightAlignedwith2ptsspacing"/>
              <w:keepNext/>
            </w:pPr>
            <w:r>
              <w:noBreakHyphen/>
            </w:r>
            <w:r w:rsidR="00175344">
              <w:t>0.2</w:t>
            </w:r>
          </w:p>
        </w:tc>
      </w:tr>
      <w:tr w:rsidR="00B449D0" w14:paraId="4A14A51F" w14:textId="77777777">
        <w:trPr>
          <w:cantSplit/>
        </w:trPr>
        <w:tc>
          <w:tcPr>
            <w:tcW w:w="2494" w:type="dxa"/>
            <w:tcBorders>
              <w:top w:val="single" w:sz="4" w:space="0" w:color="000000"/>
              <w:bottom w:val="single" w:sz="4" w:space="0" w:color="000000"/>
            </w:tcBorders>
          </w:tcPr>
          <w:p w14:paraId="5EE03FA3" w14:textId="77777777" w:rsidR="00B449D0" w:rsidRDefault="00175344">
            <w:pPr>
              <w:pStyle w:val="MeasureTableHeadingleftalignedwith2ptsspacing"/>
              <w:keepNext/>
            </w:pPr>
            <w:r>
              <w:t>Australian Competition and Consumer Commission</w:t>
            </w:r>
          </w:p>
        </w:tc>
        <w:tc>
          <w:tcPr>
            <w:tcW w:w="1043" w:type="dxa"/>
            <w:tcBorders>
              <w:top w:val="single" w:sz="4" w:space="0" w:color="000000"/>
              <w:bottom w:val="single" w:sz="4" w:space="0" w:color="000000"/>
            </w:tcBorders>
          </w:tcPr>
          <w:p w14:paraId="5BF64374" w14:textId="7A7976E4"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186A0EB" w14:textId="77777777" w:rsidR="00B449D0" w:rsidRDefault="00175344">
            <w:pPr>
              <w:pStyle w:val="MeasureTableDataRightAlignedwith2ptsspacing"/>
              <w:keepNext/>
            </w:pPr>
            <w:r>
              <w:t>2.1</w:t>
            </w:r>
          </w:p>
        </w:tc>
        <w:tc>
          <w:tcPr>
            <w:tcW w:w="1043" w:type="dxa"/>
            <w:tcBorders>
              <w:top w:val="single" w:sz="4" w:space="0" w:color="000000"/>
              <w:bottom w:val="single" w:sz="4" w:space="0" w:color="000000"/>
            </w:tcBorders>
          </w:tcPr>
          <w:p w14:paraId="74D820CC" w14:textId="77777777" w:rsidR="00B449D0" w:rsidRDefault="00175344">
            <w:pPr>
              <w:pStyle w:val="MeasureTableDataRightAlignedwith2ptsspacing"/>
              <w:keepNext/>
            </w:pPr>
            <w:r>
              <w:t>4.3</w:t>
            </w:r>
          </w:p>
        </w:tc>
        <w:tc>
          <w:tcPr>
            <w:tcW w:w="1043" w:type="dxa"/>
            <w:tcBorders>
              <w:top w:val="single" w:sz="4" w:space="0" w:color="000000"/>
              <w:bottom w:val="single" w:sz="4" w:space="0" w:color="000000"/>
            </w:tcBorders>
          </w:tcPr>
          <w:p w14:paraId="226F329D" w14:textId="77777777" w:rsidR="00B449D0" w:rsidRDefault="00175344">
            <w:pPr>
              <w:pStyle w:val="MeasureTableDataRightAlignedwith2ptsspacing"/>
              <w:keepNext/>
            </w:pPr>
            <w:r>
              <w:t>1.9</w:t>
            </w:r>
          </w:p>
        </w:tc>
        <w:tc>
          <w:tcPr>
            <w:tcW w:w="1043" w:type="dxa"/>
            <w:tcBorders>
              <w:top w:val="single" w:sz="4" w:space="0" w:color="000000"/>
              <w:bottom w:val="single" w:sz="4" w:space="0" w:color="000000"/>
            </w:tcBorders>
          </w:tcPr>
          <w:p w14:paraId="1EF5784B" w14:textId="77777777" w:rsidR="00B449D0" w:rsidRDefault="00175344">
            <w:pPr>
              <w:pStyle w:val="MeasureTableDataRightAlignedwith2ptsspacing"/>
              <w:keepNext/>
            </w:pPr>
            <w:r>
              <w:t>1.8</w:t>
            </w:r>
          </w:p>
        </w:tc>
      </w:tr>
      <w:tr w:rsidR="00B449D0" w14:paraId="61885D4F" w14:textId="77777777">
        <w:trPr>
          <w:cantSplit/>
        </w:trPr>
        <w:tc>
          <w:tcPr>
            <w:tcW w:w="2494" w:type="dxa"/>
            <w:tcBorders>
              <w:top w:val="single" w:sz="4" w:space="0" w:color="000000"/>
              <w:bottom w:val="single" w:sz="4" w:space="0" w:color="000000"/>
            </w:tcBorders>
          </w:tcPr>
          <w:p w14:paraId="150F61DE" w14:textId="77777777" w:rsidR="00B449D0" w:rsidRDefault="00175344">
            <w:pPr>
              <w:pStyle w:val="MeasureTableHeadingleftalignedwith2ptsspacing"/>
              <w:keepNext/>
            </w:pPr>
            <w:r>
              <w:t>Digital Transformation Agency</w:t>
            </w:r>
          </w:p>
        </w:tc>
        <w:tc>
          <w:tcPr>
            <w:tcW w:w="1043" w:type="dxa"/>
            <w:tcBorders>
              <w:top w:val="single" w:sz="4" w:space="0" w:color="000000"/>
              <w:bottom w:val="single" w:sz="4" w:space="0" w:color="000000"/>
            </w:tcBorders>
          </w:tcPr>
          <w:p w14:paraId="0A2A3FB1" w14:textId="5B16E957"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1DA2C11" w14:textId="77777777" w:rsidR="00B449D0" w:rsidRDefault="00175344">
            <w:pPr>
              <w:pStyle w:val="MeasureTableDataRightAlignedwith2ptsspacing"/>
              <w:keepNext/>
            </w:pPr>
            <w:r>
              <w:t>..</w:t>
            </w:r>
          </w:p>
        </w:tc>
        <w:tc>
          <w:tcPr>
            <w:tcW w:w="1043" w:type="dxa"/>
            <w:tcBorders>
              <w:top w:val="single" w:sz="4" w:space="0" w:color="000000"/>
              <w:bottom w:val="single" w:sz="4" w:space="0" w:color="000000"/>
            </w:tcBorders>
          </w:tcPr>
          <w:p w14:paraId="79D93594" w14:textId="77777777" w:rsidR="00B449D0" w:rsidRDefault="00175344">
            <w:pPr>
              <w:pStyle w:val="MeasureTableDataRightAlignedwith2ptsspacing"/>
              <w:keepNext/>
            </w:pPr>
            <w:r>
              <w:t>..</w:t>
            </w:r>
          </w:p>
        </w:tc>
        <w:tc>
          <w:tcPr>
            <w:tcW w:w="1043" w:type="dxa"/>
            <w:tcBorders>
              <w:top w:val="single" w:sz="4" w:space="0" w:color="000000"/>
              <w:bottom w:val="single" w:sz="4" w:space="0" w:color="000000"/>
            </w:tcBorders>
          </w:tcPr>
          <w:p w14:paraId="1CE971D1" w14:textId="77777777" w:rsidR="00B449D0" w:rsidRDefault="00175344">
            <w:pPr>
              <w:pStyle w:val="MeasureTableDataRightAlignedwith2ptsspacing"/>
              <w:keepNext/>
            </w:pPr>
            <w:r>
              <w:t>..</w:t>
            </w:r>
          </w:p>
        </w:tc>
        <w:tc>
          <w:tcPr>
            <w:tcW w:w="1043" w:type="dxa"/>
            <w:tcBorders>
              <w:top w:val="single" w:sz="4" w:space="0" w:color="000000"/>
              <w:bottom w:val="single" w:sz="4" w:space="0" w:color="000000"/>
            </w:tcBorders>
          </w:tcPr>
          <w:p w14:paraId="42C02CED" w14:textId="77777777" w:rsidR="00B449D0" w:rsidRDefault="00175344">
            <w:pPr>
              <w:pStyle w:val="MeasureTableDataRightAlignedwith2ptsspacing"/>
              <w:keepNext/>
            </w:pPr>
            <w:r>
              <w:t>..</w:t>
            </w:r>
          </w:p>
        </w:tc>
      </w:tr>
      <w:tr w:rsidR="00B449D0" w14:paraId="07A4E382" w14:textId="77777777">
        <w:trPr>
          <w:cantSplit/>
        </w:trPr>
        <w:tc>
          <w:tcPr>
            <w:tcW w:w="2494" w:type="dxa"/>
            <w:tcBorders>
              <w:top w:val="single" w:sz="4" w:space="0" w:color="000000"/>
              <w:bottom w:val="single" w:sz="4" w:space="0" w:color="000000"/>
            </w:tcBorders>
          </w:tcPr>
          <w:p w14:paraId="4770780A" w14:textId="77777777" w:rsidR="00B449D0" w:rsidRDefault="00175344">
            <w:pPr>
              <w:pStyle w:val="MeasureTableHeadingleftalignedwith2ptsspacing"/>
              <w:keepNext/>
            </w:pPr>
            <w:r>
              <w:t>Department of the Treasury</w:t>
            </w:r>
          </w:p>
        </w:tc>
        <w:tc>
          <w:tcPr>
            <w:tcW w:w="1043" w:type="dxa"/>
            <w:tcBorders>
              <w:top w:val="single" w:sz="4" w:space="0" w:color="000000"/>
              <w:bottom w:val="single" w:sz="4" w:space="0" w:color="000000"/>
            </w:tcBorders>
          </w:tcPr>
          <w:p w14:paraId="40B9F764" w14:textId="11646D26"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3954966A" w14:textId="4D41A8DE"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D1B273D" w14:textId="77777777" w:rsidR="00B449D0" w:rsidRDefault="00175344">
            <w:pPr>
              <w:pStyle w:val="MeasureTableDataRightAlignedwith2ptsspacing"/>
              <w:keepNext/>
            </w:pPr>
            <w:r>
              <w:t>2.0</w:t>
            </w:r>
          </w:p>
        </w:tc>
        <w:tc>
          <w:tcPr>
            <w:tcW w:w="1043" w:type="dxa"/>
            <w:tcBorders>
              <w:top w:val="single" w:sz="4" w:space="0" w:color="000000"/>
              <w:bottom w:val="single" w:sz="4" w:space="0" w:color="000000"/>
            </w:tcBorders>
          </w:tcPr>
          <w:p w14:paraId="15BD3AFC" w14:textId="4E61EA24"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78C97B6" w14:textId="102E8E7A" w:rsidR="00B449D0" w:rsidRDefault="00076D78">
            <w:pPr>
              <w:pStyle w:val="MeasureTableDataRightAlignedwith2ptsspacing"/>
              <w:keepNext/>
            </w:pPr>
            <w:r>
              <w:noBreakHyphen/>
            </w:r>
          </w:p>
        </w:tc>
      </w:tr>
      <w:tr w:rsidR="00B449D0" w14:paraId="5542D171" w14:textId="77777777">
        <w:trPr>
          <w:cantSplit/>
        </w:trPr>
        <w:tc>
          <w:tcPr>
            <w:tcW w:w="2494" w:type="dxa"/>
            <w:tcBorders>
              <w:top w:val="single" w:sz="4" w:space="0" w:color="000000"/>
              <w:bottom w:val="single" w:sz="4" w:space="0" w:color="000000"/>
            </w:tcBorders>
          </w:tcPr>
          <w:p w14:paraId="5BB8A327" w14:textId="77777777" w:rsidR="00B449D0" w:rsidRDefault="00175344">
            <w:pPr>
              <w:pStyle w:val="MeasureTableHeadingleftalignedwith2ptsspacing"/>
              <w:keepNext/>
            </w:pPr>
            <w:r>
              <w:t>Australian Taxation Office</w:t>
            </w:r>
          </w:p>
        </w:tc>
        <w:tc>
          <w:tcPr>
            <w:tcW w:w="1043" w:type="dxa"/>
            <w:tcBorders>
              <w:top w:val="single" w:sz="4" w:space="0" w:color="000000"/>
              <w:bottom w:val="single" w:sz="4" w:space="0" w:color="000000"/>
            </w:tcBorders>
          </w:tcPr>
          <w:p w14:paraId="55580075" w14:textId="16F1EFAD"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2C167AEC" w14:textId="2917A87F"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75767138" w14:textId="3ECBA6EA" w:rsidR="00B449D0" w:rsidRDefault="00076D78">
            <w:pPr>
              <w:pStyle w:val="MeasureTableDataRightAlignedwith2ptsspacing"/>
              <w:keepNext/>
            </w:pPr>
            <w:r>
              <w:noBreakHyphen/>
            </w:r>
            <w:r w:rsidR="00175344">
              <w:t>2.0</w:t>
            </w:r>
          </w:p>
        </w:tc>
        <w:tc>
          <w:tcPr>
            <w:tcW w:w="1043" w:type="dxa"/>
            <w:tcBorders>
              <w:top w:val="single" w:sz="4" w:space="0" w:color="000000"/>
              <w:bottom w:val="single" w:sz="4" w:space="0" w:color="000000"/>
            </w:tcBorders>
          </w:tcPr>
          <w:p w14:paraId="5BE2681B" w14:textId="17F30375" w:rsidR="00B449D0" w:rsidRDefault="00076D78">
            <w:pPr>
              <w:pStyle w:val="MeasureTableDataRightAlignedwith2ptsspacing"/>
              <w:keepNext/>
            </w:pPr>
            <w:r>
              <w:noBreakHyphen/>
            </w:r>
          </w:p>
        </w:tc>
        <w:tc>
          <w:tcPr>
            <w:tcW w:w="1043" w:type="dxa"/>
            <w:tcBorders>
              <w:top w:val="single" w:sz="4" w:space="0" w:color="000000"/>
              <w:bottom w:val="single" w:sz="4" w:space="0" w:color="000000"/>
            </w:tcBorders>
          </w:tcPr>
          <w:p w14:paraId="17C0A9E7" w14:textId="68331EFD" w:rsidR="00B449D0" w:rsidRDefault="00076D78">
            <w:pPr>
              <w:pStyle w:val="MeasureTableDataRightAlignedwith2ptsspacing"/>
              <w:keepNext/>
            </w:pPr>
            <w:r>
              <w:noBreakHyphen/>
            </w:r>
          </w:p>
        </w:tc>
      </w:tr>
      <w:tr w:rsidR="00B449D0" w14:paraId="348ED6AC" w14:textId="77777777">
        <w:trPr>
          <w:cantSplit/>
        </w:trPr>
        <w:tc>
          <w:tcPr>
            <w:tcW w:w="2494" w:type="dxa"/>
            <w:tcBorders>
              <w:top w:val="single" w:sz="4" w:space="0" w:color="000000"/>
              <w:bottom w:val="single" w:sz="4" w:space="0" w:color="000000"/>
            </w:tcBorders>
          </w:tcPr>
          <w:p w14:paraId="7F69C3AC" w14:textId="77777777" w:rsidR="00B449D0" w:rsidRDefault="00175344">
            <w:pPr>
              <w:pStyle w:val="Totalrowleftaligned"/>
              <w:keepNext/>
            </w:pPr>
            <w:r>
              <w:t>Total – Payments</w:t>
            </w:r>
          </w:p>
        </w:tc>
        <w:tc>
          <w:tcPr>
            <w:tcW w:w="1043" w:type="dxa"/>
            <w:tcBorders>
              <w:top w:val="single" w:sz="4" w:space="0" w:color="000000"/>
              <w:bottom w:val="single" w:sz="4" w:space="0" w:color="000000"/>
            </w:tcBorders>
          </w:tcPr>
          <w:p w14:paraId="1784A5B5" w14:textId="77BA9B0D" w:rsidR="00B449D0" w:rsidRDefault="00076D78">
            <w:pPr>
              <w:pStyle w:val="Totaldatarowrightaligned"/>
              <w:keepNext/>
            </w:pPr>
            <w:r>
              <w:noBreakHyphen/>
            </w:r>
          </w:p>
        </w:tc>
        <w:tc>
          <w:tcPr>
            <w:tcW w:w="1043" w:type="dxa"/>
            <w:tcBorders>
              <w:top w:val="single" w:sz="4" w:space="0" w:color="000000"/>
              <w:bottom w:val="single" w:sz="4" w:space="0" w:color="000000"/>
            </w:tcBorders>
          </w:tcPr>
          <w:p w14:paraId="56D5CCEC" w14:textId="77777777" w:rsidR="00B449D0" w:rsidRDefault="00175344">
            <w:pPr>
              <w:pStyle w:val="Totaldatarowrightaligned"/>
              <w:keepNext/>
            </w:pPr>
            <w:r>
              <w:t>22.3</w:t>
            </w:r>
          </w:p>
        </w:tc>
        <w:tc>
          <w:tcPr>
            <w:tcW w:w="1043" w:type="dxa"/>
            <w:tcBorders>
              <w:top w:val="single" w:sz="4" w:space="0" w:color="000000"/>
              <w:bottom w:val="single" w:sz="4" w:space="0" w:color="000000"/>
            </w:tcBorders>
          </w:tcPr>
          <w:p w14:paraId="63234E1A" w14:textId="77777777" w:rsidR="00B449D0" w:rsidRDefault="00175344">
            <w:pPr>
              <w:pStyle w:val="Totaldatarowrightaligned"/>
              <w:keepNext/>
            </w:pPr>
            <w:r>
              <w:t>48.7</w:t>
            </w:r>
          </w:p>
        </w:tc>
        <w:tc>
          <w:tcPr>
            <w:tcW w:w="1043" w:type="dxa"/>
            <w:tcBorders>
              <w:top w:val="single" w:sz="4" w:space="0" w:color="000000"/>
              <w:bottom w:val="single" w:sz="4" w:space="0" w:color="000000"/>
            </w:tcBorders>
          </w:tcPr>
          <w:p w14:paraId="5C782983" w14:textId="77777777" w:rsidR="00B449D0" w:rsidRDefault="00175344">
            <w:pPr>
              <w:pStyle w:val="Totaldatarowrightaligned"/>
              <w:keepNext/>
            </w:pPr>
            <w:r>
              <w:t>35.4</w:t>
            </w:r>
          </w:p>
        </w:tc>
        <w:tc>
          <w:tcPr>
            <w:tcW w:w="1043" w:type="dxa"/>
            <w:tcBorders>
              <w:top w:val="single" w:sz="4" w:space="0" w:color="000000"/>
              <w:bottom w:val="single" w:sz="4" w:space="0" w:color="000000"/>
            </w:tcBorders>
          </w:tcPr>
          <w:p w14:paraId="08DD8047" w14:textId="77777777" w:rsidR="00B449D0" w:rsidRDefault="00175344">
            <w:pPr>
              <w:pStyle w:val="Totaldatarowrightaligned"/>
              <w:keepNext/>
            </w:pPr>
            <w:r>
              <w:t>1.6</w:t>
            </w:r>
          </w:p>
        </w:tc>
      </w:tr>
    </w:tbl>
    <w:p w14:paraId="66CE44C5" w14:textId="77777777" w:rsidR="00B449D0" w:rsidRDefault="00B449D0" w:rsidP="00380A42">
      <w:pPr>
        <w:pStyle w:val="SingleParagraph0"/>
      </w:pPr>
    </w:p>
    <w:p w14:paraId="123133ED" w14:textId="77777777" w:rsidR="00B449D0" w:rsidRDefault="00175344">
      <w:pPr>
        <w:pStyle w:val="Normal2"/>
      </w:pPr>
      <w:r>
        <w:t>The Government will provide $110.7 million over four years from 2024–25 to support the delivery of Government priorities in the Treasury portfolio. Funding includes:</w:t>
      </w:r>
    </w:p>
    <w:p w14:paraId="04A1D654" w14:textId="32A182DE" w:rsidR="00B449D0" w:rsidRDefault="00175344">
      <w:pPr>
        <w:pStyle w:val="Bullet"/>
      </w:pPr>
      <w:r>
        <w:lastRenderedPageBreak/>
        <w:t>$97.9 million over four years from 2024–25 (with an ongoing saving of $0.3 million per year) to support further modernisation and digitalisation of the Australian Bureau of Statistics</w:t>
      </w:r>
      <w:r w:rsidR="00076D78">
        <w:t>’</w:t>
      </w:r>
      <w:r>
        <w:t xml:space="preserve"> data acquisition</w:t>
      </w:r>
    </w:p>
    <w:p w14:paraId="4FA81614" w14:textId="4CD31F77" w:rsidR="00B449D0" w:rsidRDefault="00175344">
      <w:pPr>
        <w:pStyle w:val="Bullet"/>
      </w:pPr>
      <w:r>
        <w:t>$7.2 million over four years from 2024–25 (with $1.9 million in 2028–29 and $0.2 million per year ongoing) to the Australian Competition and Consumer Commission (ACCC) and the Treasury to implement the Government</w:t>
      </w:r>
      <w:r w:rsidR="00076D78">
        <w:t>’</w:t>
      </w:r>
      <w:r>
        <w:t xml:space="preserve">s response to the </w:t>
      </w:r>
      <w:r w:rsidRPr="00175344">
        <w:rPr>
          <w:i/>
        </w:rPr>
        <w:t>Review of the Food and Grocery Code of Conduct 2023–24</w:t>
      </w:r>
      <w:r>
        <w:t>, including establishment and enforcement of a new mandatory code</w:t>
      </w:r>
    </w:p>
    <w:p w14:paraId="7E63D4A1" w14:textId="534B746B" w:rsidR="00B449D0" w:rsidRDefault="00175344">
      <w:pPr>
        <w:pStyle w:val="Bullet"/>
      </w:pPr>
      <w:r>
        <w:t>$3.6 million over two years from 2024–25 to support continuation of the ACCC</w:t>
      </w:r>
      <w:r w:rsidR="00076D78">
        <w:t>’</w:t>
      </w:r>
      <w:r>
        <w:t>s oversight of digital platforms</w:t>
      </w:r>
    </w:p>
    <w:p w14:paraId="56E11CBF" w14:textId="77777777" w:rsidR="00B449D0" w:rsidRDefault="00175344">
      <w:pPr>
        <w:pStyle w:val="Bullet"/>
      </w:pPr>
      <w:r>
        <w:t>$2.0 million in 2025–26 to support the continuing work of the Tax and Transfer Policy Institute.</w:t>
      </w:r>
    </w:p>
    <w:p w14:paraId="1518B9C2" w14:textId="77777777" w:rsidR="00B449D0" w:rsidRDefault="00175344">
      <w:pPr>
        <w:pStyle w:val="Normal2"/>
      </w:pPr>
      <w:r>
        <w:t>The cost of this measure will be partially met from within the existing resourcing of the Treasury and the Australian Taxation Office.</w:t>
      </w:r>
    </w:p>
    <w:sectPr w:rsidR="00B449D0" w:rsidSect="00301E48">
      <w:headerReference w:type="even" r:id="rId132"/>
      <w:headerReference w:type="default" r:id="rId133"/>
      <w:footerReference w:type="even" r:id="rId134"/>
      <w:footerReference w:type="default" r:id="rId135"/>
      <w:headerReference w:type="first" r:id="rId136"/>
      <w:footerReference w:type="first" r:id="rId137"/>
      <w:endnotePr>
        <w:numFmt w:val="lowerLetter"/>
        <w:numRestart w:val="eachSect"/>
      </w:endnotePr>
      <w:pgSz w:w="11907" w:h="16840" w:code="9"/>
      <w:pgMar w:top="2835" w:right="2098" w:bottom="2466" w:left="2098" w:header="1814" w:footer="181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C0DB0" w14:textId="77777777" w:rsidR="00233091" w:rsidRPr="00493083" w:rsidRDefault="00233091" w:rsidP="00493083">
      <w:pPr>
        <w:pStyle w:val="SummaryTableEndnoteSeparator"/>
      </w:pPr>
    </w:p>
  </w:endnote>
  <w:endnote w:type="continuationSeparator" w:id="0">
    <w:p w14:paraId="31C0CF18" w14:textId="77777777" w:rsidR="00233091" w:rsidRDefault="00233091">
      <w:r>
        <w:continuationSeparator/>
      </w:r>
    </w:p>
  </w:endnote>
  <w:endnote w:type="continuationNotice" w:id="1">
    <w:p w14:paraId="36FEA182" w14:textId="77777777" w:rsidR="00233091" w:rsidRDefault="002330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wiss 721 B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3C449" w14:textId="2C38CB36" w:rsidR="00301E48" w:rsidRPr="00301E48" w:rsidRDefault="00301E48" w:rsidP="00301E48">
    <w:pPr>
      <w:pStyle w:val="FooterEven"/>
    </w:pPr>
    <w:r w:rsidRPr="00301E48">
      <w:rPr>
        <w:b/>
      </w:rPr>
      <w:t xml:space="preserve">Page </w:t>
    </w:r>
    <w:r w:rsidRPr="00301E48">
      <w:rPr>
        <w:b/>
      </w:rPr>
      <w:fldChar w:fldCharType="begin"/>
    </w:r>
    <w:r w:rsidRPr="00301E48">
      <w:rPr>
        <w:b/>
      </w:rPr>
      <w:instrText xml:space="preserve"> PAGE  \* MERGEFORMAT </w:instrText>
    </w:r>
    <w:r w:rsidRPr="00301E48">
      <w:rPr>
        <w:b/>
      </w:rPr>
      <w:fldChar w:fldCharType="separate"/>
    </w:r>
    <w:r>
      <w:rPr>
        <w:b/>
        <w:noProof/>
      </w:rPr>
      <w:t>2</w:t>
    </w:r>
    <w:r w:rsidRPr="00301E48">
      <w:rPr>
        <w:b/>
      </w:rPr>
      <w:fldChar w:fldCharType="end"/>
    </w:r>
    <w:r w:rsidRPr="00301E48">
      <w:rPr>
        <w:b/>
      </w:rPr>
      <w:t xml:space="preserve">  </w:t>
    </w:r>
    <w:r>
      <w:t>|  Appendix A: Policy decisions taken since the 2024–25 Budget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3F0A" w14:textId="3B5D7B76" w:rsidR="00301E48" w:rsidRPr="00301E48" w:rsidRDefault="00301E48" w:rsidP="00301E48">
    <w:pPr>
      <w:pStyle w:val="FooterEven"/>
    </w:pPr>
    <w:r w:rsidRPr="00301E48">
      <w:rPr>
        <w:b/>
      </w:rPr>
      <w:t xml:space="preserve">Page </w:t>
    </w:r>
    <w:r w:rsidRPr="00301E48">
      <w:rPr>
        <w:b/>
      </w:rPr>
      <w:fldChar w:fldCharType="begin"/>
    </w:r>
    <w:r w:rsidRPr="00301E48">
      <w:rPr>
        <w:b/>
      </w:rPr>
      <w:instrText xml:space="preserve"> PAGE  \* MERGEFORMAT </w:instrText>
    </w:r>
    <w:r w:rsidRPr="00301E48">
      <w:rPr>
        <w:b/>
      </w:rPr>
      <w:fldChar w:fldCharType="separate"/>
    </w:r>
    <w:r>
      <w:rPr>
        <w:b/>
        <w:noProof/>
      </w:rPr>
      <w:t>8</w:t>
    </w:r>
    <w:r w:rsidRPr="00301E48">
      <w:rPr>
        <w:b/>
      </w:rPr>
      <w:fldChar w:fldCharType="end"/>
    </w:r>
    <w:r w:rsidRPr="00301E48">
      <w:rPr>
        <w:b/>
      </w:rPr>
      <w:t xml:space="preserve">  </w:t>
    </w:r>
    <w:r>
      <w:t>|  Appendix A: Policy decisions taken since the 2024–25 Budget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A5A34" w14:textId="769C56B4" w:rsidR="00301E48" w:rsidRPr="00301E48" w:rsidRDefault="7F762F0D" w:rsidP="7F762F0D">
    <w:pPr>
      <w:pStyle w:val="FooterOdd"/>
      <w:rPr>
        <w:lang w:val="en-US"/>
      </w:rPr>
    </w:pPr>
    <w:r w:rsidRPr="7F762F0D">
      <w:rPr>
        <w:lang w:val="en-US"/>
      </w:rPr>
      <w:t xml:space="preserve">Appendix A: Policy decisions taken since the 2024–25 Budget  |  </w:t>
    </w:r>
    <w:r w:rsidRPr="7F762F0D">
      <w:rPr>
        <w:b/>
        <w:bCs/>
        <w:lang w:val="en-US"/>
      </w:rPr>
      <w:t xml:space="preserve">Page </w:t>
    </w:r>
    <w:r w:rsidR="00301E48" w:rsidRPr="7F762F0D">
      <w:rPr>
        <w:b/>
        <w:bCs/>
        <w:noProof/>
        <w:lang w:val="en-US"/>
      </w:rPr>
      <w:fldChar w:fldCharType="begin"/>
    </w:r>
    <w:r w:rsidR="00301E48" w:rsidRPr="7F762F0D">
      <w:rPr>
        <w:b/>
        <w:bCs/>
      </w:rPr>
      <w:instrText xml:space="preserve"> PAGE  \* MERGEFORMAT </w:instrText>
    </w:r>
    <w:r w:rsidR="00301E48" w:rsidRPr="7F762F0D">
      <w:rPr>
        <w:b/>
        <w:bCs/>
      </w:rPr>
      <w:fldChar w:fldCharType="separate"/>
    </w:r>
    <w:r w:rsidRPr="7F762F0D">
      <w:rPr>
        <w:b/>
        <w:bCs/>
        <w:noProof/>
        <w:lang w:val="en-US"/>
      </w:rPr>
      <w:t>9</w:t>
    </w:r>
    <w:r w:rsidR="00301E48" w:rsidRPr="7F762F0D">
      <w:rPr>
        <w:b/>
        <w:bCs/>
        <w:noProof/>
        <w:lang w:val="en-US"/>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24F22" w14:textId="303E6707" w:rsidR="00301E48" w:rsidRPr="00301E48" w:rsidRDefault="7F762F0D" w:rsidP="7F762F0D">
    <w:pPr>
      <w:pStyle w:val="FooterOdd"/>
      <w:rPr>
        <w:lang w:val="en-US"/>
      </w:rPr>
    </w:pPr>
    <w:r w:rsidRPr="7F762F0D">
      <w:rPr>
        <w:lang w:val="en-US"/>
      </w:rPr>
      <w:t xml:space="preserve">Appendix A: Policy decisions taken since the 2024–25 Budget  |  </w:t>
    </w:r>
    <w:r w:rsidRPr="7F762F0D">
      <w:rPr>
        <w:b/>
        <w:bCs/>
        <w:lang w:val="en-US"/>
      </w:rPr>
      <w:t xml:space="preserve">Page </w:t>
    </w:r>
    <w:r w:rsidR="00301E48" w:rsidRPr="7F762F0D">
      <w:rPr>
        <w:b/>
        <w:bCs/>
        <w:noProof/>
        <w:lang w:val="en-US"/>
      </w:rPr>
      <w:fldChar w:fldCharType="begin"/>
    </w:r>
    <w:r w:rsidR="00301E48" w:rsidRPr="7F762F0D">
      <w:rPr>
        <w:b/>
        <w:bCs/>
      </w:rPr>
      <w:instrText xml:space="preserve"> PAGE  \* MERGEFORMAT </w:instrText>
    </w:r>
    <w:r w:rsidR="00301E48" w:rsidRPr="7F762F0D">
      <w:rPr>
        <w:b/>
        <w:bCs/>
      </w:rPr>
      <w:fldChar w:fldCharType="separate"/>
    </w:r>
    <w:r w:rsidRPr="7F762F0D">
      <w:rPr>
        <w:b/>
        <w:bCs/>
        <w:noProof/>
        <w:lang w:val="en-US"/>
      </w:rPr>
      <w:t>1</w:t>
    </w:r>
    <w:r w:rsidR="00301E48" w:rsidRPr="7F762F0D">
      <w:rPr>
        <w:b/>
        <w:bCs/>
        <w:noProof/>
        <w:lang w:val="en-US"/>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14067" w14:textId="4B825AC8" w:rsidR="00301E48" w:rsidRPr="00301E48" w:rsidRDefault="7F762F0D" w:rsidP="00301E48">
    <w:pPr>
      <w:pStyle w:val="FooterEven"/>
    </w:pPr>
    <w:r w:rsidRPr="7F762F0D">
      <w:rPr>
        <w:b/>
        <w:bCs/>
        <w:lang w:val="en-US"/>
      </w:rPr>
      <w:t xml:space="preserve">Page </w:t>
    </w:r>
    <w:r w:rsidR="00301E48" w:rsidRPr="7F762F0D">
      <w:rPr>
        <w:b/>
        <w:bCs/>
        <w:noProof/>
        <w:lang w:val="en-US"/>
      </w:rPr>
      <w:fldChar w:fldCharType="begin"/>
    </w:r>
    <w:r w:rsidR="00301E48" w:rsidRPr="7F762F0D">
      <w:rPr>
        <w:b/>
        <w:bCs/>
      </w:rPr>
      <w:instrText xml:space="preserve"> PAGE  \* MERGEFORMAT </w:instrText>
    </w:r>
    <w:r w:rsidR="00301E48" w:rsidRPr="7F762F0D">
      <w:rPr>
        <w:b/>
        <w:bCs/>
      </w:rPr>
      <w:fldChar w:fldCharType="separate"/>
    </w:r>
    <w:r w:rsidRPr="7F762F0D">
      <w:rPr>
        <w:b/>
        <w:bCs/>
        <w:noProof/>
        <w:lang w:val="en-US"/>
      </w:rPr>
      <w:t>16</w:t>
    </w:r>
    <w:r w:rsidR="00301E48" w:rsidRPr="7F762F0D">
      <w:rPr>
        <w:b/>
        <w:bCs/>
        <w:noProof/>
        <w:lang w:val="en-US"/>
      </w:rPr>
      <w:fldChar w:fldCharType="end"/>
    </w:r>
    <w:r w:rsidRPr="7F762F0D">
      <w:rPr>
        <w:b/>
        <w:bCs/>
        <w:lang w:val="en-US"/>
      </w:rPr>
      <w:t xml:space="preserve">  </w:t>
    </w:r>
    <w:r w:rsidRPr="7F762F0D">
      <w:rPr>
        <w:lang w:val="en-US"/>
      </w:rPr>
      <w:t>|  Appendix A: Policy decisions taken since the 2024–25 Budget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E9BC1" w14:textId="38045738" w:rsidR="00301E48" w:rsidRPr="00301E48" w:rsidRDefault="7F762F0D" w:rsidP="7F762F0D">
    <w:pPr>
      <w:pStyle w:val="FooterOdd"/>
      <w:rPr>
        <w:lang w:val="en-US"/>
      </w:rPr>
    </w:pPr>
    <w:r w:rsidRPr="7F762F0D">
      <w:rPr>
        <w:lang w:val="en-US"/>
      </w:rPr>
      <w:t xml:space="preserve">Appendix A: Policy decisions taken since the 2024–25 Budget  |  </w:t>
    </w:r>
    <w:r w:rsidRPr="7F762F0D">
      <w:rPr>
        <w:b/>
        <w:bCs/>
        <w:lang w:val="en-US"/>
      </w:rPr>
      <w:t xml:space="preserve">Page </w:t>
    </w:r>
    <w:r w:rsidR="00301E48" w:rsidRPr="7F762F0D">
      <w:rPr>
        <w:b/>
        <w:bCs/>
        <w:noProof/>
        <w:lang w:val="en-US"/>
      </w:rPr>
      <w:fldChar w:fldCharType="begin"/>
    </w:r>
    <w:r w:rsidR="00301E48" w:rsidRPr="7F762F0D">
      <w:rPr>
        <w:b/>
        <w:bCs/>
      </w:rPr>
      <w:instrText xml:space="preserve"> PAGE  \* MERGEFORMAT </w:instrText>
    </w:r>
    <w:r w:rsidR="00301E48" w:rsidRPr="7F762F0D">
      <w:rPr>
        <w:b/>
        <w:bCs/>
      </w:rPr>
      <w:fldChar w:fldCharType="separate"/>
    </w:r>
    <w:r w:rsidRPr="7F762F0D">
      <w:rPr>
        <w:b/>
        <w:bCs/>
        <w:noProof/>
        <w:lang w:val="en-US"/>
      </w:rPr>
      <w:t>17</w:t>
    </w:r>
    <w:r w:rsidR="00301E48" w:rsidRPr="7F762F0D">
      <w:rPr>
        <w:b/>
        <w:bCs/>
        <w:noProof/>
        <w:lang w:val="en-US"/>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0970F" w14:textId="4D578DE7" w:rsidR="00301E48" w:rsidRPr="00301E48" w:rsidRDefault="7F762F0D" w:rsidP="7F762F0D">
    <w:pPr>
      <w:pStyle w:val="FooterOdd"/>
      <w:rPr>
        <w:lang w:val="en-US"/>
      </w:rPr>
    </w:pPr>
    <w:r w:rsidRPr="7F762F0D">
      <w:rPr>
        <w:lang w:val="en-US"/>
      </w:rPr>
      <w:t xml:space="preserve">Appendix A: Policy decisions taken since the 2024–25 Budget  |  </w:t>
    </w:r>
    <w:r w:rsidRPr="7F762F0D">
      <w:rPr>
        <w:b/>
        <w:bCs/>
        <w:lang w:val="en-US"/>
      </w:rPr>
      <w:t xml:space="preserve">Page </w:t>
    </w:r>
    <w:r w:rsidR="00301E48" w:rsidRPr="7F762F0D">
      <w:rPr>
        <w:b/>
        <w:bCs/>
        <w:noProof/>
        <w:lang w:val="en-US"/>
      </w:rPr>
      <w:fldChar w:fldCharType="begin"/>
    </w:r>
    <w:r w:rsidR="00301E48" w:rsidRPr="7F762F0D">
      <w:rPr>
        <w:b/>
        <w:bCs/>
      </w:rPr>
      <w:instrText xml:space="preserve"> PAGE  \* MERGEFORMAT </w:instrText>
    </w:r>
    <w:r w:rsidR="00301E48" w:rsidRPr="7F762F0D">
      <w:rPr>
        <w:b/>
        <w:bCs/>
      </w:rPr>
      <w:fldChar w:fldCharType="separate"/>
    </w:r>
    <w:r w:rsidRPr="7F762F0D">
      <w:rPr>
        <w:b/>
        <w:bCs/>
        <w:noProof/>
        <w:lang w:val="en-US"/>
      </w:rPr>
      <w:t>1</w:t>
    </w:r>
    <w:r w:rsidR="00301E48" w:rsidRPr="7F762F0D">
      <w:rPr>
        <w:b/>
        <w:bCs/>
        <w:noProof/>
        <w:lang w:val="en-US"/>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2541F" w14:textId="7DF61DB4" w:rsidR="00301E48" w:rsidRPr="00301E48" w:rsidRDefault="7F762F0D" w:rsidP="00301E48">
    <w:pPr>
      <w:pStyle w:val="FooterEven"/>
    </w:pPr>
    <w:r w:rsidRPr="7F762F0D">
      <w:rPr>
        <w:b/>
        <w:bCs/>
        <w:lang w:val="en-US"/>
      </w:rPr>
      <w:t xml:space="preserve">Page </w:t>
    </w:r>
    <w:r w:rsidR="00301E48" w:rsidRPr="7F762F0D">
      <w:rPr>
        <w:b/>
        <w:bCs/>
        <w:noProof/>
        <w:lang w:val="en-US"/>
      </w:rPr>
      <w:fldChar w:fldCharType="begin"/>
    </w:r>
    <w:r w:rsidR="00301E48" w:rsidRPr="7F762F0D">
      <w:rPr>
        <w:b/>
        <w:bCs/>
      </w:rPr>
      <w:instrText xml:space="preserve"> PAGE  \* MERGEFORMAT </w:instrText>
    </w:r>
    <w:r w:rsidR="00301E48" w:rsidRPr="7F762F0D">
      <w:rPr>
        <w:b/>
        <w:bCs/>
      </w:rPr>
      <w:fldChar w:fldCharType="separate"/>
    </w:r>
    <w:r w:rsidRPr="7F762F0D">
      <w:rPr>
        <w:b/>
        <w:bCs/>
        <w:noProof/>
        <w:lang w:val="en-US"/>
      </w:rPr>
      <w:t>30</w:t>
    </w:r>
    <w:r w:rsidR="00301E48" w:rsidRPr="7F762F0D">
      <w:rPr>
        <w:b/>
        <w:bCs/>
        <w:noProof/>
        <w:lang w:val="en-US"/>
      </w:rPr>
      <w:fldChar w:fldCharType="end"/>
    </w:r>
    <w:r w:rsidRPr="7F762F0D">
      <w:rPr>
        <w:b/>
        <w:bCs/>
        <w:lang w:val="en-US"/>
      </w:rPr>
      <w:t xml:space="preserve">  </w:t>
    </w:r>
    <w:r w:rsidRPr="7F762F0D">
      <w:rPr>
        <w:lang w:val="en-US"/>
      </w:rPr>
      <w:t>|  Appendix A: Policy decisions taken since the 2024–25 Budget</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519B3" w14:textId="771CA46C" w:rsidR="00301E48" w:rsidRPr="00301E48" w:rsidRDefault="7F762F0D" w:rsidP="7F762F0D">
    <w:pPr>
      <w:pStyle w:val="FooterOdd"/>
      <w:rPr>
        <w:lang w:val="en-US"/>
      </w:rPr>
    </w:pPr>
    <w:r w:rsidRPr="7F762F0D">
      <w:rPr>
        <w:lang w:val="en-US"/>
      </w:rPr>
      <w:t xml:space="preserve">Appendix A: Policy decisions taken since the 2024–25 Budget  |  </w:t>
    </w:r>
    <w:r w:rsidRPr="7F762F0D">
      <w:rPr>
        <w:b/>
        <w:bCs/>
        <w:lang w:val="en-US"/>
      </w:rPr>
      <w:t xml:space="preserve">Page </w:t>
    </w:r>
    <w:r w:rsidR="00301E48" w:rsidRPr="7F762F0D">
      <w:rPr>
        <w:b/>
        <w:bCs/>
        <w:noProof/>
        <w:lang w:val="en-US"/>
      </w:rPr>
      <w:fldChar w:fldCharType="begin"/>
    </w:r>
    <w:r w:rsidR="00301E48" w:rsidRPr="7F762F0D">
      <w:rPr>
        <w:b/>
        <w:bCs/>
      </w:rPr>
      <w:instrText xml:space="preserve"> PAGE  \* MERGEFORMAT </w:instrText>
    </w:r>
    <w:r w:rsidR="00301E48" w:rsidRPr="7F762F0D">
      <w:rPr>
        <w:b/>
        <w:bCs/>
      </w:rPr>
      <w:fldChar w:fldCharType="separate"/>
    </w:r>
    <w:r w:rsidRPr="7F762F0D">
      <w:rPr>
        <w:b/>
        <w:bCs/>
        <w:noProof/>
        <w:lang w:val="en-US"/>
      </w:rPr>
      <w:t>31</w:t>
    </w:r>
    <w:r w:rsidR="00301E48" w:rsidRPr="7F762F0D">
      <w:rPr>
        <w:b/>
        <w:bCs/>
        <w:noProof/>
        <w:lang w:val="en-US"/>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D89B" w14:textId="3387ECC0" w:rsidR="00301E48" w:rsidRPr="00301E48" w:rsidRDefault="7F762F0D" w:rsidP="7F762F0D">
    <w:pPr>
      <w:pStyle w:val="FooterOdd"/>
      <w:rPr>
        <w:lang w:val="en-US"/>
      </w:rPr>
    </w:pPr>
    <w:r w:rsidRPr="7F762F0D">
      <w:rPr>
        <w:lang w:val="en-US"/>
      </w:rPr>
      <w:t xml:space="preserve">Appendix A: Policy decisions taken since the 2024–25 Budget  |  </w:t>
    </w:r>
    <w:r w:rsidRPr="7F762F0D">
      <w:rPr>
        <w:b/>
        <w:bCs/>
        <w:lang w:val="en-US"/>
      </w:rPr>
      <w:t xml:space="preserve">Page </w:t>
    </w:r>
    <w:r w:rsidR="00301E48" w:rsidRPr="7F762F0D">
      <w:rPr>
        <w:b/>
        <w:bCs/>
        <w:noProof/>
        <w:lang w:val="en-US"/>
      </w:rPr>
      <w:fldChar w:fldCharType="begin"/>
    </w:r>
    <w:r w:rsidR="00301E48" w:rsidRPr="7F762F0D">
      <w:rPr>
        <w:b/>
        <w:bCs/>
      </w:rPr>
      <w:instrText xml:space="preserve"> PAGE  \* MERGEFORMAT </w:instrText>
    </w:r>
    <w:r w:rsidR="00301E48" w:rsidRPr="7F762F0D">
      <w:rPr>
        <w:b/>
        <w:bCs/>
      </w:rPr>
      <w:fldChar w:fldCharType="separate"/>
    </w:r>
    <w:r w:rsidRPr="7F762F0D">
      <w:rPr>
        <w:b/>
        <w:bCs/>
        <w:noProof/>
        <w:lang w:val="en-US"/>
      </w:rPr>
      <w:t>18</w:t>
    </w:r>
    <w:r w:rsidR="00301E48" w:rsidRPr="7F762F0D">
      <w:rPr>
        <w:b/>
        <w:bCs/>
        <w:noProof/>
        <w:lang w:val="en-US"/>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6C39" w14:textId="1DCA713F" w:rsidR="00301E48" w:rsidRPr="00301E48" w:rsidRDefault="7F762F0D" w:rsidP="00301E48">
    <w:pPr>
      <w:pStyle w:val="FooterEven"/>
    </w:pPr>
    <w:r w:rsidRPr="7F762F0D">
      <w:rPr>
        <w:b/>
        <w:bCs/>
        <w:lang w:val="en-US"/>
      </w:rPr>
      <w:t xml:space="preserve">Page </w:t>
    </w:r>
    <w:r w:rsidR="00301E48" w:rsidRPr="7F762F0D">
      <w:rPr>
        <w:b/>
        <w:bCs/>
        <w:noProof/>
        <w:lang w:val="en-US"/>
      </w:rPr>
      <w:fldChar w:fldCharType="begin"/>
    </w:r>
    <w:r w:rsidR="00301E48" w:rsidRPr="7F762F0D">
      <w:rPr>
        <w:b/>
        <w:bCs/>
      </w:rPr>
      <w:instrText xml:space="preserve"> PAGE  \* MERGEFORMAT </w:instrText>
    </w:r>
    <w:r w:rsidR="00301E48" w:rsidRPr="7F762F0D">
      <w:rPr>
        <w:b/>
        <w:bCs/>
      </w:rPr>
      <w:fldChar w:fldCharType="separate"/>
    </w:r>
    <w:r w:rsidRPr="7F762F0D">
      <w:rPr>
        <w:b/>
        <w:bCs/>
        <w:noProof/>
        <w:lang w:val="en-US"/>
      </w:rPr>
      <w:t>34</w:t>
    </w:r>
    <w:r w:rsidR="00301E48" w:rsidRPr="7F762F0D">
      <w:rPr>
        <w:b/>
        <w:bCs/>
        <w:noProof/>
        <w:lang w:val="en-US"/>
      </w:rPr>
      <w:fldChar w:fldCharType="end"/>
    </w:r>
    <w:r w:rsidRPr="7F762F0D">
      <w:rPr>
        <w:b/>
        <w:bCs/>
        <w:lang w:val="en-US"/>
      </w:rPr>
      <w:t xml:space="preserve">  </w:t>
    </w:r>
    <w:r w:rsidRPr="7F762F0D">
      <w:rPr>
        <w:lang w:val="en-US"/>
      </w:rPr>
      <w:t>|  Appendix A: Policy decisions taken since the 2024–25 Budget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7EFA2" w14:textId="0B1A1206" w:rsidR="00294042" w:rsidRPr="00301E48" w:rsidRDefault="7F762F0D" w:rsidP="7F762F0D">
    <w:pPr>
      <w:pStyle w:val="FooterOdd"/>
      <w:rPr>
        <w:lang w:val="en-US"/>
      </w:rPr>
    </w:pPr>
    <w:r w:rsidRPr="7F762F0D">
      <w:rPr>
        <w:lang w:val="en-US"/>
      </w:rPr>
      <w:t xml:space="preserve">Appendix A: Policy decisions taken since the 2024–25 Budget  |  </w:t>
    </w:r>
    <w:r w:rsidRPr="7F762F0D">
      <w:rPr>
        <w:b/>
        <w:bCs/>
        <w:lang w:val="en-US"/>
      </w:rPr>
      <w:t xml:space="preserve">Page </w:t>
    </w:r>
    <w:r w:rsidR="00301E48" w:rsidRPr="7F762F0D">
      <w:rPr>
        <w:b/>
        <w:bCs/>
        <w:noProof/>
        <w:lang w:val="en-US"/>
      </w:rPr>
      <w:fldChar w:fldCharType="begin"/>
    </w:r>
    <w:r w:rsidR="00301E48" w:rsidRPr="7F762F0D">
      <w:rPr>
        <w:b/>
        <w:bCs/>
      </w:rPr>
      <w:instrText xml:space="preserve"> PAGE  \* MERGEFORMAT </w:instrText>
    </w:r>
    <w:r w:rsidR="00301E48" w:rsidRPr="7F762F0D">
      <w:rPr>
        <w:b/>
        <w:bCs/>
      </w:rPr>
      <w:fldChar w:fldCharType="separate"/>
    </w:r>
    <w:r w:rsidRPr="7F762F0D">
      <w:rPr>
        <w:b/>
        <w:bCs/>
        <w:noProof/>
        <w:lang w:val="en-US"/>
      </w:rPr>
      <w:t>3</w:t>
    </w:r>
    <w:r w:rsidR="00301E48" w:rsidRPr="7F762F0D">
      <w:rPr>
        <w:b/>
        <w:bCs/>
        <w:noProof/>
        <w:lang w:val="en-US"/>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9DE3C" w14:textId="4E4B8CB8" w:rsidR="00301E48" w:rsidRPr="00301E48" w:rsidRDefault="7F762F0D" w:rsidP="7F762F0D">
    <w:pPr>
      <w:pStyle w:val="FooterOdd"/>
      <w:rPr>
        <w:lang w:val="en-US"/>
      </w:rPr>
    </w:pPr>
    <w:r w:rsidRPr="7F762F0D">
      <w:rPr>
        <w:lang w:val="en-US"/>
      </w:rPr>
      <w:t xml:space="preserve">Appendix A: Policy decisions taken since the 2024–25 Budget  |  </w:t>
    </w:r>
    <w:r w:rsidRPr="7F762F0D">
      <w:rPr>
        <w:b/>
        <w:bCs/>
        <w:lang w:val="en-US"/>
      </w:rPr>
      <w:t xml:space="preserve">Page </w:t>
    </w:r>
    <w:r w:rsidR="00301E48" w:rsidRPr="7F762F0D">
      <w:rPr>
        <w:b/>
        <w:bCs/>
        <w:noProof/>
        <w:lang w:val="en-US"/>
      </w:rPr>
      <w:fldChar w:fldCharType="begin"/>
    </w:r>
    <w:r w:rsidR="00301E48" w:rsidRPr="7F762F0D">
      <w:rPr>
        <w:b/>
        <w:bCs/>
      </w:rPr>
      <w:instrText xml:space="preserve"> PAGE  \* MERGEFORMAT </w:instrText>
    </w:r>
    <w:r w:rsidR="00301E48" w:rsidRPr="7F762F0D">
      <w:rPr>
        <w:b/>
        <w:bCs/>
      </w:rPr>
      <w:fldChar w:fldCharType="separate"/>
    </w:r>
    <w:r w:rsidRPr="7F762F0D">
      <w:rPr>
        <w:b/>
        <w:bCs/>
        <w:noProof/>
        <w:lang w:val="en-US"/>
      </w:rPr>
      <w:t>33</w:t>
    </w:r>
    <w:r w:rsidR="00301E48" w:rsidRPr="7F762F0D">
      <w:rPr>
        <w:b/>
        <w:bCs/>
        <w:noProof/>
        <w:lang w:val="en-US"/>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9F49" w14:textId="33EF0918" w:rsidR="00301E48" w:rsidRPr="00301E48" w:rsidRDefault="7F762F0D" w:rsidP="7F762F0D">
    <w:pPr>
      <w:pStyle w:val="FooterOdd"/>
      <w:rPr>
        <w:lang w:val="en-US"/>
      </w:rPr>
    </w:pPr>
    <w:r w:rsidRPr="7F762F0D">
      <w:rPr>
        <w:lang w:val="en-US"/>
      </w:rPr>
      <w:t xml:space="preserve">Appendix A: Policy decisions taken since the 2024–25 Budget  |  </w:t>
    </w:r>
    <w:r w:rsidRPr="7F762F0D">
      <w:rPr>
        <w:b/>
        <w:bCs/>
        <w:lang w:val="en-US"/>
      </w:rPr>
      <w:t xml:space="preserve">Page </w:t>
    </w:r>
    <w:r w:rsidR="00301E48" w:rsidRPr="7F762F0D">
      <w:rPr>
        <w:b/>
        <w:bCs/>
        <w:noProof/>
        <w:lang w:val="en-US"/>
      </w:rPr>
      <w:fldChar w:fldCharType="begin"/>
    </w:r>
    <w:r w:rsidR="00301E48" w:rsidRPr="7F762F0D">
      <w:rPr>
        <w:b/>
        <w:bCs/>
      </w:rPr>
      <w:instrText xml:space="preserve"> PAGE  \* MERGEFORMAT </w:instrText>
    </w:r>
    <w:r w:rsidR="00301E48" w:rsidRPr="7F762F0D">
      <w:rPr>
        <w:b/>
        <w:bCs/>
      </w:rPr>
      <w:fldChar w:fldCharType="separate"/>
    </w:r>
    <w:r w:rsidRPr="7F762F0D">
      <w:rPr>
        <w:b/>
        <w:bCs/>
        <w:noProof/>
        <w:lang w:val="en-US"/>
      </w:rPr>
      <w:t>18</w:t>
    </w:r>
    <w:r w:rsidR="00301E48" w:rsidRPr="7F762F0D">
      <w:rPr>
        <w:b/>
        <w:bCs/>
        <w:noProof/>
        <w:lang w:val="en-US"/>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0CD2D" w14:textId="2A0A9B22" w:rsidR="00301E48" w:rsidRPr="00301E48" w:rsidRDefault="7F762F0D" w:rsidP="00301E48">
    <w:pPr>
      <w:pStyle w:val="FooterEven"/>
    </w:pPr>
    <w:r w:rsidRPr="7F762F0D">
      <w:rPr>
        <w:b/>
        <w:bCs/>
        <w:lang w:val="en-US"/>
      </w:rPr>
      <w:t xml:space="preserve">Page </w:t>
    </w:r>
    <w:r w:rsidR="00301E48" w:rsidRPr="7F762F0D">
      <w:rPr>
        <w:b/>
        <w:bCs/>
        <w:noProof/>
        <w:lang w:val="en-US"/>
      </w:rPr>
      <w:fldChar w:fldCharType="begin"/>
    </w:r>
    <w:r w:rsidR="00301E48" w:rsidRPr="7F762F0D">
      <w:rPr>
        <w:b/>
        <w:bCs/>
      </w:rPr>
      <w:instrText xml:space="preserve"> PAGE  \* MERGEFORMAT </w:instrText>
    </w:r>
    <w:r w:rsidR="00301E48" w:rsidRPr="7F762F0D">
      <w:rPr>
        <w:b/>
        <w:bCs/>
      </w:rPr>
      <w:fldChar w:fldCharType="separate"/>
    </w:r>
    <w:r w:rsidRPr="7F762F0D">
      <w:rPr>
        <w:b/>
        <w:bCs/>
        <w:noProof/>
        <w:lang w:val="en-US"/>
      </w:rPr>
      <w:t>36</w:t>
    </w:r>
    <w:r w:rsidR="00301E48" w:rsidRPr="7F762F0D">
      <w:rPr>
        <w:b/>
        <w:bCs/>
        <w:noProof/>
        <w:lang w:val="en-US"/>
      </w:rPr>
      <w:fldChar w:fldCharType="end"/>
    </w:r>
    <w:r w:rsidRPr="7F762F0D">
      <w:rPr>
        <w:b/>
        <w:bCs/>
        <w:lang w:val="en-US"/>
      </w:rPr>
      <w:t xml:space="preserve">  </w:t>
    </w:r>
    <w:r w:rsidRPr="7F762F0D">
      <w:rPr>
        <w:lang w:val="en-US"/>
      </w:rPr>
      <w:t>|  Appendix A: Policy decisions taken since the 2024–25 Budget</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AD5EE" w14:textId="4FB9F2D6" w:rsidR="00301E48" w:rsidRPr="00301E48" w:rsidRDefault="7F762F0D" w:rsidP="7F762F0D">
    <w:pPr>
      <w:pStyle w:val="FooterOdd"/>
      <w:rPr>
        <w:lang w:val="en-US"/>
      </w:rPr>
    </w:pPr>
    <w:r w:rsidRPr="7F762F0D">
      <w:rPr>
        <w:lang w:val="en-US"/>
      </w:rPr>
      <w:t xml:space="preserve">Appendix A: Policy decisions taken since the 2024–25 Budget  |  </w:t>
    </w:r>
    <w:r w:rsidRPr="7F762F0D">
      <w:rPr>
        <w:b/>
        <w:bCs/>
        <w:lang w:val="en-US"/>
      </w:rPr>
      <w:t xml:space="preserve">Page </w:t>
    </w:r>
    <w:r w:rsidR="00301E48" w:rsidRPr="7F762F0D">
      <w:rPr>
        <w:b/>
        <w:bCs/>
        <w:noProof/>
        <w:lang w:val="en-US"/>
      </w:rPr>
      <w:fldChar w:fldCharType="begin"/>
    </w:r>
    <w:r w:rsidR="00301E48" w:rsidRPr="7F762F0D">
      <w:rPr>
        <w:b/>
        <w:bCs/>
      </w:rPr>
      <w:instrText xml:space="preserve"> PAGE  \* MERGEFORMAT </w:instrText>
    </w:r>
    <w:r w:rsidR="00301E48" w:rsidRPr="7F762F0D">
      <w:rPr>
        <w:b/>
        <w:bCs/>
      </w:rPr>
      <w:fldChar w:fldCharType="separate"/>
    </w:r>
    <w:r w:rsidRPr="7F762F0D">
      <w:rPr>
        <w:b/>
        <w:bCs/>
        <w:noProof/>
        <w:lang w:val="en-US"/>
      </w:rPr>
      <w:t>37</w:t>
    </w:r>
    <w:r w:rsidR="00301E48" w:rsidRPr="7F762F0D">
      <w:rPr>
        <w:b/>
        <w:bCs/>
        <w:noProof/>
        <w:lang w:val="en-US"/>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9ABDB" w14:textId="799AA62F" w:rsidR="00301E48" w:rsidRPr="00301E48" w:rsidRDefault="7F762F0D" w:rsidP="7F762F0D">
    <w:pPr>
      <w:pStyle w:val="FooterOdd"/>
      <w:rPr>
        <w:lang w:val="en-US"/>
      </w:rPr>
    </w:pPr>
    <w:r w:rsidRPr="7F762F0D">
      <w:rPr>
        <w:lang w:val="en-US"/>
      </w:rPr>
      <w:t xml:space="preserve">Appendix A: Policy decisions taken since the 2024–25 Budget  |  </w:t>
    </w:r>
    <w:r w:rsidRPr="7F762F0D">
      <w:rPr>
        <w:b/>
        <w:bCs/>
        <w:lang w:val="en-US"/>
      </w:rPr>
      <w:t xml:space="preserve">Page </w:t>
    </w:r>
    <w:r w:rsidR="00301E48" w:rsidRPr="7F762F0D">
      <w:rPr>
        <w:b/>
        <w:bCs/>
        <w:noProof/>
        <w:lang w:val="en-US"/>
      </w:rPr>
      <w:fldChar w:fldCharType="begin"/>
    </w:r>
    <w:r w:rsidR="00301E48" w:rsidRPr="7F762F0D">
      <w:rPr>
        <w:b/>
        <w:bCs/>
      </w:rPr>
      <w:instrText xml:space="preserve"> PAGE  \* MERGEFORMAT </w:instrText>
    </w:r>
    <w:r w:rsidR="00301E48" w:rsidRPr="7F762F0D">
      <w:rPr>
        <w:b/>
        <w:bCs/>
      </w:rPr>
      <w:fldChar w:fldCharType="separate"/>
    </w:r>
    <w:r w:rsidRPr="7F762F0D">
      <w:rPr>
        <w:b/>
        <w:bCs/>
        <w:noProof/>
        <w:lang w:val="en-US"/>
      </w:rPr>
      <w:t>18</w:t>
    </w:r>
    <w:r w:rsidR="00301E48" w:rsidRPr="7F762F0D">
      <w:rPr>
        <w:b/>
        <w:bCs/>
        <w:noProof/>
        <w:lang w:val="en-US"/>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290A" w14:textId="167ED8B5" w:rsidR="00301E48" w:rsidRPr="00301E48" w:rsidRDefault="7F762F0D" w:rsidP="00301E48">
    <w:pPr>
      <w:pStyle w:val="FooterEven"/>
    </w:pPr>
    <w:r w:rsidRPr="7F762F0D">
      <w:rPr>
        <w:b/>
        <w:bCs/>
        <w:lang w:val="en-US"/>
      </w:rPr>
      <w:t xml:space="preserve">Page </w:t>
    </w:r>
    <w:r w:rsidR="00301E48" w:rsidRPr="7F762F0D">
      <w:rPr>
        <w:b/>
        <w:bCs/>
        <w:noProof/>
        <w:lang w:val="en-US"/>
      </w:rPr>
      <w:fldChar w:fldCharType="begin"/>
    </w:r>
    <w:r w:rsidR="00301E48" w:rsidRPr="7F762F0D">
      <w:rPr>
        <w:b/>
        <w:bCs/>
      </w:rPr>
      <w:instrText xml:space="preserve"> PAGE  \* MERGEFORMAT </w:instrText>
    </w:r>
    <w:r w:rsidR="00301E48" w:rsidRPr="7F762F0D">
      <w:rPr>
        <w:b/>
        <w:bCs/>
      </w:rPr>
      <w:fldChar w:fldCharType="separate"/>
    </w:r>
    <w:r w:rsidRPr="7F762F0D">
      <w:rPr>
        <w:b/>
        <w:bCs/>
        <w:noProof/>
        <w:lang w:val="en-US"/>
      </w:rPr>
      <w:t>38</w:t>
    </w:r>
    <w:r w:rsidR="00301E48" w:rsidRPr="7F762F0D">
      <w:rPr>
        <w:b/>
        <w:bCs/>
        <w:noProof/>
        <w:lang w:val="en-US"/>
      </w:rPr>
      <w:fldChar w:fldCharType="end"/>
    </w:r>
    <w:r w:rsidRPr="7F762F0D">
      <w:rPr>
        <w:b/>
        <w:bCs/>
        <w:lang w:val="en-US"/>
      </w:rPr>
      <w:t xml:space="preserve">  </w:t>
    </w:r>
    <w:r w:rsidRPr="7F762F0D">
      <w:rPr>
        <w:lang w:val="en-US"/>
      </w:rPr>
      <w:t>|  Appendix A: Policy decisions taken since the 2024–25 Budget</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E77C0" w14:textId="691D48DC" w:rsidR="00301E48" w:rsidRPr="00301E48" w:rsidRDefault="7F762F0D" w:rsidP="7F762F0D">
    <w:pPr>
      <w:pStyle w:val="FooterOdd"/>
      <w:rPr>
        <w:lang w:val="en-US"/>
      </w:rPr>
    </w:pPr>
    <w:r w:rsidRPr="7F762F0D">
      <w:rPr>
        <w:lang w:val="en-US"/>
      </w:rPr>
      <w:t xml:space="preserve">Appendix A: Policy decisions taken since the 2024–25 Budget  |  </w:t>
    </w:r>
    <w:r w:rsidRPr="7F762F0D">
      <w:rPr>
        <w:b/>
        <w:bCs/>
        <w:lang w:val="en-US"/>
      </w:rPr>
      <w:t xml:space="preserve">Page </w:t>
    </w:r>
    <w:r w:rsidR="00301E48" w:rsidRPr="7F762F0D">
      <w:rPr>
        <w:b/>
        <w:bCs/>
        <w:noProof/>
        <w:lang w:val="en-US"/>
      </w:rPr>
      <w:fldChar w:fldCharType="begin"/>
    </w:r>
    <w:r w:rsidR="00301E48" w:rsidRPr="7F762F0D">
      <w:rPr>
        <w:b/>
        <w:bCs/>
      </w:rPr>
      <w:instrText xml:space="preserve"> PAGE  \* MERGEFORMAT </w:instrText>
    </w:r>
    <w:r w:rsidR="00301E48" w:rsidRPr="7F762F0D">
      <w:rPr>
        <w:b/>
        <w:bCs/>
      </w:rPr>
      <w:fldChar w:fldCharType="separate"/>
    </w:r>
    <w:r w:rsidRPr="7F762F0D">
      <w:rPr>
        <w:b/>
        <w:bCs/>
        <w:noProof/>
        <w:lang w:val="en-US"/>
      </w:rPr>
      <w:t>39</w:t>
    </w:r>
    <w:r w:rsidR="00301E48" w:rsidRPr="7F762F0D">
      <w:rPr>
        <w:b/>
        <w:bCs/>
        <w:noProof/>
        <w:lang w:val="en-US"/>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9C8AD" w14:textId="5A20469A" w:rsidR="00301E48" w:rsidRPr="00301E48" w:rsidRDefault="7F762F0D" w:rsidP="7F762F0D">
    <w:pPr>
      <w:pStyle w:val="FooterOdd"/>
      <w:rPr>
        <w:lang w:val="en-US"/>
      </w:rPr>
    </w:pPr>
    <w:r w:rsidRPr="7F762F0D">
      <w:rPr>
        <w:lang w:val="en-US"/>
      </w:rPr>
      <w:t xml:space="preserve">Appendix A: Policy decisions taken since the 2024–25 Budget  |  </w:t>
    </w:r>
    <w:r w:rsidRPr="7F762F0D">
      <w:rPr>
        <w:b/>
        <w:bCs/>
        <w:lang w:val="en-US"/>
      </w:rPr>
      <w:t xml:space="preserve">Page </w:t>
    </w:r>
    <w:r w:rsidR="00301E48" w:rsidRPr="7F762F0D">
      <w:rPr>
        <w:b/>
        <w:bCs/>
        <w:noProof/>
        <w:lang w:val="en-US"/>
      </w:rPr>
      <w:fldChar w:fldCharType="begin"/>
    </w:r>
    <w:r w:rsidR="00301E48" w:rsidRPr="7F762F0D">
      <w:rPr>
        <w:b/>
        <w:bCs/>
      </w:rPr>
      <w:instrText xml:space="preserve"> PAGE  \* MERGEFORMAT </w:instrText>
    </w:r>
    <w:r w:rsidR="00301E48" w:rsidRPr="7F762F0D">
      <w:rPr>
        <w:b/>
        <w:bCs/>
      </w:rPr>
      <w:fldChar w:fldCharType="separate"/>
    </w:r>
    <w:r w:rsidRPr="7F762F0D">
      <w:rPr>
        <w:b/>
        <w:bCs/>
        <w:noProof/>
        <w:lang w:val="en-US"/>
      </w:rPr>
      <w:t>18</w:t>
    </w:r>
    <w:r w:rsidR="00301E48" w:rsidRPr="7F762F0D">
      <w:rPr>
        <w:b/>
        <w:bCs/>
        <w:noProof/>
        <w:lang w:val="en-US"/>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DB546" w14:textId="101C6C3C" w:rsidR="00301E48" w:rsidRPr="00301E48" w:rsidRDefault="00301E48" w:rsidP="00301E48">
    <w:pPr>
      <w:pStyle w:val="FooterEven"/>
    </w:pPr>
    <w:r w:rsidRPr="00301E48">
      <w:rPr>
        <w:b/>
      </w:rPr>
      <w:t xml:space="preserve">Page </w:t>
    </w:r>
    <w:r w:rsidRPr="00301E48">
      <w:rPr>
        <w:b/>
      </w:rPr>
      <w:fldChar w:fldCharType="begin"/>
    </w:r>
    <w:r w:rsidRPr="00301E48">
      <w:rPr>
        <w:b/>
      </w:rPr>
      <w:instrText xml:space="preserve"> PAGE  \* MERGEFORMAT </w:instrText>
    </w:r>
    <w:r w:rsidRPr="00301E48">
      <w:rPr>
        <w:b/>
      </w:rPr>
      <w:fldChar w:fldCharType="separate"/>
    </w:r>
    <w:r w:rsidRPr="00301E48">
      <w:rPr>
        <w:b/>
        <w:noProof/>
      </w:rPr>
      <w:t>1</w:t>
    </w:r>
    <w:r w:rsidRPr="00301E48">
      <w:rPr>
        <w:b/>
      </w:rPr>
      <w:fldChar w:fldCharType="end"/>
    </w:r>
    <w:r w:rsidRPr="00301E48">
      <w:rPr>
        <w:b/>
      </w:rPr>
      <w:t xml:space="preserve">  </w:t>
    </w:r>
    <w:r>
      <w:t>|  Appendix A: Policy decisions taken since the 2024–25 Budget</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86B8C" w14:textId="0547E62A" w:rsidR="00301E48" w:rsidRPr="00301E48" w:rsidRDefault="7F762F0D" w:rsidP="7F762F0D">
    <w:pPr>
      <w:pStyle w:val="FooterOdd"/>
      <w:rPr>
        <w:lang w:val="en-US"/>
      </w:rPr>
    </w:pPr>
    <w:r w:rsidRPr="7F762F0D">
      <w:rPr>
        <w:lang w:val="en-US"/>
      </w:rPr>
      <w:t xml:space="preserve">Appendix A: Policy decisions taken since the 2024–25 Budget  |  </w:t>
    </w:r>
    <w:r w:rsidRPr="7F762F0D">
      <w:rPr>
        <w:b/>
        <w:bCs/>
        <w:lang w:val="en-US"/>
      </w:rPr>
      <w:t xml:space="preserve">Page </w:t>
    </w:r>
    <w:r w:rsidR="00301E48" w:rsidRPr="7F762F0D">
      <w:rPr>
        <w:b/>
        <w:bCs/>
        <w:noProof/>
        <w:lang w:val="en-US"/>
      </w:rPr>
      <w:fldChar w:fldCharType="begin"/>
    </w:r>
    <w:r w:rsidR="00301E48" w:rsidRPr="7F762F0D">
      <w:rPr>
        <w:b/>
        <w:bCs/>
      </w:rPr>
      <w:instrText xml:space="preserve"> PAGE  \* MERGEFORMAT </w:instrText>
    </w:r>
    <w:r w:rsidR="00301E48" w:rsidRPr="7F762F0D">
      <w:rPr>
        <w:b/>
        <w:bCs/>
      </w:rPr>
      <w:fldChar w:fldCharType="separate"/>
    </w:r>
    <w:r w:rsidRPr="7F762F0D">
      <w:rPr>
        <w:b/>
        <w:bCs/>
        <w:noProof/>
        <w:lang w:val="en-US"/>
      </w:rPr>
      <w:t>1</w:t>
    </w:r>
    <w:r w:rsidR="00301E48" w:rsidRPr="7F762F0D">
      <w:rPr>
        <w:b/>
        <w:bCs/>
        <w:noProof/>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4287D" w14:textId="73F6AFB7" w:rsidR="00301E48" w:rsidRPr="00301E48" w:rsidRDefault="7F762F0D" w:rsidP="7F762F0D">
    <w:pPr>
      <w:pStyle w:val="FooterOdd"/>
      <w:rPr>
        <w:lang w:val="en-US"/>
      </w:rPr>
    </w:pPr>
    <w:r w:rsidRPr="7F762F0D">
      <w:rPr>
        <w:lang w:val="en-US"/>
      </w:rPr>
      <w:t xml:space="preserve">Appendix A: Policy decisions taken since the 2024–25 Budget  |  </w:t>
    </w:r>
    <w:r w:rsidRPr="7F762F0D">
      <w:rPr>
        <w:b/>
        <w:bCs/>
        <w:lang w:val="en-US"/>
      </w:rPr>
      <w:t xml:space="preserve">Page </w:t>
    </w:r>
    <w:r w:rsidR="00301E48" w:rsidRPr="7F762F0D">
      <w:rPr>
        <w:b/>
        <w:bCs/>
        <w:noProof/>
        <w:lang w:val="en-US"/>
      </w:rPr>
      <w:fldChar w:fldCharType="begin"/>
    </w:r>
    <w:r w:rsidR="00301E48" w:rsidRPr="7F762F0D">
      <w:rPr>
        <w:b/>
        <w:bCs/>
      </w:rPr>
      <w:instrText xml:space="preserve"> PAGE  \* MERGEFORMAT </w:instrText>
    </w:r>
    <w:r w:rsidR="00301E48" w:rsidRPr="7F762F0D">
      <w:rPr>
        <w:b/>
        <w:bCs/>
      </w:rPr>
      <w:fldChar w:fldCharType="separate"/>
    </w:r>
    <w:r w:rsidRPr="7F762F0D">
      <w:rPr>
        <w:b/>
        <w:bCs/>
        <w:noProof/>
        <w:lang w:val="en-US"/>
      </w:rPr>
      <w:t>1</w:t>
    </w:r>
    <w:r w:rsidR="00301E48" w:rsidRPr="7F762F0D">
      <w:rPr>
        <w:b/>
        <w:bCs/>
        <w:noProof/>
        <w:lang w:val="en-US"/>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B1509" w14:textId="0AD0C834" w:rsidR="00301E48" w:rsidRPr="00301E48" w:rsidRDefault="7F762F0D" w:rsidP="7F762F0D">
    <w:pPr>
      <w:pStyle w:val="FooterOdd"/>
      <w:rPr>
        <w:lang w:val="en-US"/>
      </w:rPr>
    </w:pPr>
    <w:r w:rsidRPr="7F762F0D">
      <w:rPr>
        <w:lang w:val="en-US"/>
      </w:rPr>
      <w:t xml:space="preserve">Appendix A: Policy decisions taken since the 2024–25 Budget  |  </w:t>
    </w:r>
    <w:r w:rsidRPr="7F762F0D">
      <w:rPr>
        <w:b/>
        <w:bCs/>
        <w:lang w:val="en-US"/>
      </w:rPr>
      <w:t xml:space="preserve">Page </w:t>
    </w:r>
    <w:r w:rsidR="00301E48" w:rsidRPr="7F762F0D">
      <w:rPr>
        <w:b/>
        <w:bCs/>
        <w:noProof/>
        <w:lang w:val="en-US"/>
      </w:rPr>
      <w:fldChar w:fldCharType="begin"/>
    </w:r>
    <w:r w:rsidR="00301E48" w:rsidRPr="7F762F0D">
      <w:rPr>
        <w:b/>
        <w:bCs/>
      </w:rPr>
      <w:instrText xml:space="preserve"> PAGE  \* MERGEFORMAT </w:instrText>
    </w:r>
    <w:r w:rsidR="00301E48" w:rsidRPr="7F762F0D">
      <w:rPr>
        <w:b/>
        <w:bCs/>
      </w:rPr>
      <w:fldChar w:fldCharType="separate"/>
    </w:r>
    <w:r w:rsidRPr="7F762F0D">
      <w:rPr>
        <w:b/>
        <w:bCs/>
        <w:noProof/>
        <w:lang w:val="en-US"/>
      </w:rPr>
      <w:t>18</w:t>
    </w:r>
    <w:r w:rsidR="00301E48" w:rsidRPr="7F762F0D">
      <w:rPr>
        <w:b/>
        <w:bCs/>
        <w:noProof/>
        <w:lang w:val="en-US"/>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2CF60" w14:textId="5F53A1F2" w:rsidR="00301E48" w:rsidRPr="00301E48" w:rsidRDefault="00301E48" w:rsidP="00301E48">
    <w:pPr>
      <w:pStyle w:val="FooterEven"/>
    </w:pPr>
    <w:r w:rsidRPr="00301E48">
      <w:rPr>
        <w:b/>
      </w:rPr>
      <w:t xml:space="preserve">Page </w:t>
    </w:r>
    <w:r w:rsidRPr="00301E48">
      <w:rPr>
        <w:b/>
      </w:rPr>
      <w:fldChar w:fldCharType="begin"/>
    </w:r>
    <w:r w:rsidRPr="00301E48">
      <w:rPr>
        <w:b/>
      </w:rPr>
      <w:instrText xml:space="preserve"> PAGE  \* MERGEFORMAT </w:instrText>
    </w:r>
    <w:r w:rsidRPr="00301E48">
      <w:rPr>
        <w:b/>
      </w:rPr>
      <w:fldChar w:fldCharType="separate"/>
    </w:r>
    <w:r w:rsidRPr="00301E48">
      <w:rPr>
        <w:b/>
        <w:noProof/>
      </w:rPr>
      <w:t>1</w:t>
    </w:r>
    <w:r w:rsidRPr="00301E48">
      <w:rPr>
        <w:b/>
      </w:rPr>
      <w:fldChar w:fldCharType="end"/>
    </w:r>
    <w:r w:rsidRPr="00301E48">
      <w:rPr>
        <w:b/>
      </w:rPr>
      <w:t xml:space="preserve">  </w:t>
    </w:r>
    <w:r>
      <w:t>|  Appendix A: Policy decisions taken since the 2024–25 Budget</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CB05D" w14:textId="36991828" w:rsidR="00301E48" w:rsidRPr="00301E48" w:rsidRDefault="7F762F0D" w:rsidP="7F762F0D">
    <w:pPr>
      <w:pStyle w:val="FooterOdd"/>
      <w:rPr>
        <w:lang w:val="en-US"/>
      </w:rPr>
    </w:pPr>
    <w:r w:rsidRPr="7F762F0D">
      <w:rPr>
        <w:lang w:val="en-US"/>
      </w:rPr>
      <w:t xml:space="preserve">Appendix A: Policy decisions taken since the 2024–25 Budget  |  </w:t>
    </w:r>
    <w:r w:rsidRPr="7F762F0D">
      <w:rPr>
        <w:b/>
        <w:bCs/>
        <w:lang w:val="en-US"/>
      </w:rPr>
      <w:t xml:space="preserve">Page </w:t>
    </w:r>
    <w:r w:rsidR="00301E48" w:rsidRPr="7F762F0D">
      <w:rPr>
        <w:b/>
        <w:bCs/>
        <w:noProof/>
        <w:lang w:val="en-US"/>
      </w:rPr>
      <w:fldChar w:fldCharType="begin"/>
    </w:r>
    <w:r w:rsidR="00301E48" w:rsidRPr="7F762F0D">
      <w:rPr>
        <w:b/>
        <w:bCs/>
      </w:rPr>
      <w:instrText xml:space="preserve"> PAGE  \* MERGEFORMAT </w:instrText>
    </w:r>
    <w:r w:rsidR="00301E48" w:rsidRPr="7F762F0D">
      <w:rPr>
        <w:b/>
        <w:bCs/>
      </w:rPr>
      <w:fldChar w:fldCharType="separate"/>
    </w:r>
    <w:r w:rsidRPr="7F762F0D">
      <w:rPr>
        <w:b/>
        <w:bCs/>
        <w:noProof/>
        <w:lang w:val="en-US"/>
      </w:rPr>
      <w:t>1</w:t>
    </w:r>
    <w:r w:rsidR="00301E48" w:rsidRPr="7F762F0D">
      <w:rPr>
        <w:b/>
        <w:bCs/>
        <w:noProof/>
        <w:lang w:val="en-US"/>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5956B" w14:textId="241E575C" w:rsidR="00301E48" w:rsidRPr="00301E48" w:rsidRDefault="7F762F0D" w:rsidP="7F762F0D">
    <w:pPr>
      <w:pStyle w:val="FooterOdd"/>
      <w:rPr>
        <w:lang w:val="en-US"/>
      </w:rPr>
    </w:pPr>
    <w:r w:rsidRPr="7F762F0D">
      <w:rPr>
        <w:lang w:val="en-US"/>
      </w:rPr>
      <w:t xml:space="preserve">Appendix A: Policy decisions taken since the 2024–25 Budget  |  </w:t>
    </w:r>
    <w:r w:rsidRPr="7F762F0D">
      <w:rPr>
        <w:b/>
        <w:bCs/>
        <w:lang w:val="en-US"/>
      </w:rPr>
      <w:t xml:space="preserve">Page </w:t>
    </w:r>
    <w:r w:rsidR="00301E48" w:rsidRPr="7F762F0D">
      <w:rPr>
        <w:b/>
        <w:bCs/>
        <w:noProof/>
        <w:lang w:val="en-US"/>
      </w:rPr>
      <w:fldChar w:fldCharType="begin"/>
    </w:r>
    <w:r w:rsidR="00301E48" w:rsidRPr="7F762F0D">
      <w:rPr>
        <w:b/>
        <w:bCs/>
      </w:rPr>
      <w:instrText xml:space="preserve"> PAGE  \* MERGEFORMAT </w:instrText>
    </w:r>
    <w:r w:rsidR="00301E48" w:rsidRPr="7F762F0D">
      <w:rPr>
        <w:b/>
        <w:bCs/>
      </w:rPr>
      <w:fldChar w:fldCharType="separate"/>
    </w:r>
    <w:r w:rsidRPr="7F762F0D">
      <w:rPr>
        <w:b/>
        <w:bCs/>
        <w:noProof/>
        <w:lang w:val="en-US"/>
      </w:rPr>
      <w:t>18</w:t>
    </w:r>
    <w:r w:rsidR="00301E48" w:rsidRPr="7F762F0D">
      <w:rPr>
        <w:b/>
        <w:bCs/>
        <w:noProof/>
        <w:lang w:val="en-US"/>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E2010" w14:textId="08724ACD" w:rsidR="00301E48" w:rsidRPr="00301E48" w:rsidRDefault="00301E48" w:rsidP="00301E48">
    <w:pPr>
      <w:pStyle w:val="FooterEven"/>
    </w:pPr>
    <w:r w:rsidRPr="00301E48">
      <w:rPr>
        <w:b/>
      </w:rPr>
      <w:t xml:space="preserve">Page </w:t>
    </w:r>
    <w:r w:rsidRPr="00301E48">
      <w:rPr>
        <w:b/>
      </w:rPr>
      <w:fldChar w:fldCharType="begin"/>
    </w:r>
    <w:r w:rsidRPr="00301E48">
      <w:rPr>
        <w:b/>
      </w:rPr>
      <w:instrText xml:space="preserve"> PAGE  \* MERGEFORMAT </w:instrText>
    </w:r>
    <w:r w:rsidRPr="00301E48">
      <w:rPr>
        <w:b/>
      </w:rPr>
      <w:fldChar w:fldCharType="separate"/>
    </w:r>
    <w:r w:rsidRPr="00301E48">
      <w:rPr>
        <w:b/>
        <w:noProof/>
      </w:rPr>
      <w:t>1</w:t>
    </w:r>
    <w:r w:rsidRPr="00301E48">
      <w:rPr>
        <w:b/>
      </w:rPr>
      <w:fldChar w:fldCharType="end"/>
    </w:r>
    <w:r w:rsidRPr="00301E48">
      <w:rPr>
        <w:b/>
      </w:rPr>
      <w:t xml:space="preserve">  </w:t>
    </w:r>
    <w:r>
      <w:t>|  Appendix A: Policy decisions taken since the 2024–25 Budget</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C4C2B" w14:textId="14C4FFC9" w:rsidR="00301E48" w:rsidRPr="00301E48" w:rsidRDefault="7F762F0D" w:rsidP="7F762F0D">
    <w:pPr>
      <w:pStyle w:val="FooterOdd"/>
      <w:rPr>
        <w:lang w:val="en-US"/>
      </w:rPr>
    </w:pPr>
    <w:r w:rsidRPr="7F762F0D">
      <w:rPr>
        <w:lang w:val="en-US"/>
      </w:rPr>
      <w:t xml:space="preserve">Appendix A: Policy decisions taken since the 2024–25 Budget  |  </w:t>
    </w:r>
    <w:r w:rsidRPr="7F762F0D">
      <w:rPr>
        <w:b/>
        <w:bCs/>
        <w:lang w:val="en-US"/>
      </w:rPr>
      <w:t xml:space="preserve">Page </w:t>
    </w:r>
    <w:r w:rsidR="00301E48" w:rsidRPr="7F762F0D">
      <w:rPr>
        <w:b/>
        <w:bCs/>
        <w:noProof/>
        <w:lang w:val="en-US"/>
      </w:rPr>
      <w:fldChar w:fldCharType="begin"/>
    </w:r>
    <w:r w:rsidR="00301E48" w:rsidRPr="7F762F0D">
      <w:rPr>
        <w:b/>
        <w:bCs/>
      </w:rPr>
      <w:instrText xml:space="preserve"> PAGE  \* MERGEFORMAT </w:instrText>
    </w:r>
    <w:r w:rsidR="00301E48" w:rsidRPr="7F762F0D">
      <w:rPr>
        <w:b/>
        <w:bCs/>
      </w:rPr>
      <w:fldChar w:fldCharType="separate"/>
    </w:r>
    <w:r w:rsidRPr="7F762F0D">
      <w:rPr>
        <w:b/>
        <w:bCs/>
        <w:noProof/>
        <w:lang w:val="en-US"/>
      </w:rPr>
      <w:t>1</w:t>
    </w:r>
    <w:r w:rsidR="00301E48" w:rsidRPr="7F762F0D">
      <w:rPr>
        <w:b/>
        <w:bCs/>
        <w:noProof/>
        <w:lang w:val="en-US"/>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24E16" w14:textId="5B22EB50" w:rsidR="00301E48" w:rsidRPr="00301E48" w:rsidRDefault="7F762F0D" w:rsidP="7F762F0D">
    <w:pPr>
      <w:pStyle w:val="FooterOdd"/>
      <w:rPr>
        <w:lang w:val="en-US"/>
      </w:rPr>
    </w:pPr>
    <w:r w:rsidRPr="7F762F0D">
      <w:rPr>
        <w:lang w:val="en-US"/>
      </w:rPr>
      <w:t xml:space="preserve">Appendix A: Policy decisions taken since the 2024–25 Budget  |  </w:t>
    </w:r>
    <w:r w:rsidRPr="7F762F0D">
      <w:rPr>
        <w:b/>
        <w:bCs/>
        <w:lang w:val="en-US"/>
      </w:rPr>
      <w:t xml:space="preserve">Page </w:t>
    </w:r>
    <w:r w:rsidR="00301E48" w:rsidRPr="7F762F0D">
      <w:rPr>
        <w:b/>
        <w:bCs/>
        <w:noProof/>
        <w:lang w:val="en-US"/>
      </w:rPr>
      <w:fldChar w:fldCharType="begin"/>
    </w:r>
    <w:r w:rsidR="00301E48" w:rsidRPr="7F762F0D">
      <w:rPr>
        <w:b/>
        <w:bCs/>
      </w:rPr>
      <w:instrText xml:space="preserve"> PAGE  \* MERGEFORMAT </w:instrText>
    </w:r>
    <w:r w:rsidR="00301E48" w:rsidRPr="7F762F0D">
      <w:rPr>
        <w:b/>
        <w:bCs/>
      </w:rPr>
      <w:fldChar w:fldCharType="separate"/>
    </w:r>
    <w:r w:rsidRPr="7F762F0D">
      <w:rPr>
        <w:b/>
        <w:bCs/>
        <w:noProof/>
        <w:lang w:val="en-US"/>
      </w:rPr>
      <w:t>18</w:t>
    </w:r>
    <w:r w:rsidR="00301E48" w:rsidRPr="7F762F0D">
      <w:rPr>
        <w:b/>
        <w:bCs/>
        <w:noProof/>
        <w:lang w:val="en-US"/>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490D" w14:textId="52C924C3" w:rsidR="00301E48" w:rsidRPr="00301E48" w:rsidRDefault="00301E48" w:rsidP="00301E48">
    <w:pPr>
      <w:pStyle w:val="FooterEven"/>
    </w:pPr>
    <w:r w:rsidRPr="00301E48">
      <w:rPr>
        <w:b/>
      </w:rPr>
      <w:t xml:space="preserve">Page </w:t>
    </w:r>
    <w:r w:rsidRPr="00301E48">
      <w:rPr>
        <w:b/>
      </w:rPr>
      <w:fldChar w:fldCharType="begin"/>
    </w:r>
    <w:r w:rsidRPr="00301E48">
      <w:rPr>
        <w:b/>
      </w:rPr>
      <w:instrText xml:space="preserve"> PAGE  \* MERGEFORMAT </w:instrText>
    </w:r>
    <w:r w:rsidRPr="00301E48">
      <w:rPr>
        <w:b/>
      </w:rPr>
      <w:fldChar w:fldCharType="separate"/>
    </w:r>
    <w:r w:rsidRPr="00301E48">
      <w:rPr>
        <w:b/>
        <w:noProof/>
      </w:rPr>
      <w:t>1</w:t>
    </w:r>
    <w:r w:rsidRPr="00301E48">
      <w:rPr>
        <w:b/>
      </w:rPr>
      <w:fldChar w:fldCharType="end"/>
    </w:r>
    <w:r w:rsidRPr="00301E48">
      <w:rPr>
        <w:b/>
      </w:rPr>
      <w:t xml:space="preserve">  </w:t>
    </w:r>
    <w:r>
      <w:t>|  Appendix A: Policy decisions taken since the 2024–25 Budget</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9929D" w14:textId="0EA9A55B" w:rsidR="00301E48" w:rsidRPr="00301E48" w:rsidRDefault="7F762F0D" w:rsidP="7F762F0D">
    <w:pPr>
      <w:pStyle w:val="FooterOdd"/>
      <w:rPr>
        <w:lang w:val="en-US"/>
      </w:rPr>
    </w:pPr>
    <w:r w:rsidRPr="7F762F0D">
      <w:rPr>
        <w:lang w:val="en-US"/>
      </w:rPr>
      <w:t xml:space="preserve">Appendix A: Policy decisions taken since the 2024–25 Budget  |  </w:t>
    </w:r>
    <w:r w:rsidRPr="7F762F0D">
      <w:rPr>
        <w:b/>
        <w:bCs/>
        <w:lang w:val="en-US"/>
      </w:rPr>
      <w:t xml:space="preserve">Page </w:t>
    </w:r>
    <w:r w:rsidR="00301E48" w:rsidRPr="7F762F0D">
      <w:rPr>
        <w:b/>
        <w:bCs/>
        <w:noProof/>
        <w:lang w:val="en-US"/>
      </w:rPr>
      <w:fldChar w:fldCharType="begin"/>
    </w:r>
    <w:r w:rsidR="00301E48" w:rsidRPr="7F762F0D">
      <w:rPr>
        <w:b/>
        <w:bCs/>
      </w:rPr>
      <w:instrText xml:space="preserve"> PAGE  \* MERGEFORMAT </w:instrText>
    </w:r>
    <w:r w:rsidR="00301E48" w:rsidRPr="7F762F0D">
      <w:rPr>
        <w:b/>
        <w:bCs/>
      </w:rPr>
      <w:fldChar w:fldCharType="separate"/>
    </w:r>
    <w:r w:rsidRPr="7F762F0D">
      <w:rPr>
        <w:b/>
        <w:bCs/>
        <w:noProof/>
        <w:lang w:val="en-US"/>
      </w:rPr>
      <w:t>1</w:t>
    </w:r>
    <w:r w:rsidR="00301E48" w:rsidRPr="7F762F0D">
      <w:rPr>
        <w:b/>
        <w:bCs/>
        <w:noProof/>
        <w:lang w:val="en-US"/>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EA16C" w14:textId="6682FBD5" w:rsidR="00301E48" w:rsidRPr="00301E48" w:rsidRDefault="7F762F0D" w:rsidP="7F762F0D">
    <w:pPr>
      <w:pStyle w:val="FooterOdd"/>
      <w:rPr>
        <w:lang w:val="en-US"/>
      </w:rPr>
    </w:pPr>
    <w:r w:rsidRPr="7F762F0D">
      <w:rPr>
        <w:lang w:val="en-US"/>
      </w:rPr>
      <w:t xml:space="preserve">Appendix A: Policy decisions taken since the 2024–25 Budget  |  </w:t>
    </w:r>
    <w:r w:rsidRPr="7F762F0D">
      <w:rPr>
        <w:b/>
        <w:bCs/>
        <w:lang w:val="en-US"/>
      </w:rPr>
      <w:t xml:space="preserve">Page </w:t>
    </w:r>
    <w:r w:rsidR="00301E48" w:rsidRPr="7F762F0D">
      <w:rPr>
        <w:b/>
        <w:bCs/>
        <w:noProof/>
        <w:lang w:val="en-US"/>
      </w:rPr>
      <w:fldChar w:fldCharType="begin"/>
    </w:r>
    <w:r w:rsidR="00301E48" w:rsidRPr="7F762F0D">
      <w:rPr>
        <w:b/>
        <w:bCs/>
      </w:rPr>
      <w:instrText xml:space="preserve"> PAGE  \* MERGEFORMAT </w:instrText>
    </w:r>
    <w:r w:rsidR="00301E48" w:rsidRPr="7F762F0D">
      <w:rPr>
        <w:b/>
        <w:bCs/>
      </w:rPr>
      <w:fldChar w:fldCharType="separate"/>
    </w:r>
    <w:r w:rsidRPr="7F762F0D">
      <w:rPr>
        <w:b/>
        <w:bCs/>
        <w:noProof/>
        <w:lang w:val="en-US"/>
      </w:rPr>
      <w:t>18</w:t>
    </w:r>
    <w:r w:rsidR="00301E48" w:rsidRPr="7F762F0D">
      <w:rPr>
        <w:b/>
        <w:bCs/>
        <w:noProof/>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3B80" w14:textId="38DF48C4" w:rsidR="00301E48" w:rsidRPr="00301E48" w:rsidRDefault="00301E48" w:rsidP="00301E48">
    <w:pPr>
      <w:pStyle w:val="FooterEven"/>
    </w:pPr>
    <w:r w:rsidRPr="00301E48">
      <w:rPr>
        <w:b/>
      </w:rPr>
      <w:t xml:space="preserve">Page </w:t>
    </w:r>
    <w:r w:rsidRPr="00301E48">
      <w:rPr>
        <w:b/>
      </w:rPr>
      <w:fldChar w:fldCharType="begin"/>
    </w:r>
    <w:r w:rsidRPr="00301E48">
      <w:rPr>
        <w:b/>
      </w:rPr>
      <w:instrText xml:space="preserve"> PAGE  \* MERGEFORMAT </w:instrText>
    </w:r>
    <w:r w:rsidRPr="00301E48">
      <w:rPr>
        <w:b/>
      </w:rPr>
      <w:fldChar w:fldCharType="separate"/>
    </w:r>
    <w:r w:rsidRPr="00301E48">
      <w:rPr>
        <w:b/>
        <w:noProof/>
      </w:rPr>
      <w:t>6</w:t>
    </w:r>
    <w:r w:rsidRPr="00301E48">
      <w:rPr>
        <w:b/>
      </w:rPr>
      <w:fldChar w:fldCharType="end"/>
    </w:r>
    <w:r w:rsidRPr="00301E48">
      <w:rPr>
        <w:b/>
      </w:rPr>
      <w:t xml:space="preserve">  </w:t>
    </w:r>
    <w:r>
      <w:t>|  Appendix A: Policy decisions taken since the 2024–25 Budget</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3AC66" w14:textId="00BD840A" w:rsidR="00301E48" w:rsidRPr="00301E48" w:rsidRDefault="00301E48" w:rsidP="00301E48">
    <w:pPr>
      <w:pStyle w:val="FooterEven"/>
    </w:pPr>
    <w:r w:rsidRPr="00301E48">
      <w:rPr>
        <w:b/>
      </w:rPr>
      <w:t xml:space="preserve">Page </w:t>
    </w:r>
    <w:r w:rsidRPr="00301E48">
      <w:rPr>
        <w:b/>
      </w:rPr>
      <w:fldChar w:fldCharType="begin"/>
    </w:r>
    <w:r w:rsidRPr="00301E48">
      <w:rPr>
        <w:b/>
      </w:rPr>
      <w:instrText xml:space="preserve"> PAGE  \* MERGEFORMAT </w:instrText>
    </w:r>
    <w:r w:rsidRPr="00301E48">
      <w:rPr>
        <w:b/>
      </w:rPr>
      <w:fldChar w:fldCharType="separate"/>
    </w:r>
    <w:r w:rsidRPr="00301E48">
      <w:rPr>
        <w:b/>
        <w:noProof/>
      </w:rPr>
      <w:t>1</w:t>
    </w:r>
    <w:r w:rsidRPr="00301E48">
      <w:rPr>
        <w:b/>
      </w:rPr>
      <w:fldChar w:fldCharType="end"/>
    </w:r>
    <w:r w:rsidRPr="00301E48">
      <w:rPr>
        <w:b/>
      </w:rPr>
      <w:t xml:space="preserve">  </w:t>
    </w:r>
    <w:r>
      <w:t>|  Appendix A: Policy decisions taken since the 2024–25 Budget</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38088" w14:textId="54406BF9" w:rsidR="00301E48" w:rsidRPr="00301E48" w:rsidRDefault="7F762F0D" w:rsidP="7F762F0D">
    <w:pPr>
      <w:pStyle w:val="FooterOdd"/>
      <w:rPr>
        <w:lang w:val="en-US"/>
      </w:rPr>
    </w:pPr>
    <w:r w:rsidRPr="7F762F0D">
      <w:rPr>
        <w:lang w:val="en-US"/>
      </w:rPr>
      <w:t xml:space="preserve">Appendix A: Policy decisions taken since the 2024–25 Budget  |  </w:t>
    </w:r>
    <w:r w:rsidRPr="7F762F0D">
      <w:rPr>
        <w:b/>
        <w:bCs/>
        <w:lang w:val="en-US"/>
      </w:rPr>
      <w:t xml:space="preserve">Page </w:t>
    </w:r>
    <w:r w:rsidR="00301E48" w:rsidRPr="7F762F0D">
      <w:rPr>
        <w:b/>
        <w:bCs/>
        <w:noProof/>
        <w:lang w:val="en-US"/>
      </w:rPr>
      <w:fldChar w:fldCharType="begin"/>
    </w:r>
    <w:r w:rsidR="00301E48" w:rsidRPr="7F762F0D">
      <w:rPr>
        <w:b/>
        <w:bCs/>
      </w:rPr>
      <w:instrText xml:space="preserve"> PAGE  \* MERGEFORMAT </w:instrText>
    </w:r>
    <w:r w:rsidR="00301E48" w:rsidRPr="7F762F0D">
      <w:rPr>
        <w:b/>
        <w:bCs/>
      </w:rPr>
      <w:fldChar w:fldCharType="separate"/>
    </w:r>
    <w:r w:rsidRPr="7F762F0D">
      <w:rPr>
        <w:b/>
        <w:bCs/>
        <w:noProof/>
        <w:lang w:val="en-US"/>
      </w:rPr>
      <w:t>1</w:t>
    </w:r>
    <w:r w:rsidR="00301E48" w:rsidRPr="7F762F0D">
      <w:rPr>
        <w:b/>
        <w:bCs/>
        <w:noProof/>
        <w:lang w:val="en-US"/>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06722" w14:textId="67CED4ED" w:rsidR="00301E48" w:rsidRPr="00301E48" w:rsidRDefault="7F762F0D" w:rsidP="7F762F0D">
    <w:pPr>
      <w:pStyle w:val="FooterOdd"/>
      <w:rPr>
        <w:lang w:val="en-US"/>
      </w:rPr>
    </w:pPr>
    <w:r w:rsidRPr="7F762F0D">
      <w:rPr>
        <w:lang w:val="en-US"/>
      </w:rPr>
      <w:t xml:space="preserve">Appendix A: Policy decisions taken since the 2024–25 Budget  |  </w:t>
    </w:r>
    <w:r w:rsidRPr="7F762F0D">
      <w:rPr>
        <w:b/>
        <w:bCs/>
        <w:lang w:val="en-US"/>
      </w:rPr>
      <w:t xml:space="preserve">Page </w:t>
    </w:r>
    <w:r w:rsidR="00301E48" w:rsidRPr="7F762F0D">
      <w:rPr>
        <w:b/>
        <w:bCs/>
        <w:noProof/>
        <w:lang w:val="en-US"/>
      </w:rPr>
      <w:fldChar w:fldCharType="begin"/>
    </w:r>
    <w:r w:rsidR="00301E48" w:rsidRPr="7F762F0D">
      <w:rPr>
        <w:b/>
        <w:bCs/>
      </w:rPr>
      <w:instrText xml:space="preserve"> PAGE  \* MERGEFORMAT </w:instrText>
    </w:r>
    <w:r w:rsidR="00301E48" w:rsidRPr="7F762F0D">
      <w:rPr>
        <w:b/>
        <w:bCs/>
      </w:rPr>
      <w:fldChar w:fldCharType="separate"/>
    </w:r>
    <w:r w:rsidRPr="7F762F0D">
      <w:rPr>
        <w:b/>
        <w:bCs/>
        <w:noProof/>
        <w:lang w:val="en-US"/>
      </w:rPr>
      <w:t>18</w:t>
    </w:r>
    <w:r w:rsidR="00301E48" w:rsidRPr="7F762F0D">
      <w:rPr>
        <w:b/>
        <w:bCs/>
        <w:noProof/>
        <w:lang w:val="en-US"/>
      </w:rP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797AD" w14:textId="27C8CFBD" w:rsidR="00301E48" w:rsidRPr="00301E48" w:rsidRDefault="00301E48" w:rsidP="00301E48">
    <w:pPr>
      <w:pStyle w:val="FooterEven"/>
    </w:pPr>
    <w:r w:rsidRPr="00301E48">
      <w:rPr>
        <w:b/>
      </w:rPr>
      <w:t xml:space="preserve">Page </w:t>
    </w:r>
    <w:r w:rsidRPr="00301E48">
      <w:rPr>
        <w:b/>
      </w:rPr>
      <w:fldChar w:fldCharType="begin"/>
    </w:r>
    <w:r w:rsidRPr="00301E48">
      <w:rPr>
        <w:b/>
      </w:rPr>
      <w:instrText xml:space="preserve"> PAGE  \* MERGEFORMAT </w:instrText>
    </w:r>
    <w:r w:rsidRPr="00301E48">
      <w:rPr>
        <w:b/>
      </w:rPr>
      <w:fldChar w:fldCharType="separate"/>
    </w:r>
    <w:r w:rsidRPr="00301E48">
      <w:rPr>
        <w:b/>
        <w:noProof/>
      </w:rPr>
      <w:t>1</w:t>
    </w:r>
    <w:r w:rsidRPr="00301E48">
      <w:rPr>
        <w:b/>
      </w:rPr>
      <w:fldChar w:fldCharType="end"/>
    </w:r>
    <w:r w:rsidRPr="00301E48">
      <w:rPr>
        <w:b/>
      </w:rPr>
      <w:t xml:space="preserve">  </w:t>
    </w:r>
    <w:r>
      <w:t>|  Appendix A: Policy decisions taken since the 2024–25 Budget</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6D60" w14:textId="403E7CE6" w:rsidR="00301E48" w:rsidRPr="00301E48" w:rsidRDefault="7F762F0D" w:rsidP="7F762F0D">
    <w:pPr>
      <w:pStyle w:val="FooterOdd"/>
      <w:rPr>
        <w:lang w:val="en-US"/>
      </w:rPr>
    </w:pPr>
    <w:r w:rsidRPr="7F762F0D">
      <w:rPr>
        <w:lang w:val="en-US"/>
      </w:rPr>
      <w:t xml:space="preserve">Appendix A: Policy decisions taken since the 2024–25 Budget  |  </w:t>
    </w:r>
    <w:r w:rsidRPr="7F762F0D">
      <w:rPr>
        <w:b/>
        <w:bCs/>
        <w:lang w:val="en-US"/>
      </w:rPr>
      <w:t xml:space="preserve">Page </w:t>
    </w:r>
    <w:r w:rsidR="00301E48" w:rsidRPr="7F762F0D">
      <w:rPr>
        <w:b/>
        <w:bCs/>
        <w:noProof/>
        <w:lang w:val="en-US"/>
      </w:rPr>
      <w:fldChar w:fldCharType="begin"/>
    </w:r>
    <w:r w:rsidR="00301E48" w:rsidRPr="7F762F0D">
      <w:rPr>
        <w:b/>
        <w:bCs/>
      </w:rPr>
      <w:instrText xml:space="preserve"> PAGE  \* MERGEFORMAT </w:instrText>
    </w:r>
    <w:r w:rsidR="00301E48" w:rsidRPr="7F762F0D">
      <w:rPr>
        <w:b/>
        <w:bCs/>
      </w:rPr>
      <w:fldChar w:fldCharType="separate"/>
    </w:r>
    <w:r w:rsidRPr="7F762F0D">
      <w:rPr>
        <w:b/>
        <w:bCs/>
        <w:noProof/>
        <w:lang w:val="en-US"/>
      </w:rPr>
      <w:t>1</w:t>
    </w:r>
    <w:r w:rsidR="00301E48" w:rsidRPr="7F762F0D">
      <w:rPr>
        <w:b/>
        <w:bCs/>
        <w:noProof/>
        <w:lang w:val="en-US"/>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4EFC5" w14:textId="24BBC94E" w:rsidR="00301E48" w:rsidRPr="00301E48" w:rsidRDefault="7F762F0D" w:rsidP="7F762F0D">
    <w:pPr>
      <w:pStyle w:val="FooterOdd"/>
      <w:rPr>
        <w:lang w:val="en-US"/>
      </w:rPr>
    </w:pPr>
    <w:r w:rsidRPr="7F762F0D">
      <w:rPr>
        <w:lang w:val="en-US"/>
      </w:rPr>
      <w:t xml:space="preserve">Appendix A: Policy decisions taken since the 2024–25 Budget  |  </w:t>
    </w:r>
    <w:r w:rsidRPr="7F762F0D">
      <w:rPr>
        <w:b/>
        <w:bCs/>
        <w:lang w:val="en-US"/>
      </w:rPr>
      <w:t xml:space="preserve">Page </w:t>
    </w:r>
    <w:r w:rsidR="00301E48" w:rsidRPr="7F762F0D">
      <w:rPr>
        <w:b/>
        <w:bCs/>
        <w:noProof/>
        <w:lang w:val="en-US"/>
      </w:rPr>
      <w:fldChar w:fldCharType="begin"/>
    </w:r>
    <w:r w:rsidR="00301E48" w:rsidRPr="7F762F0D">
      <w:rPr>
        <w:b/>
        <w:bCs/>
      </w:rPr>
      <w:instrText xml:space="preserve"> PAGE  \* MERGEFORMAT </w:instrText>
    </w:r>
    <w:r w:rsidR="00301E48" w:rsidRPr="7F762F0D">
      <w:rPr>
        <w:b/>
        <w:bCs/>
      </w:rPr>
      <w:fldChar w:fldCharType="separate"/>
    </w:r>
    <w:r w:rsidRPr="7F762F0D">
      <w:rPr>
        <w:b/>
        <w:bCs/>
        <w:noProof/>
        <w:lang w:val="en-US"/>
      </w:rPr>
      <w:t>18</w:t>
    </w:r>
    <w:r w:rsidR="00301E48" w:rsidRPr="7F762F0D">
      <w:rPr>
        <w:b/>
        <w:bCs/>
        <w:noProof/>
        <w:lang w:val="en-US"/>
      </w:rP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B31B3" w14:textId="67592A09" w:rsidR="00301E48" w:rsidRPr="00301E48" w:rsidRDefault="00301E48" w:rsidP="00301E48">
    <w:pPr>
      <w:pStyle w:val="FooterEven"/>
    </w:pPr>
    <w:r w:rsidRPr="00301E48">
      <w:rPr>
        <w:b/>
      </w:rPr>
      <w:t xml:space="preserve">Page </w:t>
    </w:r>
    <w:r w:rsidRPr="00301E48">
      <w:rPr>
        <w:b/>
      </w:rPr>
      <w:fldChar w:fldCharType="begin"/>
    </w:r>
    <w:r w:rsidRPr="00301E48">
      <w:rPr>
        <w:b/>
      </w:rPr>
      <w:instrText xml:space="preserve"> PAGE  \* MERGEFORMAT </w:instrText>
    </w:r>
    <w:r w:rsidRPr="00301E48">
      <w:rPr>
        <w:b/>
      </w:rPr>
      <w:fldChar w:fldCharType="separate"/>
    </w:r>
    <w:r w:rsidRPr="00301E48">
      <w:rPr>
        <w:b/>
        <w:noProof/>
      </w:rPr>
      <w:t>1</w:t>
    </w:r>
    <w:r w:rsidRPr="00301E48">
      <w:rPr>
        <w:b/>
      </w:rPr>
      <w:fldChar w:fldCharType="end"/>
    </w:r>
    <w:r w:rsidRPr="00301E48">
      <w:rPr>
        <w:b/>
      </w:rPr>
      <w:t xml:space="preserve">  </w:t>
    </w:r>
    <w:r>
      <w:t>|  Appendix A: Policy decisions taken since the 2024–25 Budget</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08BE4" w14:textId="49D5290C" w:rsidR="00301E48" w:rsidRPr="00301E48" w:rsidRDefault="7F762F0D" w:rsidP="7F762F0D">
    <w:pPr>
      <w:pStyle w:val="FooterOdd"/>
      <w:rPr>
        <w:lang w:val="en-US"/>
      </w:rPr>
    </w:pPr>
    <w:r w:rsidRPr="7F762F0D">
      <w:rPr>
        <w:lang w:val="en-US"/>
      </w:rPr>
      <w:t xml:space="preserve">Appendix A: Policy decisions taken since the 2024–25 Budget  |  </w:t>
    </w:r>
    <w:r w:rsidRPr="7F762F0D">
      <w:rPr>
        <w:b/>
        <w:bCs/>
        <w:lang w:val="en-US"/>
      </w:rPr>
      <w:t xml:space="preserve">Page </w:t>
    </w:r>
    <w:r w:rsidR="00301E48" w:rsidRPr="7F762F0D">
      <w:rPr>
        <w:b/>
        <w:bCs/>
        <w:noProof/>
        <w:lang w:val="en-US"/>
      </w:rPr>
      <w:fldChar w:fldCharType="begin"/>
    </w:r>
    <w:r w:rsidR="00301E48" w:rsidRPr="7F762F0D">
      <w:rPr>
        <w:b/>
        <w:bCs/>
      </w:rPr>
      <w:instrText xml:space="preserve"> PAGE  \* MERGEFORMAT </w:instrText>
    </w:r>
    <w:r w:rsidR="00301E48" w:rsidRPr="7F762F0D">
      <w:rPr>
        <w:b/>
        <w:bCs/>
      </w:rPr>
      <w:fldChar w:fldCharType="separate"/>
    </w:r>
    <w:r w:rsidRPr="7F762F0D">
      <w:rPr>
        <w:b/>
        <w:bCs/>
        <w:noProof/>
        <w:lang w:val="en-US"/>
      </w:rPr>
      <w:t>1</w:t>
    </w:r>
    <w:r w:rsidR="00301E48" w:rsidRPr="7F762F0D">
      <w:rPr>
        <w:b/>
        <w:bCs/>
        <w:noProof/>
        <w:lang w:val="en-US"/>
      </w:rP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751F1" w14:textId="4DA18F33" w:rsidR="00301E48" w:rsidRPr="00301E48" w:rsidRDefault="7F762F0D" w:rsidP="7F762F0D">
    <w:pPr>
      <w:pStyle w:val="FooterOdd"/>
      <w:rPr>
        <w:lang w:val="en-US"/>
      </w:rPr>
    </w:pPr>
    <w:r w:rsidRPr="7F762F0D">
      <w:rPr>
        <w:lang w:val="en-US"/>
      </w:rPr>
      <w:t xml:space="preserve">Appendix A: Policy decisions taken since the 2024–25 Budget  |  </w:t>
    </w:r>
    <w:r w:rsidRPr="7F762F0D">
      <w:rPr>
        <w:b/>
        <w:bCs/>
        <w:lang w:val="en-US"/>
      </w:rPr>
      <w:t xml:space="preserve">Page </w:t>
    </w:r>
    <w:r w:rsidR="00301E48" w:rsidRPr="7F762F0D">
      <w:rPr>
        <w:b/>
        <w:bCs/>
        <w:noProof/>
        <w:lang w:val="en-US"/>
      </w:rPr>
      <w:fldChar w:fldCharType="begin"/>
    </w:r>
    <w:r w:rsidR="00301E48" w:rsidRPr="7F762F0D">
      <w:rPr>
        <w:b/>
        <w:bCs/>
      </w:rPr>
      <w:instrText xml:space="preserve"> PAGE  \* MERGEFORMAT </w:instrText>
    </w:r>
    <w:r w:rsidR="00301E48" w:rsidRPr="7F762F0D">
      <w:rPr>
        <w:b/>
        <w:bCs/>
      </w:rPr>
      <w:fldChar w:fldCharType="separate"/>
    </w:r>
    <w:r w:rsidRPr="7F762F0D">
      <w:rPr>
        <w:b/>
        <w:bCs/>
        <w:noProof/>
        <w:lang w:val="en-US"/>
      </w:rPr>
      <w:t>18</w:t>
    </w:r>
    <w:r w:rsidR="00301E48" w:rsidRPr="7F762F0D">
      <w:rPr>
        <w:b/>
        <w:bCs/>
        <w:noProof/>
        <w:lang w:val="en-US"/>
      </w:rPr>
      <w:fldChar w:fldCharType="end"/>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B2635" w14:textId="6B5E23E5" w:rsidR="00301E48" w:rsidRPr="00301E48" w:rsidRDefault="00301E48" w:rsidP="00301E48">
    <w:pPr>
      <w:pStyle w:val="FooterEven"/>
    </w:pPr>
    <w:r w:rsidRPr="00301E48">
      <w:rPr>
        <w:b/>
      </w:rPr>
      <w:t xml:space="preserve">Page </w:t>
    </w:r>
    <w:r w:rsidRPr="00301E48">
      <w:rPr>
        <w:b/>
      </w:rPr>
      <w:fldChar w:fldCharType="begin"/>
    </w:r>
    <w:r w:rsidRPr="00301E48">
      <w:rPr>
        <w:b/>
      </w:rPr>
      <w:instrText xml:space="preserve"> PAGE  \* MERGEFORMAT </w:instrText>
    </w:r>
    <w:r w:rsidRPr="00301E48">
      <w:rPr>
        <w:b/>
      </w:rPr>
      <w:fldChar w:fldCharType="separate"/>
    </w:r>
    <w:r w:rsidRPr="00301E48">
      <w:rPr>
        <w:b/>
        <w:noProof/>
      </w:rPr>
      <w:t>1</w:t>
    </w:r>
    <w:r w:rsidRPr="00301E48">
      <w:rPr>
        <w:b/>
      </w:rPr>
      <w:fldChar w:fldCharType="end"/>
    </w:r>
    <w:r w:rsidRPr="00301E48">
      <w:rPr>
        <w:b/>
      </w:rPr>
      <w:t xml:space="preserve">  </w:t>
    </w:r>
    <w:r>
      <w:t>|  Appendix A: Policy decisions taken since the 2024–25 Budget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EB3C3" w14:textId="4743B401" w:rsidR="00301E48" w:rsidRPr="00301E48" w:rsidRDefault="7F762F0D" w:rsidP="7F762F0D">
    <w:pPr>
      <w:pStyle w:val="FooterOdd"/>
      <w:rPr>
        <w:lang w:val="en-US"/>
      </w:rPr>
    </w:pPr>
    <w:r w:rsidRPr="7F762F0D">
      <w:rPr>
        <w:lang w:val="en-US"/>
      </w:rPr>
      <w:t xml:space="preserve">Appendix A: Policy decisions taken since the 2024–25 Budget  |  </w:t>
    </w:r>
    <w:r w:rsidRPr="7F762F0D">
      <w:rPr>
        <w:b/>
        <w:bCs/>
        <w:lang w:val="en-US"/>
      </w:rPr>
      <w:t xml:space="preserve">Page </w:t>
    </w:r>
    <w:r w:rsidR="00301E48" w:rsidRPr="7F762F0D">
      <w:rPr>
        <w:b/>
        <w:bCs/>
        <w:noProof/>
        <w:lang w:val="en-US"/>
      </w:rPr>
      <w:fldChar w:fldCharType="begin"/>
    </w:r>
    <w:r w:rsidR="00301E48" w:rsidRPr="7F762F0D">
      <w:rPr>
        <w:b/>
        <w:bCs/>
      </w:rPr>
      <w:instrText xml:space="preserve"> PAGE  \* MERGEFORMAT </w:instrText>
    </w:r>
    <w:r w:rsidR="00301E48" w:rsidRPr="7F762F0D">
      <w:rPr>
        <w:b/>
        <w:bCs/>
      </w:rPr>
      <w:fldChar w:fldCharType="separate"/>
    </w:r>
    <w:r w:rsidRPr="7F762F0D">
      <w:rPr>
        <w:b/>
        <w:bCs/>
        <w:noProof/>
        <w:lang w:val="en-US"/>
      </w:rPr>
      <w:t>5</w:t>
    </w:r>
    <w:r w:rsidR="00301E48" w:rsidRPr="7F762F0D">
      <w:rPr>
        <w:b/>
        <w:bCs/>
        <w:noProof/>
        <w:lang w:val="en-US"/>
      </w:rP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0EAC1" w14:textId="1FFADCA1" w:rsidR="00301E48" w:rsidRPr="00301E48" w:rsidRDefault="7F762F0D" w:rsidP="7F762F0D">
    <w:pPr>
      <w:pStyle w:val="FooterOdd"/>
      <w:rPr>
        <w:lang w:val="en-US"/>
      </w:rPr>
    </w:pPr>
    <w:r w:rsidRPr="7F762F0D">
      <w:rPr>
        <w:lang w:val="en-US"/>
      </w:rPr>
      <w:t xml:space="preserve">Appendix A: Policy decisions taken since the 2024–25 Budget  |  </w:t>
    </w:r>
    <w:r w:rsidRPr="7F762F0D">
      <w:rPr>
        <w:b/>
        <w:bCs/>
        <w:lang w:val="en-US"/>
      </w:rPr>
      <w:t xml:space="preserve">Page </w:t>
    </w:r>
    <w:r w:rsidR="00301E48" w:rsidRPr="7F762F0D">
      <w:rPr>
        <w:b/>
        <w:bCs/>
        <w:noProof/>
        <w:lang w:val="en-US"/>
      </w:rPr>
      <w:fldChar w:fldCharType="begin"/>
    </w:r>
    <w:r w:rsidR="00301E48" w:rsidRPr="7F762F0D">
      <w:rPr>
        <w:b/>
        <w:bCs/>
      </w:rPr>
      <w:instrText xml:space="preserve"> PAGE  \* MERGEFORMAT </w:instrText>
    </w:r>
    <w:r w:rsidR="00301E48" w:rsidRPr="7F762F0D">
      <w:rPr>
        <w:b/>
        <w:bCs/>
      </w:rPr>
      <w:fldChar w:fldCharType="separate"/>
    </w:r>
    <w:r w:rsidRPr="7F762F0D">
      <w:rPr>
        <w:b/>
        <w:bCs/>
        <w:noProof/>
        <w:lang w:val="en-US"/>
      </w:rPr>
      <w:t>1</w:t>
    </w:r>
    <w:r w:rsidR="00301E48" w:rsidRPr="7F762F0D">
      <w:rPr>
        <w:b/>
        <w:bCs/>
        <w:noProof/>
        <w:lang w:val="en-US"/>
      </w:rP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CAF25" w14:textId="3877D796" w:rsidR="00301E48" w:rsidRPr="00301E48" w:rsidRDefault="7F762F0D" w:rsidP="7F762F0D">
    <w:pPr>
      <w:pStyle w:val="FooterOdd"/>
      <w:rPr>
        <w:lang w:val="en-US"/>
      </w:rPr>
    </w:pPr>
    <w:r w:rsidRPr="7F762F0D">
      <w:rPr>
        <w:lang w:val="en-US"/>
      </w:rPr>
      <w:t xml:space="preserve">Appendix A: Policy decisions taken since the 2024–25 Budget  |  </w:t>
    </w:r>
    <w:r w:rsidRPr="7F762F0D">
      <w:rPr>
        <w:b/>
        <w:bCs/>
        <w:lang w:val="en-US"/>
      </w:rPr>
      <w:t xml:space="preserve">Page </w:t>
    </w:r>
    <w:r w:rsidR="00301E48" w:rsidRPr="7F762F0D">
      <w:rPr>
        <w:b/>
        <w:bCs/>
        <w:noProof/>
        <w:lang w:val="en-US"/>
      </w:rPr>
      <w:fldChar w:fldCharType="begin"/>
    </w:r>
    <w:r w:rsidR="00301E48" w:rsidRPr="7F762F0D">
      <w:rPr>
        <w:b/>
        <w:bCs/>
      </w:rPr>
      <w:instrText xml:space="preserve"> PAGE  \* MERGEFORMAT </w:instrText>
    </w:r>
    <w:r w:rsidR="00301E48" w:rsidRPr="7F762F0D">
      <w:rPr>
        <w:b/>
        <w:bCs/>
      </w:rPr>
      <w:fldChar w:fldCharType="separate"/>
    </w:r>
    <w:r w:rsidRPr="7F762F0D">
      <w:rPr>
        <w:b/>
        <w:bCs/>
        <w:noProof/>
        <w:lang w:val="en-US"/>
      </w:rPr>
      <w:t>18</w:t>
    </w:r>
    <w:r w:rsidR="00301E48" w:rsidRPr="7F762F0D">
      <w:rPr>
        <w:b/>
        <w:bCs/>
        <w:noProof/>
        <w:lang w:val="en-US"/>
      </w:rPr>
      <w:fldChar w:fldCharType="end"/>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3565" w14:textId="7C9DE9C8" w:rsidR="00301E48" w:rsidRPr="00301E48" w:rsidRDefault="00301E48" w:rsidP="00301E48">
    <w:pPr>
      <w:pStyle w:val="FooterEven"/>
    </w:pPr>
    <w:r w:rsidRPr="00301E48">
      <w:rPr>
        <w:b/>
      </w:rPr>
      <w:t xml:space="preserve">Page </w:t>
    </w:r>
    <w:r w:rsidRPr="00301E48">
      <w:rPr>
        <w:b/>
      </w:rPr>
      <w:fldChar w:fldCharType="begin"/>
    </w:r>
    <w:r w:rsidRPr="00301E48">
      <w:rPr>
        <w:b/>
      </w:rPr>
      <w:instrText xml:space="preserve"> PAGE  \* MERGEFORMAT </w:instrText>
    </w:r>
    <w:r w:rsidRPr="00301E48">
      <w:rPr>
        <w:b/>
      </w:rPr>
      <w:fldChar w:fldCharType="separate"/>
    </w:r>
    <w:r w:rsidRPr="00301E48">
      <w:rPr>
        <w:b/>
        <w:noProof/>
      </w:rPr>
      <w:t>1</w:t>
    </w:r>
    <w:r w:rsidRPr="00301E48">
      <w:rPr>
        <w:b/>
      </w:rPr>
      <w:fldChar w:fldCharType="end"/>
    </w:r>
    <w:r w:rsidRPr="00301E48">
      <w:rPr>
        <w:b/>
      </w:rPr>
      <w:t xml:space="preserve">  </w:t>
    </w:r>
    <w:r>
      <w:t>|  Appendix A: Policy decisions taken since the 2024–25 Budget</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1975A" w14:textId="1485ED7C" w:rsidR="00301E48" w:rsidRPr="00301E48" w:rsidRDefault="7F762F0D" w:rsidP="7F762F0D">
    <w:pPr>
      <w:pStyle w:val="FooterOdd"/>
      <w:rPr>
        <w:lang w:val="en-US"/>
      </w:rPr>
    </w:pPr>
    <w:r w:rsidRPr="7F762F0D">
      <w:rPr>
        <w:lang w:val="en-US"/>
      </w:rPr>
      <w:t xml:space="preserve">Appendix A: Policy decisions taken since the 2024–25 Budget  |  </w:t>
    </w:r>
    <w:r w:rsidRPr="7F762F0D">
      <w:rPr>
        <w:b/>
        <w:bCs/>
        <w:lang w:val="en-US"/>
      </w:rPr>
      <w:t xml:space="preserve">Page </w:t>
    </w:r>
    <w:r w:rsidR="00301E48" w:rsidRPr="7F762F0D">
      <w:rPr>
        <w:b/>
        <w:bCs/>
        <w:noProof/>
        <w:lang w:val="en-US"/>
      </w:rPr>
      <w:fldChar w:fldCharType="begin"/>
    </w:r>
    <w:r w:rsidR="00301E48" w:rsidRPr="7F762F0D">
      <w:rPr>
        <w:b/>
        <w:bCs/>
      </w:rPr>
      <w:instrText xml:space="preserve"> PAGE  \* MERGEFORMAT </w:instrText>
    </w:r>
    <w:r w:rsidR="00301E48" w:rsidRPr="7F762F0D">
      <w:rPr>
        <w:b/>
        <w:bCs/>
      </w:rPr>
      <w:fldChar w:fldCharType="separate"/>
    </w:r>
    <w:r w:rsidRPr="7F762F0D">
      <w:rPr>
        <w:b/>
        <w:bCs/>
        <w:noProof/>
        <w:lang w:val="en-US"/>
      </w:rPr>
      <w:t>1</w:t>
    </w:r>
    <w:r w:rsidR="00301E48" w:rsidRPr="7F762F0D">
      <w:rPr>
        <w:b/>
        <w:bCs/>
        <w:noProof/>
        <w:lang w:val="en-US"/>
      </w:rP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BAD82" w14:textId="28CC862F" w:rsidR="00301E48" w:rsidRPr="00301E48" w:rsidRDefault="7F762F0D" w:rsidP="7F762F0D">
    <w:pPr>
      <w:pStyle w:val="FooterOdd"/>
      <w:rPr>
        <w:lang w:val="en-US"/>
      </w:rPr>
    </w:pPr>
    <w:r w:rsidRPr="7F762F0D">
      <w:rPr>
        <w:lang w:val="en-US"/>
      </w:rPr>
      <w:t xml:space="preserve">Appendix A: Policy decisions taken since the 2024–25 Budget  |  </w:t>
    </w:r>
    <w:r w:rsidRPr="7F762F0D">
      <w:rPr>
        <w:b/>
        <w:bCs/>
        <w:lang w:val="en-US"/>
      </w:rPr>
      <w:t xml:space="preserve">Page </w:t>
    </w:r>
    <w:r w:rsidR="00301E48" w:rsidRPr="7F762F0D">
      <w:rPr>
        <w:b/>
        <w:bCs/>
        <w:noProof/>
        <w:lang w:val="en-US"/>
      </w:rPr>
      <w:fldChar w:fldCharType="begin"/>
    </w:r>
    <w:r w:rsidR="00301E48" w:rsidRPr="7F762F0D">
      <w:rPr>
        <w:b/>
        <w:bCs/>
      </w:rPr>
      <w:instrText xml:space="preserve"> PAGE  \* MERGEFORMAT </w:instrText>
    </w:r>
    <w:r w:rsidR="00301E48" w:rsidRPr="7F762F0D">
      <w:rPr>
        <w:b/>
        <w:bCs/>
      </w:rPr>
      <w:fldChar w:fldCharType="separate"/>
    </w:r>
    <w:r w:rsidRPr="7F762F0D">
      <w:rPr>
        <w:b/>
        <w:bCs/>
        <w:noProof/>
        <w:lang w:val="en-US"/>
      </w:rPr>
      <w:t>18</w:t>
    </w:r>
    <w:r w:rsidR="00301E48" w:rsidRPr="7F762F0D">
      <w:rPr>
        <w:b/>
        <w:bCs/>
        <w:noProof/>
        <w:lang w:val="en-US"/>
      </w:rPr>
      <w:fldChar w:fldCharType="end"/>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9B68B" w14:textId="4E1D1E85" w:rsidR="00301E48" w:rsidRPr="00301E48" w:rsidRDefault="00301E48" w:rsidP="00301E48">
    <w:pPr>
      <w:pStyle w:val="FooterEven"/>
    </w:pPr>
    <w:r w:rsidRPr="00301E48">
      <w:rPr>
        <w:b/>
      </w:rPr>
      <w:t xml:space="preserve">Page </w:t>
    </w:r>
    <w:r w:rsidRPr="00301E48">
      <w:rPr>
        <w:b/>
      </w:rPr>
      <w:fldChar w:fldCharType="begin"/>
    </w:r>
    <w:r w:rsidRPr="00301E48">
      <w:rPr>
        <w:b/>
      </w:rPr>
      <w:instrText xml:space="preserve"> PAGE  \* MERGEFORMAT </w:instrText>
    </w:r>
    <w:r w:rsidRPr="00301E48">
      <w:rPr>
        <w:b/>
      </w:rPr>
      <w:fldChar w:fldCharType="separate"/>
    </w:r>
    <w:r w:rsidRPr="00301E48">
      <w:rPr>
        <w:b/>
        <w:noProof/>
      </w:rPr>
      <w:t>1</w:t>
    </w:r>
    <w:r w:rsidRPr="00301E48">
      <w:rPr>
        <w:b/>
      </w:rPr>
      <w:fldChar w:fldCharType="end"/>
    </w:r>
    <w:r w:rsidRPr="00301E48">
      <w:rPr>
        <w:b/>
      </w:rPr>
      <w:t xml:space="preserve">  </w:t>
    </w:r>
    <w:r>
      <w:t>|  Appendix A: Policy decisions taken since the 2024–25 Budget</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6DC69" w14:textId="1139DB80" w:rsidR="00301E48" w:rsidRPr="00301E48" w:rsidRDefault="7F762F0D" w:rsidP="7F762F0D">
    <w:pPr>
      <w:pStyle w:val="FooterOdd"/>
      <w:rPr>
        <w:lang w:val="en-US"/>
      </w:rPr>
    </w:pPr>
    <w:r w:rsidRPr="7F762F0D">
      <w:rPr>
        <w:lang w:val="en-US"/>
      </w:rPr>
      <w:t xml:space="preserve">Appendix A: Policy decisions taken since the 2024–25 Budget  |  </w:t>
    </w:r>
    <w:r w:rsidRPr="7F762F0D">
      <w:rPr>
        <w:b/>
        <w:bCs/>
        <w:lang w:val="en-US"/>
      </w:rPr>
      <w:t xml:space="preserve">Page </w:t>
    </w:r>
    <w:r w:rsidR="00301E48" w:rsidRPr="7F762F0D">
      <w:rPr>
        <w:b/>
        <w:bCs/>
        <w:noProof/>
        <w:lang w:val="en-US"/>
      </w:rPr>
      <w:fldChar w:fldCharType="begin"/>
    </w:r>
    <w:r w:rsidR="00301E48" w:rsidRPr="7F762F0D">
      <w:rPr>
        <w:b/>
        <w:bCs/>
      </w:rPr>
      <w:instrText xml:space="preserve"> PAGE  \* MERGEFORMAT </w:instrText>
    </w:r>
    <w:r w:rsidR="00301E48" w:rsidRPr="7F762F0D">
      <w:rPr>
        <w:b/>
        <w:bCs/>
      </w:rPr>
      <w:fldChar w:fldCharType="separate"/>
    </w:r>
    <w:r w:rsidRPr="7F762F0D">
      <w:rPr>
        <w:b/>
        <w:bCs/>
        <w:noProof/>
        <w:lang w:val="en-US"/>
      </w:rPr>
      <w:t>2</w:t>
    </w:r>
    <w:r w:rsidR="00301E48" w:rsidRPr="7F762F0D">
      <w:rPr>
        <w:b/>
        <w:bCs/>
        <w:noProof/>
        <w:lang w:val="en-US"/>
      </w:rP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664A3" w14:textId="48FF3292" w:rsidR="00301E48" w:rsidRPr="00301E48" w:rsidRDefault="7F762F0D" w:rsidP="7F762F0D">
    <w:pPr>
      <w:pStyle w:val="FooterOdd"/>
      <w:rPr>
        <w:lang w:val="en-US"/>
      </w:rPr>
    </w:pPr>
    <w:r w:rsidRPr="7F762F0D">
      <w:rPr>
        <w:lang w:val="en-US"/>
      </w:rPr>
      <w:t xml:space="preserve">Appendix A: Policy decisions taken since the 2024–25 Budget  |  </w:t>
    </w:r>
    <w:r w:rsidRPr="7F762F0D">
      <w:rPr>
        <w:b/>
        <w:bCs/>
        <w:lang w:val="en-US"/>
      </w:rPr>
      <w:t xml:space="preserve">Page </w:t>
    </w:r>
    <w:r w:rsidR="00301E48" w:rsidRPr="7F762F0D">
      <w:rPr>
        <w:b/>
        <w:bCs/>
        <w:noProof/>
        <w:lang w:val="en-US"/>
      </w:rPr>
      <w:fldChar w:fldCharType="begin"/>
    </w:r>
    <w:r w:rsidR="00301E48" w:rsidRPr="7F762F0D">
      <w:rPr>
        <w:b/>
        <w:bCs/>
      </w:rPr>
      <w:instrText xml:space="preserve"> PAGE  \* MERGEFORMAT </w:instrText>
    </w:r>
    <w:r w:rsidR="00301E48" w:rsidRPr="7F762F0D">
      <w:rPr>
        <w:b/>
        <w:bCs/>
      </w:rPr>
      <w:fldChar w:fldCharType="separate"/>
    </w:r>
    <w:r w:rsidRPr="7F762F0D">
      <w:rPr>
        <w:b/>
        <w:bCs/>
        <w:noProof/>
        <w:lang w:val="en-US"/>
      </w:rPr>
      <w:t>18</w:t>
    </w:r>
    <w:r w:rsidR="00301E48" w:rsidRPr="7F762F0D">
      <w:rPr>
        <w:b/>
        <w:bCs/>
        <w:noProof/>
        <w:lang w:val="en-US"/>
      </w:rPr>
      <w:fldChar w:fldCharType="end"/>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3A9D1" w14:textId="29BCF360" w:rsidR="00301E48" w:rsidRPr="00301E48" w:rsidRDefault="00301E48" w:rsidP="00301E48">
    <w:pPr>
      <w:pStyle w:val="FooterEven"/>
    </w:pPr>
    <w:r w:rsidRPr="00301E48">
      <w:rPr>
        <w:b/>
      </w:rPr>
      <w:t xml:space="preserve">Page </w:t>
    </w:r>
    <w:r w:rsidRPr="00301E48">
      <w:rPr>
        <w:b/>
      </w:rPr>
      <w:fldChar w:fldCharType="begin"/>
    </w:r>
    <w:r w:rsidRPr="00301E48">
      <w:rPr>
        <w:b/>
      </w:rPr>
      <w:instrText xml:space="preserve"> PAGE  \* MERGEFORMAT </w:instrText>
    </w:r>
    <w:r w:rsidRPr="00301E48">
      <w:rPr>
        <w:b/>
      </w:rPr>
      <w:fldChar w:fldCharType="separate"/>
    </w:r>
    <w:r w:rsidRPr="00301E48">
      <w:rPr>
        <w:b/>
        <w:noProof/>
      </w:rPr>
      <w:t>1</w:t>
    </w:r>
    <w:r w:rsidRPr="00301E48">
      <w:rPr>
        <w:b/>
      </w:rPr>
      <w:fldChar w:fldCharType="end"/>
    </w:r>
    <w:r w:rsidRPr="00301E48">
      <w:rPr>
        <w:b/>
      </w:rPr>
      <w:t xml:space="preserve">  </w:t>
    </w:r>
    <w:r>
      <w:t>|  Appendix A: Policy decisions taken since the 2024–25 Budget</w: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9056C" w14:textId="5E27BB46" w:rsidR="00301E48" w:rsidRPr="00301E48" w:rsidRDefault="7F762F0D" w:rsidP="7F762F0D">
    <w:pPr>
      <w:pStyle w:val="FooterOdd"/>
      <w:rPr>
        <w:lang w:val="en-US"/>
      </w:rPr>
    </w:pPr>
    <w:r w:rsidRPr="7F762F0D">
      <w:rPr>
        <w:lang w:val="en-US"/>
      </w:rPr>
      <w:t xml:space="preserve">Appendix A: Policy decisions taken since the 2024–25 Budget  |  </w:t>
    </w:r>
    <w:r w:rsidRPr="7F762F0D">
      <w:rPr>
        <w:b/>
        <w:bCs/>
        <w:lang w:val="en-US"/>
      </w:rPr>
      <w:t xml:space="preserve">Page </w:t>
    </w:r>
    <w:r w:rsidR="00301E48" w:rsidRPr="7F762F0D">
      <w:rPr>
        <w:b/>
        <w:bCs/>
        <w:noProof/>
        <w:lang w:val="en-US"/>
      </w:rPr>
      <w:fldChar w:fldCharType="begin"/>
    </w:r>
    <w:r w:rsidR="00301E48" w:rsidRPr="7F762F0D">
      <w:rPr>
        <w:b/>
        <w:bCs/>
      </w:rPr>
      <w:instrText xml:space="preserve"> PAGE  \* MERGEFORMAT </w:instrText>
    </w:r>
    <w:r w:rsidR="00301E48" w:rsidRPr="7F762F0D">
      <w:rPr>
        <w:b/>
        <w:bCs/>
      </w:rPr>
      <w:fldChar w:fldCharType="separate"/>
    </w:r>
    <w:r w:rsidRPr="7F762F0D">
      <w:rPr>
        <w:b/>
        <w:bCs/>
        <w:noProof/>
        <w:lang w:val="en-US"/>
      </w:rPr>
      <w:t>1</w:t>
    </w:r>
    <w:r w:rsidR="00301E48" w:rsidRPr="7F762F0D">
      <w:rPr>
        <w:b/>
        <w:bCs/>
        <w:noProof/>
        <w:lang w:val="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27C5" w14:textId="1543C412" w:rsidR="00301E48" w:rsidRPr="00301E48" w:rsidRDefault="7F762F0D" w:rsidP="7F762F0D">
    <w:pPr>
      <w:pStyle w:val="FooterOdd"/>
      <w:rPr>
        <w:lang w:val="en-US"/>
      </w:rPr>
    </w:pPr>
    <w:r w:rsidRPr="7F762F0D">
      <w:rPr>
        <w:lang w:val="en-US"/>
      </w:rPr>
      <w:t xml:space="preserve">Appendix A: Policy decisions taken since the 2024–25 Budget  |  </w:t>
    </w:r>
    <w:r w:rsidRPr="7F762F0D">
      <w:rPr>
        <w:b/>
        <w:bCs/>
        <w:lang w:val="en-US"/>
      </w:rPr>
      <w:t xml:space="preserve">Page </w:t>
    </w:r>
    <w:r w:rsidR="00301E48" w:rsidRPr="7F762F0D">
      <w:rPr>
        <w:b/>
        <w:bCs/>
        <w:noProof/>
        <w:lang w:val="en-US"/>
      </w:rPr>
      <w:fldChar w:fldCharType="begin"/>
    </w:r>
    <w:r w:rsidR="00301E48" w:rsidRPr="7F762F0D">
      <w:rPr>
        <w:b/>
        <w:bCs/>
      </w:rPr>
      <w:instrText xml:space="preserve"> PAGE  \* MERGEFORMAT </w:instrText>
    </w:r>
    <w:r w:rsidR="00301E48" w:rsidRPr="7F762F0D">
      <w:rPr>
        <w:b/>
        <w:bCs/>
      </w:rPr>
      <w:fldChar w:fldCharType="separate"/>
    </w:r>
    <w:r w:rsidRPr="7F762F0D">
      <w:rPr>
        <w:b/>
        <w:bCs/>
        <w:noProof/>
        <w:lang w:val="en-US"/>
      </w:rPr>
      <w:t>1</w:t>
    </w:r>
    <w:r w:rsidR="00301E48" w:rsidRPr="7F762F0D">
      <w:rPr>
        <w:b/>
        <w:bCs/>
        <w:noProof/>
        <w:lang w:val="en-US"/>
      </w:rPr>
      <w:fldChar w:fldCharType="end"/>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1660B" w14:textId="70890A84" w:rsidR="00301E48" w:rsidRPr="00301E48" w:rsidRDefault="7F762F0D" w:rsidP="7F762F0D">
    <w:pPr>
      <w:pStyle w:val="FooterOdd"/>
      <w:rPr>
        <w:lang w:val="en-US"/>
      </w:rPr>
    </w:pPr>
    <w:r w:rsidRPr="7F762F0D">
      <w:rPr>
        <w:lang w:val="en-US"/>
      </w:rPr>
      <w:t xml:space="preserve">Appendix A: Policy decisions taken since the 2024–25 Budget  |  </w:t>
    </w:r>
    <w:r w:rsidRPr="7F762F0D">
      <w:rPr>
        <w:b/>
        <w:bCs/>
        <w:lang w:val="en-US"/>
      </w:rPr>
      <w:t xml:space="preserve">Page </w:t>
    </w:r>
    <w:r w:rsidR="00301E48" w:rsidRPr="7F762F0D">
      <w:rPr>
        <w:b/>
        <w:bCs/>
        <w:noProof/>
        <w:lang w:val="en-US"/>
      </w:rPr>
      <w:fldChar w:fldCharType="begin"/>
    </w:r>
    <w:r w:rsidR="00301E48" w:rsidRPr="7F762F0D">
      <w:rPr>
        <w:b/>
        <w:bCs/>
      </w:rPr>
      <w:instrText xml:space="preserve"> PAGE  \* MERGEFORMAT </w:instrText>
    </w:r>
    <w:r w:rsidR="00301E48" w:rsidRPr="7F762F0D">
      <w:rPr>
        <w:b/>
        <w:bCs/>
      </w:rPr>
      <w:fldChar w:fldCharType="separate"/>
    </w:r>
    <w:r w:rsidRPr="7F762F0D">
      <w:rPr>
        <w:b/>
        <w:bCs/>
        <w:noProof/>
        <w:lang w:val="en-US"/>
      </w:rPr>
      <w:t>18</w:t>
    </w:r>
    <w:r w:rsidR="00301E48" w:rsidRPr="7F762F0D">
      <w:rPr>
        <w:b/>
        <w:bCs/>
        <w:noProof/>
        <w:lang w:val="en-US"/>
      </w:rPr>
      <w:fldChar w:fldCharType="end"/>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65135" w14:textId="4A5A7E16" w:rsidR="00301E48" w:rsidRPr="00301E48" w:rsidRDefault="00301E48" w:rsidP="00301E48">
    <w:pPr>
      <w:pStyle w:val="FooterEven"/>
    </w:pPr>
    <w:r w:rsidRPr="00301E48">
      <w:rPr>
        <w:b/>
      </w:rPr>
      <w:t xml:space="preserve">Page </w:t>
    </w:r>
    <w:r w:rsidRPr="00301E48">
      <w:rPr>
        <w:b/>
      </w:rPr>
      <w:fldChar w:fldCharType="begin"/>
    </w:r>
    <w:r w:rsidRPr="00301E48">
      <w:rPr>
        <w:b/>
      </w:rPr>
      <w:instrText xml:space="preserve"> PAGE  \* MERGEFORMAT </w:instrText>
    </w:r>
    <w:r w:rsidRPr="00301E48">
      <w:rPr>
        <w:b/>
      </w:rPr>
      <w:fldChar w:fldCharType="separate"/>
    </w:r>
    <w:r w:rsidRPr="00301E48">
      <w:rPr>
        <w:b/>
        <w:noProof/>
      </w:rPr>
      <w:t>1</w:t>
    </w:r>
    <w:r w:rsidRPr="00301E48">
      <w:rPr>
        <w:b/>
      </w:rPr>
      <w:fldChar w:fldCharType="end"/>
    </w:r>
    <w:r w:rsidRPr="00301E48">
      <w:rPr>
        <w:b/>
      </w:rPr>
      <w:t xml:space="preserve">  </w:t>
    </w:r>
    <w:r>
      <w:t>|  Appendix A: Policy decisions taken since the 2024–25 Budget</w: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9854B" w14:textId="57C9A79A" w:rsidR="00301E48" w:rsidRPr="00301E48" w:rsidRDefault="7F762F0D" w:rsidP="7F762F0D">
    <w:pPr>
      <w:pStyle w:val="FooterOdd"/>
      <w:rPr>
        <w:lang w:val="en-US"/>
      </w:rPr>
    </w:pPr>
    <w:r w:rsidRPr="7F762F0D">
      <w:rPr>
        <w:lang w:val="en-US"/>
      </w:rPr>
      <w:t xml:space="preserve">Appendix A: Policy decisions taken since the 2024–25 Budget  |  </w:t>
    </w:r>
    <w:r w:rsidRPr="7F762F0D">
      <w:rPr>
        <w:b/>
        <w:bCs/>
        <w:lang w:val="en-US"/>
      </w:rPr>
      <w:t xml:space="preserve">Page </w:t>
    </w:r>
    <w:r w:rsidR="00301E48" w:rsidRPr="7F762F0D">
      <w:rPr>
        <w:b/>
        <w:bCs/>
        <w:noProof/>
        <w:lang w:val="en-US"/>
      </w:rPr>
      <w:fldChar w:fldCharType="begin"/>
    </w:r>
    <w:r w:rsidR="00301E48" w:rsidRPr="7F762F0D">
      <w:rPr>
        <w:b/>
        <w:bCs/>
      </w:rPr>
      <w:instrText xml:space="preserve"> PAGE  \* MERGEFORMAT </w:instrText>
    </w:r>
    <w:r w:rsidR="00301E48" w:rsidRPr="7F762F0D">
      <w:rPr>
        <w:b/>
        <w:bCs/>
      </w:rPr>
      <w:fldChar w:fldCharType="separate"/>
    </w:r>
    <w:r w:rsidRPr="7F762F0D">
      <w:rPr>
        <w:b/>
        <w:bCs/>
        <w:noProof/>
        <w:lang w:val="en-US"/>
      </w:rPr>
      <w:t>1</w:t>
    </w:r>
    <w:r w:rsidR="00301E48" w:rsidRPr="7F762F0D">
      <w:rPr>
        <w:b/>
        <w:bCs/>
        <w:noProof/>
        <w:lang w:val="en-US"/>
      </w:rPr>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0512D" w14:textId="04DB9C0C" w:rsidR="00301E48" w:rsidRPr="00301E48" w:rsidRDefault="7F762F0D" w:rsidP="7F762F0D">
    <w:pPr>
      <w:pStyle w:val="FooterOdd"/>
      <w:rPr>
        <w:lang w:val="en-US"/>
      </w:rPr>
    </w:pPr>
    <w:r w:rsidRPr="7F762F0D">
      <w:rPr>
        <w:lang w:val="en-US"/>
      </w:rPr>
      <w:t xml:space="preserve">Appendix A: Policy decisions taken since the 2024–25 Budget  |  </w:t>
    </w:r>
    <w:r w:rsidRPr="7F762F0D">
      <w:rPr>
        <w:b/>
        <w:bCs/>
        <w:lang w:val="en-US"/>
      </w:rPr>
      <w:t xml:space="preserve">Page </w:t>
    </w:r>
    <w:r w:rsidR="00301E48" w:rsidRPr="7F762F0D">
      <w:rPr>
        <w:b/>
        <w:bCs/>
        <w:noProof/>
        <w:lang w:val="en-US"/>
      </w:rPr>
      <w:fldChar w:fldCharType="begin"/>
    </w:r>
    <w:r w:rsidR="00301E48" w:rsidRPr="7F762F0D">
      <w:rPr>
        <w:b/>
        <w:bCs/>
      </w:rPr>
      <w:instrText xml:space="preserve"> PAGE  \* MERGEFORMAT </w:instrText>
    </w:r>
    <w:r w:rsidR="00301E48" w:rsidRPr="7F762F0D">
      <w:rPr>
        <w:b/>
        <w:bCs/>
      </w:rPr>
      <w:fldChar w:fldCharType="separate"/>
    </w:r>
    <w:r w:rsidRPr="7F762F0D">
      <w:rPr>
        <w:b/>
        <w:bCs/>
        <w:noProof/>
        <w:lang w:val="en-US"/>
      </w:rPr>
      <w:t>18</w:t>
    </w:r>
    <w:r w:rsidR="00301E48" w:rsidRPr="7F762F0D">
      <w:rPr>
        <w:b/>
        <w:bCs/>
        <w:noProof/>
        <w:lang w:val="en-US"/>
      </w:rPr>
      <w:fldChar w:fldCharType="end"/>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4052E" w14:textId="5EAA74D8" w:rsidR="00301E48" w:rsidRPr="00301E48" w:rsidRDefault="00301E48" w:rsidP="00301E48">
    <w:pPr>
      <w:pStyle w:val="FooterEven"/>
    </w:pPr>
    <w:r w:rsidRPr="00301E48">
      <w:rPr>
        <w:b/>
      </w:rPr>
      <w:t xml:space="preserve">Page </w:t>
    </w:r>
    <w:r w:rsidRPr="00301E48">
      <w:rPr>
        <w:b/>
      </w:rPr>
      <w:fldChar w:fldCharType="begin"/>
    </w:r>
    <w:r w:rsidRPr="00301E48">
      <w:rPr>
        <w:b/>
      </w:rPr>
      <w:instrText xml:space="preserve"> PAGE  \* MERGEFORMAT </w:instrText>
    </w:r>
    <w:r w:rsidRPr="00301E48">
      <w:rPr>
        <w:b/>
      </w:rPr>
      <w:fldChar w:fldCharType="separate"/>
    </w:r>
    <w:r w:rsidRPr="00301E48">
      <w:rPr>
        <w:b/>
        <w:noProof/>
      </w:rPr>
      <w:t>1</w:t>
    </w:r>
    <w:r w:rsidRPr="00301E48">
      <w:rPr>
        <w:b/>
      </w:rPr>
      <w:fldChar w:fldCharType="end"/>
    </w:r>
    <w:r w:rsidRPr="00301E48">
      <w:rPr>
        <w:b/>
      </w:rPr>
      <w:t xml:space="preserve">  </w:t>
    </w:r>
    <w:r>
      <w:t>|  Appendix A: Policy decisions taken since the 2024–25 Budget</w: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358F" w14:textId="199D9D56" w:rsidR="00301E48" w:rsidRPr="00301E48" w:rsidRDefault="7F762F0D" w:rsidP="7F762F0D">
    <w:pPr>
      <w:pStyle w:val="FooterOdd"/>
      <w:rPr>
        <w:lang w:val="en-US"/>
      </w:rPr>
    </w:pPr>
    <w:r w:rsidRPr="7F762F0D">
      <w:rPr>
        <w:lang w:val="en-US"/>
      </w:rPr>
      <w:t xml:space="preserve">Appendix A: Policy decisions taken since the 2024–25 Budget  |  </w:t>
    </w:r>
    <w:r w:rsidRPr="7F762F0D">
      <w:rPr>
        <w:b/>
        <w:bCs/>
        <w:lang w:val="en-US"/>
      </w:rPr>
      <w:t xml:space="preserve">Page </w:t>
    </w:r>
    <w:r w:rsidR="00301E48" w:rsidRPr="7F762F0D">
      <w:rPr>
        <w:b/>
        <w:bCs/>
        <w:noProof/>
        <w:lang w:val="en-US"/>
      </w:rPr>
      <w:fldChar w:fldCharType="begin"/>
    </w:r>
    <w:r w:rsidR="00301E48" w:rsidRPr="7F762F0D">
      <w:rPr>
        <w:b/>
        <w:bCs/>
      </w:rPr>
      <w:instrText xml:space="preserve"> PAGE  \* MERGEFORMAT </w:instrText>
    </w:r>
    <w:r w:rsidR="00301E48" w:rsidRPr="7F762F0D">
      <w:rPr>
        <w:b/>
        <w:bCs/>
      </w:rPr>
      <w:fldChar w:fldCharType="separate"/>
    </w:r>
    <w:r w:rsidRPr="7F762F0D">
      <w:rPr>
        <w:b/>
        <w:bCs/>
        <w:noProof/>
        <w:lang w:val="en-US"/>
      </w:rPr>
      <w:t>1</w:t>
    </w:r>
    <w:r w:rsidR="00301E48" w:rsidRPr="7F762F0D">
      <w:rPr>
        <w:b/>
        <w:bCs/>
        <w:noProof/>
        <w:lang w:val="en-US"/>
      </w:rPr>
      <w:fldChar w:fldCharType="end"/>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C682B" w14:textId="5AD7E965" w:rsidR="00301E48" w:rsidRPr="00301E48" w:rsidRDefault="7F762F0D" w:rsidP="7F762F0D">
    <w:pPr>
      <w:pStyle w:val="FooterOdd"/>
      <w:rPr>
        <w:lang w:val="en-US"/>
      </w:rPr>
    </w:pPr>
    <w:r w:rsidRPr="7F762F0D">
      <w:rPr>
        <w:lang w:val="en-US"/>
      </w:rPr>
      <w:t xml:space="preserve">Appendix A: Policy decisions taken since the 2024–25 Budget  |  </w:t>
    </w:r>
    <w:r w:rsidRPr="7F762F0D">
      <w:rPr>
        <w:b/>
        <w:bCs/>
        <w:lang w:val="en-US"/>
      </w:rPr>
      <w:t xml:space="preserve">Page </w:t>
    </w:r>
    <w:r w:rsidR="00301E48" w:rsidRPr="7F762F0D">
      <w:rPr>
        <w:b/>
        <w:bCs/>
        <w:noProof/>
        <w:lang w:val="en-US"/>
      </w:rPr>
      <w:fldChar w:fldCharType="begin"/>
    </w:r>
    <w:r w:rsidR="00301E48" w:rsidRPr="7F762F0D">
      <w:rPr>
        <w:b/>
        <w:bCs/>
      </w:rPr>
      <w:instrText xml:space="preserve"> PAGE  \* MERGEFORMAT </w:instrText>
    </w:r>
    <w:r w:rsidR="00301E48" w:rsidRPr="7F762F0D">
      <w:rPr>
        <w:b/>
        <w:bCs/>
      </w:rPr>
      <w:fldChar w:fldCharType="separate"/>
    </w:r>
    <w:r w:rsidRPr="7F762F0D">
      <w:rPr>
        <w:b/>
        <w:bCs/>
        <w:noProof/>
        <w:lang w:val="en-US"/>
      </w:rPr>
      <w:t>18</w:t>
    </w:r>
    <w:r w:rsidR="00301E48" w:rsidRPr="7F762F0D">
      <w:rPr>
        <w:b/>
        <w:bCs/>
        <w:noProof/>
        <w:lang w:val="en-U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18325" w14:textId="64F7E70B" w:rsidR="00301E48" w:rsidRPr="00301E48" w:rsidRDefault="00301E48" w:rsidP="00301E48">
    <w:pPr>
      <w:pStyle w:val="FooterEven"/>
    </w:pPr>
    <w:r w:rsidRPr="00301E48">
      <w:rPr>
        <w:b/>
      </w:rPr>
      <w:t xml:space="preserve">Page </w:t>
    </w:r>
    <w:r w:rsidRPr="00301E48">
      <w:rPr>
        <w:b/>
      </w:rPr>
      <w:fldChar w:fldCharType="begin"/>
    </w:r>
    <w:r w:rsidRPr="00301E48">
      <w:rPr>
        <w:b/>
      </w:rPr>
      <w:instrText xml:space="preserve"> PAGE  \* MERGEFORMAT </w:instrText>
    </w:r>
    <w:r w:rsidRPr="00301E48">
      <w:rPr>
        <w:b/>
      </w:rPr>
      <w:fldChar w:fldCharType="separate"/>
    </w:r>
    <w:r>
      <w:rPr>
        <w:b/>
        <w:noProof/>
      </w:rPr>
      <w:t>6</w:t>
    </w:r>
    <w:r w:rsidRPr="00301E48">
      <w:rPr>
        <w:b/>
      </w:rPr>
      <w:fldChar w:fldCharType="end"/>
    </w:r>
    <w:r w:rsidRPr="00301E48">
      <w:rPr>
        <w:b/>
      </w:rPr>
      <w:t xml:space="preserve">  </w:t>
    </w:r>
    <w:r>
      <w:t>|  Appendix A: Policy decisions taken since the 2024–25 Budget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B091" w14:textId="1E4B0638" w:rsidR="00301E48" w:rsidRPr="00301E48" w:rsidRDefault="7F762F0D" w:rsidP="7F762F0D">
    <w:pPr>
      <w:pStyle w:val="FooterOdd"/>
      <w:rPr>
        <w:lang w:val="en-US"/>
      </w:rPr>
    </w:pPr>
    <w:r w:rsidRPr="7F762F0D">
      <w:rPr>
        <w:lang w:val="en-US"/>
      </w:rPr>
      <w:t xml:space="preserve">Appendix A: Policy decisions taken since the 2024–25 Budget  |  </w:t>
    </w:r>
    <w:r w:rsidRPr="7F762F0D">
      <w:rPr>
        <w:b/>
        <w:bCs/>
        <w:lang w:val="en-US"/>
      </w:rPr>
      <w:t xml:space="preserve">Page </w:t>
    </w:r>
    <w:r w:rsidR="00301E48" w:rsidRPr="7F762F0D">
      <w:rPr>
        <w:b/>
        <w:bCs/>
        <w:noProof/>
        <w:lang w:val="en-US"/>
      </w:rPr>
      <w:fldChar w:fldCharType="begin"/>
    </w:r>
    <w:r w:rsidR="00301E48" w:rsidRPr="7F762F0D">
      <w:rPr>
        <w:b/>
        <w:bCs/>
      </w:rPr>
      <w:instrText xml:space="preserve"> PAGE  \* MERGEFORMAT </w:instrText>
    </w:r>
    <w:r w:rsidR="00301E48" w:rsidRPr="7F762F0D">
      <w:rPr>
        <w:b/>
        <w:bCs/>
      </w:rPr>
      <w:fldChar w:fldCharType="separate"/>
    </w:r>
    <w:r w:rsidRPr="7F762F0D">
      <w:rPr>
        <w:b/>
        <w:bCs/>
        <w:noProof/>
        <w:lang w:val="en-US"/>
      </w:rPr>
      <w:t>9</w:t>
    </w:r>
    <w:r w:rsidR="00301E48" w:rsidRPr="7F762F0D">
      <w:rPr>
        <w:b/>
        <w:bCs/>
        <w:noProof/>
        <w:lang w:val="en-US"/>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82014" w14:textId="5C9FEB04" w:rsidR="00301E48" w:rsidRPr="00301E48" w:rsidRDefault="7F762F0D" w:rsidP="7F762F0D">
    <w:pPr>
      <w:pStyle w:val="FooterOdd"/>
      <w:rPr>
        <w:lang w:val="en-US"/>
      </w:rPr>
    </w:pPr>
    <w:r w:rsidRPr="7F762F0D">
      <w:rPr>
        <w:lang w:val="en-US"/>
      </w:rPr>
      <w:t xml:space="preserve">Appendix A: Policy decisions taken since the 2024–25 Budget  |  </w:t>
    </w:r>
    <w:r w:rsidRPr="7F762F0D">
      <w:rPr>
        <w:b/>
        <w:bCs/>
        <w:lang w:val="en-US"/>
      </w:rPr>
      <w:t xml:space="preserve">Page </w:t>
    </w:r>
    <w:r w:rsidR="00301E48" w:rsidRPr="7F762F0D">
      <w:rPr>
        <w:b/>
        <w:bCs/>
        <w:noProof/>
        <w:lang w:val="en-US"/>
      </w:rPr>
      <w:fldChar w:fldCharType="begin"/>
    </w:r>
    <w:r w:rsidR="00301E48" w:rsidRPr="7F762F0D">
      <w:rPr>
        <w:b/>
        <w:bCs/>
      </w:rPr>
      <w:instrText xml:space="preserve"> PAGE  \* MERGEFORMAT </w:instrText>
    </w:r>
    <w:r w:rsidR="00301E48" w:rsidRPr="7F762F0D">
      <w:rPr>
        <w:b/>
        <w:bCs/>
      </w:rPr>
      <w:fldChar w:fldCharType="separate"/>
    </w:r>
    <w:r w:rsidRPr="7F762F0D">
      <w:rPr>
        <w:b/>
        <w:bCs/>
        <w:noProof/>
        <w:lang w:val="en-US"/>
      </w:rPr>
      <w:t>1</w:t>
    </w:r>
    <w:r w:rsidR="00301E48" w:rsidRPr="7F762F0D">
      <w:rPr>
        <w:b/>
        <w:bCs/>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43003" w14:textId="77777777" w:rsidR="00233091" w:rsidRDefault="00233091">
      <w:r>
        <w:separator/>
      </w:r>
    </w:p>
  </w:footnote>
  <w:footnote w:type="continuationSeparator" w:id="0">
    <w:p w14:paraId="2AB1F0AC" w14:textId="77777777" w:rsidR="00233091" w:rsidRDefault="00233091">
      <w:r>
        <w:continuationSeparator/>
      </w:r>
    </w:p>
  </w:footnote>
  <w:footnote w:type="continuationNotice" w:id="1">
    <w:p w14:paraId="25964B0B" w14:textId="77777777" w:rsidR="00233091" w:rsidRDefault="002330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1C4303" w14:paraId="7366C666" w14:textId="77777777">
      <w:trPr>
        <w:trHeight w:hRule="exact" w:val="340"/>
      </w:trPr>
      <w:tc>
        <w:tcPr>
          <w:tcW w:w="7797" w:type="dxa"/>
        </w:tcPr>
        <w:p w14:paraId="50B60EE8" w14:textId="23E71FC1" w:rsidR="001C4303" w:rsidRPr="008C56E1" w:rsidRDefault="001C4303" w:rsidP="001C4303">
          <w:pPr>
            <w:pStyle w:val="HeaderEven"/>
          </w:pPr>
          <w:r w:rsidRPr="008C56E1">
            <w:rPr>
              <w:noProof/>
              <w:position w:val="-8"/>
            </w:rPr>
            <w:drawing>
              <wp:inline distT="0" distB="0" distL="0" distR="0" wp14:anchorId="48D63B61" wp14:editId="7DF55274">
                <wp:extent cx="874979" cy="198000"/>
                <wp:effectExtent l="0" t="0" r="1905" b="0"/>
                <wp:docPr id="2091575834" name="Picture 20915758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575834" name="Picture 209157583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fldSimple w:instr=" TITLE   \* MERGEFORMAT ">
            <w:r w:rsidR="005D499A">
              <w:t>Mid-Year Economic and Fiscal Outlook 2024–25</w:t>
            </w:r>
          </w:fldSimple>
        </w:p>
      </w:tc>
    </w:tr>
  </w:tbl>
  <w:p w14:paraId="765CA143" w14:textId="27D61E65" w:rsidR="00692EB5" w:rsidRPr="008C56E1" w:rsidRDefault="00692EB5" w:rsidP="00692EB5">
    <w:pPr>
      <w:pStyle w:val="HeaderEven"/>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DD7138" w14:paraId="0E10EDA9" w14:textId="77777777" w:rsidTr="00603C41">
      <w:trPr>
        <w:trHeight w:hRule="exact" w:val="340"/>
      </w:trPr>
      <w:tc>
        <w:tcPr>
          <w:tcW w:w="7797" w:type="dxa"/>
          <w:tcMar>
            <w:right w:w="85" w:type="dxa"/>
          </w:tcMar>
        </w:tcPr>
        <w:p w14:paraId="6E31F856" w14:textId="2737C1BF" w:rsidR="00DD7138" w:rsidRPr="00D13BF9" w:rsidRDefault="00000000" w:rsidP="00DD7138">
          <w:pPr>
            <w:pStyle w:val="HeaderOdd"/>
          </w:pPr>
          <w:fldSimple w:instr=" STYLEREF  PortfolioName  \* MERGEFORMAT ">
            <w:r w:rsidR="00534409">
              <w:rPr>
                <w:noProof/>
              </w:rPr>
              <w:t>Home Affairs</w:t>
            </w:r>
          </w:fldSimple>
          <w:r w:rsidR="00DD7138" w:rsidRPr="00D13BF9">
            <w:t xml:space="preserve">  |  </w:t>
          </w:r>
          <w:r w:rsidR="00DD7138" w:rsidRPr="00C9389A">
            <w:rPr>
              <w:noProof/>
              <w:position w:val="-8"/>
            </w:rPr>
            <w:drawing>
              <wp:inline distT="0" distB="0" distL="0" distR="0" wp14:anchorId="3A7A2DF5" wp14:editId="3E2C59A2">
                <wp:extent cx="878400" cy="198000"/>
                <wp:effectExtent l="0" t="0" r="0" b="0"/>
                <wp:docPr id="2080871276" name="Picture 20808712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871276" name="Picture 208087127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2AEFD461" w14:textId="32D1461B" w:rsidR="00301E48" w:rsidRPr="00DD7138" w:rsidRDefault="00301E48" w:rsidP="00DD713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D36A8" w14:textId="7B084B59" w:rsidR="00301E48" w:rsidRDefault="00301E48" w:rsidP="00301E4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797FCD" w14:paraId="3BD9AE26" w14:textId="77777777">
      <w:trPr>
        <w:trHeight w:hRule="exact" w:val="340"/>
      </w:trPr>
      <w:tc>
        <w:tcPr>
          <w:tcW w:w="7797" w:type="dxa"/>
        </w:tcPr>
        <w:p w14:paraId="74B416C0" w14:textId="2B7BF397" w:rsidR="00797FCD" w:rsidRPr="008C56E1" w:rsidRDefault="00797FCD" w:rsidP="00797FCD">
          <w:pPr>
            <w:pStyle w:val="HeaderEven"/>
          </w:pPr>
          <w:r w:rsidRPr="008C56E1">
            <w:rPr>
              <w:noProof/>
              <w:position w:val="-8"/>
            </w:rPr>
            <w:drawing>
              <wp:inline distT="0" distB="0" distL="0" distR="0" wp14:anchorId="28FABEF3" wp14:editId="6B6D5FD7">
                <wp:extent cx="874979" cy="198000"/>
                <wp:effectExtent l="0" t="0" r="1905" b="0"/>
                <wp:docPr id="1740922360" name="Picture 17409223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922360" name="Picture 174092236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fldSimple w:instr=" TITLE   \* MERGEFORMAT ">
            <w:r w:rsidR="005D499A">
              <w:t>Mid-Year Economic and Fiscal Outlook 2024–25</w:t>
            </w:r>
          </w:fldSimple>
        </w:p>
      </w:tc>
    </w:tr>
  </w:tbl>
  <w:p w14:paraId="5B4C41B1" w14:textId="5F58A198" w:rsidR="00301E48" w:rsidRPr="00EF125D" w:rsidRDefault="00301E48" w:rsidP="00EF125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DD7138" w14:paraId="5CAB68C9" w14:textId="77777777" w:rsidTr="00603C41">
      <w:trPr>
        <w:trHeight w:hRule="exact" w:val="340"/>
      </w:trPr>
      <w:tc>
        <w:tcPr>
          <w:tcW w:w="7797" w:type="dxa"/>
          <w:tcMar>
            <w:right w:w="85" w:type="dxa"/>
          </w:tcMar>
        </w:tcPr>
        <w:p w14:paraId="20830033" w14:textId="137A0B17" w:rsidR="00DD7138" w:rsidRPr="00D13BF9" w:rsidRDefault="00000000" w:rsidP="00DD7138">
          <w:pPr>
            <w:pStyle w:val="HeaderOdd"/>
          </w:pPr>
          <w:fldSimple w:instr=" STYLEREF  PortfolioName  \* MERGEFORMAT ">
            <w:r w:rsidR="00534409">
              <w:rPr>
                <w:noProof/>
              </w:rPr>
              <w:t>Treasury</w:t>
            </w:r>
          </w:fldSimple>
          <w:r w:rsidR="00DD7138" w:rsidRPr="00D13BF9">
            <w:t xml:space="preserve">  |  </w:t>
          </w:r>
          <w:r w:rsidR="00DD7138" w:rsidRPr="00C9389A">
            <w:rPr>
              <w:noProof/>
              <w:position w:val="-8"/>
            </w:rPr>
            <w:drawing>
              <wp:inline distT="0" distB="0" distL="0" distR="0" wp14:anchorId="36DFD311" wp14:editId="7B0C499D">
                <wp:extent cx="878400" cy="198000"/>
                <wp:effectExtent l="0" t="0" r="0" b="0"/>
                <wp:docPr id="20660160" name="Picture 206601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160" name="Picture 2066016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4D507F29" w14:textId="4B639873" w:rsidR="00301E48" w:rsidRPr="00DD7138" w:rsidRDefault="00301E48" w:rsidP="00DD713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145FB" w14:textId="143E2904" w:rsidR="00301E48" w:rsidRDefault="00301E48" w:rsidP="00301E4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EF125D" w14:paraId="7BB321F7" w14:textId="77777777">
      <w:trPr>
        <w:trHeight w:hRule="exact" w:val="340"/>
      </w:trPr>
      <w:tc>
        <w:tcPr>
          <w:tcW w:w="7797" w:type="dxa"/>
        </w:tcPr>
        <w:p w14:paraId="016ADD29" w14:textId="4D661414" w:rsidR="00EF125D" w:rsidRPr="008C56E1" w:rsidRDefault="00EF125D" w:rsidP="00EF125D">
          <w:pPr>
            <w:pStyle w:val="HeaderEven"/>
          </w:pPr>
          <w:r w:rsidRPr="008C56E1">
            <w:rPr>
              <w:noProof/>
              <w:position w:val="-8"/>
            </w:rPr>
            <w:drawing>
              <wp:inline distT="0" distB="0" distL="0" distR="0" wp14:anchorId="222B0A27" wp14:editId="22DCA5C1">
                <wp:extent cx="874979" cy="198000"/>
                <wp:effectExtent l="0" t="0" r="1905" b="0"/>
                <wp:docPr id="273667083" name="Picture 2736670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667083" name="Picture 27366708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fldSimple w:instr=" TITLE   \* MERGEFORMAT ">
            <w:r w:rsidR="005D499A">
              <w:t>Mid-Year Economic and Fiscal Outlook 2024–25</w:t>
            </w:r>
          </w:fldSimple>
        </w:p>
      </w:tc>
    </w:tr>
  </w:tbl>
  <w:p w14:paraId="64AD3991" w14:textId="438E7F93" w:rsidR="00301E48" w:rsidRPr="00EF125D" w:rsidRDefault="00301E48" w:rsidP="00EF125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DD7138" w14:paraId="5450D36D" w14:textId="77777777" w:rsidTr="00603C41">
      <w:trPr>
        <w:trHeight w:hRule="exact" w:val="340"/>
      </w:trPr>
      <w:tc>
        <w:tcPr>
          <w:tcW w:w="7797" w:type="dxa"/>
          <w:tcMar>
            <w:right w:w="85" w:type="dxa"/>
          </w:tcMar>
        </w:tcPr>
        <w:p w14:paraId="50DD4946" w14:textId="72D26A82" w:rsidR="00DD7138" w:rsidRPr="00D13BF9" w:rsidRDefault="00000000" w:rsidP="00DD7138">
          <w:pPr>
            <w:pStyle w:val="HeaderOdd"/>
          </w:pPr>
          <w:fldSimple w:instr=" STYLEREF  &quot;Heading 2&quot;  \* MERGEFORMAT ">
            <w:r w:rsidR="00534409">
              <w:rPr>
                <w:noProof/>
              </w:rPr>
              <w:t>Payment Measures</w:t>
            </w:r>
          </w:fldSimple>
          <w:r w:rsidR="00DD7138" w:rsidRPr="00D13BF9">
            <w:t xml:space="preserve">  |  </w:t>
          </w:r>
          <w:r w:rsidR="00DD7138" w:rsidRPr="00C9389A">
            <w:rPr>
              <w:noProof/>
              <w:position w:val="-8"/>
            </w:rPr>
            <w:drawing>
              <wp:inline distT="0" distB="0" distL="0" distR="0" wp14:anchorId="3BCBE400" wp14:editId="1F4260D6">
                <wp:extent cx="878400" cy="198000"/>
                <wp:effectExtent l="0" t="0" r="0" b="0"/>
                <wp:docPr id="2118144283" name="Picture 21181442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144283" name="Picture 211814428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1020AEB9" w14:textId="2C9CDCD6" w:rsidR="00301E48" w:rsidRPr="00DD7138" w:rsidRDefault="00301E48" w:rsidP="00DD713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DD7138" w14:paraId="254352DE" w14:textId="77777777">
      <w:trPr>
        <w:trHeight w:hRule="exact" w:val="340"/>
      </w:trPr>
      <w:tc>
        <w:tcPr>
          <w:tcW w:w="7797" w:type="dxa"/>
        </w:tcPr>
        <w:p w14:paraId="030656F9" w14:textId="4AB1FF02" w:rsidR="00DD7138" w:rsidRPr="00D13BF9" w:rsidRDefault="00000000" w:rsidP="00DD7138">
          <w:pPr>
            <w:pStyle w:val="HeaderOdd"/>
          </w:pPr>
          <w:fldSimple w:instr=" SUBJECT   \* MERGEFORMAT ">
            <w:r w:rsidR="005D499A">
              <w:t>Appendix A: Policy decisions taken since the 2024–25 Budget</w:t>
            </w:r>
          </w:fldSimple>
          <w:r w:rsidR="00DD7138" w:rsidRPr="00D13BF9">
            <w:t xml:space="preserve">  |  </w:t>
          </w:r>
          <w:r w:rsidR="00DD7138" w:rsidRPr="00C9389A">
            <w:rPr>
              <w:noProof/>
              <w:position w:val="-8"/>
            </w:rPr>
            <w:drawing>
              <wp:inline distT="0" distB="0" distL="0" distR="0" wp14:anchorId="22CEE246" wp14:editId="1BDA88CD">
                <wp:extent cx="878400" cy="198000"/>
                <wp:effectExtent l="0" t="0" r="0" b="0"/>
                <wp:docPr id="19726549" name="Picture 197265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6549" name="Picture 1972654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002C06C8" w14:textId="1FBA7C21" w:rsidR="00301E48" w:rsidRPr="00DD7138" w:rsidRDefault="00301E48" w:rsidP="00DD713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2A0382" w:rsidRPr="008C56E1" w14:paraId="3DBCB0BD" w14:textId="77777777">
      <w:trPr>
        <w:trHeight w:hRule="exact" w:val="340"/>
      </w:trPr>
      <w:tc>
        <w:tcPr>
          <w:tcW w:w="7797" w:type="dxa"/>
        </w:tcPr>
        <w:p w14:paraId="7EDEA068" w14:textId="31F09897" w:rsidR="002A0382" w:rsidRPr="008C56E1" w:rsidRDefault="002A0382" w:rsidP="002A0382">
          <w:pPr>
            <w:pStyle w:val="HeaderEven"/>
          </w:pPr>
          <w:r w:rsidRPr="008C56E1">
            <w:rPr>
              <w:noProof/>
              <w:position w:val="-8"/>
            </w:rPr>
            <w:drawing>
              <wp:inline distT="0" distB="0" distL="0" distR="0" wp14:anchorId="0AD51F5A" wp14:editId="4CCA5912">
                <wp:extent cx="874979" cy="198000"/>
                <wp:effectExtent l="0" t="0" r="1905" b="0"/>
                <wp:docPr id="907927743" name="Picture 9079277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927743" name="Picture 90792774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fldSimple w:instr=" TITLE   \* MERGEFORMAT ">
            <w:r w:rsidR="005D499A">
              <w:t>Mid-Year Economic and Fiscal Outlook 2024–25</w:t>
            </w:r>
          </w:fldSimple>
        </w:p>
      </w:tc>
    </w:tr>
  </w:tbl>
  <w:p w14:paraId="6467AC95" w14:textId="4DF5AAA9" w:rsidR="00301E48" w:rsidRPr="002A0382" w:rsidRDefault="00301E48" w:rsidP="002A038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BD0D50" w14:paraId="3D97DCBE" w14:textId="77777777" w:rsidTr="00603C41">
      <w:trPr>
        <w:trHeight w:hRule="exact" w:val="340"/>
      </w:trPr>
      <w:tc>
        <w:tcPr>
          <w:tcW w:w="7797" w:type="dxa"/>
          <w:tcMar>
            <w:right w:w="85" w:type="dxa"/>
          </w:tcMar>
        </w:tcPr>
        <w:p w14:paraId="79E4121D" w14:textId="5D80B842" w:rsidR="00BD0D50" w:rsidRPr="00D13BF9" w:rsidRDefault="00000000" w:rsidP="00BD0D50">
          <w:pPr>
            <w:pStyle w:val="HeaderOdd"/>
          </w:pPr>
          <w:fldSimple w:instr=" STYLEREF  PortfolioName  \* MERGEFORMAT ">
            <w:r w:rsidR="00534409">
              <w:rPr>
                <w:noProof/>
              </w:rPr>
              <w:t>Agriculture, Fisheries and Forestry</w:t>
            </w:r>
          </w:fldSimple>
          <w:r w:rsidR="00BD0D50" w:rsidRPr="00D13BF9">
            <w:t xml:space="preserve">  |  </w:t>
          </w:r>
          <w:r w:rsidR="00BD0D50" w:rsidRPr="00C9389A">
            <w:rPr>
              <w:noProof/>
              <w:position w:val="-8"/>
            </w:rPr>
            <w:drawing>
              <wp:inline distT="0" distB="0" distL="0" distR="0" wp14:anchorId="05FC48C2" wp14:editId="2EED4446">
                <wp:extent cx="878400" cy="198000"/>
                <wp:effectExtent l="0" t="0" r="0" b="0"/>
                <wp:docPr id="1110164156" name="Picture 11101641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164156" name="Picture 111016415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62F8218A" w14:textId="79DC9853" w:rsidR="00301E48" w:rsidRPr="00BD0D50" w:rsidRDefault="00301E48" w:rsidP="00BD0D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275347" w14:paraId="5381844E" w14:textId="77777777" w:rsidTr="00603C41">
      <w:trPr>
        <w:trHeight w:hRule="exact" w:val="340"/>
      </w:trPr>
      <w:tc>
        <w:tcPr>
          <w:tcW w:w="7797" w:type="dxa"/>
          <w:tcMar>
            <w:right w:w="85" w:type="dxa"/>
          </w:tcMar>
        </w:tcPr>
        <w:p w14:paraId="0F9EA08A" w14:textId="6F6C4F3E" w:rsidR="00275347" w:rsidRPr="00D13BF9" w:rsidRDefault="00000000" w:rsidP="00275347">
          <w:pPr>
            <w:pStyle w:val="HeaderOdd"/>
          </w:pPr>
          <w:fldSimple w:instr=" STYLEREF  &quot;Heading 2&quot;  \* MERGEFORMAT ">
            <w:r w:rsidR="00534409">
              <w:rPr>
                <w:noProof/>
              </w:rPr>
              <w:t>Receipt Measures</w:t>
            </w:r>
          </w:fldSimple>
          <w:r w:rsidR="00275347" w:rsidRPr="00D13BF9">
            <w:t xml:space="preserve">  |  </w:t>
          </w:r>
          <w:r w:rsidR="00275347" w:rsidRPr="00C9389A">
            <w:rPr>
              <w:noProof/>
              <w:position w:val="-8"/>
            </w:rPr>
            <w:drawing>
              <wp:inline distT="0" distB="0" distL="0" distR="0" wp14:anchorId="2ABD8AB1" wp14:editId="36B665D1">
                <wp:extent cx="878400" cy="198000"/>
                <wp:effectExtent l="0" t="0" r="0" b="0"/>
                <wp:docPr id="163" name="Picture 1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Picture 16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3FF63C91" w14:textId="69EC047E" w:rsidR="00301E48" w:rsidRPr="00275347" w:rsidRDefault="00301E48" w:rsidP="0027534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E031A" w14:textId="5AD6384A" w:rsidR="00301E48" w:rsidRDefault="00301E48" w:rsidP="00301E48">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BD0D50" w:rsidRPr="008C56E1" w14:paraId="3506702D" w14:textId="77777777">
      <w:trPr>
        <w:trHeight w:hRule="exact" w:val="340"/>
      </w:trPr>
      <w:tc>
        <w:tcPr>
          <w:tcW w:w="7797" w:type="dxa"/>
        </w:tcPr>
        <w:p w14:paraId="08AB7725" w14:textId="279C698F" w:rsidR="00BD0D50" w:rsidRPr="008C56E1" w:rsidRDefault="00BD0D50" w:rsidP="00BD0D50">
          <w:pPr>
            <w:pStyle w:val="HeaderEven"/>
          </w:pPr>
          <w:bookmarkStart w:id="2" w:name="_Hlk184919997"/>
          <w:r w:rsidRPr="008C56E1">
            <w:rPr>
              <w:noProof/>
              <w:position w:val="-8"/>
            </w:rPr>
            <w:drawing>
              <wp:inline distT="0" distB="0" distL="0" distR="0" wp14:anchorId="530A4EDB" wp14:editId="4F42CB7B">
                <wp:extent cx="874979" cy="198000"/>
                <wp:effectExtent l="0" t="0" r="1905" b="0"/>
                <wp:docPr id="2047212872" name="Picture 20472128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212872" name="Picture 204721287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fldSimple w:instr=" TITLE   \* MERGEFORMAT ">
            <w:r w:rsidR="005D499A">
              <w:t>Mid-Year Economic and Fiscal Outlook 2024–25</w:t>
            </w:r>
          </w:fldSimple>
        </w:p>
      </w:tc>
    </w:tr>
    <w:bookmarkEnd w:id="2"/>
  </w:tbl>
  <w:p w14:paraId="4C4DB78D" w14:textId="564CFE68" w:rsidR="00301E48" w:rsidRPr="00EF125D" w:rsidRDefault="00301E48" w:rsidP="00EF125D">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BD0D50" w14:paraId="3DC934E7" w14:textId="77777777" w:rsidTr="00603C41">
      <w:trPr>
        <w:trHeight w:hRule="exact" w:val="340"/>
      </w:trPr>
      <w:tc>
        <w:tcPr>
          <w:tcW w:w="7797" w:type="dxa"/>
          <w:tcMar>
            <w:right w:w="85" w:type="dxa"/>
          </w:tcMar>
        </w:tcPr>
        <w:p w14:paraId="18FD0583" w14:textId="0F08C636" w:rsidR="00BD0D50" w:rsidRPr="00D13BF9" w:rsidRDefault="00000000" w:rsidP="00BD0D50">
          <w:pPr>
            <w:pStyle w:val="HeaderOdd"/>
          </w:pPr>
          <w:fldSimple w:instr=" STYLEREF  PortfolioName  \* MERGEFORMAT ">
            <w:r w:rsidR="00534409">
              <w:rPr>
                <w:noProof/>
              </w:rPr>
              <w:t>Attorney-General’s</w:t>
            </w:r>
          </w:fldSimple>
          <w:r w:rsidR="00BD0D50" w:rsidRPr="00D13BF9">
            <w:t xml:space="preserve">  |  </w:t>
          </w:r>
          <w:r w:rsidR="00BD0D50" w:rsidRPr="00C9389A">
            <w:rPr>
              <w:noProof/>
              <w:position w:val="-8"/>
            </w:rPr>
            <w:drawing>
              <wp:inline distT="0" distB="0" distL="0" distR="0" wp14:anchorId="6AFF523D" wp14:editId="0D2C7121">
                <wp:extent cx="878400" cy="198000"/>
                <wp:effectExtent l="0" t="0" r="0" b="0"/>
                <wp:docPr id="1765712901" name="Picture 17657129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712901" name="Picture 176571290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54DA2933" w14:textId="259A6747" w:rsidR="00301E48" w:rsidRPr="00BD0D50" w:rsidRDefault="00301E48" w:rsidP="00BD0D50">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FD849" w14:textId="622445E5" w:rsidR="00301E48" w:rsidRDefault="00301E48" w:rsidP="00301E48">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D70985" w:rsidRPr="008C56E1" w14:paraId="047BAC63" w14:textId="77777777">
      <w:trPr>
        <w:trHeight w:hRule="exact" w:val="340"/>
      </w:trPr>
      <w:tc>
        <w:tcPr>
          <w:tcW w:w="7797" w:type="dxa"/>
        </w:tcPr>
        <w:p w14:paraId="6B3251DE" w14:textId="42524580" w:rsidR="00D70985" w:rsidRPr="008C56E1" w:rsidRDefault="00D70985" w:rsidP="00D70985">
          <w:pPr>
            <w:pStyle w:val="HeaderEven"/>
          </w:pPr>
          <w:r w:rsidRPr="008C56E1">
            <w:rPr>
              <w:noProof/>
              <w:position w:val="-8"/>
            </w:rPr>
            <w:drawing>
              <wp:inline distT="0" distB="0" distL="0" distR="0" wp14:anchorId="1790F376" wp14:editId="14FE88E8">
                <wp:extent cx="874979" cy="198000"/>
                <wp:effectExtent l="0" t="0" r="1905" b="0"/>
                <wp:docPr id="1208240203" name="Picture 1208240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240203" name="Picture 120824020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fldSimple w:instr=" TITLE   \* MERGEFORMAT ">
            <w:r w:rsidR="005D499A">
              <w:t>Mid-Year Economic and Fiscal Outlook 2024–25</w:t>
            </w:r>
          </w:fldSimple>
        </w:p>
      </w:tc>
    </w:tr>
  </w:tbl>
  <w:p w14:paraId="1233525E" w14:textId="2D6D8B23" w:rsidR="00301E48" w:rsidRPr="00EF125D" w:rsidRDefault="00301E48" w:rsidP="00EF125D">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603C41" w14:paraId="17EB3F0A" w14:textId="77777777">
      <w:trPr>
        <w:trHeight w:hRule="exact" w:val="340"/>
      </w:trPr>
      <w:tc>
        <w:tcPr>
          <w:tcW w:w="7797" w:type="dxa"/>
          <w:tcMar>
            <w:right w:w="85" w:type="dxa"/>
          </w:tcMar>
        </w:tcPr>
        <w:p w14:paraId="77DA974C" w14:textId="08591056" w:rsidR="00603C41" w:rsidRPr="00D13BF9" w:rsidRDefault="00000000" w:rsidP="00603C41">
          <w:pPr>
            <w:pStyle w:val="HeaderOdd"/>
          </w:pPr>
          <w:fldSimple w:instr=" STYLEREF  PortfolioName  \* MERGEFORMAT ">
            <w:r w:rsidR="00534409">
              <w:rPr>
                <w:noProof/>
              </w:rPr>
              <w:t>Climate Change, Energy, the Environment and Water</w:t>
            </w:r>
          </w:fldSimple>
          <w:r w:rsidR="00603C41" w:rsidRPr="00D13BF9">
            <w:t xml:space="preserve">  |  </w:t>
          </w:r>
          <w:r w:rsidR="00603C41" w:rsidRPr="00C9389A">
            <w:rPr>
              <w:noProof/>
              <w:position w:val="-8"/>
            </w:rPr>
            <w:drawing>
              <wp:inline distT="0" distB="0" distL="0" distR="0" wp14:anchorId="36DE22FF" wp14:editId="02F16B9B">
                <wp:extent cx="878400" cy="198000"/>
                <wp:effectExtent l="0" t="0" r="0" b="0"/>
                <wp:docPr id="893973977" name="Picture 8939739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164156" name="Picture 111016415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4865FFFD" w14:textId="2873C010" w:rsidR="00301E48" w:rsidRPr="00D70985" w:rsidRDefault="00301E48" w:rsidP="00D70985">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92D45" w14:textId="2233BFC0" w:rsidR="00301E48" w:rsidRDefault="00301E48" w:rsidP="00301E48">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D70985" w:rsidRPr="008C56E1" w14:paraId="0E48FB76" w14:textId="77777777">
      <w:trPr>
        <w:trHeight w:hRule="exact" w:val="340"/>
      </w:trPr>
      <w:tc>
        <w:tcPr>
          <w:tcW w:w="7797" w:type="dxa"/>
        </w:tcPr>
        <w:p w14:paraId="05439F75" w14:textId="34479A02" w:rsidR="00D70985" w:rsidRPr="008C56E1" w:rsidRDefault="00D70985" w:rsidP="00D70985">
          <w:pPr>
            <w:pStyle w:val="HeaderEven"/>
          </w:pPr>
          <w:bookmarkStart w:id="3" w:name="_Hlk184920035"/>
          <w:r w:rsidRPr="008C56E1">
            <w:rPr>
              <w:noProof/>
              <w:position w:val="-8"/>
            </w:rPr>
            <w:drawing>
              <wp:inline distT="0" distB="0" distL="0" distR="0" wp14:anchorId="20E39AF0" wp14:editId="17B4E977">
                <wp:extent cx="874979" cy="198000"/>
                <wp:effectExtent l="0" t="0" r="1905" b="0"/>
                <wp:docPr id="2049501056" name="Picture 20495010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501056" name="Picture 204950105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fldSimple w:instr=" TITLE   \* MERGEFORMAT ">
            <w:r w:rsidR="005D499A">
              <w:t>Mid-Year Economic and Fiscal Outlook 2024–25</w:t>
            </w:r>
          </w:fldSimple>
        </w:p>
      </w:tc>
    </w:tr>
    <w:bookmarkEnd w:id="3"/>
  </w:tbl>
  <w:p w14:paraId="196032FD" w14:textId="4FCA2FC7" w:rsidR="00301E48" w:rsidRPr="00EF125D" w:rsidRDefault="00301E48" w:rsidP="00EF125D">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D70985" w14:paraId="57C169F4" w14:textId="77777777" w:rsidTr="00603C41">
      <w:trPr>
        <w:trHeight w:hRule="exact" w:val="340"/>
      </w:trPr>
      <w:tc>
        <w:tcPr>
          <w:tcW w:w="7797" w:type="dxa"/>
          <w:tcMar>
            <w:right w:w="85" w:type="dxa"/>
          </w:tcMar>
        </w:tcPr>
        <w:p w14:paraId="165BB87E" w14:textId="7ECE8E81" w:rsidR="00D70985" w:rsidRPr="00D13BF9" w:rsidRDefault="00000000" w:rsidP="00D70985">
          <w:pPr>
            <w:pStyle w:val="HeaderOdd"/>
          </w:pPr>
          <w:fldSimple w:instr=" STYLEREF  PortfolioName  \* MERGEFORMAT ">
            <w:r w:rsidR="00534409">
              <w:rPr>
                <w:noProof/>
              </w:rPr>
              <w:t>Cross Portfolio</w:t>
            </w:r>
          </w:fldSimple>
          <w:r w:rsidR="00D70985" w:rsidRPr="00D13BF9">
            <w:t xml:space="preserve">  |  </w:t>
          </w:r>
          <w:r w:rsidR="00D70985" w:rsidRPr="00C9389A">
            <w:rPr>
              <w:noProof/>
              <w:position w:val="-8"/>
            </w:rPr>
            <w:drawing>
              <wp:inline distT="0" distB="0" distL="0" distR="0" wp14:anchorId="320A879D" wp14:editId="1C9C24F5">
                <wp:extent cx="878400" cy="198000"/>
                <wp:effectExtent l="0" t="0" r="0" b="0"/>
                <wp:docPr id="1187646611" name="Picture 11876466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646611" name="Picture 118764661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3E2CDEEC" w14:textId="13BFF859" w:rsidR="00301E48" w:rsidRPr="00D70985" w:rsidRDefault="00301E48" w:rsidP="00D70985">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6F555" w14:textId="30703429" w:rsidR="00301E48" w:rsidRDefault="00301E48" w:rsidP="00301E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6DB75" w14:textId="7400603E" w:rsidR="00301E48" w:rsidRDefault="7F762F0D" w:rsidP="00301E48">
    <w:pPr>
      <w:pStyle w:val="HeaderEven"/>
    </w:pPr>
    <w:r>
      <w:rPr>
        <w:noProof/>
      </w:rPr>
      <w:drawing>
        <wp:inline distT="0" distB="0" distL="0" distR="0" wp14:anchorId="21D70491" wp14:editId="2B118E1A">
          <wp:extent cx="906980" cy="174483"/>
          <wp:effectExtent l="0" t="0" r="0" b="0"/>
          <wp:docPr id="2074136561" name="Picture 20741365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06980" cy="174483"/>
                  </a:xfrm>
                  <a:prstGeom prst="rect">
                    <a:avLst/>
                  </a:prstGeom>
                </pic:spPr>
              </pic:pic>
            </a:graphicData>
          </a:graphic>
        </wp:inline>
      </w:drawing>
    </w:r>
    <w:r w:rsidRPr="7F762F0D">
      <w:rPr>
        <w:lang w:val="en-US"/>
      </w:rPr>
      <w:t xml:space="preserve">  |  Mid</w:t>
    </w:r>
    <w:r w:rsidR="00076D78">
      <w:rPr>
        <w:lang w:val="en-US"/>
      </w:rPr>
      <w:noBreakHyphen/>
    </w:r>
    <w:r w:rsidRPr="7F762F0D">
      <w:rPr>
        <w:lang w:val="en-US"/>
      </w:rPr>
      <w:t>Year Economic and Fiscal Outlook 2024–25</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D70985" w:rsidRPr="008C56E1" w14:paraId="701098F5" w14:textId="77777777">
      <w:trPr>
        <w:trHeight w:hRule="exact" w:val="340"/>
      </w:trPr>
      <w:tc>
        <w:tcPr>
          <w:tcW w:w="7797" w:type="dxa"/>
        </w:tcPr>
        <w:p w14:paraId="3A65D7B2" w14:textId="498EFB01" w:rsidR="00D70985" w:rsidRPr="008C56E1" w:rsidRDefault="00D70985" w:rsidP="00D70985">
          <w:pPr>
            <w:pStyle w:val="HeaderEven"/>
          </w:pPr>
          <w:r w:rsidRPr="008C56E1">
            <w:rPr>
              <w:noProof/>
              <w:position w:val="-8"/>
            </w:rPr>
            <w:drawing>
              <wp:inline distT="0" distB="0" distL="0" distR="0" wp14:anchorId="47C8F247" wp14:editId="3042A6CF">
                <wp:extent cx="874979" cy="198000"/>
                <wp:effectExtent l="0" t="0" r="1905" b="0"/>
                <wp:docPr id="1698429402" name="Picture 16984294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429402" name="Picture 169842940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fldSimple w:instr=" TITLE   \* MERGEFORMAT ">
            <w:r w:rsidR="005D499A">
              <w:t>Mid-Year Economic and Fiscal Outlook 2024–25</w:t>
            </w:r>
          </w:fldSimple>
        </w:p>
      </w:tc>
    </w:tr>
  </w:tbl>
  <w:p w14:paraId="1A2FCFE6" w14:textId="2085EB75" w:rsidR="00301E48" w:rsidRPr="00EF125D" w:rsidRDefault="00301E48" w:rsidP="00EF125D">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603C41" w14:paraId="662ECE1E" w14:textId="77777777">
      <w:trPr>
        <w:trHeight w:hRule="exact" w:val="340"/>
      </w:trPr>
      <w:tc>
        <w:tcPr>
          <w:tcW w:w="7797" w:type="dxa"/>
          <w:tcMar>
            <w:right w:w="85" w:type="dxa"/>
          </w:tcMar>
        </w:tcPr>
        <w:p w14:paraId="3D544D85" w14:textId="4178B37B" w:rsidR="00603C41" w:rsidRPr="00D13BF9" w:rsidRDefault="00000000" w:rsidP="00603C41">
          <w:pPr>
            <w:pStyle w:val="HeaderOdd"/>
          </w:pPr>
          <w:fldSimple w:instr=" STYLEREF  PortfolioName  \* MERGEFORMAT ">
            <w:r w:rsidR="00534409">
              <w:rPr>
                <w:noProof/>
              </w:rPr>
              <w:t>Defence</w:t>
            </w:r>
          </w:fldSimple>
          <w:r w:rsidR="00603C41" w:rsidRPr="00D13BF9">
            <w:t xml:space="preserve">  |  </w:t>
          </w:r>
          <w:r w:rsidR="00603C41" w:rsidRPr="00C9389A">
            <w:rPr>
              <w:noProof/>
              <w:position w:val="-8"/>
            </w:rPr>
            <w:drawing>
              <wp:inline distT="0" distB="0" distL="0" distR="0" wp14:anchorId="2CA636D5" wp14:editId="7F924C5C">
                <wp:extent cx="878400" cy="198000"/>
                <wp:effectExtent l="0" t="0" r="0" b="0"/>
                <wp:docPr id="1666770222" name="Picture 16667702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164156" name="Picture 111016415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4A75ED7B" w14:textId="1904A47B" w:rsidR="00301E48" w:rsidRPr="00D70985" w:rsidRDefault="00301E48" w:rsidP="00D70985">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657C3" w14:textId="14F12522" w:rsidR="00301E48" w:rsidRDefault="00301E48" w:rsidP="00301E48">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D70985" w:rsidRPr="008C56E1" w14:paraId="58BDFCFE" w14:textId="77777777">
      <w:trPr>
        <w:trHeight w:hRule="exact" w:val="340"/>
      </w:trPr>
      <w:tc>
        <w:tcPr>
          <w:tcW w:w="7797" w:type="dxa"/>
        </w:tcPr>
        <w:p w14:paraId="73387A70" w14:textId="5A989489" w:rsidR="00D70985" w:rsidRPr="008C56E1" w:rsidRDefault="00D70985" w:rsidP="00D70985">
          <w:pPr>
            <w:pStyle w:val="HeaderEven"/>
          </w:pPr>
          <w:r w:rsidRPr="008C56E1">
            <w:rPr>
              <w:noProof/>
              <w:position w:val="-8"/>
            </w:rPr>
            <w:drawing>
              <wp:inline distT="0" distB="0" distL="0" distR="0" wp14:anchorId="0B9F821B" wp14:editId="2ABF1488">
                <wp:extent cx="874979" cy="198000"/>
                <wp:effectExtent l="0" t="0" r="1905" b="0"/>
                <wp:docPr id="246775430" name="Picture 2467754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775430" name="Picture 24677543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fldSimple w:instr=" TITLE   \* MERGEFORMAT ">
            <w:r w:rsidR="005D499A">
              <w:t>Mid-Year Economic and Fiscal Outlook 2024–25</w:t>
            </w:r>
          </w:fldSimple>
        </w:p>
      </w:tc>
    </w:tr>
  </w:tbl>
  <w:p w14:paraId="0A67A608" w14:textId="279CE356" w:rsidR="00301E48" w:rsidRPr="00EF125D" w:rsidRDefault="00301E48" w:rsidP="00EF125D">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603C41" w14:paraId="2894D3A1" w14:textId="77777777">
      <w:trPr>
        <w:trHeight w:hRule="exact" w:val="340"/>
      </w:trPr>
      <w:tc>
        <w:tcPr>
          <w:tcW w:w="7797" w:type="dxa"/>
          <w:tcMar>
            <w:right w:w="85" w:type="dxa"/>
          </w:tcMar>
        </w:tcPr>
        <w:p w14:paraId="27CE18A9" w14:textId="29E04773" w:rsidR="00603C41" w:rsidRPr="00D13BF9" w:rsidRDefault="00000000" w:rsidP="00603C41">
          <w:pPr>
            <w:pStyle w:val="HeaderOdd"/>
          </w:pPr>
          <w:fldSimple w:instr=" STYLEREF  PortfolioName  \* MERGEFORMAT ">
            <w:r w:rsidR="00534409">
              <w:rPr>
                <w:noProof/>
              </w:rPr>
              <w:t>Education</w:t>
            </w:r>
          </w:fldSimple>
          <w:r w:rsidR="00603C41" w:rsidRPr="00D13BF9">
            <w:t xml:space="preserve">  |  </w:t>
          </w:r>
          <w:r w:rsidR="00603C41" w:rsidRPr="00C9389A">
            <w:rPr>
              <w:noProof/>
              <w:position w:val="-8"/>
            </w:rPr>
            <w:drawing>
              <wp:inline distT="0" distB="0" distL="0" distR="0" wp14:anchorId="70877EDC" wp14:editId="191AA0AE">
                <wp:extent cx="878400" cy="198000"/>
                <wp:effectExtent l="0" t="0" r="0" b="0"/>
                <wp:docPr id="2006356153" name="Picture 20063561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164156" name="Picture 111016415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08611A9E" w14:textId="2CE68529" w:rsidR="00301E48" w:rsidRPr="00301E48" w:rsidRDefault="00301E48" w:rsidP="7F762F0D">
    <w:pPr>
      <w:pStyle w:val="HeaderOdd"/>
      <w:rPr>
        <w:position w:val="-10"/>
        <w:lang w:val="en-US"/>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14323" w14:textId="0254A994" w:rsidR="00301E48" w:rsidRDefault="00301E48" w:rsidP="00301E48">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D70985" w:rsidRPr="008C56E1" w14:paraId="0AEBF57E" w14:textId="77777777">
      <w:trPr>
        <w:trHeight w:hRule="exact" w:val="340"/>
      </w:trPr>
      <w:tc>
        <w:tcPr>
          <w:tcW w:w="7797" w:type="dxa"/>
        </w:tcPr>
        <w:p w14:paraId="5156D310" w14:textId="732D3CF9" w:rsidR="00D70985" w:rsidRPr="008C56E1" w:rsidRDefault="00D70985" w:rsidP="00D70985">
          <w:pPr>
            <w:pStyle w:val="HeaderEven"/>
          </w:pPr>
          <w:r w:rsidRPr="008C56E1">
            <w:rPr>
              <w:noProof/>
              <w:position w:val="-8"/>
            </w:rPr>
            <w:drawing>
              <wp:inline distT="0" distB="0" distL="0" distR="0" wp14:anchorId="1935A3BD" wp14:editId="7E12B288">
                <wp:extent cx="874979" cy="198000"/>
                <wp:effectExtent l="0" t="0" r="1905" b="0"/>
                <wp:docPr id="1385676681" name="Picture 13856766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676681" name="Picture 138567668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fldSimple w:instr=" TITLE   \* MERGEFORMAT ">
            <w:r w:rsidR="005D499A">
              <w:t>Mid-Year Economic and Fiscal Outlook 2024–25</w:t>
            </w:r>
          </w:fldSimple>
        </w:p>
      </w:tc>
    </w:tr>
  </w:tbl>
  <w:p w14:paraId="4A32E80B" w14:textId="367B6A9F" w:rsidR="00301E48" w:rsidRPr="00EF125D" w:rsidRDefault="00301E48" w:rsidP="00EF125D">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603C41" w14:paraId="36D37684" w14:textId="77777777">
      <w:trPr>
        <w:trHeight w:hRule="exact" w:val="340"/>
      </w:trPr>
      <w:tc>
        <w:tcPr>
          <w:tcW w:w="7797" w:type="dxa"/>
          <w:tcMar>
            <w:right w:w="85" w:type="dxa"/>
          </w:tcMar>
        </w:tcPr>
        <w:p w14:paraId="5AFCFF1A" w14:textId="58F5531D" w:rsidR="00603C41" w:rsidRPr="00D13BF9" w:rsidRDefault="00000000" w:rsidP="00603C41">
          <w:pPr>
            <w:pStyle w:val="HeaderOdd"/>
          </w:pPr>
          <w:fldSimple w:instr=" STYLEREF  PortfolioName  \* MERGEFORMAT ">
            <w:r w:rsidR="00534409">
              <w:rPr>
                <w:noProof/>
              </w:rPr>
              <w:t>Employment and Workplace Relations</w:t>
            </w:r>
          </w:fldSimple>
          <w:r w:rsidR="00603C41" w:rsidRPr="00D13BF9">
            <w:t xml:space="preserve">  |  </w:t>
          </w:r>
          <w:r w:rsidR="00603C41" w:rsidRPr="00C9389A">
            <w:rPr>
              <w:noProof/>
              <w:position w:val="-8"/>
            </w:rPr>
            <w:drawing>
              <wp:inline distT="0" distB="0" distL="0" distR="0" wp14:anchorId="69767945" wp14:editId="01174BAC">
                <wp:extent cx="878400" cy="198000"/>
                <wp:effectExtent l="0" t="0" r="0" b="0"/>
                <wp:docPr id="1113999249" name="Picture 11139992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164156" name="Picture 111016415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050134A0" w14:textId="0E0A7350" w:rsidR="00301E48" w:rsidRPr="00301E48" w:rsidRDefault="00301E48" w:rsidP="7F762F0D">
    <w:pPr>
      <w:pStyle w:val="HeaderOdd"/>
      <w:rPr>
        <w:position w:val="-10"/>
        <w:lang w:val="en-US"/>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2FA6" w14:textId="022E0358" w:rsidR="00301E48" w:rsidRDefault="00301E48" w:rsidP="00301E48">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D70985" w:rsidRPr="008C56E1" w14:paraId="353BEA6C" w14:textId="77777777">
      <w:trPr>
        <w:trHeight w:hRule="exact" w:val="340"/>
      </w:trPr>
      <w:tc>
        <w:tcPr>
          <w:tcW w:w="7797" w:type="dxa"/>
        </w:tcPr>
        <w:p w14:paraId="151DD9DF" w14:textId="4F48E1C2" w:rsidR="00D70985" w:rsidRPr="008C56E1" w:rsidRDefault="00D70985" w:rsidP="00D70985">
          <w:pPr>
            <w:pStyle w:val="HeaderEven"/>
          </w:pPr>
          <w:r w:rsidRPr="008C56E1">
            <w:rPr>
              <w:noProof/>
              <w:position w:val="-8"/>
            </w:rPr>
            <w:drawing>
              <wp:inline distT="0" distB="0" distL="0" distR="0" wp14:anchorId="569D03BB" wp14:editId="22DFAFF7">
                <wp:extent cx="874979" cy="198000"/>
                <wp:effectExtent l="0" t="0" r="1905" b="0"/>
                <wp:docPr id="923334333" name="Picture 9233343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334333" name="Picture 92333433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fldSimple w:instr=" TITLE   \* MERGEFORMAT ">
            <w:r w:rsidR="005D499A">
              <w:t>Mid-Year Economic and Fiscal Outlook 2024–25</w:t>
            </w:r>
          </w:fldSimple>
        </w:p>
      </w:tc>
    </w:tr>
  </w:tbl>
  <w:p w14:paraId="7936A4A4" w14:textId="0EF8AC66" w:rsidR="00301E48" w:rsidRPr="00EF125D" w:rsidRDefault="00301E48" w:rsidP="00EF12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DD7138" w14:paraId="7F4AD0DB" w14:textId="77777777" w:rsidTr="00603C41">
      <w:trPr>
        <w:trHeight w:hRule="exact" w:val="340"/>
      </w:trPr>
      <w:tc>
        <w:tcPr>
          <w:tcW w:w="7797" w:type="dxa"/>
          <w:tcMar>
            <w:right w:w="85" w:type="dxa"/>
          </w:tcMar>
        </w:tcPr>
        <w:bookmarkStart w:id="1" w:name="_Hlk184914889"/>
        <w:p w14:paraId="04DF22E8" w14:textId="5E90E064" w:rsidR="00DD7138" w:rsidRPr="00D13BF9" w:rsidRDefault="00DD7138" w:rsidP="00DD7138">
          <w:pPr>
            <w:pStyle w:val="HeaderOdd"/>
          </w:pPr>
          <w:r>
            <w:fldChar w:fldCharType="begin"/>
          </w:r>
          <w:r>
            <w:instrText xml:space="preserve"> STYLEREF  PortfolioName  \* MERGEFORMAT </w:instrText>
          </w:r>
          <w:r>
            <w:fldChar w:fldCharType="separate"/>
          </w:r>
          <w:r w:rsidR="00534409">
            <w:rPr>
              <w:noProof/>
            </w:rPr>
            <w:t>Agriculture, Fisheries and Forestry</w:t>
          </w:r>
          <w:r>
            <w:fldChar w:fldCharType="end"/>
          </w:r>
          <w:r w:rsidRPr="00D13BF9">
            <w:t xml:space="preserve">  |  </w:t>
          </w:r>
          <w:r w:rsidRPr="00C9389A">
            <w:rPr>
              <w:noProof/>
              <w:position w:val="-8"/>
            </w:rPr>
            <w:drawing>
              <wp:inline distT="0" distB="0" distL="0" distR="0" wp14:anchorId="743B52B3" wp14:editId="4803DFE8">
                <wp:extent cx="878400" cy="198000"/>
                <wp:effectExtent l="0" t="0" r="0" b="0"/>
                <wp:docPr id="1599339891" name="Picture 15993398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518702" name="Picture 81651870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bookmarkEnd w:id="1"/>
  </w:tbl>
  <w:p w14:paraId="69A1B2E8" w14:textId="3836AD63" w:rsidR="00301E48" w:rsidRPr="00DD7138" w:rsidRDefault="00301E48" w:rsidP="00DD7138">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603C41" w14:paraId="616D524E" w14:textId="77777777">
      <w:trPr>
        <w:trHeight w:hRule="exact" w:val="340"/>
      </w:trPr>
      <w:tc>
        <w:tcPr>
          <w:tcW w:w="7797" w:type="dxa"/>
          <w:tcMar>
            <w:right w:w="85" w:type="dxa"/>
          </w:tcMar>
        </w:tcPr>
        <w:p w14:paraId="4774A867" w14:textId="65577F41" w:rsidR="00603C41" w:rsidRPr="00D13BF9" w:rsidRDefault="00000000" w:rsidP="00603C41">
          <w:pPr>
            <w:pStyle w:val="HeaderOdd"/>
          </w:pPr>
          <w:fldSimple w:instr=" STYLEREF  PortfolioName  \* MERGEFORMAT ">
            <w:r w:rsidR="00534409">
              <w:rPr>
                <w:noProof/>
              </w:rPr>
              <w:t>Finance</w:t>
            </w:r>
          </w:fldSimple>
          <w:r w:rsidR="00603C41" w:rsidRPr="00D13BF9">
            <w:t xml:space="preserve">  |  </w:t>
          </w:r>
          <w:r w:rsidR="00603C41" w:rsidRPr="00C9389A">
            <w:rPr>
              <w:noProof/>
              <w:position w:val="-8"/>
            </w:rPr>
            <w:drawing>
              <wp:inline distT="0" distB="0" distL="0" distR="0" wp14:anchorId="39FB60D7" wp14:editId="7BBEDE29">
                <wp:extent cx="878400" cy="198000"/>
                <wp:effectExtent l="0" t="0" r="0" b="0"/>
                <wp:docPr id="934633027" name="Picture 9346330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164156" name="Picture 111016415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6A9DF567" w14:textId="354B65D4" w:rsidR="00301E48" w:rsidRPr="00301E48" w:rsidRDefault="00301E48" w:rsidP="7F762F0D">
    <w:pPr>
      <w:pStyle w:val="HeaderOdd"/>
      <w:rPr>
        <w:position w:val="-10"/>
        <w:lang w:val="en-US"/>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1E8F7" w14:textId="5876BD2D" w:rsidR="00301E48" w:rsidRDefault="00301E48" w:rsidP="00301E48">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D70985" w:rsidRPr="008C56E1" w14:paraId="232C3645" w14:textId="77777777">
      <w:trPr>
        <w:trHeight w:hRule="exact" w:val="340"/>
      </w:trPr>
      <w:tc>
        <w:tcPr>
          <w:tcW w:w="7797" w:type="dxa"/>
        </w:tcPr>
        <w:p w14:paraId="5A3E4D66" w14:textId="6A0231D9" w:rsidR="00D70985" w:rsidRPr="008C56E1" w:rsidRDefault="00D70985" w:rsidP="00D70985">
          <w:pPr>
            <w:pStyle w:val="HeaderEven"/>
          </w:pPr>
          <w:r w:rsidRPr="008C56E1">
            <w:rPr>
              <w:noProof/>
              <w:position w:val="-8"/>
            </w:rPr>
            <w:drawing>
              <wp:inline distT="0" distB="0" distL="0" distR="0" wp14:anchorId="722AC456" wp14:editId="207D98D6">
                <wp:extent cx="874979" cy="198000"/>
                <wp:effectExtent l="0" t="0" r="1905" b="0"/>
                <wp:docPr id="234201605" name="Picture 2342016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201605" name="Picture 23420160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fldSimple w:instr=" TITLE   \* MERGEFORMAT ">
            <w:r w:rsidR="005D499A">
              <w:t>Mid-Year Economic and Fiscal Outlook 2024–25</w:t>
            </w:r>
          </w:fldSimple>
        </w:p>
      </w:tc>
    </w:tr>
  </w:tbl>
  <w:p w14:paraId="1DC5EEF2" w14:textId="22F657A3" w:rsidR="00301E48" w:rsidRPr="00EF125D" w:rsidRDefault="00301E48" w:rsidP="00EF125D">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603C41" w14:paraId="5E365BB3" w14:textId="77777777">
      <w:trPr>
        <w:trHeight w:hRule="exact" w:val="340"/>
      </w:trPr>
      <w:tc>
        <w:tcPr>
          <w:tcW w:w="7797" w:type="dxa"/>
          <w:tcMar>
            <w:right w:w="85" w:type="dxa"/>
          </w:tcMar>
        </w:tcPr>
        <w:p w14:paraId="65147E18" w14:textId="3D266CC8" w:rsidR="00603C41" w:rsidRPr="00D13BF9" w:rsidRDefault="00000000" w:rsidP="00603C41">
          <w:pPr>
            <w:pStyle w:val="HeaderOdd"/>
          </w:pPr>
          <w:fldSimple w:instr=" STYLEREF  PortfolioName  \* MERGEFORMAT ">
            <w:r w:rsidR="00534409">
              <w:rPr>
                <w:noProof/>
              </w:rPr>
              <w:t>Foreign Affairs and Trade</w:t>
            </w:r>
          </w:fldSimple>
          <w:r w:rsidR="00603C41" w:rsidRPr="00D13BF9">
            <w:t xml:space="preserve">  |  </w:t>
          </w:r>
          <w:r w:rsidR="00603C41" w:rsidRPr="00C9389A">
            <w:rPr>
              <w:noProof/>
              <w:position w:val="-8"/>
            </w:rPr>
            <w:drawing>
              <wp:inline distT="0" distB="0" distL="0" distR="0" wp14:anchorId="6668BAF7" wp14:editId="5AD986DF">
                <wp:extent cx="878400" cy="198000"/>
                <wp:effectExtent l="0" t="0" r="0" b="0"/>
                <wp:docPr id="26607362" name="Picture 266073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164156" name="Picture 111016415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542EC12E" w14:textId="5280C9C0" w:rsidR="00301E48" w:rsidRPr="00D70985" w:rsidRDefault="00301E48" w:rsidP="00D70985">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86827" w14:textId="38676FEF" w:rsidR="00301E48" w:rsidRDefault="00301E48" w:rsidP="00301E48">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D70985" w:rsidRPr="008C56E1" w14:paraId="1D957202" w14:textId="77777777">
      <w:trPr>
        <w:trHeight w:hRule="exact" w:val="340"/>
      </w:trPr>
      <w:tc>
        <w:tcPr>
          <w:tcW w:w="7797" w:type="dxa"/>
        </w:tcPr>
        <w:p w14:paraId="5B671B76" w14:textId="4AB529E8" w:rsidR="00D70985" w:rsidRPr="008C56E1" w:rsidRDefault="00D70985" w:rsidP="00D70985">
          <w:pPr>
            <w:pStyle w:val="HeaderEven"/>
          </w:pPr>
          <w:r w:rsidRPr="008C56E1">
            <w:rPr>
              <w:noProof/>
              <w:position w:val="-8"/>
            </w:rPr>
            <w:drawing>
              <wp:inline distT="0" distB="0" distL="0" distR="0" wp14:anchorId="09437F09" wp14:editId="2865A7D1">
                <wp:extent cx="874979" cy="198000"/>
                <wp:effectExtent l="0" t="0" r="1905" b="0"/>
                <wp:docPr id="327099557" name="Picture 3270995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099557" name="Picture 32709955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fldSimple w:instr=" TITLE   \* MERGEFORMAT ">
            <w:r w:rsidR="005D499A">
              <w:t>Mid-Year Economic and Fiscal Outlook 2024–25</w:t>
            </w:r>
          </w:fldSimple>
        </w:p>
      </w:tc>
    </w:tr>
  </w:tbl>
  <w:p w14:paraId="27AD38DF" w14:textId="24E96F8C" w:rsidR="00301E48" w:rsidRPr="00EF125D" w:rsidRDefault="00301E48" w:rsidP="00EF125D">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603C41" w14:paraId="670071A7" w14:textId="77777777">
      <w:trPr>
        <w:trHeight w:hRule="exact" w:val="340"/>
      </w:trPr>
      <w:tc>
        <w:tcPr>
          <w:tcW w:w="7797" w:type="dxa"/>
          <w:tcMar>
            <w:right w:w="85" w:type="dxa"/>
          </w:tcMar>
        </w:tcPr>
        <w:p w14:paraId="1F96607D" w14:textId="478AA949" w:rsidR="00603C41" w:rsidRPr="00D13BF9" w:rsidRDefault="00000000" w:rsidP="00603C41">
          <w:pPr>
            <w:pStyle w:val="HeaderOdd"/>
          </w:pPr>
          <w:fldSimple w:instr=" STYLEREF  PortfolioName  \* MERGEFORMAT ">
            <w:r w:rsidR="00534409">
              <w:rPr>
                <w:noProof/>
              </w:rPr>
              <w:t>Health and Aged Care</w:t>
            </w:r>
          </w:fldSimple>
          <w:r w:rsidR="00603C41" w:rsidRPr="00D13BF9">
            <w:t xml:space="preserve">  |  </w:t>
          </w:r>
          <w:r w:rsidR="00603C41" w:rsidRPr="00C9389A">
            <w:rPr>
              <w:noProof/>
              <w:position w:val="-8"/>
            </w:rPr>
            <w:drawing>
              <wp:inline distT="0" distB="0" distL="0" distR="0" wp14:anchorId="1714F022" wp14:editId="194D0160">
                <wp:extent cx="878400" cy="198000"/>
                <wp:effectExtent l="0" t="0" r="0" b="0"/>
                <wp:docPr id="221299704" name="Picture 2212997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164156" name="Picture 111016415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28FA598D" w14:textId="19240960" w:rsidR="00301E48" w:rsidRPr="00D70985" w:rsidRDefault="00301E48" w:rsidP="00D70985">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52E35" w14:textId="67390E9F" w:rsidR="00301E48" w:rsidRDefault="00301E48" w:rsidP="00301E48">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D70985" w:rsidRPr="008C56E1" w14:paraId="0CF80A8B" w14:textId="77777777">
      <w:trPr>
        <w:trHeight w:hRule="exact" w:val="340"/>
      </w:trPr>
      <w:tc>
        <w:tcPr>
          <w:tcW w:w="7797" w:type="dxa"/>
        </w:tcPr>
        <w:p w14:paraId="13E9D75F" w14:textId="67F27CAE" w:rsidR="00D70985" w:rsidRPr="008C56E1" w:rsidRDefault="00D70985" w:rsidP="00D70985">
          <w:pPr>
            <w:pStyle w:val="HeaderEven"/>
          </w:pPr>
          <w:r w:rsidRPr="008C56E1">
            <w:rPr>
              <w:noProof/>
              <w:position w:val="-8"/>
            </w:rPr>
            <w:drawing>
              <wp:inline distT="0" distB="0" distL="0" distR="0" wp14:anchorId="22B91E5C" wp14:editId="2A98F404">
                <wp:extent cx="874979" cy="198000"/>
                <wp:effectExtent l="0" t="0" r="1905" b="0"/>
                <wp:docPr id="753836773" name="Picture 7538367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836773" name="Picture 75383677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fldSimple w:instr=" TITLE   \* MERGEFORMAT ">
            <w:r w:rsidR="005D499A">
              <w:t>Mid-Year Economic and Fiscal Outlook 2024–25</w:t>
            </w:r>
          </w:fldSimple>
        </w:p>
      </w:tc>
    </w:tr>
  </w:tbl>
  <w:p w14:paraId="0B9137C3" w14:textId="048E1BE0" w:rsidR="00301E48" w:rsidRPr="00EF125D" w:rsidRDefault="00301E48" w:rsidP="00EF125D">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603C41" w14:paraId="59A4523A" w14:textId="77777777">
      <w:trPr>
        <w:trHeight w:hRule="exact" w:val="340"/>
      </w:trPr>
      <w:tc>
        <w:tcPr>
          <w:tcW w:w="7797" w:type="dxa"/>
          <w:tcMar>
            <w:right w:w="85" w:type="dxa"/>
          </w:tcMar>
        </w:tcPr>
        <w:p w14:paraId="73E2AA18" w14:textId="1D3C0423" w:rsidR="00603C41" w:rsidRPr="00D13BF9" w:rsidRDefault="00000000" w:rsidP="00603C41">
          <w:pPr>
            <w:pStyle w:val="HeaderOdd"/>
          </w:pPr>
          <w:fldSimple w:instr=" STYLEREF  PortfolioName  \* MERGEFORMAT ">
            <w:r w:rsidR="00534409">
              <w:rPr>
                <w:noProof/>
              </w:rPr>
              <w:t>Home Affairs</w:t>
            </w:r>
          </w:fldSimple>
          <w:r w:rsidR="00603C41" w:rsidRPr="00D13BF9">
            <w:t xml:space="preserve">  |  </w:t>
          </w:r>
          <w:r w:rsidR="00603C41" w:rsidRPr="00C9389A">
            <w:rPr>
              <w:noProof/>
              <w:position w:val="-8"/>
            </w:rPr>
            <w:drawing>
              <wp:inline distT="0" distB="0" distL="0" distR="0" wp14:anchorId="0FF3707C" wp14:editId="092F10BA">
                <wp:extent cx="878400" cy="198000"/>
                <wp:effectExtent l="0" t="0" r="0" b="0"/>
                <wp:docPr id="396313126" name="Picture 3963131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164156" name="Picture 111016415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088762BF" w14:textId="782AAADF" w:rsidR="00301E48" w:rsidRPr="00301E48" w:rsidRDefault="00301E48" w:rsidP="7F762F0D">
    <w:pPr>
      <w:pStyle w:val="HeaderOdd"/>
      <w:rPr>
        <w:position w:val="-10"/>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01A26" w14:textId="7D3F8F19" w:rsidR="00301E48" w:rsidRDefault="00301E48" w:rsidP="00301E48">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F7B99" w14:textId="3ACB5FBE" w:rsidR="00301E48" w:rsidRDefault="00301E48" w:rsidP="00301E48">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D70985" w:rsidRPr="008C56E1" w14:paraId="2DB91CB2" w14:textId="77777777">
      <w:trPr>
        <w:trHeight w:hRule="exact" w:val="340"/>
      </w:trPr>
      <w:tc>
        <w:tcPr>
          <w:tcW w:w="7797" w:type="dxa"/>
        </w:tcPr>
        <w:p w14:paraId="6FD3DC58" w14:textId="2F08288F" w:rsidR="00D70985" w:rsidRPr="008C56E1" w:rsidRDefault="00D70985" w:rsidP="00D70985">
          <w:pPr>
            <w:pStyle w:val="HeaderEven"/>
          </w:pPr>
          <w:r w:rsidRPr="008C56E1">
            <w:rPr>
              <w:noProof/>
              <w:position w:val="-8"/>
            </w:rPr>
            <w:drawing>
              <wp:inline distT="0" distB="0" distL="0" distR="0" wp14:anchorId="318EB4E7" wp14:editId="5A242852">
                <wp:extent cx="874979" cy="198000"/>
                <wp:effectExtent l="0" t="0" r="1905" b="0"/>
                <wp:docPr id="920987044" name="Picture 9209870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987044" name="Picture 92098704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fldSimple w:instr=" TITLE   \* MERGEFORMAT ">
            <w:r w:rsidR="005D499A">
              <w:t>Mid-Year Economic and Fiscal Outlook 2024–25</w:t>
            </w:r>
          </w:fldSimple>
        </w:p>
      </w:tc>
    </w:tr>
  </w:tbl>
  <w:p w14:paraId="34FD11CF" w14:textId="33E6240B" w:rsidR="00301E48" w:rsidRPr="00601FC3" w:rsidRDefault="00301E48" w:rsidP="00601FC3">
    <w:pPr>
      <w:pStyle w:val="HeaderEven"/>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603C41" w14:paraId="4E180C13" w14:textId="77777777">
      <w:trPr>
        <w:trHeight w:hRule="exact" w:val="340"/>
      </w:trPr>
      <w:tc>
        <w:tcPr>
          <w:tcW w:w="7797" w:type="dxa"/>
          <w:tcMar>
            <w:right w:w="85" w:type="dxa"/>
          </w:tcMar>
        </w:tcPr>
        <w:p w14:paraId="0F15B045" w14:textId="5DB72802" w:rsidR="00603C41" w:rsidRPr="00D13BF9" w:rsidRDefault="00000000" w:rsidP="00603C41">
          <w:pPr>
            <w:pStyle w:val="HeaderOdd"/>
          </w:pPr>
          <w:fldSimple w:instr=" STYLEREF  PortfolioName  \* MERGEFORMAT ">
            <w:r w:rsidR="00534409">
              <w:rPr>
                <w:noProof/>
              </w:rPr>
              <w:t>Industry, Science and Resources</w:t>
            </w:r>
          </w:fldSimple>
          <w:r w:rsidR="00603C41" w:rsidRPr="00D13BF9">
            <w:t xml:space="preserve">  |  </w:t>
          </w:r>
          <w:r w:rsidR="00603C41" w:rsidRPr="00C9389A">
            <w:rPr>
              <w:noProof/>
              <w:position w:val="-8"/>
            </w:rPr>
            <w:drawing>
              <wp:inline distT="0" distB="0" distL="0" distR="0" wp14:anchorId="0B9419E9" wp14:editId="4BB2AD6D">
                <wp:extent cx="878400" cy="198000"/>
                <wp:effectExtent l="0" t="0" r="0" b="0"/>
                <wp:docPr id="2056832368" name="Picture 20568323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164156" name="Picture 111016415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1A71E32A" w14:textId="2F985CB1" w:rsidR="00301E48" w:rsidRPr="00301E48" w:rsidRDefault="00301E48" w:rsidP="7F762F0D">
    <w:pPr>
      <w:pStyle w:val="HeaderOdd"/>
      <w:rPr>
        <w:position w:val="-10"/>
        <w:lang w:val="en-US"/>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0C505" w14:textId="3FC681C2" w:rsidR="00301E48" w:rsidRDefault="00301E48" w:rsidP="00301E48">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D70985" w:rsidRPr="008C56E1" w14:paraId="2C670213" w14:textId="77777777">
      <w:trPr>
        <w:trHeight w:hRule="exact" w:val="340"/>
      </w:trPr>
      <w:tc>
        <w:tcPr>
          <w:tcW w:w="7797" w:type="dxa"/>
        </w:tcPr>
        <w:p w14:paraId="5A0FD4E4" w14:textId="6B3C498C" w:rsidR="00D70985" w:rsidRPr="008C56E1" w:rsidRDefault="00D70985" w:rsidP="00D70985">
          <w:pPr>
            <w:pStyle w:val="HeaderEven"/>
          </w:pPr>
          <w:r w:rsidRPr="008C56E1">
            <w:rPr>
              <w:noProof/>
              <w:position w:val="-8"/>
            </w:rPr>
            <w:drawing>
              <wp:inline distT="0" distB="0" distL="0" distR="0" wp14:anchorId="06C7652D" wp14:editId="5514BA04">
                <wp:extent cx="874979" cy="198000"/>
                <wp:effectExtent l="0" t="0" r="1905" b="0"/>
                <wp:docPr id="602456036" name="Picture 6024560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456036" name="Picture 60245603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fldSimple w:instr=" TITLE   \* MERGEFORMAT ">
            <w:r w:rsidR="005D499A">
              <w:t>Mid-Year Economic and Fiscal Outlook 2024–25</w:t>
            </w:r>
          </w:fldSimple>
        </w:p>
      </w:tc>
    </w:tr>
  </w:tbl>
  <w:p w14:paraId="44578C90" w14:textId="61B94594" w:rsidR="00301E48" w:rsidRPr="00EF125D" w:rsidRDefault="00301E48" w:rsidP="00EF125D">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AB268F" w14:paraId="3602DAEA" w14:textId="77777777" w:rsidTr="00603C41">
      <w:trPr>
        <w:trHeight w:hRule="exact" w:val="340"/>
      </w:trPr>
      <w:tc>
        <w:tcPr>
          <w:tcW w:w="7797" w:type="dxa"/>
          <w:tcMar>
            <w:right w:w="85" w:type="dxa"/>
          </w:tcMar>
        </w:tcPr>
        <w:p w14:paraId="46F81322" w14:textId="0B227CFA" w:rsidR="00AB268F" w:rsidRPr="00D13BF9" w:rsidRDefault="00AB268F" w:rsidP="00AB268F">
          <w:pPr>
            <w:pStyle w:val="HeaderOdd"/>
          </w:pPr>
          <w:r w:rsidRPr="001656DB">
            <w:rPr>
              <w:spacing w:val="-4"/>
              <w:szCs w:val="18"/>
            </w:rPr>
            <w:fldChar w:fldCharType="begin"/>
          </w:r>
          <w:r w:rsidRPr="001656DB">
            <w:rPr>
              <w:spacing w:val="-4"/>
              <w:szCs w:val="18"/>
            </w:rPr>
            <w:instrText xml:space="preserve"> STYLEREF  PortfolioName  \* MERGEFORMAT </w:instrText>
          </w:r>
          <w:r w:rsidRPr="001656DB">
            <w:rPr>
              <w:spacing w:val="-4"/>
              <w:szCs w:val="18"/>
            </w:rPr>
            <w:fldChar w:fldCharType="separate"/>
          </w:r>
          <w:r w:rsidR="00534409">
            <w:rPr>
              <w:noProof/>
              <w:spacing w:val="-4"/>
              <w:szCs w:val="18"/>
            </w:rPr>
            <w:t>Infrastructure, Transport, Regional Development, Communications and the Arts</w:t>
          </w:r>
          <w:r w:rsidRPr="001656DB">
            <w:rPr>
              <w:spacing w:val="-4"/>
              <w:szCs w:val="18"/>
            </w:rPr>
            <w:fldChar w:fldCharType="end"/>
          </w:r>
          <w:r w:rsidRPr="00D13BF9">
            <w:t xml:space="preserve">  |  </w:t>
          </w:r>
          <w:r w:rsidRPr="00C9389A">
            <w:rPr>
              <w:noProof/>
              <w:position w:val="-8"/>
            </w:rPr>
            <w:drawing>
              <wp:inline distT="0" distB="0" distL="0" distR="0" wp14:anchorId="26951B80" wp14:editId="3C3EE0DE">
                <wp:extent cx="878400" cy="198000"/>
                <wp:effectExtent l="0" t="0" r="0" b="0"/>
                <wp:docPr id="1909019360" name="Picture 19090193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019360" name="Picture 190901936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512155ED" w14:textId="6BDC450B" w:rsidR="00301E48" w:rsidRPr="00301E48" w:rsidRDefault="00301E48" w:rsidP="7F762F0D">
    <w:pPr>
      <w:pStyle w:val="HeaderOdd"/>
      <w:rPr>
        <w:position w:val="-10"/>
        <w:lang w:val="en-US"/>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9B9B" w14:textId="464E06A6" w:rsidR="00301E48" w:rsidRDefault="00301E48" w:rsidP="00301E48">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D70985" w:rsidRPr="008C56E1" w14:paraId="4079410B" w14:textId="77777777">
      <w:trPr>
        <w:trHeight w:hRule="exact" w:val="340"/>
      </w:trPr>
      <w:tc>
        <w:tcPr>
          <w:tcW w:w="7797" w:type="dxa"/>
        </w:tcPr>
        <w:p w14:paraId="7C0E0240" w14:textId="65970C2D" w:rsidR="00D70985" w:rsidRPr="008C56E1" w:rsidRDefault="00D70985" w:rsidP="00D70985">
          <w:pPr>
            <w:pStyle w:val="HeaderEven"/>
          </w:pPr>
          <w:r w:rsidRPr="008C56E1">
            <w:rPr>
              <w:noProof/>
              <w:position w:val="-8"/>
            </w:rPr>
            <w:drawing>
              <wp:inline distT="0" distB="0" distL="0" distR="0" wp14:anchorId="06C11D23" wp14:editId="3757322E">
                <wp:extent cx="874979" cy="198000"/>
                <wp:effectExtent l="0" t="0" r="1905" b="0"/>
                <wp:docPr id="398275089" name="Picture 3982750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275089" name="Picture 39827508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fldSimple w:instr=" TITLE   \* MERGEFORMAT ">
            <w:r w:rsidR="005D499A">
              <w:t>Mid-Year Economic and Fiscal Outlook 2024–25</w:t>
            </w:r>
          </w:fldSimple>
        </w:p>
      </w:tc>
    </w:tr>
  </w:tbl>
  <w:p w14:paraId="19B9179C" w14:textId="7ADBA3FC" w:rsidR="00301E48" w:rsidRPr="00EF125D" w:rsidRDefault="00301E48" w:rsidP="00EF125D">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603C41" w14:paraId="496C10C5" w14:textId="77777777">
      <w:trPr>
        <w:trHeight w:hRule="exact" w:val="340"/>
      </w:trPr>
      <w:tc>
        <w:tcPr>
          <w:tcW w:w="7797" w:type="dxa"/>
          <w:tcMar>
            <w:right w:w="85" w:type="dxa"/>
          </w:tcMar>
        </w:tcPr>
        <w:p w14:paraId="4F354384" w14:textId="25D97709" w:rsidR="00603C41" w:rsidRPr="00D13BF9" w:rsidRDefault="00000000" w:rsidP="00603C41">
          <w:pPr>
            <w:pStyle w:val="HeaderOdd"/>
          </w:pPr>
          <w:fldSimple w:instr=" STYLEREF  PortfolioName  \* MERGEFORMAT ">
            <w:r w:rsidR="00534409">
              <w:rPr>
                <w:noProof/>
              </w:rPr>
              <w:t>Prime Minister and Cabinet</w:t>
            </w:r>
          </w:fldSimple>
          <w:r w:rsidR="00603C41" w:rsidRPr="00D13BF9">
            <w:t xml:space="preserve">  |  </w:t>
          </w:r>
          <w:r w:rsidR="00603C41" w:rsidRPr="00C9389A">
            <w:rPr>
              <w:noProof/>
              <w:position w:val="-8"/>
            </w:rPr>
            <w:drawing>
              <wp:inline distT="0" distB="0" distL="0" distR="0" wp14:anchorId="51CC2C08" wp14:editId="20C22046">
                <wp:extent cx="878400" cy="198000"/>
                <wp:effectExtent l="0" t="0" r="0" b="0"/>
                <wp:docPr id="1508780652" name="Picture 15087806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164156" name="Picture 111016415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5808A1B6" w14:textId="5C223453" w:rsidR="00301E48" w:rsidRPr="00301E48" w:rsidRDefault="00301E48" w:rsidP="7F762F0D">
    <w:pPr>
      <w:pStyle w:val="HeaderOdd"/>
      <w:rPr>
        <w:position w:val="-10"/>
        <w:lang w:val="en-US"/>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523F6" w14:textId="28631970" w:rsidR="00301E48" w:rsidRDefault="00301E48" w:rsidP="00301E4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797FCD" w14:paraId="1081807A" w14:textId="77777777">
      <w:trPr>
        <w:trHeight w:hRule="exact" w:val="340"/>
      </w:trPr>
      <w:tc>
        <w:tcPr>
          <w:tcW w:w="7797" w:type="dxa"/>
        </w:tcPr>
        <w:p w14:paraId="3850D829" w14:textId="629C4287" w:rsidR="00797FCD" w:rsidRPr="008C56E1" w:rsidRDefault="00797FCD" w:rsidP="00797FCD">
          <w:pPr>
            <w:pStyle w:val="HeaderEven"/>
          </w:pPr>
          <w:r w:rsidRPr="008C56E1">
            <w:rPr>
              <w:noProof/>
              <w:position w:val="-8"/>
            </w:rPr>
            <w:drawing>
              <wp:inline distT="0" distB="0" distL="0" distR="0" wp14:anchorId="532A8B28" wp14:editId="7A14DB47">
                <wp:extent cx="874979" cy="198000"/>
                <wp:effectExtent l="0" t="0" r="1905" b="0"/>
                <wp:docPr id="1475064255" name="Picture 14750642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064255" name="Picture 147506425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fldSimple w:instr=" TITLE   \* MERGEFORMAT ">
            <w:r w:rsidR="005D499A">
              <w:t>Mid-Year Economic and Fiscal Outlook 2024–25</w:t>
            </w:r>
          </w:fldSimple>
        </w:p>
      </w:tc>
    </w:tr>
  </w:tbl>
  <w:p w14:paraId="6D895345" w14:textId="0C80922B" w:rsidR="00301E48" w:rsidRPr="00646000" w:rsidRDefault="00301E48" w:rsidP="00646000">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D70985" w:rsidRPr="008C56E1" w14:paraId="6253D931" w14:textId="77777777">
      <w:trPr>
        <w:trHeight w:hRule="exact" w:val="340"/>
      </w:trPr>
      <w:tc>
        <w:tcPr>
          <w:tcW w:w="7797" w:type="dxa"/>
        </w:tcPr>
        <w:p w14:paraId="28551002" w14:textId="3AA74176" w:rsidR="00D70985" w:rsidRPr="008C56E1" w:rsidRDefault="00D70985" w:rsidP="00D70985">
          <w:pPr>
            <w:pStyle w:val="HeaderEven"/>
          </w:pPr>
          <w:r w:rsidRPr="008C56E1">
            <w:rPr>
              <w:noProof/>
              <w:position w:val="-8"/>
            </w:rPr>
            <w:drawing>
              <wp:inline distT="0" distB="0" distL="0" distR="0" wp14:anchorId="45C01D0B" wp14:editId="37E7CD11">
                <wp:extent cx="874979" cy="198000"/>
                <wp:effectExtent l="0" t="0" r="1905" b="0"/>
                <wp:docPr id="345522307" name="Picture 3455223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522307" name="Picture 34552230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fldSimple w:instr=" TITLE   \* MERGEFORMAT ">
            <w:r w:rsidR="005D499A">
              <w:t>Mid-Year Economic and Fiscal Outlook 2024–25</w:t>
            </w:r>
          </w:fldSimple>
        </w:p>
      </w:tc>
    </w:tr>
  </w:tbl>
  <w:p w14:paraId="3AE344E6" w14:textId="2BA853D1" w:rsidR="00301E48" w:rsidRPr="00EF125D" w:rsidRDefault="00301E48" w:rsidP="00EF125D">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603C41" w14:paraId="7BFB273B" w14:textId="77777777">
      <w:trPr>
        <w:trHeight w:hRule="exact" w:val="340"/>
      </w:trPr>
      <w:tc>
        <w:tcPr>
          <w:tcW w:w="7797" w:type="dxa"/>
          <w:tcMar>
            <w:right w:w="85" w:type="dxa"/>
          </w:tcMar>
        </w:tcPr>
        <w:p w14:paraId="7FBFCBD2" w14:textId="133D9535" w:rsidR="00603C41" w:rsidRPr="00D13BF9" w:rsidRDefault="00000000" w:rsidP="00603C41">
          <w:pPr>
            <w:pStyle w:val="HeaderOdd"/>
          </w:pPr>
          <w:fldSimple w:instr=" STYLEREF  PortfolioName  \* MERGEFORMAT ">
            <w:r w:rsidR="00534409">
              <w:rPr>
                <w:noProof/>
              </w:rPr>
              <w:t>Social Services</w:t>
            </w:r>
          </w:fldSimple>
          <w:r w:rsidR="00603C41" w:rsidRPr="00D13BF9">
            <w:t xml:space="preserve">  |  </w:t>
          </w:r>
          <w:r w:rsidR="00603C41" w:rsidRPr="00C9389A">
            <w:rPr>
              <w:noProof/>
              <w:position w:val="-8"/>
            </w:rPr>
            <w:drawing>
              <wp:inline distT="0" distB="0" distL="0" distR="0" wp14:anchorId="6D1CEAA8" wp14:editId="09632259">
                <wp:extent cx="878400" cy="198000"/>
                <wp:effectExtent l="0" t="0" r="0" b="0"/>
                <wp:docPr id="1116807628" name="Picture 11168076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164156" name="Picture 111016415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431C23AF" w14:textId="082BB36D" w:rsidR="00301E48" w:rsidRPr="00301E48" w:rsidRDefault="00301E48" w:rsidP="7F762F0D">
    <w:pPr>
      <w:pStyle w:val="HeaderOdd"/>
      <w:rPr>
        <w:position w:val="-10"/>
        <w:lang w:val="en-US"/>
      </w:rP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991B1" w14:textId="4397E0E5" w:rsidR="00301E48" w:rsidRDefault="00301E48" w:rsidP="00301E48">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D70985" w:rsidRPr="008C56E1" w14:paraId="0631D8CC" w14:textId="77777777">
      <w:trPr>
        <w:trHeight w:hRule="exact" w:val="340"/>
      </w:trPr>
      <w:tc>
        <w:tcPr>
          <w:tcW w:w="7797" w:type="dxa"/>
        </w:tcPr>
        <w:p w14:paraId="0218A300" w14:textId="0FE5E698" w:rsidR="00D70985" w:rsidRPr="008C56E1" w:rsidRDefault="00D70985" w:rsidP="00D70985">
          <w:pPr>
            <w:pStyle w:val="HeaderEven"/>
          </w:pPr>
          <w:r w:rsidRPr="008C56E1">
            <w:rPr>
              <w:noProof/>
              <w:position w:val="-8"/>
            </w:rPr>
            <w:drawing>
              <wp:inline distT="0" distB="0" distL="0" distR="0" wp14:anchorId="4156BA84" wp14:editId="7F4F6EFC">
                <wp:extent cx="874979" cy="198000"/>
                <wp:effectExtent l="0" t="0" r="1905" b="0"/>
                <wp:docPr id="453750417" name="Picture 4537504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750417" name="Picture 45375041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fldSimple w:instr=" TITLE   \* MERGEFORMAT ">
            <w:r w:rsidR="005D499A">
              <w:t>Mid-Year Economic and Fiscal Outlook 2024–25</w:t>
            </w:r>
          </w:fldSimple>
        </w:p>
      </w:tc>
    </w:tr>
  </w:tbl>
  <w:p w14:paraId="07CD6F75" w14:textId="5E18A2B0" w:rsidR="00301E48" w:rsidRPr="00EF125D" w:rsidRDefault="00301E48" w:rsidP="00EF125D">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603C41" w14:paraId="278F36C3" w14:textId="77777777">
      <w:trPr>
        <w:trHeight w:hRule="exact" w:val="340"/>
      </w:trPr>
      <w:tc>
        <w:tcPr>
          <w:tcW w:w="7797" w:type="dxa"/>
          <w:tcMar>
            <w:right w:w="85" w:type="dxa"/>
          </w:tcMar>
        </w:tcPr>
        <w:p w14:paraId="5F99BA5C" w14:textId="410D7514" w:rsidR="00603C41" w:rsidRPr="00D13BF9" w:rsidRDefault="00000000" w:rsidP="00603C41">
          <w:pPr>
            <w:pStyle w:val="HeaderOdd"/>
          </w:pPr>
          <w:fldSimple w:instr=" STYLEREF  PortfolioName  \* MERGEFORMAT ">
            <w:r w:rsidR="00534409">
              <w:rPr>
                <w:noProof/>
              </w:rPr>
              <w:t>Treasury</w:t>
            </w:r>
          </w:fldSimple>
          <w:r w:rsidR="00603C41" w:rsidRPr="00D13BF9">
            <w:t xml:space="preserve">  |  </w:t>
          </w:r>
          <w:r w:rsidR="00603C41" w:rsidRPr="00C9389A">
            <w:rPr>
              <w:noProof/>
              <w:position w:val="-8"/>
            </w:rPr>
            <w:drawing>
              <wp:inline distT="0" distB="0" distL="0" distR="0" wp14:anchorId="3C349A6D" wp14:editId="49151B4B">
                <wp:extent cx="878400" cy="198000"/>
                <wp:effectExtent l="0" t="0" r="0" b="0"/>
                <wp:docPr id="2090944116" name="Picture 20909441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164156" name="Picture 111016415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1056EC07" w14:textId="19B0EBB0" w:rsidR="00301E48" w:rsidRPr="00301E48" w:rsidRDefault="00301E48" w:rsidP="7F762F0D">
    <w:pPr>
      <w:pStyle w:val="HeaderOdd"/>
      <w:rPr>
        <w:position w:val="-10"/>
        <w:lang w:val="en-US"/>
      </w:rP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F3473" w14:textId="1157F903" w:rsidR="00301E48" w:rsidRDefault="00301E48" w:rsidP="00301E4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198B7" w14:textId="361BBE62" w:rsidR="00301E48" w:rsidRPr="00301E48" w:rsidRDefault="7F762F0D" w:rsidP="7F762F0D">
    <w:pPr>
      <w:pStyle w:val="HeaderOdd"/>
      <w:rPr>
        <w:position w:val="-10"/>
        <w:lang w:val="en-US"/>
      </w:rPr>
    </w:pPr>
    <w:r w:rsidRPr="7F762F0D">
      <w:rPr>
        <w:lang w:val="en-US"/>
      </w:rPr>
      <w:t xml:space="preserve">Education  |  </w:t>
    </w:r>
    <w:r>
      <w:rPr>
        <w:noProof/>
      </w:rPr>
      <w:drawing>
        <wp:inline distT="0" distB="0" distL="0" distR="0" wp14:anchorId="5EE56162" wp14:editId="223C47A6">
          <wp:extent cx="906980" cy="174483"/>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06980" cy="174483"/>
                  </a:xfrm>
                  <a:prstGeom prst="rect">
                    <a:avLst/>
                  </a:prstGeom>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E9902" w14:textId="0A3B9AC5" w:rsidR="00301E48" w:rsidRDefault="00301E48" w:rsidP="00301E4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797FCD" w14:paraId="0A4AAF63" w14:textId="77777777">
      <w:trPr>
        <w:trHeight w:hRule="exact" w:val="340"/>
      </w:trPr>
      <w:tc>
        <w:tcPr>
          <w:tcW w:w="7797" w:type="dxa"/>
        </w:tcPr>
        <w:p w14:paraId="32733F28" w14:textId="694C6679" w:rsidR="00797FCD" w:rsidRPr="008C56E1" w:rsidRDefault="00797FCD" w:rsidP="00797FCD">
          <w:pPr>
            <w:pStyle w:val="HeaderEven"/>
          </w:pPr>
          <w:r w:rsidRPr="008C56E1">
            <w:rPr>
              <w:noProof/>
              <w:position w:val="-8"/>
            </w:rPr>
            <w:drawing>
              <wp:inline distT="0" distB="0" distL="0" distR="0" wp14:anchorId="6E3711E0" wp14:editId="010C90DF">
                <wp:extent cx="874979" cy="198000"/>
                <wp:effectExtent l="0" t="0" r="1905" b="0"/>
                <wp:docPr id="994899424" name="Picture 9948994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899424" name="Picture 99489942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fldSimple w:instr=" TITLE   \* MERGEFORMAT ">
            <w:r w:rsidR="005D499A">
              <w:t>Mid-Year Economic and Fiscal Outlook 2024–25</w:t>
            </w:r>
          </w:fldSimple>
        </w:p>
      </w:tc>
    </w:tr>
  </w:tbl>
  <w:p w14:paraId="3414008E" w14:textId="2E4DC682" w:rsidR="00301E48" w:rsidRPr="00EF125D" w:rsidRDefault="00301E48" w:rsidP="00EF1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D8E4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38F8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C8A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6C58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F4341E"/>
    <w:lvl w:ilvl="0">
      <w:start w:val="1"/>
      <w:numFmt w:val="bullet"/>
      <w:lvlText w:val=""/>
      <w:lvlJc w:val="left"/>
      <w:pPr>
        <w:tabs>
          <w:tab w:val="num" w:pos="1492"/>
        </w:tabs>
        <w:ind w:left="1492" w:hanging="360"/>
      </w:pPr>
      <w:rPr>
        <w:rFonts w:ascii="Book Antiqua" w:hAnsi="Book Antiqua" w:hint="default"/>
      </w:rPr>
    </w:lvl>
  </w:abstractNum>
  <w:abstractNum w:abstractNumId="5" w15:restartNumberingAfterBreak="0">
    <w:nsid w:val="FFFFFF81"/>
    <w:multiLevelType w:val="singleLevel"/>
    <w:tmpl w:val="637CFB36"/>
    <w:lvl w:ilvl="0">
      <w:start w:val="1"/>
      <w:numFmt w:val="bullet"/>
      <w:lvlText w:val=""/>
      <w:lvlJc w:val="left"/>
      <w:pPr>
        <w:tabs>
          <w:tab w:val="num" w:pos="1209"/>
        </w:tabs>
        <w:ind w:left="1209" w:hanging="360"/>
      </w:pPr>
      <w:rPr>
        <w:rFonts w:ascii="Book Antiqua" w:hAnsi="Book Antiqua" w:hint="default"/>
      </w:rPr>
    </w:lvl>
  </w:abstractNum>
  <w:abstractNum w:abstractNumId="6" w15:restartNumberingAfterBreak="0">
    <w:nsid w:val="FFFFFF82"/>
    <w:multiLevelType w:val="singleLevel"/>
    <w:tmpl w:val="70B68402"/>
    <w:lvl w:ilvl="0">
      <w:start w:val="1"/>
      <w:numFmt w:val="bullet"/>
      <w:lvlText w:val=""/>
      <w:lvlJc w:val="left"/>
      <w:pPr>
        <w:tabs>
          <w:tab w:val="num" w:pos="926"/>
        </w:tabs>
        <w:ind w:left="926" w:hanging="360"/>
      </w:pPr>
      <w:rPr>
        <w:rFonts w:ascii="Book Antiqua" w:hAnsi="Book Antiqua" w:hint="default"/>
      </w:rPr>
    </w:lvl>
  </w:abstractNum>
  <w:abstractNum w:abstractNumId="7" w15:restartNumberingAfterBreak="0">
    <w:nsid w:val="FFFFFF83"/>
    <w:multiLevelType w:val="singleLevel"/>
    <w:tmpl w:val="579423CC"/>
    <w:lvl w:ilvl="0">
      <w:start w:val="1"/>
      <w:numFmt w:val="bullet"/>
      <w:lvlText w:val=""/>
      <w:lvlJc w:val="left"/>
      <w:pPr>
        <w:tabs>
          <w:tab w:val="num" w:pos="643"/>
        </w:tabs>
        <w:ind w:left="643" w:hanging="360"/>
      </w:pPr>
      <w:rPr>
        <w:rFonts w:ascii="Book Antiqua" w:hAnsi="Book Antiqua" w:hint="default"/>
      </w:rPr>
    </w:lvl>
  </w:abstractNum>
  <w:abstractNum w:abstractNumId="8" w15:restartNumberingAfterBreak="0">
    <w:nsid w:val="FFFFFF88"/>
    <w:multiLevelType w:val="singleLevel"/>
    <w:tmpl w:val="6AE44E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4A5BDC"/>
    <w:lvl w:ilvl="0">
      <w:start w:val="1"/>
      <w:numFmt w:val="bullet"/>
      <w:lvlText w:val=""/>
      <w:lvlJc w:val="left"/>
      <w:pPr>
        <w:tabs>
          <w:tab w:val="num" w:pos="360"/>
        </w:tabs>
        <w:ind w:left="360" w:hanging="360"/>
      </w:pPr>
      <w:rPr>
        <w:rFonts w:ascii="Book Antiqua" w:hAnsi="Book Antiqua" w:hint="default"/>
      </w:rPr>
    </w:lvl>
  </w:abstractNum>
  <w:abstractNum w:abstractNumId="10" w15:restartNumberingAfterBreak="0">
    <w:nsid w:val="01775260"/>
    <w:multiLevelType w:val="multilevel"/>
    <w:tmpl w:val="26A27A84"/>
    <w:lvl w:ilvl="0">
      <w:start w:val="1"/>
      <w:numFmt w:val="bullet"/>
      <w:lvlRestart w:val="0"/>
      <w:lvlText w:val=""/>
      <w:lvlJc w:val="left"/>
      <w:pPr>
        <w:tabs>
          <w:tab w:val="num" w:pos="283"/>
        </w:tabs>
        <w:ind w:left="283" w:hanging="283"/>
      </w:pPr>
      <w:rPr>
        <w:rFonts w:ascii="Symbol" w:hAnsi="Symbol" w:hint="default"/>
        <w:sz w:val="16"/>
      </w:rPr>
    </w:lvl>
    <w:lvl w:ilvl="1">
      <w:start w:val="1"/>
      <w:numFmt w:val="bullet"/>
      <w:lvlText w:val="–"/>
      <w:lvlJc w:val="left"/>
      <w:pPr>
        <w:tabs>
          <w:tab w:val="num" w:pos="567"/>
        </w:tabs>
        <w:ind w:left="567" w:hanging="284"/>
      </w:pPr>
      <w:rPr>
        <w:rFonts w:ascii="Arial" w:hAnsi="Arial" w:cs="Arial"/>
      </w:rPr>
    </w:lvl>
    <w:lvl w:ilvl="2">
      <w:start w:val="1"/>
      <w:numFmt w:val="bullet"/>
      <w:lvlText w:val=":"/>
      <w:lvlJc w:val="left"/>
      <w:pPr>
        <w:tabs>
          <w:tab w:val="num" w:pos="850"/>
        </w:tabs>
        <w:ind w:left="850" w:hanging="283"/>
      </w:pPr>
      <w:rPr>
        <w:rFonts w:ascii="Arial" w:hAnsi="Arial" w:cs="Aria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5873012"/>
    <w:multiLevelType w:val="multilevel"/>
    <w:tmpl w:val="DD1E79DE"/>
    <w:lvl w:ilvl="0">
      <w:start w:val="1"/>
      <w:numFmt w:val="bullet"/>
      <w:lvlRestart w:val="0"/>
      <w:pStyle w:val="FootnoteBullet"/>
      <w:lvlText w:val="•"/>
      <w:lvlJc w:val="left"/>
      <w:pPr>
        <w:tabs>
          <w:tab w:val="num" w:pos="170"/>
        </w:tabs>
        <w:ind w:left="510" w:hanging="170"/>
      </w:pPr>
      <w:rPr>
        <w:rFonts w:ascii="Times New Roman" w:hAnsi="Times New Roman" w:cs="Times New Roman" w:hint="default"/>
        <w:b w:val="0"/>
        <w:i w:val="0"/>
        <w:color w:val="000000"/>
        <w:sz w:val="20"/>
      </w:rPr>
    </w:lvl>
    <w:lvl w:ilvl="1">
      <w:start w:val="1"/>
      <w:numFmt w:val="bullet"/>
      <w:lvlText w:val="–"/>
      <w:lvlJc w:val="left"/>
      <w:pPr>
        <w:tabs>
          <w:tab w:val="num" w:pos="510"/>
        </w:tabs>
        <w:ind w:left="510" w:hanging="284"/>
      </w:pPr>
      <w:rPr>
        <w:rFonts w:ascii="Times New Roman" w:hAnsi="Times New Roman" w:cs="Times New Roman" w:hint="default"/>
        <w:b w:val="0"/>
        <w:i w:val="0"/>
        <w:color w:val="000000"/>
      </w:rPr>
    </w:lvl>
    <w:lvl w:ilvl="2">
      <w:start w:val="1"/>
      <w:numFmt w:val="bullet"/>
      <w:lvlText w:val=":"/>
      <w:lvlJc w:val="left"/>
      <w:pPr>
        <w:tabs>
          <w:tab w:val="num" w:pos="793"/>
        </w:tabs>
        <w:ind w:left="793" w:hanging="283"/>
      </w:pPr>
      <w:rPr>
        <w:rFonts w:ascii="Times New Roman" w:hAnsi="Times New Roman" w:cs="Times New Roman" w:hint="default"/>
        <w:b w:val="0"/>
        <w:i w:val="0"/>
        <w:color w:val="000000"/>
      </w:rPr>
    </w:lvl>
    <w:lvl w:ilvl="3">
      <w:start w:val="1"/>
      <w:numFmt w:val="decimal"/>
      <w:lvlText w:val="%4"/>
      <w:lvlJc w:val="left"/>
      <w:pPr>
        <w:tabs>
          <w:tab w:val="num" w:pos="2211"/>
        </w:tabs>
        <w:ind w:left="2211" w:hanging="567"/>
      </w:pPr>
      <w:rPr>
        <w:rFonts w:ascii="Times New Roman" w:hAnsi="Times New Roman" w:cs="Times New Roman" w:hint="default"/>
        <w:b w:val="0"/>
        <w:i w:val="0"/>
        <w:color w:val="000000"/>
      </w:rPr>
    </w:lvl>
    <w:lvl w:ilvl="4">
      <w:start w:val="1"/>
      <w:numFmt w:val="decimal"/>
      <w:lvlText w:val="%5"/>
      <w:lvlJc w:val="left"/>
      <w:pPr>
        <w:tabs>
          <w:tab w:val="num" w:pos="2778"/>
        </w:tabs>
        <w:ind w:left="2778" w:hanging="567"/>
      </w:pPr>
      <w:rPr>
        <w:rFonts w:ascii="Times New Roman" w:hAnsi="Times New Roman" w:cs="Times New Roman" w:hint="default"/>
        <w:b w:val="0"/>
        <w:i w:val="0"/>
        <w:color w:val="000000"/>
      </w:rPr>
    </w:lvl>
    <w:lvl w:ilvl="5">
      <w:start w:val="1"/>
      <w:numFmt w:val="decimal"/>
      <w:lvlText w:val="%6"/>
      <w:lvlJc w:val="left"/>
      <w:pPr>
        <w:tabs>
          <w:tab w:val="num" w:pos="3345"/>
        </w:tabs>
        <w:ind w:left="3345" w:hanging="567"/>
      </w:pPr>
      <w:rPr>
        <w:rFonts w:ascii="Times New Roman" w:hAnsi="Times New Roman" w:cs="Times New Roman" w:hint="default"/>
        <w:b w:val="0"/>
        <w:i w:val="0"/>
        <w:color w:val="000000"/>
      </w:rPr>
    </w:lvl>
    <w:lvl w:ilvl="6">
      <w:start w:val="1"/>
      <w:numFmt w:val="decimal"/>
      <w:lvlText w:val="%7"/>
      <w:lvlJc w:val="left"/>
      <w:pPr>
        <w:tabs>
          <w:tab w:val="num" w:pos="3912"/>
        </w:tabs>
        <w:ind w:left="3912" w:hanging="567"/>
      </w:pPr>
      <w:rPr>
        <w:rFonts w:ascii="Times New Roman" w:hAnsi="Times New Roman" w:cs="Times New Roman" w:hint="default"/>
        <w:b w:val="0"/>
        <w:i w:val="0"/>
        <w:color w:val="000000"/>
      </w:rPr>
    </w:lvl>
    <w:lvl w:ilvl="7">
      <w:start w:val="1"/>
      <w:numFmt w:val="decimal"/>
      <w:lvlText w:val="%8"/>
      <w:lvlJc w:val="left"/>
      <w:pPr>
        <w:tabs>
          <w:tab w:val="num" w:pos="4479"/>
        </w:tabs>
        <w:ind w:left="4479" w:hanging="567"/>
      </w:pPr>
      <w:rPr>
        <w:rFonts w:ascii="Times New Roman" w:hAnsi="Times New Roman" w:cs="Times New Roman" w:hint="default"/>
        <w:b w:val="0"/>
        <w:i w:val="0"/>
        <w:color w:val="000000"/>
      </w:rPr>
    </w:lvl>
    <w:lvl w:ilvl="8">
      <w:start w:val="1"/>
      <w:numFmt w:val="decimal"/>
      <w:lvlText w:val="%9"/>
      <w:lvlJc w:val="left"/>
      <w:pPr>
        <w:tabs>
          <w:tab w:val="num" w:pos="5046"/>
        </w:tabs>
        <w:ind w:left="5046" w:hanging="567"/>
      </w:pPr>
      <w:rPr>
        <w:rFonts w:ascii="Times New Roman" w:hAnsi="Times New Roman" w:cs="Times New Roman" w:hint="default"/>
        <w:b w:val="0"/>
        <w:i w:val="0"/>
        <w:color w:val="000000"/>
      </w:rPr>
    </w:lvl>
  </w:abstractNum>
  <w:abstractNum w:abstractNumId="12" w15:restartNumberingAfterBreak="0">
    <w:nsid w:val="08747C41"/>
    <w:multiLevelType w:val="multilevel"/>
    <w:tmpl w:val="DB6444EE"/>
    <w:lvl w:ilvl="0">
      <w:start w:val="1"/>
      <w:numFmt w:val="bullet"/>
      <w:lvlRestart w:val="0"/>
      <w:pStyle w:val="Bullet"/>
      <w:lvlText w:val="•"/>
      <w:lvlJc w:val="left"/>
      <w:pPr>
        <w:tabs>
          <w:tab w:val="num" w:pos="283"/>
        </w:tabs>
        <w:ind w:left="283" w:hanging="283"/>
      </w:pPr>
      <w:rPr>
        <w:rFonts w:ascii="Times New Roman" w:hAnsi="Times New Roman" w:cs="Times New Roman"/>
        <w:b w:val="0"/>
        <w:i w:val="0"/>
        <w:color w:val="000000"/>
        <w:sz w:val="20"/>
      </w:rPr>
    </w:lvl>
    <w:lvl w:ilvl="1">
      <w:start w:val="1"/>
      <w:numFmt w:val="bullet"/>
      <w:pStyle w:val="Dash"/>
      <w:lvlText w:val="–"/>
      <w:lvlJc w:val="left"/>
      <w:pPr>
        <w:tabs>
          <w:tab w:val="num" w:pos="567"/>
        </w:tabs>
        <w:ind w:left="567" w:hanging="284"/>
      </w:pPr>
      <w:rPr>
        <w:rFonts w:ascii="Times New Roman" w:hAnsi="Times New Roman" w:cs="Times New Roman"/>
        <w:b w:val="0"/>
        <w:i w:val="0"/>
        <w:color w:val="000000"/>
      </w:rPr>
    </w:lvl>
    <w:lvl w:ilvl="2">
      <w:start w:val="1"/>
      <w:numFmt w:val="bullet"/>
      <w:pStyle w:val="DoubleDot"/>
      <w:lvlText w:val=":"/>
      <w:lvlJc w:val="left"/>
      <w:pPr>
        <w:tabs>
          <w:tab w:val="num" w:pos="850"/>
        </w:tabs>
        <w:ind w:left="850" w:hanging="283"/>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13" w15:restartNumberingAfterBreak="0">
    <w:nsid w:val="15FF79E4"/>
    <w:multiLevelType w:val="multilevel"/>
    <w:tmpl w:val="97FAD1C6"/>
    <w:lvl w:ilvl="0">
      <w:start w:val="1"/>
      <w:numFmt w:val="bullet"/>
      <w:lvlText w:val=""/>
      <w:lvlJc w:val="left"/>
      <w:pPr>
        <w:tabs>
          <w:tab w:val="num" w:pos="567"/>
        </w:tabs>
        <w:ind w:left="567" w:hanging="567"/>
      </w:pPr>
      <w:rPr>
        <w:rFonts w:ascii="Book Antiqua" w:hAnsi="Book Antiqua"/>
      </w:rPr>
    </w:lvl>
    <w:lvl w:ilvl="1">
      <w:start w:val="1"/>
      <w:numFmt w:val="bullet"/>
      <w:lvlText w:val="-"/>
      <w:lvlJc w:val="left"/>
      <w:pPr>
        <w:tabs>
          <w:tab w:val="num" w:pos="1134"/>
        </w:tabs>
        <w:ind w:left="1134" w:hanging="567"/>
      </w:pPr>
      <w:rPr>
        <w:rFonts w:ascii="Book Antiqua" w:hAnsi="Book Antiqua"/>
      </w:rPr>
    </w:lvl>
    <w:lvl w:ilvl="2">
      <w:start w:val="1"/>
      <w:numFmt w:val="bullet"/>
      <w:lvlText w:val=":"/>
      <w:lvlJc w:val="left"/>
      <w:pPr>
        <w:tabs>
          <w:tab w:val="num" w:pos="1701"/>
        </w:tabs>
        <w:ind w:left="1701" w:hanging="567"/>
      </w:pPr>
      <w:rPr>
        <w:rFonts w:ascii="Book Antiqua" w:hAnsi="Book Antiqua"/>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4" w15:restartNumberingAfterBreak="0">
    <w:nsid w:val="171F44F2"/>
    <w:multiLevelType w:val="singleLevel"/>
    <w:tmpl w:val="B9D0F448"/>
    <w:name w:val="AlphaChartTableFootnoteSmallList"/>
    <w:lvl w:ilvl="0">
      <w:start w:val="1"/>
      <w:numFmt w:val="lowerLetter"/>
      <w:lvlRestart w:val="0"/>
      <w:lvlText w:val="(%1)"/>
      <w:lvlJc w:val="left"/>
      <w:pPr>
        <w:tabs>
          <w:tab w:val="num" w:pos="283"/>
        </w:tabs>
        <w:ind w:left="283" w:hanging="283"/>
      </w:pPr>
      <w:rPr>
        <w:rFonts w:ascii="Arial" w:hAnsi="Arial"/>
        <w:sz w:val="15"/>
      </w:rPr>
    </w:lvl>
  </w:abstractNum>
  <w:abstractNum w:abstractNumId="15" w15:restartNumberingAfterBreak="0">
    <w:nsid w:val="3A5F1653"/>
    <w:multiLevelType w:val="multilevel"/>
    <w:tmpl w:val="655E41D0"/>
    <w:lvl w:ilvl="0">
      <w:start w:val="1"/>
      <w:numFmt w:val="bullet"/>
      <w:lvlRestart w:val="0"/>
      <w:lvlText w:val=""/>
      <w:lvlJc w:val="left"/>
      <w:pPr>
        <w:tabs>
          <w:tab w:val="num" w:pos="283"/>
        </w:tabs>
        <w:ind w:left="360" w:hanging="360"/>
      </w:pPr>
      <w:rPr>
        <w:rFonts w:ascii="Symbol" w:hAnsi="Symbol" w:hint="default"/>
        <w:sz w:val="16"/>
      </w:rPr>
    </w:lvl>
    <w:lvl w:ilvl="1">
      <w:start w:val="1"/>
      <w:numFmt w:val="bullet"/>
      <w:lvlText w:val="–"/>
      <w:lvlJc w:val="left"/>
      <w:pPr>
        <w:tabs>
          <w:tab w:val="num" w:pos="567"/>
        </w:tabs>
        <w:ind w:left="567" w:hanging="284"/>
      </w:pPr>
      <w:rPr>
        <w:rFonts w:ascii="Arial" w:hAnsi="Arial"/>
      </w:rPr>
    </w:lvl>
    <w:lvl w:ilvl="2">
      <w:start w:val="1"/>
      <w:numFmt w:val="bullet"/>
      <w:lvlText w:val=":"/>
      <w:lvlJc w:val="left"/>
      <w:pPr>
        <w:tabs>
          <w:tab w:val="num" w:pos="850"/>
        </w:tabs>
        <w:ind w:left="850" w:hanging="283"/>
      </w:pPr>
      <w:rPr>
        <w:rFonts w:ascii="Arial" w:hAnsi="Aria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8463CDB"/>
    <w:multiLevelType w:val="singleLevel"/>
    <w:tmpl w:val="C5525D34"/>
    <w:name w:val="AlphaChartTableFootnoteList"/>
    <w:lvl w:ilvl="0">
      <w:start w:val="1"/>
      <w:numFmt w:val="lowerLetter"/>
      <w:lvlRestart w:val="0"/>
      <w:lvlText w:val="(%1)"/>
      <w:lvlJc w:val="left"/>
      <w:pPr>
        <w:tabs>
          <w:tab w:val="num" w:pos="283"/>
        </w:tabs>
        <w:ind w:left="283" w:hanging="283"/>
      </w:pPr>
      <w:rPr>
        <w:rFonts w:ascii="Arial" w:hAnsi="Arial"/>
      </w:rPr>
    </w:lvl>
  </w:abstractNum>
  <w:abstractNum w:abstractNumId="17" w15:restartNumberingAfterBreak="0">
    <w:nsid w:val="66022277"/>
    <w:multiLevelType w:val="multilevel"/>
    <w:tmpl w:val="28F80116"/>
    <w:lvl w:ilvl="0">
      <w:start w:val="1"/>
      <w:numFmt w:val="lowerLetter"/>
      <w:pStyle w:val="ChartandTableFootnoteAlpha"/>
      <w:lvlText w:val="(%1)"/>
      <w:lvlJc w:val="left"/>
      <w:pPr>
        <w:ind w:left="360" w:hanging="360"/>
      </w:pPr>
      <w:rPr>
        <w:rFonts w:ascii="Arial" w:hAnsi="Aria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FD20A93"/>
    <w:multiLevelType w:val="singleLevel"/>
    <w:tmpl w:val="1B3897BC"/>
    <w:lvl w:ilvl="0">
      <w:start w:val="1"/>
      <w:numFmt w:val="lowerLetter"/>
      <w:lvlRestart w:val="0"/>
      <w:lvlText w:val="(%1)"/>
      <w:lvlJc w:val="left"/>
      <w:pPr>
        <w:tabs>
          <w:tab w:val="num" w:pos="283"/>
        </w:tabs>
        <w:ind w:left="283" w:hanging="283"/>
      </w:pPr>
      <w:rPr>
        <w:rFonts w:ascii="Arial" w:hAnsi="Arial"/>
        <w:sz w:val="15"/>
      </w:rPr>
    </w:lvl>
  </w:abstractNum>
  <w:abstractNum w:abstractNumId="19" w15:restartNumberingAfterBreak="0">
    <w:nsid w:val="72945F08"/>
    <w:multiLevelType w:val="multilevel"/>
    <w:tmpl w:val="EC6EED50"/>
    <w:lvl w:ilvl="0">
      <w:start w:val="1"/>
      <w:numFmt w:val="bullet"/>
      <w:lvlText w:val=""/>
      <w:lvlJc w:val="left"/>
      <w:pPr>
        <w:tabs>
          <w:tab w:val="num" w:pos="567"/>
        </w:tabs>
        <w:ind w:left="567" w:hanging="567"/>
      </w:pPr>
      <w:rPr>
        <w:rFonts w:ascii="Symbol" w:hAnsi="Symbol"/>
      </w:rPr>
    </w:lvl>
    <w:lvl w:ilvl="1">
      <w:start w:val="1"/>
      <w:numFmt w:val="bullet"/>
      <w:lvlText w:val="-"/>
      <w:lvlJc w:val="left"/>
      <w:pPr>
        <w:tabs>
          <w:tab w:val="num" w:pos="1134"/>
        </w:tabs>
        <w:ind w:left="1134" w:hanging="567"/>
      </w:pPr>
      <w:rPr>
        <w:rFonts w:ascii="Times New Roman" w:hAnsi="Times New Roman"/>
      </w:rPr>
    </w:lvl>
    <w:lvl w:ilvl="2">
      <w:start w:val="1"/>
      <w:numFmt w:val="bullet"/>
      <w:lvlText w:val=":"/>
      <w:lvlJc w:val="left"/>
      <w:pPr>
        <w:tabs>
          <w:tab w:val="num" w:pos="1701"/>
        </w:tabs>
        <w:ind w:left="1701" w:hanging="567"/>
      </w:pPr>
      <w:rPr>
        <w:rFonts w:ascii="Times New Roman" w:hAnsi="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FBF04E9"/>
    <w:multiLevelType w:val="multilevel"/>
    <w:tmpl w:val="97FAD1C6"/>
    <w:lvl w:ilvl="0">
      <w:start w:val="1"/>
      <w:numFmt w:val="bullet"/>
      <w:lvlText w:val=""/>
      <w:lvlJc w:val="left"/>
      <w:pPr>
        <w:tabs>
          <w:tab w:val="num" w:pos="567"/>
        </w:tabs>
        <w:ind w:left="567" w:hanging="567"/>
      </w:pPr>
      <w:rPr>
        <w:rFonts w:ascii="Book Antiqua" w:hAnsi="Book Antiqua"/>
      </w:rPr>
    </w:lvl>
    <w:lvl w:ilvl="1">
      <w:start w:val="1"/>
      <w:numFmt w:val="bullet"/>
      <w:lvlText w:val="-"/>
      <w:lvlJc w:val="left"/>
      <w:pPr>
        <w:tabs>
          <w:tab w:val="num" w:pos="1134"/>
        </w:tabs>
        <w:ind w:left="1134" w:hanging="567"/>
      </w:pPr>
      <w:rPr>
        <w:rFonts w:ascii="Book Antiqua" w:hAnsi="Book Antiqua"/>
      </w:rPr>
    </w:lvl>
    <w:lvl w:ilvl="2">
      <w:start w:val="1"/>
      <w:numFmt w:val="bullet"/>
      <w:lvlText w:val=":"/>
      <w:lvlJc w:val="left"/>
      <w:pPr>
        <w:tabs>
          <w:tab w:val="num" w:pos="1701"/>
        </w:tabs>
        <w:ind w:left="1701" w:hanging="567"/>
      </w:pPr>
      <w:rPr>
        <w:rFonts w:ascii="Book Antiqua" w:hAnsi="Book Antiqua"/>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num w:numId="1" w16cid:durableId="831487107">
    <w:abstractNumId w:val="15"/>
  </w:num>
  <w:num w:numId="2" w16cid:durableId="1164591888">
    <w:abstractNumId w:val="9"/>
  </w:num>
  <w:num w:numId="3" w16cid:durableId="822624490">
    <w:abstractNumId w:val="7"/>
  </w:num>
  <w:num w:numId="4" w16cid:durableId="75983693">
    <w:abstractNumId w:val="6"/>
  </w:num>
  <w:num w:numId="5" w16cid:durableId="735784625">
    <w:abstractNumId w:val="5"/>
  </w:num>
  <w:num w:numId="6" w16cid:durableId="1484273391">
    <w:abstractNumId w:val="4"/>
  </w:num>
  <w:num w:numId="7" w16cid:durableId="827748001">
    <w:abstractNumId w:val="8"/>
  </w:num>
  <w:num w:numId="8" w16cid:durableId="464395860">
    <w:abstractNumId w:val="3"/>
  </w:num>
  <w:num w:numId="9" w16cid:durableId="33778968">
    <w:abstractNumId w:val="2"/>
  </w:num>
  <w:num w:numId="10" w16cid:durableId="1416394997">
    <w:abstractNumId w:val="1"/>
  </w:num>
  <w:num w:numId="11" w16cid:durableId="1335184353">
    <w:abstractNumId w:val="0"/>
  </w:num>
  <w:num w:numId="12" w16cid:durableId="489180339">
    <w:abstractNumId w:val="13"/>
  </w:num>
  <w:num w:numId="13" w16cid:durableId="1177964267">
    <w:abstractNumId w:val="20"/>
  </w:num>
  <w:num w:numId="14" w16cid:durableId="1275139670">
    <w:abstractNumId w:val="16"/>
  </w:num>
  <w:num w:numId="15" w16cid:durableId="1045327788">
    <w:abstractNumId w:val="19"/>
  </w:num>
  <w:num w:numId="16" w16cid:durableId="546455157">
    <w:abstractNumId w:val="10"/>
  </w:num>
  <w:num w:numId="17" w16cid:durableId="1310789091">
    <w:abstractNumId w:val="10"/>
  </w:num>
  <w:num w:numId="18" w16cid:durableId="844056137">
    <w:abstractNumId w:val="10"/>
  </w:num>
  <w:num w:numId="19" w16cid:durableId="305597518">
    <w:abstractNumId w:val="10"/>
  </w:num>
  <w:num w:numId="20" w16cid:durableId="1822699379">
    <w:abstractNumId w:val="17"/>
  </w:num>
  <w:num w:numId="21" w16cid:durableId="2130513282">
    <w:abstractNumId w:val="14"/>
  </w:num>
  <w:num w:numId="22" w16cid:durableId="923029024">
    <w:abstractNumId w:val="18"/>
  </w:num>
  <w:num w:numId="23" w16cid:durableId="390689319">
    <w:abstractNumId w:val="15"/>
  </w:num>
  <w:num w:numId="24" w16cid:durableId="1306668004">
    <w:abstractNumId w:val="18"/>
  </w:num>
  <w:num w:numId="25" w16cid:durableId="2090273577">
    <w:abstractNumId w:val="15"/>
  </w:num>
  <w:num w:numId="26" w16cid:durableId="1959676257">
    <w:abstractNumId w:val="15"/>
  </w:num>
  <w:num w:numId="27" w16cid:durableId="739524896">
    <w:abstractNumId w:val="12"/>
  </w:num>
  <w:num w:numId="28" w16cid:durableId="423259795">
    <w:abstractNumId w:val="17"/>
  </w:num>
  <w:num w:numId="29" w16cid:durableId="364916051">
    <w:abstractNumId w:val="11"/>
  </w:num>
  <w:num w:numId="30" w16cid:durableId="733968849">
    <w:abstractNumId w:val="12"/>
  </w:num>
  <w:num w:numId="31" w16cid:durableId="1219702798">
    <w:abstractNumId w:val="17"/>
  </w:num>
  <w:num w:numId="32" w16cid:durableId="1070269991">
    <w:abstractNumId w:val="12"/>
  </w:num>
  <w:num w:numId="33" w16cid:durableId="125707874">
    <w:abstractNumId w:val="12"/>
  </w:num>
  <w:num w:numId="34" w16cid:durableId="466246025">
    <w:abstractNumId w:val="11"/>
  </w:num>
  <w:num w:numId="35" w16cid:durableId="1510486544">
    <w:abstractNumId w:val="12"/>
  </w:num>
  <w:num w:numId="36" w16cid:durableId="524902957">
    <w:abstractNumId w:val="17"/>
  </w:num>
  <w:num w:numId="37" w16cid:durableId="1041170798">
    <w:abstractNumId w:val="12"/>
  </w:num>
  <w:num w:numId="38" w16cid:durableId="1115828484">
    <w:abstractNumId w:val="12"/>
  </w:num>
  <w:num w:numId="39" w16cid:durableId="1166634113">
    <w:abstractNumId w:val="11"/>
  </w:num>
  <w:num w:numId="40" w16cid:durableId="13433186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Fmt w:val="lowerLetter"/>
    <w:numRestart w:val="eachSect"/>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BFA"/>
    <w:rsid w:val="00003965"/>
    <w:rsid w:val="00004960"/>
    <w:rsid w:val="00005CB1"/>
    <w:rsid w:val="00005EF2"/>
    <w:rsid w:val="0001071A"/>
    <w:rsid w:val="0001224F"/>
    <w:rsid w:val="00013027"/>
    <w:rsid w:val="000131D7"/>
    <w:rsid w:val="00014846"/>
    <w:rsid w:val="00015C91"/>
    <w:rsid w:val="00020228"/>
    <w:rsid w:val="00021C2D"/>
    <w:rsid w:val="00023788"/>
    <w:rsid w:val="0002386D"/>
    <w:rsid w:val="000249FD"/>
    <w:rsid w:val="00025A64"/>
    <w:rsid w:val="000268BB"/>
    <w:rsid w:val="000301A4"/>
    <w:rsid w:val="00035DCB"/>
    <w:rsid w:val="00037EAC"/>
    <w:rsid w:val="000450D3"/>
    <w:rsid w:val="000459A9"/>
    <w:rsid w:val="00046FC6"/>
    <w:rsid w:val="00051F3F"/>
    <w:rsid w:val="00053BF8"/>
    <w:rsid w:val="000653EF"/>
    <w:rsid w:val="000661CD"/>
    <w:rsid w:val="0006798F"/>
    <w:rsid w:val="0007132A"/>
    <w:rsid w:val="000716D2"/>
    <w:rsid w:val="000720DF"/>
    <w:rsid w:val="00073009"/>
    <w:rsid w:val="00074210"/>
    <w:rsid w:val="0007483F"/>
    <w:rsid w:val="00074931"/>
    <w:rsid w:val="0007493B"/>
    <w:rsid w:val="0007534A"/>
    <w:rsid w:val="00075563"/>
    <w:rsid w:val="00075B6C"/>
    <w:rsid w:val="0007611F"/>
    <w:rsid w:val="00076D78"/>
    <w:rsid w:val="000804CD"/>
    <w:rsid w:val="00082229"/>
    <w:rsid w:val="0008428C"/>
    <w:rsid w:val="0008563A"/>
    <w:rsid w:val="0008590F"/>
    <w:rsid w:val="00086BC0"/>
    <w:rsid w:val="00086E64"/>
    <w:rsid w:val="000872BC"/>
    <w:rsid w:val="000874D1"/>
    <w:rsid w:val="000920F9"/>
    <w:rsid w:val="00092B83"/>
    <w:rsid w:val="00093FDE"/>
    <w:rsid w:val="00094771"/>
    <w:rsid w:val="000967E3"/>
    <w:rsid w:val="00097184"/>
    <w:rsid w:val="0009718C"/>
    <w:rsid w:val="000A398E"/>
    <w:rsid w:val="000A429C"/>
    <w:rsid w:val="000A4ADA"/>
    <w:rsid w:val="000A4DBE"/>
    <w:rsid w:val="000A6553"/>
    <w:rsid w:val="000A6679"/>
    <w:rsid w:val="000A6F79"/>
    <w:rsid w:val="000B19E9"/>
    <w:rsid w:val="000B2292"/>
    <w:rsid w:val="000B35E6"/>
    <w:rsid w:val="000B46C8"/>
    <w:rsid w:val="000B563A"/>
    <w:rsid w:val="000B5EEE"/>
    <w:rsid w:val="000B5F29"/>
    <w:rsid w:val="000B64DE"/>
    <w:rsid w:val="000B6C89"/>
    <w:rsid w:val="000C0468"/>
    <w:rsid w:val="000C19AA"/>
    <w:rsid w:val="000C294D"/>
    <w:rsid w:val="000C2B6F"/>
    <w:rsid w:val="000C3E6C"/>
    <w:rsid w:val="000C7A47"/>
    <w:rsid w:val="000D0303"/>
    <w:rsid w:val="000D0644"/>
    <w:rsid w:val="000D0DD5"/>
    <w:rsid w:val="000D2B05"/>
    <w:rsid w:val="000D3235"/>
    <w:rsid w:val="000D55F7"/>
    <w:rsid w:val="000D6B27"/>
    <w:rsid w:val="000D710F"/>
    <w:rsid w:val="000E02E2"/>
    <w:rsid w:val="000E42A7"/>
    <w:rsid w:val="000E4823"/>
    <w:rsid w:val="000E558D"/>
    <w:rsid w:val="000E6B61"/>
    <w:rsid w:val="000E76C0"/>
    <w:rsid w:val="000F4289"/>
    <w:rsid w:val="000F434B"/>
    <w:rsid w:val="000F526A"/>
    <w:rsid w:val="000F545B"/>
    <w:rsid w:val="000F6C6D"/>
    <w:rsid w:val="0010026A"/>
    <w:rsid w:val="00100633"/>
    <w:rsid w:val="0010134A"/>
    <w:rsid w:val="001038AA"/>
    <w:rsid w:val="001039CC"/>
    <w:rsid w:val="00104D0D"/>
    <w:rsid w:val="00104FA4"/>
    <w:rsid w:val="001055B6"/>
    <w:rsid w:val="0010720A"/>
    <w:rsid w:val="00110E3A"/>
    <w:rsid w:val="001118A8"/>
    <w:rsid w:val="00111D42"/>
    <w:rsid w:val="00111FF8"/>
    <w:rsid w:val="00113647"/>
    <w:rsid w:val="00114661"/>
    <w:rsid w:val="001149DA"/>
    <w:rsid w:val="00115C73"/>
    <w:rsid w:val="00116FCE"/>
    <w:rsid w:val="00120A0F"/>
    <w:rsid w:val="001270AE"/>
    <w:rsid w:val="00130668"/>
    <w:rsid w:val="00131C8E"/>
    <w:rsid w:val="0013270D"/>
    <w:rsid w:val="00133F15"/>
    <w:rsid w:val="00136F67"/>
    <w:rsid w:val="001404F3"/>
    <w:rsid w:val="00140A6D"/>
    <w:rsid w:val="00142A5E"/>
    <w:rsid w:val="00143144"/>
    <w:rsid w:val="00145AD5"/>
    <w:rsid w:val="0014602D"/>
    <w:rsid w:val="00146C0D"/>
    <w:rsid w:val="00147A53"/>
    <w:rsid w:val="00151E07"/>
    <w:rsid w:val="00154BE3"/>
    <w:rsid w:val="00154E44"/>
    <w:rsid w:val="00163DAC"/>
    <w:rsid w:val="00164149"/>
    <w:rsid w:val="00164430"/>
    <w:rsid w:val="00164A13"/>
    <w:rsid w:val="0016509B"/>
    <w:rsid w:val="001656DB"/>
    <w:rsid w:val="0016595F"/>
    <w:rsid w:val="00166C7E"/>
    <w:rsid w:val="00170CDB"/>
    <w:rsid w:val="00171329"/>
    <w:rsid w:val="001713A3"/>
    <w:rsid w:val="00173E64"/>
    <w:rsid w:val="00175344"/>
    <w:rsid w:val="00175F57"/>
    <w:rsid w:val="00176F80"/>
    <w:rsid w:val="001773B0"/>
    <w:rsid w:val="00181789"/>
    <w:rsid w:val="001824CD"/>
    <w:rsid w:val="00184E92"/>
    <w:rsid w:val="00185B8B"/>
    <w:rsid w:val="00190193"/>
    <w:rsid w:val="00190950"/>
    <w:rsid w:val="00191DF1"/>
    <w:rsid w:val="001972F0"/>
    <w:rsid w:val="001A0FA8"/>
    <w:rsid w:val="001A19C5"/>
    <w:rsid w:val="001A20B2"/>
    <w:rsid w:val="001A2E25"/>
    <w:rsid w:val="001A47AD"/>
    <w:rsid w:val="001B0767"/>
    <w:rsid w:val="001B1978"/>
    <w:rsid w:val="001B1CFF"/>
    <w:rsid w:val="001B3587"/>
    <w:rsid w:val="001B36FD"/>
    <w:rsid w:val="001B3BF0"/>
    <w:rsid w:val="001B3F81"/>
    <w:rsid w:val="001B5E1D"/>
    <w:rsid w:val="001B7A7C"/>
    <w:rsid w:val="001C13C4"/>
    <w:rsid w:val="001C2678"/>
    <w:rsid w:val="001C2B93"/>
    <w:rsid w:val="001C3B76"/>
    <w:rsid w:val="001C3EEB"/>
    <w:rsid w:val="001C42A9"/>
    <w:rsid w:val="001C4303"/>
    <w:rsid w:val="001C4827"/>
    <w:rsid w:val="001C5D2B"/>
    <w:rsid w:val="001D2975"/>
    <w:rsid w:val="001D2A05"/>
    <w:rsid w:val="001D2EC4"/>
    <w:rsid w:val="001D5069"/>
    <w:rsid w:val="001D63B3"/>
    <w:rsid w:val="001D6A98"/>
    <w:rsid w:val="001E147E"/>
    <w:rsid w:val="001E451B"/>
    <w:rsid w:val="001E5BC3"/>
    <w:rsid w:val="001E6E0A"/>
    <w:rsid w:val="001E7331"/>
    <w:rsid w:val="001F10C0"/>
    <w:rsid w:val="001F16A2"/>
    <w:rsid w:val="001F2AB0"/>
    <w:rsid w:val="0020039B"/>
    <w:rsid w:val="00201FC3"/>
    <w:rsid w:val="00202CA3"/>
    <w:rsid w:val="00205632"/>
    <w:rsid w:val="00206047"/>
    <w:rsid w:val="002147BA"/>
    <w:rsid w:val="0021568E"/>
    <w:rsid w:val="00215A02"/>
    <w:rsid w:val="00224C05"/>
    <w:rsid w:val="0022710B"/>
    <w:rsid w:val="00227830"/>
    <w:rsid w:val="002317FD"/>
    <w:rsid w:val="00231F78"/>
    <w:rsid w:val="0023203D"/>
    <w:rsid w:val="00233091"/>
    <w:rsid w:val="00234717"/>
    <w:rsid w:val="0023484A"/>
    <w:rsid w:val="00236336"/>
    <w:rsid w:val="00237747"/>
    <w:rsid w:val="00237DFE"/>
    <w:rsid w:val="002400C8"/>
    <w:rsid w:val="00240ADF"/>
    <w:rsid w:val="00241C18"/>
    <w:rsid w:val="00244C59"/>
    <w:rsid w:val="00245C01"/>
    <w:rsid w:val="00247DEC"/>
    <w:rsid w:val="00250EAF"/>
    <w:rsid w:val="00254342"/>
    <w:rsid w:val="00256842"/>
    <w:rsid w:val="002613BD"/>
    <w:rsid w:val="0026339C"/>
    <w:rsid w:val="002634DD"/>
    <w:rsid w:val="00264E77"/>
    <w:rsid w:val="002668E2"/>
    <w:rsid w:val="00266A92"/>
    <w:rsid w:val="00266D05"/>
    <w:rsid w:val="00267507"/>
    <w:rsid w:val="00270ABA"/>
    <w:rsid w:val="00271EEA"/>
    <w:rsid w:val="00272394"/>
    <w:rsid w:val="00272FED"/>
    <w:rsid w:val="00275347"/>
    <w:rsid w:val="00275AC4"/>
    <w:rsid w:val="00277085"/>
    <w:rsid w:val="002809D1"/>
    <w:rsid w:val="00285371"/>
    <w:rsid w:val="00286F2F"/>
    <w:rsid w:val="00290055"/>
    <w:rsid w:val="0029024E"/>
    <w:rsid w:val="0029312C"/>
    <w:rsid w:val="002933E5"/>
    <w:rsid w:val="00294042"/>
    <w:rsid w:val="00295DA9"/>
    <w:rsid w:val="00297124"/>
    <w:rsid w:val="002A0382"/>
    <w:rsid w:val="002A345A"/>
    <w:rsid w:val="002A6159"/>
    <w:rsid w:val="002A7001"/>
    <w:rsid w:val="002A7AA5"/>
    <w:rsid w:val="002B0FA6"/>
    <w:rsid w:val="002B3704"/>
    <w:rsid w:val="002B513D"/>
    <w:rsid w:val="002B7754"/>
    <w:rsid w:val="002C1A34"/>
    <w:rsid w:val="002C298A"/>
    <w:rsid w:val="002C2EF2"/>
    <w:rsid w:val="002C36E4"/>
    <w:rsid w:val="002C379C"/>
    <w:rsid w:val="002C7351"/>
    <w:rsid w:val="002D3FA9"/>
    <w:rsid w:val="002D524A"/>
    <w:rsid w:val="002D64E5"/>
    <w:rsid w:val="002D7488"/>
    <w:rsid w:val="002E1344"/>
    <w:rsid w:val="002E2BE8"/>
    <w:rsid w:val="002E45CA"/>
    <w:rsid w:val="002E6D7C"/>
    <w:rsid w:val="002E7BCE"/>
    <w:rsid w:val="002F085F"/>
    <w:rsid w:val="002F3707"/>
    <w:rsid w:val="002F4C69"/>
    <w:rsid w:val="002F5566"/>
    <w:rsid w:val="002F71E6"/>
    <w:rsid w:val="002F784B"/>
    <w:rsid w:val="00300445"/>
    <w:rsid w:val="00301E48"/>
    <w:rsid w:val="00302D84"/>
    <w:rsid w:val="00311909"/>
    <w:rsid w:val="00312DDC"/>
    <w:rsid w:val="00314E8B"/>
    <w:rsid w:val="00316BA8"/>
    <w:rsid w:val="003179C1"/>
    <w:rsid w:val="003228A6"/>
    <w:rsid w:val="003248E2"/>
    <w:rsid w:val="003259C2"/>
    <w:rsid w:val="00327DB0"/>
    <w:rsid w:val="00330F86"/>
    <w:rsid w:val="0033109A"/>
    <w:rsid w:val="00331CE1"/>
    <w:rsid w:val="00333E74"/>
    <w:rsid w:val="003355DA"/>
    <w:rsid w:val="00335C0D"/>
    <w:rsid w:val="003367DD"/>
    <w:rsid w:val="003404FF"/>
    <w:rsid w:val="003408A7"/>
    <w:rsid w:val="00342343"/>
    <w:rsid w:val="003431CA"/>
    <w:rsid w:val="00343A91"/>
    <w:rsid w:val="00345EA9"/>
    <w:rsid w:val="003469EE"/>
    <w:rsid w:val="00351BCA"/>
    <w:rsid w:val="00355F53"/>
    <w:rsid w:val="0035783B"/>
    <w:rsid w:val="0036077C"/>
    <w:rsid w:val="00365C71"/>
    <w:rsid w:val="00365CB5"/>
    <w:rsid w:val="00365F4B"/>
    <w:rsid w:val="0036610C"/>
    <w:rsid w:val="00370012"/>
    <w:rsid w:val="00370027"/>
    <w:rsid w:val="003700BC"/>
    <w:rsid w:val="00371436"/>
    <w:rsid w:val="00371DE4"/>
    <w:rsid w:val="00373311"/>
    <w:rsid w:val="0037408A"/>
    <w:rsid w:val="00375605"/>
    <w:rsid w:val="00376CD6"/>
    <w:rsid w:val="00377C0F"/>
    <w:rsid w:val="00380A42"/>
    <w:rsid w:val="00383DCB"/>
    <w:rsid w:val="003904BF"/>
    <w:rsid w:val="003913A8"/>
    <w:rsid w:val="0039165B"/>
    <w:rsid w:val="0039267B"/>
    <w:rsid w:val="00392B83"/>
    <w:rsid w:val="0039383A"/>
    <w:rsid w:val="00393C80"/>
    <w:rsid w:val="00394E74"/>
    <w:rsid w:val="003965A7"/>
    <w:rsid w:val="00396E7C"/>
    <w:rsid w:val="003A1861"/>
    <w:rsid w:val="003A26CE"/>
    <w:rsid w:val="003A3940"/>
    <w:rsid w:val="003A768E"/>
    <w:rsid w:val="003B0DB8"/>
    <w:rsid w:val="003B27F3"/>
    <w:rsid w:val="003B2A37"/>
    <w:rsid w:val="003B392F"/>
    <w:rsid w:val="003B6D54"/>
    <w:rsid w:val="003B71A5"/>
    <w:rsid w:val="003C0060"/>
    <w:rsid w:val="003C16E8"/>
    <w:rsid w:val="003C23FE"/>
    <w:rsid w:val="003C3D95"/>
    <w:rsid w:val="003C4532"/>
    <w:rsid w:val="003C6FFA"/>
    <w:rsid w:val="003C761F"/>
    <w:rsid w:val="003D0218"/>
    <w:rsid w:val="003D0331"/>
    <w:rsid w:val="003D36AB"/>
    <w:rsid w:val="003D3DE2"/>
    <w:rsid w:val="003D561A"/>
    <w:rsid w:val="003D56B0"/>
    <w:rsid w:val="003D5E9D"/>
    <w:rsid w:val="003D61D9"/>
    <w:rsid w:val="003D6C52"/>
    <w:rsid w:val="003D6E26"/>
    <w:rsid w:val="003E16AB"/>
    <w:rsid w:val="003E2AEA"/>
    <w:rsid w:val="003E3654"/>
    <w:rsid w:val="003E3AF4"/>
    <w:rsid w:val="003E523B"/>
    <w:rsid w:val="003E537C"/>
    <w:rsid w:val="003E5D01"/>
    <w:rsid w:val="003F0A4C"/>
    <w:rsid w:val="003F0C4C"/>
    <w:rsid w:val="003F18F0"/>
    <w:rsid w:val="003F2DCC"/>
    <w:rsid w:val="003F5E39"/>
    <w:rsid w:val="003F64A2"/>
    <w:rsid w:val="003F6C65"/>
    <w:rsid w:val="003F722F"/>
    <w:rsid w:val="00401721"/>
    <w:rsid w:val="00402122"/>
    <w:rsid w:val="0040243F"/>
    <w:rsid w:val="00404658"/>
    <w:rsid w:val="00404AD8"/>
    <w:rsid w:val="004077E0"/>
    <w:rsid w:val="004101D6"/>
    <w:rsid w:val="00410D5D"/>
    <w:rsid w:val="004111C2"/>
    <w:rsid w:val="00411EAD"/>
    <w:rsid w:val="004147B7"/>
    <w:rsid w:val="00414835"/>
    <w:rsid w:val="0041540A"/>
    <w:rsid w:val="00415AFC"/>
    <w:rsid w:val="00416AF4"/>
    <w:rsid w:val="00416D84"/>
    <w:rsid w:val="00420E7D"/>
    <w:rsid w:val="00421F9C"/>
    <w:rsid w:val="0042769F"/>
    <w:rsid w:val="0043022E"/>
    <w:rsid w:val="00433063"/>
    <w:rsid w:val="004333EA"/>
    <w:rsid w:val="004340B5"/>
    <w:rsid w:val="004341FE"/>
    <w:rsid w:val="0043548F"/>
    <w:rsid w:val="004365E8"/>
    <w:rsid w:val="0043692C"/>
    <w:rsid w:val="00440002"/>
    <w:rsid w:val="0044113A"/>
    <w:rsid w:val="00450C6E"/>
    <w:rsid w:val="00451C38"/>
    <w:rsid w:val="004525F9"/>
    <w:rsid w:val="00454B10"/>
    <w:rsid w:val="00454CFB"/>
    <w:rsid w:val="00460419"/>
    <w:rsid w:val="0046623B"/>
    <w:rsid w:val="00466648"/>
    <w:rsid w:val="00470B3C"/>
    <w:rsid w:val="00470CA4"/>
    <w:rsid w:val="00470F23"/>
    <w:rsid w:val="004715C0"/>
    <w:rsid w:val="00471D8C"/>
    <w:rsid w:val="0047223A"/>
    <w:rsid w:val="00472B8A"/>
    <w:rsid w:val="0048115B"/>
    <w:rsid w:val="0048244C"/>
    <w:rsid w:val="00483200"/>
    <w:rsid w:val="0049046F"/>
    <w:rsid w:val="00490807"/>
    <w:rsid w:val="00490950"/>
    <w:rsid w:val="00492E5F"/>
    <w:rsid w:val="00492F71"/>
    <w:rsid w:val="00493083"/>
    <w:rsid w:val="0049375D"/>
    <w:rsid w:val="00493CD9"/>
    <w:rsid w:val="00495D39"/>
    <w:rsid w:val="00496C25"/>
    <w:rsid w:val="00496FA3"/>
    <w:rsid w:val="00497BA7"/>
    <w:rsid w:val="004A0CD6"/>
    <w:rsid w:val="004A108E"/>
    <w:rsid w:val="004A1D1A"/>
    <w:rsid w:val="004A2D82"/>
    <w:rsid w:val="004A3BFC"/>
    <w:rsid w:val="004A4CB5"/>
    <w:rsid w:val="004A578B"/>
    <w:rsid w:val="004A6FB8"/>
    <w:rsid w:val="004B0206"/>
    <w:rsid w:val="004B1FE1"/>
    <w:rsid w:val="004B2480"/>
    <w:rsid w:val="004B3E9E"/>
    <w:rsid w:val="004B5945"/>
    <w:rsid w:val="004B59BF"/>
    <w:rsid w:val="004B5DDB"/>
    <w:rsid w:val="004C0683"/>
    <w:rsid w:val="004C0CFF"/>
    <w:rsid w:val="004C2749"/>
    <w:rsid w:val="004C4C4F"/>
    <w:rsid w:val="004C52A2"/>
    <w:rsid w:val="004C75ED"/>
    <w:rsid w:val="004D1A3D"/>
    <w:rsid w:val="004D3D97"/>
    <w:rsid w:val="004D4292"/>
    <w:rsid w:val="004D462A"/>
    <w:rsid w:val="004D59D8"/>
    <w:rsid w:val="004D7213"/>
    <w:rsid w:val="004E2A45"/>
    <w:rsid w:val="004E2AEC"/>
    <w:rsid w:val="004E6765"/>
    <w:rsid w:val="004E678D"/>
    <w:rsid w:val="004F207A"/>
    <w:rsid w:val="004F3C35"/>
    <w:rsid w:val="004F65A0"/>
    <w:rsid w:val="004F696E"/>
    <w:rsid w:val="004F71CE"/>
    <w:rsid w:val="004F7C30"/>
    <w:rsid w:val="00500199"/>
    <w:rsid w:val="005023DF"/>
    <w:rsid w:val="005026BD"/>
    <w:rsid w:val="00504D7F"/>
    <w:rsid w:val="0050789B"/>
    <w:rsid w:val="005109E6"/>
    <w:rsid w:val="005119EC"/>
    <w:rsid w:val="0051233B"/>
    <w:rsid w:val="00513E73"/>
    <w:rsid w:val="005152B4"/>
    <w:rsid w:val="00515E38"/>
    <w:rsid w:val="00516210"/>
    <w:rsid w:val="00522577"/>
    <w:rsid w:val="005231CD"/>
    <w:rsid w:val="00524AD0"/>
    <w:rsid w:val="00525682"/>
    <w:rsid w:val="00526C88"/>
    <w:rsid w:val="005300FC"/>
    <w:rsid w:val="005312D6"/>
    <w:rsid w:val="0053178E"/>
    <w:rsid w:val="00532E6F"/>
    <w:rsid w:val="005340E6"/>
    <w:rsid w:val="00534409"/>
    <w:rsid w:val="00535B1B"/>
    <w:rsid w:val="00535DAB"/>
    <w:rsid w:val="00536D8F"/>
    <w:rsid w:val="00537051"/>
    <w:rsid w:val="00542F5A"/>
    <w:rsid w:val="00545068"/>
    <w:rsid w:val="00551BB4"/>
    <w:rsid w:val="0055212A"/>
    <w:rsid w:val="0055522D"/>
    <w:rsid w:val="0056111F"/>
    <w:rsid w:val="00562F54"/>
    <w:rsid w:val="00566E26"/>
    <w:rsid w:val="0057041B"/>
    <w:rsid w:val="00572460"/>
    <w:rsid w:val="005735B5"/>
    <w:rsid w:val="00573D06"/>
    <w:rsid w:val="00574C82"/>
    <w:rsid w:val="00575A9E"/>
    <w:rsid w:val="00577007"/>
    <w:rsid w:val="0057702D"/>
    <w:rsid w:val="00580CC3"/>
    <w:rsid w:val="0058281B"/>
    <w:rsid w:val="005828E9"/>
    <w:rsid w:val="00583BE5"/>
    <w:rsid w:val="0058440E"/>
    <w:rsid w:val="00584CAE"/>
    <w:rsid w:val="005856ED"/>
    <w:rsid w:val="00590C76"/>
    <w:rsid w:val="00592477"/>
    <w:rsid w:val="0059355A"/>
    <w:rsid w:val="00593D96"/>
    <w:rsid w:val="0059571E"/>
    <w:rsid w:val="00596DC0"/>
    <w:rsid w:val="005A0100"/>
    <w:rsid w:val="005A0111"/>
    <w:rsid w:val="005A0ADB"/>
    <w:rsid w:val="005A63E7"/>
    <w:rsid w:val="005A77E7"/>
    <w:rsid w:val="005A79FC"/>
    <w:rsid w:val="005B0190"/>
    <w:rsid w:val="005B4CAB"/>
    <w:rsid w:val="005B54CD"/>
    <w:rsid w:val="005B6F2F"/>
    <w:rsid w:val="005B7549"/>
    <w:rsid w:val="005C2850"/>
    <w:rsid w:val="005C34D0"/>
    <w:rsid w:val="005C5039"/>
    <w:rsid w:val="005D11F6"/>
    <w:rsid w:val="005D1C3E"/>
    <w:rsid w:val="005D3A7D"/>
    <w:rsid w:val="005D3D2D"/>
    <w:rsid w:val="005D3DDA"/>
    <w:rsid w:val="005D499A"/>
    <w:rsid w:val="005D4FA5"/>
    <w:rsid w:val="005D6E69"/>
    <w:rsid w:val="005D7E08"/>
    <w:rsid w:val="005E1705"/>
    <w:rsid w:val="005E1E75"/>
    <w:rsid w:val="005E2604"/>
    <w:rsid w:val="005E2E71"/>
    <w:rsid w:val="005E448B"/>
    <w:rsid w:val="005E535F"/>
    <w:rsid w:val="005E7DFE"/>
    <w:rsid w:val="005F0DFA"/>
    <w:rsid w:val="005F3968"/>
    <w:rsid w:val="005F57E8"/>
    <w:rsid w:val="005F7D94"/>
    <w:rsid w:val="0060082E"/>
    <w:rsid w:val="00601B90"/>
    <w:rsid w:val="00601FC3"/>
    <w:rsid w:val="0060272A"/>
    <w:rsid w:val="006031B8"/>
    <w:rsid w:val="006039F3"/>
    <w:rsid w:val="00603C41"/>
    <w:rsid w:val="006048FF"/>
    <w:rsid w:val="00606468"/>
    <w:rsid w:val="00607D7A"/>
    <w:rsid w:val="00612AB2"/>
    <w:rsid w:val="00615FE4"/>
    <w:rsid w:val="00616D6F"/>
    <w:rsid w:val="006174D4"/>
    <w:rsid w:val="0062348C"/>
    <w:rsid w:val="006253FC"/>
    <w:rsid w:val="0062584A"/>
    <w:rsid w:val="00625BA8"/>
    <w:rsid w:val="00626591"/>
    <w:rsid w:val="0062792B"/>
    <w:rsid w:val="00632AD3"/>
    <w:rsid w:val="00632E2D"/>
    <w:rsid w:val="006367CD"/>
    <w:rsid w:val="006372B1"/>
    <w:rsid w:val="0064125E"/>
    <w:rsid w:val="00641DC8"/>
    <w:rsid w:val="00641EAF"/>
    <w:rsid w:val="0064378C"/>
    <w:rsid w:val="006447AC"/>
    <w:rsid w:val="00646000"/>
    <w:rsid w:val="00653882"/>
    <w:rsid w:val="006555FC"/>
    <w:rsid w:val="00656210"/>
    <w:rsid w:val="00657384"/>
    <w:rsid w:val="00657488"/>
    <w:rsid w:val="00657E13"/>
    <w:rsid w:val="00660303"/>
    <w:rsid w:val="00660487"/>
    <w:rsid w:val="006629DF"/>
    <w:rsid w:val="00662DAF"/>
    <w:rsid w:val="0066756D"/>
    <w:rsid w:val="00670226"/>
    <w:rsid w:val="00670304"/>
    <w:rsid w:val="00673D5B"/>
    <w:rsid w:val="00674761"/>
    <w:rsid w:val="006753A8"/>
    <w:rsid w:val="006753EC"/>
    <w:rsid w:val="0067582B"/>
    <w:rsid w:val="00675A4B"/>
    <w:rsid w:val="00675C8B"/>
    <w:rsid w:val="00681188"/>
    <w:rsid w:val="00681A1F"/>
    <w:rsid w:val="006862D5"/>
    <w:rsid w:val="00686856"/>
    <w:rsid w:val="0068687C"/>
    <w:rsid w:val="00690522"/>
    <w:rsid w:val="00691E80"/>
    <w:rsid w:val="0069235A"/>
    <w:rsid w:val="00692681"/>
    <w:rsid w:val="0069277C"/>
    <w:rsid w:val="00692AAA"/>
    <w:rsid w:val="00692EB5"/>
    <w:rsid w:val="006954A5"/>
    <w:rsid w:val="00696674"/>
    <w:rsid w:val="00696809"/>
    <w:rsid w:val="006A3CBA"/>
    <w:rsid w:val="006A4011"/>
    <w:rsid w:val="006A492A"/>
    <w:rsid w:val="006A4979"/>
    <w:rsid w:val="006A69CC"/>
    <w:rsid w:val="006A6E09"/>
    <w:rsid w:val="006B219D"/>
    <w:rsid w:val="006B4F0A"/>
    <w:rsid w:val="006C1924"/>
    <w:rsid w:val="006C1E40"/>
    <w:rsid w:val="006C24EC"/>
    <w:rsid w:val="006C2BF5"/>
    <w:rsid w:val="006C35C8"/>
    <w:rsid w:val="006C3D6A"/>
    <w:rsid w:val="006C4451"/>
    <w:rsid w:val="006C4AE6"/>
    <w:rsid w:val="006C56EE"/>
    <w:rsid w:val="006C5EE3"/>
    <w:rsid w:val="006C6B1B"/>
    <w:rsid w:val="006D02D7"/>
    <w:rsid w:val="006D2F1C"/>
    <w:rsid w:val="006D45EE"/>
    <w:rsid w:val="006D6561"/>
    <w:rsid w:val="006D68AC"/>
    <w:rsid w:val="006D7CC2"/>
    <w:rsid w:val="006E0A94"/>
    <w:rsid w:val="006E0F81"/>
    <w:rsid w:val="006E1EF2"/>
    <w:rsid w:val="006E22A8"/>
    <w:rsid w:val="006E240A"/>
    <w:rsid w:val="006E2F83"/>
    <w:rsid w:val="006E36C4"/>
    <w:rsid w:val="006E37BF"/>
    <w:rsid w:val="006E56EB"/>
    <w:rsid w:val="006E632A"/>
    <w:rsid w:val="006E66B8"/>
    <w:rsid w:val="006F1880"/>
    <w:rsid w:val="006F26E8"/>
    <w:rsid w:val="006F39E4"/>
    <w:rsid w:val="006F4200"/>
    <w:rsid w:val="006F4B98"/>
    <w:rsid w:val="006F7108"/>
    <w:rsid w:val="006F7762"/>
    <w:rsid w:val="006F7F6E"/>
    <w:rsid w:val="007001E6"/>
    <w:rsid w:val="0070115F"/>
    <w:rsid w:val="007034CA"/>
    <w:rsid w:val="00705E65"/>
    <w:rsid w:val="007102D4"/>
    <w:rsid w:val="0071044D"/>
    <w:rsid w:val="00710F2D"/>
    <w:rsid w:val="00711917"/>
    <w:rsid w:val="007124E8"/>
    <w:rsid w:val="00712C74"/>
    <w:rsid w:val="00720D23"/>
    <w:rsid w:val="0072316B"/>
    <w:rsid w:val="00725929"/>
    <w:rsid w:val="00725A46"/>
    <w:rsid w:val="00725FF7"/>
    <w:rsid w:val="00726412"/>
    <w:rsid w:val="0072757F"/>
    <w:rsid w:val="00731A3E"/>
    <w:rsid w:val="0073394C"/>
    <w:rsid w:val="007354ED"/>
    <w:rsid w:val="00740F43"/>
    <w:rsid w:val="0074161D"/>
    <w:rsid w:val="00745D5C"/>
    <w:rsid w:val="007468F5"/>
    <w:rsid w:val="0074712C"/>
    <w:rsid w:val="00752B06"/>
    <w:rsid w:val="00754A8B"/>
    <w:rsid w:val="00757437"/>
    <w:rsid w:val="007603AD"/>
    <w:rsid w:val="00760520"/>
    <w:rsid w:val="00761C1C"/>
    <w:rsid w:val="00763928"/>
    <w:rsid w:val="00766394"/>
    <w:rsid w:val="00771953"/>
    <w:rsid w:val="00771BD5"/>
    <w:rsid w:val="007721BF"/>
    <w:rsid w:val="007721CA"/>
    <w:rsid w:val="00772ADC"/>
    <w:rsid w:val="007754DD"/>
    <w:rsid w:val="00776B6E"/>
    <w:rsid w:val="00777252"/>
    <w:rsid w:val="00780D71"/>
    <w:rsid w:val="00782584"/>
    <w:rsid w:val="00785050"/>
    <w:rsid w:val="00785211"/>
    <w:rsid w:val="007852FC"/>
    <w:rsid w:val="00785935"/>
    <w:rsid w:val="00790374"/>
    <w:rsid w:val="0079109A"/>
    <w:rsid w:val="00793438"/>
    <w:rsid w:val="0079368A"/>
    <w:rsid w:val="00796C01"/>
    <w:rsid w:val="00797E52"/>
    <w:rsid w:val="00797FCD"/>
    <w:rsid w:val="007A15E0"/>
    <w:rsid w:val="007A66DA"/>
    <w:rsid w:val="007A6F10"/>
    <w:rsid w:val="007A7148"/>
    <w:rsid w:val="007A7B4C"/>
    <w:rsid w:val="007B0040"/>
    <w:rsid w:val="007B2F61"/>
    <w:rsid w:val="007B3095"/>
    <w:rsid w:val="007B3B08"/>
    <w:rsid w:val="007B5092"/>
    <w:rsid w:val="007B550E"/>
    <w:rsid w:val="007B5E30"/>
    <w:rsid w:val="007B6D17"/>
    <w:rsid w:val="007C06B9"/>
    <w:rsid w:val="007C0C80"/>
    <w:rsid w:val="007C1246"/>
    <w:rsid w:val="007C2B09"/>
    <w:rsid w:val="007C2B0A"/>
    <w:rsid w:val="007C31FA"/>
    <w:rsid w:val="007C471B"/>
    <w:rsid w:val="007C76FA"/>
    <w:rsid w:val="007D2E14"/>
    <w:rsid w:val="007D3958"/>
    <w:rsid w:val="007D4C4A"/>
    <w:rsid w:val="007D5CDA"/>
    <w:rsid w:val="007D6742"/>
    <w:rsid w:val="007D783B"/>
    <w:rsid w:val="007E058C"/>
    <w:rsid w:val="007E185F"/>
    <w:rsid w:val="007E1B3E"/>
    <w:rsid w:val="007E470A"/>
    <w:rsid w:val="007E6B94"/>
    <w:rsid w:val="007E7A48"/>
    <w:rsid w:val="007F1078"/>
    <w:rsid w:val="007F27A2"/>
    <w:rsid w:val="007F2E40"/>
    <w:rsid w:val="007F3B86"/>
    <w:rsid w:val="007F3F10"/>
    <w:rsid w:val="007F55BE"/>
    <w:rsid w:val="007F6ACA"/>
    <w:rsid w:val="00802FF3"/>
    <w:rsid w:val="008045FF"/>
    <w:rsid w:val="00804F23"/>
    <w:rsid w:val="00805367"/>
    <w:rsid w:val="0080680A"/>
    <w:rsid w:val="00806A46"/>
    <w:rsid w:val="00813629"/>
    <w:rsid w:val="00813815"/>
    <w:rsid w:val="00813DCF"/>
    <w:rsid w:val="0081530C"/>
    <w:rsid w:val="00815AE4"/>
    <w:rsid w:val="00815E79"/>
    <w:rsid w:val="008208BC"/>
    <w:rsid w:val="0082091C"/>
    <w:rsid w:val="00820D31"/>
    <w:rsid w:val="00821E14"/>
    <w:rsid w:val="00826790"/>
    <w:rsid w:val="00826C38"/>
    <w:rsid w:val="008277C6"/>
    <w:rsid w:val="0083265E"/>
    <w:rsid w:val="008340A1"/>
    <w:rsid w:val="00836991"/>
    <w:rsid w:val="00840B04"/>
    <w:rsid w:val="008411FD"/>
    <w:rsid w:val="008426BD"/>
    <w:rsid w:val="00842A96"/>
    <w:rsid w:val="008442E0"/>
    <w:rsid w:val="00846465"/>
    <w:rsid w:val="00847D7D"/>
    <w:rsid w:val="00850865"/>
    <w:rsid w:val="00851412"/>
    <w:rsid w:val="00852DA6"/>
    <w:rsid w:val="00853070"/>
    <w:rsid w:val="0085385F"/>
    <w:rsid w:val="00853FAB"/>
    <w:rsid w:val="00855388"/>
    <w:rsid w:val="008564A6"/>
    <w:rsid w:val="00857672"/>
    <w:rsid w:val="008615E5"/>
    <w:rsid w:val="0086173C"/>
    <w:rsid w:val="00861856"/>
    <w:rsid w:val="0086273F"/>
    <w:rsid w:val="0086274E"/>
    <w:rsid w:val="008636DD"/>
    <w:rsid w:val="00863A1E"/>
    <w:rsid w:val="00863BBD"/>
    <w:rsid w:val="008647DA"/>
    <w:rsid w:val="008657C6"/>
    <w:rsid w:val="008659E5"/>
    <w:rsid w:val="00866D39"/>
    <w:rsid w:val="00867239"/>
    <w:rsid w:val="00867551"/>
    <w:rsid w:val="0087506E"/>
    <w:rsid w:val="00880A21"/>
    <w:rsid w:val="00882BA1"/>
    <w:rsid w:val="00882DB9"/>
    <w:rsid w:val="008845B2"/>
    <w:rsid w:val="008850C0"/>
    <w:rsid w:val="00887ED4"/>
    <w:rsid w:val="00892CAE"/>
    <w:rsid w:val="00893715"/>
    <w:rsid w:val="0089571D"/>
    <w:rsid w:val="00896B8D"/>
    <w:rsid w:val="008974B0"/>
    <w:rsid w:val="008A072B"/>
    <w:rsid w:val="008A1BB8"/>
    <w:rsid w:val="008A2A18"/>
    <w:rsid w:val="008A2A59"/>
    <w:rsid w:val="008A2ECA"/>
    <w:rsid w:val="008A322A"/>
    <w:rsid w:val="008B1BCF"/>
    <w:rsid w:val="008B26BF"/>
    <w:rsid w:val="008B45E1"/>
    <w:rsid w:val="008B4A64"/>
    <w:rsid w:val="008B543A"/>
    <w:rsid w:val="008B5F08"/>
    <w:rsid w:val="008B7D95"/>
    <w:rsid w:val="008C007F"/>
    <w:rsid w:val="008C472C"/>
    <w:rsid w:val="008C51D7"/>
    <w:rsid w:val="008C626D"/>
    <w:rsid w:val="008C641C"/>
    <w:rsid w:val="008C64A3"/>
    <w:rsid w:val="008C6645"/>
    <w:rsid w:val="008D36CA"/>
    <w:rsid w:val="008D5DC4"/>
    <w:rsid w:val="008D7952"/>
    <w:rsid w:val="008E0191"/>
    <w:rsid w:val="008E098C"/>
    <w:rsid w:val="008E117C"/>
    <w:rsid w:val="008E48F1"/>
    <w:rsid w:val="008E5520"/>
    <w:rsid w:val="008E7C9C"/>
    <w:rsid w:val="008F1C9E"/>
    <w:rsid w:val="008F1DF2"/>
    <w:rsid w:val="008F1F2C"/>
    <w:rsid w:val="00900C1D"/>
    <w:rsid w:val="0090188A"/>
    <w:rsid w:val="0090317C"/>
    <w:rsid w:val="009037E5"/>
    <w:rsid w:val="00904A7F"/>
    <w:rsid w:val="00905921"/>
    <w:rsid w:val="009075DB"/>
    <w:rsid w:val="00907810"/>
    <w:rsid w:val="009102E8"/>
    <w:rsid w:val="00910891"/>
    <w:rsid w:val="0091338B"/>
    <w:rsid w:val="00913CC8"/>
    <w:rsid w:val="00915315"/>
    <w:rsid w:val="009157B8"/>
    <w:rsid w:val="009163F5"/>
    <w:rsid w:val="00917632"/>
    <w:rsid w:val="00920430"/>
    <w:rsid w:val="009239CE"/>
    <w:rsid w:val="009242B6"/>
    <w:rsid w:val="009245D1"/>
    <w:rsid w:val="00924D9D"/>
    <w:rsid w:val="00926597"/>
    <w:rsid w:val="009269E8"/>
    <w:rsid w:val="009327F1"/>
    <w:rsid w:val="0093342F"/>
    <w:rsid w:val="00933E29"/>
    <w:rsid w:val="00934D8B"/>
    <w:rsid w:val="00935809"/>
    <w:rsid w:val="00935CE6"/>
    <w:rsid w:val="00940589"/>
    <w:rsid w:val="00940A88"/>
    <w:rsid w:val="00941713"/>
    <w:rsid w:val="00942D7F"/>
    <w:rsid w:val="009449EC"/>
    <w:rsid w:val="009454F7"/>
    <w:rsid w:val="00945853"/>
    <w:rsid w:val="0094589B"/>
    <w:rsid w:val="00945F4E"/>
    <w:rsid w:val="0094617F"/>
    <w:rsid w:val="00946F45"/>
    <w:rsid w:val="009470A1"/>
    <w:rsid w:val="00951499"/>
    <w:rsid w:val="0095158F"/>
    <w:rsid w:val="00953477"/>
    <w:rsid w:val="00954441"/>
    <w:rsid w:val="00955709"/>
    <w:rsid w:val="00955AE6"/>
    <w:rsid w:val="00960327"/>
    <w:rsid w:val="00960E84"/>
    <w:rsid w:val="00961D20"/>
    <w:rsid w:val="00961FCE"/>
    <w:rsid w:val="0096317C"/>
    <w:rsid w:val="0096452E"/>
    <w:rsid w:val="00967153"/>
    <w:rsid w:val="009717EF"/>
    <w:rsid w:val="009718DA"/>
    <w:rsid w:val="00972097"/>
    <w:rsid w:val="00973F83"/>
    <w:rsid w:val="009760EB"/>
    <w:rsid w:val="009773A3"/>
    <w:rsid w:val="00977806"/>
    <w:rsid w:val="0098111B"/>
    <w:rsid w:val="009837EF"/>
    <w:rsid w:val="00984C1B"/>
    <w:rsid w:val="00985FBD"/>
    <w:rsid w:val="00986508"/>
    <w:rsid w:val="009907B2"/>
    <w:rsid w:val="00991205"/>
    <w:rsid w:val="00991410"/>
    <w:rsid w:val="00991467"/>
    <w:rsid w:val="00992713"/>
    <w:rsid w:val="00992726"/>
    <w:rsid w:val="0099272C"/>
    <w:rsid w:val="0099499D"/>
    <w:rsid w:val="00994DDF"/>
    <w:rsid w:val="00994ED8"/>
    <w:rsid w:val="009961CC"/>
    <w:rsid w:val="009A0DE0"/>
    <w:rsid w:val="009A1369"/>
    <w:rsid w:val="009A1682"/>
    <w:rsid w:val="009A2B54"/>
    <w:rsid w:val="009A411E"/>
    <w:rsid w:val="009A52DB"/>
    <w:rsid w:val="009A5C90"/>
    <w:rsid w:val="009B1556"/>
    <w:rsid w:val="009B1A9E"/>
    <w:rsid w:val="009B399B"/>
    <w:rsid w:val="009B3D15"/>
    <w:rsid w:val="009B3DCE"/>
    <w:rsid w:val="009B4581"/>
    <w:rsid w:val="009B4CA9"/>
    <w:rsid w:val="009B508A"/>
    <w:rsid w:val="009B6FAC"/>
    <w:rsid w:val="009B73A5"/>
    <w:rsid w:val="009B7792"/>
    <w:rsid w:val="009B7A71"/>
    <w:rsid w:val="009B7BBA"/>
    <w:rsid w:val="009C04A9"/>
    <w:rsid w:val="009C1E26"/>
    <w:rsid w:val="009C39A7"/>
    <w:rsid w:val="009C64AB"/>
    <w:rsid w:val="009C7C86"/>
    <w:rsid w:val="009D050B"/>
    <w:rsid w:val="009D1CCC"/>
    <w:rsid w:val="009D23D1"/>
    <w:rsid w:val="009D23F6"/>
    <w:rsid w:val="009D31C8"/>
    <w:rsid w:val="009D4656"/>
    <w:rsid w:val="009D5FCA"/>
    <w:rsid w:val="009E1D59"/>
    <w:rsid w:val="009E3647"/>
    <w:rsid w:val="009E3AEC"/>
    <w:rsid w:val="009E3D03"/>
    <w:rsid w:val="009E40CB"/>
    <w:rsid w:val="009E46E7"/>
    <w:rsid w:val="009E4741"/>
    <w:rsid w:val="009E48AA"/>
    <w:rsid w:val="009F2F70"/>
    <w:rsid w:val="009F355A"/>
    <w:rsid w:val="009F634E"/>
    <w:rsid w:val="00A01F05"/>
    <w:rsid w:val="00A0526F"/>
    <w:rsid w:val="00A06141"/>
    <w:rsid w:val="00A06AAF"/>
    <w:rsid w:val="00A06EF9"/>
    <w:rsid w:val="00A078FF"/>
    <w:rsid w:val="00A10C98"/>
    <w:rsid w:val="00A1457D"/>
    <w:rsid w:val="00A163FB"/>
    <w:rsid w:val="00A17DCE"/>
    <w:rsid w:val="00A20A9C"/>
    <w:rsid w:val="00A20F82"/>
    <w:rsid w:val="00A219E1"/>
    <w:rsid w:val="00A22D75"/>
    <w:rsid w:val="00A2344F"/>
    <w:rsid w:val="00A24E28"/>
    <w:rsid w:val="00A25427"/>
    <w:rsid w:val="00A257E4"/>
    <w:rsid w:val="00A266B3"/>
    <w:rsid w:val="00A2773A"/>
    <w:rsid w:val="00A320F8"/>
    <w:rsid w:val="00A336ED"/>
    <w:rsid w:val="00A371F8"/>
    <w:rsid w:val="00A3774E"/>
    <w:rsid w:val="00A40591"/>
    <w:rsid w:val="00A41213"/>
    <w:rsid w:val="00A4529C"/>
    <w:rsid w:val="00A45D38"/>
    <w:rsid w:val="00A47106"/>
    <w:rsid w:val="00A51754"/>
    <w:rsid w:val="00A5265F"/>
    <w:rsid w:val="00A55B87"/>
    <w:rsid w:val="00A570A1"/>
    <w:rsid w:val="00A60689"/>
    <w:rsid w:val="00A61568"/>
    <w:rsid w:val="00A63E5D"/>
    <w:rsid w:val="00A65105"/>
    <w:rsid w:val="00A663FD"/>
    <w:rsid w:val="00A6738E"/>
    <w:rsid w:val="00A7128F"/>
    <w:rsid w:val="00A71B77"/>
    <w:rsid w:val="00A72877"/>
    <w:rsid w:val="00A72EAA"/>
    <w:rsid w:val="00A7462F"/>
    <w:rsid w:val="00A747B9"/>
    <w:rsid w:val="00A75AD4"/>
    <w:rsid w:val="00A75F7C"/>
    <w:rsid w:val="00A777D1"/>
    <w:rsid w:val="00A81D73"/>
    <w:rsid w:val="00A83624"/>
    <w:rsid w:val="00A848E5"/>
    <w:rsid w:val="00A868B8"/>
    <w:rsid w:val="00A90A41"/>
    <w:rsid w:val="00A91021"/>
    <w:rsid w:val="00A91B7A"/>
    <w:rsid w:val="00A92C7C"/>
    <w:rsid w:val="00A96679"/>
    <w:rsid w:val="00A96C98"/>
    <w:rsid w:val="00AA13E3"/>
    <w:rsid w:val="00AA1D77"/>
    <w:rsid w:val="00AA41FE"/>
    <w:rsid w:val="00AA7C76"/>
    <w:rsid w:val="00AB1066"/>
    <w:rsid w:val="00AB16F4"/>
    <w:rsid w:val="00AB268F"/>
    <w:rsid w:val="00AB2A62"/>
    <w:rsid w:val="00AB2AA9"/>
    <w:rsid w:val="00AB421C"/>
    <w:rsid w:val="00AC19B7"/>
    <w:rsid w:val="00AC58DD"/>
    <w:rsid w:val="00AC6EE1"/>
    <w:rsid w:val="00AD0810"/>
    <w:rsid w:val="00AD1161"/>
    <w:rsid w:val="00AD267A"/>
    <w:rsid w:val="00AD28F0"/>
    <w:rsid w:val="00AD47EE"/>
    <w:rsid w:val="00AD5935"/>
    <w:rsid w:val="00AD6C25"/>
    <w:rsid w:val="00AE102C"/>
    <w:rsid w:val="00AE29FF"/>
    <w:rsid w:val="00AE36E8"/>
    <w:rsid w:val="00AE4238"/>
    <w:rsid w:val="00AE453B"/>
    <w:rsid w:val="00AF0685"/>
    <w:rsid w:val="00AF354D"/>
    <w:rsid w:val="00AF37C9"/>
    <w:rsid w:val="00AF39AE"/>
    <w:rsid w:val="00AF3A71"/>
    <w:rsid w:val="00AF478C"/>
    <w:rsid w:val="00AF74CA"/>
    <w:rsid w:val="00B01FA1"/>
    <w:rsid w:val="00B03263"/>
    <w:rsid w:val="00B05CF8"/>
    <w:rsid w:val="00B07031"/>
    <w:rsid w:val="00B14E35"/>
    <w:rsid w:val="00B15BF1"/>
    <w:rsid w:val="00B15EB2"/>
    <w:rsid w:val="00B16915"/>
    <w:rsid w:val="00B172AC"/>
    <w:rsid w:val="00B173ED"/>
    <w:rsid w:val="00B17C50"/>
    <w:rsid w:val="00B17FD9"/>
    <w:rsid w:val="00B228DC"/>
    <w:rsid w:val="00B244AB"/>
    <w:rsid w:val="00B251E7"/>
    <w:rsid w:val="00B26478"/>
    <w:rsid w:val="00B264AE"/>
    <w:rsid w:val="00B30898"/>
    <w:rsid w:val="00B31161"/>
    <w:rsid w:val="00B31777"/>
    <w:rsid w:val="00B318A9"/>
    <w:rsid w:val="00B332B9"/>
    <w:rsid w:val="00B3500F"/>
    <w:rsid w:val="00B41888"/>
    <w:rsid w:val="00B4389D"/>
    <w:rsid w:val="00B449D0"/>
    <w:rsid w:val="00B44DA2"/>
    <w:rsid w:val="00B45C4E"/>
    <w:rsid w:val="00B479F3"/>
    <w:rsid w:val="00B5181A"/>
    <w:rsid w:val="00B52B53"/>
    <w:rsid w:val="00B535D9"/>
    <w:rsid w:val="00B5363C"/>
    <w:rsid w:val="00B545BB"/>
    <w:rsid w:val="00B56E1E"/>
    <w:rsid w:val="00B5707F"/>
    <w:rsid w:val="00B602DA"/>
    <w:rsid w:val="00B64EA7"/>
    <w:rsid w:val="00B6505C"/>
    <w:rsid w:val="00B659CF"/>
    <w:rsid w:val="00B668DF"/>
    <w:rsid w:val="00B70008"/>
    <w:rsid w:val="00B72B2B"/>
    <w:rsid w:val="00B73090"/>
    <w:rsid w:val="00B74D07"/>
    <w:rsid w:val="00B750AC"/>
    <w:rsid w:val="00B77024"/>
    <w:rsid w:val="00B83247"/>
    <w:rsid w:val="00B839D5"/>
    <w:rsid w:val="00B8412D"/>
    <w:rsid w:val="00B84774"/>
    <w:rsid w:val="00B85ACC"/>
    <w:rsid w:val="00B87369"/>
    <w:rsid w:val="00B87855"/>
    <w:rsid w:val="00B925AA"/>
    <w:rsid w:val="00B9613F"/>
    <w:rsid w:val="00B9735B"/>
    <w:rsid w:val="00BA0CF8"/>
    <w:rsid w:val="00BA0F20"/>
    <w:rsid w:val="00BA1BAF"/>
    <w:rsid w:val="00BA708E"/>
    <w:rsid w:val="00BA72BF"/>
    <w:rsid w:val="00BA7366"/>
    <w:rsid w:val="00BA7B8E"/>
    <w:rsid w:val="00BB0071"/>
    <w:rsid w:val="00BB17CC"/>
    <w:rsid w:val="00BB3BEF"/>
    <w:rsid w:val="00BB722C"/>
    <w:rsid w:val="00BC18E6"/>
    <w:rsid w:val="00BC2405"/>
    <w:rsid w:val="00BC2A1E"/>
    <w:rsid w:val="00BC48BE"/>
    <w:rsid w:val="00BC4BB2"/>
    <w:rsid w:val="00BC62DD"/>
    <w:rsid w:val="00BC783D"/>
    <w:rsid w:val="00BD0C12"/>
    <w:rsid w:val="00BD0D50"/>
    <w:rsid w:val="00BD2D82"/>
    <w:rsid w:val="00BD2DA7"/>
    <w:rsid w:val="00BD3D7B"/>
    <w:rsid w:val="00BE3D55"/>
    <w:rsid w:val="00BE3E16"/>
    <w:rsid w:val="00BE6E74"/>
    <w:rsid w:val="00BF05F0"/>
    <w:rsid w:val="00BF0CFC"/>
    <w:rsid w:val="00BF0E4C"/>
    <w:rsid w:val="00BF394B"/>
    <w:rsid w:val="00BF4B19"/>
    <w:rsid w:val="00BF5B7F"/>
    <w:rsid w:val="00BF5BBC"/>
    <w:rsid w:val="00BF6158"/>
    <w:rsid w:val="00C00869"/>
    <w:rsid w:val="00C03DDA"/>
    <w:rsid w:val="00C05E68"/>
    <w:rsid w:val="00C063C4"/>
    <w:rsid w:val="00C07515"/>
    <w:rsid w:val="00C11216"/>
    <w:rsid w:val="00C15118"/>
    <w:rsid w:val="00C154AB"/>
    <w:rsid w:val="00C15BAE"/>
    <w:rsid w:val="00C169E6"/>
    <w:rsid w:val="00C201F5"/>
    <w:rsid w:val="00C22BEC"/>
    <w:rsid w:val="00C25DD1"/>
    <w:rsid w:val="00C27A10"/>
    <w:rsid w:val="00C27E15"/>
    <w:rsid w:val="00C30E49"/>
    <w:rsid w:val="00C33BE8"/>
    <w:rsid w:val="00C36B7B"/>
    <w:rsid w:val="00C37829"/>
    <w:rsid w:val="00C41867"/>
    <w:rsid w:val="00C420BF"/>
    <w:rsid w:val="00C42493"/>
    <w:rsid w:val="00C4383F"/>
    <w:rsid w:val="00C43FBE"/>
    <w:rsid w:val="00C503CF"/>
    <w:rsid w:val="00C50BBD"/>
    <w:rsid w:val="00C518EA"/>
    <w:rsid w:val="00C51B5D"/>
    <w:rsid w:val="00C52BDB"/>
    <w:rsid w:val="00C54816"/>
    <w:rsid w:val="00C54B6B"/>
    <w:rsid w:val="00C5689A"/>
    <w:rsid w:val="00C56B73"/>
    <w:rsid w:val="00C60F2B"/>
    <w:rsid w:val="00C64578"/>
    <w:rsid w:val="00C650A9"/>
    <w:rsid w:val="00C6696B"/>
    <w:rsid w:val="00C67066"/>
    <w:rsid w:val="00C71826"/>
    <w:rsid w:val="00C74C8B"/>
    <w:rsid w:val="00C75E29"/>
    <w:rsid w:val="00C82227"/>
    <w:rsid w:val="00C82D6A"/>
    <w:rsid w:val="00C82F14"/>
    <w:rsid w:val="00C83338"/>
    <w:rsid w:val="00C83DEF"/>
    <w:rsid w:val="00C84D1E"/>
    <w:rsid w:val="00C856E4"/>
    <w:rsid w:val="00C91DCD"/>
    <w:rsid w:val="00C927B2"/>
    <w:rsid w:val="00C92CF2"/>
    <w:rsid w:val="00C947B5"/>
    <w:rsid w:val="00C9524D"/>
    <w:rsid w:val="00C95821"/>
    <w:rsid w:val="00CA2FDB"/>
    <w:rsid w:val="00CB0E4B"/>
    <w:rsid w:val="00CB0F3A"/>
    <w:rsid w:val="00CB1836"/>
    <w:rsid w:val="00CB4539"/>
    <w:rsid w:val="00CB5357"/>
    <w:rsid w:val="00CC1FA3"/>
    <w:rsid w:val="00CC243D"/>
    <w:rsid w:val="00CC4D5F"/>
    <w:rsid w:val="00CC751F"/>
    <w:rsid w:val="00CD0C24"/>
    <w:rsid w:val="00CD14BE"/>
    <w:rsid w:val="00CD389B"/>
    <w:rsid w:val="00CD3D39"/>
    <w:rsid w:val="00CD5DA3"/>
    <w:rsid w:val="00CD63BD"/>
    <w:rsid w:val="00CD6C87"/>
    <w:rsid w:val="00CD746E"/>
    <w:rsid w:val="00CD7545"/>
    <w:rsid w:val="00CD7ECC"/>
    <w:rsid w:val="00CE0063"/>
    <w:rsid w:val="00CE0E1F"/>
    <w:rsid w:val="00CE32A5"/>
    <w:rsid w:val="00CE50F9"/>
    <w:rsid w:val="00CE5C1E"/>
    <w:rsid w:val="00CE6FFA"/>
    <w:rsid w:val="00CE7EF3"/>
    <w:rsid w:val="00CF11DB"/>
    <w:rsid w:val="00CF4E63"/>
    <w:rsid w:val="00CF5E3B"/>
    <w:rsid w:val="00D02506"/>
    <w:rsid w:val="00D036CE"/>
    <w:rsid w:val="00D03AAF"/>
    <w:rsid w:val="00D045C1"/>
    <w:rsid w:val="00D04BA2"/>
    <w:rsid w:val="00D04CA5"/>
    <w:rsid w:val="00D0596C"/>
    <w:rsid w:val="00D0602C"/>
    <w:rsid w:val="00D0781E"/>
    <w:rsid w:val="00D07FBC"/>
    <w:rsid w:val="00D125D6"/>
    <w:rsid w:val="00D14823"/>
    <w:rsid w:val="00D14B59"/>
    <w:rsid w:val="00D14B9C"/>
    <w:rsid w:val="00D15A78"/>
    <w:rsid w:val="00D2521D"/>
    <w:rsid w:val="00D2617D"/>
    <w:rsid w:val="00D272F4"/>
    <w:rsid w:val="00D310D9"/>
    <w:rsid w:val="00D376E0"/>
    <w:rsid w:val="00D408F6"/>
    <w:rsid w:val="00D42EE1"/>
    <w:rsid w:val="00D4416E"/>
    <w:rsid w:val="00D448FF"/>
    <w:rsid w:val="00D44F8F"/>
    <w:rsid w:val="00D45BF5"/>
    <w:rsid w:val="00D45E1F"/>
    <w:rsid w:val="00D503E8"/>
    <w:rsid w:val="00D53732"/>
    <w:rsid w:val="00D53C8F"/>
    <w:rsid w:val="00D5514C"/>
    <w:rsid w:val="00D55731"/>
    <w:rsid w:val="00D55D2E"/>
    <w:rsid w:val="00D5672F"/>
    <w:rsid w:val="00D6014D"/>
    <w:rsid w:val="00D604A2"/>
    <w:rsid w:val="00D63ECF"/>
    <w:rsid w:val="00D65076"/>
    <w:rsid w:val="00D658A5"/>
    <w:rsid w:val="00D70985"/>
    <w:rsid w:val="00D73523"/>
    <w:rsid w:val="00D75424"/>
    <w:rsid w:val="00D76D3E"/>
    <w:rsid w:val="00D822D2"/>
    <w:rsid w:val="00D84075"/>
    <w:rsid w:val="00D861DD"/>
    <w:rsid w:val="00D87A0D"/>
    <w:rsid w:val="00D87AF5"/>
    <w:rsid w:val="00D90248"/>
    <w:rsid w:val="00D90BB6"/>
    <w:rsid w:val="00D91C6A"/>
    <w:rsid w:val="00D91D04"/>
    <w:rsid w:val="00D92922"/>
    <w:rsid w:val="00D93933"/>
    <w:rsid w:val="00D95F33"/>
    <w:rsid w:val="00D960A1"/>
    <w:rsid w:val="00D9689F"/>
    <w:rsid w:val="00D97212"/>
    <w:rsid w:val="00D9778E"/>
    <w:rsid w:val="00DA28D6"/>
    <w:rsid w:val="00DA44D2"/>
    <w:rsid w:val="00DB179E"/>
    <w:rsid w:val="00DB2666"/>
    <w:rsid w:val="00DB43BB"/>
    <w:rsid w:val="00DB5446"/>
    <w:rsid w:val="00DB5FF4"/>
    <w:rsid w:val="00DB6CD3"/>
    <w:rsid w:val="00DB6FC1"/>
    <w:rsid w:val="00DB750E"/>
    <w:rsid w:val="00DC0466"/>
    <w:rsid w:val="00DC1E46"/>
    <w:rsid w:val="00DC5E5F"/>
    <w:rsid w:val="00DD51CD"/>
    <w:rsid w:val="00DD6208"/>
    <w:rsid w:val="00DD63C6"/>
    <w:rsid w:val="00DD6F42"/>
    <w:rsid w:val="00DD7138"/>
    <w:rsid w:val="00DD7C15"/>
    <w:rsid w:val="00DE2F7B"/>
    <w:rsid w:val="00DE3D72"/>
    <w:rsid w:val="00DE4B05"/>
    <w:rsid w:val="00DE4BB5"/>
    <w:rsid w:val="00DE4DAD"/>
    <w:rsid w:val="00DE6000"/>
    <w:rsid w:val="00DF0078"/>
    <w:rsid w:val="00DF02EB"/>
    <w:rsid w:val="00DF047C"/>
    <w:rsid w:val="00DF559E"/>
    <w:rsid w:val="00DF5D0D"/>
    <w:rsid w:val="00DF782F"/>
    <w:rsid w:val="00E002A4"/>
    <w:rsid w:val="00E00861"/>
    <w:rsid w:val="00E01587"/>
    <w:rsid w:val="00E01C55"/>
    <w:rsid w:val="00E02D94"/>
    <w:rsid w:val="00E036C9"/>
    <w:rsid w:val="00E03CCE"/>
    <w:rsid w:val="00E06428"/>
    <w:rsid w:val="00E110A1"/>
    <w:rsid w:val="00E131F6"/>
    <w:rsid w:val="00E14228"/>
    <w:rsid w:val="00E168A7"/>
    <w:rsid w:val="00E17C2C"/>
    <w:rsid w:val="00E22EAD"/>
    <w:rsid w:val="00E23C50"/>
    <w:rsid w:val="00E26334"/>
    <w:rsid w:val="00E27E98"/>
    <w:rsid w:val="00E30018"/>
    <w:rsid w:val="00E33666"/>
    <w:rsid w:val="00E33721"/>
    <w:rsid w:val="00E3617E"/>
    <w:rsid w:val="00E371E0"/>
    <w:rsid w:val="00E41355"/>
    <w:rsid w:val="00E4183E"/>
    <w:rsid w:val="00E41E18"/>
    <w:rsid w:val="00E45809"/>
    <w:rsid w:val="00E4786F"/>
    <w:rsid w:val="00E529B8"/>
    <w:rsid w:val="00E529DC"/>
    <w:rsid w:val="00E536D9"/>
    <w:rsid w:val="00E54D04"/>
    <w:rsid w:val="00E54EE0"/>
    <w:rsid w:val="00E55605"/>
    <w:rsid w:val="00E616AD"/>
    <w:rsid w:val="00E64465"/>
    <w:rsid w:val="00E64CB4"/>
    <w:rsid w:val="00E66499"/>
    <w:rsid w:val="00E703BA"/>
    <w:rsid w:val="00E7533D"/>
    <w:rsid w:val="00E763AA"/>
    <w:rsid w:val="00E808E9"/>
    <w:rsid w:val="00E80B27"/>
    <w:rsid w:val="00E82A81"/>
    <w:rsid w:val="00E838D3"/>
    <w:rsid w:val="00E866FD"/>
    <w:rsid w:val="00E86DE0"/>
    <w:rsid w:val="00E8734F"/>
    <w:rsid w:val="00E87400"/>
    <w:rsid w:val="00E87C0B"/>
    <w:rsid w:val="00E87F9C"/>
    <w:rsid w:val="00E930E6"/>
    <w:rsid w:val="00E931CD"/>
    <w:rsid w:val="00E96D72"/>
    <w:rsid w:val="00E96F95"/>
    <w:rsid w:val="00E97F08"/>
    <w:rsid w:val="00EA0EDB"/>
    <w:rsid w:val="00EA2A4F"/>
    <w:rsid w:val="00EA7A92"/>
    <w:rsid w:val="00EB0E34"/>
    <w:rsid w:val="00EB3D10"/>
    <w:rsid w:val="00EB551E"/>
    <w:rsid w:val="00EB55B8"/>
    <w:rsid w:val="00EB6864"/>
    <w:rsid w:val="00EB700A"/>
    <w:rsid w:val="00EB776B"/>
    <w:rsid w:val="00EC011F"/>
    <w:rsid w:val="00EC0522"/>
    <w:rsid w:val="00EC3D52"/>
    <w:rsid w:val="00EC4DA1"/>
    <w:rsid w:val="00EC527B"/>
    <w:rsid w:val="00EC5830"/>
    <w:rsid w:val="00EC6601"/>
    <w:rsid w:val="00EC6C21"/>
    <w:rsid w:val="00EC7198"/>
    <w:rsid w:val="00ED3A9B"/>
    <w:rsid w:val="00ED5DCB"/>
    <w:rsid w:val="00ED7F29"/>
    <w:rsid w:val="00EE1093"/>
    <w:rsid w:val="00EE606D"/>
    <w:rsid w:val="00EE62A1"/>
    <w:rsid w:val="00EE6DDF"/>
    <w:rsid w:val="00EE77F0"/>
    <w:rsid w:val="00EF02FB"/>
    <w:rsid w:val="00EF125D"/>
    <w:rsid w:val="00EF135D"/>
    <w:rsid w:val="00EF299B"/>
    <w:rsid w:val="00EF3F51"/>
    <w:rsid w:val="00EF5BC7"/>
    <w:rsid w:val="00F012C7"/>
    <w:rsid w:val="00F01ED7"/>
    <w:rsid w:val="00F039FD"/>
    <w:rsid w:val="00F0485C"/>
    <w:rsid w:val="00F108E7"/>
    <w:rsid w:val="00F11E21"/>
    <w:rsid w:val="00F11EED"/>
    <w:rsid w:val="00F12207"/>
    <w:rsid w:val="00F12C19"/>
    <w:rsid w:val="00F13100"/>
    <w:rsid w:val="00F133CD"/>
    <w:rsid w:val="00F141B5"/>
    <w:rsid w:val="00F14B4B"/>
    <w:rsid w:val="00F160B5"/>
    <w:rsid w:val="00F23812"/>
    <w:rsid w:val="00F23E9F"/>
    <w:rsid w:val="00F24D09"/>
    <w:rsid w:val="00F25941"/>
    <w:rsid w:val="00F27A4D"/>
    <w:rsid w:val="00F27BCF"/>
    <w:rsid w:val="00F30A9E"/>
    <w:rsid w:val="00F32D9D"/>
    <w:rsid w:val="00F410E2"/>
    <w:rsid w:val="00F43E7A"/>
    <w:rsid w:val="00F4551B"/>
    <w:rsid w:val="00F50ED0"/>
    <w:rsid w:val="00F520C4"/>
    <w:rsid w:val="00F52B75"/>
    <w:rsid w:val="00F53236"/>
    <w:rsid w:val="00F53294"/>
    <w:rsid w:val="00F53FDE"/>
    <w:rsid w:val="00F565F2"/>
    <w:rsid w:val="00F5771D"/>
    <w:rsid w:val="00F57E23"/>
    <w:rsid w:val="00F6019F"/>
    <w:rsid w:val="00F62B6B"/>
    <w:rsid w:val="00F6577A"/>
    <w:rsid w:val="00F66BB8"/>
    <w:rsid w:val="00F67EB7"/>
    <w:rsid w:val="00F73105"/>
    <w:rsid w:val="00F8007F"/>
    <w:rsid w:val="00F804F2"/>
    <w:rsid w:val="00F80D6C"/>
    <w:rsid w:val="00F8426D"/>
    <w:rsid w:val="00F84606"/>
    <w:rsid w:val="00F84BCE"/>
    <w:rsid w:val="00F85750"/>
    <w:rsid w:val="00F90A4C"/>
    <w:rsid w:val="00F92EEF"/>
    <w:rsid w:val="00F93BFA"/>
    <w:rsid w:val="00F96A71"/>
    <w:rsid w:val="00F96A91"/>
    <w:rsid w:val="00F97DE1"/>
    <w:rsid w:val="00FA1534"/>
    <w:rsid w:val="00FA23FB"/>
    <w:rsid w:val="00FA4F95"/>
    <w:rsid w:val="00FA5DE7"/>
    <w:rsid w:val="00FA64DA"/>
    <w:rsid w:val="00FA67FC"/>
    <w:rsid w:val="00FA7FD7"/>
    <w:rsid w:val="00FB289A"/>
    <w:rsid w:val="00FB3589"/>
    <w:rsid w:val="00FB394E"/>
    <w:rsid w:val="00FB3BF0"/>
    <w:rsid w:val="00FB3CC1"/>
    <w:rsid w:val="00FB424E"/>
    <w:rsid w:val="00FB5DA9"/>
    <w:rsid w:val="00FC310D"/>
    <w:rsid w:val="00FC507B"/>
    <w:rsid w:val="00FC70AE"/>
    <w:rsid w:val="00FC757B"/>
    <w:rsid w:val="00FD1007"/>
    <w:rsid w:val="00FD1C31"/>
    <w:rsid w:val="00FD368A"/>
    <w:rsid w:val="00FD4C10"/>
    <w:rsid w:val="00FD684F"/>
    <w:rsid w:val="00FE047D"/>
    <w:rsid w:val="00FE0DD6"/>
    <w:rsid w:val="00FE118F"/>
    <w:rsid w:val="00FE23FC"/>
    <w:rsid w:val="00FE2BF0"/>
    <w:rsid w:val="00FE302E"/>
    <w:rsid w:val="00FE3F55"/>
    <w:rsid w:val="00FE4EDC"/>
    <w:rsid w:val="00FE7A29"/>
    <w:rsid w:val="00FF211C"/>
    <w:rsid w:val="00FF21ED"/>
    <w:rsid w:val="00FF2C0A"/>
    <w:rsid w:val="00FF3181"/>
    <w:rsid w:val="00FF3726"/>
    <w:rsid w:val="00FF56F6"/>
    <w:rsid w:val="00FF740E"/>
    <w:rsid w:val="1E0EFD19"/>
    <w:rsid w:val="278711FD"/>
    <w:rsid w:val="480234A5"/>
    <w:rsid w:val="4F23C4B1"/>
    <w:rsid w:val="6083684C"/>
    <w:rsid w:val="7F762F0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40E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478C"/>
    <w:pPr>
      <w:autoSpaceDE w:val="0"/>
      <w:autoSpaceDN w:val="0"/>
      <w:adjustRightInd w:val="0"/>
    </w:pPr>
    <w:rPr>
      <w:rFonts w:ascii="Arial" w:hAnsi="Arial" w:cs="Arial"/>
      <w:lang w:val="en-US"/>
    </w:rPr>
  </w:style>
  <w:style w:type="paragraph" w:styleId="Heading1">
    <w:name w:val="heading 1"/>
    <w:basedOn w:val="HeadingBase"/>
    <w:next w:val="Normal"/>
    <w:link w:val="Heading1Char"/>
    <w:qFormat/>
    <w:rsid w:val="00AF39AE"/>
    <w:pPr>
      <w:spacing w:after="240"/>
      <w:outlineLvl w:val="0"/>
    </w:pPr>
    <w:rPr>
      <w:b/>
      <w:kern w:val="28"/>
      <w:sz w:val="36"/>
    </w:rPr>
  </w:style>
  <w:style w:type="paragraph" w:styleId="Heading2">
    <w:name w:val="heading 2"/>
    <w:basedOn w:val="HeadingBase"/>
    <w:next w:val="Normal"/>
    <w:link w:val="Heading2Char"/>
    <w:qFormat/>
    <w:rsid w:val="00E33721"/>
    <w:pPr>
      <w:keepNext/>
      <w:spacing w:before="240" w:after="240"/>
      <w:outlineLvl w:val="1"/>
    </w:pPr>
    <w:rPr>
      <w:b/>
      <w:color w:val="000000"/>
      <w:sz w:val="26"/>
    </w:rPr>
  </w:style>
  <w:style w:type="paragraph" w:styleId="Heading3">
    <w:name w:val="heading 3"/>
    <w:basedOn w:val="HeadingBase"/>
    <w:next w:val="Normal"/>
    <w:link w:val="Heading3Char"/>
    <w:qFormat/>
    <w:rsid w:val="00BA0F20"/>
    <w:pPr>
      <w:keepNext/>
      <w:spacing w:before="120" w:after="120"/>
      <w:outlineLvl w:val="2"/>
    </w:pPr>
    <w:rPr>
      <w:rFonts w:ascii="Arial Bold" w:hAnsi="Arial Bold"/>
      <w:b/>
      <w:color w:val="000000"/>
      <w:sz w:val="22"/>
    </w:rPr>
  </w:style>
  <w:style w:type="paragraph" w:styleId="Heading4">
    <w:name w:val="heading 4"/>
    <w:basedOn w:val="HeadingBase"/>
    <w:next w:val="Normal"/>
    <w:link w:val="Heading4Char"/>
    <w:qFormat/>
    <w:rsid w:val="00D75424"/>
    <w:pPr>
      <w:keepNext/>
      <w:spacing w:before="120" w:after="120"/>
      <w:outlineLvl w:val="3"/>
    </w:pPr>
    <w:rPr>
      <w:b/>
      <w:color w:val="000000"/>
      <w:sz w:val="22"/>
    </w:rPr>
  </w:style>
  <w:style w:type="paragraph" w:styleId="Heading5">
    <w:name w:val="heading 5"/>
    <w:basedOn w:val="HeadingBase"/>
    <w:next w:val="Normal"/>
    <w:link w:val="Heading5Char"/>
    <w:qFormat/>
    <w:rsid w:val="00D75424"/>
    <w:pPr>
      <w:keepNext/>
      <w:spacing w:before="240" w:after="120"/>
      <w:outlineLvl w:val="4"/>
    </w:pPr>
    <w:rPr>
      <w:b/>
      <w:color w:val="000000"/>
      <w:sz w:val="20"/>
    </w:rPr>
  </w:style>
  <w:style w:type="paragraph" w:styleId="Heading6">
    <w:name w:val="heading 6"/>
    <w:basedOn w:val="HeadingBase"/>
    <w:next w:val="Normal"/>
    <w:link w:val="Heading6Char"/>
    <w:qFormat/>
    <w:rsid w:val="00D75424"/>
    <w:pPr>
      <w:keepNext/>
      <w:spacing w:after="120"/>
      <w:outlineLvl w:val="5"/>
    </w:pPr>
    <w:rPr>
      <w:color w:val="000000"/>
      <w:sz w:val="20"/>
    </w:rPr>
  </w:style>
  <w:style w:type="paragraph" w:styleId="Heading7">
    <w:name w:val="heading 7"/>
    <w:basedOn w:val="HeadingBase"/>
    <w:next w:val="Normal"/>
    <w:link w:val="Heading7Char"/>
    <w:qFormat/>
    <w:rsid w:val="00D75424"/>
    <w:pPr>
      <w:spacing w:after="100"/>
      <w:outlineLvl w:val="6"/>
    </w:pPr>
    <w:rPr>
      <w:color w:val="000000"/>
      <w:sz w:val="18"/>
    </w:rPr>
  </w:style>
  <w:style w:type="paragraph" w:styleId="Heading8">
    <w:name w:val="heading 8"/>
    <w:basedOn w:val="Normal"/>
    <w:next w:val="Normal"/>
    <w:link w:val="Heading8Char"/>
    <w:qFormat/>
    <w:rsid w:val="00D75424"/>
    <w:pPr>
      <w:keepLines/>
      <w:autoSpaceDE/>
      <w:autoSpaceDN/>
      <w:adjustRightInd/>
      <w:spacing w:before="240" w:after="60" w:line="260" w:lineRule="exact"/>
      <w:jc w:val="both"/>
      <w:outlineLvl w:val="7"/>
    </w:pPr>
    <w:rPr>
      <w:rFonts w:cs="Times New Roman"/>
      <w:i/>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Heading">
    <w:name w:val="Box Heading"/>
    <w:basedOn w:val="HeadingBase"/>
    <w:next w:val="Normal"/>
    <w:rsid w:val="00D75424"/>
    <w:pPr>
      <w:spacing w:before="240" w:after="120"/>
    </w:pPr>
    <w:rPr>
      <w:rFonts w:ascii="Arial Bold" w:hAnsi="Arial Bold"/>
      <w:b/>
      <w:sz w:val="20"/>
    </w:rPr>
  </w:style>
  <w:style w:type="paragraph" w:customStyle="1" w:styleId="HeaderBase">
    <w:name w:val="Header Base"/>
    <w:rsid w:val="00C9524D"/>
    <w:rPr>
      <w:rFonts w:ascii="Arial" w:hAnsi="Arial"/>
      <w:color w:val="002B54"/>
      <w:sz w:val="18"/>
    </w:rPr>
  </w:style>
  <w:style w:type="paragraph" w:customStyle="1" w:styleId="FooterBase">
    <w:name w:val="Footer Base"/>
    <w:rsid w:val="00C9524D"/>
    <w:rPr>
      <w:rFonts w:ascii="Arial" w:hAnsi="Arial"/>
      <w:color w:val="002B54"/>
      <w:sz w:val="18"/>
    </w:rPr>
  </w:style>
  <w:style w:type="paragraph" w:customStyle="1" w:styleId="HeadingBase">
    <w:name w:val="Heading Base"/>
    <w:rsid w:val="00D75424"/>
    <w:rPr>
      <w:rFonts w:ascii="Arial" w:hAnsi="Arial"/>
      <w:sz w:val="24"/>
    </w:rPr>
  </w:style>
  <w:style w:type="paragraph" w:customStyle="1" w:styleId="ChartandTableFootnote">
    <w:name w:val="Chart and Table Footnote"/>
    <w:basedOn w:val="HeadingBase"/>
    <w:next w:val="Normal"/>
    <w:rsid w:val="00D75424"/>
    <w:pPr>
      <w:ind w:left="283" w:hanging="283"/>
      <w:jc w:val="both"/>
    </w:pPr>
    <w:rPr>
      <w:color w:val="000000"/>
      <w:sz w:val="16"/>
    </w:rPr>
  </w:style>
  <w:style w:type="paragraph" w:customStyle="1" w:styleId="ChartGraphic">
    <w:name w:val="Chart Graphic"/>
    <w:basedOn w:val="HeadingBase"/>
    <w:next w:val="Normal"/>
    <w:rsid w:val="00D75424"/>
    <w:pPr>
      <w:jc w:val="center"/>
    </w:pPr>
    <w:rPr>
      <w:color w:val="000000"/>
      <w:sz w:val="20"/>
    </w:rPr>
  </w:style>
  <w:style w:type="paragraph" w:customStyle="1" w:styleId="ChartHeading">
    <w:name w:val="Chart Heading"/>
    <w:basedOn w:val="HeadingBase"/>
    <w:next w:val="ChartGraphic"/>
    <w:rsid w:val="00D75424"/>
    <w:pPr>
      <w:keepNext/>
      <w:spacing w:before="120"/>
      <w:jc w:val="center"/>
    </w:pPr>
    <w:rPr>
      <w:b/>
      <w:color w:val="000000"/>
      <w:sz w:val="20"/>
    </w:rPr>
  </w:style>
  <w:style w:type="paragraph" w:customStyle="1" w:styleId="ChartSecondHeading">
    <w:name w:val="Chart Second Heading"/>
    <w:basedOn w:val="ChartHeading"/>
    <w:next w:val="ChartGraphic"/>
    <w:rsid w:val="00D75424"/>
    <w:pPr>
      <w:spacing w:before="60"/>
    </w:pPr>
    <w:rPr>
      <w:b w:val="0"/>
    </w:rPr>
  </w:style>
  <w:style w:type="paragraph" w:customStyle="1" w:styleId="Classification">
    <w:name w:val="Classification"/>
    <w:basedOn w:val="HeadingBase"/>
    <w:rsid w:val="00294042"/>
    <w:pPr>
      <w:jc w:val="center"/>
    </w:pPr>
    <w:rPr>
      <w:rFonts w:ascii="Arial Bold" w:hAnsi="Arial Bold"/>
      <w:b/>
      <w:caps/>
      <w:color w:val="000000"/>
    </w:rPr>
  </w:style>
  <w:style w:type="paragraph" w:customStyle="1" w:styleId="ContentsHeading">
    <w:name w:val="Contents Heading"/>
    <w:basedOn w:val="HeadingBase"/>
    <w:next w:val="Normal"/>
    <w:rsid w:val="006C3D6A"/>
    <w:pPr>
      <w:spacing w:after="720"/>
      <w:jc w:val="center"/>
    </w:pPr>
    <w:rPr>
      <w:rFonts w:ascii="Arial Bold" w:hAnsi="Arial Bold"/>
      <w:b/>
      <w:sz w:val="36"/>
      <w:lang w:val="en-US"/>
    </w:rPr>
  </w:style>
  <w:style w:type="paragraph" w:customStyle="1" w:styleId="ContentsSecondHeading">
    <w:name w:val="Contents Second Heading"/>
    <w:basedOn w:val="HeadingBase"/>
    <w:next w:val="Normal"/>
    <w:rsid w:val="00D75424"/>
    <w:pPr>
      <w:spacing w:after="360"/>
      <w:jc w:val="center"/>
    </w:pPr>
    <w:rPr>
      <w:color w:val="000000"/>
      <w:sz w:val="30"/>
    </w:rPr>
  </w:style>
  <w:style w:type="paragraph" w:styleId="Footer">
    <w:name w:val="footer"/>
    <w:basedOn w:val="FooterBase"/>
    <w:link w:val="FooterChar"/>
    <w:rsid w:val="00D75424"/>
    <w:pPr>
      <w:jc w:val="center"/>
    </w:pPr>
    <w:rPr>
      <w:color w:val="000000"/>
    </w:rPr>
  </w:style>
  <w:style w:type="character" w:styleId="FootnoteReference">
    <w:name w:val="footnote reference"/>
    <w:semiHidden/>
    <w:rsid w:val="00D75424"/>
    <w:rPr>
      <w:rFonts w:ascii="Book Antiqua" w:hAnsi="Book Antiqua"/>
      <w:noProof w:val="0"/>
      <w:sz w:val="20"/>
      <w:vertAlign w:val="superscript"/>
      <w:lang w:val="en-AU"/>
    </w:rPr>
  </w:style>
  <w:style w:type="paragraph" w:styleId="FootnoteText">
    <w:name w:val="footnote text"/>
    <w:basedOn w:val="Normal"/>
    <w:link w:val="FootnoteTextChar"/>
    <w:semiHidden/>
    <w:rsid w:val="00D75424"/>
    <w:pPr>
      <w:keepLines/>
      <w:tabs>
        <w:tab w:val="left" w:pos="283"/>
      </w:tabs>
      <w:autoSpaceDE/>
      <w:autoSpaceDN/>
      <w:adjustRightInd/>
      <w:ind w:left="284" w:hanging="284"/>
      <w:jc w:val="both"/>
    </w:pPr>
    <w:rPr>
      <w:rFonts w:ascii="Book Antiqua" w:hAnsi="Book Antiqua" w:cs="Times New Roman"/>
      <w:color w:val="000000"/>
      <w:sz w:val="18"/>
      <w:lang w:val="en-AU"/>
    </w:rPr>
  </w:style>
  <w:style w:type="paragraph" w:styleId="Header">
    <w:name w:val="header"/>
    <w:basedOn w:val="HeaderBase"/>
    <w:link w:val="HeaderChar"/>
    <w:rsid w:val="00D75424"/>
  </w:style>
  <w:style w:type="paragraph" w:styleId="Index1">
    <w:name w:val="index 1"/>
    <w:basedOn w:val="Normal"/>
    <w:next w:val="Normal"/>
    <w:autoRedefine/>
    <w:semiHidden/>
    <w:rsid w:val="00D75424"/>
    <w:pPr>
      <w:keepLines/>
      <w:autoSpaceDE/>
      <w:autoSpaceDN/>
      <w:adjustRightInd/>
      <w:spacing w:after="240" w:line="260" w:lineRule="exact"/>
      <w:ind w:left="198" w:hanging="198"/>
      <w:jc w:val="both"/>
    </w:pPr>
    <w:rPr>
      <w:rFonts w:ascii="Book Antiqua" w:hAnsi="Book Antiqua" w:cs="Times New Roman"/>
      <w:color w:val="000000"/>
      <w:sz w:val="18"/>
      <w:lang w:val="en-AU"/>
    </w:rPr>
  </w:style>
  <w:style w:type="paragraph" w:styleId="Index2">
    <w:name w:val="index 2"/>
    <w:basedOn w:val="Normal"/>
    <w:next w:val="Normal"/>
    <w:autoRedefine/>
    <w:semiHidden/>
    <w:rsid w:val="00D75424"/>
    <w:pPr>
      <w:keepLines/>
      <w:autoSpaceDE/>
      <w:autoSpaceDN/>
      <w:adjustRightInd/>
      <w:spacing w:after="240" w:line="260" w:lineRule="exact"/>
      <w:ind w:left="396" w:hanging="198"/>
      <w:jc w:val="both"/>
    </w:pPr>
    <w:rPr>
      <w:rFonts w:ascii="Book Antiqua" w:hAnsi="Book Antiqua" w:cs="Times New Roman"/>
      <w:color w:val="000000"/>
      <w:sz w:val="18"/>
      <w:lang w:val="en-AU"/>
    </w:rPr>
  </w:style>
  <w:style w:type="paragraph" w:styleId="Index3">
    <w:name w:val="index 3"/>
    <w:basedOn w:val="Normal"/>
    <w:next w:val="Normal"/>
    <w:autoRedefine/>
    <w:semiHidden/>
    <w:rsid w:val="00D75424"/>
    <w:pPr>
      <w:keepLines/>
      <w:autoSpaceDE/>
      <w:autoSpaceDN/>
      <w:adjustRightInd/>
      <w:spacing w:after="240" w:line="260" w:lineRule="exact"/>
      <w:ind w:left="601" w:hanging="198"/>
      <w:jc w:val="both"/>
    </w:pPr>
    <w:rPr>
      <w:rFonts w:ascii="Book Antiqua" w:hAnsi="Book Antiqua" w:cs="Times New Roman"/>
      <w:color w:val="000000"/>
      <w:sz w:val="18"/>
      <w:lang w:val="en-AU"/>
    </w:rPr>
  </w:style>
  <w:style w:type="paragraph" w:styleId="IndexHeading">
    <w:name w:val="index heading"/>
    <w:basedOn w:val="Normal"/>
    <w:next w:val="Index1"/>
    <w:semiHidden/>
    <w:rsid w:val="00D75424"/>
    <w:pPr>
      <w:keepLines/>
      <w:autoSpaceDE/>
      <w:autoSpaceDN/>
      <w:adjustRightInd/>
      <w:spacing w:before="240" w:after="120" w:line="260" w:lineRule="exact"/>
      <w:jc w:val="center"/>
    </w:pPr>
    <w:rPr>
      <w:rFonts w:cs="Times New Roman"/>
      <w:b/>
      <w:color w:val="000000"/>
      <w:sz w:val="24"/>
      <w:lang w:val="en-AU"/>
    </w:rPr>
  </w:style>
  <w:style w:type="character" w:styleId="PageNumber">
    <w:name w:val="page number"/>
    <w:rsid w:val="00D75424"/>
  </w:style>
  <w:style w:type="paragraph" w:customStyle="1" w:styleId="TableHeading">
    <w:name w:val="Table Heading"/>
    <w:basedOn w:val="HeadingBase"/>
    <w:next w:val="Normal"/>
    <w:rsid w:val="00D75424"/>
    <w:pPr>
      <w:keepNext/>
      <w:spacing w:before="120" w:after="20"/>
    </w:pPr>
    <w:rPr>
      <w:b/>
      <w:color w:val="000000"/>
      <w:sz w:val="20"/>
    </w:rPr>
  </w:style>
  <w:style w:type="paragraph" w:customStyle="1" w:styleId="TableHeadingcontinued">
    <w:name w:val="Table Heading continued"/>
    <w:basedOn w:val="HeadingBase"/>
    <w:next w:val="TableGraphic"/>
    <w:rsid w:val="00D75424"/>
    <w:pPr>
      <w:keepNext/>
      <w:spacing w:before="120" w:after="20"/>
    </w:pPr>
    <w:rPr>
      <w:b/>
      <w:color w:val="000000"/>
      <w:sz w:val="20"/>
    </w:rPr>
  </w:style>
  <w:style w:type="paragraph" w:customStyle="1" w:styleId="TableGraphic">
    <w:name w:val="Table Graphic"/>
    <w:basedOn w:val="TableHeading"/>
    <w:next w:val="Normal"/>
    <w:rsid w:val="00D75424"/>
    <w:pPr>
      <w:keepNext w:val="0"/>
      <w:spacing w:before="0"/>
      <w:ind w:right="-113"/>
    </w:pPr>
    <w:rPr>
      <w:b w:val="0"/>
    </w:rPr>
  </w:style>
  <w:style w:type="paragraph" w:styleId="TOC1">
    <w:name w:val="toc 1"/>
    <w:basedOn w:val="HeadingBase"/>
    <w:next w:val="Normal"/>
    <w:autoRedefine/>
    <w:rsid w:val="00D75424"/>
    <w:pPr>
      <w:tabs>
        <w:tab w:val="right" w:leader="dot" w:pos="7699"/>
      </w:tabs>
      <w:spacing w:before="180"/>
      <w:ind w:right="851"/>
    </w:pPr>
    <w:rPr>
      <w:b/>
      <w:color w:val="000000"/>
      <w:sz w:val="20"/>
    </w:rPr>
  </w:style>
  <w:style w:type="paragraph" w:styleId="TOC2">
    <w:name w:val="toc 2"/>
    <w:basedOn w:val="Normal"/>
    <w:next w:val="Normal"/>
    <w:autoRedefine/>
    <w:rsid w:val="00D75424"/>
    <w:pPr>
      <w:keepLines/>
      <w:tabs>
        <w:tab w:val="right" w:leader="dot" w:pos="7699"/>
      </w:tabs>
      <w:autoSpaceDE/>
      <w:autoSpaceDN/>
      <w:adjustRightInd/>
      <w:spacing w:before="40"/>
      <w:ind w:right="851"/>
    </w:pPr>
    <w:rPr>
      <w:rFonts w:cs="Times New Roman"/>
      <w:lang w:val="en-AU"/>
    </w:rPr>
  </w:style>
  <w:style w:type="paragraph" w:styleId="TOC3">
    <w:name w:val="toc 3"/>
    <w:basedOn w:val="HeadingBase"/>
    <w:next w:val="Normal"/>
    <w:autoRedefine/>
    <w:rsid w:val="00D75424"/>
    <w:pPr>
      <w:tabs>
        <w:tab w:val="right" w:leader="dot" w:pos="7699"/>
      </w:tabs>
      <w:spacing w:before="180"/>
      <w:ind w:right="851"/>
    </w:pPr>
    <w:rPr>
      <w:b/>
      <w:color w:val="000000"/>
      <w:sz w:val="20"/>
    </w:rPr>
  </w:style>
  <w:style w:type="paragraph" w:customStyle="1" w:styleId="HeaderOdd">
    <w:name w:val="Header Odd"/>
    <w:basedOn w:val="HeaderBase"/>
    <w:rsid w:val="00D75424"/>
    <w:pPr>
      <w:jc w:val="right"/>
    </w:pPr>
  </w:style>
  <w:style w:type="paragraph" w:customStyle="1" w:styleId="HeaderEven">
    <w:name w:val="Header Even"/>
    <w:basedOn w:val="HeaderBase"/>
    <w:rsid w:val="00D75424"/>
  </w:style>
  <w:style w:type="paragraph" w:customStyle="1" w:styleId="FileProperties">
    <w:name w:val="File Properties"/>
    <w:basedOn w:val="Normal"/>
    <w:rsid w:val="00D75424"/>
    <w:pPr>
      <w:keepLines/>
      <w:autoSpaceDE/>
      <w:autoSpaceDN/>
      <w:adjustRightInd/>
      <w:spacing w:after="240" w:line="260" w:lineRule="exact"/>
      <w:jc w:val="both"/>
    </w:pPr>
    <w:rPr>
      <w:rFonts w:ascii="Book Antiqua" w:hAnsi="Book Antiqua" w:cs="Times New Roman"/>
      <w:i/>
      <w:color w:val="000000"/>
      <w:lang w:val="en-AU"/>
    </w:rPr>
  </w:style>
  <w:style w:type="character" w:customStyle="1" w:styleId="FramedHeader">
    <w:name w:val="Framed Header"/>
    <w:rsid w:val="00D75424"/>
    <w:rPr>
      <w:rFonts w:ascii="Book Antiqua" w:hAnsi="Book Antiqua"/>
      <w:i/>
      <w:dstrike w:val="0"/>
      <w:sz w:val="20"/>
      <w:szCs w:val="20"/>
      <w:vertAlign w:val="baseline"/>
    </w:rPr>
  </w:style>
  <w:style w:type="paragraph" w:styleId="TOC4">
    <w:name w:val="toc 4"/>
    <w:basedOn w:val="Normal"/>
    <w:next w:val="Normal"/>
    <w:autoRedefine/>
    <w:semiHidden/>
    <w:rsid w:val="00D75424"/>
    <w:pPr>
      <w:keepLines/>
      <w:tabs>
        <w:tab w:val="right" w:leader="dot" w:pos="7699"/>
      </w:tabs>
      <w:autoSpaceDE/>
      <w:autoSpaceDN/>
      <w:adjustRightInd/>
      <w:spacing w:before="40"/>
    </w:pPr>
    <w:rPr>
      <w:rFonts w:cs="Times New Roman"/>
      <w:lang w:val="en-AU"/>
    </w:rPr>
  </w:style>
  <w:style w:type="paragraph" w:customStyle="1" w:styleId="Bullet">
    <w:name w:val="Bullet"/>
    <w:basedOn w:val="Normal"/>
    <w:rsid w:val="00657384"/>
    <w:pPr>
      <w:keepLines/>
      <w:numPr>
        <w:numId w:val="38"/>
      </w:numPr>
      <w:autoSpaceDE/>
      <w:autoSpaceDN/>
      <w:adjustRightInd/>
      <w:spacing w:before="120" w:after="120" w:line="240" w:lineRule="exact"/>
      <w:ind w:left="284" w:hanging="284"/>
    </w:pPr>
    <w:rPr>
      <w:rFonts w:ascii="Book Antiqua" w:hAnsi="Book Antiqua" w:cs="Times New Roman"/>
      <w:sz w:val="19"/>
      <w:lang w:val="en-AU"/>
    </w:rPr>
  </w:style>
  <w:style w:type="paragraph" w:customStyle="1" w:styleId="OverviewParagraph">
    <w:name w:val="Overview Paragraph"/>
    <w:basedOn w:val="Normal"/>
    <w:rsid w:val="00D75424"/>
    <w:pPr>
      <w:keepLines/>
      <w:autoSpaceDE/>
      <w:autoSpaceDN/>
      <w:adjustRightInd/>
      <w:spacing w:before="120" w:after="120" w:line="260" w:lineRule="exact"/>
      <w:jc w:val="both"/>
    </w:pPr>
    <w:rPr>
      <w:rFonts w:ascii="Book Antiqua" w:hAnsi="Book Antiqua" w:cs="Times New Roman"/>
      <w:lang w:val="en-AU"/>
    </w:rPr>
  </w:style>
  <w:style w:type="paragraph" w:customStyle="1" w:styleId="AppendixHeading">
    <w:name w:val="Appendix Heading"/>
    <w:basedOn w:val="HeadingBase"/>
    <w:next w:val="Normal"/>
    <w:rsid w:val="00FF3726"/>
    <w:pPr>
      <w:spacing w:before="240" w:after="240"/>
      <w:jc w:val="center"/>
    </w:pPr>
    <w:rPr>
      <w:b/>
      <w:bCs/>
      <w:sz w:val="26"/>
      <w:szCs w:val="26"/>
    </w:rPr>
  </w:style>
  <w:style w:type="paragraph" w:customStyle="1" w:styleId="DoubleDot">
    <w:name w:val="Double Dot"/>
    <w:basedOn w:val="Bullet"/>
    <w:rsid w:val="00D75424"/>
    <w:pPr>
      <w:numPr>
        <w:ilvl w:val="2"/>
      </w:numPr>
    </w:pPr>
  </w:style>
  <w:style w:type="paragraph" w:customStyle="1" w:styleId="Dash">
    <w:name w:val="Dash"/>
    <w:basedOn w:val="Bullet"/>
    <w:rsid w:val="00D75424"/>
    <w:pPr>
      <w:numPr>
        <w:ilvl w:val="1"/>
      </w:numPr>
    </w:pPr>
  </w:style>
  <w:style w:type="paragraph" w:customStyle="1" w:styleId="SingleParagraph">
    <w:name w:val="SingleParagraph"/>
    <w:basedOn w:val="Normal"/>
    <w:next w:val="Normal"/>
    <w:rsid w:val="00BA7366"/>
    <w:pPr>
      <w:keepNext/>
      <w:keepLines/>
      <w:autoSpaceDE/>
      <w:autoSpaceDN/>
      <w:adjustRightInd/>
      <w:spacing w:line="226" w:lineRule="exact"/>
      <w:jc w:val="both"/>
    </w:pPr>
    <w:rPr>
      <w:rFonts w:ascii="Book Antiqua" w:hAnsi="Book Antiqua" w:cs="Times New Roman"/>
      <w:color w:val="000000"/>
      <w:sz w:val="16"/>
      <w:lang w:val="en-AU"/>
    </w:rPr>
  </w:style>
  <w:style w:type="paragraph" w:customStyle="1" w:styleId="MeasureTableTextLeftAligned">
    <w:name w:val="Measure Table Text Left Aligned"/>
    <w:basedOn w:val="Normal"/>
    <w:rsid w:val="00D75424"/>
    <w:pPr>
      <w:keepNext/>
      <w:keepLines/>
      <w:autoSpaceDE/>
      <w:autoSpaceDN/>
      <w:adjustRightInd/>
      <w:spacing w:before="60" w:after="60"/>
    </w:pPr>
    <w:rPr>
      <w:rFonts w:cs="Times New Roman"/>
      <w:color w:val="000000"/>
      <w:sz w:val="16"/>
      <w:lang w:val="en-AU"/>
    </w:rPr>
  </w:style>
  <w:style w:type="paragraph" w:customStyle="1" w:styleId="ChartandTableFootnoteAlpha">
    <w:name w:val="Chart and Table Footnote Alpha"/>
    <w:basedOn w:val="ChartandTableFootnote"/>
    <w:next w:val="Normal"/>
    <w:rsid w:val="00FF3726"/>
    <w:pPr>
      <w:numPr>
        <w:numId w:val="36"/>
      </w:numPr>
    </w:pPr>
    <w:rPr>
      <w:rFonts w:cs="Arial"/>
      <w:bCs/>
      <w:szCs w:val="24"/>
      <w:lang w:eastAsia="en-US"/>
    </w:rPr>
  </w:style>
  <w:style w:type="paragraph" w:customStyle="1" w:styleId="MeasureTableHeading">
    <w:name w:val="Measure Table Heading"/>
    <w:basedOn w:val="HeadingBase"/>
    <w:rsid w:val="00D75424"/>
    <w:pPr>
      <w:keepNext/>
    </w:pPr>
    <w:rPr>
      <w:sz w:val="16"/>
    </w:rPr>
  </w:style>
  <w:style w:type="paragraph" w:customStyle="1" w:styleId="MeasureTableTextRightAligned">
    <w:name w:val="Measure Table Text Right Aligned"/>
    <w:basedOn w:val="HeadingBase"/>
    <w:rsid w:val="00D75424"/>
    <w:pPr>
      <w:keepNext/>
      <w:spacing w:before="60" w:after="60"/>
      <w:ind w:right="57"/>
      <w:jc w:val="right"/>
    </w:pPr>
    <w:rPr>
      <w:sz w:val="16"/>
    </w:rPr>
  </w:style>
  <w:style w:type="paragraph" w:styleId="TOC5">
    <w:name w:val="toc 5"/>
    <w:basedOn w:val="Normal"/>
    <w:next w:val="Normal"/>
    <w:autoRedefine/>
    <w:semiHidden/>
    <w:rsid w:val="00D75424"/>
    <w:pPr>
      <w:keepLines/>
      <w:tabs>
        <w:tab w:val="right" w:leader="dot" w:pos="7700"/>
      </w:tabs>
      <w:autoSpaceDE/>
      <w:autoSpaceDN/>
      <w:adjustRightInd/>
      <w:spacing w:before="60"/>
      <w:ind w:left="567" w:right="851"/>
    </w:pPr>
    <w:rPr>
      <w:rFonts w:ascii="Book Antiqua" w:hAnsi="Book Antiqua" w:cs="Times New Roman"/>
      <w:lang w:val="en-AU"/>
    </w:rPr>
  </w:style>
  <w:style w:type="paragraph" w:styleId="TOC6">
    <w:name w:val="toc 6"/>
    <w:basedOn w:val="Normal"/>
    <w:next w:val="Normal"/>
    <w:autoRedefine/>
    <w:semiHidden/>
    <w:rsid w:val="00D75424"/>
    <w:pPr>
      <w:keepLines/>
      <w:autoSpaceDE/>
      <w:autoSpaceDN/>
      <w:adjustRightInd/>
      <w:spacing w:after="240" w:line="260" w:lineRule="exact"/>
      <w:ind w:left="1000"/>
      <w:jc w:val="both"/>
    </w:pPr>
    <w:rPr>
      <w:rFonts w:ascii="Book Antiqua" w:hAnsi="Book Antiqua" w:cs="Times New Roman"/>
      <w:lang w:val="en-AU"/>
    </w:rPr>
  </w:style>
  <w:style w:type="paragraph" w:styleId="TOC7">
    <w:name w:val="toc 7"/>
    <w:basedOn w:val="Normal"/>
    <w:next w:val="Normal"/>
    <w:autoRedefine/>
    <w:semiHidden/>
    <w:rsid w:val="00D75424"/>
    <w:pPr>
      <w:keepLines/>
      <w:autoSpaceDE/>
      <w:autoSpaceDN/>
      <w:adjustRightInd/>
      <w:spacing w:after="240" w:line="260" w:lineRule="exact"/>
      <w:ind w:left="1200"/>
      <w:jc w:val="both"/>
    </w:pPr>
    <w:rPr>
      <w:rFonts w:ascii="Book Antiqua" w:hAnsi="Book Antiqua" w:cs="Times New Roman"/>
      <w:lang w:val="en-AU"/>
    </w:rPr>
  </w:style>
  <w:style w:type="paragraph" w:styleId="TOC8">
    <w:name w:val="toc 8"/>
    <w:basedOn w:val="Normal"/>
    <w:next w:val="Normal"/>
    <w:autoRedefine/>
    <w:semiHidden/>
    <w:rsid w:val="00D75424"/>
    <w:pPr>
      <w:keepLines/>
      <w:autoSpaceDE/>
      <w:autoSpaceDN/>
      <w:adjustRightInd/>
      <w:spacing w:after="240" w:line="260" w:lineRule="exact"/>
      <w:ind w:left="1400"/>
      <w:jc w:val="both"/>
    </w:pPr>
    <w:rPr>
      <w:rFonts w:ascii="Book Antiqua" w:hAnsi="Book Antiqua" w:cs="Times New Roman"/>
      <w:lang w:val="en-AU"/>
    </w:rPr>
  </w:style>
  <w:style w:type="paragraph" w:styleId="TOC9">
    <w:name w:val="toc 9"/>
    <w:basedOn w:val="Normal"/>
    <w:next w:val="Normal"/>
    <w:autoRedefine/>
    <w:semiHidden/>
    <w:rsid w:val="00D75424"/>
    <w:pPr>
      <w:keepLines/>
      <w:autoSpaceDE/>
      <w:autoSpaceDN/>
      <w:adjustRightInd/>
      <w:spacing w:after="240" w:line="260" w:lineRule="exact"/>
      <w:ind w:left="1600"/>
      <w:jc w:val="both"/>
    </w:pPr>
    <w:rPr>
      <w:rFonts w:ascii="Book Antiqua" w:hAnsi="Book Antiqua" w:cs="Times New Roman"/>
      <w:lang w:val="en-AU"/>
    </w:rPr>
  </w:style>
  <w:style w:type="paragraph" w:customStyle="1" w:styleId="FigureHeading">
    <w:name w:val="Figure Heading"/>
    <w:basedOn w:val="HeadingBase"/>
    <w:next w:val="Normal"/>
    <w:rsid w:val="00D75424"/>
    <w:pPr>
      <w:keepNext/>
      <w:spacing w:before="120" w:after="20"/>
    </w:pPr>
    <w:rPr>
      <w:b/>
      <w:color w:val="000000"/>
      <w:sz w:val="20"/>
    </w:rPr>
  </w:style>
  <w:style w:type="paragraph" w:styleId="Closing">
    <w:name w:val="Closing"/>
    <w:basedOn w:val="Normal"/>
    <w:link w:val="ClosingChar"/>
    <w:rsid w:val="00D75424"/>
    <w:pPr>
      <w:keepLines/>
      <w:autoSpaceDE/>
      <w:autoSpaceDN/>
      <w:adjustRightInd/>
      <w:spacing w:after="240" w:line="260" w:lineRule="exact"/>
      <w:ind w:left="4252"/>
      <w:jc w:val="both"/>
    </w:pPr>
    <w:rPr>
      <w:rFonts w:ascii="Book Antiqua" w:hAnsi="Book Antiqua" w:cs="Times New Roman"/>
      <w:lang w:val="en-AU"/>
    </w:rPr>
  </w:style>
  <w:style w:type="paragraph" w:customStyle="1" w:styleId="NoteTableHeading">
    <w:name w:val="Note Table Heading"/>
    <w:basedOn w:val="HeadingBase"/>
    <w:next w:val="Normal"/>
    <w:rsid w:val="00D75424"/>
    <w:pPr>
      <w:keepNext/>
      <w:spacing w:before="480"/>
    </w:pPr>
    <w:rPr>
      <w:b/>
      <w:color w:val="000000"/>
      <w:sz w:val="20"/>
    </w:rPr>
  </w:style>
  <w:style w:type="paragraph" w:customStyle="1" w:styleId="ChartandTableFootnoteSmall">
    <w:name w:val="Chart and Table Footnote Small"/>
    <w:basedOn w:val="ChartandTableFootnote"/>
    <w:rsid w:val="00D75424"/>
    <w:rPr>
      <w:sz w:val="15"/>
    </w:rPr>
  </w:style>
  <w:style w:type="paragraph" w:customStyle="1" w:styleId="ChartandTableFootnoteAlphaSmall">
    <w:name w:val="Chart and Table Footnote Alpha Small"/>
    <w:basedOn w:val="ChartandTableFootnoteAlpha"/>
    <w:rsid w:val="00D75424"/>
    <w:pPr>
      <w:numPr>
        <w:numId w:val="0"/>
      </w:numPr>
    </w:pPr>
    <w:rPr>
      <w:sz w:val="15"/>
    </w:rPr>
  </w:style>
  <w:style w:type="paragraph" w:customStyle="1" w:styleId="Source">
    <w:name w:val="Source"/>
    <w:basedOn w:val="HeadingBase"/>
    <w:next w:val="Normal"/>
    <w:rsid w:val="00D75424"/>
    <w:pPr>
      <w:jc w:val="both"/>
    </w:pPr>
    <w:rPr>
      <w:sz w:val="16"/>
    </w:rPr>
  </w:style>
  <w:style w:type="paragraph" w:customStyle="1" w:styleId="BlockedQuotation">
    <w:name w:val="Blocked Quotation"/>
    <w:basedOn w:val="Normal"/>
    <w:rsid w:val="00D75424"/>
    <w:pPr>
      <w:keepLines/>
      <w:autoSpaceDE/>
      <w:autoSpaceDN/>
      <w:adjustRightInd/>
      <w:spacing w:after="240" w:line="260" w:lineRule="exact"/>
      <w:ind w:left="567"/>
      <w:jc w:val="both"/>
    </w:pPr>
    <w:rPr>
      <w:rFonts w:ascii="Book Antiqua" w:hAnsi="Book Antiqua" w:cs="Times New Roman"/>
      <w:lang w:val="en-AU"/>
    </w:rPr>
  </w:style>
  <w:style w:type="paragraph" w:customStyle="1" w:styleId="Exactly">
    <w:name w:val="Exactly"/>
    <w:basedOn w:val="Normal"/>
    <w:next w:val="Normal"/>
    <w:rsid w:val="00D75424"/>
    <w:pPr>
      <w:keepLines/>
      <w:autoSpaceDE/>
      <w:autoSpaceDN/>
      <w:adjustRightInd/>
      <w:spacing w:after="240"/>
      <w:jc w:val="both"/>
    </w:pPr>
    <w:rPr>
      <w:rFonts w:ascii="Book Antiqua" w:hAnsi="Book Antiqua" w:cs="Times New Roman"/>
      <w:lang w:val="en-AU"/>
    </w:rPr>
  </w:style>
  <w:style w:type="paragraph" w:customStyle="1" w:styleId="TPHeading1">
    <w:name w:val="TP Heading 1"/>
    <w:basedOn w:val="HeadingBase"/>
    <w:rsid w:val="00D75424"/>
    <w:pPr>
      <w:keepNext/>
      <w:spacing w:before="60" w:after="60"/>
      <w:ind w:left="1134"/>
    </w:pPr>
    <w:rPr>
      <w:rFonts w:ascii="Arial Bold" w:hAnsi="Arial Bold"/>
      <w:b/>
      <w:caps/>
      <w:spacing w:val="-10"/>
      <w:sz w:val="28"/>
    </w:rPr>
  </w:style>
  <w:style w:type="paragraph" w:customStyle="1" w:styleId="TPHeading2">
    <w:name w:val="TP Heading 2"/>
    <w:basedOn w:val="HeadingBase"/>
    <w:rsid w:val="00D75424"/>
    <w:pPr>
      <w:keepNext/>
      <w:ind w:left="1134"/>
    </w:pPr>
    <w:rPr>
      <w:caps/>
      <w:spacing w:val="-10"/>
      <w:sz w:val="28"/>
    </w:rPr>
  </w:style>
  <w:style w:type="paragraph" w:customStyle="1" w:styleId="TPHeading3">
    <w:name w:val="TP Heading 3"/>
    <w:basedOn w:val="HeadingBase"/>
    <w:rsid w:val="00D75424"/>
    <w:pPr>
      <w:keepNext/>
      <w:ind w:left="1134"/>
    </w:pPr>
    <w:rPr>
      <w:caps/>
      <w:spacing w:val="-10"/>
    </w:rPr>
  </w:style>
  <w:style w:type="paragraph" w:customStyle="1" w:styleId="Table">
    <w:name w:val="Table"/>
    <w:basedOn w:val="Normal"/>
    <w:rsid w:val="00D75424"/>
    <w:pPr>
      <w:keepLines/>
      <w:autoSpaceDE/>
      <w:autoSpaceDN/>
      <w:adjustRightInd/>
      <w:spacing w:before="40" w:after="40"/>
    </w:pPr>
    <w:rPr>
      <w:rFonts w:cs="Times New Roman"/>
      <w:sz w:val="16"/>
      <w:lang w:val="en-AU"/>
    </w:rPr>
  </w:style>
  <w:style w:type="paragraph" w:customStyle="1" w:styleId="AgencyNamewith2ptsspacing">
    <w:name w:val="AgencyName with 2 pts spacing"/>
    <w:basedOn w:val="AgencyName"/>
    <w:rsid w:val="00D75424"/>
    <w:pPr>
      <w:spacing w:before="40" w:after="40"/>
    </w:pPr>
  </w:style>
  <w:style w:type="paragraph" w:customStyle="1" w:styleId="Summarytabletextleftaligned">
    <w:name w:val="Summary table text left aligned"/>
    <w:basedOn w:val="MeasureTableTextLeftAligned"/>
    <w:rsid w:val="00D75424"/>
    <w:pPr>
      <w:keepNext w:val="0"/>
      <w:keepLines w:val="0"/>
      <w:tabs>
        <w:tab w:val="left" w:pos="285"/>
      </w:tabs>
      <w:spacing w:before="20" w:after="20"/>
    </w:pPr>
    <w:rPr>
      <w:noProof/>
      <w:szCs w:val="16"/>
    </w:rPr>
  </w:style>
  <w:style w:type="paragraph" w:customStyle="1" w:styleId="SummaryThemeTitle-Election">
    <w:name w:val="Summary Theme Title - Election"/>
    <w:basedOn w:val="Summarytabletextleftaligned"/>
    <w:rsid w:val="00D75424"/>
    <w:pPr>
      <w:ind w:left="340" w:right="57" w:hanging="113"/>
    </w:pPr>
  </w:style>
  <w:style w:type="paragraph" w:customStyle="1" w:styleId="SummaryMeasureTitlewithTheme">
    <w:name w:val="Summary Measure Title with Theme"/>
    <w:basedOn w:val="Summarytabletextleftaligned"/>
    <w:rsid w:val="00D75424"/>
    <w:pPr>
      <w:ind w:left="340" w:right="57" w:hanging="113"/>
    </w:pPr>
  </w:style>
  <w:style w:type="paragraph" w:customStyle="1" w:styleId="Summarytabletextrightaligned">
    <w:name w:val="Summary table text right aligned"/>
    <w:basedOn w:val="MeasureTableTextRightAligned"/>
    <w:rsid w:val="00D75424"/>
    <w:pPr>
      <w:keepNext w:val="0"/>
      <w:spacing w:before="20" w:after="20"/>
    </w:pPr>
  </w:style>
  <w:style w:type="paragraph" w:customStyle="1" w:styleId="Summarytabletextrightalignedbold">
    <w:name w:val="Summary table text right aligned bold"/>
    <w:basedOn w:val="Normal"/>
    <w:rsid w:val="00D75424"/>
    <w:pPr>
      <w:autoSpaceDE/>
      <w:autoSpaceDN/>
      <w:adjustRightInd/>
      <w:spacing w:before="20" w:after="20"/>
      <w:ind w:right="57"/>
      <w:jc w:val="right"/>
    </w:pPr>
    <w:rPr>
      <w:rFonts w:cs="Times New Roman"/>
      <w:b/>
      <w:sz w:val="16"/>
      <w:lang w:val="en-AU"/>
    </w:rPr>
  </w:style>
  <w:style w:type="paragraph" w:customStyle="1" w:styleId="AgencyName">
    <w:name w:val="AgencyName"/>
    <w:basedOn w:val="Table"/>
    <w:rsid w:val="00D75424"/>
    <w:pPr>
      <w:spacing w:before="20" w:after="20"/>
      <w:ind w:right="113"/>
    </w:pPr>
    <w:rPr>
      <w:rFonts w:cs="Arial"/>
      <w:i/>
      <w:szCs w:val="16"/>
    </w:rPr>
  </w:style>
  <w:style w:type="paragraph" w:customStyle="1" w:styleId="MeasureType">
    <w:name w:val="MeasureType"/>
    <w:basedOn w:val="SummaryPortfolioTitle-BP2"/>
    <w:rsid w:val="00D75424"/>
  </w:style>
  <w:style w:type="paragraph" w:customStyle="1" w:styleId="SummaryAgencyTitle-BP2Theme">
    <w:name w:val="Summary Agency Title - BP2 Theme"/>
    <w:basedOn w:val="Normal"/>
    <w:rsid w:val="00D75424"/>
    <w:pPr>
      <w:keepLines/>
      <w:autoSpaceDE/>
      <w:autoSpaceDN/>
      <w:adjustRightInd/>
      <w:spacing w:before="20" w:after="20"/>
      <w:ind w:left="113" w:right="57" w:hanging="113"/>
    </w:pPr>
    <w:rPr>
      <w:i/>
      <w:sz w:val="16"/>
      <w:szCs w:val="16"/>
      <w:lang w:val="en-AU"/>
    </w:rPr>
  </w:style>
  <w:style w:type="paragraph" w:customStyle="1" w:styleId="SummaryMeasureTitle-BP2Theme">
    <w:name w:val="Summary Measure Title - BP2 Theme"/>
    <w:basedOn w:val="Summarytabletextleftaligned"/>
    <w:rsid w:val="00D75424"/>
    <w:pPr>
      <w:ind w:left="226" w:right="57" w:hanging="113"/>
    </w:pPr>
  </w:style>
  <w:style w:type="paragraph" w:customStyle="1" w:styleId="MeasureTableYearHeadings">
    <w:name w:val="Measure Table Year Headings"/>
    <w:basedOn w:val="Table"/>
    <w:rsid w:val="00D75424"/>
    <w:pPr>
      <w:jc w:val="right"/>
    </w:pPr>
  </w:style>
  <w:style w:type="paragraph" w:customStyle="1" w:styleId="SummaryThemeTotal">
    <w:name w:val="Summary Theme Total"/>
    <w:basedOn w:val="Summarytabletextleftaligned"/>
    <w:rsid w:val="00D75424"/>
    <w:rPr>
      <w:b/>
      <w:i/>
    </w:rPr>
  </w:style>
  <w:style w:type="paragraph" w:customStyle="1" w:styleId="MeasureTableHeadingleftalignedwith2ptsspacing">
    <w:name w:val="Measure Table Heading left aligned with 2 pts spacing"/>
    <w:basedOn w:val="MeasureTableYearHeadings"/>
    <w:rsid w:val="00D75424"/>
    <w:pPr>
      <w:jc w:val="left"/>
    </w:pPr>
  </w:style>
  <w:style w:type="paragraph" w:customStyle="1" w:styleId="MeasureTableYearHeadingsitalics">
    <w:name w:val="Measure Table Year Headings italics"/>
    <w:basedOn w:val="MeasureTableYearHeadings"/>
    <w:rsid w:val="00D75424"/>
    <w:rPr>
      <w:i/>
    </w:rPr>
  </w:style>
  <w:style w:type="paragraph" w:customStyle="1" w:styleId="Summarytabletextleftalignedbold">
    <w:name w:val="Summary table text left aligned bold"/>
    <w:basedOn w:val="Summarytabletextleftaligned"/>
    <w:rsid w:val="00D75424"/>
    <w:rPr>
      <w:b/>
    </w:rPr>
  </w:style>
  <w:style w:type="paragraph" w:customStyle="1" w:styleId="Summarytabletextleftalignedboldwith6ptsbefore">
    <w:name w:val="Summary table text left aligned bold with 6 pts before"/>
    <w:basedOn w:val="Summarytabletextleftaligned"/>
    <w:rsid w:val="00D75424"/>
    <w:pPr>
      <w:spacing w:before="120"/>
    </w:pPr>
    <w:rPr>
      <w:rFonts w:ascii="Helvetica" w:hAnsi="Helvetica"/>
      <w:b/>
    </w:rPr>
  </w:style>
  <w:style w:type="paragraph" w:customStyle="1" w:styleId="SummaryPortfolioTitle-BP2">
    <w:name w:val="Summary Portfolio Title - BP2"/>
    <w:aliases w:val="Theme"/>
    <w:basedOn w:val="Normal"/>
    <w:rsid w:val="00D75424"/>
    <w:pPr>
      <w:autoSpaceDE/>
      <w:autoSpaceDN/>
      <w:adjustRightInd/>
      <w:spacing w:before="120" w:after="20"/>
      <w:ind w:right="113"/>
    </w:pPr>
    <w:rPr>
      <w:rFonts w:cs="Times New Roman"/>
      <w:b/>
      <w:caps/>
      <w:sz w:val="16"/>
      <w:lang w:val="en-AU"/>
    </w:rPr>
  </w:style>
  <w:style w:type="paragraph" w:customStyle="1" w:styleId="Summarytabletotalsrightalignedbolditalic">
    <w:name w:val="Summary table totals right aligned bold italic"/>
    <w:basedOn w:val="Summarytabletextrightalignedbold"/>
    <w:rsid w:val="00D75424"/>
    <w:pPr>
      <w:keepNext/>
    </w:pPr>
    <w:rPr>
      <w:i/>
    </w:rPr>
  </w:style>
  <w:style w:type="paragraph" w:customStyle="1" w:styleId="SummaryTabletextrightalignedkwn">
    <w:name w:val="Summary Table text right aligned kwn"/>
    <w:basedOn w:val="Summarytabletextrightaligned"/>
    <w:rsid w:val="00D75424"/>
    <w:pPr>
      <w:keepNext/>
    </w:pPr>
  </w:style>
  <w:style w:type="paragraph" w:customStyle="1" w:styleId="MeasureTableFootnote">
    <w:name w:val="MeasureTableFootnote"/>
    <w:basedOn w:val="SingleParagraph"/>
    <w:next w:val="Normal"/>
    <w:rsid w:val="00D75424"/>
    <w:rPr>
      <w:rFonts w:ascii="Arial" w:hAnsi="Arial"/>
      <w:szCs w:val="16"/>
    </w:rPr>
  </w:style>
  <w:style w:type="paragraph" w:customStyle="1" w:styleId="MeasureTableDataRightAlignedwith2ptsspacing">
    <w:name w:val="MeasureTableDataRightAligned with 2 pts spacing"/>
    <w:basedOn w:val="MeasureTableYearHeadings"/>
    <w:rsid w:val="00D75424"/>
  </w:style>
  <w:style w:type="paragraph" w:customStyle="1" w:styleId="Measuretabledatarightaligneditalics">
    <w:name w:val="Measure table data right aligned italics"/>
    <w:basedOn w:val="MeasureTableYearHeadingsitalics"/>
    <w:rsid w:val="00D75424"/>
  </w:style>
  <w:style w:type="paragraph" w:customStyle="1" w:styleId="Totalrowrightaligned">
    <w:name w:val="Total row right aligned"/>
    <w:basedOn w:val="MeasureTableDataRightAlignedwith2ptsspacing"/>
    <w:rsid w:val="00D75424"/>
  </w:style>
  <w:style w:type="paragraph" w:customStyle="1" w:styleId="Totalrowleftaligned">
    <w:name w:val="Total row left aligned"/>
    <w:basedOn w:val="MeasureTableHeadingleftalignedwith2ptsspacing"/>
    <w:rsid w:val="00D75424"/>
  </w:style>
  <w:style w:type="paragraph" w:customStyle="1" w:styleId="Totalrowitalicsrightaligned">
    <w:name w:val="Total row italics right aligned"/>
    <w:basedOn w:val="Measuretabledatarightaligneditalics"/>
    <w:rsid w:val="00D75424"/>
  </w:style>
  <w:style w:type="paragraph" w:customStyle="1" w:styleId="Totalrowitalicsleftaligned">
    <w:name w:val="Total row italics left aligned"/>
    <w:basedOn w:val="AgencyNamewith2ptsspacing"/>
    <w:rsid w:val="00D75424"/>
  </w:style>
  <w:style w:type="paragraph" w:customStyle="1" w:styleId="Totaldatarowrightaligned">
    <w:name w:val="Total data row right aligned"/>
    <w:basedOn w:val="MeasureTableDataRightAlignedwith2ptsspacing"/>
    <w:rsid w:val="00D75424"/>
  </w:style>
  <w:style w:type="paragraph" w:customStyle="1" w:styleId="Totaldatarowleftaligned">
    <w:name w:val="Total data row left aligned"/>
    <w:basedOn w:val="MeasureTableHeadingleftalignedwith2ptsspacing"/>
    <w:rsid w:val="00D75424"/>
  </w:style>
  <w:style w:type="paragraph" w:customStyle="1" w:styleId="MeasureTitle">
    <w:name w:val="MeasureTitle"/>
    <w:basedOn w:val="Heading5"/>
    <w:rsid w:val="00967153"/>
    <w:pPr>
      <w:spacing w:before="360"/>
      <w:outlineLvl w:val="3"/>
    </w:pPr>
  </w:style>
  <w:style w:type="paragraph" w:customStyle="1" w:styleId="PortfolioName">
    <w:name w:val="PortfolioName"/>
    <w:basedOn w:val="Heading3"/>
    <w:rsid w:val="005D3D2D"/>
    <w:pPr>
      <w:spacing w:before="240" w:after="240"/>
    </w:pPr>
    <w:rPr>
      <w:sz w:val="26"/>
    </w:rPr>
  </w:style>
  <w:style w:type="paragraph" w:customStyle="1" w:styleId="SummaryTableEndnoteSeparator">
    <w:name w:val="Summary Table Endnote Separator"/>
    <w:basedOn w:val="Normal"/>
    <w:rsid w:val="00D75424"/>
    <w:pPr>
      <w:keepLines/>
      <w:autoSpaceDE/>
      <w:autoSpaceDN/>
      <w:adjustRightInd/>
      <w:spacing w:line="20" w:lineRule="exact"/>
      <w:jc w:val="both"/>
    </w:pPr>
    <w:rPr>
      <w:rFonts w:ascii="Book Antiqua" w:hAnsi="Book Antiqua" w:cs="Times New Roman"/>
      <w:sz w:val="2"/>
      <w:lang w:val="en-AU"/>
    </w:rPr>
  </w:style>
  <w:style w:type="paragraph" w:customStyle="1" w:styleId="SubthemeTitle">
    <w:name w:val="Subtheme Title"/>
    <w:basedOn w:val="SummaryAgencyTitle-BP2Theme"/>
    <w:rsid w:val="00D75424"/>
    <w:pPr>
      <w:spacing w:before="120"/>
    </w:pPr>
    <w:rPr>
      <w:b/>
    </w:rPr>
  </w:style>
  <w:style w:type="paragraph" w:customStyle="1" w:styleId="SubthemeSubtotal">
    <w:name w:val="Subtheme Subtotal"/>
    <w:basedOn w:val="Summarytabletextleftalignedbold"/>
    <w:rsid w:val="00D75424"/>
  </w:style>
  <w:style w:type="paragraph" w:styleId="EndnoteText">
    <w:name w:val="endnote text"/>
    <w:basedOn w:val="ChartandTableFootnote"/>
    <w:link w:val="EndnoteTextChar"/>
    <w:rsid w:val="00641EAF"/>
    <w:pPr>
      <w:spacing w:before="30"/>
      <w:ind w:left="397" w:hanging="284"/>
    </w:pPr>
  </w:style>
  <w:style w:type="paragraph" w:customStyle="1" w:styleId="AgencyNameContinued">
    <w:name w:val="AgencyNameContinued"/>
    <w:basedOn w:val="SummaryPortfolioTitle-BP2"/>
    <w:next w:val="Normal"/>
    <w:rsid w:val="00D75424"/>
    <w:rPr>
      <w:rFonts w:ascii="Helvetica" w:hAnsi="Helvetica"/>
      <w:caps w:val="0"/>
      <w:szCs w:val="16"/>
    </w:rPr>
  </w:style>
  <w:style w:type="paragraph" w:customStyle="1" w:styleId="MeasureTypeHeading">
    <w:name w:val="MeasureTypeHeading"/>
    <w:basedOn w:val="MeasureType"/>
    <w:rsid w:val="00D75424"/>
  </w:style>
  <w:style w:type="paragraph" w:customStyle="1" w:styleId="TableSummaryHeading">
    <w:name w:val="TableSummaryHeading"/>
    <w:basedOn w:val="PortfolioName"/>
    <w:rsid w:val="00D75424"/>
  </w:style>
  <w:style w:type="character" w:styleId="EndnoteReference">
    <w:name w:val="endnote reference"/>
    <w:rsid w:val="00D75424"/>
    <w:rPr>
      <w:vertAlign w:val="baseline"/>
    </w:rPr>
  </w:style>
  <w:style w:type="paragraph" w:customStyle="1" w:styleId="SummaryAgencyTitle-BP2">
    <w:name w:val="Summary Agency Title - BP2"/>
    <w:aliases w:val="The"/>
    <w:basedOn w:val="Normal"/>
    <w:rsid w:val="00D75424"/>
    <w:pPr>
      <w:keepLines/>
      <w:autoSpaceDE/>
      <w:autoSpaceDN/>
      <w:adjustRightInd/>
      <w:spacing w:before="20" w:after="20"/>
      <w:ind w:left="113" w:right="113" w:hanging="113"/>
    </w:pPr>
    <w:rPr>
      <w:i/>
      <w:sz w:val="16"/>
      <w:szCs w:val="16"/>
      <w:lang w:val="en-AU"/>
    </w:rPr>
  </w:style>
  <w:style w:type="paragraph" w:customStyle="1" w:styleId="FootnoteBullet">
    <w:name w:val="Footnote Bullet"/>
    <w:basedOn w:val="Bullet"/>
    <w:rsid w:val="00D75424"/>
    <w:pPr>
      <w:numPr>
        <w:numId w:val="39"/>
      </w:numPr>
      <w:spacing w:after="0" w:line="240" w:lineRule="auto"/>
    </w:pPr>
    <w:rPr>
      <w:rFonts w:ascii="Arial" w:hAnsi="Arial"/>
      <w:i/>
      <w:sz w:val="16"/>
    </w:rPr>
  </w:style>
  <w:style w:type="paragraph" w:customStyle="1" w:styleId="MeasureTypeCont">
    <w:name w:val="MeasureTypeCont"/>
    <w:basedOn w:val="Normal"/>
    <w:rsid w:val="00D75424"/>
    <w:pPr>
      <w:autoSpaceDE/>
      <w:autoSpaceDN/>
      <w:adjustRightInd/>
      <w:spacing w:before="120" w:after="20"/>
      <w:ind w:right="113"/>
    </w:pPr>
    <w:rPr>
      <w:rFonts w:cs="Times New Roman"/>
      <w:b/>
      <w:caps/>
      <w:sz w:val="16"/>
      <w:lang w:val="en-AU"/>
    </w:rPr>
  </w:style>
  <w:style w:type="paragraph" w:customStyle="1" w:styleId="TPHeading3bold">
    <w:name w:val="TP Heading 3 bold"/>
    <w:basedOn w:val="TPHeading3"/>
    <w:rsid w:val="00D75424"/>
    <w:rPr>
      <w:rFonts w:cs="Arial"/>
      <w:b/>
      <w:sz w:val="22"/>
      <w:szCs w:val="22"/>
    </w:rPr>
  </w:style>
  <w:style w:type="paragraph" w:customStyle="1" w:styleId="TPHEADING3boldspace">
    <w:name w:val="TP HEADING 3 bold space"/>
    <w:basedOn w:val="TPHeading3bold"/>
    <w:rsid w:val="00D75424"/>
    <w:pPr>
      <w:spacing w:after="120"/>
    </w:pPr>
  </w:style>
  <w:style w:type="paragraph" w:customStyle="1" w:styleId="TPHEADING3space">
    <w:name w:val="TP HEADING 3 space"/>
    <w:basedOn w:val="TPHeading3"/>
    <w:rsid w:val="00D75424"/>
    <w:pPr>
      <w:spacing w:before="120" w:after="120"/>
    </w:pPr>
    <w:rPr>
      <w:rFonts w:cs="Arial"/>
      <w:sz w:val="22"/>
      <w:szCs w:val="22"/>
    </w:rPr>
  </w:style>
  <w:style w:type="paragraph" w:customStyle="1" w:styleId="TPHeading4">
    <w:name w:val="TP Heading 4"/>
    <w:basedOn w:val="TPHeading3"/>
    <w:rsid w:val="00D75424"/>
    <w:rPr>
      <w:sz w:val="20"/>
    </w:rPr>
  </w:style>
  <w:style w:type="paragraph" w:customStyle="1" w:styleId="TPHEADING4space">
    <w:name w:val="TP HEADING 4 space"/>
    <w:basedOn w:val="TPHEADING3space"/>
    <w:rsid w:val="00D75424"/>
  </w:style>
  <w:style w:type="paragraph" w:customStyle="1" w:styleId="SourceBox">
    <w:name w:val="Source Box"/>
    <w:basedOn w:val="Source"/>
    <w:rsid w:val="00D75424"/>
    <w:pPr>
      <w:tabs>
        <w:tab w:val="left" w:pos="284"/>
      </w:tabs>
      <w:spacing w:after="120"/>
    </w:pPr>
  </w:style>
  <w:style w:type="character" w:customStyle="1" w:styleId="A5">
    <w:name w:val="A5"/>
    <w:uiPriority w:val="99"/>
    <w:rsid w:val="00D75424"/>
    <w:rPr>
      <w:rFonts w:cs="Swiss 721 BT"/>
      <w:color w:val="000000"/>
      <w:sz w:val="20"/>
      <w:szCs w:val="20"/>
    </w:rPr>
  </w:style>
  <w:style w:type="character" w:styleId="Hyperlink">
    <w:name w:val="Hyperlink"/>
    <w:uiPriority w:val="99"/>
    <w:unhideWhenUsed/>
    <w:rsid w:val="00D75424"/>
    <w:rPr>
      <w:color w:val="0000FF"/>
      <w:u w:val="single"/>
    </w:rPr>
  </w:style>
  <w:style w:type="paragraph" w:styleId="BalloonText">
    <w:name w:val="Balloon Text"/>
    <w:basedOn w:val="Normal"/>
    <w:link w:val="BalloonTextChar"/>
    <w:rsid w:val="00D75424"/>
    <w:pPr>
      <w:autoSpaceDE/>
      <w:autoSpaceDN/>
      <w:adjustRightInd/>
      <w:jc w:val="both"/>
    </w:pPr>
    <w:rPr>
      <w:rFonts w:ascii="Tahoma" w:hAnsi="Tahoma" w:cs="Tahoma"/>
      <w:sz w:val="16"/>
      <w:szCs w:val="16"/>
      <w:lang w:val="en-AU"/>
    </w:rPr>
  </w:style>
  <w:style w:type="character" w:customStyle="1" w:styleId="BalloonTextChar">
    <w:name w:val="Balloon Text Char"/>
    <w:link w:val="BalloonText"/>
    <w:rsid w:val="00D75424"/>
    <w:rPr>
      <w:rFonts w:ascii="Tahoma" w:hAnsi="Tahoma" w:cs="Tahoma"/>
      <w:sz w:val="16"/>
      <w:szCs w:val="16"/>
    </w:rPr>
  </w:style>
  <w:style w:type="paragraph" w:styleId="NormalWeb">
    <w:name w:val="Normal (Web)"/>
    <w:basedOn w:val="Normal"/>
    <w:rsid w:val="00D75424"/>
    <w:pPr>
      <w:keepLines/>
      <w:autoSpaceDE/>
      <w:autoSpaceDN/>
      <w:adjustRightInd/>
      <w:spacing w:after="240" w:line="260" w:lineRule="exact"/>
      <w:jc w:val="both"/>
    </w:pPr>
    <w:rPr>
      <w:rFonts w:ascii="Times New Roman" w:hAnsi="Times New Roman" w:cs="Times New Roman"/>
      <w:sz w:val="24"/>
      <w:szCs w:val="24"/>
      <w:lang w:val="en-AU"/>
    </w:rPr>
  </w:style>
  <w:style w:type="paragraph" w:customStyle="1" w:styleId="AgencyNameContinuedAllcaps">
    <w:name w:val="AgencyNameContinued + All caps"/>
    <w:basedOn w:val="AgencyNameContinued"/>
    <w:qFormat/>
    <w:rsid w:val="00D75424"/>
  </w:style>
  <w:style w:type="character" w:customStyle="1" w:styleId="ClosingChar">
    <w:name w:val="Closing Char"/>
    <w:link w:val="Closing"/>
    <w:rsid w:val="00D75424"/>
    <w:rPr>
      <w:rFonts w:ascii="Book Antiqua" w:hAnsi="Book Antiqua"/>
    </w:rPr>
  </w:style>
  <w:style w:type="character" w:customStyle="1" w:styleId="EndnoteTextChar">
    <w:name w:val="Endnote Text Char"/>
    <w:link w:val="EndnoteText"/>
    <w:rsid w:val="00641EAF"/>
    <w:rPr>
      <w:rFonts w:ascii="Arial" w:hAnsi="Arial"/>
      <w:color w:val="000000"/>
      <w:sz w:val="16"/>
    </w:rPr>
  </w:style>
  <w:style w:type="character" w:customStyle="1" w:styleId="FooterChar">
    <w:name w:val="Footer Char"/>
    <w:link w:val="Footer"/>
    <w:rsid w:val="00D75424"/>
    <w:rPr>
      <w:rFonts w:ascii="Arial" w:hAnsi="Arial"/>
      <w:color w:val="000000"/>
    </w:rPr>
  </w:style>
  <w:style w:type="character" w:customStyle="1" w:styleId="FootnoteTextChar">
    <w:name w:val="Footnote Text Char"/>
    <w:link w:val="FootnoteText"/>
    <w:semiHidden/>
    <w:rsid w:val="00D75424"/>
    <w:rPr>
      <w:rFonts w:ascii="Book Antiqua" w:hAnsi="Book Antiqua"/>
      <w:color w:val="000000"/>
      <w:sz w:val="18"/>
    </w:rPr>
  </w:style>
  <w:style w:type="character" w:customStyle="1" w:styleId="HeaderChar">
    <w:name w:val="Header Char"/>
    <w:link w:val="Header"/>
    <w:rsid w:val="00D75424"/>
    <w:rPr>
      <w:rFonts w:ascii="Book Antiqua" w:hAnsi="Book Antiqua"/>
      <w:i/>
    </w:rPr>
  </w:style>
  <w:style w:type="character" w:customStyle="1" w:styleId="Heading1Char">
    <w:name w:val="Heading 1 Char"/>
    <w:link w:val="Heading1"/>
    <w:rsid w:val="00AF39AE"/>
    <w:rPr>
      <w:rFonts w:ascii="Arial" w:hAnsi="Arial"/>
      <w:b/>
      <w:kern w:val="28"/>
      <w:sz w:val="36"/>
    </w:rPr>
  </w:style>
  <w:style w:type="character" w:customStyle="1" w:styleId="Heading2Char">
    <w:name w:val="Heading 2 Char"/>
    <w:link w:val="Heading2"/>
    <w:rsid w:val="00E33721"/>
    <w:rPr>
      <w:rFonts w:ascii="Arial" w:hAnsi="Arial"/>
      <w:b/>
      <w:color w:val="000000"/>
      <w:sz w:val="26"/>
    </w:rPr>
  </w:style>
  <w:style w:type="character" w:customStyle="1" w:styleId="Heading3Char">
    <w:name w:val="Heading 3 Char"/>
    <w:link w:val="Heading3"/>
    <w:rsid w:val="00BA0F20"/>
    <w:rPr>
      <w:rFonts w:ascii="Arial Bold" w:hAnsi="Arial Bold"/>
      <w:b/>
      <w:color w:val="000000"/>
      <w:sz w:val="22"/>
    </w:rPr>
  </w:style>
  <w:style w:type="character" w:customStyle="1" w:styleId="Heading4Char">
    <w:name w:val="Heading 4 Char"/>
    <w:link w:val="Heading4"/>
    <w:rsid w:val="00D75424"/>
    <w:rPr>
      <w:rFonts w:ascii="Arial" w:hAnsi="Arial"/>
      <w:b/>
      <w:color w:val="000000"/>
      <w:sz w:val="22"/>
    </w:rPr>
  </w:style>
  <w:style w:type="character" w:customStyle="1" w:styleId="Heading5Char">
    <w:name w:val="Heading 5 Char"/>
    <w:link w:val="Heading5"/>
    <w:rsid w:val="00D75424"/>
    <w:rPr>
      <w:rFonts w:ascii="Arial" w:hAnsi="Arial"/>
      <w:b/>
      <w:color w:val="000000"/>
    </w:rPr>
  </w:style>
  <w:style w:type="character" w:customStyle="1" w:styleId="Heading6Char">
    <w:name w:val="Heading 6 Char"/>
    <w:link w:val="Heading6"/>
    <w:rsid w:val="00D75424"/>
    <w:rPr>
      <w:rFonts w:ascii="Arial" w:hAnsi="Arial"/>
      <w:color w:val="000000"/>
    </w:rPr>
  </w:style>
  <w:style w:type="character" w:customStyle="1" w:styleId="Heading7Char">
    <w:name w:val="Heading 7 Char"/>
    <w:link w:val="Heading7"/>
    <w:rsid w:val="00D75424"/>
    <w:rPr>
      <w:rFonts w:ascii="Arial" w:hAnsi="Arial"/>
      <w:color w:val="000000"/>
      <w:sz w:val="18"/>
    </w:rPr>
  </w:style>
  <w:style w:type="character" w:customStyle="1" w:styleId="Heading8Char">
    <w:name w:val="Heading 8 Char"/>
    <w:link w:val="Heading8"/>
    <w:rsid w:val="00D75424"/>
    <w:rPr>
      <w:rFonts w:ascii="Arial" w:hAnsi="Arial"/>
      <w:i/>
    </w:rPr>
  </w:style>
  <w:style w:type="paragraph" w:customStyle="1" w:styleId="MeasureTableTextRightAlignedBefore6ptAfter1pt">
    <w:name w:val="Measure Table Text Right Aligned + Before:  6 pt After:  1 pt"/>
    <w:basedOn w:val="MeasureTableTextRightAligned"/>
    <w:rsid w:val="00D75424"/>
    <w:pPr>
      <w:spacing w:before="120" w:after="20"/>
    </w:pPr>
    <w:rPr>
      <w:iCs/>
      <w:noProof/>
      <w:color w:val="000000"/>
      <w:szCs w:val="16"/>
    </w:rPr>
  </w:style>
  <w:style w:type="paragraph" w:customStyle="1" w:styleId="Style15">
    <w:name w:val="Style15"/>
    <w:basedOn w:val="Normal"/>
    <w:uiPriority w:val="99"/>
    <w:rsid w:val="00D75424"/>
    <w:pPr>
      <w:widowControl w:val="0"/>
      <w:tabs>
        <w:tab w:val="center" w:pos="3854"/>
      </w:tabs>
    </w:pPr>
  </w:style>
  <w:style w:type="paragraph" w:customStyle="1" w:styleId="SummarytabletextleftalignedHelveticaBoldAllcaps">
    <w:name w:val="Summary table text left aligned + Helvetica Bold All caps ..."/>
    <w:basedOn w:val="Summarytabletextleftaligned"/>
    <w:rsid w:val="00D75424"/>
    <w:pPr>
      <w:spacing w:before="120"/>
    </w:pPr>
    <w:rPr>
      <w:b/>
      <w:iCs/>
    </w:rPr>
  </w:style>
  <w:style w:type="paragraph" w:customStyle="1" w:styleId="SummarytabletextleftalignedRightRight01cm">
    <w:name w:val="Summary table text left aligned + Right Right:  0.1 cm"/>
    <w:basedOn w:val="Summarytabletextleftaligned"/>
    <w:rsid w:val="00D75424"/>
    <w:pPr>
      <w:ind w:right="57"/>
      <w:jc w:val="right"/>
    </w:pPr>
    <w:rPr>
      <w:iCs/>
    </w:rPr>
  </w:style>
  <w:style w:type="paragraph" w:customStyle="1" w:styleId="SummarytabletextleftalignedRight01cm">
    <w:name w:val="Summary table text left aligned + Right:  0.1 cm"/>
    <w:basedOn w:val="Summarytabletextleftaligned"/>
    <w:qFormat/>
    <w:rsid w:val="00D75424"/>
    <w:pPr>
      <w:widowControl w:val="0"/>
      <w:tabs>
        <w:tab w:val="center" w:pos="3853"/>
      </w:tabs>
    </w:pPr>
  </w:style>
  <w:style w:type="paragraph" w:customStyle="1" w:styleId="Normal2">
    <w:name w:val="Normal2"/>
    <w:qFormat/>
    <w:rsid w:val="00657384"/>
    <w:pPr>
      <w:spacing w:before="120" w:after="120" w:line="240" w:lineRule="exact"/>
    </w:pPr>
    <w:rPr>
      <w:rFonts w:ascii="Book Antiqua" w:hAnsi="Book Antiqua"/>
      <w:sz w:val="19"/>
    </w:rPr>
  </w:style>
  <w:style w:type="paragraph" w:customStyle="1" w:styleId="FooterOdd">
    <w:name w:val="Footer Odd"/>
    <w:basedOn w:val="FooterBase"/>
    <w:qFormat/>
    <w:rsid w:val="00EA0EDB"/>
    <w:pPr>
      <w:pBdr>
        <w:top w:val="single" w:sz="4" w:space="10" w:color="293F5B"/>
      </w:pBdr>
      <w:tabs>
        <w:tab w:val="center" w:pos="4153"/>
        <w:tab w:val="right" w:pos="8306"/>
      </w:tabs>
      <w:jc w:val="right"/>
    </w:pPr>
  </w:style>
  <w:style w:type="paragraph" w:customStyle="1" w:styleId="FooterEven">
    <w:name w:val="Footer Even"/>
    <w:basedOn w:val="FooterOdd"/>
    <w:qFormat/>
    <w:rsid w:val="00EA0EDB"/>
    <w:pPr>
      <w:jc w:val="left"/>
    </w:pPr>
  </w:style>
  <w:style w:type="paragraph" w:styleId="Revision">
    <w:name w:val="Revision"/>
    <w:hidden/>
    <w:uiPriority w:val="99"/>
    <w:semiHidden/>
    <w:rsid w:val="00AB2AA9"/>
    <w:rPr>
      <w:rFonts w:ascii="Arial" w:hAnsi="Arial" w:cs="Arial"/>
      <w:lang w:val="en-US"/>
    </w:rPr>
  </w:style>
  <w:style w:type="table" w:styleId="TableGrid">
    <w:name w:val="Table Grid"/>
    <w:basedOn w:val="TableNormal"/>
    <w:rsid w:val="0050789B"/>
    <w:pPr>
      <w:spacing w:after="240" w:line="260" w:lineRule="exac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D0596C"/>
    <w:rPr>
      <w:sz w:val="16"/>
      <w:szCs w:val="16"/>
    </w:rPr>
  </w:style>
  <w:style w:type="paragraph" w:styleId="CommentText">
    <w:name w:val="annotation text"/>
    <w:basedOn w:val="Normal"/>
    <w:link w:val="CommentTextChar"/>
    <w:unhideWhenUsed/>
    <w:rsid w:val="00D0596C"/>
  </w:style>
  <w:style w:type="character" w:customStyle="1" w:styleId="CommentTextChar">
    <w:name w:val="Comment Text Char"/>
    <w:basedOn w:val="DefaultParagraphFont"/>
    <w:link w:val="CommentText"/>
    <w:rsid w:val="00D0596C"/>
    <w:rPr>
      <w:rFonts w:ascii="Arial" w:hAnsi="Arial" w:cs="Arial"/>
      <w:lang w:val="en-US"/>
    </w:rPr>
  </w:style>
  <w:style w:type="paragraph" w:styleId="CommentSubject">
    <w:name w:val="annotation subject"/>
    <w:basedOn w:val="CommentText"/>
    <w:next w:val="CommentText"/>
    <w:link w:val="CommentSubjectChar"/>
    <w:semiHidden/>
    <w:unhideWhenUsed/>
    <w:rsid w:val="00D0596C"/>
    <w:rPr>
      <w:b/>
      <w:bCs/>
    </w:rPr>
  </w:style>
  <w:style w:type="character" w:customStyle="1" w:styleId="CommentSubjectChar">
    <w:name w:val="Comment Subject Char"/>
    <w:basedOn w:val="CommentTextChar"/>
    <w:link w:val="CommentSubject"/>
    <w:semiHidden/>
    <w:rsid w:val="00D0596C"/>
    <w:rPr>
      <w:rFonts w:ascii="Arial" w:hAnsi="Arial" w:cs="Arial"/>
      <w:b/>
      <w:bCs/>
      <w:lang w:val="en-US"/>
    </w:rPr>
  </w:style>
  <w:style w:type="paragraph" w:customStyle="1" w:styleId="SingleParagraph0">
    <w:name w:val="Single Paragraph"/>
    <w:basedOn w:val="Normal"/>
    <w:rsid w:val="00380A42"/>
    <w:pPr>
      <w:spacing w:line="226" w:lineRule="exact"/>
    </w:pPr>
    <w:rPr>
      <w:rFonts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08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56.xml"/><Relationship Id="rId21" Type="http://schemas.openxmlformats.org/officeDocument/2006/relationships/footer" Target="footer8.xml"/><Relationship Id="rId42" Type="http://schemas.openxmlformats.org/officeDocument/2006/relationships/header" Target="header18.xml"/><Relationship Id="rId63" Type="http://schemas.openxmlformats.org/officeDocument/2006/relationships/footer" Target="footer29.xml"/><Relationship Id="rId84" Type="http://schemas.openxmlformats.org/officeDocument/2006/relationships/header" Target="header39.xml"/><Relationship Id="rId138" Type="http://schemas.openxmlformats.org/officeDocument/2006/relationships/fontTable" Target="fontTable.xml"/><Relationship Id="rId16" Type="http://schemas.openxmlformats.org/officeDocument/2006/relationships/header" Target="header5.xml"/><Relationship Id="rId107" Type="http://schemas.openxmlformats.org/officeDocument/2006/relationships/footer" Target="footer51.xml"/><Relationship Id="rId11" Type="http://schemas.openxmlformats.org/officeDocument/2006/relationships/footer" Target="footer3.xml"/><Relationship Id="rId32" Type="http://schemas.openxmlformats.org/officeDocument/2006/relationships/footer" Target="footer13.xml"/><Relationship Id="rId37" Type="http://schemas.openxmlformats.org/officeDocument/2006/relationships/header" Target="header16.xml"/><Relationship Id="rId53" Type="http://schemas.openxmlformats.org/officeDocument/2006/relationships/footer" Target="footer24.xml"/><Relationship Id="rId58" Type="http://schemas.openxmlformats.org/officeDocument/2006/relationships/header" Target="header26.xml"/><Relationship Id="rId74" Type="http://schemas.openxmlformats.org/officeDocument/2006/relationships/footer" Target="footer34.xml"/><Relationship Id="rId79" Type="http://schemas.openxmlformats.org/officeDocument/2006/relationships/header" Target="header37.xml"/><Relationship Id="rId102" Type="http://schemas.openxmlformats.org/officeDocument/2006/relationships/header" Target="header48.xml"/><Relationship Id="rId123" Type="http://schemas.openxmlformats.org/officeDocument/2006/relationships/footer" Target="footer59.xml"/><Relationship Id="rId128" Type="http://schemas.openxmlformats.org/officeDocument/2006/relationships/footer" Target="footer61.xml"/><Relationship Id="rId5" Type="http://schemas.openxmlformats.org/officeDocument/2006/relationships/footnotes" Target="footnotes.xml"/><Relationship Id="rId90" Type="http://schemas.openxmlformats.org/officeDocument/2006/relationships/header" Target="header42.xml"/><Relationship Id="rId95" Type="http://schemas.openxmlformats.org/officeDocument/2006/relationships/footer" Target="footer45.xml"/><Relationship Id="rId22" Type="http://schemas.openxmlformats.org/officeDocument/2006/relationships/header" Target="header8.xml"/><Relationship Id="rId27" Type="http://schemas.openxmlformats.org/officeDocument/2006/relationships/footer" Target="footer11.xml"/><Relationship Id="rId43" Type="http://schemas.openxmlformats.org/officeDocument/2006/relationships/header" Target="header19.xml"/><Relationship Id="rId48" Type="http://schemas.openxmlformats.org/officeDocument/2006/relationships/header" Target="header21.xml"/><Relationship Id="rId64" Type="http://schemas.openxmlformats.org/officeDocument/2006/relationships/header" Target="header29.xml"/><Relationship Id="rId69" Type="http://schemas.openxmlformats.org/officeDocument/2006/relationships/footer" Target="footer32.xml"/><Relationship Id="rId113" Type="http://schemas.openxmlformats.org/officeDocument/2006/relationships/footer" Target="footer54.xml"/><Relationship Id="rId118" Type="http://schemas.openxmlformats.org/officeDocument/2006/relationships/header" Target="header56.xml"/><Relationship Id="rId134" Type="http://schemas.openxmlformats.org/officeDocument/2006/relationships/footer" Target="footer64.xml"/><Relationship Id="rId139" Type="http://schemas.openxmlformats.org/officeDocument/2006/relationships/theme" Target="theme/theme1.xml"/><Relationship Id="rId80" Type="http://schemas.openxmlformats.org/officeDocument/2006/relationships/footer" Target="footer37.xml"/><Relationship Id="rId85" Type="http://schemas.openxmlformats.org/officeDocument/2006/relationships/header" Target="header40.xml"/><Relationship Id="rId12" Type="http://schemas.openxmlformats.org/officeDocument/2006/relationships/header" Target="header3.xml"/><Relationship Id="rId17" Type="http://schemas.openxmlformats.org/officeDocument/2006/relationships/footer" Target="footer6.xml"/><Relationship Id="rId33" Type="http://schemas.openxmlformats.org/officeDocument/2006/relationships/footer" Target="footer14.xml"/><Relationship Id="rId38" Type="http://schemas.openxmlformats.org/officeDocument/2006/relationships/footer" Target="footer16.xml"/><Relationship Id="rId59" Type="http://schemas.openxmlformats.org/officeDocument/2006/relationships/footer" Target="footer27.xml"/><Relationship Id="rId103" Type="http://schemas.openxmlformats.org/officeDocument/2006/relationships/header" Target="header49.xml"/><Relationship Id="rId108" Type="http://schemas.openxmlformats.org/officeDocument/2006/relationships/header" Target="header51.xml"/><Relationship Id="rId124" Type="http://schemas.openxmlformats.org/officeDocument/2006/relationships/header" Target="header59.xml"/><Relationship Id="rId129" Type="http://schemas.openxmlformats.org/officeDocument/2006/relationships/footer" Target="footer62.xml"/><Relationship Id="rId54" Type="http://schemas.openxmlformats.org/officeDocument/2006/relationships/header" Target="header24.xml"/><Relationship Id="rId70" Type="http://schemas.openxmlformats.org/officeDocument/2006/relationships/header" Target="header32.xml"/><Relationship Id="rId75" Type="http://schemas.openxmlformats.org/officeDocument/2006/relationships/footer" Target="footer35.xml"/><Relationship Id="rId91" Type="http://schemas.openxmlformats.org/officeDocument/2006/relationships/header" Target="header43.xml"/><Relationship Id="rId96" Type="http://schemas.openxmlformats.org/officeDocument/2006/relationships/header" Target="header45.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footer" Target="footer9.xml"/><Relationship Id="rId28" Type="http://schemas.openxmlformats.org/officeDocument/2006/relationships/header" Target="header11.xml"/><Relationship Id="rId49" Type="http://schemas.openxmlformats.org/officeDocument/2006/relationships/header" Target="header22.xml"/><Relationship Id="rId114" Type="http://schemas.openxmlformats.org/officeDocument/2006/relationships/header" Target="header54.xml"/><Relationship Id="rId119" Type="http://schemas.openxmlformats.org/officeDocument/2006/relationships/footer" Target="footer57.xml"/><Relationship Id="rId44" Type="http://schemas.openxmlformats.org/officeDocument/2006/relationships/footer" Target="footer19.xml"/><Relationship Id="rId60" Type="http://schemas.openxmlformats.org/officeDocument/2006/relationships/header" Target="header27.xml"/><Relationship Id="rId65" Type="http://schemas.openxmlformats.org/officeDocument/2006/relationships/footer" Target="footer30.xml"/><Relationship Id="rId81" Type="http://schemas.openxmlformats.org/officeDocument/2006/relationships/footer" Target="footer38.xml"/><Relationship Id="rId86" Type="http://schemas.openxmlformats.org/officeDocument/2006/relationships/footer" Target="footer40.xml"/><Relationship Id="rId130" Type="http://schemas.openxmlformats.org/officeDocument/2006/relationships/header" Target="header62.xml"/><Relationship Id="rId135" Type="http://schemas.openxmlformats.org/officeDocument/2006/relationships/footer" Target="footer65.xml"/><Relationship Id="rId13" Type="http://schemas.openxmlformats.org/officeDocument/2006/relationships/header" Target="header4.xml"/><Relationship Id="rId18" Type="http://schemas.openxmlformats.org/officeDocument/2006/relationships/header" Target="header6.xml"/><Relationship Id="rId39" Type="http://schemas.openxmlformats.org/officeDocument/2006/relationships/footer" Target="footer17.xml"/><Relationship Id="rId109" Type="http://schemas.openxmlformats.org/officeDocument/2006/relationships/header" Target="header52.xml"/><Relationship Id="rId34" Type="http://schemas.openxmlformats.org/officeDocument/2006/relationships/header" Target="header14.xml"/><Relationship Id="rId50" Type="http://schemas.openxmlformats.org/officeDocument/2006/relationships/footer" Target="footer22.xml"/><Relationship Id="rId55" Type="http://schemas.openxmlformats.org/officeDocument/2006/relationships/header" Target="header25.xml"/><Relationship Id="rId76" Type="http://schemas.openxmlformats.org/officeDocument/2006/relationships/header" Target="header35.xml"/><Relationship Id="rId97" Type="http://schemas.openxmlformats.org/officeDocument/2006/relationships/header" Target="header46.xml"/><Relationship Id="rId104" Type="http://schemas.openxmlformats.org/officeDocument/2006/relationships/footer" Target="footer49.xml"/><Relationship Id="rId120" Type="http://schemas.openxmlformats.org/officeDocument/2006/relationships/header" Target="header57.xml"/><Relationship Id="rId125" Type="http://schemas.openxmlformats.org/officeDocument/2006/relationships/footer" Target="footer60.xml"/><Relationship Id="rId7" Type="http://schemas.openxmlformats.org/officeDocument/2006/relationships/header" Target="header1.xml"/><Relationship Id="rId71" Type="http://schemas.openxmlformats.org/officeDocument/2006/relationships/footer" Target="footer33.xml"/><Relationship Id="rId92" Type="http://schemas.openxmlformats.org/officeDocument/2006/relationships/footer" Target="footer43.xml"/><Relationship Id="rId2" Type="http://schemas.openxmlformats.org/officeDocument/2006/relationships/styles" Target="styles.xml"/><Relationship Id="rId29" Type="http://schemas.openxmlformats.org/officeDocument/2006/relationships/footer" Target="footer12.xml"/><Relationship Id="rId24" Type="http://schemas.openxmlformats.org/officeDocument/2006/relationships/header" Target="header9.xml"/><Relationship Id="rId40" Type="http://schemas.openxmlformats.org/officeDocument/2006/relationships/header" Target="header17.xml"/><Relationship Id="rId45" Type="http://schemas.openxmlformats.org/officeDocument/2006/relationships/footer" Target="footer20.xml"/><Relationship Id="rId66" Type="http://schemas.openxmlformats.org/officeDocument/2006/relationships/header" Target="header30.xml"/><Relationship Id="rId87" Type="http://schemas.openxmlformats.org/officeDocument/2006/relationships/footer" Target="footer41.xml"/><Relationship Id="rId110" Type="http://schemas.openxmlformats.org/officeDocument/2006/relationships/footer" Target="footer52.xml"/><Relationship Id="rId115" Type="http://schemas.openxmlformats.org/officeDocument/2006/relationships/header" Target="header55.xml"/><Relationship Id="rId131" Type="http://schemas.openxmlformats.org/officeDocument/2006/relationships/footer" Target="footer63.xml"/><Relationship Id="rId136" Type="http://schemas.openxmlformats.org/officeDocument/2006/relationships/header" Target="header65.xml"/><Relationship Id="rId61" Type="http://schemas.openxmlformats.org/officeDocument/2006/relationships/header" Target="header28.xml"/><Relationship Id="rId82" Type="http://schemas.openxmlformats.org/officeDocument/2006/relationships/header" Target="header38.xml"/><Relationship Id="rId19" Type="http://schemas.openxmlformats.org/officeDocument/2006/relationships/header" Target="header7.xml"/><Relationship Id="rId14" Type="http://schemas.openxmlformats.org/officeDocument/2006/relationships/footer" Target="footer4.xml"/><Relationship Id="rId30" Type="http://schemas.openxmlformats.org/officeDocument/2006/relationships/header" Target="header12.xml"/><Relationship Id="rId35" Type="http://schemas.openxmlformats.org/officeDocument/2006/relationships/footer" Target="footer15.xml"/><Relationship Id="rId56" Type="http://schemas.openxmlformats.org/officeDocument/2006/relationships/footer" Target="footer25.xml"/><Relationship Id="rId77" Type="http://schemas.openxmlformats.org/officeDocument/2006/relationships/footer" Target="footer36.xml"/><Relationship Id="rId100" Type="http://schemas.openxmlformats.org/officeDocument/2006/relationships/header" Target="header47.xml"/><Relationship Id="rId105" Type="http://schemas.openxmlformats.org/officeDocument/2006/relationships/footer" Target="footer50.xml"/><Relationship Id="rId126" Type="http://schemas.openxmlformats.org/officeDocument/2006/relationships/header" Target="header60.xml"/><Relationship Id="rId8" Type="http://schemas.openxmlformats.org/officeDocument/2006/relationships/header" Target="header2.xml"/><Relationship Id="rId51" Type="http://schemas.openxmlformats.org/officeDocument/2006/relationships/footer" Target="footer23.xml"/><Relationship Id="rId72" Type="http://schemas.openxmlformats.org/officeDocument/2006/relationships/header" Target="header33.xml"/><Relationship Id="rId93" Type="http://schemas.openxmlformats.org/officeDocument/2006/relationships/footer" Target="footer44.xml"/><Relationship Id="rId98" Type="http://schemas.openxmlformats.org/officeDocument/2006/relationships/footer" Target="footer46.xml"/><Relationship Id="rId121" Type="http://schemas.openxmlformats.org/officeDocument/2006/relationships/header" Target="header58.xml"/><Relationship Id="rId3" Type="http://schemas.openxmlformats.org/officeDocument/2006/relationships/settings" Target="settings.xml"/><Relationship Id="rId25" Type="http://schemas.openxmlformats.org/officeDocument/2006/relationships/header" Target="header10.xml"/><Relationship Id="rId46" Type="http://schemas.openxmlformats.org/officeDocument/2006/relationships/header" Target="header20.xml"/><Relationship Id="rId67" Type="http://schemas.openxmlformats.org/officeDocument/2006/relationships/header" Target="header31.xml"/><Relationship Id="rId116" Type="http://schemas.openxmlformats.org/officeDocument/2006/relationships/footer" Target="footer55.xml"/><Relationship Id="rId137" Type="http://schemas.openxmlformats.org/officeDocument/2006/relationships/footer" Target="footer66.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88" Type="http://schemas.openxmlformats.org/officeDocument/2006/relationships/header" Target="header41.xml"/><Relationship Id="rId111" Type="http://schemas.openxmlformats.org/officeDocument/2006/relationships/footer" Target="footer53.xml"/><Relationship Id="rId132" Type="http://schemas.openxmlformats.org/officeDocument/2006/relationships/header" Target="header63.xml"/><Relationship Id="rId15" Type="http://schemas.openxmlformats.org/officeDocument/2006/relationships/footer" Target="footer5.xml"/><Relationship Id="rId36" Type="http://schemas.openxmlformats.org/officeDocument/2006/relationships/header" Target="header15.xml"/><Relationship Id="rId57" Type="http://schemas.openxmlformats.org/officeDocument/2006/relationships/footer" Target="footer26.xml"/><Relationship Id="rId106" Type="http://schemas.openxmlformats.org/officeDocument/2006/relationships/header" Target="header50.xml"/><Relationship Id="rId127" Type="http://schemas.openxmlformats.org/officeDocument/2006/relationships/header" Target="header61.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header" Target="header23.xml"/><Relationship Id="rId73" Type="http://schemas.openxmlformats.org/officeDocument/2006/relationships/header" Target="header34.xml"/><Relationship Id="rId78" Type="http://schemas.openxmlformats.org/officeDocument/2006/relationships/header" Target="header36.xml"/><Relationship Id="rId94" Type="http://schemas.openxmlformats.org/officeDocument/2006/relationships/header" Target="header44.xml"/><Relationship Id="rId99" Type="http://schemas.openxmlformats.org/officeDocument/2006/relationships/footer" Target="footer47.xml"/><Relationship Id="rId101" Type="http://schemas.openxmlformats.org/officeDocument/2006/relationships/footer" Target="footer48.xml"/><Relationship Id="rId122" Type="http://schemas.openxmlformats.org/officeDocument/2006/relationships/footer" Target="footer58.xml"/><Relationship Id="rId4" Type="http://schemas.openxmlformats.org/officeDocument/2006/relationships/webSettings" Target="webSettings.xml"/><Relationship Id="rId9" Type="http://schemas.openxmlformats.org/officeDocument/2006/relationships/footer" Target="footer1.xml"/><Relationship Id="rId26" Type="http://schemas.openxmlformats.org/officeDocument/2006/relationships/footer" Target="footer10.xml"/><Relationship Id="rId47" Type="http://schemas.openxmlformats.org/officeDocument/2006/relationships/footer" Target="footer21.xml"/><Relationship Id="rId68" Type="http://schemas.openxmlformats.org/officeDocument/2006/relationships/footer" Target="footer31.xml"/><Relationship Id="rId89" Type="http://schemas.openxmlformats.org/officeDocument/2006/relationships/footer" Target="footer42.xml"/><Relationship Id="rId112" Type="http://schemas.openxmlformats.org/officeDocument/2006/relationships/header" Target="header53.xml"/><Relationship Id="rId133" Type="http://schemas.openxmlformats.org/officeDocument/2006/relationships/header" Target="header6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1" Type="http://schemas.openxmlformats.org/officeDocument/2006/relationships/image" Target="media/image1.png"/></Relationships>
</file>

<file path=word/_rels/header28.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30.xml.rels><?xml version="1.0" encoding="UTF-8" standalone="yes"?>
<Relationships xmlns="http://schemas.openxmlformats.org/package/2006/relationships"><Relationship Id="rId1" Type="http://schemas.openxmlformats.org/officeDocument/2006/relationships/image" Target="media/image1.png"/></Relationships>
</file>

<file path=word/_rels/header31.xml.rels><?xml version="1.0" encoding="UTF-8" standalone="yes"?>
<Relationships xmlns="http://schemas.openxmlformats.org/package/2006/relationships"><Relationship Id="rId1" Type="http://schemas.openxmlformats.org/officeDocument/2006/relationships/image" Target="media/image1.png"/></Relationships>
</file>

<file path=word/_rels/header33.xml.rels><?xml version="1.0" encoding="UTF-8" standalone="yes"?>
<Relationships xmlns="http://schemas.openxmlformats.org/package/2006/relationships"><Relationship Id="rId1" Type="http://schemas.openxmlformats.org/officeDocument/2006/relationships/image" Target="media/image1.png"/></Relationships>
</file>

<file path=word/_rels/header34.xml.rels><?xml version="1.0" encoding="UTF-8" standalone="yes"?>
<Relationships xmlns="http://schemas.openxmlformats.org/package/2006/relationships"><Relationship Id="rId1" Type="http://schemas.openxmlformats.org/officeDocument/2006/relationships/image" Target="media/image1.png"/></Relationships>
</file>

<file path=word/_rels/header36.xml.rels><?xml version="1.0" encoding="UTF-8" standalone="yes"?>
<Relationships xmlns="http://schemas.openxmlformats.org/package/2006/relationships"><Relationship Id="rId1" Type="http://schemas.openxmlformats.org/officeDocument/2006/relationships/image" Target="media/image1.png"/></Relationships>
</file>

<file path=word/_rels/header37.xml.rels><?xml version="1.0" encoding="UTF-8" standalone="yes"?>
<Relationships xmlns="http://schemas.openxmlformats.org/package/2006/relationships"><Relationship Id="rId1" Type="http://schemas.openxmlformats.org/officeDocument/2006/relationships/image" Target="media/image1.png"/></Relationships>
</file>

<file path=word/_rels/header39.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40.xml.rels><?xml version="1.0" encoding="UTF-8" standalone="yes"?>
<Relationships xmlns="http://schemas.openxmlformats.org/package/2006/relationships"><Relationship Id="rId1" Type="http://schemas.openxmlformats.org/officeDocument/2006/relationships/image" Target="media/image1.png"/></Relationships>
</file>

<file path=word/_rels/header42.xml.rels><?xml version="1.0" encoding="UTF-8" standalone="yes"?>
<Relationships xmlns="http://schemas.openxmlformats.org/package/2006/relationships"><Relationship Id="rId1" Type="http://schemas.openxmlformats.org/officeDocument/2006/relationships/image" Target="media/image1.png"/></Relationships>
</file>

<file path=word/_rels/header43.xml.rels><?xml version="1.0" encoding="UTF-8" standalone="yes"?>
<Relationships xmlns="http://schemas.openxmlformats.org/package/2006/relationships"><Relationship Id="rId1" Type="http://schemas.openxmlformats.org/officeDocument/2006/relationships/image" Target="media/image1.png"/></Relationships>
</file>

<file path=word/_rels/header45.xml.rels><?xml version="1.0" encoding="UTF-8" standalone="yes"?>
<Relationships xmlns="http://schemas.openxmlformats.org/package/2006/relationships"><Relationship Id="rId1" Type="http://schemas.openxmlformats.org/officeDocument/2006/relationships/image" Target="media/image1.png"/></Relationships>
</file>

<file path=word/_rels/header46.xml.rels><?xml version="1.0" encoding="UTF-8" standalone="yes"?>
<Relationships xmlns="http://schemas.openxmlformats.org/package/2006/relationships"><Relationship Id="rId1" Type="http://schemas.openxmlformats.org/officeDocument/2006/relationships/image" Target="media/image1.png"/></Relationships>
</file>

<file path=word/_rels/header48.xml.rels><?xml version="1.0" encoding="UTF-8" standalone="yes"?>
<Relationships xmlns="http://schemas.openxmlformats.org/package/2006/relationships"><Relationship Id="rId1" Type="http://schemas.openxmlformats.org/officeDocument/2006/relationships/image" Target="media/image1.png"/></Relationships>
</file>

<file path=word/_rels/header49.xml.rels><?xml version="1.0" encoding="UTF-8" standalone="yes"?>
<Relationships xmlns="http://schemas.openxmlformats.org/package/2006/relationships"><Relationship Id="rId1" Type="http://schemas.openxmlformats.org/officeDocument/2006/relationships/image" Target="media/image1.png"/></Relationships>
</file>

<file path=word/_rels/header51.xml.rels><?xml version="1.0" encoding="UTF-8" standalone="yes"?>
<Relationships xmlns="http://schemas.openxmlformats.org/package/2006/relationships"><Relationship Id="rId1" Type="http://schemas.openxmlformats.org/officeDocument/2006/relationships/image" Target="media/image1.png"/></Relationships>
</file>

<file path=word/_rels/header52.xml.rels><?xml version="1.0" encoding="UTF-8" standalone="yes"?>
<Relationships xmlns="http://schemas.openxmlformats.org/package/2006/relationships"><Relationship Id="rId1" Type="http://schemas.openxmlformats.org/officeDocument/2006/relationships/image" Target="media/image1.png"/></Relationships>
</file>

<file path=word/_rels/header54.xml.rels><?xml version="1.0" encoding="UTF-8" standalone="yes"?>
<Relationships xmlns="http://schemas.openxmlformats.org/package/2006/relationships"><Relationship Id="rId1" Type="http://schemas.openxmlformats.org/officeDocument/2006/relationships/image" Target="media/image1.png"/></Relationships>
</file>

<file path=word/_rels/header55.xml.rels><?xml version="1.0" encoding="UTF-8" standalone="yes"?>
<Relationships xmlns="http://schemas.openxmlformats.org/package/2006/relationships"><Relationship Id="rId1" Type="http://schemas.openxmlformats.org/officeDocument/2006/relationships/image" Target="media/image1.png"/></Relationships>
</file>

<file path=word/_rels/header57.xml.rels><?xml version="1.0" encoding="UTF-8" standalone="yes"?>
<Relationships xmlns="http://schemas.openxmlformats.org/package/2006/relationships"><Relationship Id="rId1" Type="http://schemas.openxmlformats.org/officeDocument/2006/relationships/image" Target="media/image1.png"/></Relationships>
</file>

<file path=word/_rels/header58.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60.xml.rels><?xml version="1.0" encoding="UTF-8" standalone="yes"?>
<Relationships xmlns="http://schemas.openxmlformats.org/package/2006/relationships"><Relationship Id="rId1" Type="http://schemas.openxmlformats.org/officeDocument/2006/relationships/image" Target="media/image1.png"/></Relationships>
</file>

<file path=word/_rels/header61.xml.rels><?xml version="1.0" encoding="UTF-8" standalone="yes"?>
<Relationships xmlns="http://schemas.openxmlformats.org/package/2006/relationships"><Relationship Id="rId1" Type="http://schemas.openxmlformats.org/officeDocument/2006/relationships/image" Target="media/image1.png"/></Relationships>
</file>

<file path=word/_rels/header63.xml.rels><?xml version="1.0" encoding="UTF-8" standalone="yes"?>
<Relationships xmlns="http://schemas.openxmlformats.org/package/2006/relationships"><Relationship Id="rId1" Type="http://schemas.openxmlformats.org/officeDocument/2006/relationships/image" Target="media/image1.png"/></Relationships>
</file>

<file path=word/_rels/header64.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121</Pages>
  <Words>35498</Words>
  <Characters>202344</Characters>
  <Application>Microsoft Office Word</Application>
  <DocSecurity>0</DocSecurity>
  <Lines>1686</Lines>
  <Paragraphs>474</Paragraphs>
  <ScaleCrop>false</ScaleCrop>
  <HeadingPairs>
    <vt:vector size="2" baseType="variant">
      <vt:variant>
        <vt:lpstr>Title</vt:lpstr>
      </vt:variant>
      <vt:variant>
        <vt:i4>1</vt:i4>
      </vt:variant>
    </vt:vector>
  </HeadingPairs>
  <TitlesOfParts>
    <vt:vector size="1" baseType="lpstr">
      <vt:lpstr>Mid-Year Economic and Fiscal Outlook 2024–25</vt:lpstr>
    </vt:vector>
  </TitlesOfParts>
  <Company/>
  <LinksUpToDate>false</LinksUpToDate>
  <CharactersWithSpaces>237368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Mid-Year Economic and Fiscal Outlook 2024–25</dc:title>
  <dc:subject>Appendix A: Policy decisions taken since the 2024–25 Budget</dc:subject>
  <dc:creator/>
  <cp:keywords/>
  <cp:lastModifiedBy/>
  <cp:revision>1</cp:revision>
  <dcterms:created xsi:type="dcterms:W3CDTF">2024-12-16T23:38:00Z</dcterms:created>
  <dcterms:modified xsi:type="dcterms:W3CDTF">2024-12-16T23:38:00Z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2024-12-16T23:38:51Z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b9d83110-ab4a-4070-bbdf-62a0cbf23d27</vt:lpwstr>
  </property>
  <property fmtid="{D5CDD505-2E9C-101B-9397-08002B2CF9AE}" pid="8" name="MSIP_Label_4f932d64-9ab1-4d9b-81d2-a3a8b82dd47d_ContentBits">
    <vt:lpwstr>0</vt:lpwstr>
  </property>
</Properties>
</file>