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7DC6B" w14:textId="5E23D1B8" w:rsidR="006E40DB" w:rsidRPr="00B832E0" w:rsidRDefault="004C417A" w:rsidP="006E40DB">
      <w:pPr>
        <w:pStyle w:val="Heading1"/>
        <w:rPr>
          <w:rFonts w:eastAsia="Book Antiqua"/>
        </w:rPr>
      </w:pPr>
      <w:r>
        <w:rPr>
          <w:rFonts w:eastAsia="Book Antiqua"/>
        </w:rPr>
        <w:t>Part 6</w:t>
      </w:r>
      <w:r w:rsidR="006E40DB" w:rsidRPr="00B832E0">
        <w:rPr>
          <w:rFonts w:eastAsia="Book Antiqua"/>
        </w:rPr>
        <w:t>: Statement of Risks</w:t>
      </w:r>
    </w:p>
    <w:p w14:paraId="0C1FC473" w14:textId="77777777" w:rsidR="006E40DB" w:rsidRPr="00B832E0" w:rsidRDefault="006E40DB" w:rsidP="006E40DB">
      <w:pPr>
        <w:pStyle w:val="Heading2"/>
        <w:rPr>
          <w:rFonts w:eastAsia="Arial"/>
        </w:rPr>
      </w:pPr>
      <w:bookmarkStart w:id="0" w:name="Statement_8:_Statement_of_Risks"/>
      <w:bookmarkStart w:id="1" w:name="_Toc71117767"/>
      <w:bookmarkStart w:id="2" w:name="_Toc99141849"/>
      <w:bookmarkStart w:id="3" w:name="_Toc184039465"/>
      <w:bookmarkEnd w:id="0"/>
      <w:r w:rsidRPr="00B832E0">
        <w:rPr>
          <w:rFonts w:eastAsia="Arial"/>
        </w:rPr>
        <w:t>Risks to the Budget – Overview</w:t>
      </w:r>
      <w:bookmarkEnd w:id="1"/>
      <w:bookmarkEnd w:id="2"/>
      <w:bookmarkEnd w:id="3"/>
    </w:p>
    <w:p w14:paraId="55CE5717" w14:textId="295604C0" w:rsidR="005F6D17" w:rsidRPr="005F6D17" w:rsidRDefault="005F6D17" w:rsidP="005F6D17">
      <w:pPr>
        <w:rPr>
          <w:rFonts w:eastAsia="Book Antiqua"/>
          <w:b/>
        </w:rPr>
      </w:pPr>
      <w:r w:rsidRPr="005F6D17">
        <w:rPr>
          <w:rFonts w:eastAsia="Book Antiqua"/>
        </w:rPr>
        <w:t>The forward estimates of revenue and expenses in the 2024–25 Mid</w:t>
      </w:r>
      <w:r w:rsidR="00B63FC6">
        <w:rPr>
          <w:rFonts w:eastAsia="Book Antiqua"/>
        </w:rPr>
        <w:noBreakHyphen/>
      </w:r>
      <w:r w:rsidRPr="005F6D17">
        <w:rPr>
          <w:rFonts w:eastAsia="Book Antiqua"/>
        </w:rPr>
        <w:t>Year Economic and Fiscal Outlook (MYEFO) incorporate assumptions and judgments based on the best information available at the time of publication, together with a range of economic assumptions and other forecasts and projections.</w:t>
      </w:r>
    </w:p>
    <w:p w14:paraId="67EFE984" w14:textId="77777777" w:rsidR="005F6D17" w:rsidRPr="005F6D17" w:rsidRDefault="005F6D17" w:rsidP="005F6D17">
      <w:pPr>
        <w:rPr>
          <w:rFonts w:eastAsia="Book Antiqua"/>
        </w:rPr>
      </w:pPr>
      <w:r w:rsidRPr="005F6D17">
        <w:rPr>
          <w:rFonts w:eastAsia="Book Antiqua"/>
        </w:rPr>
        <w:t>Events that could affect fiscal outcomes include:</w:t>
      </w:r>
    </w:p>
    <w:p w14:paraId="79DE56D3" w14:textId="5BB158BF" w:rsidR="005F6D17" w:rsidRPr="005F6D17" w:rsidRDefault="005F6D17" w:rsidP="00805102">
      <w:pPr>
        <w:pStyle w:val="Bullet"/>
        <w:rPr>
          <w:rFonts w:eastAsia="Book Antiqua"/>
        </w:rPr>
      </w:pPr>
      <w:r w:rsidRPr="005F6D17">
        <w:rPr>
          <w:rFonts w:eastAsia="Book Antiqua"/>
        </w:rPr>
        <w:t>changes in economic and other parameters, which may be driven by the evolution of and responses to domestic and global inflationary pressures, volatility in global commodity prices, further global instability stemming from conflicts in Europe and the Middle East, and the challenges associated with the transition towards net</w:t>
      </w:r>
      <w:r w:rsidR="00876DB9">
        <w:rPr>
          <w:rFonts w:eastAsia="Book Antiqua"/>
        </w:rPr>
        <w:t> </w:t>
      </w:r>
      <w:r w:rsidRPr="005F6D17">
        <w:rPr>
          <w:rFonts w:eastAsia="Book Antiqua"/>
        </w:rPr>
        <w:t>zero</w:t>
      </w:r>
      <w:r w:rsidR="00876DB9">
        <w:rPr>
          <w:rFonts w:eastAsia="Book Antiqua"/>
        </w:rPr>
        <w:t> </w:t>
      </w:r>
      <w:proofErr w:type="gramStart"/>
      <w:r w:rsidRPr="005F6D17">
        <w:rPr>
          <w:rFonts w:eastAsia="Book Antiqua"/>
        </w:rPr>
        <w:t>emissions</w:t>
      </w:r>
      <w:proofErr w:type="gramEnd"/>
    </w:p>
    <w:p w14:paraId="61B5CFBE" w14:textId="77777777" w:rsidR="005F6D17" w:rsidRPr="005F6D17" w:rsidRDefault="005F6D17" w:rsidP="00805102">
      <w:pPr>
        <w:pStyle w:val="Bullet"/>
        <w:rPr>
          <w:rFonts w:eastAsia="Book Antiqua"/>
        </w:rPr>
      </w:pPr>
      <w:r w:rsidRPr="005F6D17">
        <w:rPr>
          <w:rFonts w:eastAsia="Book Antiqua"/>
        </w:rPr>
        <w:t xml:space="preserve">matters not included in the fiscal forecasts because of uncertainty about their timing, magnitude or </w:t>
      </w:r>
      <w:proofErr w:type="gramStart"/>
      <w:r w:rsidRPr="005F6D17">
        <w:rPr>
          <w:rFonts w:eastAsia="Book Antiqua"/>
        </w:rPr>
        <w:t>likelihood</w:t>
      </w:r>
      <w:proofErr w:type="gramEnd"/>
    </w:p>
    <w:p w14:paraId="16EF85DE" w14:textId="77777777" w:rsidR="005F6D17" w:rsidRPr="005F6D17" w:rsidRDefault="005F6D17" w:rsidP="00805102">
      <w:pPr>
        <w:pStyle w:val="Bullet"/>
        <w:rPr>
          <w:rFonts w:eastAsia="Book Antiqua"/>
        </w:rPr>
      </w:pPr>
      <w:r w:rsidRPr="005F6D17">
        <w:rPr>
          <w:rFonts w:eastAsia="Book Antiqua"/>
        </w:rPr>
        <w:t>the realisation of contingent liabilities or assets.</w:t>
      </w:r>
    </w:p>
    <w:p w14:paraId="7DEF40F4" w14:textId="0E2BE6E6" w:rsidR="005F6D17" w:rsidRPr="005F6D17" w:rsidRDefault="005F6D17" w:rsidP="005F6D17">
      <w:pPr>
        <w:rPr>
          <w:rFonts w:eastAsia="Book Antiqua"/>
          <w:i/>
        </w:rPr>
      </w:pPr>
      <w:r w:rsidRPr="005F6D17">
        <w:rPr>
          <w:rFonts w:eastAsia="Book Antiqua"/>
        </w:rPr>
        <w:t>The revenue and expense estimates and projections published in the 2024–25</w:t>
      </w:r>
      <w:r w:rsidR="00D0140B" w:rsidRPr="005F6D17">
        <w:rPr>
          <w:rFonts w:eastAsia="Book Antiqua"/>
        </w:rPr>
        <w:t> </w:t>
      </w:r>
      <w:r w:rsidRPr="005F6D17">
        <w:rPr>
          <w:rFonts w:eastAsia="Book Antiqua"/>
        </w:rPr>
        <w:t xml:space="preserve">MYEFO are based on a range of economic and </w:t>
      </w:r>
      <w:r w:rsidRPr="00024F74">
        <w:rPr>
          <w:rFonts w:eastAsia="Book Antiqua"/>
        </w:rPr>
        <w:t xml:space="preserve">other parameters that are consistent with the domestic and international outlook detailed in </w:t>
      </w:r>
      <w:r w:rsidRPr="00656182">
        <w:rPr>
          <w:rStyle w:val="Emphasis"/>
          <w:rFonts w:eastAsia="Book Antiqua"/>
        </w:rPr>
        <w:t>Part 2: Economic Outlook</w:t>
      </w:r>
      <w:r w:rsidRPr="00024F74">
        <w:rPr>
          <w:rFonts w:eastAsia="Book Antiqua"/>
        </w:rPr>
        <w:t xml:space="preserve">. Economic outcomes that differ from the parameters used in the </w:t>
      </w:r>
      <w:r w:rsidR="0029665E" w:rsidRPr="00024F74">
        <w:rPr>
          <w:rFonts w:eastAsia="Book Antiqua"/>
        </w:rPr>
        <w:t>MYEFO</w:t>
      </w:r>
      <w:r w:rsidRPr="00024F74">
        <w:rPr>
          <w:rFonts w:eastAsia="Book Antiqua"/>
        </w:rPr>
        <w:t xml:space="preserve"> represent a material risk to the </w:t>
      </w:r>
      <w:r w:rsidR="0029665E" w:rsidRPr="00024F74">
        <w:rPr>
          <w:rFonts w:eastAsia="Book Antiqua"/>
        </w:rPr>
        <w:t>MYEFO</w:t>
      </w:r>
      <w:r w:rsidRPr="00024F74">
        <w:rPr>
          <w:rFonts w:eastAsia="Book Antiqua"/>
        </w:rPr>
        <w:t xml:space="preserve"> estimates. </w:t>
      </w:r>
      <w:r w:rsidRPr="004B7019">
        <w:rPr>
          <w:rFonts w:eastAsia="Book Antiqua"/>
          <w:i/>
          <w:iCs/>
        </w:rPr>
        <w:t>Part 5:</w:t>
      </w:r>
      <w:r w:rsidRPr="004B7019">
        <w:rPr>
          <w:rStyle w:val="Emphasis"/>
          <w:rFonts w:eastAsia="Book Antiqua"/>
        </w:rPr>
        <w:t xml:space="preserve"> </w:t>
      </w:r>
      <w:r w:rsidRPr="00533B23">
        <w:rPr>
          <w:rStyle w:val="Emphasis"/>
          <w:rFonts w:eastAsia="Book Antiqua"/>
        </w:rPr>
        <w:t xml:space="preserve">Sensitivity Analysis </w:t>
      </w:r>
      <w:r w:rsidRPr="00024F74">
        <w:rPr>
          <w:rFonts w:eastAsia="Book Antiqua"/>
        </w:rPr>
        <w:t>examines the impact on receipts and payments of altering some of the key economic assumptions underlying</w:t>
      </w:r>
      <w:r w:rsidRPr="005F6D17">
        <w:rPr>
          <w:rFonts w:eastAsia="Book Antiqua"/>
        </w:rPr>
        <w:t xml:space="preserve"> the </w:t>
      </w:r>
      <w:r w:rsidR="0029665E">
        <w:rPr>
          <w:rFonts w:eastAsia="Book Antiqua"/>
        </w:rPr>
        <w:t>MYEFO</w:t>
      </w:r>
      <w:r w:rsidRPr="005F6D17">
        <w:rPr>
          <w:rFonts w:eastAsia="Book Antiqua"/>
        </w:rPr>
        <w:t xml:space="preserve"> estimates.</w:t>
      </w:r>
    </w:p>
    <w:p w14:paraId="5E9BD064" w14:textId="70E096A1" w:rsidR="005F6D17" w:rsidRPr="005F6D17" w:rsidRDefault="005F6D17" w:rsidP="005F6D17">
      <w:pPr>
        <w:rPr>
          <w:rFonts w:eastAsia="Book Antiqua"/>
        </w:rPr>
      </w:pPr>
      <w:r w:rsidRPr="005F6D17">
        <w:rPr>
          <w:rFonts w:eastAsia="Book Antiqua"/>
        </w:rPr>
        <w:t>A significant portion of government expenditure is for demand</w:t>
      </w:r>
      <w:r w:rsidR="00B63FC6">
        <w:rPr>
          <w:rFonts w:eastAsia="Book Antiqua"/>
        </w:rPr>
        <w:noBreakHyphen/>
      </w:r>
      <w:r w:rsidRPr="005F6D17">
        <w:rPr>
          <w:rFonts w:eastAsia="Book Antiqua"/>
        </w:rPr>
        <w:t xml:space="preserve">driven programs. Outcomes for these programs could differ from the estimates and projections due to changes in economic outcomes, particularly for inflation and wages growth. For a number of </w:t>
      </w:r>
      <w:proofErr w:type="gramStart"/>
      <w:r w:rsidRPr="005F6D17">
        <w:rPr>
          <w:rFonts w:eastAsia="Book Antiqua"/>
        </w:rPr>
        <w:t>demand</w:t>
      </w:r>
      <w:proofErr w:type="gramEnd"/>
      <w:r w:rsidR="00B63FC6">
        <w:rPr>
          <w:rFonts w:eastAsia="Book Antiqua"/>
        </w:rPr>
        <w:noBreakHyphen/>
      </w:r>
      <w:r w:rsidRPr="005F6D17">
        <w:rPr>
          <w:rFonts w:eastAsia="Book Antiqua"/>
        </w:rPr>
        <w:t>driven support programs, including the National Disability Insurance Scheme, aged care programs and health programs, outcomes depend on the wide range of factors that affect the take</w:t>
      </w:r>
      <w:r w:rsidR="00B63FC6">
        <w:rPr>
          <w:rFonts w:eastAsia="Book Antiqua"/>
        </w:rPr>
        <w:noBreakHyphen/>
      </w:r>
      <w:r w:rsidRPr="005F6D17">
        <w:rPr>
          <w:rFonts w:eastAsia="Book Antiqua"/>
        </w:rPr>
        <w:t>up of and cost of these programs.</w:t>
      </w:r>
    </w:p>
    <w:p w14:paraId="1A9680FE" w14:textId="77777777" w:rsidR="005F6D17" w:rsidRPr="005F6D17" w:rsidRDefault="005F6D17" w:rsidP="005F6D17">
      <w:pPr>
        <w:rPr>
          <w:rFonts w:eastAsia="Book Antiqua"/>
        </w:rPr>
      </w:pPr>
      <w:r w:rsidRPr="005F6D17">
        <w:rPr>
          <w:rFonts w:eastAsia="Book Antiqua"/>
        </w:rPr>
        <w:t>Revenue forecasting relies heavily on the observed relationships between the economy, tax bases and tax revenues. Such relationships may shift over time as the economy changes, presenting further risk to the estimates. For example, the ability of entities to use tax losses to offset profits may continue to pose heightened challenges in estimating the profile for company and resource tax receipts. Revenue forecasts also incorporate costings for new policies that typically involve a degree of uncertainty.</w:t>
      </w:r>
    </w:p>
    <w:p w14:paraId="1ADF62FF" w14:textId="77777777" w:rsidR="005F6D17" w:rsidRPr="005F6D17" w:rsidRDefault="005F6D17" w:rsidP="005F6D17">
      <w:pPr>
        <w:rPr>
          <w:rFonts w:eastAsia="Book Antiqua"/>
        </w:rPr>
      </w:pPr>
      <w:r w:rsidRPr="005F6D17">
        <w:rPr>
          <w:rFonts w:eastAsia="Book Antiqua"/>
        </w:rPr>
        <w:t xml:space="preserve">The estimates and projections of revenue are also subject to general risks that can affect taxation collections. These risks include the ability of the tax system to keep pace with changes in the business environment, the potential for tax avoidance, pending court decisions and Australian Taxation Office rulings, and the uncertain outcomes of </w:t>
      </w:r>
      <w:r w:rsidRPr="005F6D17">
        <w:rPr>
          <w:rFonts w:eastAsia="Book Antiqua"/>
        </w:rPr>
        <w:lastRenderedPageBreak/>
        <w:t>compliance programs. The manifestation of these risks may result in a shift in the composition of taxation collected from the various tax bases or a change in the size of the tax base.</w:t>
      </w:r>
    </w:p>
    <w:p w14:paraId="06E5987F" w14:textId="77777777" w:rsidR="005F6D17" w:rsidRPr="005F6D17" w:rsidRDefault="005F6D17" w:rsidP="005F6D17">
      <w:pPr>
        <w:rPr>
          <w:rFonts w:eastAsia="Book Antiqua"/>
        </w:rPr>
      </w:pPr>
      <w:r w:rsidRPr="005F6D17">
        <w:rPr>
          <w:rFonts w:eastAsia="Book Antiqua"/>
        </w:rPr>
        <w:t xml:space="preserve">Many agencies rely on external revenue to fund the delivery of some of their services. Estimates included in the MYEFO for these agencies reflect the latest information about the likely amount of external revenue they will raise. The external revenue </w:t>
      </w:r>
      <w:proofErr w:type="gramStart"/>
      <w:r w:rsidRPr="005F6D17">
        <w:rPr>
          <w:rFonts w:eastAsia="Book Antiqua"/>
        </w:rPr>
        <w:t>actually collected</w:t>
      </w:r>
      <w:proofErr w:type="gramEnd"/>
      <w:r w:rsidRPr="005F6D17">
        <w:rPr>
          <w:rFonts w:eastAsia="Book Antiqua"/>
        </w:rPr>
        <w:t xml:space="preserve"> is not certain and depends on some common factors, including economic conditions, which can affect estimates for individual agencies and for the Budget as a whole. </w:t>
      </w:r>
    </w:p>
    <w:p w14:paraId="640DAC62" w14:textId="1E82D119" w:rsidR="00AE3FFF" w:rsidRPr="005F6D17" w:rsidRDefault="00AE3FFF" w:rsidP="00AE3FFF">
      <w:pPr>
        <w:rPr>
          <w:rFonts w:eastAsia="Book Antiqua"/>
        </w:rPr>
      </w:pPr>
      <w:bookmarkStart w:id="4" w:name="_Toc184039466"/>
      <w:bookmarkStart w:id="5" w:name="_Toc166165483"/>
      <w:r w:rsidRPr="005F6D17">
        <w:rPr>
          <w:rFonts w:eastAsia="Book Antiqua"/>
        </w:rPr>
        <w:t>The forward estimates in the MYEFO include the impact of all policy decisions, including those that remain unlegislated</w:t>
      </w:r>
      <w:r>
        <w:rPr>
          <w:rFonts w:eastAsia="Book Antiqua"/>
        </w:rPr>
        <w:t xml:space="preserve"> or where negotiations on agreements are continuing</w:t>
      </w:r>
      <w:r w:rsidRPr="005F6D17">
        <w:rPr>
          <w:rFonts w:eastAsia="Book Antiqua"/>
        </w:rPr>
        <w:t>. There is a risk of a variation to the fiscal position outlined in the MYEFO where legislation is not passed in time for the commencement of the measure on the anticipated commencement date, the legislation is passed with amendments to the original decision, the legislation fails to pass the Parliament</w:t>
      </w:r>
      <w:r>
        <w:rPr>
          <w:rFonts w:eastAsia="Book Antiqua"/>
        </w:rPr>
        <w:t>, or where negotiations deliver outcomes that go beyond the funding offer</w:t>
      </w:r>
      <w:r w:rsidRPr="005F6D17">
        <w:rPr>
          <w:rFonts w:eastAsia="Book Antiqua"/>
        </w:rPr>
        <w:t>.</w:t>
      </w:r>
    </w:p>
    <w:p w14:paraId="6B5D36D0" w14:textId="77777777" w:rsidR="003B3D7A" w:rsidRPr="00B832E0" w:rsidRDefault="003B3D7A" w:rsidP="003B3D7A">
      <w:pPr>
        <w:pStyle w:val="Heading3"/>
      </w:pPr>
      <w:r w:rsidRPr="00B832E0">
        <w:t xml:space="preserve">The risks associated with climate </w:t>
      </w:r>
      <w:proofErr w:type="gramStart"/>
      <w:r w:rsidRPr="00B832E0">
        <w:t>change</w:t>
      </w:r>
      <w:bookmarkEnd w:id="4"/>
      <w:proofErr w:type="gramEnd"/>
    </w:p>
    <w:bookmarkEnd w:id="5"/>
    <w:p w14:paraId="08DBAF53" w14:textId="7AAB185B" w:rsidR="005F6D17" w:rsidRPr="005F6D17" w:rsidRDefault="005F6D17" w:rsidP="00656182">
      <w:pPr>
        <w:rPr>
          <w:rFonts w:eastAsia="Book Antiqua"/>
          <w:b/>
        </w:rPr>
      </w:pPr>
      <w:r w:rsidRPr="005F6D17">
        <w:rPr>
          <w:rFonts w:eastAsia="Book Antiqua"/>
        </w:rPr>
        <w:t>Over time, climate change is expected to have a significant impact on the Budget, both in terms of risk</w:t>
      </w:r>
      <w:r w:rsidR="00B35ACC">
        <w:rPr>
          <w:rFonts w:eastAsia="Book Antiqua"/>
        </w:rPr>
        <w:t>s</w:t>
      </w:r>
      <w:r w:rsidRPr="005F6D17">
        <w:rPr>
          <w:rFonts w:eastAsia="Book Antiqua"/>
        </w:rPr>
        <w:t xml:space="preserve"> and opportunities. The Australian Government is managing these impacts by reducing emissions and supporting the economic opportunities presented by the net zero transition. However, there is still significant uncertainty about the trajectory of global greenhouse gas emissions and the impacts climate change will have on Australia.</w:t>
      </w:r>
    </w:p>
    <w:p w14:paraId="6EE1A9BD" w14:textId="0AA973C4" w:rsidR="005F6D17" w:rsidRPr="005F6D17" w:rsidRDefault="005F6D17" w:rsidP="00656182">
      <w:pPr>
        <w:rPr>
          <w:rFonts w:eastAsia="Book Antiqua"/>
          <w:b/>
        </w:rPr>
      </w:pPr>
      <w:r w:rsidRPr="005F6D17">
        <w:rPr>
          <w:rFonts w:eastAsia="Book Antiqua"/>
        </w:rPr>
        <w:t>Climate change can affect macroeconomic and fiscal outcomes in various ways. These include the physical impacts of climate change, the indirect impacts climate change will have on Australia</w:t>
      </w:r>
      <w:r w:rsidR="00B63FC6">
        <w:rPr>
          <w:rFonts w:eastAsia="Book Antiqua"/>
          <w:b/>
        </w:rPr>
        <w:t>’</w:t>
      </w:r>
      <w:r w:rsidRPr="005F6D17">
        <w:rPr>
          <w:rFonts w:eastAsia="Book Antiqua"/>
        </w:rPr>
        <w:t>s industry mix, and the impacts of policy responses to reduce emissions or adapt to the impacts of a changing climate. Each of these has the potential to affect receipts, payments, and the Australian Government</w:t>
      </w:r>
      <w:r w:rsidR="00B63FC6">
        <w:rPr>
          <w:rFonts w:eastAsia="Book Antiqua"/>
          <w:b/>
        </w:rPr>
        <w:t>’</w:t>
      </w:r>
      <w:r w:rsidRPr="005F6D17">
        <w:rPr>
          <w:rFonts w:eastAsia="Book Antiqua"/>
        </w:rPr>
        <w:t>s balance sheet. They also have the potential to influence general economic outcomes, which may, in turn, affect Budget outcomes</w:t>
      </w:r>
      <w:r w:rsidRPr="005F6D17">
        <w:rPr>
          <w:rFonts w:eastAsia="Book Antiqua"/>
          <w:b/>
        </w:rPr>
        <w:t xml:space="preserve">. </w:t>
      </w:r>
    </w:p>
    <w:p w14:paraId="77335807" w14:textId="7FCE25B4" w:rsidR="005B57D2" w:rsidRPr="005B57D2" w:rsidRDefault="005B57D2" w:rsidP="00656182">
      <w:pPr>
        <w:rPr>
          <w:rFonts w:eastAsia="Book Antiqua"/>
        </w:rPr>
      </w:pPr>
      <w:r w:rsidRPr="005B57D2">
        <w:rPr>
          <w:rFonts w:eastAsia="Book Antiqua"/>
        </w:rPr>
        <w:t>Policy responses taken by the Australian Government to address climate change include the establishment of the Capacity Investment Scheme in the 2023–24 Budget and its expansion in the 2023–24 MYEFO to drive investment in renewable dispatchable capacity and ensure reliability in Australia</w:t>
      </w:r>
      <w:r w:rsidR="00B63FC6">
        <w:rPr>
          <w:rFonts w:eastAsia="Book Antiqua"/>
        </w:rPr>
        <w:t>’</w:t>
      </w:r>
      <w:r w:rsidRPr="005B57D2">
        <w:rPr>
          <w:rFonts w:eastAsia="Book Antiqua"/>
        </w:rPr>
        <w:t>s energy market. The Budget impact of the Capacity Investment Scheme will depend on future developments in energy prices, which may present risks that are not fully reflected in the Budget estimates. The Government has finalised contracts resulting from the first Capacity Investment Scheme tender in South Australia and Victoria</w:t>
      </w:r>
      <w:r w:rsidR="00FF7415">
        <w:rPr>
          <w:rFonts w:eastAsia="Book Antiqua"/>
        </w:rPr>
        <w:t xml:space="preserve"> which are now reflected as a quantifiable contingent liability in the Statement</w:t>
      </w:r>
      <w:r w:rsidRPr="005B57D2">
        <w:rPr>
          <w:rFonts w:eastAsia="Book Antiqua"/>
        </w:rPr>
        <w:t>. Additional specific risks associated with this program will be reflected in the Statement once further contracts are finalised and if it is determined that they meet the materiality thresholds for inclusion.</w:t>
      </w:r>
    </w:p>
    <w:p w14:paraId="07C4FC0F" w14:textId="0E1E4BB5" w:rsidR="005B57D2" w:rsidRPr="005B57D2" w:rsidRDefault="005B57D2" w:rsidP="00656182">
      <w:pPr>
        <w:rPr>
          <w:rFonts w:eastAsia="Book Antiqua"/>
          <w:b/>
        </w:rPr>
      </w:pPr>
      <w:r w:rsidRPr="005B57D2">
        <w:rPr>
          <w:rFonts w:eastAsia="Book Antiqua"/>
        </w:rPr>
        <w:t xml:space="preserve">Measures in the 2024–25 Budget to support </w:t>
      </w:r>
      <w:r w:rsidR="00F04479">
        <w:rPr>
          <w:rFonts w:eastAsia="Book Antiqua"/>
        </w:rPr>
        <w:t xml:space="preserve">the </w:t>
      </w:r>
      <w:r w:rsidRPr="005B57D2">
        <w:rPr>
          <w:rFonts w:eastAsia="Book Antiqua"/>
        </w:rPr>
        <w:t>Government</w:t>
      </w:r>
      <w:r w:rsidR="00B63FC6">
        <w:rPr>
          <w:rFonts w:eastAsia="Book Antiqua"/>
        </w:rPr>
        <w:t>’</w:t>
      </w:r>
      <w:r w:rsidRPr="005B57D2">
        <w:rPr>
          <w:rFonts w:eastAsia="Book Antiqua"/>
        </w:rPr>
        <w:t>s Future Made in Australia agenda and reduce emissions in the Australian economy include</w:t>
      </w:r>
      <w:r w:rsidR="00117CD7">
        <w:rPr>
          <w:rFonts w:eastAsia="Book Antiqua"/>
        </w:rPr>
        <w:t>d</w:t>
      </w:r>
      <w:r w:rsidRPr="005B57D2">
        <w:rPr>
          <w:rFonts w:eastAsia="Book Antiqua"/>
        </w:rPr>
        <w:t xml:space="preserve"> the Hydrogen </w:t>
      </w:r>
      <w:r w:rsidRPr="005B57D2">
        <w:rPr>
          <w:rFonts w:eastAsia="Book Antiqua"/>
        </w:rPr>
        <w:lastRenderedPageBreak/>
        <w:t>Production Tax Incentive and Critical Minerals Production Tax Incentive. The uncertainty surrounding these measures could affect Budget estimates.</w:t>
      </w:r>
    </w:p>
    <w:p w14:paraId="3453BC59" w14:textId="77777777" w:rsidR="005F6D17" w:rsidRPr="005F6D17" w:rsidRDefault="005F6D17" w:rsidP="005F6D17">
      <w:pPr>
        <w:rPr>
          <w:rFonts w:eastAsia="Book Antiqua"/>
        </w:rPr>
      </w:pPr>
      <w:r w:rsidRPr="005F6D17">
        <w:rPr>
          <w:rFonts w:eastAsia="Book Antiqua"/>
        </w:rPr>
        <w:t xml:space="preserve">MYEFO </w:t>
      </w:r>
      <w:r w:rsidRPr="007A40B1">
        <w:rPr>
          <w:rStyle w:val="Emphasis"/>
          <w:rFonts w:eastAsia="Book Antiqua"/>
        </w:rPr>
        <w:t>Part 6: Statement of Risks</w:t>
      </w:r>
      <w:r w:rsidRPr="005F6D17">
        <w:rPr>
          <w:rFonts w:eastAsia="Book Antiqua"/>
        </w:rPr>
        <w:t xml:space="preserve"> sets out specific risks where they may have an impact on the Budget in the Budget year or over the forward estimates period. Some of these risks, such as those associated with the cyclone and related flooding reinsurance pool and disaster recovery arrangements, are likely to be exacerbated by climate change over time. Other specific risks may emerge that will impact the Budget beyond the forward estimates period. These would be included in this Statement when it is apparent that the potential impact on the Budget would exceed the materiality threshold.</w:t>
      </w:r>
    </w:p>
    <w:p w14:paraId="58AE63FA" w14:textId="77777777" w:rsidR="0083009C" w:rsidRPr="00B832E0" w:rsidRDefault="0083009C" w:rsidP="0083009C">
      <w:pPr>
        <w:pStyle w:val="Heading3"/>
        <w:rPr>
          <w:rFonts w:eastAsia="Arial"/>
        </w:rPr>
      </w:pPr>
      <w:bookmarkStart w:id="6" w:name="_Toc166165484"/>
      <w:bookmarkStart w:id="7" w:name="_Toc184039467"/>
      <w:bookmarkStart w:id="8" w:name="_Toc99141850"/>
      <w:r w:rsidRPr="00B832E0">
        <w:rPr>
          <w:rFonts w:eastAsia="Arial"/>
        </w:rPr>
        <w:t>Special</w:t>
      </w:r>
      <w:r>
        <w:rPr>
          <w:rFonts w:eastAsia="Arial"/>
        </w:rPr>
        <w:t>ist</w:t>
      </w:r>
      <w:r w:rsidRPr="00B832E0">
        <w:rPr>
          <w:rFonts w:eastAsia="Arial"/>
        </w:rPr>
        <w:t xml:space="preserve"> Investment Vehicles</w:t>
      </w:r>
      <w:bookmarkEnd w:id="6"/>
      <w:bookmarkEnd w:id="7"/>
    </w:p>
    <w:p w14:paraId="7EA3DF4C" w14:textId="4F6948F4" w:rsidR="005F6D17" w:rsidRPr="005F6D17" w:rsidRDefault="005F6D17" w:rsidP="005F6D17">
      <w:pPr>
        <w:rPr>
          <w:rFonts w:eastAsia="Book Antiqua"/>
        </w:rPr>
      </w:pPr>
      <w:r w:rsidRPr="005F6D17">
        <w:rPr>
          <w:rFonts w:eastAsia="Book Antiqua"/>
        </w:rPr>
        <w:t xml:space="preserve">Successive Australian Governments have established Specialist Investment Vehicles (SIVs) to achieve policy outcomes. These include the National Reconstruction </w:t>
      </w:r>
      <w:r w:rsidR="00A41849" w:rsidRPr="00992AEE">
        <w:rPr>
          <w:rFonts w:eastAsia="Book Antiqua"/>
        </w:rPr>
        <w:t>Fund</w:t>
      </w:r>
      <w:r w:rsidR="00A41849">
        <w:rPr>
          <w:rFonts w:eastAsia="Book Antiqua"/>
        </w:rPr>
        <w:t xml:space="preserve"> Corporation</w:t>
      </w:r>
      <w:r w:rsidRPr="005F6D17">
        <w:rPr>
          <w:rFonts w:eastAsia="Book Antiqua"/>
        </w:rPr>
        <w:t>, Export Finance Australia, the Clean Energy Finance Corporation, and the Northern Australia Infrastructure Facility. These SIVs have been established with robust governance arrangements, including independent boards, which are charged with making investment decisions that manage risk and deliver outcomes in line with each SIV</w:t>
      </w:r>
      <w:r w:rsidR="00B63FC6">
        <w:rPr>
          <w:rFonts w:eastAsia="Book Antiqua"/>
        </w:rPr>
        <w:t>’</w:t>
      </w:r>
      <w:r w:rsidRPr="005F6D17">
        <w:rPr>
          <w:rFonts w:eastAsia="Book Antiqua"/>
        </w:rPr>
        <w:t xml:space="preserve">s </w:t>
      </w:r>
      <w:r w:rsidR="00035FD5">
        <w:rPr>
          <w:rFonts w:eastAsia="Book Antiqua"/>
        </w:rPr>
        <w:t>relevant</w:t>
      </w:r>
      <w:r w:rsidR="00035FD5" w:rsidRPr="005F6D17">
        <w:rPr>
          <w:rFonts w:eastAsia="Book Antiqua"/>
        </w:rPr>
        <w:t xml:space="preserve"> </w:t>
      </w:r>
      <w:r w:rsidR="00B90FAB" w:rsidRPr="00B90FAB">
        <w:rPr>
          <w:rFonts w:eastAsia="Book Antiqua"/>
        </w:rPr>
        <w:t>legislative framework and investment mandate</w:t>
      </w:r>
      <w:r w:rsidRPr="005F6D17">
        <w:rPr>
          <w:rFonts w:eastAsia="Book Antiqua"/>
        </w:rPr>
        <w:t>. Details of each SIV is set out in Budget Paper No.</w:t>
      </w:r>
      <w:r w:rsidR="004D575D">
        <w:rPr>
          <w:rFonts w:eastAsia="Book Antiqua"/>
        </w:rPr>
        <w:t> </w:t>
      </w:r>
      <w:r w:rsidRPr="005F6D17">
        <w:rPr>
          <w:rFonts w:eastAsia="Book Antiqua"/>
        </w:rPr>
        <w:t xml:space="preserve">2 or Appendix A to the MYEFO when they are established and, where relevant, presented in the </w:t>
      </w:r>
      <w:r w:rsidR="00B63FC6">
        <w:rPr>
          <w:rFonts w:eastAsia="Book Antiqua"/>
        </w:rPr>
        <w:t>‘</w:t>
      </w:r>
      <w:r w:rsidRPr="005F6D17">
        <w:rPr>
          <w:rFonts w:eastAsia="Book Antiqua"/>
        </w:rPr>
        <w:t>Government loans</w:t>
      </w:r>
      <w:r w:rsidR="00B63FC6">
        <w:rPr>
          <w:rFonts w:eastAsia="Book Antiqua"/>
        </w:rPr>
        <w:t>’</w:t>
      </w:r>
      <w:r w:rsidRPr="005F6D17">
        <w:rPr>
          <w:rFonts w:eastAsia="Book Antiqua"/>
        </w:rPr>
        <w:t xml:space="preserve"> section of this Statement, including the total value of loans issued by each entity. This Statement includes reference to specific risks associated with these SIVs at the time it is apparent that those risks associated with the investments exceed or are expected to exceed the materiality threshold. </w:t>
      </w:r>
    </w:p>
    <w:p w14:paraId="72F2E302" w14:textId="77777777" w:rsidR="00FD0EA5" w:rsidRPr="00B832E0" w:rsidRDefault="00FD0EA5" w:rsidP="00FD0EA5">
      <w:pPr>
        <w:pStyle w:val="Heading3"/>
        <w:rPr>
          <w:rFonts w:eastAsia="Arial"/>
        </w:rPr>
      </w:pPr>
      <w:bookmarkStart w:id="9" w:name="_Toc166165485"/>
      <w:bookmarkStart w:id="10" w:name="_Toc184039468"/>
      <w:bookmarkEnd w:id="8"/>
      <w:r w:rsidRPr="00B832E0">
        <w:rPr>
          <w:rFonts w:eastAsia="Arial"/>
        </w:rPr>
        <w:t>Specific risks to the Budget</w:t>
      </w:r>
      <w:bookmarkEnd w:id="9"/>
      <w:bookmarkEnd w:id="10"/>
    </w:p>
    <w:p w14:paraId="5A9A273E" w14:textId="4B71D83E" w:rsidR="005F6D17" w:rsidRPr="005F6D17" w:rsidRDefault="005F6D17" w:rsidP="005F6D17">
      <w:pPr>
        <w:rPr>
          <w:rFonts w:eastAsia="Book Antiqua"/>
        </w:rPr>
      </w:pPr>
      <w:r w:rsidRPr="005F6D17">
        <w:rPr>
          <w:rFonts w:eastAsia="Book Antiqua"/>
        </w:rPr>
        <w:t>The Budget is subject to contingent liabilities. Many of these reflect indemnities, including those relating to the Department of Defence, the Future Fund Management Agency and Future Fund Board of Guardians, and the Reserve Bank of Australia. The Australian</w:t>
      </w:r>
      <w:r w:rsidR="00CB6732" w:rsidRPr="005F6D17">
        <w:rPr>
          <w:rFonts w:eastAsia="Book Antiqua"/>
        </w:rPr>
        <w:t> </w:t>
      </w:r>
      <w:r w:rsidRPr="005F6D17">
        <w:rPr>
          <w:rFonts w:eastAsia="Book Antiqua"/>
        </w:rPr>
        <w:t xml:space="preserve">Government has also issued guarantees, including those relating to guarantee schemes for the banking and financial sector, payments by Export Finance Australia, and the superannuation liabilities of the Commonwealth Bank prior to its sale. Other significant contingent liabilities relate to uncalled capital subscriptions and credit facilities to international financial institutions and legal cases concerning the Australian Government. The Government has robust and conservative strategies in place to reduce its potential exposure to these contingent liabilities. </w:t>
      </w:r>
    </w:p>
    <w:p w14:paraId="66E05DBF" w14:textId="77777777" w:rsidR="005F6D17" w:rsidRPr="005F6D17" w:rsidRDefault="005F6D17" w:rsidP="005F6D17">
      <w:pPr>
        <w:rPr>
          <w:rFonts w:eastAsia="Book Antiqua"/>
        </w:rPr>
      </w:pPr>
      <w:r w:rsidRPr="005F6D17">
        <w:rPr>
          <w:rFonts w:eastAsia="Book Antiqua"/>
        </w:rPr>
        <w:t>Fiscal risks arise from general developments or specific events that may affect the fiscal outlook. Some developments or events raise the possibility of a fiscal impact. In other cases, the likelihood of a fiscal impact may be reasonably certain but will not be included in the forward estimates because the timing or magnitude of the impact is not known.</w:t>
      </w:r>
    </w:p>
    <w:p w14:paraId="48795BA0" w14:textId="436C09F7" w:rsidR="005F6D17" w:rsidRPr="005F6D17" w:rsidRDefault="005F6D17" w:rsidP="005F6D17">
      <w:pPr>
        <w:rPr>
          <w:rFonts w:eastAsia="Book Antiqua"/>
        </w:rPr>
      </w:pPr>
      <w:r w:rsidRPr="002C4F07">
        <w:rPr>
          <w:rFonts w:eastAsia="Book Antiqua"/>
        </w:rPr>
        <w:t>Table </w:t>
      </w:r>
      <w:r w:rsidR="00F97ED4" w:rsidRPr="002C4F07">
        <w:rPr>
          <w:rFonts w:eastAsia="Book Antiqua"/>
        </w:rPr>
        <w:t>6</w:t>
      </w:r>
      <w:r w:rsidRPr="002C4F07">
        <w:rPr>
          <w:rFonts w:eastAsia="Book Antiqua"/>
        </w:rPr>
        <w:t>.1</w:t>
      </w:r>
      <w:r w:rsidRPr="005F6D17">
        <w:rPr>
          <w:rFonts w:eastAsia="Book Antiqua"/>
        </w:rPr>
        <w:t xml:space="preserve"> outlines how fiscal risks, assets and liabilities, and contingent assets and liabilities, are disclosed in the </w:t>
      </w:r>
      <w:bookmarkStart w:id="11" w:name="_Toc32480713"/>
      <w:bookmarkStart w:id="12" w:name="_Toc32487225"/>
      <w:r w:rsidR="00FF7415">
        <w:rPr>
          <w:rFonts w:eastAsia="Book Antiqua"/>
        </w:rPr>
        <w:t>MYEFO</w:t>
      </w:r>
      <w:r w:rsidRPr="005F6D17">
        <w:rPr>
          <w:rFonts w:eastAsia="Book Antiqua"/>
        </w:rPr>
        <w:t xml:space="preserve">. </w:t>
      </w:r>
    </w:p>
    <w:p w14:paraId="72BCF0E6" w14:textId="5F9A1E0B" w:rsidR="005F6D17" w:rsidRPr="005F6D17" w:rsidRDefault="005F6D17" w:rsidP="005F6D17">
      <w:pPr>
        <w:rPr>
          <w:rFonts w:eastAsia="Book Antiqua"/>
        </w:rPr>
      </w:pPr>
      <w:r w:rsidRPr="002C4F07">
        <w:rPr>
          <w:rFonts w:eastAsia="Book Antiqua"/>
        </w:rPr>
        <w:lastRenderedPageBreak/>
        <w:t>Table </w:t>
      </w:r>
      <w:r w:rsidR="00F97ED4" w:rsidRPr="002C4F07">
        <w:rPr>
          <w:rFonts w:eastAsia="Book Antiqua"/>
        </w:rPr>
        <w:t>6</w:t>
      </w:r>
      <w:r w:rsidRPr="002C4F07">
        <w:rPr>
          <w:rFonts w:eastAsia="Book Antiqua"/>
        </w:rPr>
        <w:t>.2</w:t>
      </w:r>
      <w:r w:rsidRPr="005F6D17">
        <w:rPr>
          <w:rFonts w:eastAsia="Book Antiqua"/>
        </w:rPr>
        <w:t xml:space="preserve"> summarises fiscal risks, contingent </w:t>
      </w:r>
      <w:proofErr w:type="gramStart"/>
      <w:r w:rsidRPr="005F6D17">
        <w:rPr>
          <w:rFonts w:eastAsia="Book Antiqua"/>
        </w:rPr>
        <w:t>liabilities</w:t>
      </w:r>
      <w:proofErr w:type="gramEnd"/>
      <w:r w:rsidRPr="005F6D17">
        <w:rPr>
          <w:rFonts w:eastAsia="Book Antiqua"/>
        </w:rPr>
        <w:t xml:space="preserve"> and contingent assets with a possible impact on the forward estimates greater than $20 million in any one year, or $50 million over the forward estimates period. Risks that are new or that have materially changed are detailed by portfolio after </w:t>
      </w:r>
      <w:r w:rsidRPr="002C4F07">
        <w:rPr>
          <w:rFonts w:eastAsia="Book Antiqua"/>
        </w:rPr>
        <w:t>Table </w:t>
      </w:r>
      <w:r w:rsidR="00F97ED4" w:rsidRPr="002C4F07">
        <w:rPr>
          <w:rFonts w:eastAsia="Book Antiqua"/>
        </w:rPr>
        <w:t>6</w:t>
      </w:r>
      <w:r w:rsidRPr="002C4F07">
        <w:rPr>
          <w:rFonts w:eastAsia="Book Antiqua"/>
        </w:rPr>
        <w:t>.2</w:t>
      </w:r>
      <w:r w:rsidRPr="005F6D17">
        <w:rPr>
          <w:rFonts w:eastAsia="Book Antiqua"/>
        </w:rPr>
        <w:t xml:space="preserve">. </w:t>
      </w:r>
    </w:p>
    <w:p w14:paraId="55729759" w14:textId="3C9B57C4" w:rsidR="005F6D17" w:rsidRPr="005F6D17" w:rsidRDefault="005F6D17" w:rsidP="005F6D17">
      <w:pPr>
        <w:rPr>
          <w:rFonts w:eastAsia="Book Antiqua"/>
        </w:rPr>
      </w:pPr>
      <w:r w:rsidRPr="005F6D17">
        <w:rPr>
          <w:rFonts w:eastAsia="Book Antiqua"/>
        </w:rPr>
        <w:t>The Australian Government</w:t>
      </w:r>
      <w:r w:rsidR="00B63FC6">
        <w:rPr>
          <w:rFonts w:eastAsia="Book Antiqua"/>
        </w:rPr>
        <w:t>’</w:t>
      </w:r>
      <w:r w:rsidRPr="005F6D17">
        <w:rPr>
          <w:rFonts w:eastAsia="Book Antiqua"/>
        </w:rPr>
        <w:t>s annual consolidated financial statements and the annual financial statements of departments and other Government entities also set out information on contingent liabilities and contingent assets.</w:t>
      </w:r>
      <w:bookmarkEnd w:id="11"/>
      <w:bookmarkEnd w:id="12"/>
    </w:p>
    <w:p w14:paraId="28250B79" w14:textId="5919719D" w:rsidR="005F6D17" w:rsidRPr="005F6D17" w:rsidRDefault="005F6D17" w:rsidP="005F6D17">
      <w:pPr>
        <w:rPr>
          <w:rFonts w:eastAsia="Book Antiqua"/>
        </w:rPr>
      </w:pPr>
      <w:r w:rsidRPr="005F6D17">
        <w:rPr>
          <w:rFonts w:eastAsia="Book Antiqua"/>
        </w:rPr>
        <w:t xml:space="preserve">The Government also makes direct loans for policy purposes. All loans contain some element of credit risk (that is, they will not be repaid in full) although, in many cases, this risk is small. Details of Government loans that exceeded $200 million </w:t>
      </w:r>
      <w:proofErr w:type="gramStart"/>
      <w:r w:rsidRPr="005F6D17">
        <w:rPr>
          <w:rFonts w:eastAsia="Book Antiqua"/>
        </w:rPr>
        <w:t>at</w:t>
      </w:r>
      <w:proofErr w:type="gramEnd"/>
      <w:r w:rsidRPr="005F6D17">
        <w:rPr>
          <w:rFonts w:eastAsia="Book Antiqua"/>
        </w:rPr>
        <w:t xml:space="preserve"> 30 June 2024 are included at the conclusion o</w:t>
      </w:r>
      <w:r w:rsidR="00306BED">
        <w:rPr>
          <w:rFonts w:eastAsia="Book Antiqua"/>
        </w:rPr>
        <w:t>f Part 6</w:t>
      </w:r>
      <w:r w:rsidRPr="005F6D17">
        <w:rPr>
          <w:rFonts w:eastAsia="Book Antiqua"/>
        </w:rPr>
        <w:t>.</w:t>
      </w:r>
    </w:p>
    <w:p w14:paraId="21DE6E32" w14:textId="55570518" w:rsidR="006E40DB" w:rsidRPr="00B832E0" w:rsidRDefault="006E40DB" w:rsidP="006E40DB">
      <w:pPr>
        <w:pStyle w:val="TableHeading"/>
        <w:rPr>
          <w:rFonts w:eastAsia="Arial"/>
        </w:rPr>
      </w:pPr>
      <w:r w:rsidRPr="002C4F07">
        <w:rPr>
          <w:rFonts w:eastAsia="Arial"/>
        </w:rPr>
        <w:t xml:space="preserve">Table </w:t>
      </w:r>
      <w:r w:rsidR="00F97ED4" w:rsidRPr="002C4F07">
        <w:rPr>
          <w:rFonts w:eastAsia="Arial"/>
        </w:rPr>
        <w:t>6</w:t>
      </w:r>
      <w:r w:rsidRPr="002C4F07">
        <w:rPr>
          <w:rFonts w:eastAsia="Arial"/>
        </w:rPr>
        <w:t>.1</w:t>
      </w:r>
      <w:r w:rsidRPr="00D13C64">
        <w:rPr>
          <w:rFonts w:eastAsia="Arial"/>
        </w:rPr>
        <w:t>: Disclosure</w:t>
      </w:r>
      <w:r w:rsidRPr="006C4EA4">
        <w:rPr>
          <w:rFonts w:eastAsia="Arial"/>
        </w:rPr>
        <w:t xml:space="preserve"> </w:t>
      </w:r>
      <w:r w:rsidRPr="00B832E0">
        <w:rPr>
          <w:rFonts w:eastAsia="Arial"/>
        </w:rPr>
        <w:t>of fiscal risks, contingent assets and contingent liabilities, and assets and liabilities in the Budget papers</w:t>
      </w:r>
    </w:p>
    <w:tbl>
      <w:tblPr>
        <w:tblW w:w="5000" w:type="pct"/>
        <w:tblBorders>
          <w:top w:val="single" w:sz="2" w:space="0" w:color="002A54" w:themeColor="text2"/>
          <w:bottom w:val="single" w:sz="2" w:space="0" w:color="002A54" w:themeColor="text2"/>
          <w:insideH w:val="single" w:sz="2" w:space="0" w:color="002A54" w:themeColor="text2"/>
        </w:tblBorders>
        <w:tblLayout w:type="fixed"/>
        <w:tblLook w:val="01E0" w:firstRow="1" w:lastRow="1" w:firstColumn="1" w:lastColumn="1" w:noHBand="0" w:noVBand="0"/>
        <w:tblCaption w:val="Table"/>
      </w:tblPr>
      <w:tblGrid>
        <w:gridCol w:w="2003"/>
        <w:gridCol w:w="3666"/>
        <w:gridCol w:w="2041"/>
      </w:tblGrid>
      <w:tr w:rsidR="006E40DB" w:rsidRPr="00B832E0" w14:paraId="398569BB" w14:textId="77777777" w:rsidTr="00C03DF9">
        <w:trPr>
          <w:trHeight w:val="263"/>
        </w:trPr>
        <w:tc>
          <w:tcPr>
            <w:tcW w:w="1998" w:type="dxa"/>
            <w:shd w:val="clear" w:color="auto" w:fill="E6F2FF"/>
          </w:tcPr>
          <w:p w14:paraId="6D364250" w14:textId="77777777" w:rsidR="006E40DB" w:rsidRPr="00B832E0" w:rsidRDefault="006E40DB" w:rsidP="00C03DF9">
            <w:pPr>
              <w:pStyle w:val="TableColumnHeadingLeft"/>
              <w:rPr>
                <w:rFonts w:eastAsia="Arial"/>
              </w:rPr>
            </w:pPr>
            <w:r w:rsidRPr="00B832E0">
              <w:rPr>
                <w:rFonts w:eastAsia="Arial"/>
              </w:rPr>
              <w:t>Category</w:t>
            </w:r>
          </w:p>
        </w:tc>
        <w:tc>
          <w:tcPr>
            <w:tcW w:w="3666" w:type="dxa"/>
            <w:shd w:val="clear" w:color="auto" w:fill="E6F2FF"/>
          </w:tcPr>
          <w:p w14:paraId="559AE235" w14:textId="77777777" w:rsidR="006E40DB" w:rsidRPr="00B832E0" w:rsidRDefault="006E40DB" w:rsidP="00C03DF9">
            <w:pPr>
              <w:pStyle w:val="TableColumnHeadingLeft"/>
              <w:rPr>
                <w:rFonts w:eastAsia="Arial"/>
              </w:rPr>
            </w:pPr>
            <w:r w:rsidRPr="00B832E0">
              <w:rPr>
                <w:rFonts w:eastAsia="Arial"/>
              </w:rPr>
              <w:t>Type</w:t>
            </w:r>
            <w:r w:rsidRPr="00B832E0">
              <w:rPr>
                <w:rFonts w:eastAsia="Arial"/>
                <w:vertAlign w:val="superscript"/>
              </w:rPr>
              <w:t>(a)</w:t>
            </w:r>
          </w:p>
        </w:tc>
        <w:tc>
          <w:tcPr>
            <w:tcW w:w="2041" w:type="dxa"/>
            <w:shd w:val="clear" w:color="auto" w:fill="E6F2FF"/>
          </w:tcPr>
          <w:p w14:paraId="31E501DE" w14:textId="77777777" w:rsidR="006E40DB" w:rsidRPr="00B832E0" w:rsidRDefault="006E40DB" w:rsidP="00C03DF9">
            <w:pPr>
              <w:pStyle w:val="TableColumnHeadingLeft"/>
              <w:rPr>
                <w:rFonts w:eastAsia="Arial"/>
              </w:rPr>
            </w:pPr>
            <w:r w:rsidRPr="00B832E0">
              <w:rPr>
                <w:rFonts w:eastAsia="Arial"/>
              </w:rPr>
              <w:t>Disclosure</w:t>
            </w:r>
          </w:p>
        </w:tc>
      </w:tr>
      <w:tr w:rsidR="006E40DB" w:rsidRPr="00B832E0" w14:paraId="0E36084D" w14:textId="77777777" w:rsidTr="00C03DF9">
        <w:trPr>
          <w:trHeight w:val="223"/>
        </w:trPr>
        <w:tc>
          <w:tcPr>
            <w:tcW w:w="2004" w:type="dxa"/>
            <w:tcBorders>
              <w:bottom w:val="single" w:sz="2" w:space="0" w:color="002A54" w:themeColor="text2"/>
            </w:tcBorders>
          </w:tcPr>
          <w:p w14:paraId="4E35FABB" w14:textId="77777777" w:rsidR="006E40DB" w:rsidRPr="00B832E0" w:rsidRDefault="006E40DB" w:rsidP="00C03DF9">
            <w:pPr>
              <w:pStyle w:val="TableTextLeft"/>
              <w:rPr>
                <w:rFonts w:eastAsia="Arial"/>
              </w:rPr>
            </w:pPr>
            <w:r w:rsidRPr="00B832E0">
              <w:rPr>
                <w:rFonts w:eastAsia="Arial"/>
              </w:rPr>
              <w:t>Fiscal Risks</w:t>
            </w:r>
          </w:p>
        </w:tc>
        <w:tc>
          <w:tcPr>
            <w:tcW w:w="3666" w:type="dxa"/>
          </w:tcPr>
          <w:p w14:paraId="07E0C2EF" w14:textId="77777777" w:rsidR="006E40DB" w:rsidRPr="00B832E0" w:rsidRDefault="006E40DB" w:rsidP="00C03DF9">
            <w:pPr>
              <w:pStyle w:val="TableTextLeft"/>
              <w:rPr>
                <w:rFonts w:eastAsia="Arial"/>
              </w:rPr>
            </w:pPr>
            <w:r w:rsidRPr="00B832E0">
              <w:rPr>
                <w:rFonts w:eastAsia="Arial"/>
              </w:rPr>
              <w:t>Fiscal Risks</w:t>
            </w:r>
          </w:p>
        </w:tc>
        <w:tc>
          <w:tcPr>
            <w:tcW w:w="2041" w:type="dxa"/>
          </w:tcPr>
          <w:p w14:paraId="54A30CFC" w14:textId="77777777" w:rsidR="006E40DB" w:rsidRPr="00B832E0" w:rsidRDefault="006E40DB" w:rsidP="00C03DF9">
            <w:pPr>
              <w:pStyle w:val="TableTextLeft"/>
              <w:rPr>
                <w:rFonts w:eastAsia="Arial"/>
              </w:rPr>
            </w:pPr>
            <w:r w:rsidRPr="00B832E0">
              <w:rPr>
                <w:rFonts w:eastAsia="Arial"/>
              </w:rPr>
              <w:t>Statement of Risks</w:t>
            </w:r>
          </w:p>
        </w:tc>
      </w:tr>
      <w:tr w:rsidR="006E40DB" w:rsidRPr="00B832E0" w14:paraId="3EA327F4" w14:textId="77777777" w:rsidTr="00C03DF9">
        <w:trPr>
          <w:trHeight w:val="407"/>
        </w:trPr>
        <w:tc>
          <w:tcPr>
            <w:tcW w:w="2004" w:type="dxa"/>
            <w:tcBorders>
              <w:bottom w:val="nil"/>
            </w:tcBorders>
          </w:tcPr>
          <w:p w14:paraId="49E922E7" w14:textId="77777777" w:rsidR="006E40DB" w:rsidRPr="00B832E0" w:rsidRDefault="006E40DB" w:rsidP="00C03DF9">
            <w:pPr>
              <w:pStyle w:val="TableTextLeft"/>
              <w:rPr>
                <w:rFonts w:eastAsia="Arial"/>
              </w:rPr>
            </w:pPr>
            <w:r w:rsidRPr="00B832E0">
              <w:rPr>
                <w:rFonts w:eastAsia="Arial"/>
              </w:rPr>
              <w:t>Contingent assets and contingent liabilities</w:t>
            </w:r>
          </w:p>
        </w:tc>
        <w:tc>
          <w:tcPr>
            <w:tcW w:w="3666" w:type="dxa"/>
          </w:tcPr>
          <w:p w14:paraId="0FECC2D9" w14:textId="77777777" w:rsidR="006E40DB" w:rsidRPr="00B832E0" w:rsidRDefault="006E40DB" w:rsidP="00C03DF9">
            <w:pPr>
              <w:pStyle w:val="TableTextLeft"/>
              <w:rPr>
                <w:rFonts w:eastAsia="Arial"/>
              </w:rPr>
            </w:pPr>
            <w:r w:rsidRPr="00B832E0">
              <w:rPr>
                <w:rFonts w:eastAsia="Arial"/>
              </w:rPr>
              <w:t>Significant contingent assets and liabilities considered remote</w:t>
            </w:r>
          </w:p>
        </w:tc>
        <w:tc>
          <w:tcPr>
            <w:tcW w:w="2041" w:type="dxa"/>
          </w:tcPr>
          <w:p w14:paraId="08FBCAE3" w14:textId="77777777" w:rsidR="006E40DB" w:rsidRPr="00B832E0" w:rsidRDefault="006E40DB" w:rsidP="00C03DF9">
            <w:pPr>
              <w:pStyle w:val="TableTextLeft"/>
              <w:rPr>
                <w:rFonts w:eastAsia="Arial"/>
              </w:rPr>
            </w:pPr>
            <w:r w:rsidRPr="00B832E0">
              <w:rPr>
                <w:rFonts w:eastAsia="Arial"/>
              </w:rPr>
              <w:t>Statement of Risks</w:t>
            </w:r>
          </w:p>
        </w:tc>
      </w:tr>
      <w:tr w:rsidR="006E40DB" w:rsidRPr="00B832E0" w14:paraId="0909C575" w14:textId="77777777" w:rsidTr="00C03DF9">
        <w:trPr>
          <w:trHeight w:val="407"/>
        </w:trPr>
        <w:tc>
          <w:tcPr>
            <w:tcW w:w="2004" w:type="dxa"/>
            <w:tcBorders>
              <w:top w:val="nil"/>
              <w:bottom w:val="nil"/>
            </w:tcBorders>
          </w:tcPr>
          <w:p w14:paraId="14408C0B" w14:textId="77777777" w:rsidR="006E40DB" w:rsidRPr="00B832E0" w:rsidRDefault="006E40DB" w:rsidP="00C03DF9">
            <w:pPr>
              <w:pStyle w:val="TableTextLeft"/>
              <w:rPr>
                <w:rFonts w:eastAsia="Arial"/>
              </w:rPr>
            </w:pPr>
          </w:p>
        </w:tc>
        <w:tc>
          <w:tcPr>
            <w:tcW w:w="3666" w:type="dxa"/>
          </w:tcPr>
          <w:p w14:paraId="0B4931A7" w14:textId="77777777" w:rsidR="006E40DB" w:rsidRPr="00B832E0" w:rsidRDefault="006E40DB" w:rsidP="00C03DF9">
            <w:pPr>
              <w:pStyle w:val="TableTextLeft"/>
              <w:rPr>
                <w:rFonts w:eastAsia="Arial"/>
              </w:rPr>
            </w:pPr>
            <w:r w:rsidRPr="00B832E0">
              <w:rPr>
                <w:rFonts w:eastAsia="Arial"/>
              </w:rPr>
              <w:t>Unquantifiable contingent assets and liabilities that are improbable but not remote</w:t>
            </w:r>
          </w:p>
        </w:tc>
        <w:tc>
          <w:tcPr>
            <w:tcW w:w="2041" w:type="dxa"/>
          </w:tcPr>
          <w:p w14:paraId="12029B3A" w14:textId="77777777" w:rsidR="006E40DB" w:rsidRPr="00B832E0" w:rsidRDefault="006E40DB" w:rsidP="00C03DF9">
            <w:pPr>
              <w:pStyle w:val="TableTextLeft"/>
              <w:rPr>
                <w:rFonts w:eastAsia="Arial"/>
              </w:rPr>
            </w:pPr>
            <w:r w:rsidRPr="00B832E0">
              <w:rPr>
                <w:rFonts w:eastAsia="Arial"/>
              </w:rPr>
              <w:t>Statement of Risks</w:t>
            </w:r>
          </w:p>
        </w:tc>
      </w:tr>
      <w:tr w:rsidR="006E40DB" w:rsidRPr="00B832E0" w14:paraId="7026492F" w14:textId="77777777" w:rsidTr="00C03DF9">
        <w:trPr>
          <w:trHeight w:val="410"/>
        </w:trPr>
        <w:tc>
          <w:tcPr>
            <w:tcW w:w="2004" w:type="dxa"/>
            <w:tcBorders>
              <w:top w:val="nil"/>
              <w:bottom w:val="nil"/>
            </w:tcBorders>
          </w:tcPr>
          <w:p w14:paraId="56E8D49F" w14:textId="77777777" w:rsidR="006E40DB" w:rsidRPr="00B832E0" w:rsidRDefault="006E40DB" w:rsidP="00C03DF9">
            <w:pPr>
              <w:pStyle w:val="TableTextLeft"/>
              <w:rPr>
                <w:rFonts w:eastAsia="Arial"/>
              </w:rPr>
            </w:pPr>
          </w:p>
        </w:tc>
        <w:tc>
          <w:tcPr>
            <w:tcW w:w="3666" w:type="dxa"/>
          </w:tcPr>
          <w:p w14:paraId="3D31BDAA" w14:textId="77777777" w:rsidR="006E40DB" w:rsidRPr="00B832E0" w:rsidRDefault="006E40DB" w:rsidP="00C03DF9">
            <w:pPr>
              <w:pStyle w:val="TableTextLeft"/>
              <w:rPr>
                <w:rFonts w:eastAsia="Arial"/>
              </w:rPr>
            </w:pPr>
            <w:r w:rsidRPr="00B832E0">
              <w:rPr>
                <w:rFonts w:eastAsia="Arial"/>
              </w:rPr>
              <w:t>Quantifiable contingent assets and liabilities that are improbable but not remote</w:t>
            </w:r>
          </w:p>
        </w:tc>
        <w:tc>
          <w:tcPr>
            <w:tcW w:w="2041" w:type="dxa"/>
          </w:tcPr>
          <w:p w14:paraId="3845FDCC" w14:textId="77777777" w:rsidR="006E40DB" w:rsidRPr="00B832E0" w:rsidRDefault="006E40DB" w:rsidP="00C03DF9">
            <w:pPr>
              <w:pStyle w:val="TableTextLeft"/>
              <w:rPr>
                <w:rFonts w:eastAsia="Arial"/>
              </w:rPr>
            </w:pPr>
            <w:r w:rsidRPr="00B832E0">
              <w:rPr>
                <w:rFonts w:eastAsia="Arial"/>
              </w:rPr>
              <w:t>Statement of Risks</w:t>
            </w:r>
          </w:p>
        </w:tc>
      </w:tr>
      <w:tr w:rsidR="006E40DB" w:rsidRPr="00B832E0" w14:paraId="594FC30B" w14:textId="77777777" w:rsidTr="00C03DF9">
        <w:trPr>
          <w:trHeight w:val="407"/>
        </w:trPr>
        <w:tc>
          <w:tcPr>
            <w:tcW w:w="2004" w:type="dxa"/>
            <w:tcBorders>
              <w:top w:val="nil"/>
            </w:tcBorders>
          </w:tcPr>
          <w:p w14:paraId="07D27442" w14:textId="77777777" w:rsidR="006E40DB" w:rsidRPr="00B832E0" w:rsidRDefault="006E40DB" w:rsidP="00C03DF9">
            <w:pPr>
              <w:pStyle w:val="TableTextLeft"/>
              <w:rPr>
                <w:rFonts w:eastAsia="Arial"/>
              </w:rPr>
            </w:pPr>
          </w:p>
        </w:tc>
        <w:tc>
          <w:tcPr>
            <w:tcW w:w="3666" w:type="dxa"/>
          </w:tcPr>
          <w:p w14:paraId="2FC2B5E9" w14:textId="77777777" w:rsidR="006E40DB" w:rsidRPr="00B832E0" w:rsidRDefault="006E40DB" w:rsidP="00C03DF9">
            <w:pPr>
              <w:pStyle w:val="TableTextLeft"/>
              <w:rPr>
                <w:rFonts w:eastAsia="Arial"/>
              </w:rPr>
            </w:pPr>
            <w:r w:rsidRPr="00B832E0">
              <w:rPr>
                <w:rFonts w:eastAsia="Arial"/>
              </w:rPr>
              <w:t xml:space="preserve">Contingent assets and liabilities excluded </w:t>
            </w:r>
            <w:proofErr w:type="gramStart"/>
            <w:r w:rsidRPr="00B832E0">
              <w:rPr>
                <w:rFonts w:eastAsia="Arial"/>
              </w:rPr>
              <w:t>on the basis of</w:t>
            </w:r>
            <w:proofErr w:type="gramEnd"/>
            <w:r w:rsidRPr="00B832E0">
              <w:rPr>
                <w:rFonts w:eastAsia="Arial"/>
              </w:rPr>
              <w:t xml:space="preserve"> immateriality</w:t>
            </w:r>
            <w:r w:rsidRPr="00B832E0">
              <w:rPr>
                <w:rFonts w:eastAsia="Arial"/>
                <w:vertAlign w:val="superscript"/>
              </w:rPr>
              <w:t>(b)</w:t>
            </w:r>
          </w:p>
        </w:tc>
        <w:tc>
          <w:tcPr>
            <w:tcW w:w="2041" w:type="dxa"/>
          </w:tcPr>
          <w:p w14:paraId="5BC96C62" w14:textId="77777777" w:rsidR="006E40DB" w:rsidRPr="00B832E0" w:rsidRDefault="006E40DB" w:rsidP="00C03DF9">
            <w:pPr>
              <w:pStyle w:val="TableTextLeft"/>
              <w:rPr>
                <w:rFonts w:eastAsia="Arial"/>
              </w:rPr>
            </w:pPr>
            <w:r w:rsidRPr="00B832E0">
              <w:rPr>
                <w:rFonts w:eastAsia="Arial"/>
              </w:rPr>
              <w:t>None</w:t>
            </w:r>
          </w:p>
        </w:tc>
      </w:tr>
      <w:tr w:rsidR="006E40DB" w:rsidRPr="00B832E0" w14:paraId="4D6A0B25" w14:textId="77777777" w:rsidTr="00C03DF9">
        <w:trPr>
          <w:trHeight w:val="407"/>
        </w:trPr>
        <w:tc>
          <w:tcPr>
            <w:tcW w:w="2004" w:type="dxa"/>
          </w:tcPr>
          <w:p w14:paraId="63FA55DC" w14:textId="77777777" w:rsidR="006E40DB" w:rsidRPr="00B832E0" w:rsidRDefault="006E40DB" w:rsidP="00C03DF9">
            <w:pPr>
              <w:pStyle w:val="TableTextLeft"/>
              <w:rPr>
                <w:rFonts w:eastAsia="Arial"/>
              </w:rPr>
            </w:pPr>
            <w:r w:rsidRPr="00B832E0">
              <w:rPr>
                <w:rFonts w:eastAsia="Arial"/>
              </w:rPr>
              <w:t>Assets and liabilities</w:t>
            </w:r>
          </w:p>
        </w:tc>
        <w:tc>
          <w:tcPr>
            <w:tcW w:w="3666" w:type="dxa"/>
          </w:tcPr>
          <w:p w14:paraId="15BCC319" w14:textId="77777777" w:rsidR="006E40DB" w:rsidRPr="00B832E0" w:rsidRDefault="006E40DB" w:rsidP="00C03DF9">
            <w:pPr>
              <w:pStyle w:val="TableTextLeft"/>
              <w:rPr>
                <w:rFonts w:eastAsia="Arial"/>
              </w:rPr>
            </w:pPr>
            <w:r w:rsidRPr="00B832E0">
              <w:rPr>
                <w:rFonts w:eastAsia="Arial"/>
              </w:rPr>
              <w:t>Assets and liabilities that are probable and can be reliably measured</w:t>
            </w:r>
          </w:p>
        </w:tc>
        <w:tc>
          <w:tcPr>
            <w:tcW w:w="2041" w:type="dxa"/>
          </w:tcPr>
          <w:p w14:paraId="05955853" w14:textId="77777777" w:rsidR="006E40DB" w:rsidRPr="00B832E0" w:rsidRDefault="006E40DB" w:rsidP="00C03DF9">
            <w:pPr>
              <w:pStyle w:val="TableTextLeft"/>
              <w:rPr>
                <w:rFonts w:eastAsia="Arial"/>
              </w:rPr>
            </w:pPr>
            <w:r w:rsidRPr="00B832E0">
              <w:rPr>
                <w:rFonts w:eastAsia="Arial"/>
              </w:rPr>
              <w:t>Balance sheet</w:t>
            </w:r>
            <w:r w:rsidRPr="00B832E0">
              <w:rPr>
                <w:rFonts w:eastAsia="Arial"/>
                <w:vertAlign w:val="superscript"/>
              </w:rPr>
              <w:t>(c) (d)</w:t>
            </w:r>
          </w:p>
        </w:tc>
      </w:tr>
      <w:tr w:rsidR="006E40DB" w:rsidRPr="00B832E0" w14:paraId="2F7C6EE8" w14:textId="77777777" w:rsidTr="00C03DF9">
        <w:trPr>
          <w:trHeight w:val="407"/>
        </w:trPr>
        <w:tc>
          <w:tcPr>
            <w:tcW w:w="2004" w:type="dxa"/>
          </w:tcPr>
          <w:p w14:paraId="783A5D9C" w14:textId="77777777" w:rsidR="006E40DB" w:rsidRPr="00B832E0" w:rsidRDefault="006E40DB" w:rsidP="00C03DF9">
            <w:pPr>
              <w:pStyle w:val="TableTextLeft"/>
              <w:rPr>
                <w:rFonts w:eastAsia="Arial"/>
              </w:rPr>
            </w:pPr>
          </w:p>
        </w:tc>
        <w:tc>
          <w:tcPr>
            <w:tcW w:w="3666" w:type="dxa"/>
          </w:tcPr>
          <w:p w14:paraId="72261B56" w14:textId="77777777" w:rsidR="006E40DB" w:rsidRPr="00B832E0" w:rsidRDefault="006E40DB" w:rsidP="00C03DF9">
            <w:pPr>
              <w:pStyle w:val="TableTextLeft"/>
              <w:rPr>
                <w:rFonts w:eastAsia="Arial"/>
              </w:rPr>
            </w:pPr>
            <w:r w:rsidRPr="00B832E0">
              <w:rPr>
                <w:rFonts w:eastAsia="Arial"/>
              </w:rPr>
              <w:t>Assets and liabilities that are probable but have an uncertain timing or amount (provisions)</w:t>
            </w:r>
          </w:p>
        </w:tc>
        <w:tc>
          <w:tcPr>
            <w:tcW w:w="2041" w:type="dxa"/>
          </w:tcPr>
          <w:p w14:paraId="3AF3A136" w14:textId="77777777" w:rsidR="006E40DB" w:rsidRPr="00B832E0" w:rsidRDefault="006E40DB" w:rsidP="00C03DF9">
            <w:pPr>
              <w:pStyle w:val="TableTextLeft"/>
              <w:rPr>
                <w:rFonts w:eastAsia="Arial"/>
              </w:rPr>
            </w:pPr>
            <w:r w:rsidRPr="00B832E0">
              <w:rPr>
                <w:rFonts w:eastAsia="Arial"/>
              </w:rPr>
              <w:t>Balance sheet</w:t>
            </w:r>
          </w:p>
        </w:tc>
      </w:tr>
    </w:tbl>
    <w:p w14:paraId="53B78F66" w14:textId="77777777" w:rsidR="006E40DB" w:rsidRPr="00B832E0" w:rsidRDefault="006E40DB" w:rsidP="006E40DB">
      <w:pPr>
        <w:pStyle w:val="ChartandTableFootnoteAlpha"/>
      </w:pPr>
      <w:r w:rsidRPr="00B832E0">
        <w:rPr>
          <w:rFonts w:eastAsia="Arial"/>
        </w:rPr>
        <w:t>Items that are described as probable have a 50</w:t>
      </w:r>
      <w:r>
        <w:rPr>
          <w:rFonts w:eastAsia="Arial"/>
        </w:rPr>
        <w:t> per cent </w:t>
      </w:r>
      <w:r w:rsidRPr="00B832E0">
        <w:rPr>
          <w:rFonts w:eastAsia="Arial"/>
        </w:rPr>
        <w:t>or higher chance of</w:t>
      </w:r>
      <w:r w:rsidRPr="00B832E0">
        <w:rPr>
          <w:rFonts w:eastAsia="Arial"/>
          <w:spacing w:val="-15"/>
        </w:rPr>
        <w:t xml:space="preserve"> </w:t>
      </w:r>
      <w:r w:rsidRPr="00B832E0">
        <w:rPr>
          <w:rFonts w:eastAsia="Arial"/>
        </w:rPr>
        <w:t>occurrence.</w:t>
      </w:r>
    </w:p>
    <w:p w14:paraId="44052315" w14:textId="77777777" w:rsidR="006E40DB" w:rsidRPr="00A07FF1" w:rsidRDefault="006E40DB" w:rsidP="006E40DB">
      <w:pPr>
        <w:pStyle w:val="ChartandTableFootnoteAlpha"/>
        <w:rPr>
          <w:rFonts w:eastAsia="Book Antiqua" w:cs="Book Antiqua"/>
          <w:spacing w:val="-1"/>
        </w:rPr>
      </w:pPr>
      <w:r w:rsidRPr="00A07FF1">
        <w:rPr>
          <w:spacing w:val="-1"/>
        </w:rPr>
        <w:t xml:space="preserve">Only risks with a possible impact on the forward estimates greater than $20 million in any one year, or </w:t>
      </w:r>
      <w:r w:rsidRPr="00A07FF1">
        <w:rPr>
          <w:rFonts w:cs="Book Antiqua"/>
          <w:spacing w:val="-1"/>
        </w:rPr>
        <w:t>$50 million over the forward estimates period, are considered material and disclosed in this Statement</w:t>
      </w:r>
      <w:r w:rsidRPr="00A07FF1">
        <w:rPr>
          <w:rFonts w:eastAsia="Book Antiqua" w:cs="Book Antiqua"/>
          <w:spacing w:val="-1"/>
        </w:rPr>
        <w:t>.</w:t>
      </w:r>
    </w:p>
    <w:p w14:paraId="141FAD1B" w14:textId="77777777" w:rsidR="006E40DB" w:rsidRPr="00B832E0" w:rsidRDefault="006E40DB" w:rsidP="006E40DB">
      <w:pPr>
        <w:pStyle w:val="ChartandTableFootnoteAlpha"/>
        <w:rPr>
          <w:rFonts w:eastAsia="Arial"/>
        </w:rPr>
      </w:pPr>
      <w:r w:rsidRPr="00B832E0">
        <w:rPr>
          <w:rFonts w:eastAsia="Arial"/>
        </w:rPr>
        <w:t>Unearned income from charging guarantee fees is shown as a liability in the balance</w:t>
      </w:r>
      <w:r w:rsidRPr="00B832E0">
        <w:rPr>
          <w:rFonts w:eastAsia="Arial"/>
          <w:spacing w:val="-13"/>
        </w:rPr>
        <w:t xml:space="preserve"> </w:t>
      </w:r>
      <w:r w:rsidRPr="00B832E0">
        <w:rPr>
          <w:rFonts w:eastAsia="Arial"/>
        </w:rPr>
        <w:t>sheet.</w:t>
      </w:r>
    </w:p>
    <w:p w14:paraId="1E409B6F" w14:textId="77777777" w:rsidR="006E40DB" w:rsidRPr="00B832E0" w:rsidRDefault="006E40DB" w:rsidP="006E40DB">
      <w:pPr>
        <w:pStyle w:val="ChartandTableFootnoteAlpha"/>
        <w:rPr>
          <w:rFonts w:eastAsia="Arial"/>
        </w:rPr>
      </w:pPr>
      <w:r w:rsidRPr="00B832E0">
        <w:rPr>
          <w:rFonts w:eastAsia="Arial"/>
        </w:rPr>
        <w:t>Additional disclosure to increase transparency on loans over $200</w:t>
      </w:r>
      <w:r>
        <w:rPr>
          <w:rFonts w:eastAsia="Arial"/>
        </w:rPr>
        <w:t> million</w:t>
      </w:r>
      <w:r w:rsidRPr="00B832E0">
        <w:rPr>
          <w:rFonts w:eastAsia="Arial"/>
        </w:rPr>
        <w:t xml:space="preserve"> is included in this Statement.</w:t>
      </w:r>
    </w:p>
    <w:p w14:paraId="2F97B4C3" w14:textId="77777777" w:rsidR="006E40DB" w:rsidRPr="00B832E0" w:rsidRDefault="006E40DB" w:rsidP="00792CAB">
      <w:pPr>
        <w:pStyle w:val="TableLine"/>
        <w:rPr>
          <w:rFonts w:eastAsia="Arial"/>
        </w:rPr>
      </w:pPr>
    </w:p>
    <w:p w14:paraId="69FE6299" w14:textId="77777777" w:rsidR="006E40DB" w:rsidRPr="006460F9" w:rsidRDefault="006E40DB" w:rsidP="006E40DB">
      <w:r w:rsidRPr="006460F9">
        <w:br w:type="page"/>
      </w:r>
    </w:p>
    <w:p w14:paraId="4EE2B0CA" w14:textId="30D070BD" w:rsidR="000E79F5" w:rsidRPr="00C07FB5" w:rsidRDefault="000E79F5" w:rsidP="00EA791B">
      <w:pPr>
        <w:pStyle w:val="TableHeading"/>
        <w:rPr>
          <w:rFonts w:eastAsia="Arial"/>
        </w:rPr>
      </w:pPr>
      <w:r w:rsidRPr="002C4F07">
        <w:rPr>
          <w:rFonts w:eastAsia="Arial"/>
        </w:rPr>
        <w:lastRenderedPageBreak/>
        <w:t xml:space="preserve">Table </w:t>
      </w:r>
      <w:r w:rsidR="00AB5A5E" w:rsidRPr="002C4F07">
        <w:rPr>
          <w:rFonts w:eastAsia="Arial"/>
        </w:rPr>
        <w:t>6</w:t>
      </w:r>
      <w:r w:rsidRPr="002C4F07">
        <w:rPr>
          <w:rFonts w:eastAsia="Arial"/>
        </w:rPr>
        <w:t>.2</w:t>
      </w:r>
      <w:r w:rsidRPr="00D13C64">
        <w:rPr>
          <w:rFonts w:eastAsia="Arial"/>
        </w:rPr>
        <w:t>: Summary</w:t>
      </w:r>
      <w:r w:rsidRPr="006C4EA4">
        <w:rPr>
          <w:rFonts w:eastAsia="Arial"/>
        </w:rPr>
        <w:t xml:space="preserve"> </w:t>
      </w:r>
      <w:r w:rsidRPr="00C07FB5">
        <w:rPr>
          <w:rFonts w:eastAsia="Arial"/>
        </w:rPr>
        <w:t xml:space="preserve">of </w:t>
      </w:r>
      <w:r>
        <w:rPr>
          <w:rFonts w:eastAsia="Arial"/>
        </w:rPr>
        <w:t xml:space="preserve">fiscal risks, </w:t>
      </w:r>
      <w:r w:rsidRPr="00EA791B">
        <w:rPr>
          <w:rFonts w:eastAsia="Arial"/>
        </w:rPr>
        <w:t>contingent</w:t>
      </w:r>
      <w:r w:rsidRPr="00C07FB5">
        <w:rPr>
          <w:rFonts w:eastAsia="Arial"/>
        </w:rPr>
        <w:t xml:space="preserve"> </w:t>
      </w:r>
      <w:proofErr w:type="gramStart"/>
      <w:r w:rsidRPr="00C07FB5">
        <w:rPr>
          <w:rFonts w:eastAsia="Arial"/>
        </w:rPr>
        <w:t>liabilities</w:t>
      </w:r>
      <w:proofErr w:type="gramEnd"/>
      <w:r w:rsidRPr="00C07FB5">
        <w:rPr>
          <w:rFonts w:eastAsia="Arial"/>
        </w:rPr>
        <w:t xml:space="preserve"> and contingent assets in the Statement of Risks</w:t>
      </w:r>
      <w:r w:rsidRPr="00C07FB5">
        <w:rPr>
          <w:rFonts w:eastAsia="Arial"/>
          <w:vertAlign w:val="superscript"/>
        </w:rPr>
        <w:t>(a)</w:t>
      </w:r>
    </w:p>
    <w:tbl>
      <w:tblPr>
        <w:tblW w:w="5000" w:type="pct"/>
        <w:tblBorders>
          <w:top w:val="single" w:sz="4" w:space="0" w:color="002A54" w:themeColor="text2"/>
          <w:bottom w:val="single" w:sz="4" w:space="0" w:color="002A54" w:themeColor="text2"/>
          <w:insideH w:val="single" w:sz="4" w:space="0" w:color="002A54" w:themeColor="text2"/>
        </w:tblBorders>
        <w:tblLayout w:type="fixed"/>
        <w:tblCellMar>
          <w:left w:w="0" w:type="dxa"/>
        </w:tblCellMar>
        <w:tblLook w:val="04A0" w:firstRow="1" w:lastRow="0" w:firstColumn="1" w:lastColumn="0" w:noHBand="0" w:noVBand="1"/>
        <w:tblCaption w:val="Table"/>
      </w:tblPr>
      <w:tblGrid>
        <w:gridCol w:w="6663"/>
        <w:gridCol w:w="1047"/>
      </w:tblGrid>
      <w:tr w:rsidR="000E79F5" w:rsidRPr="00F734D4" w14:paraId="0B39C54F" w14:textId="77777777" w:rsidTr="009531BC">
        <w:trPr>
          <w:trHeight w:val="20"/>
        </w:trPr>
        <w:tc>
          <w:tcPr>
            <w:tcW w:w="4321" w:type="pct"/>
            <w:shd w:val="clear" w:color="auto" w:fill="E6F2FF"/>
            <w:noWrap/>
          </w:tcPr>
          <w:p w14:paraId="69A51909" w14:textId="77777777" w:rsidR="000E79F5" w:rsidRPr="00F734D4" w:rsidRDefault="000E79F5" w:rsidP="004E49E9">
            <w:pPr>
              <w:pStyle w:val="TableColumnHeadingLeft"/>
              <w:spacing w:before="20"/>
              <w:rPr>
                <w:rFonts w:eastAsia="Calibri"/>
              </w:rPr>
            </w:pPr>
            <w:r w:rsidRPr="00F734D4">
              <w:rPr>
                <w:rFonts w:eastAsia="Calibri"/>
              </w:rPr>
              <w:t>Agriculture, Fisheries and Forestry</w:t>
            </w:r>
          </w:p>
        </w:tc>
        <w:tc>
          <w:tcPr>
            <w:tcW w:w="679" w:type="pct"/>
            <w:shd w:val="clear" w:color="auto" w:fill="E6F2FF"/>
            <w:noWrap/>
          </w:tcPr>
          <w:p w14:paraId="7DBE5E6F" w14:textId="77777777" w:rsidR="000E79F5" w:rsidRPr="0077320A" w:rsidRDefault="000E79F5" w:rsidP="0077320A">
            <w:pPr>
              <w:pStyle w:val="TableColumnHeadingLeft"/>
              <w:rPr>
                <w:rStyle w:val="Strong"/>
                <w:b/>
                <w:bCs w:val="0"/>
              </w:rPr>
            </w:pPr>
            <w:r w:rsidRPr="0077320A">
              <w:rPr>
                <w:rStyle w:val="Strong"/>
                <w:b/>
                <w:bCs w:val="0"/>
              </w:rPr>
              <w:t>Status</w:t>
            </w:r>
          </w:p>
        </w:tc>
      </w:tr>
      <w:tr w:rsidR="000E79F5" w:rsidRPr="00F734D4" w14:paraId="406B2585" w14:textId="77777777" w:rsidTr="009531BC">
        <w:trPr>
          <w:trHeight w:val="20"/>
        </w:trPr>
        <w:tc>
          <w:tcPr>
            <w:tcW w:w="4321" w:type="pct"/>
            <w:shd w:val="clear" w:color="auto" w:fill="E6F2FF"/>
            <w:noWrap/>
          </w:tcPr>
          <w:p w14:paraId="42531A47" w14:textId="77777777" w:rsidR="000E79F5" w:rsidRPr="00F734D4" w:rsidRDefault="000E79F5" w:rsidP="004E49E9">
            <w:pPr>
              <w:pStyle w:val="TableColumnHeadingLeft"/>
              <w:spacing w:before="20"/>
              <w:rPr>
                <w:rFonts w:eastAsia="Calibri"/>
              </w:rPr>
            </w:pPr>
            <w:r w:rsidRPr="00F734D4">
              <w:rPr>
                <w:rFonts w:eastAsia="Calibri"/>
              </w:rPr>
              <w:t xml:space="preserve">Contingent liabilities </w:t>
            </w:r>
            <w:r>
              <w:rPr>
                <w:rFonts w:eastAsia="Calibri"/>
              </w:rPr>
              <w:t>–</w:t>
            </w:r>
            <w:r w:rsidRPr="00F734D4">
              <w:rPr>
                <w:rFonts w:eastAsia="Calibri"/>
              </w:rPr>
              <w:t xml:space="preserve"> unquantifiable</w:t>
            </w:r>
          </w:p>
        </w:tc>
        <w:tc>
          <w:tcPr>
            <w:tcW w:w="679" w:type="pct"/>
            <w:shd w:val="clear" w:color="auto" w:fill="E6F2FF"/>
            <w:noWrap/>
          </w:tcPr>
          <w:p w14:paraId="0923E093" w14:textId="77777777" w:rsidR="000E79F5" w:rsidRPr="00F734D4" w:rsidRDefault="000E79F5" w:rsidP="004E49E9">
            <w:pPr>
              <w:pStyle w:val="TableTextRight"/>
              <w:spacing w:after="0"/>
              <w:rPr>
                <w:b/>
                <w:bCs/>
              </w:rPr>
            </w:pPr>
          </w:p>
        </w:tc>
      </w:tr>
      <w:tr w:rsidR="000E79F5" w:rsidRPr="00F734D4" w14:paraId="4D0C06C9" w14:textId="77777777" w:rsidTr="009531BC">
        <w:trPr>
          <w:trHeight w:val="20"/>
        </w:trPr>
        <w:tc>
          <w:tcPr>
            <w:tcW w:w="4321" w:type="pct"/>
            <w:noWrap/>
          </w:tcPr>
          <w:p w14:paraId="698B290B" w14:textId="77777777" w:rsidR="000E79F5" w:rsidRPr="00F734D4" w:rsidRDefault="000E79F5" w:rsidP="004E49E9">
            <w:pPr>
              <w:pStyle w:val="TableTextLeft-Indent"/>
              <w:spacing w:after="0"/>
            </w:pPr>
            <w:r w:rsidRPr="00F734D4">
              <w:t>Commonwealth liabilities in respect of matching payments to industries for research</w:t>
            </w:r>
            <w:r>
              <w:t> </w:t>
            </w:r>
            <w:r w:rsidRPr="00F734D4">
              <w:t>and development contributions</w:t>
            </w:r>
          </w:p>
        </w:tc>
        <w:tc>
          <w:tcPr>
            <w:tcW w:w="679" w:type="pct"/>
            <w:noWrap/>
          </w:tcPr>
          <w:p w14:paraId="1AB28103" w14:textId="77777777" w:rsidR="000E79F5" w:rsidRPr="00F734D4" w:rsidRDefault="000E79F5" w:rsidP="004E49E9">
            <w:pPr>
              <w:pStyle w:val="TableTextLeft"/>
            </w:pPr>
            <w:r w:rsidRPr="00F734D4">
              <w:t>Unchanged</w:t>
            </w:r>
          </w:p>
        </w:tc>
      </w:tr>
      <w:tr w:rsidR="000E79F5" w:rsidRPr="00F734D4" w14:paraId="04870E28" w14:textId="77777777" w:rsidTr="009531BC">
        <w:trPr>
          <w:trHeight w:val="20"/>
        </w:trPr>
        <w:tc>
          <w:tcPr>
            <w:tcW w:w="4321" w:type="pct"/>
            <w:noWrap/>
          </w:tcPr>
          <w:p w14:paraId="616D3DC9" w14:textId="77777777" w:rsidR="000E79F5" w:rsidRPr="00F734D4" w:rsidRDefault="000E79F5" w:rsidP="004E49E9">
            <w:pPr>
              <w:pStyle w:val="TableTextLeft-Indent"/>
              <w:spacing w:after="0"/>
            </w:pPr>
            <w:r w:rsidRPr="00F734D4">
              <w:t>Emergency pest and disease response arrangements</w:t>
            </w:r>
          </w:p>
        </w:tc>
        <w:tc>
          <w:tcPr>
            <w:tcW w:w="679" w:type="pct"/>
            <w:noWrap/>
          </w:tcPr>
          <w:p w14:paraId="36E83005" w14:textId="77777777" w:rsidR="000E79F5" w:rsidRPr="00F734D4" w:rsidRDefault="000E79F5" w:rsidP="004E49E9">
            <w:pPr>
              <w:pStyle w:val="TableTextLeft"/>
            </w:pPr>
            <w:r w:rsidRPr="00F734D4">
              <w:t>Modified</w:t>
            </w:r>
          </w:p>
        </w:tc>
      </w:tr>
      <w:tr w:rsidR="000E79F5" w:rsidRPr="00F734D4" w14:paraId="07B6780D" w14:textId="77777777" w:rsidTr="009531BC">
        <w:trPr>
          <w:trHeight w:val="20"/>
        </w:trPr>
        <w:tc>
          <w:tcPr>
            <w:tcW w:w="4321" w:type="pct"/>
            <w:noWrap/>
          </w:tcPr>
          <w:p w14:paraId="4C36BBF1" w14:textId="77777777" w:rsidR="000E79F5" w:rsidRPr="00F734D4" w:rsidRDefault="000E79F5" w:rsidP="004E49E9">
            <w:pPr>
              <w:pStyle w:val="TableTextLeft-Indent"/>
              <w:spacing w:after="0"/>
            </w:pPr>
            <w:r w:rsidRPr="00F734D4">
              <w:t>White spot syndrome virus and disease 2016 outbreak</w:t>
            </w:r>
          </w:p>
        </w:tc>
        <w:tc>
          <w:tcPr>
            <w:tcW w:w="679" w:type="pct"/>
            <w:noWrap/>
          </w:tcPr>
          <w:p w14:paraId="6AD4FB38" w14:textId="77777777" w:rsidR="000E79F5" w:rsidRPr="00F734D4" w:rsidRDefault="000E79F5" w:rsidP="004E49E9">
            <w:pPr>
              <w:pStyle w:val="TableTextLeft"/>
            </w:pPr>
            <w:r>
              <w:t>Unchanged</w:t>
            </w:r>
          </w:p>
        </w:tc>
      </w:tr>
      <w:tr w:rsidR="000E79F5" w:rsidRPr="00F734D4" w14:paraId="12008312" w14:textId="77777777" w:rsidTr="009531BC">
        <w:trPr>
          <w:trHeight w:val="20"/>
        </w:trPr>
        <w:tc>
          <w:tcPr>
            <w:tcW w:w="4321" w:type="pct"/>
            <w:shd w:val="clear" w:color="auto" w:fill="E6F2FF"/>
            <w:noWrap/>
          </w:tcPr>
          <w:p w14:paraId="7E2842FE" w14:textId="3526E85A" w:rsidR="000E79F5" w:rsidRPr="00F734D4" w:rsidRDefault="000E79F5" w:rsidP="004E49E9">
            <w:pPr>
              <w:pStyle w:val="TableColumnHeadingLeft"/>
              <w:spacing w:before="20"/>
            </w:pPr>
            <w:r w:rsidRPr="00F734D4">
              <w:t>Attorney</w:t>
            </w:r>
            <w:r w:rsidR="00B63FC6">
              <w:noBreakHyphen/>
            </w:r>
            <w:r w:rsidRPr="00F734D4">
              <w:t>General</w:t>
            </w:r>
            <w:r w:rsidR="00B63FC6">
              <w:t>’</w:t>
            </w:r>
            <w:r w:rsidRPr="00F734D4">
              <w:t>s</w:t>
            </w:r>
          </w:p>
        </w:tc>
        <w:tc>
          <w:tcPr>
            <w:tcW w:w="679" w:type="pct"/>
            <w:shd w:val="clear" w:color="auto" w:fill="E6F2FF"/>
            <w:noWrap/>
          </w:tcPr>
          <w:p w14:paraId="699EF3EC" w14:textId="77777777" w:rsidR="000E79F5" w:rsidRPr="00F734D4" w:rsidRDefault="000E79F5" w:rsidP="004E49E9">
            <w:pPr>
              <w:pStyle w:val="TableColumnHeadingLeft"/>
              <w:spacing w:before="20"/>
            </w:pPr>
            <w:r w:rsidRPr="00F734D4">
              <w:t>Status</w:t>
            </w:r>
          </w:p>
        </w:tc>
      </w:tr>
      <w:tr w:rsidR="000E79F5" w:rsidRPr="00F734D4" w14:paraId="101E58A4" w14:textId="77777777" w:rsidTr="009531BC">
        <w:trPr>
          <w:trHeight w:val="20"/>
        </w:trPr>
        <w:tc>
          <w:tcPr>
            <w:tcW w:w="4321" w:type="pct"/>
            <w:shd w:val="clear" w:color="auto" w:fill="E6F2FF"/>
            <w:noWrap/>
          </w:tcPr>
          <w:p w14:paraId="38B11751" w14:textId="77777777" w:rsidR="000E79F5" w:rsidRPr="00F734D4" w:rsidRDefault="000E79F5" w:rsidP="004E49E9">
            <w:pPr>
              <w:pStyle w:val="TableColumnHeadingLeft"/>
              <w:spacing w:before="20"/>
              <w:rPr>
                <w:rFonts w:eastAsia="Arial"/>
              </w:rPr>
            </w:pPr>
            <w:r w:rsidRPr="00F734D4">
              <w:rPr>
                <w:rFonts w:eastAsia="Arial"/>
              </w:rPr>
              <w:t>Significant but remote contingency</w:t>
            </w:r>
          </w:p>
        </w:tc>
        <w:tc>
          <w:tcPr>
            <w:tcW w:w="679" w:type="pct"/>
            <w:shd w:val="clear" w:color="auto" w:fill="E6F2FF"/>
            <w:noWrap/>
          </w:tcPr>
          <w:p w14:paraId="7CD846BA" w14:textId="77777777" w:rsidR="000E79F5" w:rsidRPr="00F734D4" w:rsidRDefault="000E79F5" w:rsidP="004E49E9">
            <w:pPr>
              <w:pStyle w:val="TableTextLeft"/>
            </w:pPr>
          </w:p>
        </w:tc>
      </w:tr>
      <w:tr w:rsidR="000E79F5" w:rsidRPr="00F734D4" w14:paraId="13F2DE05" w14:textId="77777777" w:rsidTr="009531BC">
        <w:trPr>
          <w:trHeight w:val="20"/>
        </w:trPr>
        <w:tc>
          <w:tcPr>
            <w:tcW w:w="4321" w:type="pct"/>
            <w:shd w:val="clear" w:color="auto" w:fill="auto"/>
            <w:noWrap/>
          </w:tcPr>
          <w:p w14:paraId="773B43D9" w14:textId="77777777" w:rsidR="000E79F5" w:rsidRPr="00F734D4" w:rsidRDefault="000E79F5" w:rsidP="004E49E9">
            <w:pPr>
              <w:pStyle w:val="TableTextLeft-Indent"/>
              <w:spacing w:after="0"/>
              <w:rPr>
                <w:rFonts w:eastAsia="Arial" w:cs="Arial"/>
                <w:b/>
                <w:bCs/>
              </w:rPr>
            </w:pPr>
            <w:r w:rsidRPr="00F734D4">
              <w:t>Indemnities relating to the Air Security Officer Capability</w:t>
            </w:r>
          </w:p>
        </w:tc>
        <w:tc>
          <w:tcPr>
            <w:tcW w:w="679" w:type="pct"/>
            <w:shd w:val="clear" w:color="auto" w:fill="auto"/>
            <w:noWrap/>
          </w:tcPr>
          <w:p w14:paraId="37A6C57B" w14:textId="77777777" w:rsidR="000E79F5" w:rsidRPr="00F734D4" w:rsidRDefault="000E79F5" w:rsidP="004E49E9">
            <w:pPr>
              <w:pStyle w:val="TableTextLeft"/>
              <w:rPr>
                <w:b/>
                <w:bCs/>
              </w:rPr>
            </w:pPr>
            <w:r w:rsidRPr="00F734D4">
              <w:t>Unchanged</w:t>
            </w:r>
          </w:p>
        </w:tc>
      </w:tr>
      <w:tr w:rsidR="000E79F5" w:rsidRPr="00F734D4" w14:paraId="4B30F762" w14:textId="77777777" w:rsidTr="009531BC">
        <w:trPr>
          <w:trHeight w:val="20"/>
        </w:trPr>
        <w:tc>
          <w:tcPr>
            <w:tcW w:w="4321" w:type="pct"/>
            <w:shd w:val="clear" w:color="auto" w:fill="E6F2FF"/>
            <w:noWrap/>
          </w:tcPr>
          <w:p w14:paraId="673C3397" w14:textId="77777777" w:rsidR="000E79F5" w:rsidRPr="00F734D4" w:rsidRDefault="000E79F5" w:rsidP="004E49E9">
            <w:pPr>
              <w:pStyle w:val="TableColumnHeadingLeft"/>
              <w:spacing w:before="20"/>
              <w:rPr>
                <w:rFonts w:eastAsia="Arial"/>
              </w:rPr>
            </w:pPr>
            <w:r w:rsidRPr="00F734D4">
              <w:rPr>
                <w:rFonts w:eastAsia="Arial"/>
              </w:rPr>
              <w:t>Contingent liabilities – unquantifiable</w:t>
            </w:r>
          </w:p>
        </w:tc>
        <w:tc>
          <w:tcPr>
            <w:tcW w:w="679" w:type="pct"/>
            <w:shd w:val="clear" w:color="auto" w:fill="E6F2FF"/>
            <w:noWrap/>
          </w:tcPr>
          <w:p w14:paraId="0B941687" w14:textId="77777777" w:rsidR="000E79F5" w:rsidRPr="00F734D4" w:rsidRDefault="000E79F5" w:rsidP="004E49E9">
            <w:pPr>
              <w:pStyle w:val="TableTextLeft"/>
            </w:pPr>
          </w:p>
        </w:tc>
      </w:tr>
      <w:tr w:rsidR="002F5323" w:rsidRPr="00F734D4" w14:paraId="12C22F9A" w14:textId="77777777" w:rsidTr="009531BC">
        <w:trPr>
          <w:trHeight w:val="20"/>
        </w:trPr>
        <w:tc>
          <w:tcPr>
            <w:tcW w:w="4321" w:type="pct"/>
            <w:shd w:val="clear" w:color="auto" w:fill="auto"/>
            <w:noWrap/>
          </w:tcPr>
          <w:p w14:paraId="308F493D" w14:textId="3E8EF9F2" w:rsidR="002F5323" w:rsidRPr="00F734D4" w:rsidRDefault="002F5323" w:rsidP="002F5323">
            <w:pPr>
              <w:pStyle w:val="TableTextLeft-Indent"/>
              <w:spacing w:after="0"/>
            </w:pPr>
            <w:r>
              <w:t>Current and p</w:t>
            </w:r>
            <w:r w:rsidRPr="00F734D4">
              <w:t>rospective investor</w:t>
            </w:r>
            <w:r w:rsidR="00B63FC6">
              <w:noBreakHyphen/>
            </w:r>
            <w:r>
              <w:t>s</w:t>
            </w:r>
            <w:r w:rsidRPr="00F734D4">
              <w:t>tate claim</w:t>
            </w:r>
            <w:r>
              <w:t>s</w:t>
            </w:r>
            <w:r w:rsidRPr="00F734D4">
              <w:t xml:space="preserve"> against </w:t>
            </w:r>
            <w:r>
              <w:t xml:space="preserve">the </w:t>
            </w:r>
            <w:r w:rsidRPr="00F734D4">
              <w:t>Australia</w:t>
            </w:r>
            <w:r>
              <w:t>n Government</w:t>
            </w:r>
          </w:p>
        </w:tc>
        <w:tc>
          <w:tcPr>
            <w:tcW w:w="679" w:type="pct"/>
            <w:shd w:val="clear" w:color="auto" w:fill="auto"/>
            <w:noWrap/>
          </w:tcPr>
          <w:p w14:paraId="03F96C73" w14:textId="258B210C" w:rsidR="002F5323" w:rsidRPr="00F734D4" w:rsidRDefault="002F5323" w:rsidP="002F5323">
            <w:pPr>
              <w:pStyle w:val="TableTextLeft"/>
            </w:pPr>
            <w:r>
              <w:t>Modified</w:t>
            </w:r>
          </w:p>
        </w:tc>
      </w:tr>
      <w:tr w:rsidR="002F5323" w:rsidRPr="00F734D4" w14:paraId="57A007A1" w14:textId="77777777" w:rsidTr="009531BC">
        <w:trPr>
          <w:trHeight w:val="20"/>
        </w:trPr>
        <w:tc>
          <w:tcPr>
            <w:tcW w:w="4321" w:type="pct"/>
            <w:shd w:val="clear" w:color="auto" w:fill="auto"/>
            <w:noWrap/>
          </w:tcPr>
          <w:p w14:paraId="3EA8E6C9" w14:textId="471F9B6E" w:rsidR="002F5323" w:rsidRPr="00F734D4" w:rsidRDefault="002F5323" w:rsidP="002F5323">
            <w:pPr>
              <w:pStyle w:val="TableTextLeft-Indent"/>
              <w:spacing w:after="0"/>
            </w:pPr>
            <w:r w:rsidRPr="00F734D4">
              <w:t>Native Title costs</w:t>
            </w:r>
          </w:p>
        </w:tc>
        <w:tc>
          <w:tcPr>
            <w:tcW w:w="679" w:type="pct"/>
            <w:shd w:val="clear" w:color="auto" w:fill="auto"/>
            <w:noWrap/>
          </w:tcPr>
          <w:p w14:paraId="70AA7D91" w14:textId="229AA8B3" w:rsidR="002F5323" w:rsidRPr="00F734D4" w:rsidRDefault="002F5323" w:rsidP="002F5323">
            <w:pPr>
              <w:pStyle w:val="TableTextLeft"/>
            </w:pPr>
            <w:r w:rsidRPr="00F734D4">
              <w:t>Unchanged</w:t>
            </w:r>
          </w:p>
        </w:tc>
      </w:tr>
      <w:tr w:rsidR="002F5323" w:rsidRPr="00F734D4" w14:paraId="47F36E55" w14:textId="77777777" w:rsidTr="009531BC">
        <w:trPr>
          <w:trHeight w:val="20"/>
        </w:trPr>
        <w:tc>
          <w:tcPr>
            <w:tcW w:w="4321" w:type="pct"/>
            <w:shd w:val="clear" w:color="auto" w:fill="E6F2FF"/>
            <w:noWrap/>
          </w:tcPr>
          <w:p w14:paraId="31519151" w14:textId="77777777" w:rsidR="002F5323" w:rsidRPr="00F734D4" w:rsidRDefault="002F5323" w:rsidP="002F5323">
            <w:pPr>
              <w:pStyle w:val="TableColumnHeadingLeft"/>
              <w:spacing w:before="20"/>
            </w:pPr>
            <w:r w:rsidRPr="00F734D4">
              <w:t xml:space="preserve">Contingent asset </w:t>
            </w:r>
            <w:r w:rsidRPr="00F734D4">
              <w:rPr>
                <w:rFonts w:eastAsia="Calibri"/>
              </w:rPr>
              <w:t>–</w:t>
            </w:r>
            <w:r w:rsidRPr="00F734D4">
              <w:t xml:space="preserve"> unquantifiable</w:t>
            </w:r>
          </w:p>
        </w:tc>
        <w:tc>
          <w:tcPr>
            <w:tcW w:w="679" w:type="pct"/>
            <w:shd w:val="clear" w:color="auto" w:fill="E6F2FF"/>
            <w:noWrap/>
          </w:tcPr>
          <w:p w14:paraId="2140A47F" w14:textId="77777777" w:rsidR="002F5323" w:rsidRPr="00F734D4" w:rsidRDefault="002F5323" w:rsidP="002F5323">
            <w:pPr>
              <w:pStyle w:val="TableTextLeft"/>
            </w:pPr>
          </w:p>
        </w:tc>
      </w:tr>
      <w:tr w:rsidR="002F5323" w:rsidRPr="00F734D4" w14:paraId="16BFE4CE" w14:textId="77777777" w:rsidTr="009531BC">
        <w:trPr>
          <w:trHeight w:val="20"/>
        </w:trPr>
        <w:tc>
          <w:tcPr>
            <w:tcW w:w="4321" w:type="pct"/>
            <w:shd w:val="clear" w:color="auto" w:fill="auto"/>
            <w:noWrap/>
          </w:tcPr>
          <w:p w14:paraId="60DC96AF" w14:textId="4691D5FA" w:rsidR="002F5323" w:rsidRPr="00F734D4" w:rsidRDefault="002F5323" w:rsidP="002F5323">
            <w:pPr>
              <w:pStyle w:val="TableTextLeft-Indent"/>
              <w:spacing w:after="0"/>
              <w:rPr>
                <w:rFonts w:ascii="Arial Bold" w:hAnsi="Arial Bold"/>
                <w:b/>
                <w:bCs/>
              </w:rPr>
            </w:pPr>
            <w:r w:rsidRPr="00F734D4">
              <w:rPr>
                <w:rFonts w:cs="Arial"/>
              </w:rPr>
              <w:t xml:space="preserve">Civil </w:t>
            </w:r>
            <w:r w:rsidRPr="00F734D4">
              <w:t>penalty</w:t>
            </w:r>
            <w:r w:rsidRPr="00F734D4">
              <w:rPr>
                <w:rFonts w:cs="Arial"/>
              </w:rPr>
              <w:t xml:space="preserve"> relating to the </w:t>
            </w:r>
            <w:r w:rsidRPr="0077320A">
              <w:rPr>
                <w:rStyle w:val="Emphasis"/>
              </w:rPr>
              <w:t>Anti</w:t>
            </w:r>
            <w:r w:rsidR="00B63FC6">
              <w:rPr>
                <w:rStyle w:val="Emphasis"/>
              </w:rPr>
              <w:noBreakHyphen/>
            </w:r>
            <w:r w:rsidRPr="0077320A">
              <w:rPr>
                <w:rStyle w:val="Emphasis"/>
              </w:rPr>
              <w:t>Money Laundering and Counter</w:t>
            </w:r>
            <w:r w:rsidR="00B63FC6">
              <w:rPr>
                <w:rStyle w:val="Emphasis"/>
              </w:rPr>
              <w:noBreakHyphen/>
            </w:r>
            <w:r w:rsidRPr="0077320A">
              <w:rPr>
                <w:rStyle w:val="Emphasis"/>
              </w:rPr>
              <w:t>Terrorism Financing Act 2006</w:t>
            </w:r>
          </w:p>
        </w:tc>
        <w:tc>
          <w:tcPr>
            <w:tcW w:w="679" w:type="pct"/>
            <w:shd w:val="clear" w:color="auto" w:fill="auto"/>
            <w:noWrap/>
          </w:tcPr>
          <w:p w14:paraId="098D8F52" w14:textId="77777777" w:rsidR="002F5323" w:rsidRPr="00F734D4" w:rsidRDefault="002F5323" w:rsidP="002F5323">
            <w:pPr>
              <w:pStyle w:val="TableTextLeft"/>
              <w:rPr>
                <w:b/>
                <w:bCs/>
              </w:rPr>
            </w:pPr>
            <w:r>
              <w:t>Modifie</w:t>
            </w:r>
            <w:r w:rsidRPr="00F734D4">
              <w:t>d</w:t>
            </w:r>
          </w:p>
        </w:tc>
      </w:tr>
      <w:tr w:rsidR="002F5323" w:rsidRPr="00F734D4" w14:paraId="7B121DE7" w14:textId="77777777" w:rsidTr="009531BC">
        <w:trPr>
          <w:trHeight w:val="20"/>
        </w:trPr>
        <w:tc>
          <w:tcPr>
            <w:tcW w:w="4321" w:type="pct"/>
            <w:shd w:val="clear" w:color="auto" w:fill="E6F2FF"/>
            <w:noWrap/>
          </w:tcPr>
          <w:p w14:paraId="5AB96629" w14:textId="77777777" w:rsidR="002F5323" w:rsidRPr="00F734D4" w:rsidRDefault="002F5323" w:rsidP="002F5323">
            <w:pPr>
              <w:pStyle w:val="TableColumnHeadingLeft"/>
              <w:spacing w:before="20"/>
            </w:pPr>
            <w:r w:rsidRPr="00F734D4">
              <w:t>Climate Change, Energy, the Environment and Water</w:t>
            </w:r>
          </w:p>
        </w:tc>
        <w:tc>
          <w:tcPr>
            <w:tcW w:w="679" w:type="pct"/>
            <w:shd w:val="clear" w:color="auto" w:fill="E6F2FF"/>
            <w:noWrap/>
          </w:tcPr>
          <w:p w14:paraId="15911CFF" w14:textId="77777777" w:rsidR="002F5323" w:rsidRPr="00F734D4" w:rsidRDefault="002F5323" w:rsidP="002F5323">
            <w:pPr>
              <w:pStyle w:val="TableColumnHeadingLeft"/>
              <w:spacing w:before="20"/>
            </w:pPr>
            <w:r w:rsidRPr="00F734D4">
              <w:t>Status</w:t>
            </w:r>
          </w:p>
        </w:tc>
      </w:tr>
      <w:tr w:rsidR="002F5323" w:rsidRPr="00F734D4" w14:paraId="4BBBA6FF" w14:textId="77777777" w:rsidTr="009531BC">
        <w:trPr>
          <w:trHeight w:val="20"/>
        </w:trPr>
        <w:tc>
          <w:tcPr>
            <w:tcW w:w="4321" w:type="pct"/>
            <w:shd w:val="clear" w:color="auto" w:fill="E6F2FF"/>
            <w:noWrap/>
          </w:tcPr>
          <w:p w14:paraId="01121AC3" w14:textId="77777777" w:rsidR="002F5323" w:rsidRPr="00F734D4" w:rsidRDefault="002F5323" w:rsidP="002F5323">
            <w:pPr>
              <w:pStyle w:val="TableColumnHeadingLeft"/>
              <w:spacing w:before="20"/>
            </w:pPr>
            <w:r w:rsidRPr="00F734D4">
              <w:t>Fiscal Risk</w:t>
            </w:r>
          </w:p>
        </w:tc>
        <w:tc>
          <w:tcPr>
            <w:tcW w:w="679" w:type="pct"/>
            <w:shd w:val="clear" w:color="auto" w:fill="E6F2FF"/>
            <w:noWrap/>
          </w:tcPr>
          <w:p w14:paraId="2E99576C" w14:textId="77777777" w:rsidR="002F5323" w:rsidRPr="00F734D4" w:rsidRDefault="002F5323" w:rsidP="002F5323">
            <w:pPr>
              <w:pStyle w:val="TableTextLeft"/>
            </w:pPr>
          </w:p>
        </w:tc>
      </w:tr>
      <w:tr w:rsidR="002F5323" w:rsidRPr="00F734D4" w14:paraId="28896E08" w14:textId="77777777" w:rsidTr="009531BC">
        <w:trPr>
          <w:trHeight w:val="20"/>
        </w:trPr>
        <w:tc>
          <w:tcPr>
            <w:tcW w:w="4321" w:type="pct"/>
            <w:shd w:val="clear" w:color="auto" w:fill="auto"/>
            <w:noWrap/>
          </w:tcPr>
          <w:p w14:paraId="79026507" w14:textId="77777777" w:rsidR="002F5323" w:rsidRPr="00F734D4" w:rsidRDefault="002F5323" w:rsidP="002F5323">
            <w:pPr>
              <w:pStyle w:val="TableTextLeft-Indent"/>
              <w:spacing w:after="0"/>
            </w:pPr>
            <w:r w:rsidRPr="00F734D4">
              <w:t>Snowy Hydro Limited</w:t>
            </w:r>
          </w:p>
        </w:tc>
        <w:tc>
          <w:tcPr>
            <w:tcW w:w="679" w:type="pct"/>
            <w:shd w:val="clear" w:color="auto" w:fill="auto"/>
            <w:noWrap/>
          </w:tcPr>
          <w:p w14:paraId="6BEAC4B6" w14:textId="4E458B04" w:rsidR="002F5323" w:rsidRPr="00F734D4" w:rsidRDefault="002F5323" w:rsidP="002F5323">
            <w:pPr>
              <w:pStyle w:val="TableTextLeft"/>
              <w:rPr>
                <w:bCs/>
              </w:rPr>
            </w:pPr>
            <w:r>
              <w:rPr>
                <w:bCs/>
              </w:rPr>
              <w:t xml:space="preserve">Unchanged </w:t>
            </w:r>
          </w:p>
        </w:tc>
      </w:tr>
      <w:tr w:rsidR="002F5323" w:rsidRPr="00F734D4" w14:paraId="0365B7D8" w14:textId="77777777" w:rsidTr="009531BC">
        <w:trPr>
          <w:trHeight w:val="20"/>
        </w:trPr>
        <w:tc>
          <w:tcPr>
            <w:tcW w:w="4321" w:type="pct"/>
            <w:shd w:val="clear" w:color="auto" w:fill="E6F2FF"/>
            <w:noWrap/>
          </w:tcPr>
          <w:p w14:paraId="3B4F02BF" w14:textId="77777777" w:rsidR="002F5323" w:rsidRPr="00F734D4" w:rsidRDefault="002F5323" w:rsidP="002F5323">
            <w:pPr>
              <w:pStyle w:val="TableColumnHeadingLeft"/>
              <w:spacing w:before="20"/>
            </w:pPr>
            <w:r w:rsidRPr="00F734D4">
              <w:rPr>
                <w:rFonts w:eastAsia="Arial"/>
              </w:rPr>
              <w:t>Significant but remote contingencies</w:t>
            </w:r>
          </w:p>
        </w:tc>
        <w:tc>
          <w:tcPr>
            <w:tcW w:w="679" w:type="pct"/>
            <w:shd w:val="clear" w:color="auto" w:fill="E6F2FF"/>
            <w:noWrap/>
          </w:tcPr>
          <w:p w14:paraId="61292B0F" w14:textId="77777777" w:rsidR="002F5323" w:rsidRPr="00F734D4" w:rsidRDefault="002F5323" w:rsidP="002F5323">
            <w:pPr>
              <w:pStyle w:val="TableTextLeft"/>
            </w:pPr>
          </w:p>
        </w:tc>
      </w:tr>
      <w:tr w:rsidR="002F5323" w:rsidRPr="00F734D4" w14:paraId="2857C3E8" w14:textId="77777777" w:rsidTr="009531BC">
        <w:trPr>
          <w:trHeight w:val="20"/>
        </w:trPr>
        <w:tc>
          <w:tcPr>
            <w:tcW w:w="4321" w:type="pct"/>
            <w:shd w:val="clear" w:color="auto" w:fill="auto"/>
            <w:noWrap/>
          </w:tcPr>
          <w:p w14:paraId="704A8154" w14:textId="65A48978" w:rsidR="002F5323" w:rsidRPr="00F734D4" w:rsidRDefault="002F5323" w:rsidP="002F5323">
            <w:pPr>
              <w:pStyle w:val="TableTextLeft-Indent"/>
              <w:spacing w:after="0"/>
            </w:pPr>
            <w:r w:rsidRPr="00F734D4">
              <w:t>Snowy Hydro Limited – Board Members</w:t>
            </w:r>
            <w:r w:rsidR="00B63FC6">
              <w:t>’</w:t>
            </w:r>
            <w:r w:rsidRPr="00F734D4">
              <w:t xml:space="preserve"> indemnity</w:t>
            </w:r>
          </w:p>
        </w:tc>
        <w:tc>
          <w:tcPr>
            <w:tcW w:w="679" w:type="pct"/>
            <w:shd w:val="clear" w:color="auto" w:fill="auto"/>
            <w:noWrap/>
          </w:tcPr>
          <w:p w14:paraId="755065A1" w14:textId="5CF2FAE8" w:rsidR="002F5323" w:rsidRPr="00F734D4" w:rsidRDefault="002F5323" w:rsidP="002F5323">
            <w:pPr>
              <w:pStyle w:val="TableTextLeft"/>
              <w:rPr>
                <w:b/>
                <w:bCs/>
              </w:rPr>
            </w:pPr>
            <w:r>
              <w:rPr>
                <w:bCs/>
              </w:rPr>
              <w:t>Modified</w:t>
            </w:r>
          </w:p>
        </w:tc>
      </w:tr>
      <w:tr w:rsidR="002F5323" w:rsidRPr="00F734D4" w14:paraId="6C0660A3" w14:textId="77777777" w:rsidTr="009531BC">
        <w:trPr>
          <w:trHeight w:val="20"/>
        </w:trPr>
        <w:tc>
          <w:tcPr>
            <w:tcW w:w="4321" w:type="pct"/>
            <w:shd w:val="clear" w:color="auto" w:fill="auto"/>
            <w:noWrap/>
          </w:tcPr>
          <w:p w14:paraId="4A035CD8" w14:textId="77777777" w:rsidR="002F5323" w:rsidRPr="00F734D4" w:rsidRDefault="002F5323" w:rsidP="002F5323">
            <w:pPr>
              <w:pStyle w:val="TableTextLeft-Indent"/>
              <w:spacing w:after="0"/>
            </w:pPr>
            <w:r w:rsidRPr="00F734D4">
              <w:t>Snowy Hydro Limited – Termination of the Equity Subscription Agreements</w:t>
            </w:r>
          </w:p>
        </w:tc>
        <w:tc>
          <w:tcPr>
            <w:tcW w:w="679" w:type="pct"/>
            <w:shd w:val="clear" w:color="auto" w:fill="auto"/>
            <w:noWrap/>
          </w:tcPr>
          <w:p w14:paraId="7E0DA1D5" w14:textId="70908A0B" w:rsidR="002F5323" w:rsidRPr="00F734D4" w:rsidRDefault="002F5323" w:rsidP="002F5323">
            <w:pPr>
              <w:pStyle w:val="TableTextLeft"/>
              <w:rPr>
                <w:b/>
                <w:bCs/>
              </w:rPr>
            </w:pPr>
            <w:r>
              <w:rPr>
                <w:bCs/>
              </w:rPr>
              <w:t>Unchanged</w:t>
            </w:r>
          </w:p>
        </w:tc>
      </w:tr>
      <w:tr w:rsidR="002F5323" w:rsidRPr="00F734D4" w14:paraId="3380C2C8" w14:textId="77777777" w:rsidTr="009531BC">
        <w:trPr>
          <w:trHeight w:val="20"/>
        </w:trPr>
        <w:tc>
          <w:tcPr>
            <w:tcW w:w="4321" w:type="pct"/>
            <w:shd w:val="clear" w:color="auto" w:fill="auto"/>
            <w:noWrap/>
          </w:tcPr>
          <w:p w14:paraId="4BB63B95" w14:textId="77777777" w:rsidR="002F5323" w:rsidRPr="00F734D4" w:rsidRDefault="002F5323" w:rsidP="002F5323">
            <w:pPr>
              <w:pStyle w:val="TableTextLeft-Indent"/>
              <w:spacing w:after="0"/>
            </w:pPr>
            <w:r w:rsidRPr="00F734D4">
              <w:t>Underwriting of Transmission Projects</w:t>
            </w:r>
          </w:p>
        </w:tc>
        <w:tc>
          <w:tcPr>
            <w:tcW w:w="679" w:type="pct"/>
            <w:shd w:val="clear" w:color="auto" w:fill="auto"/>
            <w:noWrap/>
          </w:tcPr>
          <w:p w14:paraId="2918B266" w14:textId="7583227A" w:rsidR="002F5323" w:rsidRPr="00F734D4" w:rsidRDefault="002F5323" w:rsidP="002F5323">
            <w:pPr>
              <w:pStyle w:val="TableTextLeft"/>
              <w:rPr>
                <w:bCs/>
              </w:rPr>
            </w:pPr>
            <w:r>
              <w:rPr>
                <w:bCs/>
              </w:rPr>
              <w:t>Unchanged</w:t>
            </w:r>
          </w:p>
        </w:tc>
      </w:tr>
      <w:tr w:rsidR="002F5323" w:rsidRPr="00F734D4" w14:paraId="5744D8D9" w14:textId="77777777" w:rsidTr="009531BC">
        <w:trPr>
          <w:trHeight w:val="20"/>
        </w:trPr>
        <w:tc>
          <w:tcPr>
            <w:tcW w:w="4321" w:type="pct"/>
            <w:shd w:val="clear" w:color="auto" w:fill="E6F2FF"/>
            <w:noWrap/>
          </w:tcPr>
          <w:p w14:paraId="6DBD3052" w14:textId="77777777" w:rsidR="002F5323" w:rsidRPr="00F734D4" w:rsidRDefault="002F5323" w:rsidP="002F5323">
            <w:pPr>
              <w:pStyle w:val="TableColumnHeadingLeft"/>
              <w:spacing w:before="20"/>
            </w:pPr>
            <w:r w:rsidRPr="00F734D4">
              <w:rPr>
                <w:rFonts w:eastAsia="Arial"/>
              </w:rPr>
              <w:t>Contingent liabilities – unquantifiable</w:t>
            </w:r>
          </w:p>
        </w:tc>
        <w:tc>
          <w:tcPr>
            <w:tcW w:w="679" w:type="pct"/>
            <w:shd w:val="clear" w:color="auto" w:fill="E6F2FF"/>
            <w:noWrap/>
          </w:tcPr>
          <w:p w14:paraId="0DF3A670" w14:textId="77777777" w:rsidR="002F5323" w:rsidRPr="00F734D4" w:rsidRDefault="002F5323" w:rsidP="002F5323">
            <w:pPr>
              <w:pStyle w:val="TableTextLeft"/>
            </w:pPr>
          </w:p>
        </w:tc>
      </w:tr>
      <w:tr w:rsidR="002F5323" w:rsidRPr="00F734D4" w14:paraId="67816629" w14:textId="77777777" w:rsidTr="009531BC">
        <w:trPr>
          <w:trHeight w:val="20"/>
        </w:trPr>
        <w:tc>
          <w:tcPr>
            <w:tcW w:w="4321" w:type="pct"/>
            <w:shd w:val="clear" w:color="auto" w:fill="auto"/>
            <w:noWrap/>
          </w:tcPr>
          <w:p w14:paraId="073FE596" w14:textId="73A69FB3" w:rsidR="002F5323" w:rsidRPr="00F734D4" w:rsidRDefault="002F5323" w:rsidP="002F5323">
            <w:pPr>
              <w:pStyle w:val="TableTextLeft-Indent"/>
              <w:spacing w:after="0"/>
            </w:pPr>
            <w:r w:rsidRPr="00BD765C">
              <w:t>Gorgon liquefied natural gas and carbon dioxide storage project – long</w:t>
            </w:r>
            <w:r w:rsidR="00B63FC6">
              <w:noBreakHyphen/>
            </w:r>
            <w:r w:rsidRPr="00BD765C">
              <w:t>term liability</w:t>
            </w:r>
          </w:p>
        </w:tc>
        <w:tc>
          <w:tcPr>
            <w:tcW w:w="679" w:type="pct"/>
            <w:shd w:val="clear" w:color="auto" w:fill="auto"/>
            <w:noWrap/>
          </w:tcPr>
          <w:p w14:paraId="39575C6C" w14:textId="77777777" w:rsidR="002F5323" w:rsidRPr="00F734D4" w:rsidRDefault="002F5323" w:rsidP="002F5323">
            <w:pPr>
              <w:pStyle w:val="TableTextLeft"/>
              <w:rPr>
                <w:bCs/>
              </w:rPr>
            </w:pPr>
            <w:r>
              <w:rPr>
                <w:bCs/>
              </w:rPr>
              <w:t>Unchanged</w:t>
            </w:r>
          </w:p>
        </w:tc>
      </w:tr>
      <w:tr w:rsidR="002F5323" w:rsidRPr="00F734D4" w14:paraId="5182049F" w14:textId="77777777" w:rsidTr="009531BC">
        <w:trPr>
          <w:trHeight w:val="20"/>
        </w:trPr>
        <w:tc>
          <w:tcPr>
            <w:tcW w:w="4321" w:type="pct"/>
            <w:shd w:val="clear" w:color="auto" w:fill="auto"/>
            <w:noWrap/>
          </w:tcPr>
          <w:p w14:paraId="6A39254F" w14:textId="77777777" w:rsidR="002F5323" w:rsidRPr="00F734D4" w:rsidRDefault="002F5323" w:rsidP="002F5323">
            <w:pPr>
              <w:pStyle w:val="TableTextLeft-Indent"/>
              <w:spacing w:after="0"/>
            </w:pPr>
            <w:r w:rsidRPr="00F734D4">
              <w:t>Liability for costs incurred in a national liquid fuel emergency</w:t>
            </w:r>
          </w:p>
        </w:tc>
        <w:tc>
          <w:tcPr>
            <w:tcW w:w="679" w:type="pct"/>
            <w:shd w:val="clear" w:color="auto" w:fill="auto"/>
            <w:noWrap/>
          </w:tcPr>
          <w:p w14:paraId="2D592F8D" w14:textId="77777777" w:rsidR="002F5323" w:rsidRPr="00F734D4" w:rsidRDefault="002F5323" w:rsidP="002F5323">
            <w:pPr>
              <w:pStyle w:val="TableTextLeft"/>
              <w:rPr>
                <w:b/>
                <w:bCs/>
              </w:rPr>
            </w:pPr>
            <w:r w:rsidRPr="00F734D4">
              <w:rPr>
                <w:bCs/>
              </w:rPr>
              <w:t>Unchanged</w:t>
            </w:r>
          </w:p>
        </w:tc>
      </w:tr>
      <w:tr w:rsidR="002F5323" w:rsidRPr="00F734D4" w14:paraId="4054885D" w14:textId="77777777" w:rsidTr="009531BC">
        <w:trPr>
          <w:trHeight w:val="20"/>
        </w:trPr>
        <w:tc>
          <w:tcPr>
            <w:tcW w:w="4321" w:type="pct"/>
            <w:shd w:val="clear" w:color="auto" w:fill="auto"/>
            <w:noWrap/>
          </w:tcPr>
          <w:p w14:paraId="03F81DC9" w14:textId="0C708A61" w:rsidR="002F5323" w:rsidRPr="00F734D4" w:rsidRDefault="002F5323" w:rsidP="002F5323">
            <w:pPr>
              <w:pStyle w:val="TableTextLeft-Indent"/>
              <w:spacing w:after="0"/>
            </w:pPr>
            <w:r w:rsidRPr="00D14FE8">
              <w:t>Marinus Link Project – Shareholders</w:t>
            </w:r>
            <w:r w:rsidR="00B63FC6">
              <w:t>’</w:t>
            </w:r>
            <w:r w:rsidRPr="00D14FE8">
              <w:t xml:space="preserve"> agreement</w:t>
            </w:r>
          </w:p>
        </w:tc>
        <w:tc>
          <w:tcPr>
            <w:tcW w:w="679" w:type="pct"/>
            <w:shd w:val="clear" w:color="auto" w:fill="auto"/>
            <w:noWrap/>
          </w:tcPr>
          <w:p w14:paraId="609B4936" w14:textId="740CBA2F" w:rsidR="002F5323" w:rsidRPr="00F734D4" w:rsidRDefault="002F5323" w:rsidP="002F5323">
            <w:pPr>
              <w:pStyle w:val="TableTextLeft"/>
              <w:rPr>
                <w:bCs/>
              </w:rPr>
            </w:pPr>
            <w:r>
              <w:rPr>
                <w:bCs/>
              </w:rPr>
              <w:t>Unchanged</w:t>
            </w:r>
          </w:p>
        </w:tc>
      </w:tr>
      <w:tr w:rsidR="002F5323" w:rsidRPr="00F734D4" w14:paraId="470CD459" w14:textId="77777777" w:rsidTr="009531BC">
        <w:trPr>
          <w:trHeight w:val="20"/>
        </w:trPr>
        <w:tc>
          <w:tcPr>
            <w:tcW w:w="4321" w:type="pct"/>
            <w:shd w:val="clear" w:color="auto" w:fill="auto"/>
            <w:noWrap/>
          </w:tcPr>
          <w:p w14:paraId="06003945" w14:textId="528E38C5" w:rsidR="002F5323" w:rsidRPr="00F734D4" w:rsidRDefault="002F5323" w:rsidP="002F5323">
            <w:pPr>
              <w:pStyle w:val="TableTextLeft-Indent"/>
              <w:spacing w:after="0"/>
              <w:rPr>
                <w:rFonts w:ascii="Arial Bold" w:hAnsi="Arial Bold"/>
                <w:b/>
                <w:bCs/>
              </w:rPr>
            </w:pPr>
            <w:r w:rsidRPr="00F734D4">
              <w:t>Murray</w:t>
            </w:r>
            <w:r w:rsidR="00B63FC6">
              <w:noBreakHyphen/>
            </w:r>
            <w:r w:rsidRPr="00F734D4">
              <w:t>Darling Basin Reform – risk assignment</w:t>
            </w:r>
          </w:p>
        </w:tc>
        <w:tc>
          <w:tcPr>
            <w:tcW w:w="679" w:type="pct"/>
            <w:shd w:val="clear" w:color="auto" w:fill="auto"/>
            <w:noWrap/>
          </w:tcPr>
          <w:p w14:paraId="51A1CB9B" w14:textId="77777777" w:rsidR="002F5323" w:rsidRPr="00F734D4" w:rsidRDefault="002F5323" w:rsidP="002F5323">
            <w:pPr>
              <w:pStyle w:val="TableTextLeft"/>
              <w:rPr>
                <w:bCs/>
              </w:rPr>
            </w:pPr>
            <w:r>
              <w:rPr>
                <w:bCs/>
              </w:rPr>
              <w:t>Unchanged</w:t>
            </w:r>
          </w:p>
        </w:tc>
      </w:tr>
      <w:tr w:rsidR="002F5323" w:rsidRPr="00F734D4" w14:paraId="437A0E96" w14:textId="77777777" w:rsidTr="009531BC">
        <w:trPr>
          <w:trHeight w:val="20"/>
        </w:trPr>
        <w:tc>
          <w:tcPr>
            <w:tcW w:w="4321" w:type="pct"/>
            <w:shd w:val="clear" w:color="auto" w:fill="auto"/>
            <w:noWrap/>
          </w:tcPr>
          <w:p w14:paraId="523B2868" w14:textId="77777777" w:rsidR="002F5323" w:rsidRPr="00F734D4" w:rsidRDefault="002F5323" w:rsidP="002F5323">
            <w:pPr>
              <w:pStyle w:val="TableTextLeft-Indent"/>
              <w:spacing w:after="0"/>
            </w:pPr>
            <w:r w:rsidRPr="00F734D4">
              <w:t>Remediation of Jabiru Township</w:t>
            </w:r>
          </w:p>
        </w:tc>
        <w:tc>
          <w:tcPr>
            <w:tcW w:w="679" w:type="pct"/>
            <w:shd w:val="clear" w:color="auto" w:fill="auto"/>
            <w:noWrap/>
          </w:tcPr>
          <w:p w14:paraId="428A01F6" w14:textId="77777777" w:rsidR="002F5323" w:rsidRPr="00F734D4" w:rsidRDefault="002F5323" w:rsidP="002F5323">
            <w:pPr>
              <w:pStyle w:val="TableTextLeft"/>
              <w:rPr>
                <w:bCs/>
              </w:rPr>
            </w:pPr>
            <w:r>
              <w:t>Unchanged</w:t>
            </w:r>
          </w:p>
        </w:tc>
      </w:tr>
      <w:tr w:rsidR="002F5323" w:rsidRPr="00F734D4" w14:paraId="33AC896E" w14:textId="77777777" w:rsidTr="009531BC">
        <w:trPr>
          <w:trHeight w:val="20"/>
        </w:trPr>
        <w:tc>
          <w:tcPr>
            <w:tcW w:w="4321" w:type="pct"/>
            <w:shd w:val="clear" w:color="auto" w:fill="auto"/>
            <w:noWrap/>
          </w:tcPr>
          <w:p w14:paraId="3C8E70A0" w14:textId="77777777" w:rsidR="002F5323" w:rsidRPr="00F734D4" w:rsidRDefault="002F5323" w:rsidP="002F5323">
            <w:pPr>
              <w:pStyle w:val="TableTextLeft-Indent"/>
              <w:spacing w:after="0"/>
              <w:rPr>
                <w:rFonts w:ascii="Arial Bold" w:hAnsi="Arial Bold"/>
                <w:b/>
                <w:bCs/>
              </w:rPr>
            </w:pPr>
            <w:r w:rsidRPr="00F734D4">
              <w:t>United States Strategic Petroleum Reserve Lease Agreement – indemnity under</w:t>
            </w:r>
            <w:r>
              <w:t> </w:t>
            </w:r>
            <w:r w:rsidRPr="00F734D4">
              <w:t>certain conditions</w:t>
            </w:r>
          </w:p>
        </w:tc>
        <w:tc>
          <w:tcPr>
            <w:tcW w:w="679" w:type="pct"/>
            <w:shd w:val="clear" w:color="auto" w:fill="auto"/>
            <w:noWrap/>
          </w:tcPr>
          <w:p w14:paraId="3F8385B0" w14:textId="77777777" w:rsidR="002F5323" w:rsidRPr="00F734D4" w:rsidRDefault="002F5323" w:rsidP="002F5323">
            <w:pPr>
              <w:pStyle w:val="TableTextLeft"/>
              <w:rPr>
                <w:bCs/>
              </w:rPr>
            </w:pPr>
            <w:r>
              <w:rPr>
                <w:bCs/>
              </w:rPr>
              <w:t>Unchanged</w:t>
            </w:r>
          </w:p>
        </w:tc>
      </w:tr>
      <w:tr w:rsidR="002F5323" w:rsidRPr="00F734D4" w14:paraId="1F9EC5EA" w14:textId="77777777" w:rsidTr="009531BC">
        <w:trPr>
          <w:trHeight w:val="20"/>
        </w:trPr>
        <w:tc>
          <w:tcPr>
            <w:tcW w:w="4321" w:type="pct"/>
            <w:shd w:val="clear" w:color="auto" w:fill="E6F2FF"/>
            <w:noWrap/>
          </w:tcPr>
          <w:p w14:paraId="7D21084A" w14:textId="7C0BD124" w:rsidR="002F5323" w:rsidRPr="00F734D4" w:rsidRDefault="002F5323" w:rsidP="002F5323">
            <w:pPr>
              <w:pStyle w:val="TableColumnHeadingLeft"/>
              <w:spacing w:before="20"/>
            </w:pPr>
            <w:r w:rsidRPr="00F734D4">
              <w:rPr>
                <w:rFonts w:eastAsia="Arial"/>
              </w:rPr>
              <w:t>Contingent liabilit</w:t>
            </w:r>
            <w:r>
              <w:rPr>
                <w:rFonts w:eastAsia="Arial"/>
              </w:rPr>
              <w:t>ies</w:t>
            </w:r>
            <w:r w:rsidRPr="00F734D4">
              <w:rPr>
                <w:rFonts w:eastAsia="Arial"/>
              </w:rPr>
              <w:t xml:space="preserve"> – quantifiable</w:t>
            </w:r>
          </w:p>
        </w:tc>
        <w:tc>
          <w:tcPr>
            <w:tcW w:w="679" w:type="pct"/>
            <w:shd w:val="clear" w:color="auto" w:fill="E6F2FF"/>
            <w:noWrap/>
          </w:tcPr>
          <w:p w14:paraId="7747FC16" w14:textId="77777777" w:rsidR="002F5323" w:rsidRPr="00F734D4" w:rsidRDefault="002F5323" w:rsidP="002F5323">
            <w:pPr>
              <w:pStyle w:val="TableTextLeft"/>
            </w:pPr>
          </w:p>
        </w:tc>
      </w:tr>
      <w:tr w:rsidR="002F5323" w:rsidRPr="00F734D4" w14:paraId="440B5AC2" w14:textId="77777777" w:rsidTr="009531BC">
        <w:trPr>
          <w:trHeight w:val="20"/>
        </w:trPr>
        <w:tc>
          <w:tcPr>
            <w:tcW w:w="4321" w:type="pct"/>
            <w:shd w:val="clear" w:color="auto" w:fill="auto"/>
            <w:noWrap/>
          </w:tcPr>
          <w:p w14:paraId="0FFD0648" w14:textId="2794DCE9" w:rsidR="002F5323" w:rsidRPr="00F734D4" w:rsidRDefault="002F5323" w:rsidP="002F5323">
            <w:pPr>
              <w:pStyle w:val="TableTextLeft-Indent"/>
              <w:spacing w:after="0"/>
            </w:pPr>
            <w:r>
              <w:t>Capacity Investment Scheme</w:t>
            </w:r>
          </w:p>
        </w:tc>
        <w:tc>
          <w:tcPr>
            <w:tcW w:w="679" w:type="pct"/>
            <w:shd w:val="clear" w:color="auto" w:fill="auto"/>
            <w:noWrap/>
          </w:tcPr>
          <w:p w14:paraId="78E6A9C1" w14:textId="14EBA64C" w:rsidR="002F5323" w:rsidRDefault="002F5323" w:rsidP="002F5323">
            <w:pPr>
              <w:pStyle w:val="TableTextLeft"/>
              <w:rPr>
                <w:bCs/>
              </w:rPr>
            </w:pPr>
            <w:r>
              <w:rPr>
                <w:bCs/>
              </w:rPr>
              <w:t>New</w:t>
            </w:r>
          </w:p>
        </w:tc>
      </w:tr>
      <w:tr w:rsidR="002F5323" w:rsidRPr="00F734D4" w14:paraId="5FEE7CFE" w14:textId="77777777" w:rsidTr="009531BC">
        <w:trPr>
          <w:trHeight w:val="20"/>
        </w:trPr>
        <w:tc>
          <w:tcPr>
            <w:tcW w:w="4321" w:type="pct"/>
            <w:shd w:val="clear" w:color="auto" w:fill="auto"/>
            <w:noWrap/>
          </w:tcPr>
          <w:p w14:paraId="291B6778" w14:textId="77777777" w:rsidR="002F5323" w:rsidRPr="00F734D4" w:rsidRDefault="002F5323" w:rsidP="002F5323">
            <w:pPr>
              <w:pStyle w:val="TableTextLeft-Indent"/>
              <w:spacing w:after="0"/>
            </w:pPr>
            <w:r w:rsidRPr="00F734D4">
              <w:t xml:space="preserve">Underwriting of </w:t>
            </w:r>
            <w:r>
              <w:t>the Marinus Link Project</w:t>
            </w:r>
          </w:p>
        </w:tc>
        <w:tc>
          <w:tcPr>
            <w:tcW w:w="679" w:type="pct"/>
            <w:shd w:val="clear" w:color="auto" w:fill="auto"/>
            <w:noWrap/>
          </w:tcPr>
          <w:p w14:paraId="1B5D28AF" w14:textId="5D0709A2" w:rsidR="002F5323" w:rsidRPr="00F734D4" w:rsidRDefault="002F5323" w:rsidP="002F5323">
            <w:pPr>
              <w:pStyle w:val="TableTextLeft"/>
              <w:rPr>
                <w:bCs/>
              </w:rPr>
            </w:pPr>
            <w:r>
              <w:rPr>
                <w:bCs/>
              </w:rPr>
              <w:t>Modified</w:t>
            </w:r>
          </w:p>
        </w:tc>
      </w:tr>
      <w:tr w:rsidR="002F5323" w:rsidRPr="00F734D4" w14:paraId="7497E258" w14:textId="77777777" w:rsidTr="009531BC">
        <w:trPr>
          <w:trHeight w:val="20"/>
        </w:trPr>
        <w:tc>
          <w:tcPr>
            <w:tcW w:w="4321" w:type="pct"/>
            <w:shd w:val="clear" w:color="auto" w:fill="E6F2FF"/>
            <w:noWrap/>
          </w:tcPr>
          <w:p w14:paraId="5B3DF7AF" w14:textId="77777777" w:rsidR="002F5323" w:rsidRPr="00F734D4" w:rsidRDefault="002F5323" w:rsidP="002F5323">
            <w:pPr>
              <w:pStyle w:val="TableColumnHeadingLeft"/>
              <w:spacing w:before="20"/>
            </w:pPr>
            <w:r w:rsidRPr="00F734D4">
              <w:t>Defence</w:t>
            </w:r>
          </w:p>
        </w:tc>
        <w:tc>
          <w:tcPr>
            <w:tcW w:w="679" w:type="pct"/>
            <w:shd w:val="clear" w:color="auto" w:fill="E6F2FF"/>
            <w:noWrap/>
          </w:tcPr>
          <w:p w14:paraId="7353E57D" w14:textId="77777777" w:rsidR="002F5323" w:rsidRPr="00F734D4" w:rsidRDefault="002F5323" w:rsidP="002F5323">
            <w:pPr>
              <w:pStyle w:val="TableColumnHeadingLeft"/>
              <w:spacing w:before="20"/>
            </w:pPr>
            <w:r w:rsidRPr="00F734D4">
              <w:t>Status</w:t>
            </w:r>
          </w:p>
        </w:tc>
      </w:tr>
      <w:tr w:rsidR="002F5323" w:rsidRPr="00F734D4" w14:paraId="481F4A8B" w14:textId="77777777" w:rsidTr="009531BC">
        <w:trPr>
          <w:trHeight w:val="20"/>
        </w:trPr>
        <w:tc>
          <w:tcPr>
            <w:tcW w:w="4321" w:type="pct"/>
            <w:shd w:val="clear" w:color="auto" w:fill="E6F2FF"/>
            <w:noWrap/>
          </w:tcPr>
          <w:p w14:paraId="01D34694" w14:textId="77777777" w:rsidR="002F5323" w:rsidRPr="00F734D4" w:rsidRDefault="002F5323" w:rsidP="002F5323">
            <w:pPr>
              <w:pStyle w:val="TableColumnHeadingLeft"/>
              <w:spacing w:before="20"/>
            </w:pPr>
            <w:r w:rsidRPr="00F734D4">
              <w:rPr>
                <w:rFonts w:eastAsia="Arial"/>
              </w:rPr>
              <w:t>Fiscal Risks</w:t>
            </w:r>
          </w:p>
        </w:tc>
        <w:tc>
          <w:tcPr>
            <w:tcW w:w="679" w:type="pct"/>
            <w:shd w:val="clear" w:color="auto" w:fill="E6F2FF"/>
            <w:noWrap/>
          </w:tcPr>
          <w:p w14:paraId="214751F1" w14:textId="77777777" w:rsidR="002F5323" w:rsidRPr="00F734D4" w:rsidRDefault="002F5323" w:rsidP="002F5323">
            <w:pPr>
              <w:pStyle w:val="TableTextLeft"/>
            </w:pPr>
          </w:p>
        </w:tc>
      </w:tr>
      <w:tr w:rsidR="002F5323" w:rsidRPr="00F734D4" w14:paraId="003D381D" w14:textId="77777777" w:rsidTr="009531BC">
        <w:trPr>
          <w:trHeight w:val="20"/>
        </w:trPr>
        <w:tc>
          <w:tcPr>
            <w:tcW w:w="4321" w:type="pct"/>
            <w:shd w:val="clear" w:color="auto" w:fill="auto"/>
            <w:noWrap/>
          </w:tcPr>
          <w:p w14:paraId="737B859E" w14:textId="5B581111" w:rsidR="002F5323" w:rsidRPr="00F734D4" w:rsidRDefault="002F5323" w:rsidP="002F5323">
            <w:pPr>
              <w:pStyle w:val="TableTextLeft-Indent"/>
              <w:spacing w:after="0"/>
            </w:pPr>
            <w:r w:rsidRPr="00BD765C">
              <w:t>Implementation of the nuclear</w:t>
            </w:r>
            <w:r w:rsidR="00B63FC6">
              <w:noBreakHyphen/>
            </w:r>
            <w:r w:rsidRPr="00BD765C">
              <w:t>powered submarine program</w:t>
            </w:r>
          </w:p>
        </w:tc>
        <w:tc>
          <w:tcPr>
            <w:tcW w:w="679" w:type="pct"/>
            <w:shd w:val="clear" w:color="auto" w:fill="auto"/>
            <w:noWrap/>
          </w:tcPr>
          <w:p w14:paraId="64C1F768" w14:textId="274F9663" w:rsidR="002F5323" w:rsidRPr="00F734D4" w:rsidRDefault="002F5323" w:rsidP="002F5323">
            <w:pPr>
              <w:pStyle w:val="TableTextLeft"/>
            </w:pPr>
            <w:r>
              <w:t>Unchanged</w:t>
            </w:r>
          </w:p>
        </w:tc>
      </w:tr>
      <w:tr w:rsidR="002F5323" w:rsidRPr="00F734D4" w14:paraId="0760BB98" w14:textId="77777777" w:rsidTr="009531BC">
        <w:trPr>
          <w:trHeight w:val="20"/>
        </w:trPr>
        <w:tc>
          <w:tcPr>
            <w:tcW w:w="4321" w:type="pct"/>
            <w:shd w:val="clear" w:color="auto" w:fill="auto"/>
            <w:noWrap/>
          </w:tcPr>
          <w:p w14:paraId="479E5028" w14:textId="2536A9B9" w:rsidR="002F5323" w:rsidRPr="00F734D4" w:rsidRDefault="002F5323" w:rsidP="002F5323">
            <w:pPr>
              <w:pStyle w:val="TableTextLeft-Indent"/>
              <w:spacing w:after="0"/>
            </w:pPr>
            <w:r w:rsidRPr="00F734D4">
              <w:t xml:space="preserve">Major operations of the Australian Defence Force in </w:t>
            </w:r>
            <w:r>
              <w:t>2024</w:t>
            </w:r>
            <w:r w:rsidR="00B63FC6">
              <w:noBreakHyphen/>
            </w:r>
            <w:r>
              <w:t>25</w:t>
            </w:r>
          </w:p>
        </w:tc>
        <w:tc>
          <w:tcPr>
            <w:tcW w:w="679" w:type="pct"/>
            <w:shd w:val="clear" w:color="auto" w:fill="auto"/>
            <w:noWrap/>
          </w:tcPr>
          <w:p w14:paraId="1F75DB09" w14:textId="77777777" w:rsidR="002F5323" w:rsidRPr="00F734D4" w:rsidRDefault="002F5323" w:rsidP="002F5323">
            <w:pPr>
              <w:pStyle w:val="TableTextLeft"/>
            </w:pPr>
            <w:r>
              <w:t>Unchanged</w:t>
            </w:r>
          </w:p>
        </w:tc>
      </w:tr>
      <w:tr w:rsidR="002F5323" w:rsidRPr="00F734D4" w14:paraId="40DBA482" w14:textId="77777777" w:rsidTr="009531BC">
        <w:trPr>
          <w:trHeight w:val="20"/>
        </w:trPr>
        <w:tc>
          <w:tcPr>
            <w:tcW w:w="4321" w:type="pct"/>
            <w:shd w:val="clear" w:color="auto" w:fill="E6F2FF"/>
            <w:noWrap/>
          </w:tcPr>
          <w:p w14:paraId="25096919" w14:textId="77777777" w:rsidR="002F5323" w:rsidRPr="00F734D4" w:rsidRDefault="002F5323" w:rsidP="002F5323">
            <w:pPr>
              <w:pStyle w:val="TableColumnHeadingLeft"/>
              <w:spacing w:before="20"/>
              <w:rPr>
                <w:rFonts w:eastAsia="Arial"/>
              </w:rPr>
            </w:pPr>
            <w:r w:rsidRPr="00F734D4">
              <w:rPr>
                <w:rFonts w:eastAsia="Arial"/>
              </w:rPr>
              <w:t xml:space="preserve">Significant but remote contingencies </w:t>
            </w:r>
          </w:p>
        </w:tc>
        <w:tc>
          <w:tcPr>
            <w:tcW w:w="679" w:type="pct"/>
            <w:shd w:val="clear" w:color="auto" w:fill="E6F2FF"/>
            <w:noWrap/>
          </w:tcPr>
          <w:p w14:paraId="7511A45E" w14:textId="77777777" w:rsidR="002F5323" w:rsidRPr="00F734D4" w:rsidRDefault="002F5323" w:rsidP="002F5323">
            <w:pPr>
              <w:pStyle w:val="TableTextLeft"/>
            </w:pPr>
          </w:p>
        </w:tc>
      </w:tr>
      <w:tr w:rsidR="002F5323" w:rsidRPr="00F734D4" w14:paraId="44C1D96F" w14:textId="77777777" w:rsidTr="009531BC">
        <w:trPr>
          <w:trHeight w:val="20"/>
        </w:trPr>
        <w:tc>
          <w:tcPr>
            <w:tcW w:w="4321" w:type="pct"/>
            <w:shd w:val="clear" w:color="auto" w:fill="auto"/>
            <w:noWrap/>
          </w:tcPr>
          <w:p w14:paraId="4542DA88" w14:textId="0AEB3DD8" w:rsidR="002F5323" w:rsidRPr="00F734D4" w:rsidRDefault="002F5323" w:rsidP="002F5323">
            <w:pPr>
              <w:pStyle w:val="TableTextLeft-Indent"/>
              <w:spacing w:after="0"/>
              <w:rPr>
                <w:b/>
              </w:rPr>
            </w:pPr>
            <w:r w:rsidRPr="00F734D4">
              <w:t>ADI Limited – Officers</w:t>
            </w:r>
            <w:r w:rsidR="00B63FC6">
              <w:t>’</w:t>
            </w:r>
            <w:r w:rsidRPr="00F734D4">
              <w:t xml:space="preserve"> and Directors</w:t>
            </w:r>
            <w:r w:rsidR="00B63FC6">
              <w:t>’</w:t>
            </w:r>
            <w:r w:rsidRPr="00F734D4">
              <w:t xml:space="preserve"> indemnities</w:t>
            </w:r>
          </w:p>
        </w:tc>
        <w:tc>
          <w:tcPr>
            <w:tcW w:w="679" w:type="pct"/>
            <w:shd w:val="clear" w:color="auto" w:fill="auto"/>
            <w:noWrap/>
          </w:tcPr>
          <w:p w14:paraId="30C65BF0" w14:textId="77777777" w:rsidR="002F5323" w:rsidRPr="00F734D4" w:rsidRDefault="002F5323" w:rsidP="002F5323">
            <w:pPr>
              <w:pStyle w:val="TableTextLeft"/>
            </w:pPr>
            <w:r w:rsidRPr="00F734D4">
              <w:t>Unchanged</w:t>
            </w:r>
          </w:p>
        </w:tc>
      </w:tr>
      <w:tr w:rsidR="002F5323" w:rsidRPr="00F734D4" w14:paraId="7C8581E4" w14:textId="77777777" w:rsidTr="009531BC">
        <w:trPr>
          <w:trHeight w:val="20"/>
        </w:trPr>
        <w:tc>
          <w:tcPr>
            <w:tcW w:w="4321" w:type="pct"/>
            <w:shd w:val="clear" w:color="auto" w:fill="auto"/>
            <w:noWrap/>
          </w:tcPr>
          <w:p w14:paraId="5BBF4998" w14:textId="77777777" w:rsidR="002F5323" w:rsidRPr="00F734D4" w:rsidRDefault="002F5323" w:rsidP="002F5323">
            <w:pPr>
              <w:pStyle w:val="TableTextLeft-Indent"/>
              <w:spacing w:after="0"/>
            </w:pPr>
            <w:r w:rsidRPr="00F734D4">
              <w:t>Litigation cases</w:t>
            </w:r>
          </w:p>
        </w:tc>
        <w:tc>
          <w:tcPr>
            <w:tcW w:w="679" w:type="pct"/>
            <w:shd w:val="clear" w:color="auto" w:fill="auto"/>
            <w:noWrap/>
          </w:tcPr>
          <w:p w14:paraId="547736FE" w14:textId="77777777" w:rsidR="002F5323" w:rsidRPr="00F734D4" w:rsidRDefault="002F5323" w:rsidP="002F5323">
            <w:pPr>
              <w:pStyle w:val="TableTextLeft"/>
            </w:pPr>
            <w:r w:rsidRPr="00F734D4">
              <w:t>Unchanged</w:t>
            </w:r>
          </w:p>
        </w:tc>
      </w:tr>
      <w:tr w:rsidR="002F5323" w:rsidRPr="00F734D4" w14:paraId="114B6B36" w14:textId="77777777" w:rsidTr="009531BC">
        <w:trPr>
          <w:trHeight w:val="20"/>
        </w:trPr>
        <w:tc>
          <w:tcPr>
            <w:tcW w:w="4321" w:type="pct"/>
            <w:shd w:val="clear" w:color="auto" w:fill="auto"/>
            <w:noWrap/>
          </w:tcPr>
          <w:p w14:paraId="28D4FCF1" w14:textId="77777777" w:rsidR="002F5323" w:rsidRPr="00F734D4" w:rsidRDefault="002F5323" w:rsidP="002F5323">
            <w:pPr>
              <w:pStyle w:val="TableTextLeft-Indent"/>
              <w:spacing w:after="0"/>
            </w:pPr>
            <w:r w:rsidRPr="00F734D4">
              <w:t>Remote contingencies</w:t>
            </w:r>
          </w:p>
        </w:tc>
        <w:tc>
          <w:tcPr>
            <w:tcW w:w="679" w:type="pct"/>
            <w:shd w:val="clear" w:color="auto" w:fill="auto"/>
            <w:noWrap/>
          </w:tcPr>
          <w:p w14:paraId="0DF87FCC" w14:textId="33490A70" w:rsidR="002F5323" w:rsidRPr="00F734D4" w:rsidRDefault="002F5323" w:rsidP="002F5323">
            <w:pPr>
              <w:pStyle w:val="TableTextLeft"/>
              <w:rPr>
                <w:rFonts w:eastAsia="Arial" w:cs="Arial"/>
              </w:rPr>
            </w:pPr>
            <w:r>
              <w:rPr>
                <w:bCs/>
              </w:rPr>
              <w:t>Modified</w:t>
            </w:r>
          </w:p>
        </w:tc>
      </w:tr>
      <w:tr w:rsidR="002F5323" w:rsidRPr="00F734D4" w14:paraId="456C6DA0" w14:textId="77777777" w:rsidTr="009531BC">
        <w:trPr>
          <w:trHeight w:val="20"/>
        </w:trPr>
        <w:tc>
          <w:tcPr>
            <w:tcW w:w="4321" w:type="pct"/>
            <w:shd w:val="clear" w:color="auto" w:fill="E6F2FF"/>
            <w:noWrap/>
          </w:tcPr>
          <w:p w14:paraId="155CAFA4" w14:textId="77777777" w:rsidR="002F5323" w:rsidRPr="00F734D4" w:rsidRDefault="002F5323" w:rsidP="002F5323">
            <w:pPr>
              <w:pStyle w:val="TableColumnHeadingLeft"/>
              <w:spacing w:before="20"/>
              <w:rPr>
                <w:rFonts w:eastAsia="Arial"/>
              </w:rPr>
            </w:pPr>
            <w:r w:rsidRPr="00F734D4">
              <w:rPr>
                <w:rFonts w:eastAsia="Arial"/>
              </w:rPr>
              <w:t>Contingent liabilities – unquantifiable</w:t>
            </w:r>
          </w:p>
        </w:tc>
        <w:tc>
          <w:tcPr>
            <w:tcW w:w="679" w:type="pct"/>
            <w:shd w:val="clear" w:color="auto" w:fill="E6F2FF"/>
            <w:noWrap/>
          </w:tcPr>
          <w:p w14:paraId="1FCAE2D3" w14:textId="77777777" w:rsidR="002F5323" w:rsidRPr="00F734D4" w:rsidRDefault="002F5323" w:rsidP="002F5323">
            <w:pPr>
              <w:pStyle w:val="TableTextLeft"/>
            </w:pPr>
          </w:p>
        </w:tc>
      </w:tr>
      <w:tr w:rsidR="002F5323" w:rsidRPr="00F734D4" w14:paraId="52EE6460" w14:textId="77777777" w:rsidTr="009531BC">
        <w:trPr>
          <w:trHeight w:val="20"/>
        </w:trPr>
        <w:tc>
          <w:tcPr>
            <w:tcW w:w="4321" w:type="pct"/>
            <w:shd w:val="clear" w:color="auto" w:fill="auto"/>
            <w:noWrap/>
          </w:tcPr>
          <w:p w14:paraId="6BB67D12" w14:textId="77777777" w:rsidR="002F5323" w:rsidRPr="00F734D4" w:rsidRDefault="002F5323" w:rsidP="002F5323">
            <w:pPr>
              <w:pStyle w:val="TableTextLeft-Indent"/>
              <w:spacing w:after="0"/>
            </w:pPr>
            <w:r w:rsidRPr="00F734D4">
              <w:t>Cockatoo Island Dockyard</w:t>
            </w:r>
          </w:p>
        </w:tc>
        <w:tc>
          <w:tcPr>
            <w:tcW w:w="679" w:type="pct"/>
            <w:shd w:val="clear" w:color="auto" w:fill="auto"/>
            <w:noWrap/>
          </w:tcPr>
          <w:p w14:paraId="52E91599" w14:textId="77777777" w:rsidR="002F5323" w:rsidRPr="00F734D4" w:rsidRDefault="002F5323" w:rsidP="002F5323">
            <w:pPr>
              <w:pStyle w:val="TableTextLeft"/>
            </w:pPr>
            <w:r w:rsidRPr="00F734D4">
              <w:t>Unchanged</w:t>
            </w:r>
          </w:p>
        </w:tc>
      </w:tr>
      <w:tr w:rsidR="002F5323" w:rsidRPr="00F734D4" w14:paraId="2554BAC3" w14:textId="77777777" w:rsidTr="009531BC">
        <w:trPr>
          <w:trHeight w:val="20"/>
        </w:trPr>
        <w:tc>
          <w:tcPr>
            <w:tcW w:w="4321" w:type="pct"/>
            <w:shd w:val="clear" w:color="auto" w:fill="auto"/>
            <w:noWrap/>
          </w:tcPr>
          <w:p w14:paraId="1E8D8FE4" w14:textId="77777777" w:rsidR="002F5323" w:rsidRPr="00F734D4" w:rsidRDefault="002F5323" w:rsidP="002F5323">
            <w:pPr>
              <w:pStyle w:val="TableTextLeft-Indent"/>
              <w:spacing w:after="0"/>
            </w:pPr>
            <w:r w:rsidRPr="00F734D4">
              <w:t>Land decontamination, site restoration and decommissioning of Defence assets</w:t>
            </w:r>
          </w:p>
        </w:tc>
        <w:tc>
          <w:tcPr>
            <w:tcW w:w="679" w:type="pct"/>
            <w:shd w:val="clear" w:color="auto" w:fill="auto"/>
            <w:noWrap/>
          </w:tcPr>
          <w:p w14:paraId="37D5EF93" w14:textId="77777777" w:rsidR="002F5323" w:rsidRPr="00F734D4" w:rsidRDefault="002F5323" w:rsidP="002F5323">
            <w:pPr>
              <w:pStyle w:val="TableTextLeft"/>
            </w:pPr>
            <w:r w:rsidRPr="00F734D4">
              <w:t>Unchanged</w:t>
            </w:r>
          </w:p>
        </w:tc>
      </w:tr>
      <w:tr w:rsidR="002F5323" w:rsidRPr="00F734D4" w14:paraId="53AE7273" w14:textId="77777777" w:rsidTr="009531BC">
        <w:trPr>
          <w:trHeight w:val="20"/>
        </w:trPr>
        <w:tc>
          <w:tcPr>
            <w:tcW w:w="4321" w:type="pct"/>
            <w:shd w:val="clear" w:color="auto" w:fill="E6F2FF"/>
            <w:noWrap/>
          </w:tcPr>
          <w:p w14:paraId="3E8D94F2" w14:textId="77777777" w:rsidR="002F5323" w:rsidRPr="00F734D4" w:rsidRDefault="002F5323" w:rsidP="002F5323">
            <w:pPr>
              <w:pStyle w:val="TableColumnHeadingLeft"/>
              <w:spacing w:before="20"/>
              <w:rPr>
                <w:rFonts w:eastAsia="Arial"/>
              </w:rPr>
            </w:pPr>
            <w:r w:rsidRPr="00F734D4">
              <w:rPr>
                <w:rFonts w:eastAsia="Arial"/>
              </w:rPr>
              <w:t>Contingent liability – quantifiable</w:t>
            </w:r>
          </w:p>
        </w:tc>
        <w:tc>
          <w:tcPr>
            <w:tcW w:w="679" w:type="pct"/>
            <w:shd w:val="clear" w:color="auto" w:fill="E6F2FF"/>
            <w:noWrap/>
          </w:tcPr>
          <w:p w14:paraId="5897D40A" w14:textId="77777777" w:rsidR="002F5323" w:rsidRPr="00F734D4" w:rsidRDefault="002F5323" w:rsidP="002F5323">
            <w:pPr>
              <w:pStyle w:val="TableTextLeft"/>
            </w:pPr>
          </w:p>
        </w:tc>
      </w:tr>
      <w:tr w:rsidR="002F5323" w:rsidRPr="00F734D4" w14:paraId="03CE4FBE" w14:textId="77777777" w:rsidTr="009531BC">
        <w:trPr>
          <w:trHeight w:val="20"/>
        </w:trPr>
        <w:tc>
          <w:tcPr>
            <w:tcW w:w="4321" w:type="pct"/>
            <w:shd w:val="clear" w:color="auto" w:fill="auto"/>
            <w:noWrap/>
          </w:tcPr>
          <w:p w14:paraId="6669986A" w14:textId="77777777" w:rsidR="002F5323" w:rsidRPr="00F734D4" w:rsidRDefault="002F5323" w:rsidP="002F5323">
            <w:pPr>
              <w:pStyle w:val="TableTextLeft-Indent"/>
              <w:spacing w:after="0"/>
              <w:rPr>
                <w:b/>
              </w:rPr>
            </w:pPr>
            <w:r w:rsidRPr="00F734D4">
              <w:t>Claims against the Department of Defence</w:t>
            </w:r>
          </w:p>
        </w:tc>
        <w:tc>
          <w:tcPr>
            <w:tcW w:w="679" w:type="pct"/>
            <w:shd w:val="clear" w:color="auto" w:fill="auto"/>
            <w:noWrap/>
          </w:tcPr>
          <w:p w14:paraId="7C091743" w14:textId="1422468D" w:rsidR="002F5323" w:rsidRPr="00F734D4" w:rsidRDefault="002F5323" w:rsidP="002F5323">
            <w:pPr>
              <w:pStyle w:val="TableTextLeft"/>
              <w:rPr>
                <w:rFonts w:eastAsia="Arial" w:cs="Arial"/>
              </w:rPr>
            </w:pPr>
            <w:r>
              <w:rPr>
                <w:rFonts w:eastAsia="Arial" w:cs="Arial"/>
              </w:rPr>
              <w:t>Modified</w:t>
            </w:r>
          </w:p>
        </w:tc>
      </w:tr>
    </w:tbl>
    <w:p w14:paraId="1CD5DCCE" w14:textId="12C0960D" w:rsidR="000E79F5" w:rsidRPr="00F734D4" w:rsidRDefault="000E79F5" w:rsidP="000E79F5">
      <w:pPr>
        <w:pStyle w:val="TableHeadingcontinued"/>
        <w:rPr>
          <w:rFonts w:eastAsia="Arial"/>
        </w:rPr>
      </w:pPr>
      <w:r w:rsidRPr="002C4F07">
        <w:rPr>
          <w:rFonts w:eastAsia="Arial"/>
        </w:rPr>
        <w:lastRenderedPageBreak/>
        <w:t xml:space="preserve">Table </w:t>
      </w:r>
      <w:r w:rsidR="00AB5A5E" w:rsidRPr="002C4F07">
        <w:rPr>
          <w:rFonts w:eastAsia="Arial"/>
        </w:rPr>
        <w:t>6.</w:t>
      </w:r>
      <w:r w:rsidRPr="002C4F07">
        <w:rPr>
          <w:rFonts w:eastAsia="Arial"/>
        </w:rPr>
        <w:t>2</w:t>
      </w:r>
      <w:r w:rsidRPr="00D13C64">
        <w:rPr>
          <w:rFonts w:eastAsia="Arial"/>
        </w:rPr>
        <w:t>: Summary</w:t>
      </w:r>
      <w:r w:rsidRPr="00C07FB5">
        <w:rPr>
          <w:rFonts w:eastAsia="Arial"/>
        </w:rPr>
        <w:t xml:space="preserve"> of </w:t>
      </w:r>
      <w:r>
        <w:rPr>
          <w:rFonts w:eastAsia="Arial"/>
        </w:rPr>
        <w:t xml:space="preserve">fiscal risks, </w:t>
      </w:r>
      <w:r w:rsidRPr="00C07FB5">
        <w:rPr>
          <w:rFonts w:eastAsia="Arial"/>
        </w:rPr>
        <w:t xml:space="preserve">contingent </w:t>
      </w:r>
      <w:proofErr w:type="gramStart"/>
      <w:r w:rsidRPr="00C07FB5">
        <w:rPr>
          <w:rFonts w:eastAsia="Arial"/>
        </w:rPr>
        <w:t>liabilities</w:t>
      </w:r>
      <w:proofErr w:type="gramEnd"/>
      <w:r w:rsidRPr="00C07FB5">
        <w:rPr>
          <w:rFonts w:eastAsia="Arial"/>
        </w:rPr>
        <w:t xml:space="preserve"> and contingent assets in the Statement of Risks</w:t>
      </w:r>
      <w:r w:rsidRPr="00F734D4">
        <w:rPr>
          <w:rFonts w:eastAsia="Arial"/>
          <w:vertAlign w:val="superscript"/>
        </w:rPr>
        <w:t>(a)</w:t>
      </w:r>
      <w:r w:rsidRPr="00F734D4">
        <w:rPr>
          <w:rFonts w:eastAsia="Arial"/>
        </w:rPr>
        <w:t xml:space="preserve"> (continued)</w:t>
      </w:r>
    </w:p>
    <w:tbl>
      <w:tblPr>
        <w:tblW w:w="5000" w:type="pct"/>
        <w:tblBorders>
          <w:top w:val="single" w:sz="4" w:space="0" w:color="002A54" w:themeColor="text2"/>
          <w:bottom w:val="single" w:sz="4" w:space="0" w:color="002A54" w:themeColor="text2"/>
          <w:insideH w:val="single" w:sz="4" w:space="0" w:color="002A54" w:themeColor="text2"/>
        </w:tblBorders>
        <w:tblLayout w:type="fixed"/>
        <w:tblLook w:val="04A0" w:firstRow="1" w:lastRow="0" w:firstColumn="1" w:lastColumn="0" w:noHBand="0" w:noVBand="1"/>
        <w:tblCaption w:val="Table"/>
      </w:tblPr>
      <w:tblGrid>
        <w:gridCol w:w="6516"/>
        <w:gridCol w:w="1194"/>
      </w:tblGrid>
      <w:tr w:rsidR="000E79F5" w:rsidRPr="00F734D4" w14:paraId="3CBB51CD" w14:textId="77777777" w:rsidTr="00C03DF9">
        <w:trPr>
          <w:trHeight w:val="228"/>
        </w:trPr>
        <w:tc>
          <w:tcPr>
            <w:tcW w:w="4226" w:type="pct"/>
            <w:shd w:val="clear" w:color="auto" w:fill="E6F2FF"/>
            <w:noWrap/>
          </w:tcPr>
          <w:p w14:paraId="538487D4" w14:textId="09E21B97" w:rsidR="000E79F5" w:rsidRPr="00F734D4" w:rsidRDefault="000E79F5" w:rsidP="00C03DF9">
            <w:pPr>
              <w:pStyle w:val="TableColumnHeadingLeft"/>
            </w:pPr>
            <w:r w:rsidRPr="00F734D4">
              <w:t>Employment and Workplace Relations</w:t>
            </w:r>
          </w:p>
        </w:tc>
        <w:tc>
          <w:tcPr>
            <w:tcW w:w="774" w:type="pct"/>
            <w:shd w:val="clear" w:color="auto" w:fill="E6F2FF"/>
            <w:noWrap/>
          </w:tcPr>
          <w:p w14:paraId="1E5BA450" w14:textId="77777777" w:rsidR="000E79F5" w:rsidRPr="00F734D4" w:rsidRDefault="000E79F5" w:rsidP="00C03DF9">
            <w:pPr>
              <w:pStyle w:val="TableColumnHeadingLeft"/>
            </w:pPr>
            <w:r w:rsidRPr="00F734D4">
              <w:t>Status</w:t>
            </w:r>
          </w:p>
        </w:tc>
      </w:tr>
      <w:tr w:rsidR="000E79F5" w:rsidRPr="00F734D4" w14:paraId="10E2D657" w14:textId="77777777" w:rsidTr="00C03DF9">
        <w:trPr>
          <w:trHeight w:val="228"/>
        </w:trPr>
        <w:tc>
          <w:tcPr>
            <w:tcW w:w="4226" w:type="pct"/>
            <w:shd w:val="clear" w:color="auto" w:fill="E6F2FF"/>
            <w:noWrap/>
          </w:tcPr>
          <w:p w14:paraId="793DFCE9" w14:textId="77777777" w:rsidR="000E79F5" w:rsidRPr="00F734D4" w:rsidRDefault="000E79F5" w:rsidP="00C03DF9">
            <w:pPr>
              <w:pStyle w:val="TableColumnHeadingLeft"/>
              <w:rPr>
                <w:rFonts w:eastAsia="Arial"/>
              </w:rPr>
            </w:pPr>
            <w:r w:rsidRPr="00F734D4">
              <w:rPr>
                <w:rFonts w:eastAsia="Arial"/>
              </w:rPr>
              <w:t>Fiscal Risk</w:t>
            </w:r>
          </w:p>
        </w:tc>
        <w:tc>
          <w:tcPr>
            <w:tcW w:w="774" w:type="pct"/>
            <w:shd w:val="clear" w:color="auto" w:fill="E6F2FF"/>
            <w:noWrap/>
          </w:tcPr>
          <w:p w14:paraId="5A1C75DF" w14:textId="77777777" w:rsidR="000E79F5" w:rsidRPr="00F734D4" w:rsidRDefault="000E79F5" w:rsidP="00C03DF9">
            <w:pPr>
              <w:pStyle w:val="TableColumnHeadingRight"/>
              <w:rPr>
                <w:rFonts w:eastAsia="Arial"/>
              </w:rPr>
            </w:pPr>
          </w:p>
        </w:tc>
      </w:tr>
      <w:tr w:rsidR="000E79F5" w:rsidRPr="00F734D4" w14:paraId="75705577" w14:textId="77777777" w:rsidTr="00C03DF9">
        <w:trPr>
          <w:trHeight w:val="228"/>
        </w:trPr>
        <w:tc>
          <w:tcPr>
            <w:tcW w:w="4226" w:type="pct"/>
            <w:noWrap/>
          </w:tcPr>
          <w:p w14:paraId="6945716A" w14:textId="229697DC" w:rsidR="000E79F5" w:rsidRPr="00F734D4" w:rsidRDefault="000E79F5" w:rsidP="00C03DF9">
            <w:pPr>
              <w:pStyle w:val="TableTextLeft-Indent"/>
              <w:spacing w:before="0" w:after="0"/>
              <w:rPr>
                <w:b/>
              </w:rPr>
            </w:pPr>
            <w:r w:rsidRPr="00F734D4">
              <w:t>Recovery of inappropriately claimed VET FEE</w:t>
            </w:r>
            <w:r w:rsidR="00B63FC6">
              <w:noBreakHyphen/>
            </w:r>
            <w:r w:rsidRPr="00F734D4">
              <w:t>HELP payments from VET providers</w:t>
            </w:r>
          </w:p>
        </w:tc>
        <w:tc>
          <w:tcPr>
            <w:tcW w:w="774" w:type="pct"/>
            <w:noWrap/>
          </w:tcPr>
          <w:p w14:paraId="281CD6FC" w14:textId="77777777" w:rsidR="000E79F5" w:rsidRPr="00F734D4" w:rsidRDefault="000E79F5" w:rsidP="00C03DF9">
            <w:pPr>
              <w:pStyle w:val="TableTextLeft"/>
              <w:rPr>
                <w:rFonts w:eastAsia="Arial"/>
              </w:rPr>
            </w:pPr>
            <w:r w:rsidRPr="00F734D4">
              <w:rPr>
                <w:rFonts w:eastAsia="Arial"/>
              </w:rPr>
              <w:t>Unchanged</w:t>
            </w:r>
          </w:p>
        </w:tc>
      </w:tr>
      <w:tr w:rsidR="000E79F5" w:rsidRPr="00F734D4" w14:paraId="5AD37C76" w14:textId="77777777" w:rsidTr="00C03DF9">
        <w:trPr>
          <w:trHeight w:val="228"/>
        </w:trPr>
        <w:tc>
          <w:tcPr>
            <w:tcW w:w="4226" w:type="pct"/>
            <w:shd w:val="clear" w:color="auto" w:fill="E6F2FF"/>
            <w:noWrap/>
          </w:tcPr>
          <w:p w14:paraId="718BA0DA" w14:textId="77777777" w:rsidR="000E79F5" w:rsidRPr="00F734D4" w:rsidRDefault="000E79F5" w:rsidP="00C03DF9">
            <w:pPr>
              <w:pStyle w:val="TableColumnHeadingLeft"/>
              <w:rPr>
                <w:rFonts w:eastAsia="Arial"/>
              </w:rPr>
            </w:pPr>
            <w:r w:rsidRPr="00F734D4">
              <w:rPr>
                <w:rFonts w:eastAsia="Arial"/>
              </w:rPr>
              <w:t>Contingent liabilities – quantifiable</w:t>
            </w:r>
          </w:p>
        </w:tc>
        <w:tc>
          <w:tcPr>
            <w:tcW w:w="774" w:type="pct"/>
            <w:shd w:val="clear" w:color="auto" w:fill="E6F2FF"/>
            <w:noWrap/>
          </w:tcPr>
          <w:p w14:paraId="14A6B752" w14:textId="77777777" w:rsidR="000E79F5" w:rsidRPr="00F734D4" w:rsidRDefault="000E79F5" w:rsidP="00C03DF9">
            <w:pPr>
              <w:pStyle w:val="TableTextLeft"/>
              <w:rPr>
                <w:rFonts w:eastAsia="Arial"/>
              </w:rPr>
            </w:pPr>
          </w:p>
        </w:tc>
      </w:tr>
      <w:tr w:rsidR="000E79F5" w:rsidRPr="00F734D4" w14:paraId="5B01405B" w14:textId="77777777" w:rsidTr="00C03DF9">
        <w:trPr>
          <w:trHeight w:val="228"/>
        </w:trPr>
        <w:tc>
          <w:tcPr>
            <w:tcW w:w="4226" w:type="pct"/>
            <w:noWrap/>
          </w:tcPr>
          <w:p w14:paraId="7E5A9321" w14:textId="77777777" w:rsidR="000E79F5" w:rsidRPr="00F734D4" w:rsidRDefault="000E79F5" w:rsidP="00C03DF9">
            <w:pPr>
              <w:pStyle w:val="TableTextLeft-Indent"/>
              <w:spacing w:before="0" w:after="0"/>
            </w:pPr>
            <w:proofErr w:type="spellStart"/>
            <w:r w:rsidRPr="00F734D4">
              <w:t>ParentsNext</w:t>
            </w:r>
            <w:proofErr w:type="spellEnd"/>
            <w:r w:rsidRPr="00F734D4">
              <w:t xml:space="preserve"> program</w:t>
            </w:r>
          </w:p>
        </w:tc>
        <w:tc>
          <w:tcPr>
            <w:tcW w:w="774" w:type="pct"/>
            <w:noWrap/>
          </w:tcPr>
          <w:p w14:paraId="73CB5824" w14:textId="77777777" w:rsidR="000E79F5" w:rsidRPr="00F734D4" w:rsidDel="007D3F25" w:rsidRDefault="000E79F5" w:rsidP="00C03DF9">
            <w:pPr>
              <w:pStyle w:val="TableTextLeft"/>
              <w:rPr>
                <w:rFonts w:eastAsia="Arial"/>
              </w:rPr>
            </w:pPr>
            <w:r w:rsidRPr="00F734D4">
              <w:t>Modified</w:t>
            </w:r>
          </w:p>
        </w:tc>
      </w:tr>
      <w:tr w:rsidR="000E79F5" w:rsidRPr="00F734D4" w14:paraId="65A1C9A1" w14:textId="77777777" w:rsidTr="00C03DF9">
        <w:trPr>
          <w:trHeight w:val="228"/>
        </w:trPr>
        <w:tc>
          <w:tcPr>
            <w:tcW w:w="4226" w:type="pct"/>
            <w:noWrap/>
          </w:tcPr>
          <w:p w14:paraId="5A0ED6D2" w14:textId="77777777" w:rsidR="000E79F5" w:rsidRPr="00F734D4" w:rsidRDefault="000E79F5" w:rsidP="00C03DF9">
            <w:pPr>
              <w:pStyle w:val="TableTextLeft-Indent"/>
              <w:spacing w:before="0" w:after="0"/>
            </w:pPr>
            <w:r>
              <w:rPr>
                <w:rFonts w:cs="Arial"/>
                <w:szCs w:val="16"/>
              </w:rPr>
              <w:t>Workforce Australia – Employment Fund</w:t>
            </w:r>
          </w:p>
        </w:tc>
        <w:tc>
          <w:tcPr>
            <w:tcW w:w="774" w:type="pct"/>
            <w:noWrap/>
          </w:tcPr>
          <w:p w14:paraId="0654287C" w14:textId="77777777" w:rsidR="000E79F5" w:rsidRPr="00F734D4" w:rsidRDefault="000E79F5" w:rsidP="00C03DF9">
            <w:pPr>
              <w:pStyle w:val="TableTextLeft"/>
            </w:pPr>
            <w:r>
              <w:t>Modified</w:t>
            </w:r>
          </w:p>
        </w:tc>
      </w:tr>
      <w:tr w:rsidR="000E79F5" w:rsidRPr="00F734D4" w14:paraId="34442B90" w14:textId="77777777" w:rsidTr="00C03DF9">
        <w:trPr>
          <w:trHeight w:val="228"/>
        </w:trPr>
        <w:tc>
          <w:tcPr>
            <w:tcW w:w="4226" w:type="pct"/>
            <w:shd w:val="clear" w:color="auto" w:fill="E6F2FF"/>
            <w:noWrap/>
          </w:tcPr>
          <w:p w14:paraId="0AC10241" w14:textId="424918EB" w:rsidR="000E79F5" w:rsidRPr="00F734D4" w:rsidRDefault="000E79F5" w:rsidP="00C03DF9">
            <w:pPr>
              <w:pStyle w:val="TableColumnHeadingLeft"/>
            </w:pPr>
            <w:r w:rsidRPr="00F734D4">
              <w:t>Finance</w:t>
            </w:r>
          </w:p>
        </w:tc>
        <w:tc>
          <w:tcPr>
            <w:tcW w:w="774" w:type="pct"/>
            <w:shd w:val="clear" w:color="auto" w:fill="E6F2FF"/>
            <w:noWrap/>
          </w:tcPr>
          <w:p w14:paraId="29802625" w14:textId="77777777" w:rsidR="000E79F5" w:rsidRPr="002E7FF8" w:rsidRDefault="000E79F5" w:rsidP="00C03DF9">
            <w:pPr>
              <w:pStyle w:val="TableColumnHeadingLeft"/>
            </w:pPr>
            <w:r w:rsidRPr="00F734D4">
              <w:t>Status</w:t>
            </w:r>
          </w:p>
        </w:tc>
      </w:tr>
      <w:tr w:rsidR="000E79F5" w:rsidRPr="00F734D4" w14:paraId="7436371E" w14:textId="77777777" w:rsidTr="00C03DF9">
        <w:trPr>
          <w:trHeight w:val="228"/>
        </w:trPr>
        <w:tc>
          <w:tcPr>
            <w:tcW w:w="4226" w:type="pct"/>
            <w:shd w:val="clear" w:color="auto" w:fill="E6F2FF"/>
            <w:noWrap/>
          </w:tcPr>
          <w:p w14:paraId="36481026" w14:textId="77777777" w:rsidR="000E79F5" w:rsidRPr="00F734D4" w:rsidRDefault="000E79F5" w:rsidP="00C03DF9">
            <w:pPr>
              <w:pStyle w:val="TableColumnHeadingLeft"/>
              <w:rPr>
                <w:rFonts w:eastAsia="Arial"/>
              </w:rPr>
            </w:pPr>
            <w:r w:rsidRPr="00F734D4">
              <w:rPr>
                <w:rFonts w:eastAsia="Arial"/>
              </w:rPr>
              <w:t xml:space="preserve">Significant but remote contingency </w:t>
            </w:r>
          </w:p>
        </w:tc>
        <w:tc>
          <w:tcPr>
            <w:tcW w:w="774" w:type="pct"/>
            <w:shd w:val="clear" w:color="auto" w:fill="E6F2FF"/>
            <w:noWrap/>
          </w:tcPr>
          <w:p w14:paraId="05A05DAC" w14:textId="77777777" w:rsidR="000E79F5" w:rsidRPr="00F734D4" w:rsidRDefault="000E79F5" w:rsidP="00C03DF9">
            <w:pPr>
              <w:pStyle w:val="TableTextLeft"/>
            </w:pPr>
          </w:p>
        </w:tc>
      </w:tr>
      <w:tr w:rsidR="000E79F5" w:rsidRPr="00F734D4" w14:paraId="2F353A5E" w14:textId="77777777" w:rsidTr="00C03DF9">
        <w:trPr>
          <w:trHeight w:val="228"/>
        </w:trPr>
        <w:tc>
          <w:tcPr>
            <w:tcW w:w="4226" w:type="pct"/>
            <w:shd w:val="clear" w:color="auto" w:fill="auto"/>
            <w:noWrap/>
          </w:tcPr>
          <w:p w14:paraId="5EED7D79" w14:textId="77777777" w:rsidR="000E79F5" w:rsidRPr="00F734D4" w:rsidRDefault="000E79F5" w:rsidP="00C03DF9">
            <w:pPr>
              <w:pStyle w:val="TableTextLeft-Indent"/>
              <w:spacing w:before="0" w:after="0"/>
            </w:pPr>
            <w:r w:rsidRPr="00F734D4">
              <w:t>Australian Naval Infrastructure Pty Ltd – Termination of the Equity Funding Agreement</w:t>
            </w:r>
          </w:p>
        </w:tc>
        <w:tc>
          <w:tcPr>
            <w:tcW w:w="774" w:type="pct"/>
            <w:shd w:val="clear" w:color="auto" w:fill="auto"/>
            <w:noWrap/>
          </w:tcPr>
          <w:p w14:paraId="57F3634C" w14:textId="77777777" w:rsidR="000E79F5" w:rsidRPr="00F734D4" w:rsidRDefault="000E79F5" w:rsidP="00C03DF9">
            <w:pPr>
              <w:pStyle w:val="TableTextLeft"/>
            </w:pPr>
            <w:r w:rsidRPr="00F734D4">
              <w:rPr>
                <w:rFonts w:eastAsia="Arial" w:cs="Arial"/>
              </w:rPr>
              <w:t>Unchanged</w:t>
            </w:r>
          </w:p>
        </w:tc>
      </w:tr>
      <w:tr w:rsidR="000E79F5" w:rsidRPr="00F734D4" w14:paraId="7686D9DD" w14:textId="77777777" w:rsidTr="00C03DF9">
        <w:trPr>
          <w:trHeight w:val="228"/>
        </w:trPr>
        <w:tc>
          <w:tcPr>
            <w:tcW w:w="4226" w:type="pct"/>
            <w:shd w:val="clear" w:color="auto" w:fill="E6F2FF"/>
            <w:noWrap/>
          </w:tcPr>
          <w:p w14:paraId="280D073C" w14:textId="77777777" w:rsidR="000E79F5" w:rsidRPr="00F734D4" w:rsidRDefault="000E79F5" w:rsidP="00C03DF9">
            <w:pPr>
              <w:pStyle w:val="TableColumnHeadingLeft"/>
            </w:pPr>
            <w:r w:rsidRPr="00F734D4">
              <w:rPr>
                <w:rFonts w:eastAsia="Arial"/>
              </w:rPr>
              <w:t>Contingent liabilities – unquantifiable</w:t>
            </w:r>
          </w:p>
        </w:tc>
        <w:tc>
          <w:tcPr>
            <w:tcW w:w="774" w:type="pct"/>
            <w:shd w:val="clear" w:color="auto" w:fill="E6F2FF"/>
            <w:noWrap/>
          </w:tcPr>
          <w:p w14:paraId="16DB4F88" w14:textId="77777777" w:rsidR="000E79F5" w:rsidRPr="00F734D4" w:rsidRDefault="000E79F5" w:rsidP="00C03DF9">
            <w:pPr>
              <w:pStyle w:val="TableTextLeft"/>
            </w:pPr>
          </w:p>
        </w:tc>
      </w:tr>
      <w:tr w:rsidR="000E79F5" w:rsidRPr="00F734D4" w14:paraId="61CEA36B" w14:textId="77777777" w:rsidTr="00C03DF9">
        <w:trPr>
          <w:trHeight w:val="228"/>
        </w:trPr>
        <w:tc>
          <w:tcPr>
            <w:tcW w:w="4226" w:type="pct"/>
            <w:shd w:val="clear" w:color="auto" w:fill="auto"/>
            <w:noWrap/>
          </w:tcPr>
          <w:p w14:paraId="2E60DBBD" w14:textId="455748B4" w:rsidR="000E79F5" w:rsidRPr="00F734D4" w:rsidRDefault="000E79F5" w:rsidP="00C03DF9">
            <w:pPr>
              <w:pStyle w:val="TableTextLeft-Indent"/>
              <w:spacing w:before="0" w:after="0"/>
            </w:pPr>
            <w:r w:rsidRPr="00F734D4">
              <w:t>ASC Pty Ltd – Directors</w:t>
            </w:r>
            <w:r w:rsidR="00B63FC6">
              <w:t>’</w:t>
            </w:r>
            <w:r w:rsidRPr="00F734D4">
              <w:t xml:space="preserve"> and Executives</w:t>
            </w:r>
            <w:r w:rsidR="00B63FC6">
              <w:t>’</w:t>
            </w:r>
            <w:r w:rsidRPr="00F734D4">
              <w:t xml:space="preserve"> indemnities</w:t>
            </w:r>
          </w:p>
        </w:tc>
        <w:tc>
          <w:tcPr>
            <w:tcW w:w="774" w:type="pct"/>
            <w:shd w:val="clear" w:color="auto" w:fill="auto"/>
            <w:noWrap/>
          </w:tcPr>
          <w:p w14:paraId="54DA9D3A" w14:textId="77777777" w:rsidR="000E79F5" w:rsidRPr="00F734D4" w:rsidRDefault="000E79F5" w:rsidP="00C03DF9">
            <w:pPr>
              <w:pStyle w:val="TableTextLeft"/>
              <w:rPr>
                <w:rFonts w:eastAsia="Arial" w:cs="Arial"/>
              </w:rPr>
            </w:pPr>
            <w:r w:rsidRPr="00F734D4">
              <w:t>Unchanged</w:t>
            </w:r>
          </w:p>
        </w:tc>
      </w:tr>
      <w:tr w:rsidR="000E79F5" w:rsidRPr="00F734D4" w14:paraId="22840120" w14:textId="77777777" w:rsidTr="00C03DF9">
        <w:trPr>
          <w:trHeight w:val="228"/>
        </w:trPr>
        <w:tc>
          <w:tcPr>
            <w:tcW w:w="4226" w:type="pct"/>
            <w:shd w:val="clear" w:color="auto" w:fill="auto"/>
            <w:noWrap/>
          </w:tcPr>
          <w:p w14:paraId="4F60288C" w14:textId="77777777" w:rsidR="000E79F5" w:rsidRPr="00F734D4" w:rsidRDefault="000E79F5" w:rsidP="00C03DF9">
            <w:pPr>
              <w:pStyle w:val="TableTextLeft-Indent"/>
              <w:spacing w:before="0" w:after="0"/>
            </w:pPr>
            <w:r w:rsidRPr="00F734D4">
              <w:t>ASC Pty Ltd – Guarantee of Indemnity from ASC in favour of ASC Shipbuilding Pty</w:t>
            </w:r>
            <w:r>
              <w:t> </w:t>
            </w:r>
            <w:r w:rsidRPr="00F734D4">
              <w:t>Limited</w:t>
            </w:r>
          </w:p>
        </w:tc>
        <w:tc>
          <w:tcPr>
            <w:tcW w:w="774" w:type="pct"/>
            <w:shd w:val="clear" w:color="auto" w:fill="auto"/>
            <w:noWrap/>
          </w:tcPr>
          <w:p w14:paraId="3700532F" w14:textId="77777777" w:rsidR="000E79F5" w:rsidRPr="00F734D4" w:rsidRDefault="000E79F5" w:rsidP="00C03DF9">
            <w:pPr>
              <w:pStyle w:val="TableTextLeft"/>
              <w:rPr>
                <w:rFonts w:eastAsia="Arial" w:cs="Arial"/>
              </w:rPr>
            </w:pPr>
            <w:r w:rsidRPr="00F734D4">
              <w:t>Unchanged</w:t>
            </w:r>
          </w:p>
        </w:tc>
      </w:tr>
      <w:tr w:rsidR="000E79F5" w:rsidRPr="00F734D4" w14:paraId="1B0129FA" w14:textId="77777777" w:rsidTr="00C03DF9">
        <w:trPr>
          <w:trHeight w:val="228"/>
        </w:trPr>
        <w:tc>
          <w:tcPr>
            <w:tcW w:w="4226" w:type="pct"/>
            <w:shd w:val="clear" w:color="auto" w:fill="auto"/>
            <w:noWrap/>
          </w:tcPr>
          <w:p w14:paraId="3D2BF44E" w14:textId="77777777" w:rsidR="000E79F5" w:rsidRPr="00F734D4" w:rsidRDefault="000E79F5" w:rsidP="00C03DF9">
            <w:pPr>
              <w:pStyle w:val="TableTextLeft-Indent"/>
              <w:spacing w:before="0" w:after="0"/>
            </w:pPr>
            <w:r w:rsidRPr="00F734D4">
              <w:t xml:space="preserve">Australian Government general insurance fund – </w:t>
            </w:r>
            <w:proofErr w:type="spellStart"/>
            <w:r w:rsidRPr="00F734D4">
              <w:t>Comcover</w:t>
            </w:r>
            <w:proofErr w:type="spellEnd"/>
          </w:p>
        </w:tc>
        <w:tc>
          <w:tcPr>
            <w:tcW w:w="774" w:type="pct"/>
            <w:shd w:val="clear" w:color="auto" w:fill="auto"/>
            <w:noWrap/>
          </w:tcPr>
          <w:p w14:paraId="5A481958" w14:textId="77777777" w:rsidR="000E79F5" w:rsidRPr="00F734D4" w:rsidRDefault="000E79F5" w:rsidP="00C03DF9">
            <w:pPr>
              <w:pStyle w:val="TableTextLeft"/>
              <w:rPr>
                <w:rFonts w:eastAsia="Arial" w:cs="Arial"/>
              </w:rPr>
            </w:pPr>
            <w:r w:rsidRPr="00F734D4">
              <w:t>Unchanged</w:t>
            </w:r>
          </w:p>
        </w:tc>
      </w:tr>
      <w:tr w:rsidR="000E79F5" w:rsidRPr="00F734D4" w14:paraId="414C3BDB" w14:textId="77777777" w:rsidTr="00C03DF9">
        <w:trPr>
          <w:trHeight w:val="228"/>
        </w:trPr>
        <w:tc>
          <w:tcPr>
            <w:tcW w:w="4226" w:type="pct"/>
            <w:shd w:val="clear" w:color="auto" w:fill="auto"/>
            <w:noWrap/>
          </w:tcPr>
          <w:p w14:paraId="16B4099B" w14:textId="77777777" w:rsidR="000E79F5" w:rsidRPr="00F734D4" w:rsidRDefault="000E79F5" w:rsidP="00C03DF9">
            <w:pPr>
              <w:pStyle w:val="TableTextLeft-Indent"/>
              <w:spacing w:after="0"/>
            </w:pPr>
            <w:r w:rsidRPr="00F734D4">
              <w:t>Commonwealth Superannuation Corporation – immunity and indemnity</w:t>
            </w:r>
          </w:p>
        </w:tc>
        <w:tc>
          <w:tcPr>
            <w:tcW w:w="774" w:type="pct"/>
            <w:shd w:val="clear" w:color="auto" w:fill="auto"/>
            <w:noWrap/>
          </w:tcPr>
          <w:p w14:paraId="13E1321D" w14:textId="77777777" w:rsidR="000E79F5" w:rsidRPr="00F734D4" w:rsidRDefault="000E79F5" w:rsidP="00C03DF9">
            <w:pPr>
              <w:pStyle w:val="TableTextLeft"/>
              <w:rPr>
                <w:rFonts w:eastAsia="Arial" w:cs="Arial"/>
              </w:rPr>
            </w:pPr>
            <w:r w:rsidRPr="00F734D4">
              <w:rPr>
                <w:rFonts w:eastAsia="Arial" w:cs="Arial"/>
              </w:rPr>
              <w:t>Unchanged</w:t>
            </w:r>
          </w:p>
        </w:tc>
      </w:tr>
      <w:tr w:rsidR="000E79F5" w:rsidRPr="00F734D4" w14:paraId="50961179" w14:textId="77777777" w:rsidTr="00C03DF9">
        <w:trPr>
          <w:trHeight w:val="228"/>
        </w:trPr>
        <w:tc>
          <w:tcPr>
            <w:tcW w:w="4226" w:type="pct"/>
            <w:shd w:val="clear" w:color="auto" w:fill="auto"/>
            <w:noWrap/>
          </w:tcPr>
          <w:p w14:paraId="24A118AD" w14:textId="77777777" w:rsidR="000E79F5" w:rsidRPr="00F734D4" w:rsidRDefault="000E79F5" w:rsidP="00C03DF9">
            <w:pPr>
              <w:pStyle w:val="TableTextLeft-Indent"/>
              <w:spacing w:after="0"/>
            </w:pPr>
            <w:r w:rsidRPr="00F734D4">
              <w:t xml:space="preserve">Finance owned estate </w:t>
            </w:r>
          </w:p>
        </w:tc>
        <w:tc>
          <w:tcPr>
            <w:tcW w:w="774" w:type="pct"/>
            <w:shd w:val="clear" w:color="auto" w:fill="auto"/>
            <w:noWrap/>
          </w:tcPr>
          <w:p w14:paraId="533C6FB3" w14:textId="77777777" w:rsidR="000E79F5" w:rsidRPr="00F734D4" w:rsidRDefault="000E79F5" w:rsidP="00C03DF9">
            <w:pPr>
              <w:pStyle w:val="TableTextLeft"/>
              <w:rPr>
                <w:rFonts w:eastAsia="Arial" w:cs="Arial"/>
              </w:rPr>
            </w:pPr>
            <w:r>
              <w:rPr>
                <w:rFonts w:eastAsia="Arial" w:cs="Arial"/>
              </w:rPr>
              <w:t>Unchanged</w:t>
            </w:r>
          </w:p>
        </w:tc>
      </w:tr>
      <w:tr w:rsidR="000E79F5" w:rsidRPr="00F734D4" w14:paraId="6C084A95" w14:textId="77777777" w:rsidTr="00C03DF9">
        <w:trPr>
          <w:trHeight w:val="228"/>
        </w:trPr>
        <w:tc>
          <w:tcPr>
            <w:tcW w:w="4226" w:type="pct"/>
            <w:shd w:val="clear" w:color="auto" w:fill="auto"/>
            <w:noWrap/>
          </w:tcPr>
          <w:p w14:paraId="28293AEE" w14:textId="77777777" w:rsidR="000E79F5" w:rsidRPr="00F734D4" w:rsidRDefault="000E79F5" w:rsidP="00C03DF9">
            <w:pPr>
              <w:pStyle w:val="TableTextLeft-Indent"/>
              <w:spacing w:after="0"/>
            </w:pPr>
            <w:r w:rsidRPr="00F734D4">
              <w:t>Future Fund Management Agency and Future Fund Board of Guardians – indemnity</w:t>
            </w:r>
          </w:p>
        </w:tc>
        <w:tc>
          <w:tcPr>
            <w:tcW w:w="774" w:type="pct"/>
            <w:shd w:val="clear" w:color="auto" w:fill="auto"/>
            <w:noWrap/>
          </w:tcPr>
          <w:p w14:paraId="50C68C7C" w14:textId="77777777" w:rsidR="000E79F5" w:rsidRPr="00F734D4" w:rsidRDefault="000E79F5" w:rsidP="00C03DF9">
            <w:pPr>
              <w:pStyle w:val="TableTextLeft"/>
              <w:rPr>
                <w:rFonts w:eastAsia="Arial" w:cs="Arial"/>
              </w:rPr>
            </w:pPr>
            <w:r>
              <w:t>Unchanged</w:t>
            </w:r>
          </w:p>
        </w:tc>
      </w:tr>
      <w:tr w:rsidR="000E79F5" w:rsidRPr="00F734D4" w14:paraId="3CC588F7" w14:textId="77777777" w:rsidTr="00C03DF9">
        <w:trPr>
          <w:trHeight w:val="228"/>
        </w:trPr>
        <w:tc>
          <w:tcPr>
            <w:tcW w:w="4226" w:type="pct"/>
            <w:shd w:val="clear" w:color="auto" w:fill="auto"/>
            <w:noWrap/>
          </w:tcPr>
          <w:p w14:paraId="152238A8" w14:textId="77777777" w:rsidR="000E79F5" w:rsidRPr="00F734D4" w:rsidRDefault="000E79F5" w:rsidP="00C03DF9">
            <w:pPr>
              <w:pStyle w:val="TableTextLeft-Indent"/>
              <w:spacing w:after="0"/>
            </w:pPr>
            <w:proofErr w:type="spellStart"/>
            <w:r w:rsidRPr="00F734D4">
              <w:t>Googong</w:t>
            </w:r>
            <w:proofErr w:type="spellEnd"/>
            <w:r w:rsidRPr="00F734D4">
              <w:t xml:space="preserve"> Dam</w:t>
            </w:r>
          </w:p>
        </w:tc>
        <w:tc>
          <w:tcPr>
            <w:tcW w:w="774" w:type="pct"/>
            <w:shd w:val="clear" w:color="auto" w:fill="auto"/>
            <w:noWrap/>
          </w:tcPr>
          <w:p w14:paraId="5CE448B1" w14:textId="77777777" w:rsidR="000E79F5" w:rsidRPr="00F734D4" w:rsidRDefault="000E79F5" w:rsidP="00C03DF9">
            <w:pPr>
              <w:pStyle w:val="TableTextLeft"/>
              <w:rPr>
                <w:rFonts w:eastAsia="Arial" w:cs="Arial"/>
              </w:rPr>
            </w:pPr>
            <w:r w:rsidRPr="00F734D4">
              <w:t>Unchanged</w:t>
            </w:r>
          </w:p>
        </w:tc>
      </w:tr>
      <w:tr w:rsidR="000E79F5" w:rsidRPr="00F734D4" w14:paraId="62587688" w14:textId="77777777" w:rsidTr="00C03DF9">
        <w:trPr>
          <w:trHeight w:val="228"/>
        </w:trPr>
        <w:tc>
          <w:tcPr>
            <w:tcW w:w="4226" w:type="pct"/>
            <w:shd w:val="clear" w:color="auto" w:fill="auto"/>
            <w:noWrap/>
          </w:tcPr>
          <w:p w14:paraId="01243D55" w14:textId="77777777" w:rsidR="000E79F5" w:rsidRPr="00F734D4" w:rsidRDefault="000E79F5" w:rsidP="00C03DF9">
            <w:pPr>
              <w:pStyle w:val="TableTextLeft-Indent"/>
              <w:spacing w:after="0"/>
            </w:pPr>
            <w:r w:rsidRPr="00F734D4">
              <w:t>Indemnities for the Reserve Bank of Australia and private sector banks</w:t>
            </w:r>
          </w:p>
        </w:tc>
        <w:tc>
          <w:tcPr>
            <w:tcW w:w="774" w:type="pct"/>
            <w:shd w:val="clear" w:color="auto" w:fill="auto"/>
            <w:noWrap/>
          </w:tcPr>
          <w:p w14:paraId="665191EF" w14:textId="77777777" w:rsidR="000E79F5" w:rsidRPr="00F734D4" w:rsidRDefault="000E79F5" w:rsidP="00C03DF9">
            <w:pPr>
              <w:pStyle w:val="TableTextLeft"/>
              <w:rPr>
                <w:rFonts w:eastAsia="Arial" w:cs="Arial"/>
              </w:rPr>
            </w:pPr>
            <w:r w:rsidRPr="00F734D4">
              <w:rPr>
                <w:rFonts w:eastAsia="Arial" w:cs="Arial"/>
              </w:rPr>
              <w:t>Unchanged</w:t>
            </w:r>
          </w:p>
        </w:tc>
      </w:tr>
      <w:tr w:rsidR="000E79F5" w:rsidRPr="00F734D4" w14:paraId="36681EE2" w14:textId="77777777" w:rsidTr="00C03DF9">
        <w:trPr>
          <w:trHeight w:val="228"/>
        </w:trPr>
        <w:tc>
          <w:tcPr>
            <w:tcW w:w="4226" w:type="pct"/>
            <w:shd w:val="clear" w:color="auto" w:fill="auto"/>
            <w:noWrap/>
          </w:tcPr>
          <w:p w14:paraId="76C83C9C" w14:textId="77777777" w:rsidR="000E79F5" w:rsidRPr="00F734D4" w:rsidRDefault="000E79F5" w:rsidP="00C03DF9">
            <w:pPr>
              <w:pStyle w:val="TableTextLeft-Indent"/>
              <w:spacing w:after="0" w:line="276" w:lineRule="auto"/>
            </w:pPr>
            <w:r w:rsidRPr="00F734D4">
              <w:t xml:space="preserve">Indemnities relating to other former asset sales, </w:t>
            </w:r>
            <w:proofErr w:type="gramStart"/>
            <w:r w:rsidRPr="00F734D4">
              <w:t>privatisations</w:t>
            </w:r>
            <w:proofErr w:type="gramEnd"/>
            <w:r w:rsidRPr="00F734D4">
              <w:t xml:space="preserve"> and information technology outsourcing projects</w:t>
            </w:r>
          </w:p>
        </w:tc>
        <w:tc>
          <w:tcPr>
            <w:tcW w:w="774" w:type="pct"/>
            <w:shd w:val="clear" w:color="auto" w:fill="auto"/>
            <w:noWrap/>
          </w:tcPr>
          <w:p w14:paraId="7ACA1A83" w14:textId="77777777" w:rsidR="000E79F5" w:rsidRPr="00F734D4" w:rsidRDefault="000E79F5" w:rsidP="00C03DF9">
            <w:pPr>
              <w:pStyle w:val="TableTextLeft"/>
              <w:rPr>
                <w:rFonts w:eastAsia="Arial" w:cs="Arial"/>
              </w:rPr>
            </w:pPr>
            <w:r>
              <w:rPr>
                <w:rFonts w:eastAsia="Arial" w:cs="Arial"/>
              </w:rPr>
              <w:t>Unchanged</w:t>
            </w:r>
          </w:p>
        </w:tc>
      </w:tr>
      <w:tr w:rsidR="000E79F5" w:rsidRPr="00F734D4" w14:paraId="6061FE77" w14:textId="77777777" w:rsidTr="00C03DF9">
        <w:trPr>
          <w:trHeight w:val="228"/>
        </w:trPr>
        <w:tc>
          <w:tcPr>
            <w:tcW w:w="4226" w:type="pct"/>
            <w:shd w:val="clear" w:color="auto" w:fill="E6F2FF"/>
            <w:noWrap/>
          </w:tcPr>
          <w:p w14:paraId="5375915A" w14:textId="77777777" w:rsidR="000E79F5" w:rsidRPr="00F734D4" w:rsidRDefault="000E79F5" w:rsidP="00C03DF9">
            <w:pPr>
              <w:pStyle w:val="TableColumnHeadingLeft"/>
            </w:pPr>
            <w:r w:rsidRPr="00F734D4">
              <w:t>Foreign Affairs and Trade</w:t>
            </w:r>
          </w:p>
        </w:tc>
        <w:tc>
          <w:tcPr>
            <w:tcW w:w="774" w:type="pct"/>
            <w:shd w:val="clear" w:color="auto" w:fill="E6F2FF"/>
            <w:noWrap/>
          </w:tcPr>
          <w:p w14:paraId="60560DF3" w14:textId="77777777" w:rsidR="000E79F5" w:rsidRPr="00F734D4" w:rsidRDefault="000E79F5" w:rsidP="00C03DF9">
            <w:pPr>
              <w:pStyle w:val="TableColumnHeadingLeft"/>
            </w:pPr>
            <w:r w:rsidRPr="00F734D4">
              <w:t>Status</w:t>
            </w:r>
          </w:p>
        </w:tc>
      </w:tr>
      <w:tr w:rsidR="000E79F5" w:rsidRPr="00F734D4" w14:paraId="08EE40D7" w14:textId="77777777" w:rsidTr="00C03DF9">
        <w:trPr>
          <w:trHeight w:val="228"/>
        </w:trPr>
        <w:tc>
          <w:tcPr>
            <w:tcW w:w="4226" w:type="pct"/>
            <w:shd w:val="clear" w:color="auto" w:fill="E6F2FF"/>
            <w:noWrap/>
          </w:tcPr>
          <w:p w14:paraId="2A6BF73E" w14:textId="77777777" w:rsidR="000E79F5" w:rsidRPr="00F734D4" w:rsidRDefault="000E79F5" w:rsidP="00C03DF9">
            <w:pPr>
              <w:pStyle w:val="TableColumnHeadingLeft"/>
            </w:pPr>
            <w:r w:rsidRPr="00F734D4">
              <w:rPr>
                <w:rFonts w:eastAsia="Arial"/>
              </w:rPr>
              <w:t>Fiscal Risk</w:t>
            </w:r>
          </w:p>
        </w:tc>
        <w:tc>
          <w:tcPr>
            <w:tcW w:w="774" w:type="pct"/>
            <w:shd w:val="clear" w:color="auto" w:fill="E6F2FF"/>
            <w:noWrap/>
          </w:tcPr>
          <w:p w14:paraId="0AF8E177" w14:textId="77777777" w:rsidR="000E79F5" w:rsidRPr="00F734D4" w:rsidRDefault="000E79F5" w:rsidP="00C03DF9">
            <w:pPr>
              <w:pStyle w:val="TableColumnHeadingRight"/>
            </w:pPr>
          </w:p>
        </w:tc>
      </w:tr>
      <w:tr w:rsidR="000E79F5" w:rsidRPr="00F734D4" w14:paraId="4318A2F5" w14:textId="77777777" w:rsidTr="00C03DF9">
        <w:trPr>
          <w:trHeight w:val="228"/>
        </w:trPr>
        <w:tc>
          <w:tcPr>
            <w:tcW w:w="4226" w:type="pct"/>
            <w:shd w:val="clear" w:color="auto" w:fill="auto"/>
            <w:noWrap/>
          </w:tcPr>
          <w:p w14:paraId="373A2AD5" w14:textId="77777777" w:rsidR="000E79F5" w:rsidRPr="00F734D4" w:rsidRDefault="000E79F5" w:rsidP="00C03DF9">
            <w:pPr>
              <w:pStyle w:val="TableTextLeft-Indent"/>
              <w:spacing w:after="0"/>
            </w:pPr>
            <w:r w:rsidRPr="00F734D4">
              <w:t>Export Finance Australia – National Interest Account</w:t>
            </w:r>
          </w:p>
        </w:tc>
        <w:tc>
          <w:tcPr>
            <w:tcW w:w="774" w:type="pct"/>
            <w:shd w:val="clear" w:color="auto" w:fill="auto"/>
            <w:noWrap/>
          </w:tcPr>
          <w:p w14:paraId="4D8A0618" w14:textId="77777777" w:rsidR="000E79F5" w:rsidRPr="00F734D4" w:rsidRDefault="000E79F5" w:rsidP="00C03DF9">
            <w:pPr>
              <w:pStyle w:val="TableTextLeft"/>
            </w:pPr>
            <w:r w:rsidRPr="00F734D4">
              <w:t>Modified</w:t>
            </w:r>
          </w:p>
        </w:tc>
      </w:tr>
      <w:tr w:rsidR="000E79F5" w:rsidRPr="00F734D4" w14:paraId="567F1CE1" w14:textId="77777777" w:rsidTr="00C03DF9">
        <w:trPr>
          <w:trHeight w:val="228"/>
        </w:trPr>
        <w:tc>
          <w:tcPr>
            <w:tcW w:w="4226" w:type="pct"/>
            <w:shd w:val="clear" w:color="auto" w:fill="E6F2FF"/>
            <w:noWrap/>
          </w:tcPr>
          <w:p w14:paraId="23305B7C" w14:textId="1A1D1439" w:rsidR="000E79F5" w:rsidRPr="00F734D4" w:rsidRDefault="000E79F5" w:rsidP="00C03DF9">
            <w:pPr>
              <w:pStyle w:val="TableColumnHeadingLeft"/>
              <w:rPr>
                <w:rFonts w:eastAsia="Calibri"/>
              </w:rPr>
            </w:pPr>
            <w:r w:rsidRPr="00994527">
              <w:rPr>
                <w:rFonts w:eastAsia="Arial"/>
              </w:rPr>
              <w:t>Contingent liabilit</w:t>
            </w:r>
            <w:r w:rsidR="00994527" w:rsidRPr="00994527">
              <w:rPr>
                <w:rFonts w:eastAsia="Arial"/>
              </w:rPr>
              <w:t>ies</w:t>
            </w:r>
            <w:r w:rsidRPr="00F734D4">
              <w:rPr>
                <w:rFonts w:eastAsia="Arial"/>
              </w:rPr>
              <w:t xml:space="preserve"> – quantifiable</w:t>
            </w:r>
          </w:p>
        </w:tc>
        <w:tc>
          <w:tcPr>
            <w:tcW w:w="774" w:type="pct"/>
            <w:shd w:val="clear" w:color="auto" w:fill="E6F2FF"/>
            <w:noWrap/>
          </w:tcPr>
          <w:p w14:paraId="11326CA8" w14:textId="77777777" w:rsidR="000E79F5" w:rsidRPr="00F734D4" w:rsidRDefault="000E79F5" w:rsidP="00C03DF9">
            <w:pPr>
              <w:pStyle w:val="TableTextLeft"/>
            </w:pPr>
          </w:p>
        </w:tc>
      </w:tr>
      <w:tr w:rsidR="000E79F5" w:rsidRPr="00F734D4" w14:paraId="7C91EB26" w14:textId="77777777" w:rsidTr="00C03DF9">
        <w:trPr>
          <w:trHeight w:val="228"/>
        </w:trPr>
        <w:tc>
          <w:tcPr>
            <w:tcW w:w="4226" w:type="pct"/>
            <w:shd w:val="clear" w:color="auto" w:fill="auto"/>
            <w:noWrap/>
          </w:tcPr>
          <w:p w14:paraId="6583D840" w14:textId="77777777" w:rsidR="000E79F5" w:rsidRPr="00F734D4" w:rsidRDefault="000E79F5" w:rsidP="00C03DF9">
            <w:pPr>
              <w:pStyle w:val="TableTextLeft-Indent"/>
              <w:spacing w:after="0"/>
            </w:pPr>
            <w:r w:rsidRPr="00F734D4">
              <w:t>Export Finance Australia</w:t>
            </w:r>
          </w:p>
        </w:tc>
        <w:tc>
          <w:tcPr>
            <w:tcW w:w="774" w:type="pct"/>
            <w:shd w:val="clear" w:color="auto" w:fill="auto"/>
            <w:noWrap/>
          </w:tcPr>
          <w:p w14:paraId="0E0BFA67" w14:textId="01F95D3A" w:rsidR="000E79F5" w:rsidRPr="00F734D4" w:rsidRDefault="00E72B05" w:rsidP="00C03DF9">
            <w:pPr>
              <w:pStyle w:val="TableTextLeft"/>
            </w:pPr>
            <w:r>
              <w:t>Unchanged</w:t>
            </w:r>
          </w:p>
        </w:tc>
      </w:tr>
      <w:tr w:rsidR="00E72B05" w:rsidRPr="00F734D4" w14:paraId="783EF847" w14:textId="77777777" w:rsidTr="00C03DF9">
        <w:trPr>
          <w:trHeight w:val="228"/>
        </w:trPr>
        <w:tc>
          <w:tcPr>
            <w:tcW w:w="4226" w:type="pct"/>
            <w:shd w:val="clear" w:color="auto" w:fill="auto"/>
            <w:noWrap/>
          </w:tcPr>
          <w:p w14:paraId="156E35C5" w14:textId="22EE0C0E" w:rsidR="00E72B05" w:rsidRPr="00F506C3" w:rsidRDefault="00E72B05" w:rsidP="00C03DF9">
            <w:pPr>
              <w:pStyle w:val="TableTextLeft-Indent"/>
              <w:spacing w:after="0"/>
            </w:pPr>
            <w:r w:rsidRPr="00F506C3">
              <w:t>Papua New Guinea Rugby League Franchise</w:t>
            </w:r>
          </w:p>
        </w:tc>
        <w:tc>
          <w:tcPr>
            <w:tcW w:w="774" w:type="pct"/>
            <w:shd w:val="clear" w:color="auto" w:fill="auto"/>
            <w:noWrap/>
          </w:tcPr>
          <w:p w14:paraId="40117193" w14:textId="6DBCCB5D" w:rsidR="00E72B05" w:rsidRPr="00F506C3" w:rsidDel="00E72B05" w:rsidRDefault="00E72B05" w:rsidP="00C03DF9">
            <w:pPr>
              <w:pStyle w:val="TableTextLeft"/>
            </w:pPr>
            <w:r w:rsidRPr="00F506C3">
              <w:t>New</w:t>
            </w:r>
          </w:p>
        </w:tc>
      </w:tr>
      <w:tr w:rsidR="000E79F5" w:rsidRPr="00F734D4" w14:paraId="345831B7" w14:textId="77777777" w:rsidTr="00C03DF9">
        <w:trPr>
          <w:trHeight w:val="228"/>
        </w:trPr>
        <w:tc>
          <w:tcPr>
            <w:tcW w:w="4226" w:type="pct"/>
            <w:shd w:val="clear" w:color="auto" w:fill="E6F2FF"/>
            <w:noWrap/>
          </w:tcPr>
          <w:p w14:paraId="04F717AE" w14:textId="77777777" w:rsidR="000E79F5" w:rsidRPr="00F734D4" w:rsidRDefault="000E79F5" w:rsidP="00C03DF9">
            <w:pPr>
              <w:pStyle w:val="TableColumnHeadingLeft"/>
            </w:pPr>
            <w:r w:rsidRPr="00F734D4">
              <w:t>Health and Aged Care</w:t>
            </w:r>
          </w:p>
        </w:tc>
        <w:tc>
          <w:tcPr>
            <w:tcW w:w="774" w:type="pct"/>
            <w:shd w:val="clear" w:color="auto" w:fill="E6F2FF"/>
            <w:noWrap/>
          </w:tcPr>
          <w:p w14:paraId="16541FE4" w14:textId="77777777" w:rsidR="000E79F5" w:rsidRPr="00F734D4" w:rsidRDefault="000E79F5" w:rsidP="00C03DF9">
            <w:pPr>
              <w:pStyle w:val="TableColumnHeadingLeft"/>
            </w:pPr>
            <w:r w:rsidRPr="00F734D4">
              <w:t>Status</w:t>
            </w:r>
          </w:p>
        </w:tc>
      </w:tr>
      <w:tr w:rsidR="000E79F5" w:rsidRPr="00F734D4" w14:paraId="237D6E88" w14:textId="77777777" w:rsidTr="00C03DF9">
        <w:trPr>
          <w:trHeight w:val="228"/>
        </w:trPr>
        <w:tc>
          <w:tcPr>
            <w:tcW w:w="4226" w:type="pct"/>
            <w:shd w:val="clear" w:color="auto" w:fill="E6F2FF"/>
            <w:noWrap/>
          </w:tcPr>
          <w:p w14:paraId="367802B0" w14:textId="77777777" w:rsidR="000E79F5" w:rsidRPr="00F734D4" w:rsidRDefault="000E79F5" w:rsidP="00C03DF9">
            <w:pPr>
              <w:pStyle w:val="TableColumnHeadingLeft"/>
              <w:rPr>
                <w:rFonts w:eastAsia="Arial" w:cs="Arial"/>
              </w:rPr>
            </w:pPr>
            <w:r w:rsidRPr="00F734D4">
              <w:rPr>
                <w:rFonts w:eastAsia="Arial"/>
              </w:rPr>
              <w:t>Fiscal Risk</w:t>
            </w:r>
          </w:p>
        </w:tc>
        <w:tc>
          <w:tcPr>
            <w:tcW w:w="774" w:type="pct"/>
            <w:shd w:val="clear" w:color="auto" w:fill="E6F2FF"/>
            <w:noWrap/>
          </w:tcPr>
          <w:p w14:paraId="350BDF2C" w14:textId="77777777" w:rsidR="000E79F5" w:rsidRPr="00F734D4" w:rsidRDefault="000E79F5" w:rsidP="00C03DF9">
            <w:pPr>
              <w:pStyle w:val="TableTextLeft"/>
            </w:pPr>
          </w:p>
        </w:tc>
      </w:tr>
      <w:tr w:rsidR="000E79F5" w:rsidRPr="00F734D4" w14:paraId="23C40AB1" w14:textId="77777777" w:rsidTr="00C03DF9">
        <w:trPr>
          <w:trHeight w:val="228"/>
        </w:trPr>
        <w:tc>
          <w:tcPr>
            <w:tcW w:w="4226" w:type="pct"/>
            <w:shd w:val="clear" w:color="auto" w:fill="auto"/>
            <w:noWrap/>
          </w:tcPr>
          <w:p w14:paraId="1E061F31" w14:textId="77777777" w:rsidR="000E79F5" w:rsidRPr="00F734D4" w:rsidRDefault="000E79F5" w:rsidP="00C03DF9">
            <w:pPr>
              <w:pStyle w:val="TableTextLeft-Indent"/>
              <w:spacing w:after="0"/>
              <w:rPr>
                <w:rFonts w:eastAsia="Arial" w:cs="Arial"/>
                <w:b/>
                <w:bCs/>
              </w:rPr>
            </w:pPr>
            <w:r w:rsidRPr="00F734D4">
              <w:t>Fair Work Commission decision – Aged Care Work Value Case</w:t>
            </w:r>
          </w:p>
        </w:tc>
        <w:tc>
          <w:tcPr>
            <w:tcW w:w="774" w:type="pct"/>
            <w:shd w:val="clear" w:color="auto" w:fill="auto"/>
            <w:noWrap/>
          </w:tcPr>
          <w:p w14:paraId="6BE74EB9" w14:textId="5590E0A7" w:rsidR="000E79F5" w:rsidRPr="00F734D4" w:rsidRDefault="001129B5" w:rsidP="00C03DF9">
            <w:pPr>
              <w:pStyle w:val="TableTextLeft"/>
              <w:rPr>
                <w:b/>
                <w:bCs/>
              </w:rPr>
            </w:pPr>
            <w:r>
              <w:rPr>
                <w:rFonts w:eastAsia="Arial" w:cs="Arial"/>
              </w:rPr>
              <w:t>Unchanged</w:t>
            </w:r>
          </w:p>
        </w:tc>
      </w:tr>
      <w:tr w:rsidR="000E79F5" w:rsidRPr="00F734D4" w14:paraId="04CED3E1" w14:textId="77777777" w:rsidTr="00C03DF9">
        <w:trPr>
          <w:trHeight w:val="228"/>
        </w:trPr>
        <w:tc>
          <w:tcPr>
            <w:tcW w:w="4226" w:type="pct"/>
            <w:shd w:val="clear" w:color="auto" w:fill="E6F2FF"/>
            <w:noWrap/>
          </w:tcPr>
          <w:p w14:paraId="32DAE8F7" w14:textId="77777777" w:rsidR="000E79F5" w:rsidRPr="00F734D4" w:rsidRDefault="000E79F5" w:rsidP="00C03DF9">
            <w:pPr>
              <w:pStyle w:val="TableColumnHeadingLeft"/>
              <w:rPr>
                <w:rFonts w:eastAsia="Calibri"/>
              </w:rPr>
            </w:pPr>
            <w:r w:rsidRPr="00F734D4">
              <w:rPr>
                <w:rFonts w:eastAsia="Arial"/>
              </w:rPr>
              <w:t>Contingent liabilities – unquantifiable</w:t>
            </w:r>
          </w:p>
        </w:tc>
        <w:tc>
          <w:tcPr>
            <w:tcW w:w="774" w:type="pct"/>
            <w:shd w:val="clear" w:color="auto" w:fill="E6F2FF"/>
            <w:noWrap/>
          </w:tcPr>
          <w:p w14:paraId="13281C35" w14:textId="77777777" w:rsidR="000E79F5" w:rsidRPr="00F734D4" w:rsidRDefault="000E79F5" w:rsidP="00C03DF9">
            <w:pPr>
              <w:pStyle w:val="TableTextLeft"/>
            </w:pPr>
          </w:p>
        </w:tc>
      </w:tr>
      <w:tr w:rsidR="000E79F5" w:rsidRPr="00F734D4" w14:paraId="59EF8FC4" w14:textId="77777777" w:rsidTr="00C03DF9">
        <w:trPr>
          <w:trHeight w:val="228"/>
        </w:trPr>
        <w:tc>
          <w:tcPr>
            <w:tcW w:w="4226" w:type="pct"/>
            <w:noWrap/>
          </w:tcPr>
          <w:p w14:paraId="0DA3222D" w14:textId="77777777" w:rsidR="000E79F5" w:rsidRPr="00F734D4" w:rsidRDefault="000E79F5" w:rsidP="00C03DF9">
            <w:pPr>
              <w:pStyle w:val="TableTextLeft-Indent"/>
              <w:spacing w:after="0"/>
            </w:pPr>
            <w:r w:rsidRPr="00F734D4">
              <w:t>Accommodation Payment Guarantee Scheme</w:t>
            </w:r>
          </w:p>
        </w:tc>
        <w:tc>
          <w:tcPr>
            <w:tcW w:w="774" w:type="pct"/>
            <w:noWrap/>
          </w:tcPr>
          <w:p w14:paraId="4662DE1B" w14:textId="77777777" w:rsidR="000E79F5" w:rsidRPr="00F734D4" w:rsidRDefault="000E79F5" w:rsidP="00C03DF9">
            <w:pPr>
              <w:pStyle w:val="TableTextLeft"/>
            </w:pPr>
            <w:r w:rsidRPr="00F734D4">
              <w:t>Unchanged</w:t>
            </w:r>
          </w:p>
        </w:tc>
      </w:tr>
      <w:tr w:rsidR="000E79F5" w:rsidRPr="00F734D4" w14:paraId="542BE0FE" w14:textId="77777777" w:rsidTr="00C03DF9">
        <w:trPr>
          <w:trHeight w:val="228"/>
        </w:trPr>
        <w:tc>
          <w:tcPr>
            <w:tcW w:w="4226" w:type="pct"/>
            <w:noWrap/>
          </w:tcPr>
          <w:p w14:paraId="566B49DD" w14:textId="44A0FCA0" w:rsidR="000E79F5" w:rsidRPr="00F734D4" w:rsidRDefault="000E79F5" w:rsidP="00C03DF9">
            <w:pPr>
              <w:pStyle w:val="TableTextLeft-Indent"/>
              <w:spacing w:after="0"/>
            </w:pPr>
            <w:r w:rsidRPr="00F734D4">
              <w:t>Advance Purchasing Agreements for COVID</w:t>
            </w:r>
            <w:r w:rsidR="00B63FC6">
              <w:noBreakHyphen/>
            </w:r>
            <w:r w:rsidRPr="00F734D4">
              <w:t>19 vaccines</w:t>
            </w:r>
          </w:p>
        </w:tc>
        <w:tc>
          <w:tcPr>
            <w:tcW w:w="774" w:type="pct"/>
            <w:noWrap/>
          </w:tcPr>
          <w:p w14:paraId="6CFD8032" w14:textId="77777777" w:rsidR="000E79F5" w:rsidRPr="00F734D4" w:rsidRDefault="000E79F5" w:rsidP="00C03DF9">
            <w:pPr>
              <w:pStyle w:val="TableTextLeft"/>
            </w:pPr>
            <w:r>
              <w:t>Unchanged</w:t>
            </w:r>
          </w:p>
        </w:tc>
      </w:tr>
      <w:tr w:rsidR="000E79F5" w:rsidRPr="00F734D4" w14:paraId="4AA83DD8" w14:textId="77777777" w:rsidTr="00C03DF9">
        <w:trPr>
          <w:trHeight w:val="228"/>
        </w:trPr>
        <w:tc>
          <w:tcPr>
            <w:tcW w:w="4226" w:type="pct"/>
            <w:noWrap/>
          </w:tcPr>
          <w:p w14:paraId="32636098" w14:textId="77777777" w:rsidR="000E79F5" w:rsidRPr="00F734D4" w:rsidRDefault="000E79F5" w:rsidP="00C03DF9">
            <w:pPr>
              <w:pStyle w:val="TableTextLeft-Indent"/>
              <w:spacing w:after="0"/>
            </w:pPr>
            <w:r w:rsidRPr="00F734D4">
              <w:t>Australian Red Cross Society – indemnities</w:t>
            </w:r>
          </w:p>
        </w:tc>
        <w:tc>
          <w:tcPr>
            <w:tcW w:w="774" w:type="pct"/>
            <w:noWrap/>
          </w:tcPr>
          <w:p w14:paraId="297D6569" w14:textId="77777777" w:rsidR="000E79F5" w:rsidRPr="00F734D4" w:rsidRDefault="000E79F5" w:rsidP="00C03DF9">
            <w:pPr>
              <w:pStyle w:val="TableTextLeft"/>
            </w:pPr>
            <w:r w:rsidRPr="00F734D4">
              <w:rPr>
                <w:rFonts w:eastAsia="Arial" w:cs="Arial"/>
              </w:rPr>
              <w:t>Unchanged</w:t>
            </w:r>
          </w:p>
        </w:tc>
      </w:tr>
      <w:tr w:rsidR="000E79F5" w:rsidRPr="00F734D4" w14:paraId="024145CA" w14:textId="77777777" w:rsidTr="00C03DF9">
        <w:trPr>
          <w:trHeight w:val="228"/>
        </w:trPr>
        <w:tc>
          <w:tcPr>
            <w:tcW w:w="4226" w:type="pct"/>
            <w:noWrap/>
          </w:tcPr>
          <w:p w14:paraId="335952FF" w14:textId="77777777" w:rsidR="000E79F5" w:rsidRPr="00F734D4" w:rsidRDefault="000E79F5" w:rsidP="00C03DF9">
            <w:pPr>
              <w:pStyle w:val="TableTextLeft-Indent"/>
              <w:spacing w:after="0"/>
            </w:pPr>
            <w:r w:rsidRPr="00F734D4">
              <w:t>Blood and blood products liability cover</w:t>
            </w:r>
          </w:p>
        </w:tc>
        <w:tc>
          <w:tcPr>
            <w:tcW w:w="774" w:type="pct"/>
            <w:noWrap/>
          </w:tcPr>
          <w:p w14:paraId="04D1DE14" w14:textId="77777777" w:rsidR="000E79F5" w:rsidRPr="00F734D4" w:rsidRDefault="000E79F5" w:rsidP="00C03DF9">
            <w:pPr>
              <w:pStyle w:val="TableTextLeft"/>
            </w:pPr>
            <w:r w:rsidRPr="00F734D4">
              <w:t>Unchanged</w:t>
            </w:r>
          </w:p>
        </w:tc>
      </w:tr>
      <w:tr w:rsidR="000E79F5" w:rsidRPr="00F734D4" w14:paraId="38F73B04" w14:textId="77777777" w:rsidTr="00C03DF9">
        <w:trPr>
          <w:trHeight w:val="228"/>
        </w:trPr>
        <w:tc>
          <w:tcPr>
            <w:tcW w:w="4226" w:type="pct"/>
            <w:noWrap/>
          </w:tcPr>
          <w:p w14:paraId="1D1F036B" w14:textId="77777777" w:rsidR="000E79F5" w:rsidRPr="00F734D4" w:rsidRDefault="000E79F5" w:rsidP="00C03DF9">
            <w:pPr>
              <w:pStyle w:val="TableTextLeft-Indent"/>
              <w:spacing w:after="0"/>
            </w:pPr>
            <w:r w:rsidRPr="00F734D4">
              <w:t>CSL Ltd</w:t>
            </w:r>
          </w:p>
        </w:tc>
        <w:tc>
          <w:tcPr>
            <w:tcW w:w="774" w:type="pct"/>
            <w:noWrap/>
          </w:tcPr>
          <w:p w14:paraId="49D2D9B8" w14:textId="77777777" w:rsidR="000E79F5" w:rsidRPr="00F734D4" w:rsidRDefault="000E79F5" w:rsidP="00C03DF9">
            <w:pPr>
              <w:pStyle w:val="TableTextLeft"/>
            </w:pPr>
            <w:r w:rsidRPr="00F734D4">
              <w:t>Unchanged</w:t>
            </w:r>
          </w:p>
        </w:tc>
      </w:tr>
      <w:tr w:rsidR="000E79F5" w:rsidRPr="00F734D4" w14:paraId="500759F9" w14:textId="77777777" w:rsidTr="00C03DF9">
        <w:trPr>
          <w:trHeight w:val="228"/>
        </w:trPr>
        <w:tc>
          <w:tcPr>
            <w:tcW w:w="4226" w:type="pct"/>
            <w:noWrap/>
          </w:tcPr>
          <w:p w14:paraId="7F9FD3C1" w14:textId="77777777" w:rsidR="000E79F5" w:rsidRPr="00F734D4" w:rsidRDefault="000E79F5" w:rsidP="00C03DF9">
            <w:pPr>
              <w:pStyle w:val="TableTextLeft-Indent"/>
              <w:spacing w:after="0"/>
            </w:pPr>
            <w:r w:rsidRPr="00F734D4">
              <w:t>Indemnities relating to vaccines</w:t>
            </w:r>
          </w:p>
        </w:tc>
        <w:tc>
          <w:tcPr>
            <w:tcW w:w="774" w:type="pct"/>
            <w:noWrap/>
          </w:tcPr>
          <w:p w14:paraId="318B8202" w14:textId="77777777" w:rsidR="000E79F5" w:rsidRPr="00F734D4" w:rsidRDefault="000E79F5" w:rsidP="00C03DF9">
            <w:pPr>
              <w:pStyle w:val="TableTextLeft"/>
            </w:pPr>
            <w:r w:rsidRPr="00F734D4">
              <w:t>Unchanged</w:t>
            </w:r>
          </w:p>
        </w:tc>
      </w:tr>
      <w:tr w:rsidR="000E79F5" w:rsidRPr="00F734D4" w14:paraId="6B0AD496" w14:textId="77777777" w:rsidTr="00C03DF9">
        <w:trPr>
          <w:trHeight w:val="228"/>
        </w:trPr>
        <w:tc>
          <w:tcPr>
            <w:tcW w:w="4226" w:type="pct"/>
            <w:noWrap/>
          </w:tcPr>
          <w:p w14:paraId="451377BA" w14:textId="77777777" w:rsidR="000E79F5" w:rsidRPr="00F734D4" w:rsidRDefault="000E79F5" w:rsidP="00C03DF9">
            <w:pPr>
              <w:pStyle w:val="TableTextLeft-Indent"/>
              <w:spacing w:after="0"/>
            </w:pPr>
            <w:r w:rsidRPr="00F734D4">
              <w:t xml:space="preserve">Major sporting events </w:t>
            </w:r>
          </w:p>
        </w:tc>
        <w:tc>
          <w:tcPr>
            <w:tcW w:w="774" w:type="pct"/>
            <w:noWrap/>
          </w:tcPr>
          <w:p w14:paraId="16E50559" w14:textId="77777777" w:rsidR="000E79F5" w:rsidRPr="00F734D4" w:rsidDel="00B1073A" w:rsidRDefault="000E79F5" w:rsidP="00C03DF9">
            <w:pPr>
              <w:pStyle w:val="TableTextLeft"/>
            </w:pPr>
            <w:r>
              <w:t>Unchanged</w:t>
            </w:r>
          </w:p>
        </w:tc>
      </w:tr>
      <w:tr w:rsidR="000E79F5" w:rsidRPr="00F734D4" w14:paraId="633718AF" w14:textId="77777777" w:rsidTr="00C03DF9">
        <w:trPr>
          <w:trHeight w:val="228"/>
        </w:trPr>
        <w:tc>
          <w:tcPr>
            <w:tcW w:w="4226" w:type="pct"/>
            <w:noWrap/>
          </w:tcPr>
          <w:p w14:paraId="198A739C" w14:textId="77777777" w:rsidR="000E79F5" w:rsidRPr="00F734D4" w:rsidRDefault="000E79F5" w:rsidP="00C03DF9">
            <w:pPr>
              <w:pStyle w:val="TableTextLeft-Indent"/>
              <w:spacing w:after="0"/>
            </w:pPr>
            <w:r w:rsidRPr="00F734D4">
              <w:t>Medical Indemnity Exceptional Claims Scheme</w:t>
            </w:r>
          </w:p>
        </w:tc>
        <w:tc>
          <w:tcPr>
            <w:tcW w:w="774" w:type="pct"/>
            <w:noWrap/>
          </w:tcPr>
          <w:p w14:paraId="6F81D78C" w14:textId="77777777" w:rsidR="000E79F5" w:rsidRPr="00F734D4" w:rsidRDefault="000E79F5" w:rsidP="00C03DF9">
            <w:pPr>
              <w:pStyle w:val="TableTextLeft"/>
            </w:pPr>
            <w:r w:rsidRPr="00F734D4">
              <w:t>Unchanged</w:t>
            </w:r>
          </w:p>
        </w:tc>
      </w:tr>
      <w:tr w:rsidR="000E79F5" w:rsidRPr="00F734D4" w14:paraId="0EA8F4CB" w14:textId="77777777" w:rsidTr="00C03DF9">
        <w:trPr>
          <w:trHeight w:val="228"/>
        </w:trPr>
        <w:tc>
          <w:tcPr>
            <w:tcW w:w="4226" w:type="pct"/>
            <w:noWrap/>
          </w:tcPr>
          <w:p w14:paraId="53BAD11B" w14:textId="77777777" w:rsidR="000E79F5" w:rsidRPr="00F734D4" w:rsidRDefault="000E79F5" w:rsidP="00C03DF9">
            <w:pPr>
              <w:pStyle w:val="TableTextLeft-Indent"/>
              <w:spacing w:after="0"/>
            </w:pPr>
            <w:r w:rsidRPr="00C17F95">
              <w:t>Medical Rural Bonded Scholarship Waivers</w:t>
            </w:r>
          </w:p>
        </w:tc>
        <w:tc>
          <w:tcPr>
            <w:tcW w:w="774" w:type="pct"/>
            <w:noWrap/>
          </w:tcPr>
          <w:p w14:paraId="40F4E95A" w14:textId="32074827" w:rsidR="000E79F5" w:rsidRPr="00F734D4" w:rsidRDefault="001129B5" w:rsidP="00C03DF9">
            <w:pPr>
              <w:pStyle w:val="TableTextLeft"/>
            </w:pPr>
            <w:r>
              <w:t>Unchanged</w:t>
            </w:r>
          </w:p>
        </w:tc>
      </w:tr>
      <w:tr w:rsidR="000E79F5" w:rsidRPr="00F734D4" w14:paraId="3913FB08" w14:textId="77777777" w:rsidTr="00C03DF9">
        <w:trPr>
          <w:trHeight w:val="228"/>
        </w:trPr>
        <w:tc>
          <w:tcPr>
            <w:tcW w:w="4226" w:type="pct"/>
            <w:noWrap/>
          </w:tcPr>
          <w:p w14:paraId="02C3D416" w14:textId="77777777" w:rsidR="000E79F5" w:rsidRPr="00F734D4" w:rsidRDefault="000E79F5" w:rsidP="00C03DF9">
            <w:pPr>
              <w:pStyle w:val="TableTextLeft-Indent"/>
              <w:spacing w:after="0"/>
            </w:pPr>
            <w:r w:rsidRPr="00F734D4">
              <w:t xml:space="preserve">mRNA manufacturing </w:t>
            </w:r>
            <w:r>
              <w:t>f</w:t>
            </w:r>
            <w:r w:rsidRPr="00F734D4">
              <w:t>acility – indemnities</w:t>
            </w:r>
          </w:p>
        </w:tc>
        <w:tc>
          <w:tcPr>
            <w:tcW w:w="774" w:type="pct"/>
            <w:noWrap/>
          </w:tcPr>
          <w:p w14:paraId="2DABF648" w14:textId="77777777" w:rsidR="000E79F5" w:rsidRPr="00F734D4" w:rsidRDefault="000E79F5" w:rsidP="00C03DF9">
            <w:pPr>
              <w:pStyle w:val="TableTextLeft"/>
            </w:pPr>
            <w:r w:rsidRPr="00F734D4">
              <w:t>Unchanged</w:t>
            </w:r>
          </w:p>
        </w:tc>
      </w:tr>
      <w:tr w:rsidR="000E79F5" w:rsidRPr="009F4F60" w14:paraId="3A055728" w14:textId="77777777" w:rsidTr="00C03DF9">
        <w:trPr>
          <w:trHeight w:val="228"/>
        </w:trPr>
        <w:tc>
          <w:tcPr>
            <w:tcW w:w="4226" w:type="pct"/>
            <w:shd w:val="clear" w:color="auto" w:fill="E6F2FF"/>
            <w:noWrap/>
          </w:tcPr>
          <w:p w14:paraId="4E922857" w14:textId="77777777" w:rsidR="000E79F5" w:rsidRPr="000D6DA1" w:rsidRDefault="000E79F5" w:rsidP="00C03DF9">
            <w:pPr>
              <w:pStyle w:val="TableColumnHeadingLeft"/>
              <w:rPr>
                <w:rFonts w:eastAsia="Arial"/>
              </w:rPr>
            </w:pPr>
            <w:r w:rsidRPr="00F734D4">
              <w:rPr>
                <w:rFonts w:eastAsia="Arial"/>
              </w:rPr>
              <w:t xml:space="preserve">Contingent </w:t>
            </w:r>
            <w:r>
              <w:rPr>
                <w:rFonts w:eastAsia="Arial"/>
              </w:rPr>
              <w:t>asset</w:t>
            </w:r>
            <w:r w:rsidRPr="00F734D4">
              <w:rPr>
                <w:rFonts w:eastAsia="Arial"/>
              </w:rPr>
              <w:t xml:space="preserve"> – unquantifiable</w:t>
            </w:r>
          </w:p>
        </w:tc>
        <w:tc>
          <w:tcPr>
            <w:tcW w:w="774" w:type="pct"/>
            <w:shd w:val="clear" w:color="auto" w:fill="E6F2FF"/>
            <w:noWrap/>
          </w:tcPr>
          <w:p w14:paraId="5822618E" w14:textId="77777777" w:rsidR="000E79F5" w:rsidRPr="000D6DA1" w:rsidRDefault="000E79F5" w:rsidP="00C03DF9">
            <w:pPr>
              <w:pStyle w:val="TableTextLeft"/>
              <w:rPr>
                <w:rFonts w:eastAsia="Arial"/>
              </w:rPr>
            </w:pPr>
          </w:p>
        </w:tc>
      </w:tr>
      <w:tr w:rsidR="000E79F5" w:rsidRPr="00F734D4" w14:paraId="59F9D80F" w14:textId="77777777" w:rsidTr="00C03DF9">
        <w:trPr>
          <w:trHeight w:val="228"/>
        </w:trPr>
        <w:tc>
          <w:tcPr>
            <w:tcW w:w="4226" w:type="pct"/>
            <w:noWrap/>
          </w:tcPr>
          <w:p w14:paraId="79ED79D0" w14:textId="77777777" w:rsidR="000E79F5" w:rsidRPr="00F734D4" w:rsidRDefault="000E79F5" w:rsidP="00C03DF9">
            <w:pPr>
              <w:pStyle w:val="TableTextLeft-Indent"/>
              <w:spacing w:after="0"/>
            </w:pPr>
            <w:r w:rsidRPr="00F734D4">
              <w:t>Legal action seeking compensation</w:t>
            </w:r>
          </w:p>
        </w:tc>
        <w:tc>
          <w:tcPr>
            <w:tcW w:w="774" w:type="pct"/>
            <w:noWrap/>
          </w:tcPr>
          <w:p w14:paraId="26670A10" w14:textId="77777777" w:rsidR="000E79F5" w:rsidRPr="00F734D4" w:rsidRDefault="000E79F5" w:rsidP="00C03DF9">
            <w:pPr>
              <w:pStyle w:val="TableTextLeft"/>
            </w:pPr>
            <w:r w:rsidRPr="00F734D4">
              <w:t>Unchanged</w:t>
            </w:r>
          </w:p>
        </w:tc>
      </w:tr>
    </w:tbl>
    <w:p w14:paraId="720311FD" w14:textId="0B3727A8" w:rsidR="000E79F5" w:rsidRDefault="000E79F5" w:rsidP="00AA667C">
      <w:pPr>
        <w:pStyle w:val="TableHeadingcontinued"/>
      </w:pPr>
      <w:r w:rsidRPr="002C4F07">
        <w:rPr>
          <w:rFonts w:eastAsia="Arial"/>
        </w:rPr>
        <w:lastRenderedPageBreak/>
        <w:t xml:space="preserve">Table </w:t>
      </w:r>
      <w:r w:rsidR="00AB5A5E" w:rsidRPr="002C4F07">
        <w:rPr>
          <w:rFonts w:eastAsia="Arial"/>
        </w:rPr>
        <w:t>6</w:t>
      </w:r>
      <w:r w:rsidRPr="002C4F07">
        <w:rPr>
          <w:rFonts w:eastAsia="Arial"/>
        </w:rPr>
        <w:t>.2:</w:t>
      </w:r>
      <w:r w:rsidRPr="00D13C64">
        <w:rPr>
          <w:rFonts w:eastAsia="Arial"/>
        </w:rPr>
        <w:t xml:space="preserve"> Summary</w:t>
      </w:r>
      <w:r w:rsidRPr="00C07FB5">
        <w:rPr>
          <w:rFonts w:eastAsia="Arial"/>
        </w:rPr>
        <w:t xml:space="preserve"> of </w:t>
      </w:r>
      <w:r w:rsidRPr="00AA667C">
        <w:rPr>
          <w:rFonts w:eastAsia="Arial"/>
        </w:rPr>
        <w:t>fiscal</w:t>
      </w:r>
      <w:r>
        <w:rPr>
          <w:rFonts w:eastAsia="Arial"/>
        </w:rPr>
        <w:t xml:space="preserve"> risks, </w:t>
      </w:r>
      <w:r w:rsidRPr="00C07FB5">
        <w:rPr>
          <w:rFonts w:eastAsia="Arial"/>
        </w:rPr>
        <w:t xml:space="preserve">contingent </w:t>
      </w:r>
      <w:proofErr w:type="gramStart"/>
      <w:r w:rsidRPr="00C07FB5">
        <w:rPr>
          <w:rFonts w:eastAsia="Arial"/>
        </w:rPr>
        <w:t>liabilities</w:t>
      </w:r>
      <w:proofErr w:type="gramEnd"/>
      <w:r w:rsidRPr="00C07FB5">
        <w:rPr>
          <w:rFonts w:eastAsia="Arial"/>
        </w:rPr>
        <w:t xml:space="preserve"> and contingent assets in the Statement of Risks</w:t>
      </w:r>
      <w:r w:rsidRPr="00F734D4">
        <w:rPr>
          <w:rFonts w:eastAsia="Arial"/>
          <w:vertAlign w:val="superscript"/>
        </w:rPr>
        <w:t>(a)</w:t>
      </w:r>
      <w:r w:rsidRPr="00F734D4">
        <w:rPr>
          <w:rFonts w:eastAsia="Arial"/>
        </w:rPr>
        <w:t xml:space="preserve"> (continued)</w:t>
      </w:r>
    </w:p>
    <w:tbl>
      <w:tblPr>
        <w:tblW w:w="5000" w:type="pct"/>
        <w:tblBorders>
          <w:top w:val="single" w:sz="4" w:space="0" w:color="002A54" w:themeColor="text2"/>
          <w:bottom w:val="single" w:sz="4" w:space="0" w:color="002A54" w:themeColor="text2"/>
          <w:insideH w:val="single" w:sz="4" w:space="0" w:color="002A54" w:themeColor="text2"/>
        </w:tblBorders>
        <w:tblLayout w:type="fixed"/>
        <w:tblLook w:val="04A0" w:firstRow="1" w:lastRow="0" w:firstColumn="1" w:lastColumn="0" w:noHBand="0" w:noVBand="1"/>
        <w:tblCaption w:val="Table"/>
      </w:tblPr>
      <w:tblGrid>
        <w:gridCol w:w="6567"/>
        <w:gridCol w:w="1143"/>
      </w:tblGrid>
      <w:tr w:rsidR="000E79F5" w:rsidRPr="00F734D4" w14:paraId="3EC90CA9" w14:textId="77777777" w:rsidTr="00C03DF9">
        <w:trPr>
          <w:trHeight w:val="228"/>
        </w:trPr>
        <w:tc>
          <w:tcPr>
            <w:tcW w:w="4259" w:type="pct"/>
            <w:shd w:val="clear" w:color="auto" w:fill="E6F2FF"/>
            <w:noWrap/>
          </w:tcPr>
          <w:p w14:paraId="7AD601E8" w14:textId="77777777" w:rsidR="000E79F5" w:rsidRPr="00F734D4" w:rsidRDefault="000E79F5" w:rsidP="00C03DF9">
            <w:pPr>
              <w:pStyle w:val="TableColumnHeadingLeft"/>
            </w:pPr>
            <w:r w:rsidRPr="00F734D4">
              <w:t>Home Affairs</w:t>
            </w:r>
          </w:p>
        </w:tc>
        <w:tc>
          <w:tcPr>
            <w:tcW w:w="741" w:type="pct"/>
            <w:shd w:val="clear" w:color="auto" w:fill="E6F2FF"/>
            <w:noWrap/>
          </w:tcPr>
          <w:p w14:paraId="7F1409CD" w14:textId="77777777" w:rsidR="000E79F5" w:rsidRPr="00F734D4" w:rsidRDefault="000E79F5" w:rsidP="00C03DF9">
            <w:pPr>
              <w:pStyle w:val="TableColumnHeadingLeft"/>
            </w:pPr>
            <w:r w:rsidRPr="00F734D4">
              <w:t>Status</w:t>
            </w:r>
          </w:p>
        </w:tc>
      </w:tr>
      <w:tr w:rsidR="000E79F5" w:rsidRPr="00F734D4" w14:paraId="49C56A6C" w14:textId="77777777" w:rsidTr="00C03DF9">
        <w:trPr>
          <w:trHeight w:val="228"/>
        </w:trPr>
        <w:tc>
          <w:tcPr>
            <w:tcW w:w="4259" w:type="pct"/>
            <w:shd w:val="clear" w:color="auto" w:fill="E6F2FF"/>
            <w:noWrap/>
          </w:tcPr>
          <w:p w14:paraId="41F78DBB" w14:textId="77777777" w:rsidR="000E79F5" w:rsidRPr="00F734D4" w:rsidRDefault="000E79F5" w:rsidP="00C03DF9">
            <w:pPr>
              <w:pStyle w:val="TableColumnHeadingLeft"/>
            </w:pPr>
            <w:r w:rsidRPr="00F734D4">
              <w:rPr>
                <w:rFonts w:eastAsia="Arial"/>
              </w:rPr>
              <w:t>Fiscal Risk</w:t>
            </w:r>
          </w:p>
        </w:tc>
        <w:tc>
          <w:tcPr>
            <w:tcW w:w="741" w:type="pct"/>
            <w:shd w:val="clear" w:color="auto" w:fill="E6F2FF"/>
            <w:noWrap/>
          </w:tcPr>
          <w:p w14:paraId="51050CB5" w14:textId="77777777" w:rsidR="000E79F5" w:rsidRPr="00F734D4" w:rsidRDefault="000E79F5" w:rsidP="00C03DF9">
            <w:pPr>
              <w:pStyle w:val="TableTextLeft"/>
            </w:pPr>
          </w:p>
        </w:tc>
      </w:tr>
      <w:tr w:rsidR="000E79F5" w:rsidRPr="00F734D4" w14:paraId="330DBFF0" w14:textId="77777777" w:rsidTr="00C03DF9">
        <w:trPr>
          <w:trHeight w:val="228"/>
        </w:trPr>
        <w:tc>
          <w:tcPr>
            <w:tcW w:w="4259" w:type="pct"/>
            <w:shd w:val="clear" w:color="auto" w:fill="auto"/>
            <w:noWrap/>
          </w:tcPr>
          <w:p w14:paraId="359095F0" w14:textId="77777777" w:rsidR="000E79F5" w:rsidRPr="00F734D4" w:rsidRDefault="000E79F5" w:rsidP="00C03DF9">
            <w:pPr>
              <w:pStyle w:val="TableTextLeft-Indent"/>
              <w:spacing w:after="0"/>
            </w:pPr>
            <w:r w:rsidRPr="00F734D4">
              <w:t>Regional processing arrangements</w:t>
            </w:r>
          </w:p>
        </w:tc>
        <w:tc>
          <w:tcPr>
            <w:tcW w:w="741" w:type="pct"/>
            <w:shd w:val="clear" w:color="auto" w:fill="auto"/>
            <w:noWrap/>
          </w:tcPr>
          <w:p w14:paraId="06D4F6D3" w14:textId="5C67BFB5" w:rsidR="000E79F5" w:rsidRPr="00F734D4" w:rsidRDefault="00E17C5E" w:rsidP="00C03DF9">
            <w:pPr>
              <w:pStyle w:val="TableTextLeft"/>
            </w:pPr>
            <w:r>
              <w:t>Modified</w:t>
            </w:r>
          </w:p>
        </w:tc>
      </w:tr>
      <w:tr w:rsidR="000E79F5" w:rsidRPr="00F734D4" w14:paraId="76248F07" w14:textId="77777777" w:rsidTr="00C03DF9">
        <w:trPr>
          <w:trHeight w:val="228"/>
        </w:trPr>
        <w:tc>
          <w:tcPr>
            <w:tcW w:w="4259" w:type="pct"/>
            <w:shd w:val="clear" w:color="auto" w:fill="E6F2FF"/>
            <w:noWrap/>
          </w:tcPr>
          <w:p w14:paraId="31893860" w14:textId="77777777" w:rsidR="000E79F5" w:rsidRPr="00F734D4" w:rsidRDefault="000E79F5" w:rsidP="00C03DF9">
            <w:pPr>
              <w:pStyle w:val="TableColumnHeadingLeft"/>
              <w:rPr>
                <w:rFonts w:eastAsia="Calibri"/>
              </w:rPr>
            </w:pPr>
            <w:r w:rsidRPr="00F734D4">
              <w:rPr>
                <w:rFonts w:eastAsia="Arial"/>
              </w:rPr>
              <w:t>Contingent liabilities – unquantifiable</w:t>
            </w:r>
          </w:p>
        </w:tc>
        <w:tc>
          <w:tcPr>
            <w:tcW w:w="741" w:type="pct"/>
            <w:shd w:val="clear" w:color="auto" w:fill="E6F2FF"/>
            <w:noWrap/>
          </w:tcPr>
          <w:p w14:paraId="78447AB6" w14:textId="77777777" w:rsidR="000E79F5" w:rsidRPr="00F734D4" w:rsidRDefault="000E79F5" w:rsidP="00C03DF9">
            <w:pPr>
              <w:pStyle w:val="TableTextLeft"/>
            </w:pPr>
          </w:p>
        </w:tc>
      </w:tr>
      <w:tr w:rsidR="000E79F5" w:rsidRPr="00F734D4" w14:paraId="74CCB5E4" w14:textId="77777777" w:rsidTr="00C03DF9">
        <w:trPr>
          <w:trHeight w:val="228"/>
        </w:trPr>
        <w:tc>
          <w:tcPr>
            <w:tcW w:w="4259" w:type="pct"/>
            <w:shd w:val="clear" w:color="auto" w:fill="auto"/>
            <w:noWrap/>
          </w:tcPr>
          <w:p w14:paraId="738FE392" w14:textId="77777777" w:rsidR="000E79F5" w:rsidRPr="00F734D4" w:rsidRDefault="000E79F5" w:rsidP="00C03DF9">
            <w:pPr>
              <w:pStyle w:val="TableTextLeft-Indent"/>
              <w:spacing w:after="0"/>
            </w:pPr>
            <w:r w:rsidRPr="00F734D4">
              <w:t>Australian victims of terrorism overseas payment</w:t>
            </w:r>
          </w:p>
        </w:tc>
        <w:tc>
          <w:tcPr>
            <w:tcW w:w="741" w:type="pct"/>
            <w:shd w:val="clear" w:color="auto" w:fill="auto"/>
            <w:noWrap/>
          </w:tcPr>
          <w:p w14:paraId="721A44C2" w14:textId="77777777" w:rsidR="000E79F5" w:rsidRPr="00F734D4" w:rsidRDefault="000E79F5" w:rsidP="00C03DF9">
            <w:pPr>
              <w:pStyle w:val="TableTextLeft"/>
            </w:pPr>
            <w:r w:rsidRPr="00F734D4">
              <w:t>Unchanged</w:t>
            </w:r>
          </w:p>
        </w:tc>
      </w:tr>
      <w:tr w:rsidR="00623918" w:rsidRPr="00F734D4" w14:paraId="24C48F99" w14:textId="77777777">
        <w:trPr>
          <w:trHeight w:val="163"/>
        </w:trPr>
        <w:tc>
          <w:tcPr>
            <w:tcW w:w="4259" w:type="pct"/>
            <w:shd w:val="clear" w:color="auto" w:fill="auto"/>
            <w:noWrap/>
          </w:tcPr>
          <w:p w14:paraId="5E135CF5" w14:textId="3CCCD8E6" w:rsidR="00623918" w:rsidRPr="00F734D4" w:rsidRDefault="00623918" w:rsidP="00623918">
            <w:pPr>
              <w:pStyle w:val="TableTextLeft-Indent"/>
              <w:spacing w:after="0"/>
            </w:pPr>
            <w:r>
              <w:rPr>
                <w:rFonts w:cs="Arial"/>
              </w:rPr>
              <w:t>Commonwealth Community Safety Order Scheme – Federation Funding Agreement – indemnity</w:t>
            </w:r>
          </w:p>
        </w:tc>
        <w:tc>
          <w:tcPr>
            <w:tcW w:w="741" w:type="pct"/>
            <w:shd w:val="clear" w:color="auto" w:fill="auto"/>
            <w:noWrap/>
          </w:tcPr>
          <w:p w14:paraId="27E2041D" w14:textId="19A9D490" w:rsidR="00623918" w:rsidRPr="00F734D4" w:rsidRDefault="00623918" w:rsidP="00623918">
            <w:pPr>
              <w:pStyle w:val="TableTextLeft"/>
            </w:pPr>
            <w:r>
              <w:rPr>
                <w:rFonts w:eastAsia="Arial" w:cs="Arial"/>
              </w:rPr>
              <w:t>New</w:t>
            </w:r>
          </w:p>
        </w:tc>
      </w:tr>
      <w:tr w:rsidR="00623918" w:rsidRPr="00F734D4" w14:paraId="75D1171E" w14:textId="77777777" w:rsidTr="00C03DF9">
        <w:trPr>
          <w:trHeight w:val="228"/>
        </w:trPr>
        <w:tc>
          <w:tcPr>
            <w:tcW w:w="4259" w:type="pct"/>
            <w:shd w:val="clear" w:color="auto" w:fill="auto"/>
            <w:noWrap/>
          </w:tcPr>
          <w:p w14:paraId="010BAC11" w14:textId="641AD1D0" w:rsidR="00623918" w:rsidRPr="00F734D4" w:rsidRDefault="00623918" w:rsidP="00623918">
            <w:pPr>
              <w:pStyle w:val="TableTextLeft-Indent"/>
              <w:spacing w:after="0"/>
            </w:pPr>
            <w:r w:rsidRPr="00F734D4">
              <w:t xml:space="preserve">Disaster </w:t>
            </w:r>
            <w:r>
              <w:t>R</w:t>
            </w:r>
            <w:r w:rsidRPr="00F734D4">
              <w:t>ecovery</w:t>
            </w:r>
          </w:p>
        </w:tc>
        <w:tc>
          <w:tcPr>
            <w:tcW w:w="741" w:type="pct"/>
            <w:shd w:val="clear" w:color="auto" w:fill="auto"/>
            <w:noWrap/>
          </w:tcPr>
          <w:p w14:paraId="37D4B283" w14:textId="77777777" w:rsidR="00623918" w:rsidRPr="00F734D4" w:rsidRDefault="00623918" w:rsidP="00623918">
            <w:pPr>
              <w:pStyle w:val="TableTextLeft"/>
            </w:pPr>
            <w:r>
              <w:rPr>
                <w:rFonts w:eastAsia="Arial" w:cs="Arial"/>
              </w:rPr>
              <w:t>Unchanged</w:t>
            </w:r>
          </w:p>
        </w:tc>
      </w:tr>
      <w:tr w:rsidR="00623918" w:rsidRPr="00F734D4" w14:paraId="7C50595D" w14:textId="77777777" w:rsidTr="00C03DF9">
        <w:trPr>
          <w:trHeight w:val="228"/>
        </w:trPr>
        <w:tc>
          <w:tcPr>
            <w:tcW w:w="4259" w:type="pct"/>
            <w:shd w:val="clear" w:color="auto" w:fill="auto"/>
            <w:noWrap/>
          </w:tcPr>
          <w:p w14:paraId="7170C2CC" w14:textId="0591E22D" w:rsidR="00623918" w:rsidRPr="00F734D4" w:rsidRDefault="00623918" w:rsidP="00623918">
            <w:pPr>
              <w:pStyle w:val="TableTextLeft-Indent"/>
              <w:spacing w:after="0"/>
              <w:rPr>
                <w:rFonts w:cs="Arial"/>
              </w:rPr>
            </w:pPr>
            <w:r>
              <w:t>Facilities, g</w:t>
            </w:r>
            <w:r w:rsidRPr="00F734D4">
              <w:t xml:space="preserve">arrison, </w:t>
            </w:r>
            <w:r>
              <w:t xml:space="preserve">transferee arrivals and receptions, </w:t>
            </w:r>
            <w:r w:rsidRPr="00F734D4">
              <w:t>and health services</w:t>
            </w:r>
            <w:r>
              <w:t xml:space="preserve"> in the Republic of Nauru</w:t>
            </w:r>
            <w:r w:rsidRPr="00F734D4">
              <w:t xml:space="preserve"> – liability limit</w:t>
            </w:r>
          </w:p>
        </w:tc>
        <w:tc>
          <w:tcPr>
            <w:tcW w:w="741" w:type="pct"/>
            <w:shd w:val="clear" w:color="auto" w:fill="auto"/>
            <w:noWrap/>
          </w:tcPr>
          <w:p w14:paraId="0DEDF157" w14:textId="13325DCB" w:rsidR="00623918" w:rsidRPr="00F734D4" w:rsidRDefault="00623918" w:rsidP="00623918">
            <w:pPr>
              <w:pStyle w:val="TableTextLeft"/>
            </w:pPr>
            <w:r>
              <w:rPr>
                <w:rFonts w:eastAsia="Arial" w:cs="Arial"/>
              </w:rPr>
              <w:t>Unchanged</w:t>
            </w:r>
          </w:p>
        </w:tc>
      </w:tr>
      <w:tr w:rsidR="00623918" w:rsidRPr="00F734D4" w14:paraId="29C3BF1E" w14:textId="77777777" w:rsidTr="00C03DF9">
        <w:trPr>
          <w:trHeight w:val="228"/>
        </w:trPr>
        <w:tc>
          <w:tcPr>
            <w:tcW w:w="4259" w:type="pct"/>
            <w:shd w:val="clear" w:color="auto" w:fill="auto"/>
            <w:noWrap/>
          </w:tcPr>
          <w:p w14:paraId="31813EEB" w14:textId="237AB7CB" w:rsidR="00623918" w:rsidRPr="00F734D4" w:rsidRDefault="00623918" w:rsidP="00623918">
            <w:pPr>
              <w:pStyle w:val="TableTextLeft-Indent"/>
              <w:spacing w:after="0"/>
              <w:rPr>
                <w:rFonts w:cs="Arial"/>
              </w:rPr>
            </w:pPr>
            <w:r w:rsidRPr="00F734D4">
              <w:rPr>
                <w:rFonts w:cs="Arial"/>
              </w:rPr>
              <w:t>Immigration detention services by state and territory governments – liability limit</w:t>
            </w:r>
          </w:p>
        </w:tc>
        <w:tc>
          <w:tcPr>
            <w:tcW w:w="741" w:type="pct"/>
            <w:shd w:val="clear" w:color="auto" w:fill="auto"/>
            <w:noWrap/>
          </w:tcPr>
          <w:p w14:paraId="46579A35" w14:textId="35E9A038" w:rsidR="00623918" w:rsidRPr="00F734D4" w:rsidRDefault="00623918" w:rsidP="00623918">
            <w:pPr>
              <w:pStyle w:val="TableTextLeft"/>
            </w:pPr>
            <w:r>
              <w:rPr>
                <w:rFonts w:eastAsia="Arial" w:cs="Arial"/>
              </w:rPr>
              <w:t>Unchanged</w:t>
            </w:r>
          </w:p>
        </w:tc>
      </w:tr>
      <w:tr w:rsidR="00623918" w:rsidRPr="00F734D4" w14:paraId="7BB740C3" w14:textId="77777777" w:rsidTr="00C03DF9">
        <w:trPr>
          <w:trHeight w:val="228"/>
        </w:trPr>
        <w:tc>
          <w:tcPr>
            <w:tcW w:w="4259" w:type="pct"/>
            <w:shd w:val="clear" w:color="auto" w:fill="auto"/>
            <w:noWrap/>
          </w:tcPr>
          <w:p w14:paraId="11DE1500" w14:textId="6F15AD3A" w:rsidR="00623918" w:rsidRPr="00F734D4" w:rsidRDefault="00623918" w:rsidP="00623918">
            <w:pPr>
              <w:pStyle w:val="TableTextLeft-Indent"/>
              <w:spacing w:after="0"/>
              <w:rPr>
                <w:rFonts w:cs="Arial"/>
              </w:rPr>
            </w:pPr>
            <w:r w:rsidRPr="00F734D4">
              <w:rPr>
                <w:rFonts w:cs="Arial"/>
              </w:rPr>
              <w:t>Immigration detention services contract</w:t>
            </w:r>
            <w:r>
              <w:rPr>
                <w:rFonts w:cs="Arial"/>
              </w:rPr>
              <w:t xml:space="preserve"> (Serco)</w:t>
            </w:r>
            <w:r w:rsidRPr="00F734D4">
              <w:rPr>
                <w:rFonts w:cs="Arial"/>
              </w:rPr>
              <w:t xml:space="preserve"> – liability limit</w:t>
            </w:r>
          </w:p>
        </w:tc>
        <w:tc>
          <w:tcPr>
            <w:tcW w:w="741" w:type="pct"/>
            <w:shd w:val="clear" w:color="auto" w:fill="auto"/>
            <w:noWrap/>
          </w:tcPr>
          <w:p w14:paraId="0FD8656A" w14:textId="2DA36CC1" w:rsidR="00623918" w:rsidRDefault="00623918" w:rsidP="00623918">
            <w:pPr>
              <w:pStyle w:val="TableTextLeft"/>
              <w:rPr>
                <w:rFonts w:eastAsia="Arial" w:cs="Arial"/>
              </w:rPr>
            </w:pPr>
            <w:r>
              <w:rPr>
                <w:rFonts w:eastAsia="Arial" w:cs="Arial"/>
              </w:rPr>
              <w:t>Modified</w:t>
            </w:r>
          </w:p>
        </w:tc>
      </w:tr>
      <w:tr w:rsidR="00623918" w:rsidRPr="00F734D4" w14:paraId="0F02CACC" w14:textId="77777777" w:rsidTr="00C03DF9">
        <w:trPr>
          <w:trHeight w:val="228"/>
        </w:trPr>
        <w:tc>
          <w:tcPr>
            <w:tcW w:w="4259" w:type="pct"/>
            <w:shd w:val="clear" w:color="auto" w:fill="auto"/>
            <w:noWrap/>
          </w:tcPr>
          <w:p w14:paraId="28B00AD8" w14:textId="16EC756C" w:rsidR="00623918" w:rsidRPr="00F734D4" w:rsidRDefault="00623918" w:rsidP="00623918">
            <w:pPr>
              <w:pStyle w:val="TableTextLeft-Indent"/>
              <w:spacing w:after="0"/>
              <w:rPr>
                <w:rFonts w:cs="Arial"/>
              </w:rPr>
            </w:pPr>
            <w:r w:rsidRPr="00F734D4">
              <w:rPr>
                <w:rFonts w:cs="Arial"/>
              </w:rPr>
              <w:t>Immigration detention services contract</w:t>
            </w:r>
            <w:r>
              <w:rPr>
                <w:rFonts w:cs="Arial"/>
              </w:rPr>
              <w:t xml:space="preserve"> (Secure Journeys)</w:t>
            </w:r>
            <w:r w:rsidRPr="00F734D4">
              <w:rPr>
                <w:rFonts w:cs="Arial"/>
              </w:rPr>
              <w:t xml:space="preserve"> – liability limit</w:t>
            </w:r>
          </w:p>
        </w:tc>
        <w:tc>
          <w:tcPr>
            <w:tcW w:w="741" w:type="pct"/>
            <w:shd w:val="clear" w:color="auto" w:fill="auto"/>
            <w:noWrap/>
          </w:tcPr>
          <w:p w14:paraId="049CD0CC" w14:textId="002B3F0D" w:rsidR="00623918" w:rsidRDefault="00623918" w:rsidP="00623918">
            <w:pPr>
              <w:pStyle w:val="TableTextLeft"/>
              <w:rPr>
                <w:rFonts w:eastAsia="Arial" w:cs="Arial"/>
              </w:rPr>
            </w:pPr>
            <w:r>
              <w:rPr>
                <w:rFonts w:eastAsia="Arial" w:cs="Arial"/>
              </w:rPr>
              <w:t>New</w:t>
            </w:r>
          </w:p>
        </w:tc>
      </w:tr>
      <w:tr w:rsidR="00623918" w:rsidRPr="00F734D4" w14:paraId="668F228B" w14:textId="77777777" w:rsidTr="00C03DF9">
        <w:trPr>
          <w:trHeight w:val="228"/>
        </w:trPr>
        <w:tc>
          <w:tcPr>
            <w:tcW w:w="4259" w:type="pct"/>
            <w:shd w:val="clear" w:color="auto" w:fill="E6F2FF"/>
            <w:noWrap/>
          </w:tcPr>
          <w:p w14:paraId="5587AFE6" w14:textId="77777777" w:rsidR="00623918" w:rsidRPr="00F734D4" w:rsidRDefault="00623918" w:rsidP="00623918">
            <w:pPr>
              <w:pStyle w:val="TableColumnHeadingLeft"/>
              <w:rPr>
                <w:rFonts w:cs="Arial"/>
              </w:rPr>
            </w:pPr>
            <w:r w:rsidRPr="00F734D4">
              <w:t>Industry, Science and Resources</w:t>
            </w:r>
          </w:p>
        </w:tc>
        <w:tc>
          <w:tcPr>
            <w:tcW w:w="741" w:type="pct"/>
            <w:shd w:val="clear" w:color="auto" w:fill="E6F2FF"/>
            <w:noWrap/>
          </w:tcPr>
          <w:p w14:paraId="5173E7C4" w14:textId="77777777" w:rsidR="00623918" w:rsidRPr="00F734D4" w:rsidRDefault="00623918" w:rsidP="00623918">
            <w:pPr>
              <w:pStyle w:val="TableColumnHeadingLeft"/>
            </w:pPr>
            <w:r w:rsidRPr="00F734D4">
              <w:t>Status</w:t>
            </w:r>
          </w:p>
        </w:tc>
      </w:tr>
      <w:tr w:rsidR="00623918" w:rsidRPr="00F734D4" w14:paraId="223C43C3" w14:textId="77777777" w:rsidTr="00C03DF9">
        <w:trPr>
          <w:trHeight w:val="228"/>
        </w:trPr>
        <w:tc>
          <w:tcPr>
            <w:tcW w:w="4259" w:type="pct"/>
            <w:shd w:val="clear" w:color="auto" w:fill="E6F2FF"/>
            <w:noWrap/>
          </w:tcPr>
          <w:p w14:paraId="1C2D0E42" w14:textId="77777777" w:rsidR="00623918" w:rsidRPr="00F734D4" w:rsidRDefault="00623918" w:rsidP="00623918">
            <w:pPr>
              <w:pStyle w:val="TableColumnHeadingLeft"/>
            </w:pPr>
            <w:r w:rsidRPr="00F734D4">
              <w:rPr>
                <w:rFonts w:eastAsia="Arial"/>
              </w:rPr>
              <w:t>Fiscal Risk</w:t>
            </w:r>
          </w:p>
        </w:tc>
        <w:tc>
          <w:tcPr>
            <w:tcW w:w="741" w:type="pct"/>
            <w:shd w:val="clear" w:color="auto" w:fill="E6F2FF"/>
            <w:noWrap/>
          </w:tcPr>
          <w:p w14:paraId="0788B2B3" w14:textId="77777777" w:rsidR="00623918" w:rsidRPr="00F734D4" w:rsidRDefault="00623918" w:rsidP="00623918">
            <w:pPr>
              <w:pStyle w:val="TableTextLeft"/>
            </w:pPr>
          </w:p>
        </w:tc>
      </w:tr>
      <w:tr w:rsidR="00623918" w:rsidRPr="00F734D4" w14:paraId="5D2E7A61" w14:textId="77777777" w:rsidTr="00C03DF9">
        <w:trPr>
          <w:trHeight w:val="228"/>
        </w:trPr>
        <w:tc>
          <w:tcPr>
            <w:tcW w:w="4259" w:type="pct"/>
            <w:noWrap/>
          </w:tcPr>
          <w:p w14:paraId="7D00554C" w14:textId="77777777" w:rsidR="00623918" w:rsidRPr="00F734D4" w:rsidRDefault="00623918" w:rsidP="00623918">
            <w:pPr>
              <w:pStyle w:val="TableTextLeft-Indent"/>
              <w:spacing w:after="0"/>
              <w:rPr>
                <w:rFonts w:cs="Arial"/>
              </w:rPr>
            </w:pPr>
            <w:r w:rsidRPr="00F734D4">
              <w:rPr>
                <w:rFonts w:cs="Arial"/>
              </w:rPr>
              <w:t>Rehabilitation of the Ranger Uranium Mine</w:t>
            </w:r>
          </w:p>
        </w:tc>
        <w:tc>
          <w:tcPr>
            <w:tcW w:w="741" w:type="pct"/>
            <w:noWrap/>
          </w:tcPr>
          <w:p w14:paraId="10D52D10" w14:textId="77777777" w:rsidR="00623918" w:rsidRPr="00F734D4" w:rsidRDefault="00623918" w:rsidP="00623918">
            <w:pPr>
              <w:pStyle w:val="TableTextLeft"/>
            </w:pPr>
            <w:r w:rsidRPr="00F734D4">
              <w:rPr>
                <w:rFonts w:eastAsia="Arial" w:cs="Arial"/>
              </w:rPr>
              <w:t>Unchanged</w:t>
            </w:r>
          </w:p>
        </w:tc>
      </w:tr>
      <w:tr w:rsidR="00623918" w:rsidRPr="00F734D4" w14:paraId="008F1CF3" w14:textId="77777777" w:rsidTr="00C03DF9">
        <w:trPr>
          <w:trHeight w:val="228"/>
        </w:trPr>
        <w:tc>
          <w:tcPr>
            <w:tcW w:w="4259" w:type="pct"/>
            <w:shd w:val="clear" w:color="auto" w:fill="E6F2FF"/>
            <w:noWrap/>
          </w:tcPr>
          <w:p w14:paraId="5B19C496" w14:textId="77777777" w:rsidR="00623918" w:rsidRPr="00F734D4" w:rsidRDefault="00623918" w:rsidP="00623918">
            <w:pPr>
              <w:pStyle w:val="TableColumnHeadingLeft"/>
            </w:pPr>
            <w:r w:rsidRPr="00F734D4">
              <w:rPr>
                <w:rFonts w:eastAsia="Arial"/>
              </w:rPr>
              <w:t>Significant but remote contingencies</w:t>
            </w:r>
          </w:p>
        </w:tc>
        <w:tc>
          <w:tcPr>
            <w:tcW w:w="741" w:type="pct"/>
            <w:shd w:val="clear" w:color="auto" w:fill="E6F2FF"/>
            <w:noWrap/>
          </w:tcPr>
          <w:p w14:paraId="0697972C" w14:textId="77777777" w:rsidR="00623918" w:rsidRPr="00F734D4" w:rsidRDefault="00623918" w:rsidP="00623918">
            <w:pPr>
              <w:pStyle w:val="TableTextLeft"/>
            </w:pPr>
          </w:p>
        </w:tc>
      </w:tr>
      <w:tr w:rsidR="00623918" w:rsidRPr="00F734D4" w14:paraId="476B6DA8" w14:textId="77777777" w:rsidTr="00C03DF9">
        <w:trPr>
          <w:trHeight w:val="228"/>
        </w:trPr>
        <w:tc>
          <w:tcPr>
            <w:tcW w:w="4259" w:type="pct"/>
            <w:noWrap/>
          </w:tcPr>
          <w:p w14:paraId="0D563EF8" w14:textId="316460BD" w:rsidR="00623918" w:rsidRPr="00F734D4" w:rsidRDefault="00623918" w:rsidP="00623918">
            <w:pPr>
              <w:pStyle w:val="TableTextLeft-Indent"/>
              <w:spacing w:after="0"/>
            </w:pPr>
            <w:r w:rsidRPr="00F734D4">
              <w:t>Liability for damages caused by space and certain high</w:t>
            </w:r>
            <w:r w:rsidR="00B63FC6">
              <w:noBreakHyphen/>
            </w:r>
            <w:r w:rsidRPr="00F734D4">
              <w:t>power rocket activities</w:t>
            </w:r>
          </w:p>
        </w:tc>
        <w:tc>
          <w:tcPr>
            <w:tcW w:w="741" w:type="pct"/>
            <w:noWrap/>
          </w:tcPr>
          <w:p w14:paraId="40BA5569" w14:textId="77777777" w:rsidR="00623918" w:rsidRPr="00F734D4" w:rsidRDefault="00623918" w:rsidP="00623918">
            <w:pPr>
              <w:pStyle w:val="TableTextLeft"/>
            </w:pPr>
            <w:r w:rsidRPr="00F734D4">
              <w:rPr>
                <w:rFonts w:eastAsia="Arial" w:cs="Arial"/>
              </w:rPr>
              <w:t>Unchanged</w:t>
            </w:r>
          </w:p>
        </w:tc>
      </w:tr>
      <w:tr w:rsidR="00623918" w:rsidRPr="00F734D4" w14:paraId="6E75A24C" w14:textId="77777777" w:rsidTr="00C03DF9">
        <w:trPr>
          <w:trHeight w:val="228"/>
        </w:trPr>
        <w:tc>
          <w:tcPr>
            <w:tcW w:w="4259" w:type="pct"/>
            <w:noWrap/>
          </w:tcPr>
          <w:p w14:paraId="7F5A935B" w14:textId="77777777" w:rsidR="00623918" w:rsidRPr="00F734D4" w:rsidRDefault="00623918" w:rsidP="00623918">
            <w:pPr>
              <w:pStyle w:val="TableTextLeft-Indent"/>
              <w:spacing w:after="0"/>
            </w:pPr>
            <w:r w:rsidRPr="00F734D4">
              <w:t>Operations and maintenance of the Northern Endeavour and associated infrastructure</w:t>
            </w:r>
          </w:p>
        </w:tc>
        <w:tc>
          <w:tcPr>
            <w:tcW w:w="741" w:type="pct"/>
            <w:noWrap/>
          </w:tcPr>
          <w:p w14:paraId="50D3F548" w14:textId="530E7217" w:rsidR="00623918" w:rsidRPr="00F734D4" w:rsidRDefault="00623918" w:rsidP="00623918">
            <w:pPr>
              <w:pStyle w:val="TableTextLeft"/>
            </w:pPr>
            <w:r>
              <w:t>Modified</w:t>
            </w:r>
          </w:p>
        </w:tc>
      </w:tr>
      <w:tr w:rsidR="00623918" w:rsidRPr="00F734D4" w14:paraId="62D82505" w14:textId="77777777" w:rsidTr="00C03DF9">
        <w:trPr>
          <w:trHeight w:val="228"/>
        </w:trPr>
        <w:tc>
          <w:tcPr>
            <w:tcW w:w="4259" w:type="pct"/>
            <w:shd w:val="clear" w:color="auto" w:fill="E6F2FF"/>
            <w:noWrap/>
          </w:tcPr>
          <w:p w14:paraId="31E020F7" w14:textId="77777777" w:rsidR="00623918" w:rsidRPr="00F734D4" w:rsidRDefault="00623918" w:rsidP="00623918">
            <w:pPr>
              <w:pStyle w:val="TableColumnHeadingLeft"/>
            </w:pPr>
            <w:r w:rsidRPr="00F734D4">
              <w:rPr>
                <w:rFonts w:eastAsia="Arial"/>
              </w:rPr>
              <w:t>Contingent liabilities – unquantifiable</w:t>
            </w:r>
          </w:p>
        </w:tc>
        <w:tc>
          <w:tcPr>
            <w:tcW w:w="741" w:type="pct"/>
            <w:shd w:val="clear" w:color="auto" w:fill="E6F2FF"/>
            <w:noWrap/>
          </w:tcPr>
          <w:p w14:paraId="7E5D782C" w14:textId="77777777" w:rsidR="00623918" w:rsidRPr="00F734D4" w:rsidRDefault="00623918" w:rsidP="00623918">
            <w:pPr>
              <w:pStyle w:val="TableTextLeft"/>
            </w:pPr>
          </w:p>
        </w:tc>
      </w:tr>
      <w:tr w:rsidR="00623918" w:rsidRPr="00F734D4" w14:paraId="12BDD21C" w14:textId="77777777" w:rsidTr="00C03DF9">
        <w:trPr>
          <w:trHeight w:val="228"/>
        </w:trPr>
        <w:tc>
          <w:tcPr>
            <w:tcW w:w="4259" w:type="pct"/>
            <w:noWrap/>
          </w:tcPr>
          <w:p w14:paraId="19112688" w14:textId="77777777" w:rsidR="00623918" w:rsidRPr="00F734D4" w:rsidRDefault="00623918" w:rsidP="00623918">
            <w:pPr>
              <w:pStyle w:val="TableTextLeft-Indent"/>
              <w:spacing w:after="0"/>
              <w:rPr>
                <w:rFonts w:cs="Arial"/>
              </w:rPr>
            </w:pPr>
            <w:r w:rsidRPr="00F734D4">
              <w:t>Australian Nuclear Science and Technology Organisation – asbestos contamination</w:t>
            </w:r>
          </w:p>
        </w:tc>
        <w:tc>
          <w:tcPr>
            <w:tcW w:w="741" w:type="pct"/>
            <w:noWrap/>
          </w:tcPr>
          <w:p w14:paraId="41FFF098" w14:textId="77777777" w:rsidR="00623918" w:rsidRPr="00F734D4" w:rsidRDefault="00623918" w:rsidP="00623918">
            <w:pPr>
              <w:pStyle w:val="TableTextLeft"/>
            </w:pPr>
            <w:r w:rsidRPr="00F734D4">
              <w:t>Unchanged</w:t>
            </w:r>
          </w:p>
        </w:tc>
      </w:tr>
      <w:tr w:rsidR="00623918" w:rsidRPr="00F734D4" w14:paraId="30BF6BBC" w14:textId="77777777" w:rsidTr="00C03DF9">
        <w:trPr>
          <w:trHeight w:val="228"/>
        </w:trPr>
        <w:tc>
          <w:tcPr>
            <w:tcW w:w="4259" w:type="pct"/>
            <w:noWrap/>
          </w:tcPr>
          <w:p w14:paraId="17323C50" w14:textId="77777777" w:rsidR="00623918" w:rsidRPr="00F734D4" w:rsidRDefault="00623918" w:rsidP="00623918">
            <w:pPr>
              <w:pStyle w:val="TableTextLeft-Indent"/>
              <w:spacing w:after="0"/>
              <w:rPr>
                <w:rFonts w:cs="Arial"/>
              </w:rPr>
            </w:pPr>
            <w:r w:rsidRPr="00F734D4">
              <w:t>Australian Nuclear Science and Technology Organisation – indemnity</w:t>
            </w:r>
          </w:p>
        </w:tc>
        <w:tc>
          <w:tcPr>
            <w:tcW w:w="741" w:type="pct"/>
            <w:noWrap/>
          </w:tcPr>
          <w:p w14:paraId="7D408F1E" w14:textId="77777777" w:rsidR="00623918" w:rsidRPr="00F734D4" w:rsidRDefault="00623918" w:rsidP="00623918">
            <w:pPr>
              <w:pStyle w:val="TableTextLeft"/>
            </w:pPr>
            <w:r w:rsidRPr="00F734D4">
              <w:t>Unchanged</w:t>
            </w:r>
          </w:p>
        </w:tc>
      </w:tr>
      <w:tr w:rsidR="00623918" w:rsidRPr="00F734D4" w14:paraId="62B2F8A7" w14:textId="77777777" w:rsidTr="00C03DF9">
        <w:trPr>
          <w:trHeight w:val="228"/>
        </w:trPr>
        <w:tc>
          <w:tcPr>
            <w:tcW w:w="4259" w:type="pct"/>
            <w:noWrap/>
          </w:tcPr>
          <w:p w14:paraId="3A94CC43" w14:textId="77777777" w:rsidR="00623918" w:rsidRPr="00F734D4" w:rsidRDefault="00623918" w:rsidP="00623918">
            <w:pPr>
              <w:pStyle w:val="TableTextLeft-Indent"/>
              <w:spacing w:after="0"/>
              <w:rPr>
                <w:rFonts w:cs="Arial"/>
              </w:rPr>
            </w:pPr>
            <w:r w:rsidRPr="00F734D4">
              <w:t xml:space="preserve">Australian Nuclear Science and Technology Organisation – legacy waste management to final disposal </w:t>
            </w:r>
          </w:p>
        </w:tc>
        <w:tc>
          <w:tcPr>
            <w:tcW w:w="741" w:type="pct"/>
            <w:noWrap/>
          </w:tcPr>
          <w:p w14:paraId="796CEC52" w14:textId="77777777" w:rsidR="00623918" w:rsidRPr="00F734D4" w:rsidRDefault="00623918" w:rsidP="00623918">
            <w:pPr>
              <w:pStyle w:val="TableTextLeft"/>
            </w:pPr>
            <w:r w:rsidRPr="00F734D4">
              <w:t>Unchanged</w:t>
            </w:r>
          </w:p>
        </w:tc>
      </w:tr>
      <w:tr w:rsidR="00623918" w:rsidRPr="00F734D4" w14:paraId="1BEB6F5D" w14:textId="77777777" w:rsidTr="00C03DF9">
        <w:trPr>
          <w:trHeight w:val="228"/>
        </w:trPr>
        <w:tc>
          <w:tcPr>
            <w:tcW w:w="4259" w:type="pct"/>
            <w:noWrap/>
          </w:tcPr>
          <w:p w14:paraId="06FA0A0B" w14:textId="77777777" w:rsidR="00623918" w:rsidRPr="00F734D4" w:rsidRDefault="00623918" w:rsidP="00623918">
            <w:pPr>
              <w:pStyle w:val="TableTextLeft-Indent"/>
              <w:spacing w:after="0"/>
              <w:rPr>
                <w:rFonts w:cs="Arial"/>
              </w:rPr>
            </w:pPr>
            <w:r w:rsidRPr="00F734D4">
              <w:t>Former British atomic test site at Maralinga</w:t>
            </w:r>
          </w:p>
        </w:tc>
        <w:tc>
          <w:tcPr>
            <w:tcW w:w="741" w:type="pct"/>
            <w:noWrap/>
          </w:tcPr>
          <w:p w14:paraId="416006A3" w14:textId="77777777" w:rsidR="00623918" w:rsidRPr="00F734D4" w:rsidRDefault="00623918" w:rsidP="00623918">
            <w:pPr>
              <w:pStyle w:val="TableTextLeft"/>
            </w:pPr>
            <w:r w:rsidRPr="00F734D4">
              <w:rPr>
                <w:rFonts w:eastAsia="Arial" w:cs="Arial"/>
              </w:rPr>
              <w:t>Unchanged</w:t>
            </w:r>
          </w:p>
        </w:tc>
      </w:tr>
      <w:tr w:rsidR="00623918" w:rsidRPr="00F734D4" w14:paraId="7D1BA576" w14:textId="77777777" w:rsidTr="00C03DF9">
        <w:trPr>
          <w:trHeight w:val="228"/>
        </w:trPr>
        <w:tc>
          <w:tcPr>
            <w:tcW w:w="4259" w:type="pct"/>
            <w:noWrap/>
          </w:tcPr>
          <w:p w14:paraId="321BF596" w14:textId="77777777" w:rsidR="00623918" w:rsidRPr="00F734D4" w:rsidRDefault="00623918" w:rsidP="00623918">
            <w:pPr>
              <w:pStyle w:val="TableTextLeft-Indent"/>
              <w:spacing w:after="0"/>
            </w:pPr>
            <w:r w:rsidRPr="00F734D4">
              <w:t>Land decontamination and site restoration for CSIRO property</w:t>
            </w:r>
          </w:p>
        </w:tc>
        <w:tc>
          <w:tcPr>
            <w:tcW w:w="741" w:type="pct"/>
            <w:noWrap/>
          </w:tcPr>
          <w:p w14:paraId="75A95B2C" w14:textId="77777777" w:rsidR="00623918" w:rsidRPr="00F734D4" w:rsidRDefault="00623918" w:rsidP="00623918">
            <w:pPr>
              <w:pStyle w:val="TableTextLeft"/>
            </w:pPr>
            <w:r w:rsidRPr="00F734D4">
              <w:t>Unchanged</w:t>
            </w:r>
          </w:p>
        </w:tc>
      </w:tr>
      <w:tr w:rsidR="00623918" w:rsidRPr="00F734D4" w14:paraId="230CAABF" w14:textId="77777777" w:rsidTr="00C03DF9">
        <w:trPr>
          <w:trHeight w:val="228"/>
        </w:trPr>
        <w:tc>
          <w:tcPr>
            <w:tcW w:w="4259" w:type="pct"/>
            <w:shd w:val="clear" w:color="auto" w:fill="E6F2FF"/>
            <w:noWrap/>
          </w:tcPr>
          <w:p w14:paraId="28A79116" w14:textId="77777777" w:rsidR="00623918" w:rsidRPr="00F734D4" w:rsidRDefault="00623918" w:rsidP="00623918">
            <w:pPr>
              <w:pStyle w:val="TableColumnHeadingLeft"/>
              <w:rPr>
                <w:rFonts w:cs="Arial"/>
              </w:rPr>
            </w:pPr>
            <w:r w:rsidRPr="00F734D4">
              <w:t xml:space="preserve">Infrastructure, Transport, Regional Development, </w:t>
            </w:r>
            <w:proofErr w:type="gramStart"/>
            <w:r w:rsidRPr="00F734D4">
              <w:t>Communications</w:t>
            </w:r>
            <w:proofErr w:type="gramEnd"/>
            <w:r w:rsidRPr="00F734D4">
              <w:t xml:space="preserve"> and the Arts</w:t>
            </w:r>
          </w:p>
        </w:tc>
        <w:tc>
          <w:tcPr>
            <w:tcW w:w="741" w:type="pct"/>
            <w:shd w:val="clear" w:color="auto" w:fill="E6F2FF"/>
            <w:noWrap/>
          </w:tcPr>
          <w:p w14:paraId="3F75BE27" w14:textId="77777777" w:rsidR="00623918" w:rsidRPr="00F734D4" w:rsidRDefault="00623918" w:rsidP="00623918">
            <w:pPr>
              <w:pStyle w:val="TableColumnHeadingLeft"/>
            </w:pPr>
            <w:r w:rsidRPr="00F734D4">
              <w:t>Status</w:t>
            </w:r>
          </w:p>
        </w:tc>
      </w:tr>
      <w:tr w:rsidR="00623918" w:rsidRPr="00F734D4" w14:paraId="6F10EFBF" w14:textId="77777777" w:rsidTr="00C03DF9">
        <w:trPr>
          <w:trHeight w:val="228"/>
        </w:trPr>
        <w:tc>
          <w:tcPr>
            <w:tcW w:w="4259" w:type="pct"/>
            <w:shd w:val="clear" w:color="auto" w:fill="E6F2FF"/>
            <w:noWrap/>
          </w:tcPr>
          <w:p w14:paraId="37FF2D4A" w14:textId="77777777" w:rsidR="00623918" w:rsidRPr="00F734D4" w:rsidRDefault="00623918" w:rsidP="00623918">
            <w:pPr>
              <w:pStyle w:val="TableColumnHeadingLeft"/>
            </w:pPr>
            <w:r w:rsidRPr="00F734D4">
              <w:rPr>
                <w:rFonts w:eastAsia="Arial"/>
              </w:rPr>
              <w:t>Fiscal Risk</w:t>
            </w:r>
            <w:r>
              <w:rPr>
                <w:rFonts w:eastAsia="Arial"/>
              </w:rPr>
              <w:t>s</w:t>
            </w:r>
          </w:p>
        </w:tc>
        <w:tc>
          <w:tcPr>
            <w:tcW w:w="741" w:type="pct"/>
            <w:shd w:val="clear" w:color="auto" w:fill="E6F2FF"/>
            <w:noWrap/>
          </w:tcPr>
          <w:p w14:paraId="537949CC" w14:textId="77777777" w:rsidR="00623918" w:rsidRPr="00F734D4" w:rsidRDefault="00623918" w:rsidP="00623918">
            <w:pPr>
              <w:pStyle w:val="TableTextLeft"/>
            </w:pPr>
          </w:p>
        </w:tc>
      </w:tr>
      <w:tr w:rsidR="00623918" w:rsidRPr="00F734D4" w14:paraId="054984EC" w14:textId="77777777" w:rsidTr="00C03DF9">
        <w:trPr>
          <w:trHeight w:val="228"/>
        </w:trPr>
        <w:tc>
          <w:tcPr>
            <w:tcW w:w="4259" w:type="pct"/>
            <w:noWrap/>
          </w:tcPr>
          <w:p w14:paraId="77CA6E04" w14:textId="7C694E46" w:rsidR="00623918" w:rsidRPr="00F734D4" w:rsidRDefault="00623918" w:rsidP="00623918">
            <w:pPr>
              <w:pStyle w:val="TableTextLeft-Indent"/>
              <w:spacing w:after="0"/>
            </w:pPr>
            <w:r>
              <w:t>Australia Post</w:t>
            </w:r>
            <w:r w:rsidR="00B63FC6">
              <w:t>’</w:t>
            </w:r>
            <w:r>
              <w:t>s financial stability</w:t>
            </w:r>
          </w:p>
        </w:tc>
        <w:tc>
          <w:tcPr>
            <w:tcW w:w="741" w:type="pct"/>
            <w:noWrap/>
          </w:tcPr>
          <w:p w14:paraId="2BEB8491" w14:textId="77777777" w:rsidR="00623918" w:rsidRPr="00F734D4" w:rsidRDefault="00623918" w:rsidP="00623918">
            <w:pPr>
              <w:pStyle w:val="TableTextLeft"/>
            </w:pPr>
            <w:r>
              <w:t>Modified</w:t>
            </w:r>
          </w:p>
        </w:tc>
      </w:tr>
      <w:tr w:rsidR="00623918" w:rsidRPr="00F734D4" w14:paraId="679E5210" w14:textId="77777777" w:rsidTr="00C03DF9">
        <w:trPr>
          <w:trHeight w:val="228"/>
        </w:trPr>
        <w:tc>
          <w:tcPr>
            <w:tcW w:w="4259" w:type="pct"/>
            <w:noWrap/>
          </w:tcPr>
          <w:p w14:paraId="5021CDA7" w14:textId="6E9D4DCE" w:rsidR="00623918" w:rsidRPr="00F734D4" w:rsidRDefault="00623918" w:rsidP="00623918">
            <w:pPr>
              <w:pStyle w:val="TableTextLeft-Indent"/>
              <w:spacing w:after="0"/>
            </w:pPr>
            <w:r w:rsidRPr="007F212B">
              <w:t>Infrastructure Investment Program project slippage adjustment</w:t>
            </w:r>
          </w:p>
        </w:tc>
        <w:tc>
          <w:tcPr>
            <w:tcW w:w="741" w:type="pct"/>
            <w:noWrap/>
          </w:tcPr>
          <w:p w14:paraId="3BDB5024" w14:textId="23BEDB69" w:rsidR="00623918" w:rsidRDefault="00623918" w:rsidP="00623918">
            <w:pPr>
              <w:pStyle w:val="TableTextLeft"/>
            </w:pPr>
            <w:r>
              <w:t>New</w:t>
            </w:r>
          </w:p>
        </w:tc>
      </w:tr>
      <w:tr w:rsidR="00623918" w:rsidRPr="00F734D4" w14:paraId="79C0FC84" w14:textId="77777777" w:rsidTr="00C03DF9">
        <w:trPr>
          <w:trHeight w:val="228"/>
        </w:trPr>
        <w:tc>
          <w:tcPr>
            <w:tcW w:w="4259" w:type="pct"/>
            <w:noWrap/>
          </w:tcPr>
          <w:p w14:paraId="707D07D4" w14:textId="77777777" w:rsidR="00623918" w:rsidRPr="00F734D4" w:rsidRDefault="00623918" w:rsidP="00623918">
            <w:pPr>
              <w:pStyle w:val="TableTextLeft-Indent"/>
              <w:spacing w:after="0"/>
              <w:rPr>
                <w:rFonts w:cs="Arial"/>
              </w:rPr>
            </w:pPr>
            <w:r w:rsidRPr="00F734D4">
              <w:t xml:space="preserve">Inland Rail – delivery </w:t>
            </w:r>
          </w:p>
        </w:tc>
        <w:tc>
          <w:tcPr>
            <w:tcW w:w="741" w:type="pct"/>
            <w:noWrap/>
          </w:tcPr>
          <w:p w14:paraId="07A255C4" w14:textId="77777777" w:rsidR="00623918" w:rsidRPr="00F734D4" w:rsidRDefault="00623918" w:rsidP="00623918">
            <w:pPr>
              <w:pStyle w:val="TableTextLeft"/>
            </w:pPr>
            <w:r>
              <w:t>Unchanged</w:t>
            </w:r>
          </w:p>
        </w:tc>
      </w:tr>
      <w:tr w:rsidR="00623918" w:rsidRPr="00F734D4" w14:paraId="7AE8E5FF" w14:textId="77777777" w:rsidTr="00C03DF9">
        <w:trPr>
          <w:trHeight w:val="228"/>
        </w:trPr>
        <w:tc>
          <w:tcPr>
            <w:tcW w:w="4259" w:type="pct"/>
            <w:shd w:val="clear" w:color="auto" w:fill="E6F2FF"/>
            <w:noWrap/>
          </w:tcPr>
          <w:p w14:paraId="7BA45C9E" w14:textId="77777777" w:rsidR="00623918" w:rsidRPr="00F734D4" w:rsidRDefault="00623918" w:rsidP="00623918">
            <w:pPr>
              <w:pStyle w:val="TableColumnHeadingLeft"/>
            </w:pPr>
            <w:r w:rsidRPr="00F734D4">
              <w:rPr>
                <w:rFonts w:eastAsia="Arial"/>
              </w:rPr>
              <w:t>Significant but remote contingencies</w:t>
            </w:r>
          </w:p>
        </w:tc>
        <w:tc>
          <w:tcPr>
            <w:tcW w:w="741" w:type="pct"/>
            <w:shd w:val="clear" w:color="auto" w:fill="E6F2FF"/>
            <w:noWrap/>
          </w:tcPr>
          <w:p w14:paraId="6B822596" w14:textId="77777777" w:rsidR="00623918" w:rsidRPr="00F734D4" w:rsidRDefault="00623918" w:rsidP="00623918">
            <w:pPr>
              <w:pStyle w:val="TableTextLeft"/>
            </w:pPr>
          </w:p>
        </w:tc>
      </w:tr>
      <w:tr w:rsidR="00623918" w:rsidRPr="00F734D4" w14:paraId="4434606E" w14:textId="77777777" w:rsidTr="00C03DF9">
        <w:trPr>
          <w:trHeight w:val="228"/>
        </w:trPr>
        <w:tc>
          <w:tcPr>
            <w:tcW w:w="4259" w:type="pct"/>
            <w:noWrap/>
          </w:tcPr>
          <w:p w14:paraId="53CC673D" w14:textId="77777777" w:rsidR="00623918" w:rsidRPr="00F734D4" w:rsidRDefault="00623918" w:rsidP="00623918">
            <w:pPr>
              <w:pStyle w:val="TableTextLeft-Indent"/>
              <w:spacing w:after="0"/>
            </w:pPr>
            <w:r w:rsidRPr="00F734D4">
              <w:t>Inland Rail – Termination of the Equity Financing Agreement</w:t>
            </w:r>
          </w:p>
        </w:tc>
        <w:tc>
          <w:tcPr>
            <w:tcW w:w="741" w:type="pct"/>
            <w:noWrap/>
          </w:tcPr>
          <w:p w14:paraId="63A175E3" w14:textId="77777777" w:rsidR="00623918" w:rsidRPr="00F734D4" w:rsidRDefault="00623918" w:rsidP="00623918">
            <w:pPr>
              <w:pStyle w:val="TableTextLeft"/>
            </w:pPr>
            <w:r w:rsidRPr="00F734D4">
              <w:t>Unchanged</w:t>
            </w:r>
          </w:p>
        </w:tc>
      </w:tr>
      <w:tr w:rsidR="00623918" w:rsidRPr="00F734D4" w14:paraId="7C6ABB29" w14:textId="77777777" w:rsidTr="00C03DF9">
        <w:trPr>
          <w:trHeight w:val="228"/>
        </w:trPr>
        <w:tc>
          <w:tcPr>
            <w:tcW w:w="4259" w:type="pct"/>
            <w:noWrap/>
          </w:tcPr>
          <w:p w14:paraId="28642312" w14:textId="0D7D0B3E" w:rsidR="00623918" w:rsidRPr="00F734D4" w:rsidRDefault="00623918" w:rsidP="00623918">
            <w:pPr>
              <w:pStyle w:val="TableTextLeft-Indent"/>
              <w:spacing w:after="0"/>
              <w:rPr>
                <w:rFonts w:cs="Arial"/>
              </w:rPr>
            </w:pPr>
            <w:r w:rsidRPr="00F734D4">
              <w:t>Maritime Industry Finance Company Limited – Board Members</w:t>
            </w:r>
            <w:r w:rsidR="00B63FC6">
              <w:t>’</w:t>
            </w:r>
            <w:r w:rsidRPr="00F734D4">
              <w:t xml:space="preserve"> indemnity</w:t>
            </w:r>
          </w:p>
        </w:tc>
        <w:tc>
          <w:tcPr>
            <w:tcW w:w="741" w:type="pct"/>
            <w:noWrap/>
          </w:tcPr>
          <w:p w14:paraId="24A22B7A" w14:textId="77777777" w:rsidR="00623918" w:rsidRPr="00F734D4" w:rsidRDefault="00623918" w:rsidP="00623918">
            <w:pPr>
              <w:pStyle w:val="TableTextLeft"/>
            </w:pPr>
            <w:r w:rsidRPr="00F734D4">
              <w:t>Unchanged</w:t>
            </w:r>
          </w:p>
        </w:tc>
      </w:tr>
      <w:tr w:rsidR="00623918" w:rsidRPr="00F734D4" w14:paraId="4422B8EC" w14:textId="77777777" w:rsidTr="00C03DF9">
        <w:trPr>
          <w:trHeight w:val="228"/>
        </w:trPr>
        <w:tc>
          <w:tcPr>
            <w:tcW w:w="4259" w:type="pct"/>
            <w:noWrap/>
          </w:tcPr>
          <w:p w14:paraId="259B1DEA" w14:textId="77777777" w:rsidR="00623918" w:rsidRPr="00F734D4" w:rsidRDefault="00623918" w:rsidP="00623918">
            <w:pPr>
              <w:pStyle w:val="TableTextLeft-Indent"/>
              <w:spacing w:after="0"/>
            </w:pPr>
            <w:r w:rsidRPr="00F734D4">
              <w:t>Moorebank Intermodal Project – Glenfield Waste Site Easement</w:t>
            </w:r>
          </w:p>
        </w:tc>
        <w:tc>
          <w:tcPr>
            <w:tcW w:w="741" w:type="pct"/>
            <w:noWrap/>
          </w:tcPr>
          <w:p w14:paraId="4AD763F6" w14:textId="77777777" w:rsidR="00623918" w:rsidRPr="00F734D4" w:rsidRDefault="00623918" w:rsidP="00623918">
            <w:pPr>
              <w:pStyle w:val="TableTextLeft"/>
            </w:pPr>
            <w:r w:rsidRPr="00F734D4">
              <w:rPr>
                <w:rFonts w:eastAsia="Arial" w:cs="Arial"/>
              </w:rPr>
              <w:t>Unchanged</w:t>
            </w:r>
          </w:p>
        </w:tc>
      </w:tr>
      <w:tr w:rsidR="00623918" w:rsidRPr="00F734D4" w14:paraId="2C43D7A2" w14:textId="77777777" w:rsidTr="00C03DF9">
        <w:trPr>
          <w:trHeight w:val="228"/>
        </w:trPr>
        <w:tc>
          <w:tcPr>
            <w:tcW w:w="4259" w:type="pct"/>
            <w:noWrap/>
          </w:tcPr>
          <w:p w14:paraId="031D0670" w14:textId="77777777" w:rsidR="00623918" w:rsidRPr="00F734D4" w:rsidRDefault="00623918" w:rsidP="00623918">
            <w:pPr>
              <w:pStyle w:val="TableTextLeft-Indent"/>
              <w:spacing w:after="0"/>
              <w:rPr>
                <w:rFonts w:cs="Arial"/>
              </w:rPr>
            </w:pPr>
            <w:r w:rsidRPr="00F734D4">
              <w:t>National Intermodal Corporation Limited – Termination of the Funding Agreement</w:t>
            </w:r>
          </w:p>
        </w:tc>
        <w:tc>
          <w:tcPr>
            <w:tcW w:w="741" w:type="pct"/>
            <w:noWrap/>
          </w:tcPr>
          <w:p w14:paraId="0B8C9BDB" w14:textId="77777777" w:rsidR="00623918" w:rsidRPr="00F734D4" w:rsidRDefault="00623918" w:rsidP="00623918">
            <w:pPr>
              <w:pStyle w:val="TableTextLeft"/>
            </w:pPr>
            <w:r w:rsidRPr="00F734D4">
              <w:rPr>
                <w:rFonts w:eastAsia="Arial" w:cs="Arial"/>
              </w:rPr>
              <w:t>Unchanged</w:t>
            </w:r>
          </w:p>
        </w:tc>
      </w:tr>
      <w:tr w:rsidR="00623918" w:rsidRPr="00F734D4" w14:paraId="4F5ACB79" w14:textId="77777777" w:rsidTr="00C03DF9">
        <w:trPr>
          <w:trHeight w:val="228"/>
        </w:trPr>
        <w:tc>
          <w:tcPr>
            <w:tcW w:w="4259" w:type="pct"/>
            <w:noWrap/>
          </w:tcPr>
          <w:p w14:paraId="5BB14C27" w14:textId="77777777" w:rsidR="00623918" w:rsidRPr="00F734D4" w:rsidRDefault="00623918" w:rsidP="00623918">
            <w:pPr>
              <w:pStyle w:val="TableTextLeft-Indent"/>
              <w:spacing w:after="0"/>
              <w:rPr>
                <w:rFonts w:cs="Arial"/>
              </w:rPr>
            </w:pPr>
            <w:r w:rsidRPr="00F734D4">
              <w:t>Telstra Financial Guarantee</w:t>
            </w:r>
          </w:p>
        </w:tc>
        <w:tc>
          <w:tcPr>
            <w:tcW w:w="741" w:type="pct"/>
            <w:noWrap/>
          </w:tcPr>
          <w:p w14:paraId="3BC3532D" w14:textId="77777777" w:rsidR="00623918" w:rsidRPr="00F734D4" w:rsidRDefault="00623918" w:rsidP="00623918">
            <w:pPr>
              <w:pStyle w:val="TableTextLeft"/>
            </w:pPr>
            <w:r>
              <w:t>Unchanged</w:t>
            </w:r>
          </w:p>
        </w:tc>
      </w:tr>
      <w:tr w:rsidR="00623918" w:rsidRPr="00F734D4" w14:paraId="39C3D8CB" w14:textId="77777777" w:rsidTr="00C03DF9">
        <w:trPr>
          <w:trHeight w:val="228"/>
        </w:trPr>
        <w:tc>
          <w:tcPr>
            <w:tcW w:w="4259" w:type="pct"/>
            <w:noWrap/>
          </w:tcPr>
          <w:p w14:paraId="693CD0E6" w14:textId="77777777" w:rsidR="00623918" w:rsidRPr="00F734D4" w:rsidRDefault="00623918" w:rsidP="00623918">
            <w:pPr>
              <w:pStyle w:val="TableTextLeft-Indent"/>
              <w:spacing w:after="0"/>
              <w:rPr>
                <w:rFonts w:cs="Arial"/>
              </w:rPr>
            </w:pPr>
            <w:r w:rsidRPr="00F734D4">
              <w:t>Tripartite deeds relating to the sale of federal leased airports</w:t>
            </w:r>
          </w:p>
        </w:tc>
        <w:tc>
          <w:tcPr>
            <w:tcW w:w="741" w:type="pct"/>
            <w:noWrap/>
          </w:tcPr>
          <w:p w14:paraId="5D26EFA1" w14:textId="77777777" w:rsidR="00623918" w:rsidRPr="00F734D4" w:rsidRDefault="00623918" w:rsidP="00623918">
            <w:pPr>
              <w:pStyle w:val="TableTextLeft"/>
            </w:pPr>
            <w:r w:rsidRPr="00F734D4">
              <w:rPr>
                <w:rFonts w:eastAsia="Arial" w:cs="Arial"/>
              </w:rPr>
              <w:t>Unchanged</w:t>
            </w:r>
          </w:p>
        </w:tc>
      </w:tr>
      <w:tr w:rsidR="00623918" w:rsidRPr="00F734D4" w14:paraId="1441CD44" w14:textId="77777777" w:rsidTr="00C03DF9">
        <w:trPr>
          <w:trHeight w:val="228"/>
        </w:trPr>
        <w:tc>
          <w:tcPr>
            <w:tcW w:w="4259" w:type="pct"/>
            <w:noWrap/>
          </w:tcPr>
          <w:p w14:paraId="2960AD67" w14:textId="521F0547" w:rsidR="00623918" w:rsidRPr="00F734D4" w:rsidRDefault="00623918" w:rsidP="00623918">
            <w:pPr>
              <w:pStyle w:val="TableTextLeft-Indent"/>
              <w:spacing w:after="0"/>
              <w:rPr>
                <w:rFonts w:cs="Arial"/>
              </w:rPr>
            </w:pPr>
            <w:r w:rsidRPr="00F734D4">
              <w:t>WSA Co Limited – Board Members</w:t>
            </w:r>
            <w:r w:rsidR="00B63FC6">
              <w:t>’</w:t>
            </w:r>
            <w:r w:rsidRPr="00F734D4">
              <w:t xml:space="preserve"> indemnities</w:t>
            </w:r>
          </w:p>
        </w:tc>
        <w:tc>
          <w:tcPr>
            <w:tcW w:w="741" w:type="pct"/>
            <w:noWrap/>
          </w:tcPr>
          <w:p w14:paraId="7CE91118" w14:textId="77777777" w:rsidR="00623918" w:rsidRPr="00F734D4" w:rsidRDefault="00623918" w:rsidP="00623918">
            <w:pPr>
              <w:pStyle w:val="TableTextLeft"/>
            </w:pPr>
            <w:r w:rsidRPr="00F734D4">
              <w:t>Unchanged</w:t>
            </w:r>
          </w:p>
        </w:tc>
      </w:tr>
      <w:tr w:rsidR="00623918" w:rsidRPr="00F734D4" w14:paraId="011796FA" w14:textId="77777777" w:rsidTr="00C03DF9">
        <w:trPr>
          <w:trHeight w:val="228"/>
        </w:trPr>
        <w:tc>
          <w:tcPr>
            <w:tcW w:w="4259" w:type="pct"/>
            <w:noWrap/>
          </w:tcPr>
          <w:p w14:paraId="3B6C73CF" w14:textId="77777777" w:rsidR="00623918" w:rsidRPr="00F734D4" w:rsidRDefault="00623918" w:rsidP="00623918">
            <w:pPr>
              <w:pStyle w:val="TableTextLeft-Indent"/>
              <w:spacing w:after="0"/>
            </w:pPr>
            <w:r w:rsidRPr="00F734D4">
              <w:t>WSA Co Limited – Sydney Metro – Western Sydney Airport indemnity</w:t>
            </w:r>
          </w:p>
        </w:tc>
        <w:tc>
          <w:tcPr>
            <w:tcW w:w="741" w:type="pct"/>
            <w:noWrap/>
          </w:tcPr>
          <w:p w14:paraId="4AA39853" w14:textId="77777777" w:rsidR="00623918" w:rsidRPr="00F734D4" w:rsidRDefault="00623918" w:rsidP="00623918">
            <w:pPr>
              <w:pStyle w:val="TableTextLeft"/>
            </w:pPr>
            <w:r w:rsidRPr="00F734D4">
              <w:t>Unchanged</w:t>
            </w:r>
          </w:p>
        </w:tc>
      </w:tr>
      <w:tr w:rsidR="00623918" w:rsidRPr="00F734D4" w14:paraId="6102F9D5" w14:textId="77777777" w:rsidTr="00C03DF9">
        <w:trPr>
          <w:trHeight w:val="228"/>
        </w:trPr>
        <w:tc>
          <w:tcPr>
            <w:tcW w:w="4259" w:type="pct"/>
            <w:noWrap/>
          </w:tcPr>
          <w:p w14:paraId="01079ABD" w14:textId="77777777" w:rsidR="00623918" w:rsidRPr="00F734D4" w:rsidRDefault="00623918" w:rsidP="00623918">
            <w:pPr>
              <w:pStyle w:val="TableTextLeft-Indent"/>
              <w:spacing w:after="0"/>
              <w:rPr>
                <w:rFonts w:cs="Arial"/>
              </w:rPr>
            </w:pPr>
            <w:r w:rsidRPr="00F734D4">
              <w:t>WSA Co Limited – Termination of the Equity Subscription Agreement</w:t>
            </w:r>
          </w:p>
        </w:tc>
        <w:tc>
          <w:tcPr>
            <w:tcW w:w="741" w:type="pct"/>
            <w:noWrap/>
          </w:tcPr>
          <w:p w14:paraId="1BC7F4B1" w14:textId="77777777" w:rsidR="00623918" w:rsidRPr="00F734D4" w:rsidRDefault="00623918" w:rsidP="00623918">
            <w:pPr>
              <w:pStyle w:val="TableTextLeft"/>
            </w:pPr>
            <w:r w:rsidRPr="00F734D4">
              <w:t>Unchanged</w:t>
            </w:r>
          </w:p>
        </w:tc>
      </w:tr>
    </w:tbl>
    <w:p w14:paraId="1957F71E" w14:textId="77777777" w:rsidR="009531BC" w:rsidRDefault="009531BC">
      <w:pPr>
        <w:spacing w:before="0" w:after="160" w:line="259" w:lineRule="auto"/>
        <w:rPr>
          <w:rFonts w:ascii="Arial Bold" w:eastAsia="Arial" w:hAnsi="Arial Bold"/>
          <w:b/>
          <w:sz w:val="20"/>
        </w:rPr>
      </w:pPr>
      <w:r>
        <w:rPr>
          <w:rFonts w:eastAsia="Arial"/>
        </w:rPr>
        <w:br w:type="page"/>
      </w:r>
    </w:p>
    <w:p w14:paraId="47D908D7" w14:textId="30827F3C" w:rsidR="000E79F5" w:rsidRPr="00F734D4" w:rsidRDefault="000E79F5" w:rsidP="00AA667C">
      <w:pPr>
        <w:pStyle w:val="TableHeadingcontinued"/>
        <w:rPr>
          <w:rFonts w:eastAsia="Arial"/>
        </w:rPr>
      </w:pPr>
      <w:r w:rsidRPr="002C4F07">
        <w:rPr>
          <w:rFonts w:eastAsia="Arial"/>
        </w:rPr>
        <w:lastRenderedPageBreak/>
        <w:t xml:space="preserve">Table </w:t>
      </w:r>
      <w:r w:rsidR="00AB5A5E" w:rsidRPr="002C4F07">
        <w:rPr>
          <w:rFonts w:eastAsia="Arial"/>
        </w:rPr>
        <w:t>6</w:t>
      </w:r>
      <w:r w:rsidRPr="002C4F07">
        <w:rPr>
          <w:rFonts w:eastAsia="Arial"/>
        </w:rPr>
        <w:t>.2:</w:t>
      </w:r>
      <w:r w:rsidRPr="00D13C64">
        <w:rPr>
          <w:rFonts w:eastAsia="Arial"/>
        </w:rPr>
        <w:t xml:space="preserve"> Summary</w:t>
      </w:r>
      <w:r w:rsidRPr="00C07FB5">
        <w:rPr>
          <w:rFonts w:eastAsia="Arial"/>
        </w:rPr>
        <w:t xml:space="preserve"> of </w:t>
      </w:r>
      <w:r>
        <w:rPr>
          <w:rFonts w:eastAsia="Arial"/>
        </w:rPr>
        <w:t xml:space="preserve">fiscal risks, </w:t>
      </w:r>
      <w:r w:rsidRPr="00C07FB5">
        <w:rPr>
          <w:rFonts w:eastAsia="Arial"/>
        </w:rPr>
        <w:t xml:space="preserve">contingent </w:t>
      </w:r>
      <w:proofErr w:type="gramStart"/>
      <w:r w:rsidRPr="00C07FB5">
        <w:rPr>
          <w:rFonts w:eastAsia="Arial"/>
        </w:rPr>
        <w:t>liabilities</w:t>
      </w:r>
      <w:proofErr w:type="gramEnd"/>
      <w:r w:rsidRPr="00C07FB5">
        <w:rPr>
          <w:rFonts w:eastAsia="Arial"/>
        </w:rPr>
        <w:t xml:space="preserve"> and contingent assets in the Statement of Risks</w:t>
      </w:r>
      <w:r w:rsidRPr="00F734D4">
        <w:rPr>
          <w:rFonts w:eastAsia="Arial"/>
          <w:vertAlign w:val="superscript"/>
        </w:rPr>
        <w:t>(a)</w:t>
      </w:r>
      <w:r w:rsidRPr="00F734D4">
        <w:rPr>
          <w:rFonts w:eastAsia="Arial"/>
        </w:rPr>
        <w:t xml:space="preserve"> (continued)</w:t>
      </w:r>
    </w:p>
    <w:tbl>
      <w:tblPr>
        <w:tblW w:w="5000" w:type="pct"/>
        <w:tblBorders>
          <w:top w:val="single" w:sz="4" w:space="0" w:color="002A54" w:themeColor="text2"/>
          <w:bottom w:val="single" w:sz="4" w:space="0" w:color="002A54" w:themeColor="text2"/>
          <w:insideH w:val="single" w:sz="4" w:space="0" w:color="002A54" w:themeColor="text2"/>
        </w:tblBorders>
        <w:tblLayout w:type="fixed"/>
        <w:tblLook w:val="04A0" w:firstRow="1" w:lastRow="0" w:firstColumn="1" w:lastColumn="0" w:noHBand="0" w:noVBand="1"/>
        <w:tblCaption w:val="Table"/>
      </w:tblPr>
      <w:tblGrid>
        <w:gridCol w:w="6521"/>
        <w:gridCol w:w="1189"/>
      </w:tblGrid>
      <w:tr w:rsidR="000E79F5" w:rsidRPr="00F734D4" w14:paraId="4133DC77" w14:textId="77777777" w:rsidTr="00C03DF9">
        <w:trPr>
          <w:trHeight w:val="228"/>
        </w:trPr>
        <w:tc>
          <w:tcPr>
            <w:tcW w:w="4229" w:type="pct"/>
            <w:shd w:val="clear" w:color="auto" w:fill="E6F2FF"/>
            <w:noWrap/>
          </w:tcPr>
          <w:p w14:paraId="6C34F00D" w14:textId="77777777" w:rsidR="000E79F5" w:rsidRPr="00F734D4" w:rsidRDefault="000E79F5" w:rsidP="00C03DF9">
            <w:pPr>
              <w:pStyle w:val="TableColumnHeadingLeft"/>
            </w:pPr>
            <w:r w:rsidRPr="00F734D4">
              <w:t xml:space="preserve">Infrastructure, Transport, Regional Development, </w:t>
            </w:r>
            <w:proofErr w:type="gramStart"/>
            <w:r w:rsidRPr="00F734D4">
              <w:t>Communications</w:t>
            </w:r>
            <w:proofErr w:type="gramEnd"/>
            <w:r w:rsidRPr="00F734D4">
              <w:t xml:space="preserve"> and the Arts (continued)</w:t>
            </w:r>
          </w:p>
        </w:tc>
        <w:tc>
          <w:tcPr>
            <w:tcW w:w="771" w:type="pct"/>
            <w:shd w:val="clear" w:color="auto" w:fill="E6F2FF"/>
            <w:noWrap/>
          </w:tcPr>
          <w:p w14:paraId="45EA1BA8" w14:textId="77777777" w:rsidR="000E79F5" w:rsidRPr="00F734D4" w:rsidRDefault="000E79F5" w:rsidP="00C03DF9">
            <w:pPr>
              <w:pStyle w:val="TableColumnHeadingLeft"/>
            </w:pPr>
            <w:r w:rsidRPr="00F734D4">
              <w:t>Status</w:t>
            </w:r>
          </w:p>
        </w:tc>
      </w:tr>
      <w:tr w:rsidR="000E79F5" w:rsidRPr="00F734D4" w14:paraId="784F32DF" w14:textId="77777777" w:rsidTr="00C03DF9">
        <w:trPr>
          <w:trHeight w:val="228"/>
        </w:trPr>
        <w:tc>
          <w:tcPr>
            <w:tcW w:w="4229" w:type="pct"/>
            <w:shd w:val="clear" w:color="auto" w:fill="E6F2FF"/>
            <w:noWrap/>
          </w:tcPr>
          <w:p w14:paraId="7D9D924D" w14:textId="77777777" w:rsidR="000E79F5" w:rsidRPr="00F734D4" w:rsidRDefault="000E79F5" w:rsidP="00C03DF9">
            <w:pPr>
              <w:pStyle w:val="TableColumnHeadingLeft"/>
              <w:rPr>
                <w:rFonts w:eastAsia="Calibri"/>
              </w:rPr>
            </w:pPr>
            <w:r w:rsidRPr="00F734D4">
              <w:rPr>
                <w:rFonts w:eastAsia="Arial"/>
              </w:rPr>
              <w:t>Contingent liabilities – unquantifiable</w:t>
            </w:r>
          </w:p>
        </w:tc>
        <w:tc>
          <w:tcPr>
            <w:tcW w:w="771" w:type="pct"/>
            <w:shd w:val="clear" w:color="auto" w:fill="E6F2FF"/>
            <w:noWrap/>
          </w:tcPr>
          <w:p w14:paraId="21028258" w14:textId="77777777" w:rsidR="000E79F5" w:rsidRPr="00F734D4" w:rsidRDefault="000E79F5" w:rsidP="00C03DF9">
            <w:pPr>
              <w:pStyle w:val="TableTextLeft"/>
            </w:pPr>
          </w:p>
        </w:tc>
      </w:tr>
      <w:tr w:rsidR="000E79F5" w:rsidRPr="00F734D4" w14:paraId="4AF178D1" w14:textId="77777777" w:rsidTr="00C03DF9">
        <w:trPr>
          <w:trHeight w:val="228"/>
        </w:trPr>
        <w:tc>
          <w:tcPr>
            <w:tcW w:w="4229" w:type="pct"/>
            <w:noWrap/>
          </w:tcPr>
          <w:p w14:paraId="115F8B1A" w14:textId="14754867" w:rsidR="000E79F5" w:rsidRPr="00F734D4" w:rsidRDefault="000E79F5" w:rsidP="00C03DF9">
            <w:pPr>
              <w:pStyle w:val="TableTextLeft-Indent"/>
            </w:pPr>
            <w:r w:rsidRPr="00F734D4">
              <w:t>Australian Maritime Safety Authority</w:t>
            </w:r>
            <w:r w:rsidR="00A93501">
              <w:t xml:space="preserve"> – ship</w:t>
            </w:r>
            <w:r w:rsidR="00B63FC6">
              <w:noBreakHyphen/>
            </w:r>
            <w:r w:rsidR="00A93501">
              <w:t>sourced pollution</w:t>
            </w:r>
            <w:r w:rsidRPr="00F734D4">
              <w:t xml:space="preserve"> incident costs</w:t>
            </w:r>
          </w:p>
        </w:tc>
        <w:tc>
          <w:tcPr>
            <w:tcW w:w="771" w:type="pct"/>
            <w:noWrap/>
          </w:tcPr>
          <w:p w14:paraId="1968221D" w14:textId="77777777" w:rsidR="000E79F5" w:rsidRPr="00F734D4" w:rsidRDefault="000E79F5" w:rsidP="00C03DF9">
            <w:pPr>
              <w:pStyle w:val="TableTextLeft"/>
            </w:pPr>
            <w:r w:rsidRPr="00F734D4">
              <w:t>Unchanged</w:t>
            </w:r>
          </w:p>
        </w:tc>
      </w:tr>
      <w:tr w:rsidR="000E79F5" w:rsidRPr="00F734D4" w14:paraId="58E2348D" w14:textId="77777777" w:rsidTr="00C03DF9">
        <w:trPr>
          <w:trHeight w:val="228"/>
        </w:trPr>
        <w:tc>
          <w:tcPr>
            <w:tcW w:w="4229" w:type="pct"/>
            <w:noWrap/>
          </w:tcPr>
          <w:p w14:paraId="2CB4D24D" w14:textId="065DE53F" w:rsidR="000E79F5" w:rsidRPr="00F734D4" w:rsidRDefault="000E79F5" w:rsidP="00C03DF9">
            <w:pPr>
              <w:pStyle w:val="TableTextLeft-Indent"/>
            </w:pPr>
            <w:r w:rsidRPr="00F734D4">
              <w:t>Aviation rescue and firefighting</w:t>
            </w:r>
            <w:r>
              <w:t xml:space="preserve"> services</w:t>
            </w:r>
            <w:r w:rsidRPr="00F734D4">
              <w:t xml:space="preserve"> potential per</w:t>
            </w:r>
            <w:r w:rsidR="00B63FC6">
              <w:noBreakHyphen/>
            </w:r>
            <w:r w:rsidRPr="00F734D4">
              <w:t xml:space="preserve"> and poly</w:t>
            </w:r>
            <w:r w:rsidR="00B63FC6">
              <w:noBreakHyphen/>
            </w:r>
            <w:r w:rsidRPr="00F734D4">
              <w:t>fluoroalkyl substances contamination</w:t>
            </w:r>
          </w:p>
        </w:tc>
        <w:tc>
          <w:tcPr>
            <w:tcW w:w="771" w:type="pct"/>
            <w:noWrap/>
          </w:tcPr>
          <w:p w14:paraId="2FF4AEC9" w14:textId="68CB993B" w:rsidR="000E79F5" w:rsidRPr="00F734D4" w:rsidRDefault="00A93501" w:rsidP="00C03DF9">
            <w:pPr>
              <w:pStyle w:val="TableTextLeft"/>
            </w:pPr>
            <w:r>
              <w:t>Modified</w:t>
            </w:r>
          </w:p>
        </w:tc>
      </w:tr>
      <w:tr w:rsidR="000E79F5" w:rsidRPr="00F734D4" w14:paraId="312FD562" w14:textId="77777777" w:rsidTr="00C03DF9">
        <w:trPr>
          <w:trHeight w:val="228"/>
        </w:trPr>
        <w:tc>
          <w:tcPr>
            <w:tcW w:w="4229" w:type="pct"/>
            <w:noWrap/>
          </w:tcPr>
          <w:p w14:paraId="7906F5C3" w14:textId="77777777" w:rsidR="000E79F5" w:rsidRPr="00F734D4" w:rsidRDefault="000E79F5" w:rsidP="00C03DF9">
            <w:pPr>
              <w:pStyle w:val="TableTextLeft-Indent"/>
            </w:pPr>
            <w:r w:rsidRPr="00F734D4">
              <w:t>Indemnity provided to the New South Wales Rural Fire Fighting Service in relation to the Jervis Bay Territory</w:t>
            </w:r>
          </w:p>
        </w:tc>
        <w:tc>
          <w:tcPr>
            <w:tcW w:w="771" w:type="pct"/>
            <w:noWrap/>
          </w:tcPr>
          <w:p w14:paraId="1B0F334D" w14:textId="77777777" w:rsidR="000E79F5" w:rsidRPr="00F734D4" w:rsidRDefault="000E79F5" w:rsidP="00C03DF9">
            <w:pPr>
              <w:pStyle w:val="TableTextLeft"/>
            </w:pPr>
            <w:r w:rsidRPr="00F734D4">
              <w:rPr>
                <w:rFonts w:eastAsia="Arial" w:cs="Arial"/>
              </w:rPr>
              <w:t>Unchanged</w:t>
            </w:r>
          </w:p>
        </w:tc>
      </w:tr>
      <w:tr w:rsidR="000E79F5" w:rsidRPr="00F734D4" w14:paraId="55BDB7AC" w14:textId="77777777" w:rsidTr="00C03DF9">
        <w:trPr>
          <w:trHeight w:val="228"/>
        </w:trPr>
        <w:tc>
          <w:tcPr>
            <w:tcW w:w="4229" w:type="pct"/>
            <w:noWrap/>
          </w:tcPr>
          <w:p w14:paraId="1319E439" w14:textId="77777777" w:rsidR="000E79F5" w:rsidRPr="00F734D4" w:rsidDel="00EA035B" w:rsidRDefault="000E79F5" w:rsidP="00C03DF9">
            <w:pPr>
              <w:pStyle w:val="TableTextLeft-Indent"/>
            </w:pPr>
            <w:r w:rsidRPr="00F734D4">
              <w:t>Moorebank Intermodal Project – Georges River rail crossing</w:t>
            </w:r>
          </w:p>
        </w:tc>
        <w:tc>
          <w:tcPr>
            <w:tcW w:w="771" w:type="pct"/>
            <w:noWrap/>
          </w:tcPr>
          <w:p w14:paraId="63552D74" w14:textId="77777777" w:rsidR="000E79F5" w:rsidRPr="00F734D4" w:rsidDel="005573C6" w:rsidRDefault="000E79F5" w:rsidP="00C03DF9">
            <w:pPr>
              <w:pStyle w:val="TableTextLeft"/>
            </w:pPr>
            <w:r w:rsidRPr="00F734D4">
              <w:t>Unchanged</w:t>
            </w:r>
          </w:p>
        </w:tc>
      </w:tr>
      <w:tr w:rsidR="000E79F5" w:rsidRPr="00F734D4" w14:paraId="252B4A63" w14:textId="77777777" w:rsidTr="00C03DF9">
        <w:trPr>
          <w:trHeight w:val="228"/>
        </w:trPr>
        <w:tc>
          <w:tcPr>
            <w:tcW w:w="4229" w:type="pct"/>
            <w:noWrap/>
          </w:tcPr>
          <w:p w14:paraId="6A3C16FA" w14:textId="77777777" w:rsidR="000E79F5" w:rsidRPr="00F734D4" w:rsidRDefault="000E79F5" w:rsidP="00C03DF9">
            <w:pPr>
              <w:pStyle w:val="TableTextLeft-Indent"/>
            </w:pPr>
            <w:r w:rsidRPr="00F734D4">
              <w:t>Service Delivery Arrangement Indemnities – Indian Ocean Territories</w:t>
            </w:r>
            <w:r>
              <w:t xml:space="preserve"> </w:t>
            </w:r>
            <w:r w:rsidRPr="00F734D4">
              <w:t>and Jervis Bay Territory</w:t>
            </w:r>
          </w:p>
        </w:tc>
        <w:tc>
          <w:tcPr>
            <w:tcW w:w="771" w:type="pct"/>
            <w:noWrap/>
          </w:tcPr>
          <w:p w14:paraId="1E4A5854" w14:textId="77777777" w:rsidR="000E79F5" w:rsidRPr="00F734D4" w:rsidRDefault="000E79F5" w:rsidP="00C03DF9">
            <w:pPr>
              <w:pStyle w:val="TableTextLeft"/>
            </w:pPr>
            <w:r>
              <w:t>Unchanged</w:t>
            </w:r>
          </w:p>
        </w:tc>
      </w:tr>
      <w:tr w:rsidR="000E79F5" w:rsidRPr="00F734D4" w14:paraId="19510C46" w14:textId="77777777" w:rsidTr="00C03DF9">
        <w:trPr>
          <w:trHeight w:val="228"/>
        </w:trPr>
        <w:tc>
          <w:tcPr>
            <w:tcW w:w="4229" w:type="pct"/>
            <w:shd w:val="clear" w:color="auto" w:fill="E6F2FF"/>
            <w:noWrap/>
          </w:tcPr>
          <w:p w14:paraId="08D17077" w14:textId="77777777" w:rsidR="000E79F5" w:rsidRPr="00F734D4" w:rsidRDefault="000E79F5" w:rsidP="00C03DF9">
            <w:pPr>
              <w:pStyle w:val="TableColumnHeadingLeft"/>
            </w:pPr>
            <w:r w:rsidRPr="00F734D4">
              <w:t>Prime Minister and Cabinet</w:t>
            </w:r>
          </w:p>
        </w:tc>
        <w:tc>
          <w:tcPr>
            <w:tcW w:w="771" w:type="pct"/>
            <w:shd w:val="clear" w:color="auto" w:fill="E6F2FF"/>
            <w:noWrap/>
          </w:tcPr>
          <w:p w14:paraId="65D4370E" w14:textId="77777777" w:rsidR="000E79F5" w:rsidRPr="00F734D4" w:rsidRDefault="000E79F5" w:rsidP="00C03DF9">
            <w:pPr>
              <w:pStyle w:val="TableColumnHeadingLeft"/>
            </w:pPr>
            <w:r w:rsidRPr="00F734D4">
              <w:t>Status</w:t>
            </w:r>
          </w:p>
        </w:tc>
      </w:tr>
      <w:tr w:rsidR="00127114" w:rsidRPr="00F734D4" w14:paraId="30F94C8D" w14:textId="77777777" w:rsidTr="00C03DF9">
        <w:trPr>
          <w:trHeight w:val="228"/>
        </w:trPr>
        <w:tc>
          <w:tcPr>
            <w:tcW w:w="4229" w:type="pct"/>
            <w:shd w:val="clear" w:color="auto" w:fill="E6F2FF"/>
            <w:noWrap/>
          </w:tcPr>
          <w:p w14:paraId="25DC7EAB" w14:textId="6A1BF761" w:rsidR="00127114" w:rsidRPr="00F734D4" w:rsidRDefault="00127114" w:rsidP="00C03DF9">
            <w:pPr>
              <w:pStyle w:val="TableColumnHeadingLeft"/>
            </w:pPr>
            <w:r w:rsidRPr="004266F5">
              <w:rPr>
                <w:rFonts w:eastAsia="Arial"/>
              </w:rPr>
              <w:t>Contingent liabilit</w:t>
            </w:r>
            <w:r>
              <w:rPr>
                <w:rFonts w:eastAsia="Arial"/>
              </w:rPr>
              <w:t>y</w:t>
            </w:r>
            <w:r w:rsidRPr="004266F5">
              <w:rPr>
                <w:rFonts w:eastAsia="Arial"/>
              </w:rPr>
              <w:t xml:space="preserve"> – </w:t>
            </w:r>
            <w:r>
              <w:rPr>
                <w:rFonts w:eastAsia="Arial"/>
              </w:rPr>
              <w:t>un</w:t>
            </w:r>
            <w:r w:rsidRPr="004266F5">
              <w:rPr>
                <w:rFonts w:eastAsia="Arial"/>
              </w:rPr>
              <w:t>quantifiable</w:t>
            </w:r>
          </w:p>
        </w:tc>
        <w:tc>
          <w:tcPr>
            <w:tcW w:w="771" w:type="pct"/>
            <w:shd w:val="clear" w:color="auto" w:fill="E6F2FF"/>
            <w:noWrap/>
          </w:tcPr>
          <w:p w14:paraId="16F4309A" w14:textId="77777777" w:rsidR="00127114" w:rsidRPr="00F734D4" w:rsidRDefault="00127114" w:rsidP="00C03DF9">
            <w:pPr>
              <w:pStyle w:val="TableColumnHeadingLeft"/>
            </w:pPr>
          </w:p>
        </w:tc>
      </w:tr>
      <w:tr w:rsidR="00127114" w:rsidRPr="00F734D4" w14:paraId="798632FA" w14:textId="77777777" w:rsidTr="00127114">
        <w:trPr>
          <w:trHeight w:val="228"/>
        </w:trPr>
        <w:tc>
          <w:tcPr>
            <w:tcW w:w="4229" w:type="pct"/>
            <w:shd w:val="clear" w:color="auto" w:fill="auto"/>
            <w:noWrap/>
          </w:tcPr>
          <w:p w14:paraId="49010F25" w14:textId="2C5E95A3" w:rsidR="00127114" w:rsidRPr="00127114" w:rsidRDefault="00127114" w:rsidP="00127114">
            <w:pPr>
              <w:pStyle w:val="TableTextLeft-Indent"/>
            </w:pPr>
            <w:r w:rsidRPr="00127114">
              <w:rPr>
                <w:i/>
                <w:iCs/>
              </w:rPr>
              <w:t>McDonald v Commonwealth</w:t>
            </w:r>
            <w:r w:rsidRPr="00127114">
              <w:t xml:space="preserve"> (Stolen Wages Class Action)</w:t>
            </w:r>
          </w:p>
        </w:tc>
        <w:tc>
          <w:tcPr>
            <w:tcW w:w="771" w:type="pct"/>
            <w:shd w:val="clear" w:color="auto" w:fill="auto"/>
            <w:noWrap/>
          </w:tcPr>
          <w:p w14:paraId="48AEEB50" w14:textId="366E1498" w:rsidR="00127114" w:rsidRPr="00127114" w:rsidRDefault="00127114" w:rsidP="004C020F">
            <w:pPr>
              <w:pStyle w:val="TableTextLeft-Indent"/>
              <w:ind w:left="0" w:firstLine="0"/>
            </w:pPr>
            <w:r w:rsidRPr="00127114">
              <w:t xml:space="preserve">Removed </w:t>
            </w:r>
          </w:p>
        </w:tc>
      </w:tr>
      <w:tr w:rsidR="000E79F5" w:rsidRPr="00F734D4" w14:paraId="4290B5F1" w14:textId="77777777" w:rsidTr="00C03DF9">
        <w:trPr>
          <w:trHeight w:val="228"/>
        </w:trPr>
        <w:tc>
          <w:tcPr>
            <w:tcW w:w="4229" w:type="pct"/>
            <w:shd w:val="clear" w:color="auto" w:fill="E6F2FF"/>
            <w:noWrap/>
          </w:tcPr>
          <w:p w14:paraId="124C66B5" w14:textId="45328994" w:rsidR="000E79F5" w:rsidRPr="00F734D4" w:rsidRDefault="000E79F5" w:rsidP="00C03DF9">
            <w:pPr>
              <w:pStyle w:val="TableColumnHeadingLeft"/>
              <w:rPr>
                <w:rFonts w:eastAsia="Calibri"/>
              </w:rPr>
            </w:pPr>
            <w:r w:rsidRPr="004266F5">
              <w:rPr>
                <w:rFonts w:eastAsia="Arial"/>
              </w:rPr>
              <w:t>Contingent liabilit</w:t>
            </w:r>
            <w:r w:rsidR="00127114">
              <w:rPr>
                <w:rFonts w:eastAsia="Arial"/>
              </w:rPr>
              <w:t>y</w:t>
            </w:r>
            <w:r w:rsidRPr="004266F5">
              <w:rPr>
                <w:rFonts w:eastAsia="Arial"/>
              </w:rPr>
              <w:t xml:space="preserve"> – quantifiable</w:t>
            </w:r>
          </w:p>
        </w:tc>
        <w:tc>
          <w:tcPr>
            <w:tcW w:w="771" w:type="pct"/>
            <w:shd w:val="clear" w:color="auto" w:fill="E6F2FF"/>
            <w:noWrap/>
          </w:tcPr>
          <w:p w14:paraId="180CEA99" w14:textId="77777777" w:rsidR="000E79F5" w:rsidRPr="00AD3D62" w:rsidRDefault="000E79F5" w:rsidP="00C03DF9">
            <w:pPr>
              <w:pStyle w:val="TableTextLeft"/>
            </w:pPr>
          </w:p>
        </w:tc>
      </w:tr>
      <w:tr w:rsidR="000E79F5" w:rsidRPr="00F734D4" w14:paraId="7AE015FD" w14:textId="77777777" w:rsidTr="00C03DF9">
        <w:trPr>
          <w:trHeight w:val="228"/>
        </w:trPr>
        <w:tc>
          <w:tcPr>
            <w:tcW w:w="4229" w:type="pct"/>
            <w:shd w:val="clear" w:color="auto" w:fill="auto"/>
            <w:noWrap/>
          </w:tcPr>
          <w:p w14:paraId="44A0A788" w14:textId="77777777" w:rsidR="000E79F5" w:rsidRPr="00F734D4" w:rsidRDefault="000E79F5" w:rsidP="00C03DF9">
            <w:pPr>
              <w:pStyle w:val="TableTextLeft-Indent"/>
            </w:pPr>
            <w:r w:rsidRPr="00F734D4">
              <w:t>Indigenous Land and Sea Corporation – Voyages Indigenous Tourism Australia</w:t>
            </w:r>
          </w:p>
        </w:tc>
        <w:tc>
          <w:tcPr>
            <w:tcW w:w="771" w:type="pct"/>
            <w:shd w:val="clear" w:color="auto" w:fill="auto"/>
            <w:noWrap/>
          </w:tcPr>
          <w:p w14:paraId="6247E319" w14:textId="2A9E8049" w:rsidR="000E79F5" w:rsidRPr="00AD3D62" w:rsidRDefault="000E79F5" w:rsidP="00C03DF9">
            <w:pPr>
              <w:pStyle w:val="TableTextLeft"/>
            </w:pPr>
            <w:r>
              <w:t>Unchanged</w:t>
            </w:r>
          </w:p>
        </w:tc>
      </w:tr>
      <w:tr w:rsidR="000E79F5" w:rsidRPr="00F734D4" w14:paraId="03AA2B83" w14:textId="77777777" w:rsidTr="00C03DF9">
        <w:trPr>
          <w:trHeight w:val="228"/>
        </w:trPr>
        <w:tc>
          <w:tcPr>
            <w:tcW w:w="4229" w:type="pct"/>
            <w:shd w:val="clear" w:color="auto" w:fill="E6F2FF"/>
            <w:noWrap/>
          </w:tcPr>
          <w:p w14:paraId="01B877EF" w14:textId="77777777" w:rsidR="000E79F5" w:rsidRPr="00F734D4" w:rsidRDefault="000E79F5" w:rsidP="00C03DF9">
            <w:pPr>
              <w:pStyle w:val="TableColumnHeadingLeft"/>
            </w:pPr>
            <w:r w:rsidRPr="00F734D4">
              <w:t>Social Services</w:t>
            </w:r>
          </w:p>
        </w:tc>
        <w:tc>
          <w:tcPr>
            <w:tcW w:w="771" w:type="pct"/>
            <w:shd w:val="clear" w:color="auto" w:fill="E6F2FF"/>
            <w:noWrap/>
          </w:tcPr>
          <w:p w14:paraId="1CDDCA64" w14:textId="77777777" w:rsidR="000E79F5" w:rsidRPr="00AD3D62" w:rsidRDefault="000E79F5" w:rsidP="00C03DF9">
            <w:pPr>
              <w:pStyle w:val="TableColumnHeadingLeft"/>
            </w:pPr>
            <w:r w:rsidRPr="00AD3D62">
              <w:t>Status</w:t>
            </w:r>
          </w:p>
        </w:tc>
      </w:tr>
      <w:tr w:rsidR="000E79F5" w:rsidRPr="00F734D4" w14:paraId="44E2F69B" w14:textId="77777777" w:rsidTr="00C03DF9">
        <w:trPr>
          <w:trHeight w:val="228"/>
        </w:trPr>
        <w:tc>
          <w:tcPr>
            <w:tcW w:w="4229" w:type="pct"/>
            <w:shd w:val="clear" w:color="auto" w:fill="E6F2FF"/>
            <w:noWrap/>
          </w:tcPr>
          <w:p w14:paraId="3253E827" w14:textId="77777777" w:rsidR="000E79F5" w:rsidRPr="00F734D4" w:rsidRDefault="000E79F5" w:rsidP="00C03DF9">
            <w:pPr>
              <w:pStyle w:val="TableColumnHeadingLeft"/>
              <w:rPr>
                <w:rFonts w:eastAsia="Calibri"/>
              </w:rPr>
            </w:pPr>
            <w:r w:rsidRPr="00F734D4">
              <w:rPr>
                <w:rFonts w:eastAsia="Arial"/>
              </w:rPr>
              <w:t>Fiscal Risks</w:t>
            </w:r>
          </w:p>
        </w:tc>
        <w:tc>
          <w:tcPr>
            <w:tcW w:w="771" w:type="pct"/>
            <w:shd w:val="clear" w:color="auto" w:fill="E6F2FF"/>
            <w:noWrap/>
          </w:tcPr>
          <w:p w14:paraId="57FDF669" w14:textId="77777777" w:rsidR="000E79F5" w:rsidRPr="00AD3D62" w:rsidRDefault="000E79F5" w:rsidP="00C03DF9">
            <w:pPr>
              <w:pStyle w:val="TableTextLeft"/>
            </w:pPr>
          </w:p>
        </w:tc>
      </w:tr>
      <w:tr w:rsidR="000E79F5" w:rsidRPr="00F734D4" w:rsidDel="00E872FE" w14:paraId="595BD69E" w14:textId="77777777" w:rsidTr="00C03DF9">
        <w:trPr>
          <w:trHeight w:val="228"/>
        </w:trPr>
        <w:tc>
          <w:tcPr>
            <w:tcW w:w="4229" w:type="pct"/>
            <w:shd w:val="clear" w:color="auto" w:fill="auto"/>
            <w:noWrap/>
          </w:tcPr>
          <w:p w14:paraId="521B77B1" w14:textId="69D4509C" w:rsidR="000E79F5" w:rsidRPr="00F734D4" w:rsidRDefault="000E79F5" w:rsidP="00C03DF9">
            <w:pPr>
              <w:pStyle w:val="TableTextLeft-Indent"/>
            </w:pPr>
            <w:r w:rsidRPr="00F734D4">
              <w:t>COVID</w:t>
            </w:r>
            <w:r w:rsidR="00B63FC6">
              <w:noBreakHyphen/>
            </w:r>
            <w:r w:rsidRPr="00F734D4">
              <w:t xml:space="preserve">19 and disaster social </w:t>
            </w:r>
            <w:r>
              <w:t>security</w:t>
            </w:r>
            <w:r w:rsidRPr="00F734D4">
              <w:t xml:space="preserve"> debt pause for specified areas </w:t>
            </w:r>
          </w:p>
        </w:tc>
        <w:tc>
          <w:tcPr>
            <w:tcW w:w="771" w:type="pct"/>
            <w:shd w:val="clear" w:color="auto" w:fill="auto"/>
            <w:noWrap/>
          </w:tcPr>
          <w:p w14:paraId="02CBA3E9" w14:textId="015AA3AC" w:rsidR="000E79F5" w:rsidRPr="00AD3D62" w:rsidRDefault="002653AC" w:rsidP="00C03DF9">
            <w:pPr>
              <w:pStyle w:val="TableTextLeft"/>
              <w:rPr>
                <w:rFonts w:eastAsia="Calibri"/>
              </w:rPr>
            </w:pPr>
            <w:r>
              <w:t>Re</w:t>
            </w:r>
            <w:r w:rsidR="0063674C">
              <w:t>moved</w:t>
            </w:r>
          </w:p>
        </w:tc>
      </w:tr>
      <w:tr w:rsidR="000E79F5" w:rsidRPr="00AD3D62" w:rsidDel="00E872FE" w14:paraId="356E598F" w14:textId="77777777" w:rsidTr="00C03DF9">
        <w:trPr>
          <w:trHeight w:val="228"/>
        </w:trPr>
        <w:tc>
          <w:tcPr>
            <w:tcW w:w="4229" w:type="pct"/>
            <w:shd w:val="clear" w:color="auto" w:fill="auto"/>
            <w:noWrap/>
          </w:tcPr>
          <w:p w14:paraId="3345555A" w14:textId="77777777" w:rsidR="000E79F5" w:rsidRPr="00F734D4" w:rsidRDefault="000E79F5" w:rsidP="00C03DF9">
            <w:pPr>
              <w:pStyle w:val="TableTextLeft-Indent"/>
            </w:pPr>
            <w:r w:rsidRPr="00F734D4">
              <w:t>National Disability Insurance Scheme</w:t>
            </w:r>
          </w:p>
        </w:tc>
        <w:tc>
          <w:tcPr>
            <w:tcW w:w="771" w:type="pct"/>
            <w:shd w:val="clear" w:color="auto" w:fill="auto"/>
            <w:noWrap/>
          </w:tcPr>
          <w:p w14:paraId="05E82209" w14:textId="77777777" w:rsidR="000E79F5" w:rsidRPr="00AD3D62" w:rsidRDefault="000E79F5" w:rsidP="00C03DF9">
            <w:pPr>
              <w:pStyle w:val="TableTextLeft"/>
            </w:pPr>
            <w:r>
              <w:t>Modified</w:t>
            </w:r>
          </w:p>
        </w:tc>
      </w:tr>
      <w:tr w:rsidR="000E79F5" w:rsidRPr="00F734D4" w14:paraId="009051A6" w14:textId="77777777" w:rsidTr="00C03DF9">
        <w:trPr>
          <w:trHeight w:val="228"/>
        </w:trPr>
        <w:tc>
          <w:tcPr>
            <w:tcW w:w="4229" w:type="pct"/>
            <w:shd w:val="clear" w:color="auto" w:fill="E6F2FF"/>
            <w:noWrap/>
          </w:tcPr>
          <w:p w14:paraId="656E95D1" w14:textId="576C876F" w:rsidR="000E79F5" w:rsidRPr="00F734D4" w:rsidRDefault="000E79F5" w:rsidP="00C03DF9">
            <w:pPr>
              <w:pStyle w:val="TableColumnHeadingLeft"/>
              <w:rPr>
                <w:rFonts w:eastAsia="Arial"/>
              </w:rPr>
            </w:pPr>
            <w:r w:rsidRPr="004266F5">
              <w:rPr>
                <w:rFonts w:eastAsia="Arial"/>
              </w:rPr>
              <w:t>Contingent liabilit</w:t>
            </w:r>
            <w:r w:rsidR="004266F5" w:rsidRPr="004266F5">
              <w:rPr>
                <w:rFonts w:eastAsia="Arial"/>
              </w:rPr>
              <w:t>ies</w:t>
            </w:r>
            <w:r>
              <w:rPr>
                <w:rFonts w:eastAsia="Arial"/>
              </w:rPr>
              <w:t xml:space="preserve">– unquantifiable </w:t>
            </w:r>
          </w:p>
        </w:tc>
        <w:tc>
          <w:tcPr>
            <w:tcW w:w="771" w:type="pct"/>
            <w:shd w:val="clear" w:color="auto" w:fill="E6F2FF"/>
            <w:noWrap/>
          </w:tcPr>
          <w:p w14:paraId="5E766F15" w14:textId="77777777" w:rsidR="000E79F5" w:rsidRPr="00F734D4" w:rsidRDefault="000E79F5" w:rsidP="00C03DF9">
            <w:pPr>
              <w:pStyle w:val="TableTextLeft"/>
            </w:pPr>
          </w:p>
        </w:tc>
      </w:tr>
      <w:tr w:rsidR="000E79F5" w:rsidRPr="00F734D4" w14:paraId="0E0D312E" w14:textId="77777777" w:rsidTr="00C03DF9">
        <w:trPr>
          <w:trHeight w:val="228"/>
        </w:trPr>
        <w:tc>
          <w:tcPr>
            <w:tcW w:w="4229" w:type="pct"/>
            <w:shd w:val="clear" w:color="auto" w:fill="FFFFFF" w:themeFill="background1"/>
            <w:noWrap/>
          </w:tcPr>
          <w:p w14:paraId="3B98F8B0" w14:textId="77777777" w:rsidR="000E79F5" w:rsidRPr="006F6B94" w:rsidRDefault="000E79F5" w:rsidP="00C03DF9">
            <w:pPr>
              <w:pStyle w:val="TableTextLeft-Indent"/>
              <w:rPr>
                <w:rFonts w:eastAsia="Arial" w:cs="Arial"/>
              </w:rPr>
            </w:pPr>
            <w:r>
              <w:rPr>
                <w:rFonts w:eastAsia="Arial" w:cs="Arial"/>
              </w:rPr>
              <w:t>Income apportionment and debt pause</w:t>
            </w:r>
          </w:p>
        </w:tc>
        <w:tc>
          <w:tcPr>
            <w:tcW w:w="771" w:type="pct"/>
            <w:shd w:val="clear" w:color="auto" w:fill="FFFFFF" w:themeFill="background1"/>
            <w:noWrap/>
          </w:tcPr>
          <w:p w14:paraId="7689584B" w14:textId="77777777" w:rsidR="000E79F5" w:rsidRPr="00F734D4" w:rsidRDefault="000E79F5" w:rsidP="00C03DF9">
            <w:pPr>
              <w:pStyle w:val="TableTextLeft"/>
              <w:rPr>
                <w:bCs/>
              </w:rPr>
            </w:pPr>
            <w:r>
              <w:rPr>
                <w:bCs/>
              </w:rPr>
              <w:t>Unchanged</w:t>
            </w:r>
          </w:p>
        </w:tc>
      </w:tr>
      <w:tr w:rsidR="000C3C01" w:rsidRPr="00F734D4" w14:paraId="5929D2D3" w14:textId="77777777" w:rsidTr="00C03DF9">
        <w:trPr>
          <w:trHeight w:val="228"/>
        </w:trPr>
        <w:tc>
          <w:tcPr>
            <w:tcW w:w="4229" w:type="pct"/>
            <w:shd w:val="clear" w:color="auto" w:fill="FFFFFF" w:themeFill="background1"/>
            <w:noWrap/>
          </w:tcPr>
          <w:p w14:paraId="503E53CB" w14:textId="52669834" w:rsidR="000C3C01" w:rsidRDefault="00F64B8F" w:rsidP="00C03DF9">
            <w:pPr>
              <w:pStyle w:val="TableTextLeft-Indent"/>
              <w:rPr>
                <w:rFonts w:eastAsia="Arial" w:cs="Arial"/>
              </w:rPr>
            </w:pPr>
            <w:proofErr w:type="spellStart"/>
            <w:r w:rsidRPr="00F64B8F">
              <w:rPr>
                <w:rFonts w:eastAsia="Arial" w:cs="Arial"/>
              </w:rPr>
              <w:t>Prygodicz</w:t>
            </w:r>
            <w:proofErr w:type="spellEnd"/>
            <w:r w:rsidRPr="00F64B8F">
              <w:rPr>
                <w:rFonts w:eastAsia="Arial" w:cs="Arial"/>
              </w:rPr>
              <w:t xml:space="preserve"> v Commonwealth</w:t>
            </w:r>
          </w:p>
        </w:tc>
        <w:tc>
          <w:tcPr>
            <w:tcW w:w="771" w:type="pct"/>
            <w:shd w:val="clear" w:color="auto" w:fill="FFFFFF" w:themeFill="background1"/>
            <w:noWrap/>
          </w:tcPr>
          <w:p w14:paraId="022178F4" w14:textId="0AD734E8" w:rsidR="000C3C01" w:rsidRDefault="00F64B8F" w:rsidP="00C03DF9">
            <w:pPr>
              <w:pStyle w:val="TableTextLeft"/>
              <w:rPr>
                <w:bCs/>
              </w:rPr>
            </w:pPr>
            <w:r>
              <w:rPr>
                <w:bCs/>
              </w:rPr>
              <w:t>New</w:t>
            </w:r>
          </w:p>
        </w:tc>
      </w:tr>
      <w:tr w:rsidR="000E79F5" w:rsidRPr="00F734D4" w14:paraId="00891713" w14:textId="77777777" w:rsidTr="00C03DF9">
        <w:trPr>
          <w:trHeight w:val="228"/>
        </w:trPr>
        <w:tc>
          <w:tcPr>
            <w:tcW w:w="4229" w:type="pct"/>
            <w:shd w:val="clear" w:color="auto" w:fill="E6F2FF"/>
            <w:noWrap/>
          </w:tcPr>
          <w:p w14:paraId="2B2475F9" w14:textId="77777777" w:rsidR="000E79F5" w:rsidRPr="00F734D4" w:rsidRDefault="000E79F5" w:rsidP="00C03DF9">
            <w:pPr>
              <w:pStyle w:val="TableColumnHeadingLeft"/>
              <w:rPr>
                <w:rFonts w:eastAsia="Arial"/>
              </w:rPr>
            </w:pPr>
            <w:r w:rsidRPr="00F734D4">
              <w:rPr>
                <w:rFonts w:eastAsia="Arial"/>
              </w:rPr>
              <w:t>Contingent asset – quantifiable</w:t>
            </w:r>
          </w:p>
        </w:tc>
        <w:tc>
          <w:tcPr>
            <w:tcW w:w="771" w:type="pct"/>
            <w:shd w:val="clear" w:color="auto" w:fill="E6F2FF"/>
            <w:noWrap/>
          </w:tcPr>
          <w:p w14:paraId="30CE9724" w14:textId="77777777" w:rsidR="000E79F5" w:rsidRPr="00F734D4" w:rsidRDefault="000E79F5" w:rsidP="00C03DF9">
            <w:pPr>
              <w:pStyle w:val="TableTextLeft"/>
            </w:pPr>
          </w:p>
        </w:tc>
      </w:tr>
      <w:tr w:rsidR="000E79F5" w:rsidRPr="00F734D4" w14:paraId="587778FC" w14:textId="77777777" w:rsidTr="00C03DF9">
        <w:trPr>
          <w:trHeight w:val="228"/>
        </w:trPr>
        <w:tc>
          <w:tcPr>
            <w:tcW w:w="4229" w:type="pct"/>
            <w:shd w:val="clear" w:color="auto" w:fill="FFFFFF" w:themeFill="background1"/>
            <w:noWrap/>
          </w:tcPr>
          <w:p w14:paraId="2646E2F6" w14:textId="77777777" w:rsidR="000E79F5" w:rsidRPr="00F734D4" w:rsidRDefault="000E79F5" w:rsidP="00C03DF9">
            <w:pPr>
              <w:pStyle w:val="TableTextLeft-Indent"/>
              <w:rPr>
                <w:rFonts w:eastAsia="Arial" w:cs="Arial"/>
                <w:b/>
                <w:bCs/>
              </w:rPr>
            </w:pPr>
            <w:r w:rsidRPr="00F734D4">
              <w:t>National Redress Scheme</w:t>
            </w:r>
          </w:p>
        </w:tc>
        <w:tc>
          <w:tcPr>
            <w:tcW w:w="771" w:type="pct"/>
            <w:shd w:val="clear" w:color="auto" w:fill="FFFFFF" w:themeFill="background1"/>
            <w:noWrap/>
          </w:tcPr>
          <w:p w14:paraId="087DAD8C" w14:textId="77777777" w:rsidR="000E79F5" w:rsidRPr="00F734D4" w:rsidRDefault="000E79F5" w:rsidP="00C03DF9">
            <w:pPr>
              <w:pStyle w:val="TableTextLeft"/>
              <w:rPr>
                <w:bCs/>
              </w:rPr>
            </w:pPr>
            <w:r w:rsidRPr="00F734D4">
              <w:t>Modified</w:t>
            </w:r>
          </w:p>
        </w:tc>
      </w:tr>
      <w:tr w:rsidR="000E79F5" w:rsidRPr="00F734D4" w14:paraId="4E8B8189" w14:textId="77777777" w:rsidTr="00C03DF9">
        <w:trPr>
          <w:trHeight w:val="228"/>
        </w:trPr>
        <w:tc>
          <w:tcPr>
            <w:tcW w:w="4229" w:type="pct"/>
            <w:shd w:val="clear" w:color="auto" w:fill="E6F2FF"/>
            <w:noWrap/>
          </w:tcPr>
          <w:p w14:paraId="7A6948AD" w14:textId="77777777" w:rsidR="000E79F5" w:rsidRPr="00F734D4" w:rsidRDefault="000E79F5" w:rsidP="00C03DF9">
            <w:pPr>
              <w:pStyle w:val="TableColumnHeadingLeft"/>
            </w:pPr>
            <w:r w:rsidRPr="00F734D4">
              <w:t>Treasury</w:t>
            </w:r>
          </w:p>
        </w:tc>
        <w:tc>
          <w:tcPr>
            <w:tcW w:w="771" w:type="pct"/>
            <w:shd w:val="clear" w:color="auto" w:fill="E6F2FF"/>
            <w:noWrap/>
          </w:tcPr>
          <w:p w14:paraId="34161760" w14:textId="77777777" w:rsidR="000E79F5" w:rsidRPr="00F734D4" w:rsidRDefault="000E79F5" w:rsidP="00C03DF9">
            <w:pPr>
              <w:pStyle w:val="TableColumnHeadingLeft"/>
            </w:pPr>
            <w:r w:rsidRPr="00F734D4">
              <w:t>Status</w:t>
            </w:r>
          </w:p>
        </w:tc>
      </w:tr>
      <w:tr w:rsidR="009D0FD6" w:rsidRPr="00F734D4" w14:paraId="5CD9274A" w14:textId="77777777" w:rsidTr="00C03DF9">
        <w:trPr>
          <w:trHeight w:val="228"/>
        </w:trPr>
        <w:tc>
          <w:tcPr>
            <w:tcW w:w="4229" w:type="pct"/>
            <w:shd w:val="clear" w:color="auto" w:fill="E6F2FF"/>
            <w:noWrap/>
          </w:tcPr>
          <w:p w14:paraId="6A8E988D" w14:textId="30E77FFB" w:rsidR="009D0FD6" w:rsidRPr="00F734D4" w:rsidRDefault="009D0FD6" w:rsidP="00C03DF9">
            <w:pPr>
              <w:pStyle w:val="TableColumnHeadingLeft"/>
              <w:rPr>
                <w:rFonts w:eastAsia="Arial"/>
              </w:rPr>
            </w:pPr>
            <w:r>
              <w:rPr>
                <w:rFonts w:eastAsia="Arial"/>
              </w:rPr>
              <w:t>Fiscal Risks</w:t>
            </w:r>
          </w:p>
        </w:tc>
        <w:tc>
          <w:tcPr>
            <w:tcW w:w="771" w:type="pct"/>
            <w:shd w:val="clear" w:color="auto" w:fill="E6F2FF"/>
            <w:noWrap/>
          </w:tcPr>
          <w:p w14:paraId="7B7F4724" w14:textId="77777777" w:rsidR="009D0FD6" w:rsidRPr="00F734D4" w:rsidRDefault="009D0FD6" w:rsidP="00C03DF9">
            <w:pPr>
              <w:pStyle w:val="TableColumnHeadingRight"/>
            </w:pPr>
          </w:p>
        </w:tc>
      </w:tr>
      <w:tr w:rsidR="009D0FD6" w:rsidRPr="0014040E" w14:paraId="61FC3E90" w14:textId="77777777" w:rsidTr="00A32FE6">
        <w:trPr>
          <w:trHeight w:val="228"/>
        </w:trPr>
        <w:tc>
          <w:tcPr>
            <w:tcW w:w="4229" w:type="pct"/>
            <w:shd w:val="clear" w:color="auto" w:fill="auto"/>
            <w:noWrap/>
          </w:tcPr>
          <w:p w14:paraId="11C51B6D" w14:textId="0A1C7BFA" w:rsidR="009D0FD6" w:rsidRPr="00654540" w:rsidRDefault="009D0FD6" w:rsidP="00654540">
            <w:pPr>
              <w:pStyle w:val="TableTextLeft-Indent"/>
            </w:pPr>
            <w:r w:rsidRPr="0014040E">
              <w:t>Guarantee for the Asia Development Bank</w:t>
            </w:r>
            <w:r w:rsidR="00B63FC6">
              <w:t>’</w:t>
            </w:r>
            <w:r w:rsidRPr="0014040E">
              <w:t>s Innovative Finance Facility</w:t>
            </w:r>
          </w:p>
        </w:tc>
        <w:tc>
          <w:tcPr>
            <w:tcW w:w="771" w:type="pct"/>
            <w:shd w:val="clear" w:color="auto" w:fill="auto"/>
            <w:noWrap/>
          </w:tcPr>
          <w:p w14:paraId="51B9DA65" w14:textId="46BD9371" w:rsidR="009D0FD6" w:rsidRPr="0014040E" w:rsidRDefault="001F08F4" w:rsidP="00654540">
            <w:pPr>
              <w:pStyle w:val="TableTextLeft-Indent"/>
              <w:ind w:left="39" w:firstLine="0"/>
            </w:pPr>
            <w:r>
              <w:t>New</w:t>
            </w:r>
          </w:p>
        </w:tc>
      </w:tr>
      <w:tr w:rsidR="000E79F5" w:rsidRPr="00F734D4" w14:paraId="3D066E28" w14:textId="77777777" w:rsidTr="00C03DF9">
        <w:trPr>
          <w:trHeight w:val="228"/>
        </w:trPr>
        <w:tc>
          <w:tcPr>
            <w:tcW w:w="4229" w:type="pct"/>
            <w:shd w:val="clear" w:color="auto" w:fill="E6F2FF"/>
            <w:noWrap/>
          </w:tcPr>
          <w:p w14:paraId="58F53F6E" w14:textId="77777777" w:rsidR="000E79F5" w:rsidRPr="00F734D4" w:rsidRDefault="000E79F5" w:rsidP="00C03DF9">
            <w:pPr>
              <w:pStyle w:val="TableColumnHeadingLeft"/>
            </w:pPr>
            <w:r w:rsidRPr="00F734D4">
              <w:rPr>
                <w:rFonts w:eastAsia="Arial"/>
              </w:rPr>
              <w:t xml:space="preserve">Significant but remote contingencies </w:t>
            </w:r>
          </w:p>
        </w:tc>
        <w:tc>
          <w:tcPr>
            <w:tcW w:w="771" w:type="pct"/>
            <w:shd w:val="clear" w:color="auto" w:fill="E6F2FF"/>
            <w:noWrap/>
          </w:tcPr>
          <w:p w14:paraId="538F56EC" w14:textId="77777777" w:rsidR="000E79F5" w:rsidRPr="00F734D4" w:rsidRDefault="000E79F5" w:rsidP="00C03DF9">
            <w:pPr>
              <w:pStyle w:val="TableColumnHeadingRight"/>
            </w:pPr>
          </w:p>
        </w:tc>
      </w:tr>
      <w:tr w:rsidR="000E79F5" w:rsidRPr="00F734D4" w14:paraId="18CE5B66" w14:textId="77777777" w:rsidTr="00C03DF9">
        <w:trPr>
          <w:trHeight w:val="228"/>
        </w:trPr>
        <w:tc>
          <w:tcPr>
            <w:tcW w:w="4229" w:type="pct"/>
            <w:shd w:val="clear" w:color="auto" w:fill="auto"/>
            <w:noWrap/>
          </w:tcPr>
          <w:p w14:paraId="3ABCC6E1" w14:textId="77777777" w:rsidR="000E79F5" w:rsidRPr="00F734D4" w:rsidRDefault="000E79F5" w:rsidP="00C03DF9">
            <w:pPr>
              <w:pStyle w:val="TableTextLeft-Indent"/>
            </w:pPr>
            <w:r w:rsidRPr="00F734D4">
              <w:t>Asbestos Injuries Compensation Fund</w:t>
            </w:r>
          </w:p>
        </w:tc>
        <w:tc>
          <w:tcPr>
            <w:tcW w:w="771" w:type="pct"/>
            <w:shd w:val="clear" w:color="auto" w:fill="auto"/>
            <w:noWrap/>
          </w:tcPr>
          <w:p w14:paraId="7726711D" w14:textId="77777777" w:rsidR="000E79F5" w:rsidRPr="00F734D4" w:rsidRDefault="000E79F5" w:rsidP="00C03DF9">
            <w:pPr>
              <w:pStyle w:val="TableTextLeft"/>
            </w:pPr>
            <w:r w:rsidRPr="00F734D4">
              <w:t>Unchanged</w:t>
            </w:r>
          </w:p>
        </w:tc>
      </w:tr>
      <w:tr w:rsidR="000E79F5" w:rsidRPr="00F734D4" w14:paraId="6F9B0E33" w14:textId="77777777" w:rsidTr="00C03DF9">
        <w:trPr>
          <w:trHeight w:val="228"/>
        </w:trPr>
        <w:tc>
          <w:tcPr>
            <w:tcW w:w="4229" w:type="pct"/>
            <w:shd w:val="clear" w:color="auto" w:fill="auto"/>
            <w:noWrap/>
          </w:tcPr>
          <w:p w14:paraId="3F952741" w14:textId="77777777" w:rsidR="000E79F5" w:rsidRPr="00F734D4" w:rsidRDefault="000E79F5" w:rsidP="00C03DF9">
            <w:pPr>
              <w:pStyle w:val="TableTextLeft-Indent"/>
            </w:pPr>
            <w:r w:rsidRPr="00F734D4">
              <w:t>Financial Claims Scheme</w:t>
            </w:r>
          </w:p>
        </w:tc>
        <w:tc>
          <w:tcPr>
            <w:tcW w:w="771" w:type="pct"/>
            <w:shd w:val="clear" w:color="auto" w:fill="auto"/>
            <w:noWrap/>
          </w:tcPr>
          <w:p w14:paraId="580FC23A" w14:textId="77777777" w:rsidR="000E79F5" w:rsidRPr="00F734D4" w:rsidRDefault="000E79F5" w:rsidP="00C03DF9">
            <w:pPr>
              <w:pStyle w:val="TableTextLeft"/>
            </w:pPr>
            <w:r>
              <w:t>Unchanged</w:t>
            </w:r>
          </w:p>
        </w:tc>
      </w:tr>
      <w:tr w:rsidR="000E79F5" w:rsidRPr="00F734D4" w14:paraId="3111F509" w14:textId="77777777" w:rsidTr="00C03DF9">
        <w:trPr>
          <w:trHeight w:val="228"/>
        </w:trPr>
        <w:tc>
          <w:tcPr>
            <w:tcW w:w="4229" w:type="pct"/>
            <w:shd w:val="clear" w:color="auto" w:fill="auto"/>
            <w:noWrap/>
          </w:tcPr>
          <w:p w14:paraId="2A7CA048" w14:textId="77777777" w:rsidR="000E79F5" w:rsidRPr="00F734D4" w:rsidRDefault="000E79F5" w:rsidP="00C03DF9">
            <w:pPr>
              <w:pStyle w:val="TableTextLeft-Indent"/>
            </w:pPr>
            <w:r w:rsidRPr="00F734D4">
              <w:t xml:space="preserve">Guarantee for </w:t>
            </w:r>
            <w:r>
              <w:t>Housing Australia</w:t>
            </w:r>
          </w:p>
        </w:tc>
        <w:tc>
          <w:tcPr>
            <w:tcW w:w="771" w:type="pct"/>
            <w:shd w:val="clear" w:color="auto" w:fill="auto"/>
            <w:noWrap/>
          </w:tcPr>
          <w:p w14:paraId="0A1DB769" w14:textId="7D90910C" w:rsidR="000E79F5" w:rsidRPr="00F734D4" w:rsidRDefault="00F36D7F" w:rsidP="00C03DF9">
            <w:pPr>
              <w:pStyle w:val="TableTextLeft"/>
            </w:pPr>
            <w:r>
              <w:t>Unchanged</w:t>
            </w:r>
          </w:p>
        </w:tc>
      </w:tr>
      <w:tr w:rsidR="000E79F5" w:rsidRPr="00F734D4" w14:paraId="6A4F94E3" w14:textId="77777777" w:rsidTr="00C03DF9">
        <w:trPr>
          <w:trHeight w:val="228"/>
        </w:trPr>
        <w:tc>
          <w:tcPr>
            <w:tcW w:w="4229" w:type="pct"/>
            <w:shd w:val="clear" w:color="auto" w:fill="auto"/>
            <w:noWrap/>
          </w:tcPr>
          <w:p w14:paraId="18F23576" w14:textId="77777777" w:rsidR="000E79F5" w:rsidRPr="00F734D4" w:rsidRDefault="000E79F5" w:rsidP="00C03DF9">
            <w:pPr>
              <w:pStyle w:val="TableTextLeft-Indent"/>
            </w:pPr>
            <w:r w:rsidRPr="00F734D4">
              <w:t xml:space="preserve">Guarantees under the </w:t>
            </w:r>
            <w:r w:rsidRPr="007967CD">
              <w:rPr>
                <w:rStyle w:val="Emphasis"/>
              </w:rPr>
              <w:t>Commonwealth Bank Sale Act 1995</w:t>
            </w:r>
          </w:p>
        </w:tc>
        <w:tc>
          <w:tcPr>
            <w:tcW w:w="771" w:type="pct"/>
            <w:shd w:val="clear" w:color="auto" w:fill="auto"/>
            <w:noWrap/>
          </w:tcPr>
          <w:p w14:paraId="1EF9A585" w14:textId="77777777" w:rsidR="000E79F5" w:rsidRPr="00F734D4" w:rsidRDefault="000E79F5" w:rsidP="00C03DF9">
            <w:pPr>
              <w:pStyle w:val="TableTextLeft"/>
            </w:pPr>
            <w:r w:rsidRPr="00F734D4">
              <w:t>Modified</w:t>
            </w:r>
          </w:p>
        </w:tc>
      </w:tr>
      <w:tr w:rsidR="000E79F5" w:rsidRPr="00F734D4" w14:paraId="7213773D" w14:textId="77777777" w:rsidTr="00C03DF9">
        <w:trPr>
          <w:trHeight w:val="228"/>
        </w:trPr>
        <w:tc>
          <w:tcPr>
            <w:tcW w:w="4229" w:type="pct"/>
            <w:shd w:val="clear" w:color="auto" w:fill="auto"/>
            <w:noWrap/>
          </w:tcPr>
          <w:p w14:paraId="0A0FC3CD" w14:textId="77777777" w:rsidR="000E79F5" w:rsidRPr="00F734D4" w:rsidRDefault="000E79F5" w:rsidP="00C03DF9">
            <w:pPr>
              <w:pStyle w:val="TableTextLeft-Indent"/>
            </w:pPr>
            <w:r w:rsidRPr="00F734D4">
              <w:t>Reserve Bank of Australia – Guarantee</w:t>
            </w:r>
          </w:p>
        </w:tc>
        <w:tc>
          <w:tcPr>
            <w:tcW w:w="771" w:type="pct"/>
            <w:shd w:val="clear" w:color="auto" w:fill="auto"/>
            <w:noWrap/>
          </w:tcPr>
          <w:p w14:paraId="19D74234" w14:textId="77777777" w:rsidR="000E79F5" w:rsidRPr="00F734D4" w:rsidRDefault="000E79F5" w:rsidP="00C03DF9">
            <w:pPr>
              <w:pStyle w:val="TableTextLeft"/>
            </w:pPr>
            <w:r>
              <w:t>Modified</w:t>
            </w:r>
          </w:p>
        </w:tc>
      </w:tr>
      <w:tr w:rsidR="000E79F5" w:rsidRPr="00F734D4" w14:paraId="329C3257" w14:textId="77777777" w:rsidTr="00C03DF9">
        <w:trPr>
          <w:trHeight w:val="69"/>
        </w:trPr>
        <w:tc>
          <w:tcPr>
            <w:tcW w:w="4229" w:type="pct"/>
            <w:shd w:val="clear" w:color="auto" w:fill="E6F2FF"/>
            <w:noWrap/>
          </w:tcPr>
          <w:p w14:paraId="6FD261C2" w14:textId="77777777" w:rsidR="000E79F5" w:rsidRPr="00F734D4" w:rsidRDefault="000E79F5" w:rsidP="00C03DF9">
            <w:pPr>
              <w:pStyle w:val="TableColumnHeadingLeft"/>
              <w:rPr>
                <w:rFonts w:eastAsia="Calibri"/>
              </w:rPr>
            </w:pPr>
            <w:r w:rsidRPr="00F734D4">
              <w:rPr>
                <w:rFonts w:eastAsia="Arial"/>
              </w:rPr>
              <w:t>Contingent liabilities – unquantifiable</w:t>
            </w:r>
          </w:p>
        </w:tc>
        <w:tc>
          <w:tcPr>
            <w:tcW w:w="771" w:type="pct"/>
            <w:shd w:val="clear" w:color="auto" w:fill="E6F2FF"/>
            <w:noWrap/>
          </w:tcPr>
          <w:p w14:paraId="74FD4064" w14:textId="77777777" w:rsidR="000E79F5" w:rsidRPr="00F734D4" w:rsidRDefault="000E79F5" w:rsidP="00C03DF9">
            <w:pPr>
              <w:pStyle w:val="TableTextLeft"/>
            </w:pPr>
          </w:p>
        </w:tc>
      </w:tr>
      <w:tr w:rsidR="000E79F5" w:rsidRPr="00F734D4" w14:paraId="54587892" w14:textId="77777777" w:rsidTr="00C03DF9">
        <w:trPr>
          <w:trHeight w:val="228"/>
        </w:trPr>
        <w:tc>
          <w:tcPr>
            <w:tcW w:w="4229" w:type="pct"/>
            <w:shd w:val="clear" w:color="auto" w:fill="auto"/>
            <w:noWrap/>
          </w:tcPr>
          <w:p w14:paraId="2D4410BE" w14:textId="77777777" w:rsidR="000E79F5" w:rsidRPr="00F734D4" w:rsidRDefault="000E79F5" w:rsidP="00C03DF9">
            <w:pPr>
              <w:pStyle w:val="TableTextLeft-Indent"/>
            </w:pPr>
            <w:r w:rsidRPr="00F734D4">
              <w:t>Compensation scheme of last resort</w:t>
            </w:r>
          </w:p>
        </w:tc>
        <w:tc>
          <w:tcPr>
            <w:tcW w:w="771" w:type="pct"/>
            <w:shd w:val="clear" w:color="auto" w:fill="auto"/>
            <w:noWrap/>
          </w:tcPr>
          <w:p w14:paraId="27431A66" w14:textId="77777777" w:rsidR="000E79F5" w:rsidRPr="00F734D4" w:rsidRDefault="000E79F5" w:rsidP="00C03DF9">
            <w:pPr>
              <w:pStyle w:val="TableTextLeft"/>
            </w:pPr>
            <w:r>
              <w:t>Unchanged</w:t>
            </w:r>
          </w:p>
        </w:tc>
      </w:tr>
      <w:tr w:rsidR="000E79F5" w:rsidRPr="00F734D4" w14:paraId="464B9F6D" w14:textId="77777777" w:rsidTr="00C03DF9">
        <w:trPr>
          <w:trHeight w:val="228"/>
        </w:trPr>
        <w:tc>
          <w:tcPr>
            <w:tcW w:w="4229" w:type="pct"/>
            <w:shd w:val="clear" w:color="auto" w:fill="auto"/>
            <w:noWrap/>
          </w:tcPr>
          <w:p w14:paraId="611657BF" w14:textId="77777777" w:rsidR="000E79F5" w:rsidRPr="00F734D4" w:rsidRDefault="000E79F5" w:rsidP="00C03DF9">
            <w:pPr>
              <w:pStyle w:val="TableTextLeft-Indent"/>
            </w:pPr>
            <w:r w:rsidRPr="00F734D4">
              <w:t>Establishment of a cyclone and related flooding reinsurance pool</w:t>
            </w:r>
          </w:p>
        </w:tc>
        <w:tc>
          <w:tcPr>
            <w:tcW w:w="771" w:type="pct"/>
            <w:shd w:val="clear" w:color="auto" w:fill="auto"/>
            <w:noWrap/>
          </w:tcPr>
          <w:p w14:paraId="31312B01" w14:textId="77777777" w:rsidR="000E79F5" w:rsidRPr="00F734D4" w:rsidDel="005573C6" w:rsidRDefault="000E79F5" w:rsidP="00C03DF9">
            <w:pPr>
              <w:pStyle w:val="TableTextLeft"/>
              <w:rPr>
                <w:rFonts w:eastAsia="Arial" w:cs="Arial"/>
              </w:rPr>
            </w:pPr>
            <w:r w:rsidRPr="00F734D4">
              <w:rPr>
                <w:rFonts w:eastAsia="Arial" w:cs="Arial"/>
              </w:rPr>
              <w:t>Unchanged</w:t>
            </w:r>
          </w:p>
        </w:tc>
      </w:tr>
      <w:tr w:rsidR="000E79F5" w:rsidRPr="00F734D4" w14:paraId="7BC8E839" w14:textId="77777777" w:rsidTr="00C03DF9">
        <w:trPr>
          <w:trHeight w:val="228"/>
        </w:trPr>
        <w:tc>
          <w:tcPr>
            <w:tcW w:w="4229" w:type="pct"/>
            <w:shd w:val="clear" w:color="auto" w:fill="auto"/>
            <w:noWrap/>
          </w:tcPr>
          <w:p w14:paraId="5E2FFF2C" w14:textId="77777777" w:rsidR="000E79F5" w:rsidRPr="00F734D4" w:rsidRDefault="000E79F5" w:rsidP="00C03DF9">
            <w:pPr>
              <w:pStyle w:val="TableTextLeft-Indent"/>
              <w:rPr>
                <w:rFonts w:eastAsia="Arial"/>
              </w:rPr>
            </w:pPr>
            <w:r w:rsidRPr="00F734D4">
              <w:t>Government guarantees for housing</w:t>
            </w:r>
          </w:p>
        </w:tc>
        <w:tc>
          <w:tcPr>
            <w:tcW w:w="771" w:type="pct"/>
            <w:shd w:val="clear" w:color="auto" w:fill="auto"/>
            <w:noWrap/>
          </w:tcPr>
          <w:p w14:paraId="725D2E5F" w14:textId="77777777" w:rsidR="000E79F5" w:rsidRPr="00F734D4" w:rsidRDefault="000E79F5" w:rsidP="00C03DF9">
            <w:pPr>
              <w:pStyle w:val="TableTextLeft"/>
              <w:rPr>
                <w:rFonts w:eastAsia="Arial" w:cs="Arial"/>
              </w:rPr>
            </w:pPr>
            <w:r>
              <w:t>Unchanged</w:t>
            </w:r>
          </w:p>
        </w:tc>
      </w:tr>
      <w:tr w:rsidR="000E79F5" w:rsidRPr="00F734D4" w14:paraId="001B5E8D" w14:textId="77777777" w:rsidTr="00C03DF9">
        <w:trPr>
          <w:trHeight w:val="228"/>
        </w:trPr>
        <w:tc>
          <w:tcPr>
            <w:tcW w:w="4229" w:type="pct"/>
            <w:shd w:val="clear" w:color="auto" w:fill="auto"/>
            <w:noWrap/>
          </w:tcPr>
          <w:p w14:paraId="6581BA55" w14:textId="5F99CA66" w:rsidR="000E79F5" w:rsidRPr="00F734D4" w:rsidRDefault="000E79F5" w:rsidP="00C03DF9">
            <w:pPr>
              <w:pStyle w:val="TableTextLeft-Indent"/>
            </w:pPr>
            <w:r w:rsidRPr="00F734D4">
              <w:t>Indemnities for specialised external advisers during the COVID</w:t>
            </w:r>
            <w:r w:rsidR="00B63FC6">
              <w:noBreakHyphen/>
            </w:r>
            <w:r w:rsidRPr="00F734D4">
              <w:t>19 pandemic</w:t>
            </w:r>
          </w:p>
        </w:tc>
        <w:tc>
          <w:tcPr>
            <w:tcW w:w="771" w:type="pct"/>
            <w:shd w:val="clear" w:color="auto" w:fill="auto"/>
            <w:noWrap/>
          </w:tcPr>
          <w:p w14:paraId="3CD630D0" w14:textId="77777777" w:rsidR="000E79F5" w:rsidRPr="00F734D4" w:rsidRDefault="000E79F5" w:rsidP="00C03DF9">
            <w:pPr>
              <w:pStyle w:val="TableTextLeft"/>
              <w:rPr>
                <w:rFonts w:eastAsia="Arial" w:cs="Arial"/>
              </w:rPr>
            </w:pPr>
            <w:r w:rsidRPr="00F734D4">
              <w:rPr>
                <w:rFonts w:eastAsia="Arial" w:cs="Arial"/>
              </w:rPr>
              <w:t>Unchanged</w:t>
            </w:r>
          </w:p>
        </w:tc>
      </w:tr>
      <w:tr w:rsidR="000E79F5" w:rsidRPr="00F734D4" w14:paraId="74687F27" w14:textId="77777777" w:rsidTr="00C03DF9">
        <w:trPr>
          <w:trHeight w:val="228"/>
        </w:trPr>
        <w:tc>
          <w:tcPr>
            <w:tcW w:w="4229" w:type="pct"/>
            <w:shd w:val="clear" w:color="auto" w:fill="auto"/>
            <w:noWrap/>
          </w:tcPr>
          <w:p w14:paraId="35070989" w14:textId="77777777" w:rsidR="000E79F5" w:rsidRPr="00F734D4" w:rsidRDefault="000E79F5" w:rsidP="00C03DF9">
            <w:pPr>
              <w:pStyle w:val="TableTextLeft-Indent"/>
            </w:pPr>
            <w:r w:rsidRPr="00F734D4">
              <w:t>Small and Medium Enterprise (SME) Guarantee Scheme and SME Recovery Loan Scheme</w:t>
            </w:r>
          </w:p>
        </w:tc>
        <w:tc>
          <w:tcPr>
            <w:tcW w:w="771" w:type="pct"/>
            <w:shd w:val="clear" w:color="auto" w:fill="auto"/>
            <w:noWrap/>
          </w:tcPr>
          <w:p w14:paraId="6A059D18" w14:textId="77777777" w:rsidR="000E79F5" w:rsidRPr="00F734D4" w:rsidRDefault="000E79F5" w:rsidP="00C03DF9">
            <w:pPr>
              <w:pStyle w:val="TableTextLeft"/>
            </w:pPr>
            <w:r w:rsidRPr="00F734D4">
              <w:t>Unchanged</w:t>
            </w:r>
          </w:p>
        </w:tc>
      </w:tr>
      <w:tr w:rsidR="000E79F5" w:rsidRPr="00F734D4" w14:paraId="65F126DE" w14:textId="77777777" w:rsidTr="00C03DF9">
        <w:trPr>
          <w:trHeight w:val="228"/>
        </w:trPr>
        <w:tc>
          <w:tcPr>
            <w:tcW w:w="4229" w:type="pct"/>
            <w:shd w:val="clear" w:color="auto" w:fill="auto"/>
            <w:noWrap/>
          </w:tcPr>
          <w:p w14:paraId="67E2E869" w14:textId="77777777" w:rsidR="000E79F5" w:rsidRPr="00F734D4" w:rsidRDefault="000E79F5" w:rsidP="00C03DF9">
            <w:pPr>
              <w:pStyle w:val="TableTextLeft-Indent"/>
            </w:pPr>
            <w:r w:rsidRPr="00F734D4">
              <w:t xml:space="preserve">Terrorism insurance – commercial cover </w:t>
            </w:r>
          </w:p>
        </w:tc>
        <w:tc>
          <w:tcPr>
            <w:tcW w:w="771" w:type="pct"/>
            <w:shd w:val="clear" w:color="auto" w:fill="auto"/>
            <w:noWrap/>
          </w:tcPr>
          <w:p w14:paraId="06FAFE0F" w14:textId="77777777" w:rsidR="000E79F5" w:rsidRPr="00F734D4" w:rsidRDefault="000E79F5" w:rsidP="00C03DF9">
            <w:pPr>
              <w:pStyle w:val="TableTextLeft"/>
            </w:pPr>
            <w:r w:rsidRPr="00F734D4">
              <w:t>Unchanged</w:t>
            </w:r>
          </w:p>
        </w:tc>
      </w:tr>
    </w:tbl>
    <w:p w14:paraId="1FA23CFF" w14:textId="77777777" w:rsidR="009531BC" w:rsidRDefault="009531BC" w:rsidP="000E79F5">
      <w:pPr>
        <w:pStyle w:val="TableHeadingcontinued"/>
        <w:rPr>
          <w:rFonts w:eastAsia="Arial"/>
        </w:rPr>
      </w:pPr>
    </w:p>
    <w:p w14:paraId="6D57F86D" w14:textId="77777777" w:rsidR="009531BC" w:rsidRDefault="009531BC">
      <w:pPr>
        <w:spacing w:before="0" w:after="160" w:line="259" w:lineRule="auto"/>
        <w:rPr>
          <w:rFonts w:ascii="Arial Bold" w:eastAsia="Arial" w:hAnsi="Arial Bold"/>
          <w:b/>
          <w:sz w:val="20"/>
        </w:rPr>
      </w:pPr>
      <w:r>
        <w:rPr>
          <w:rFonts w:eastAsia="Arial"/>
        </w:rPr>
        <w:br w:type="page"/>
      </w:r>
    </w:p>
    <w:p w14:paraId="40CA884E" w14:textId="2E0ABF41" w:rsidR="000E79F5" w:rsidRPr="00F734D4" w:rsidRDefault="000E79F5" w:rsidP="000E79F5">
      <w:pPr>
        <w:pStyle w:val="TableHeadingcontinued"/>
        <w:rPr>
          <w:rFonts w:eastAsia="Arial"/>
        </w:rPr>
      </w:pPr>
      <w:r w:rsidRPr="00F734D4">
        <w:rPr>
          <w:rFonts w:eastAsia="Arial"/>
        </w:rPr>
        <w:lastRenderedPageBreak/>
        <w:t xml:space="preserve">Table </w:t>
      </w:r>
      <w:r w:rsidR="00AB5A5E">
        <w:rPr>
          <w:rFonts w:eastAsia="Arial"/>
        </w:rPr>
        <w:t>6</w:t>
      </w:r>
      <w:r w:rsidRPr="00D13C64">
        <w:rPr>
          <w:rFonts w:eastAsia="Arial"/>
        </w:rPr>
        <w:t>.2: Summary</w:t>
      </w:r>
      <w:r w:rsidRPr="00C07FB5">
        <w:rPr>
          <w:rFonts w:eastAsia="Arial"/>
        </w:rPr>
        <w:t xml:space="preserve"> of </w:t>
      </w:r>
      <w:r>
        <w:rPr>
          <w:rFonts w:eastAsia="Arial"/>
        </w:rPr>
        <w:t xml:space="preserve">fiscal risks, </w:t>
      </w:r>
      <w:r w:rsidRPr="00C07FB5">
        <w:rPr>
          <w:rFonts w:eastAsia="Arial"/>
        </w:rPr>
        <w:t xml:space="preserve">contingent </w:t>
      </w:r>
      <w:proofErr w:type="gramStart"/>
      <w:r w:rsidRPr="00C07FB5">
        <w:rPr>
          <w:rFonts w:eastAsia="Arial"/>
        </w:rPr>
        <w:t>liabilities</w:t>
      </w:r>
      <w:proofErr w:type="gramEnd"/>
      <w:r w:rsidRPr="00C07FB5">
        <w:rPr>
          <w:rFonts w:eastAsia="Arial"/>
        </w:rPr>
        <w:t xml:space="preserve"> and contingent assets in the Statement of Risks</w:t>
      </w:r>
      <w:r w:rsidRPr="00F734D4">
        <w:rPr>
          <w:rFonts w:eastAsia="Arial"/>
          <w:vertAlign w:val="superscript"/>
        </w:rPr>
        <w:t>(a)</w:t>
      </w:r>
      <w:r w:rsidRPr="00F734D4">
        <w:rPr>
          <w:rFonts w:eastAsia="Arial"/>
        </w:rPr>
        <w:t xml:space="preserve"> (continued)</w:t>
      </w:r>
    </w:p>
    <w:tbl>
      <w:tblPr>
        <w:tblW w:w="5000" w:type="pct"/>
        <w:tblBorders>
          <w:top w:val="single" w:sz="4" w:space="0" w:color="002A54" w:themeColor="text2"/>
          <w:bottom w:val="single" w:sz="4" w:space="0" w:color="002A54" w:themeColor="text2"/>
          <w:insideH w:val="single" w:sz="4" w:space="0" w:color="002A54" w:themeColor="text2"/>
        </w:tblBorders>
        <w:tblLayout w:type="fixed"/>
        <w:tblLook w:val="04A0" w:firstRow="1" w:lastRow="0" w:firstColumn="1" w:lastColumn="0" w:noHBand="0" w:noVBand="1"/>
        <w:tblCaption w:val="Table"/>
      </w:tblPr>
      <w:tblGrid>
        <w:gridCol w:w="6521"/>
        <w:gridCol w:w="1189"/>
      </w:tblGrid>
      <w:tr w:rsidR="000E79F5" w:rsidRPr="00F734D4" w14:paraId="194CB7F7" w14:textId="77777777" w:rsidTr="00C03DF9">
        <w:trPr>
          <w:trHeight w:val="228"/>
        </w:trPr>
        <w:tc>
          <w:tcPr>
            <w:tcW w:w="4229" w:type="pct"/>
            <w:shd w:val="clear" w:color="auto" w:fill="E6F2FF"/>
            <w:noWrap/>
          </w:tcPr>
          <w:p w14:paraId="34DBFF5D" w14:textId="77777777" w:rsidR="000E79F5" w:rsidRPr="00F734D4" w:rsidRDefault="000E79F5" w:rsidP="00C03DF9">
            <w:pPr>
              <w:pStyle w:val="TableColumnHeadingLeft"/>
            </w:pPr>
            <w:r w:rsidRPr="00F734D4">
              <w:t>Treasury (continued)</w:t>
            </w:r>
          </w:p>
        </w:tc>
        <w:tc>
          <w:tcPr>
            <w:tcW w:w="771" w:type="pct"/>
            <w:shd w:val="clear" w:color="auto" w:fill="E6F2FF"/>
            <w:noWrap/>
          </w:tcPr>
          <w:p w14:paraId="76E06341" w14:textId="77777777" w:rsidR="000E79F5" w:rsidRPr="00F734D4" w:rsidRDefault="000E79F5" w:rsidP="00C03DF9">
            <w:pPr>
              <w:pStyle w:val="TableColumnHeadingLeft"/>
            </w:pPr>
            <w:r w:rsidRPr="00F734D4">
              <w:t>Status</w:t>
            </w:r>
          </w:p>
        </w:tc>
      </w:tr>
      <w:tr w:rsidR="000E79F5" w:rsidRPr="00F734D4" w14:paraId="0EFE9E18" w14:textId="77777777" w:rsidTr="00C03DF9">
        <w:trPr>
          <w:trHeight w:val="228"/>
        </w:trPr>
        <w:tc>
          <w:tcPr>
            <w:tcW w:w="4229" w:type="pct"/>
            <w:shd w:val="clear" w:color="auto" w:fill="E6F2FF"/>
            <w:noWrap/>
          </w:tcPr>
          <w:p w14:paraId="2F3A423E" w14:textId="77777777" w:rsidR="000E79F5" w:rsidRPr="00F734D4" w:rsidRDefault="000E79F5" w:rsidP="00C03DF9">
            <w:pPr>
              <w:pStyle w:val="TableColumnHeadingLeft"/>
              <w:rPr>
                <w:rFonts w:eastAsia="Calibri"/>
              </w:rPr>
            </w:pPr>
            <w:r w:rsidRPr="00F734D4">
              <w:rPr>
                <w:rFonts w:eastAsia="Arial"/>
              </w:rPr>
              <w:t>Contingent liabilities – quantifiable</w:t>
            </w:r>
          </w:p>
        </w:tc>
        <w:tc>
          <w:tcPr>
            <w:tcW w:w="771" w:type="pct"/>
            <w:shd w:val="clear" w:color="auto" w:fill="E6F2FF"/>
            <w:noWrap/>
          </w:tcPr>
          <w:p w14:paraId="690C113F" w14:textId="77777777" w:rsidR="000E79F5" w:rsidRPr="00F734D4" w:rsidRDefault="000E79F5" w:rsidP="00C03DF9">
            <w:pPr>
              <w:pStyle w:val="TableColumnHeadingRight"/>
            </w:pPr>
          </w:p>
        </w:tc>
      </w:tr>
      <w:tr w:rsidR="000E79F5" w:rsidRPr="00F734D4" w14:paraId="6D9D4A0C" w14:textId="77777777" w:rsidTr="00C03DF9">
        <w:trPr>
          <w:trHeight w:val="228"/>
        </w:trPr>
        <w:tc>
          <w:tcPr>
            <w:tcW w:w="4229" w:type="pct"/>
            <w:shd w:val="clear" w:color="auto" w:fill="auto"/>
            <w:noWrap/>
          </w:tcPr>
          <w:p w14:paraId="5903AA07" w14:textId="77777777" w:rsidR="000E79F5" w:rsidRPr="00F734D4" w:rsidRDefault="000E79F5" w:rsidP="00C03DF9">
            <w:pPr>
              <w:pStyle w:val="TableTextLeft-Indent"/>
              <w:rPr>
                <w:rFonts w:eastAsia="Arial"/>
              </w:rPr>
            </w:pPr>
            <w:r w:rsidRPr="00F734D4">
              <w:t>Australian Taxation Office – tax disputes</w:t>
            </w:r>
          </w:p>
        </w:tc>
        <w:tc>
          <w:tcPr>
            <w:tcW w:w="771" w:type="pct"/>
            <w:shd w:val="clear" w:color="auto" w:fill="auto"/>
            <w:noWrap/>
          </w:tcPr>
          <w:p w14:paraId="7C9EA7EE" w14:textId="77777777" w:rsidR="000E79F5" w:rsidRPr="00F734D4" w:rsidRDefault="000E79F5" w:rsidP="00C03DF9">
            <w:pPr>
              <w:pStyle w:val="TableTextLeft"/>
            </w:pPr>
            <w:r>
              <w:t>Modified</w:t>
            </w:r>
          </w:p>
        </w:tc>
      </w:tr>
      <w:tr w:rsidR="000E79F5" w:rsidRPr="00F734D4" w14:paraId="7919085C" w14:textId="77777777" w:rsidTr="00C03DF9">
        <w:trPr>
          <w:trHeight w:val="228"/>
        </w:trPr>
        <w:tc>
          <w:tcPr>
            <w:tcW w:w="4229" w:type="pct"/>
            <w:shd w:val="clear" w:color="auto" w:fill="auto"/>
            <w:noWrap/>
          </w:tcPr>
          <w:p w14:paraId="462EA07A" w14:textId="77777777" w:rsidR="000E79F5" w:rsidRPr="00F734D4" w:rsidRDefault="000E79F5" w:rsidP="00C03DF9">
            <w:pPr>
              <w:pStyle w:val="TableTextLeft-Indent"/>
            </w:pPr>
            <w:r w:rsidRPr="00F734D4">
              <w:t>International financial institutions – uncalled capital subscriptions</w:t>
            </w:r>
          </w:p>
        </w:tc>
        <w:tc>
          <w:tcPr>
            <w:tcW w:w="771" w:type="pct"/>
            <w:shd w:val="clear" w:color="auto" w:fill="auto"/>
            <w:noWrap/>
          </w:tcPr>
          <w:p w14:paraId="05CF3460" w14:textId="77777777" w:rsidR="000E79F5" w:rsidRPr="001A4B93" w:rsidDel="00833171" w:rsidRDefault="000E79F5" w:rsidP="00C03DF9">
            <w:pPr>
              <w:pStyle w:val="TableTextLeft"/>
            </w:pPr>
            <w:r w:rsidRPr="001A4B93">
              <w:t>Modified</w:t>
            </w:r>
          </w:p>
        </w:tc>
      </w:tr>
      <w:tr w:rsidR="000E79F5" w:rsidRPr="00F734D4" w14:paraId="302FE526" w14:textId="77777777" w:rsidTr="00C03DF9">
        <w:trPr>
          <w:trHeight w:val="228"/>
        </w:trPr>
        <w:tc>
          <w:tcPr>
            <w:tcW w:w="4229" w:type="pct"/>
            <w:shd w:val="clear" w:color="auto" w:fill="auto"/>
            <w:noWrap/>
          </w:tcPr>
          <w:p w14:paraId="5062A82F" w14:textId="77777777" w:rsidR="000E79F5" w:rsidRPr="00F734D4" w:rsidRDefault="000E79F5" w:rsidP="00C03DF9">
            <w:pPr>
              <w:pStyle w:val="TableTextLeft-Indent"/>
            </w:pPr>
            <w:r w:rsidRPr="007A0989">
              <w:t xml:space="preserve">International Monetary Fund </w:t>
            </w:r>
            <w:r w:rsidRPr="00F734D4">
              <w:t>–</w:t>
            </w:r>
            <w:r w:rsidRPr="007A0989">
              <w:t xml:space="preserve"> 16th General Review of Quota</w:t>
            </w:r>
          </w:p>
        </w:tc>
        <w:tc>
          <w:tcPr>
            <w:tcW w:w="771" w:type="pct"/>
            <w:shd w:val="clear" w:color="auto" w:fill="auto"/>
            <w:noWrap/>
          </w:tcPr>
          <w:p w14:paraId="73DAE92A" w14:textId="2E1974FE" w:rsidR="000E79F5" w:rsidRPr="00D22D4E" w:rsidRDefault="00380C4C" w:rsidP="00C03DF9">
            <w:pPr>
              <w:pStyle w:val="TableTextLeft"/>
            </w:pPr>
            <w:r>
              <w:t>Modified</w:t>
            </w:r>
          </w:p>
        </w:tc>
      </w:tr>
      <w:tr w:rsidR="000E79F5" w:rsidRPr="00F734D4" w14:paraId="0237CF4B" w14:textId="77777777" w:rsidTr="00C03DF9">
        <w:trPr>
          <w:trHeight w:val="228"/>
        </w:trPr>
        <w:tc>
          <w:tcPr>
            <w:tcW w:w="4229" w:type="pct"/>
            <w:shd w:val="clear" w:color="auto" w:fill="auto"/>
            <w:noWrap/>
          </w:tcPr>
          <w:p w14:paraId="3876A411" w14:textId="77777777" w:rsidR="000E79F5" w:rsidRPr="00F734D4" w:rsidRDefault="000E79F5" w:rsidP="00C03DF9">
            <w:pPr>
              <w:pStyle w:val="TableTextLeft-Indent"/>
            </w:pPr>
            <w:r w:rsidRPr="00F734D4">
              <w:t>International Monetary Fund – New Arrangements to Borrow &amp; Bilateral Borrowing Agreement</w:t>
            </w:r>
          </w:p>
        </w:tc>
        <w:tc>
          <w:tcPr>
            <w:tcW w:w="771" w:type="pct"/>
            <w:shd w:val="clear" w:color="auto" w:fill="auto"/>
            <w:noWrap/>
          </w:tcPr>
          <w:p w14:paraId="3A810208" w14:textId="77777777" w:rsidR="000E79F5" w:rsidRPr="00737152" w:rsidRDefault="000E79F5" w:rsidP="00C03DF9">
            <w:pPr>
              <w:pStyle w:val="TableTextLeft"/>
            </w:pPr>
            <w:r w:rsidRPr="00D22D4E">
              <w:t>Modified</w:t>
            </w:r>
          </w:p>
        </w:tc>
      </w:tr>
      <w:tr w:rsidR="000E79F5" w:rsidRPr="00F734D4" w14:paraId="2FF22373" w14:textId="77777777" w:rsidTr="00C03DF9">
        <w:trPr>
          <w:trHeight w:val="228"/>
        </w:trPr>
        <w:tc>
          <w:tcPr>
            <w:tcW w:w="4229" w:type="pct"/>
            <w:shd w:val="clear" w:color="auto" w:fill="auto"/>
            <w:noWrap/>
          </w:tcPr>
          <w:p w14:paraId="32181051" w14:textId="77777777" w:rsidR="000E79F5" w:rsidRPr="00F734D4" w:rsidRDefault="000E79F5" w:rsidP="00C03DF9">
            <w:pPr>
              <w:pStyle w:val="TableTextLeft-Indent"/>
            </w:pPr>
            <w:r w:rsidRPr="00F734D4">
              <w:t>International Monetary Fund – Poverty Reduction and Growth Trust</w:t>
            </w:r>
          </w:p>
        </w:tc>
        <w:tc>
          <w:tcPr>
            <w:tcW w:w="771" w:type="pct"/>
            <w:shd w:val="clear" w:color="auto" w:fill="auto"/>
            <w:noWrap/>
          </w:tcPr>
          <w:p w14:paraId="6036C360" w14:textId="77777777" w:rsidR="000E79F5" w:rsidRPr="00F734D4" w:rsidRDefault="000E79F5" w:rsidP="00C03DF9">
            <w:pPr>
              <w:pStyle w:val="TableTextLeft"/>
            </w:pPr>
            <w:r>
              <w:t>Modified</w:t>
            </w:r>
          </w:p>
        </w:tc>
      </w:tr>
      <w:tr w:rsidR="000E79F5" w:rsidRPr="00F734D4" w14:paraId="6DBD60D4" w14:textId="77777777" w:rsidTr="00C03DF9">
        <w:trPr>
          <w:trHeight w:val="228"/>
        </w:trPr>
        <w:tc>
          <w:tcPr>
            <w:tcW w:w="4229" w:type="pct"/>
            <w:shd w:val="clear" w:color="auto" w:fill="auto"/>
            <w:noWrap/>
          </w:tcPr>
          <w:p w14:paraId="7746C9FE" w14:textId="77777777" w:rsidR="000E79F5" w:rsidRPr="00F734D4" w:rsidRDefault="000E79F5" w:rsidP="00C03DF9">
            <w:pPr>
              <w:pStyle w:val="TableTextLeft-Indent"/>
            </w:pPr>
            <w:r w:rsidRPr="00F734D4">
              <w:t>International Monetary Fund – Resilience and Sustainability Trust</w:t>
            </w:r>
          </w:p>
        </w:tc>
        <w:tc>
          <w:tcPr>
            <w:tcW w:w="771" w:type="pct"/>
            <w:shd w:val="clear" w:color="auto" w:fill="auto"/>
            <w:noWrap/>
          </w:tcPr>
          <w:p w14:paraId="71BFFF98" w14:textId="77777777" w:rsidR="000E79F5" w:rsidRPr="00F734D4" w:rsidRDefault="000E79F5" w:rsidP="00C03DF9">
            <w:pPr>
              <w:pStyle w:val="TableTextLeft"/>
            </w:pPr>
            <w:r>
              <w:t>Modified</w:t>
            </w:r>
          </w:p>
        </w:tc>
      </w:tr>
      <w:tr w:rsidR="000E79F5" w:rsidRPr="00F734D4" w14:paraId="0529DF85" w14:textId="77777777" w:rsidTr="00C03DF9">
        <w:trPr>
          <w:trHeight w:val="228"/>
        </w:trPr>
        <w:tc>
          <w:tcPr>
            <w:tcW w:w="4229" w:type="pct"/>
            <w:shd w:val="clear" w:color="auto" w:fill="E6F2FF"/>
            <w:noWrap/>
          </w:tcPr>
          <w:p w14:paraId="1538938A" w14:textId="2BA4BFAE" w:rsidR="000E79F5" w:rsidRPr="00F734D4" w:rsidRDefault="000E79F5" w:rsidP="00C03DF9">
            <w:pPr>
              <w:pStyle w:val="TableColumnHeadingLeft"/>
            </w:pPr>
            <w:r w:rsidRPr="00F734D4">
              <w:t>Veterans</w:t>
            </w:r>
            <w:r w:rsidR="00B63FC6">
              <w:t>’</w:t>
            </w:r>
            <w:r w:rsidRPr="00F734D4">
              <w:t xml:space="preserve"> Affairs</w:t>
            </w:r>
          </w:p>
        </w:tc>
        <w:tc>
          <w:tcPr>
            <w:tcW w:w="771" w:type="pct"/>
            <w:shd w:val="clear" w:color="auto" w:fill="E6F2FF"/>
            <w:noWrap/>
          </w:tcPr>
          <w:p w14:paraId="3680C59D" w14:textId="77777777" w:rsidR="000E79F5" w:rsidRPr="00F734D4" w:rsidRDefault="000E79F5" w:rsidP="00C03DF9">
            <w:pPr>
              <w:pStyle w:val="TableColumnHeadingLeft"/>
            </w:pPr>
            <w:r w:rsidRPr="00F734D4">
              <w:t>Status</w:t>
            </w:r>
          </w:p>
        </w:tc>
      </w:tr>
      <w:tr w:rsidR="000E79F5" w:rsidRPr="00F734D4" w14:paraId="688D334C" w14:textId="77777777" w:rsidTr="00C03DF9">
        <w:trPr>
          <w:trHeight w:val="228"/>
        </w:trPr>
        <w:tc>
          <w:tcPr>
            <w:tcW w:w="4229" w:type="pct"/>
            <w:shd w:val="clear" w:color="auto" w:fill="E6F2FF"/>
            <w:noWrap/>
          </w:tcPr>
          <w:p w14:paraId="3270AFBC" w14:textId="77777777" w:rsidR="000E79F5" w:rsidRPr="00F734D4" w:rsidRDefault="000E79F5" w:rsidP="00C03DF9">
            <w:pPr>
              <w:pStyle w:val="TableColumnHeadingLeft"/>
            </w:pPr>
            <w:r w:rsidRPr="00F734D4">
              <w:rPr>
                <w:rFonts w:eastAsia="Arial"/>
              </w:rPr>
              <w:t>Fiscal Risk</w:t>
            </w:r>
          </w:p>
        </w:tc>
        <w:tc>
          <w:tcPr>
            <w:tcW w:w="771" w:type="pct"/>
            <w:shd w:val="clear" w:color="auto" w:fill="E6F2FF"/>
            <w:noWrap/>
          </w:tcPr>
          <w:p w14:paraId="28127E8A" w14:textId="77777777" w:rsidR="000E79F5" w:rsidRPr="00F734D4" w:rsidRDefault="000E79F5" w:rsidP="00C03DF9">
            <w:pPr>
              <w:pStyle w:val="TableColumnHeadingRight"/>
            </w:pPr>
          </w:p>
        </w:tc>
      </w:tr>
      <w:tr w:rsidR="000E79F5" w:rsidRPr="005A4568" w14:paraId="1FF5C148" w14:textId="77777777" w:rsidTr="00C03DF9">
        <w:trPr>
          <w:trHeight w:val="228"/>
        </w:trPr>
        <w:tc>
          <w:tcPr>
            <w:tcW w:w="4229" w:type="pct"/>
            <w:shd w:val="clear" w:color="auto" w:fill="auto"/>
            <w:noWrap/>
          </w:tcPr>
          <w:p w14:paraId="0BF5C92C" w14:textId="77777777" w:rsidR="000E79F5" w:rsidRPr="005A4568" w:rsidRDefault="000E79F5" w:rsidP="00C03DF9">
            <w:pPr>
              <w:pStyle w:val="TableTextLeft-Indent"/>
              <w:rPr>
                <w:rFonts w:eastAsia="Arial"/>
              </w:rPr>
            </w:pPr>
            <w:r w:rsidRPr="005A4568">
              <w:t>Defence Service Homes Insurance Scheme</w:t>
            </w:r>
          </w:p>
        </w:tc>
        <w:tc>
          <w:tcPr>
            <w:tcW w:w="771" w:type="pct"/>
            <w:shd w:val="clear" w:color="auto" w:fill="auto"/>
            <w:noWrap/>
          </w:tcPr>
          <w:p w14:paraId="6F33594D" w14:textId="77777777" w:rsidR="000E79F5" w:rsidRPr="005A4568" w:rsidRDefault="000E79F5" w:rsidP="00C03DF9">
            <w:pPr>
              <w:pStyle w:val="TableTextLeft"/>
            </w:pPr>
            <w:r w:rsidRPr="005A4568">
              <w:t>Unchanged</w:t>
            </w:r>
          </w:p>
        </w:tc>
      </w:tr>
    </w:tbl>
    <w:p w14:paraId="3204A69F" w14:textId="52A4AF39" w:rsidR="000E79F5" w:rsidRPr="009531BC" w:rsidRDefault="000E79F5" w:rsidP="00C04421">
      <w:pPr>
        <w:pStyle w:val="ChartandTableFootnoteAlpha"/>
        <w:numPr>
          <w:ilvl w:val="0"/>
          <w:numId w:val="47"/>
        </w:numPr>
      </w:pPr>
      <w:r w:rsidRPr="00C04421">
        <w:t>Detailed</w:t>
      </w:r>
      <w:r w:rsidRPr="009531BC">
        <w:t xml:space="preserve"> descriptions </w:t>
      </w:r>
      <w:r w:rsidR="005A4568" w:rsidRPr="009531BC">
        <w:t xml:space="preserve">of the modified and new items </w:t>
      </w:r>
      <w:r w:rsidRPr="009531BC">
        <w:t>are in the following text.</w:t>
      </w:r>
    </w:p>
    <w:p w14:paraId="7778F5D4" w14:textId="77777777" w:rsidR="000E79F5" w:rsidRPr="001D718D" w:rsidRDefault="000E79F5" w:rsidP="000E79F5">
      <w:pPr>
        <w:pStyle w:val="TableLine"/>
      </w:pPr>
    </w:p>
    <w:p w14:paraId="17381E7E" w14:textId="77777777" w:rsidR="004D5192" w:rsidRPr="00B832E0" w:rsidRDefault="004D5192" w:rsidP="005358B1">
      <w:pPr>
        <w:pStyle w:val="Heading2"/>
      </w:pPr>
      <w:bookmarkStart w:id="13" w:name="_Toc184039469"/>
      <w:r w:rsidRPr="00B832E0">
        <w:t>Agriculture, Fisheries and Forestry</w:t>
      </w:r>
      <w:bookmarkEnd w:id="13"/>
    </w:p>
    <w:p w14:paraId="5EF6904D" w14:textId="77777777" w:rsidR="004D5192" w:rsidRPr="00B832E0" w:rsidRDefault="004D5192" w:rsidP="005358B1">
      <w:pPr>
        <w:pStyle w:val="Heading3"/>
      </w:pPr>
      <w:bookmarkStart w:id="14" w:name="_Toc71117771"/>
      <w:bookmarkStart w:id="15" w:name="_Toc99141853"/>
      <w:bookmarkStart w:id="16" w:name="_Toc184039470"/>
      <w:r w:rsidRPr="00B832E0">
        <w:t>Contingent liabilities – unquantifiable</w:t>
      </w:r>
      <w:bookmarkEnd w:id="14"/>
      <w:bookmarkEnd w:id="15"/>
      <w:bookmarkEnd w:id="16"/>
    </w:p>
    <w:p w14:paraId="75CBACD3" w14:textId="392D7455" w:rsidR="004D5192" w:rsidRPr="006460F9" w:rsidRDefault="004D5192" w:rsidP="005358B1">
      <w:pPr>
        <w:pStyle w:val="Heading4"/>
        <w:rPr>
          <w:rFonts w:eastAsia="Arial"/>
        </w:rPr>
      </w:pPr>
      <w:r w:rsidRPr="006460F9">
        <w:rPr>
          <w:rFonts w:eastAsia="Arial"/>
        </w:rPr>
        <w:t>Emergency pest and disease response arrangements</w:t>
      </w:r>
    </w:p>
    <w:p w14:paraId="1047E45D" w14:textId="2106A1B7" w:rsidR="00CC0710" w:rsidRPr="00CC0710" w:rsidRDefault="00CC0710" w:rsidP="005358B1">
      <w:r w:rsidRPr="00CC0710">
        <w:t>National emergency response arrangements for animal, plant and environmental pest and disease incursions are largely funded through cost</w:t>
      </w:r>
      <w:r w:rsidR="00B63FC6">
        <w:noBreakHyphen/>
      </w:r>
      <w:r w:rsidRPr="00CC0710">
        <w:t>sharing agreements between Australian</w:t>
      </w:r>
      <w:r w:rsidR="004D6831" w:rsidRPr="005F6D17">
        <w:rPr>
          <w:rFonts w:eastAsia="Book Antiqua"/>
        </w:rPr>
        <w:t> </w:t>
      </w:r>
      <w:r w:rsidRPr="00CC0710">
        <w:t>governments and affected agricultural industry bodies. Under the terms of the emergency response cost</w:t>
      </w:r>
      <w:r w:rsidR="00B63FC6">
        <w:noBreakHyphen/>
      </w:r>
      <w:r w:rsidRPr="00CC0710">
        <w:t>sharing agreements, the Australian Government is typically liable for 50</w:t>
      </w:r>
      <w:r w:rsidR="002E6F0C">
        <w:t> per cent</w:t>
      </w:r>
      <w:r w:rsidRPr="00CC0710">
        <w:t xml:space="preserve"> of the total government funding for a nationally agreed response to a pest or disease incursion. Funding is provided in the forward estimates for the Australian</w:t>
      </w:r>
      <w:r w:rsidR="00A27C13" w:rsidRPr="005F6D17">
        <w:rPr>
          <w:rFonts w:eastAsia="Book Antiqua"/>
        </w:rPr>
        <w:t> </w:t>
      </w:r>
      <w:r w:rsidRPr="00CC0710">
        <w:t>Government</w:t>
      </w:r>
      <w:r w:rsidR="00B63FC6">
        <w:t>’</w:t>
      </w:r>
      <w:r w:rsidRPr="00CC0710">
        <w:t xml:space="preserve">s contributions under the emergency response agreements, which are then paid to the state or territory governments undertaking relevant activities. </w:t>
      </w:r>
    </w:p>
    <w:p w14:paraId="62F5FE48" w14:textId="3D326DF2" w:rsidR="00A7008B" w:rsidRPr="00CC0710" w:rsidRDefault="00A7008B" w:rsidP="00A7008B">
      <w:r w:rsidRPr="00CC0710">
        <w:t>There are currently 14 national cost</w:t>
      </w:r>
      <w:r w:rsidR="00B63FC6">
        <w:noBreakHyphen/>
      </w:r>
      <w:r w:rsidRPr="00CC0710">
        <w:t>shared emergency responses. Since the 2024–25</w:t>
      </w:r>
      <w:r w:rsidR="00A27C13" w:rsidRPr="005F6D17">
        <w:rPr>
          <w:rFonts w:eastAsia="Book Antiqua"/>
        </w:rPr>
        <w:t> </w:t>
      </w:r>
      <w:r w:rsidRPr="00CC0710">
        <w:t xml:space="preserve">Budget, the Australian Government has provided an additional $154.6 million for its share of three large scale responses for High Pathogenicity Avian Influenza H7 in Victoria, New South </w:t>
      </w:r>
      <w:proofErr w:type="gramStart"/>
      <w:r w:rsidRPr="00CC0710">
        <w:t>Wales</w:t>
      </w:r>
      <w:proofErr w:type="gramEnd"/>
      <w:r w:rsidRPr="00CC0710">
        <w:t xml:space="preserve"> and the Australian Capital Territory, and for its share of potential further detections in the high</w:t>
      </w:r>
      <w:r w:rsidR="00B63FC6">
        <w:noBreakHyphen/>
      </w:r>
      <w:r w:rsidRPr="00CC0710">
        <w:t>risk period over spring.</w:t>
      </w:r>
    </w:p>
    <w:p w14:paraId="12290858" w14:textId="2CF9B5BD" w:rsidR="00A7008B" w:rsidRPr="00CC0710" w:rsidRDefault="00A7008B" w:rsidP="00A7008B">
      <w:r w:rsidRPr="00CC0710">
        <w:t>The Australian Government has also provided a further $95.0 million</w:t>
      </w:r>
      <w:r w:rsidRPr="00CC0710" w:rsidDel="007215F5">
        <w:t xml:space="preserve"> </w:t>
      </w:r>
      <w:r w:rsidRPr="00CC0710">
        <w:t xml:space="preserve">across the agriculture, </w:t>
      </w:r>
      <w:proofErr w:type="gramStart"/>
      <w:r w:rsidRPr="00CC0710">
        <w:t>environment</w:t>
      </w:r>
      <w:proofErr w:type="gramEnd"/>
      <w:r w:rsidRPr="00CC0710">
        <w:t xml:space="preserve"> and health portfolios to manage the increased risk of an incursion of</w:t>
      </w:r>
      <w:r w:rsidRPr="00AF2A07">
        <w:t xml:space="preserve"> </w:t>
      </w:r>
      <w:r w:rsidRPr="00CC0710">
        <w:t>High Pathogenicity Avian Influenza H5N1, with a new national agreement to be developed to manage cross</w:t>
      </w:r>
      <w:r w:rsidR="00B63FC6">
        <w:noBreakHyphen/>
      </w:r>
      <w:r w:rsidRPr="00CC0710">
        <w:t>sectoral governance and cost</w:t>
      </w:r>
      <w:r w:rsidR="00B63FC6">
        <w:noBreakHyphen/>
      </w:r>
      <w:r w:rsidRPr="00CC0710">
        <w:t xml:space="preserve">sharing arrangements. </w:t>
      </w:r>
    </w:p>
    <w:p w14:paraId="5AAED392" w14:textId="07A90D9B" w:rsidR="004D5192" w:rsidRPr="006D0062" w:rsidRDefault="00CC0710" w:rsidP="005358B1">
      <w:r w:rsidRPr="00CC0710">
        <w:t xml:space="preserve">The Australian, state and territory governments developed a draft Aquatic Emergency Animal Disease Deed (the Deed) covering aquatic emergency animal diseases and have consulted prospective industry signatories. If the Deed is finalised, potential liabilities for the Australian Government will be increased. The extent of these liabilities will depend on </w:t>
      </w:r>
      <w:r w:rsidRPr="00CC0710">
        <w:lastRenderedPageBreak/>
        <w:t>which parties sign the Deed and what emergency aquatic incursions occur that would be subject to the Deed arrangements.</w:t>
      </w:r>
      <w:bookmarkStart w:id="17" w:name="_Toc99141854"/>
    </w:p>
    <w:p w14:paraId="7FF77AD3" w14:textId="646F5B20" w:rsidR="004D5192" w:rsidRPr="004F4CB2" w:rsidRDefault="004D5192" w:rsidP="005358B1">
      <w:pPr>
        <w:pStyle w:val="Heading2"/>
      </w:pPr>
      <w:bookmarkStart w:id="18" w:name="_Toc184039471"/>
      <w:r w:rsidRPr="004F4CB2">
        <w:t>Attorney</w:t>
      </w:r>
      <w:r w:rsidR="00B63FC6">
        <w:noBreakHyphen/>
      </w:r>
      <w:r w:rsidRPr="004F4CB2">
        <w:t>General</w:t>
      </w:r>
      <w:r w:rsidR="00B63FC6">
        <w:t>’</w:t>
      </w:r>
      <w:r w:rsidRPr="004F4CB2">
        <w:t>s</w:t>
      </w:r>
      <w:bookmarkEnd w:id="17"/>
      <w:bookmarkEnd w:id="18"/>
    </w:p>
    <w:p w14:paraId="3F020F53" w14:textId="77777777" w:rsidR="008B0627" w:rsidRPr="00B832E0" w:rsidRDefault="008B0627" w:rsidP="005358B1">
      <w:pPr>
        <w:pStyle w:val="Heading3"/>
      </w:pPr>
      <w:bookmarkStart w:id="19" w:name="_Toc184039472"/>
      <w:bookmarkStart w:id="20" w:name="_Hlk148351163"/>
      <w:bookmarkStart w:id="21" w:name="_Toc99141856"/>
      <w:r w:rsidRPr="00B832E0">
        <w:t xml:space="preserve">Contingent </w:t>
      </w:r>
      <w:r>
        <w:t>liability</w:t>
      </w:r>
      <w:r w:rsidRPr="00B832E0">
        <w:t xml:space="preserve"> – unquantifiable</w:t>
      </w:r>
      <w:bookmarkEnd w:id="19"/>
    </w:p>
    <w:p w14:paraId="15B9D62A" w14:textId="43758B2F" w:rsidR="004D5192" w:rsidRPr="006460F9" w:rsidRDefault="004D5192" w:rsidP="005358B1">
      <w:pPr>
        <w:pStyle w:val="Heading4"/>
      </w:pPr>
      <w:r w:rsidRPr="006460F9">
        <w:t>Current and prospective investor</w:t>
      </w:r>
      <w:r w:rsidR="00B63FC6">
        <w:noBreakHyphen/>
      </w:r>
      <w:r w:rsidRPr="006460F9">
        <w:t>state claims against</w:t>
      </w:r>
      <w:r>
        <w:t xml:space="preserve"> the</w:t>
      </w:r>
      <w:r w:rsidRPr="006460F9">
        <w:t xml:space="preserve"> </w:t>
      </w:r>
      <w:bookmarkEnd w:id="20"/>
      <w:r>
        <w:t>Australian Government</w:t>
      </w:r>
    </w:p>
    <w:p w14:paraId="2917EACD" w14:textId="5BA6902F" w:rsidR="001D1B09" w:rsidRDefault="001D1B09" w:rsidP="005358B1">
      <w:r w:rsidRPr="001D1B09">
        <w:t xml:space="preserve">The Commonwealth received a notice of arbitration from Singapore registered company </w:t>
      </w:r>
      <w:proofErr w:type="spellStart"/>
      <w:r w:rsidRPr="001D1B09">
        <w:t>Zeph</w:t>
      </w:r>
      <w:proofErr w:type="spellEnd"/>
      <w:r w:rsidRPr="001D1B09">
        <w:t xml:space="preserve"> Investments Pte Ltd (</w:t>
      </w:r>
      <w:proofErr w:type="spellStart"/>
      <w:r w:rsidRPr="001D1B09">
        <w:t>Zeph</w:t>
      </w:r>
      <w:proofErr w:type="spellEnd"/>
      <w:r w:rsidRPr="001D1B09">
        <w:t xml:space="preserve">) concerning a dispute about the </w:t>
      </w:r>
      <w:r w:rsidRPr="00EE2148">
        <w:rPr>
          <w:rStyle w:val="Emphasis"/>
        </w:rPr>
        <w:t>Iron Ore Processing (Mineralogy Pty Ltd) Agreement Amendment Act</w:t>
      </w:r>
      <w:r w:rsidR="00EE2148">
        <w:rPr>
          <w:rStyle w:val="Emphasis"/>
        </w:rPr>
        <w:t> </w:t>
      </w:r>
      <w:r w:rsidRPr="00EE2148">
        <w:rPr>
          <w:rStyle w:val="Emphasis"/>
        </w:rPr>
        <w:t>2020 (WA).</w:t>
      </w:r>
      <w:r w:rsidRPr="001D1B09">
        <w:t xml:space="preserve"> </w:t>
      </w:r>
      <w:proofErr w:type="spellStart"/>
      <w:r w:rsidRPr="001D1B09">
        <w:t>Zeph</w:t>
      </w:r>
      <w:proofErr w:type="spellEnd"/>
      <w:r w:rsidRPr="001D1B09">
        <w:t xml:space="preserve"> raised this claim under Chapter 11 (Investment) of the </w:t>
      </w:r>
      <w:r w:rsidRPr="00EE2148">
        <w:rPr>
          <w:rStyle w:val="Emphasis"/>
        </w:rPr>
        <w:t>Agreement Establishing the ASEAN</w:t>
      </w:r>
      <w:r w:rsidR="00B63FC6">
        <w:rPr>
          <w:rStyle w:val="Emphasis"/>
        </w:rPr>
        <w:noBreakHyphen/>
      </w:r>
      <w:r w:rsidRPr="00EE2148">
        <w:rPr>
          <w:rStyle w:val="Emphasis"/>
        </w:rPr>
        <w:t>Australia</w:t>
      </w:r>
      <w:r w:rsidR="00B63FC6">
        <w:rPr>
          <w:rStyle w:val="Emphasis"/>
        </w:rPr>
        <w:noBreakHyphen/>
      </w:r>
      <w:r w:rsidRPr="00EE2148">
        <w:rPr>
          <w:rStyle w:val="Emphasis"/>
        </w:rPr>
        <w:t xml:space="preserve">New Zealand Free Trade Area </w:t>
      </w:r>
      <w:r w:rsidRPr="00D8046E">
        <w:rPr>
          <w:rStyle w:val="Emphasis"/>
          <w:i w:val="0"/>
          <w:iCs w:val="0"/>
        </w:rPr>
        <w:t>(AANZFTA)</w:t>
      </w:r>
      <w:r w:rsidRPr="00D8046E">
        <w:rPr>
          <w:i/>
          <w:iCs/>
        </w:rPr>
        <w:t>.</w:t>
      </w:r>
      <w:r w:rsidRPr="001D1B09">
        <w:t xml:space="preserve"> </w:t>
      </w:r>
    </w:p>
    <w:p w14:paraId="346E4EE4" w14:textId="4458B22C" w:rsidR="00DE4E14" w:rsidRPr="001D1B09" w:rsidRDefault="00DE4E14" w:rsidP="005358B1">
      <w:r w:rsidRPr="001D1B09">
        <w:t>Subsequently, the Commonwealth has received three further notices of arbitration from Zeph. The first concerns a dispute about exploration permits held by Waratah Coal Pty Ltd (Waratah) in the Galilee Basin of Queensland. The second concerns a dispute about a coal mine proposed by Waratah in the Galilee Basin. The third concerns a dispute about a coal</w:t>
      </w:r>
      <w:r w:rsidR="00B63FC6">
        <w:noBreakHyphen/>
      </w:r>
      <w:r w:rsidRPr="001D1B09">
        <w:t xml:space="preserve">fired power station proposed by Waratah in the Galilee Basin. </w:t>
      </w:r>
      <w:proofErr w:type="spellStart"/>
      <w:r w:rsidRPr="001D1B09">
        <w:t>Zeph</w:t>
      </w:r>
      <w:proofErr w:type="spellEnd"/>
      <w:r w:rsidRPr="001D1B09">
        <w:t xml:space="preserve"> raised each of these claims under Chapter 11 (Investment) of the AANZFTA. </w:t>
      </w:r>
    </w:p>
    <w:p w14:paraId="5DDEA164" w14:textId="328F1727" w:rsidR="001D1B09" w:rsidRPr="001D1B09" w:rsidRDefault="001D1B09" w:rsidP="005358B1">
      <w:r w:rsidRPr="001D1B09">
        <w:t xml:space="preserve">Should the Australian Government be unsuccessful in these proceedings, it would be liable for any compensation found to be payable to Zeph. Any such potential liability cannot be quantified at this stage. </w:t>
      </w:r>
    </w:p>
    <w:p w14:paraId="7221B429" w14:textId="77777777" w:rsidR="004D5192" w:rsidRPr="00B832E0" w:rsidRDefault="004D5192" w:rsidP="005358B1">
      <w:pPr>
        <w:pStyle w:val="Heading3"/>
      </w:pPr>
      <w:bookmarkStart w:id="22" w:name="_Toc184039473"/>
      <w:r w:rsidRPr="00B832E0">
        <w:t>Contingent asset – unquantifiable</w:t>
      </w:r>
      <w:bookmarkEnd w:id="22"/>
    </w:p>
    <w:p w14:paraId="12098F9E" w14:textId="42A25298" w:rsidR="004D5192" w:rsidRPr="007939C3" w:rsidRDefault="004D5192" w:rsidP="005358B1">
      <w:pPr>
        <w:pStyle w:val="Heading4"/>
        <w:rPr>
          <w:lang w:val="en-US"/>
        </w:rPr>
      </w:pPr>
      <w:bookmarkStart w:id="23" w:name="_Hlk148351180"/>
      <w:bookmarkStart w:id="24" w:name="_Hlk148524101"/>
      <w:r w:rsidRPr="007939C3">
        <w:rPr>
          <w:iCs/>
          <w:lang w:val="en-US"/>
        </w:rPr>
        <w:t>Civil penalty relating to the</w:t>
      </w:r>
      <w:r w:rsidRPr="007939C3">
        <w:rPr>
          <w:lang w:val="en-US"/>
        </w:rPr>
        <w:t xml:space="preserve"> </w:t>
      </w:r>
      <w:r w:rsidRPr="005302B6">
        <w:rPr>
          <w:rStyle w:val="Emphasis"/>
        </w:rPr>
        <w:t>Anti</w:t>
      </w:r>
      <w:r w:rsidR="00B63FC6">
        <w:rPr>
          <w:rStyle w:val="Emphasis"/>
        </w:rPr>
        <w:noBreakHyphen/>
      </w:r>
      <w:r w:rsidRPr="005302B6">
        <w:rPr>
          <w:rStyle w:val="Emphasis"/>
        </w:rPr>
        <w:t>Money Laundering and Counter</w:t>
      </w:r>
      <w:r w:rsidR="00B63FC6">
        <w:rPr>
          <w:rStyle w:val="Emphasis"/>
        </w:rPr>
        <w:noBreakHyphen/>
      </w:r>
      <w:r w:rsidRPr="005302B6">
        <w:rPr>
          <w:rStyle w:val="Emphasis"/>
        </w:rPr>
        <w:t>Terrorism Financing Act 2006</w:t>
      </w:r>
      <w:r w:rsidRPr="007939C3">
        <w:rPr>
          <w:lang w:val="en-US"/>
        </w:rPr>
        <w:t xml:space="preserve"> </w:t>
      </w:r>
    </w:p>
    <w:bookmarkEnd w:id="23"/>
    <w:bookmarkEnd w:id="24"/>
    <w:p w14:paraId="392E8065" w14:textId="3720C52E" w:rsidR="00975E50" w:rsidRPr="00975E50" w:rsidRDefault="00975E50" w:rsidP="005358B1">
      <w:pPr>
        <w:rPr>
          <w:rFonts w:eastAsia="Arial"/>
        </w:rPr>
      </w:pPr>
      <w:r w:rsidRPr="00975E50">
        <w:rPr>
          <w:rFonts w:eastAsia="Arial"/>
        </w:rPr>
        <w:t>On 30 November 2022, the Australian Transaction Reports and Analysis Centre (AUSTRAC) applied to the Federal Court of Australia for a civil penalty order against The</w:t>
      </w:r>
      <w:r w:rsidR="002804D5" w:rsidRPr="005F6D17">
        <w:rPr>
          <w:rFonts w:eastAsia="Book Antiqua"/>
        </w:rPr>
        <w:t> </w:t>
      </w:r>
      <w:r w:rsidRPr="00975E50">
        <w:rPr>
          <w:rFonts w:eastAsia="Arial"/>
        </w:rPr>
        <w:t xml:space="preserve">Star Pty Limited and The Star Entertainment QLD Limited (The Star entities) for alleged serious contraventions of the </w:t>
      </w:r>
      <w:r w:rsidRPr="00EE2148">
        <w:rPr>
          <w:rStyle w:val="Emphasis"/>
          <w:rFonts w:eastAsia="Arial"/>
        </w:rPr>
        <w:t>Anti</w:t>
      </w:r>
      <w:r w:rsidR="00B63FC6">
        <w:rPr>
          <w:rStyle w:val="Emphasis"/>
          <w:rFonts w:eastAsia="Arial"/>
        </w:rPr>
        <w:noBreakHyphen/>
      </w:r>
      <w:r w:rsidRPr="00EE2148">
        <w:rPr>
          <w:rStyle w:val="Emphasis"/>
          <w:rFonts w:eastAsia="Arial"/>
        </w:rPr>
        <w:t>Money Laundering and Counter</w:t>
      </w:r>
      <w:r w:rsidR="00B63FC6">
        <w:rPr>
          <w:rStyle w:val="Emphasis"/>
          <w:rFonts w:eastAsia="Arial"/>
        </w:rPr>
        <w:noBreakHyphen/>
      </w:r>
      <w:r w:rsidRPr="00EE2148">
        <w:rPr>
          <w:rStyle w:val="Emphasis"/>
          <w:rFonts w:eastAsia="Arial"/>
        </w:rPr>
        <w:t>Terrorism Financing A</w:t>
      </w:r>
      <w:r w:rsidR="00E13457">
        <w:rPr>
          <w:rStyle w:val="Emphasis"/>
          <w:rFonts w:eastAsia="Arial"/>
        </w:rPr>
        <w:t>ct</w:t>
      </w:r>
      <w:r w:rsidR="00AA667C" w:rsidRPr="00EE2148">
        <w:rPr>
          <w:rStyle w:val="Emphasis"/>
          <w:rFonts w:eastAsia="Arial"/>
        </w:rPr>
        <w:t> </w:t>
      </w:r>
      <w:r w:rsidRPr="00EE2148">
        <w:rPr>
          <w:rStyle w:val="Emphasis"/>
          <w:rFonts w:eastAsia="Arial"/>
        </w:rPr>
        <w:t>2006</w:t>
      </w:r>
      <w:r w:rsidRPr="00975E50">
        <w:rPr>
          <w:rFonts w:eastAsia="Arial"/>
          <w:i/>
          <w:iCs/>
        </w:rPr>
        <w:t xml:space="preserve"> </w:t>
      </w:r>
      <w:r w:rsidRPr="00975E50">
        <w:rPr>
          <w:rFonts w:eastAsia="Arial"/>
        </w:rPr>
        <w:t xml:space="preserve">(AML/CTF Act). </w:t>
      </w:r>
    </w:p>
    <w:p w14:paraId="4C0747F2" w14:textId="3B574EAB" w:rsidR="004D5192" w:rsidRPr="000112A1" w:rsidRDefault="00975E50" w:rsidP="005358B1">
      <w:pPr>
        <w:rPr>
          <w:rFonts w:eastAsia="Arial"/>
        </w:rPr>
      </w:pPr>
      <w:r w:rsidRPr="00975E50">
        <w:rPr>
          <w:rFonts w:eastAsia="Arial"/>
        </w:rPr>
        <w:t xml:space="preserve">AUSTRAC alleges that The Star entities failed to comply with obligations under the AML/CTF Act, including failures to properly assess money laundering and terrorism financing risks, and failures to undertake appropriate customer due diligence. The outcome of this matter is unknown, including whether any penalties will be imposed by the Court and, if so, the quantum of any penalties. </w:t>
      </w:r>
    </w:p>
    <w:p w14:paraId="4E5FF14B" w14:textId="77777777" w:rsidR="004D5192" w:rsidRPr="00B832E0" w:rsidRDefault="004D5192" w:rsidP="005358B1">
      <w:pPr>
        <w:pStyle w:val="Heading2"/>
      </w:pPr>
      <w:bookmarkStart w:id="25" w:name="_Toc184039474"/>
      <w:r w:rsidRPr="00B832E0">
        <w:lastRenderedPageBreak/>
        <w:t>Climate Change, Energy, the Environment and Water</w:t>
      </w:r>
      <w:bookmarkEnd w:id="25"/>
    </w:p>
    <w:p w14:paraId="4CCBF704" w14:textId="715272D0" w:rsidR="004D5192" w:rsidRPr="00B832E0" w:rsidRDefault="004D5192" w:rsidP="005358B1">
      <w:pPr>
        <w:pStyle w:val="Heading3"/>
      </w:pPr>
      <w:bookmarkStart w:id="26" w:name="_Toc184039475"/>
      <w:r w:rsidRPr="00B832E0">
        <w:t xml:space="preserve">Significant but remote </w:t>
      </w:r>
      <w:bookmarkEnd w:id="26"/>
      <w:r w:rsidR="00223D79">
        <w:t>contingency</w:t>
      </w:r>
    </w:p>
    <w:p w14:paraId="47D024B4" w14:textId="01B77D31" w:rsidR="004D5192" w:rsidRPr="00B832E0" w:rsidRDefault="004D5192" w:rsidP="005358B1">
      <w:pPr>
        <w:pStyle w:val="Heading4"/>
      </w:pPr>
      <w:bookmarkStart w:id="27" w:name="_Toc71117836"/>
      <w:r w:rsidRPr="00B832E0">
        <w:t>Snowy Hydro Limited – Board Members</w:t>
      </w:r>
      <w:r w:rsidR="00B63FC6">
        <w:t>’</w:t>
      </w:r>
      <w:r w:rsidRPr="00B832E0">
        <w:t xml:space="preserve"> indemnity</w:t>
      </w:r>
      <w:bookmarkEnd w:id="27"/>
    </w:p>
    <w:p w14:paraId="171CD579" w14:textId="6C6DB5BC" w:rsidR="004D5192" w:rsidRPr="00C02198" w:rsidRDefault="004D5192" w:rsidP="005358B1">
      <w:pPr>
        <w:rPr>
          <w:rFonts w:eastAsia="Book Antiqua"/>
        </w:rPr>
      </w:pPr>
      <w:r w:rsidRPr="00C02198">
        <w:rPr>
          <w:rFonts w:eastAsia="Book Antiqua"/>
        </w:rPr>
        <w:t xml:space="preserve">The </w:t>
      </w:r>
      <w:r>
        <w:rPr>
          <w:rFonts w:eastAsia="Book Antiqua"/>
        </w:rPr>
        <w:t>Australian Government</w:t>
      </w:r>
      <w:r w:rsidRPr="00C02198">
        <w:rPr>
          <w:rFonts w:eastAsia="Book Antiqua"/>
        </w:rPr>
        <w:t xml:space="preserve"> has provided an indemnity </w:t>
      </w:r>
      <w:r w:rsidR="004C2CCD" w:rsidRPr="004C2CCD">
        <w:rPr>
          <w:rFonts w:eastAsia="Book Antiqua"/>
        </w:rPr>
        <w:t>for some of the</w:t>
      </w:r>
      <w:r w:rsidRPr="00C02198">
        <w:rPr>
          <w:rFonts w:eastAsia="Book Antiqua"/>
        </w:rPr>
        <w:t xml:space="preserve"> Directors of Snowy Hydro Limited to protect them against certain claims relating to their employment as Directors. Until the indemnity agreements are varied or ceased, they will remain as contingent and unquantifiable liabilities.</w:t>
      </w:r>
    </w:p>
    <w:p w14:paraId="754E3F6A" w14:textId="6C5442C1" w:rsidR="004D5192" w:rsidRPr="00B832E0" w:rsidRDefault="004D5192" w:rsidP="005358B1">
      <w:pPr>
        <w:pStyle w:val="Heading3"/>
        <w:rPr>
          <w:rFonts w:ascii="Arial" w:eastAsia="Arial" w:hAnsi="Arial" w:cs="Arial"/>
          <w:b w:val="0"/>
          <w:bCs/>
          <w:lang w:val="en-US"/>
        </w:rPr>
      </w:pPr>
      <w:bookmarkStart w:id="28" w:name="_Toc184039476"/>
      <w:r w:rsidRPr="00B832E0">
        <w:rPr>
          <w:rFonts w:ascii="Arial" w:eastAsia="Arial" w:hAnsi="Arial" w:cs="Arial"/>
          <w:bCs/>
          <w:lang w:val="en-US"/>
        </w:rPr>
        <w:t xml:space="preserve">Contingent </w:t>
      </w:r>
      <w:r w:rsidR="004E433F">
        <w:rPr>
          <w:rFonts w:ascii="Arial" w:eastAsia="Arial" w:hAnsi="Arial" w:cs="Arial"/>
          <w:bCs/>
          <w:lang w:val="en-US"/>
        </w:rPr>
        <w:t>liabilities</w:t>
      </w:r>
      <w:r w:rsidRPr="00B832E0">
        <w:rPr>
          <w:rFonts w:ascii="Arial" w:eastAsia="Arial" w:hAnsi="Arial" w:cs="Arial"/>
          <w:bCs/>
          <w:lang w:val="en-US"/>
        </w:rPr>
        <w:t xml:space="preserve"> – quantifiable</w:t>
      </w:r>
      <w:bookmarkEnd w:id="28"/>
    </w:p>
    <w:p w14:paraId="45BF4214" w14:textId="3329DF8E" w:rsidR="004B543D" w:rsidRPr="001B784D" w:rsidRDefault="001B784D" w:rsidP="005358B1">
      <w:pPr>
        <w:pStyle w:val="Heading4"/>
        <w:rPr>
          <w:rFonts w:eastAsia="Arial"/>
        </w:rPr>
      </w:pPr>
      <w:r w:rsidRPr="001B784D">
        <w:rPr>
          <w:rFonts w:eastAsia="Arial"/>
        </w:rPr>
        <w:t>Capacity Investment Scheme</w:t>
      </w:r>
    </w:p>
    <w:p w14:paraId="2E9D765B" w14:textId="499E7D31" w:rsidR="00FF1246" w:rsidRPr="00D17822" w:rsidRDefault="00FF1246" w:rsidP="00FF1246">
      <w:pPr>
        <w:rPr>
          <w:rFonts w:eastAsia="Arial"/>
        </w:rPr>
      </w:pPr>
      <w:r w:rsidRPr="00D17822">
        <w:rPr>
          <w:rFonts w:eastAsia="Arial"/>
        </w:rPr>
        <w:t xml:space="preserve">The Australian Government has </w:t>
      </w:r>
      <w:r>
        <w:rPr>
          <w:rFonts w:eastAsia="Arial"/>
        </w:rPr>
        <w:t>announced</w:t>
      </w:r>
      <w:r w:rsidRPr="00D17822">
        <w:rPr>
          <w:rFonts w:eastAsia="Arial"/>
        </w:rPr>
        <w:t xml:space="preserve"> six projects in South Australia and Victoria </w:t>
      </w:r>
      <w:r w:rsidR="00FE5D08">
        <w:rPr>
          <w:rFonts w:eastAsia="Arial"/>
        </w:rPr>
        <w:br/>
      </w:r>
      <w:r>
        <w:rPr>
          <w:rFonts w:eastAsia="Arial"/>
        </w:rPr>
        <w:t xml:space="preserve">to enter into </w:t>
      </w:r>
      <w:r w:rsidRPr="00D17822">
        <w:rPr>
          <w:rFonts w:eastAsia="Arial"/>
        </w:rPr>
        <w:t>underwriting</w:t>
      </w:r>
      <w:r>
        <w:rPr>
          <w:rFonts w:eastAsia="Arial"/>
        </w:rPr>
        <w:t xml:space="preserve"> agreements</w:t>
      </w:r>
      <w:r w:rsidRPr="00D17822">
        <w:rPr>
          <w:rFonts w:eastAsia="Arial"/>
        </w:rPr>
        <w:t xml:space="preserve"> </w:t>
      </w:r>
      <w:r>
        <w:rPr>
          <w:rFonts w:eastAsia="Arial"/>
        </w:rPr>
        <w:t xml:space="preserve">under the Capacity Investment Scheme. These underwritings </w:t>
      </w:r>
      <w:r w:rsidRPr="00D17822">
        <w:rPr>
          <w:rFonts w:eastAsia="Arial"/>
        </w:rPr>
        <w:t>are expected to generate 3,626 megawatt hours in storage capacity.</w:t>
      </w:r>
    </w:p>
    <w:p w14:paraId="6EF8AF97" w14:textId="6D6DA407" w:rsidR="00D17822" w:rsidRPr="00D17822" w:rsidRDefault="00D17822" w:rsidP="005358B1">
      <w:pPr>
        <w:rPr>
          <w:rFonts w:eastAsia="Arial"/>
        </w:rPr>
      </w:pPr>
      <w:r w:rsidRPr="00D17822">
        <w:rPr>
          <w:rFonts w:eastAsia="Arial"/>
        </w:rPr>
        <w:t>Under the terms of these underwriting agreements, once the projects are built and operational, if the annual revenue earned by a project is below the agreed revenue floor, the Australian</w:t>
      </w:r>
      <w:r w:rsidR="00FE5D08" w:rsidRPr="005F6D17">
        <w:rPr>
          <w:rFonts w:eastAsia="Book Antiqua"/>
        </w:rPr>
        <w:t> </w:t>
      </w:r>
      <w:r w:rsidRPr="00D17822">
        <w:rPr>
          <w:rFonts w:eastAsia="Arial"/>
        </w:rPr>
        <w:t>Government will pay the project operator 90</w:t>
      </w:r>
      <w:r w:rsidR="002E6F0C">
        <w:rPr>
          <w:rFonts w:eastAsia="Arial"/>
        </w:rPr>
        <w:t> per cent</w:t>
      </w:r>
      <w:r w:rsidRPr="00D17822">
        <w:rPr>
          <w:rFonts w:eastAsia="Arial"/>
        </w:rPr>
        <w:t xml:space="preserve"> of the revenue shortfall up to the agreed annual cap for 15</w:t>
      </w:r>
      <w:r w:rsidR="00EE2148">
        <w:rPr>
          <w:rFonts w:eastAsia="Arial"/>
        </w:rPr>
        <w:t> </w:t>
      </w:r>
      <w:r w:rsidRPr="00D17822">
        <w:rPr>
          <w:rFonts w:eastAsia="Arial"/>
        </w:rPr>
        <w:t>years. If annual revenue earned by a project exceeds the agreed ceiling, the project operator pays the Australian Government 50</w:t>
      </w:r>
      <w:r w:rsidR="002E6F0C">
        <w:rPr>
          <w:rFonts w:eastAsia="Arial"/>
        </w:rPr>
        <w:t> per cent</w:t>
      </w:r>
      <w:r w:rsidRPr="00D17822">
        <w:rPr>
          <w:rFonts w:eastAsia="Arial"/>
        </w:rPr>
        <w:t xml:space="preserve"> of revenue above the ceiling up to the agreed cap.</w:t>
      </w:r>
    </w:p>
    <w:p w14:paraId="3AEC8D9E" w14:textId="7DDA3F49" w:rsidR="001B784D" w:rsidRPr="00D17822" w:rsidRDefault="00D17822" w:rsidP="005358B1">
      <w:pPr>
        <w:rPr>
          <w:rFonts w:eastAsia="Arial"/>
        </w:rPr>
      </w:pPr>
      <w:r w:rsidRPr="00D17822">
        <w:rPr>
          <w:rFonts w:eastAsia="Arial"/>
        </w:rPr>
        <w:t>The Australian Government</w:t>
      </w:r>
      <w:r w:rsidR="00B63FC6">
        <w:rPr>
          <w:rFonts w:eastAsia="Arial"/>
        </w:rPr>
        <w:t>’</w:t>
      </w:r>
      <w:r w:rsidRPr="00D17822">
        <w:rPr>
          <w:rFonts w:eastAsia="Arial"/>
        </w:rPr>
        <w:t xml:space="preserve">s maximum liability and estimated payments under these agreements are not for publication due to commercial sensitivities. While estimated payments under these agreements are not for publication, they are reflected in the </w:t>
      </w:r>
      <w:r w:rsidR="00FE5D08">
        <w:rPr>
          <w:rFonts w:eastAsia="Arial"/>
        </w:rPr>
        <w:br/>
      </w:r>
      <w:r w:rsidRPr="00D17822">
        <w:rPr>
          <w:rFonts w:eastAsia="Arial"/>
        </w:rPr>
        <w:t>Budget estimates from 2026</w:t>
      </w:r>
      <w:r w:rsidR="002E6F0C">
        <w:rPr>
          <w:rFonts w:eastAsia="Arial"/>
        </w:rPr>
        <w:t>–</w:t>
      </w:r>
      <w:r w:rsidRPr="00D17822">
        <w:rPr>
          <w:rFonts w:eastAsia="Arial"/>
        </w:rPr>
        <w:t xml:space="preserve">27. Final payments will depend on future electricity prices </w:t>
      </w:r>
      <w:r w:rsidR="00FE5D08">
        <w:rPr>
          <w:rFonts w:eastAsia="Arial"/>
        </w:rPr>
        <w:br/>
      </w:r>
      <w:r w:rsidRPr="00D17822">
        <w:rPr>
          <w:rFonts w:eastAsia="Arial"/>
        </w:rPr>
        <w:t xml:space="preserve">and the resulting impact on project revenues. </w:t>
      </w:r>
    </w:p>
    <w:p w14:paraId="55E3CE1A" w14:textId="487B098A" w:rsidR="004D5192" w:rsidRPr="001B784D" w:rsidRDefault="004D5192" w:rsidP="005358B1">
      <w:pPr>
        <w:pStyle w:val="Heading4"/>
        <w:rPr>
          <w:rFonts w:eastAsia="Arial"/>
          <w:bCs/>
          <w:i/>
          <w:lang w:val="en-US"/>
        </w:rPr>
      </w:pPr>
      <w:r w:rsidRPr="006460F9">
        <w:rPr>
          <w:rFonts w:eastAsia="Arial"/>
        </w:rPr>
        <w:t>Underwriting of the Marinus Link Project</w:t>
      </w:r>
    </w:p>
    <w:p w14:paraId="7A4DC69C" w14:textId="09CE6062" w:rsidR="009D36FA" w:rsidRPr="009D36FA" w:rsidRDefault="009D36FA" w:rsidP="005358B1">
      <w:pPr>
        <w:rPr>
          <w:rFonts w:eastAsia="Arial"/>
        </w:rPr>
      </w:pPr>
      <w:r w:rsidRPr="009D36FA">
        <w:rPr>
          <w:rFonts w:eastAsia="Arial"/>
        </w:rPr>
        <w:t>The Australian Government has underwritten up to A$165.75</w:t>
      </w:r>
      <w:r w:rsidR="002E6F0C">
        <w:rPr>
          <w:rFonts w:eastAsia="Arial"/>
        </w:rPr>
        <w:t> million</w:t>
      </w:r>
      <w:r w:rsidRPr="009D36FA">
        <w:rPr>
          <w:rFonts w:eastAsia="Arial"/>
        </w:rPr>
        <w:t xml:space="preserve"> for the Cancellation Fee payable for the Cable Engineering, Procurement, and Construction (EPC) Contract for the Marinus Link project (signed 31</w:t>
      </w:r>
      <w:r w:rsidR="00EE2148">
        <w:rPr>
          <w:rFonts w:eastAsia="Arial"/>
        </w:rPr>
        <w:t> </w:t>
      </w:r>
      <w:r w:rsidRPr="009D36FA">
        <w:rPr>
          <w:rFonts w:eastAsia="Arial"/>
        </w:rPr>
        <w:t>July</w:t>
      </w:r>
      <w:r w:rsidR="00EE2148">
        <w:rPr>
          <w:rFonts w:eastAsia="Arial"/>
        </w:rPr>
        <w:t> </w:t>
      </w:r>
      <w:r w:rsidRPr="009D36FA">
        <w:rPr>
          <w:rFonts w:eastAsia="Arial"/>
        </w:rPr>
        <w:t xml:space="preserve">2024). </w:t>
      </w:r>
    </w:p>
    <w:p w14:paraId="39B9A7B6" w14:textId="1ED69E52" w:rsidR="004D5192" w:rsidRPr="002760F7" w:rsidRDefault="009D36FA" w:rsidP="005358B1">
      <w:pPr>
        <w:rPr>
          <w:rFonts w:eastAsia="Arial"/>
        </w:rPr>
      </w:pPr>
      <w:r w:rsidRPr="009D36FA">
        <w:rPr>
          <w:rFonts w:eastAsia="Arial"/>
        </w:rPr>
        <w:t>The condition for this underwriting agreement to be called on relate</w:t>
      </w:r>
      <w:r w:rsidR="00D8046E">
        <w:rPr>
          <w:rFonts w:eastAsia="Arial"/>
        </w:rPr>
        <w:t>s</w:t>
      </w:r>
      <w:r w:rsidRPr="009D36FA">
        <w:rPr>
          <w:rFonts w:eastAsia="Arial"/>
        </w:rPr>
        <w:t xml:space="preserve"> to agreement to proceed with the project not being reached and the associated notices to proceed not being issued to the cable contractors by 31</w:t>
      </w:r>
      <w:r w:rsidR="00EE2148">
        <w:rPr>
          <w:rFonts w:eastAsia="Arial"/>
        </w:rPr>
        <w:t> </w:t>
      </w:r>
      <w:r w:rsidRPr="009D36FA">
        <w:rPr>
          <w:rFonts w:eastAsia="Arial"/>
        </w:rPr>
        <w:t>August</w:t>
      </w:r>
      <w:r w:rsidR="00EE2148">
        <w:rPr>
          <w:rFonts w:eastAsia="Arial"/>
        </w:rPr>
        <w:t> </w:t>
      </w:r>
      <w:r w:rsidRPr="009D36FA">
        <w:rPr>
          <w:rFonts w:eastAsia="Arial"/>
        </w:rPr>
        <w:t>2025.</w:t>
      </w:r>
      <w:bookmarkStart w:id="29" w:name="_Toc99141861"/>
      <w:bookmarkEnd w:id="21"/>
    </w:p>
    <w:p w14:paraId="1BC10495" w14:textId="03C07D88" w:rsidR="00C81E9C" w:rsidRPr="00B832E0" w:rsidRDefault="00C81E9C" w:rsidP="005358B1">
      <w:pPr>
        <w:pStyle w:val="Heading2"/>
      </w:pPr>
      <w:bookmarkStart w:id="30" w:name="_Toc184039477"/>
      <w:r>
        <w:lastRenderedPageBreak/>
        <w:t>Defence</w:t>
      </w:r>
      <w:bookmarkEnd w:id="30"/>
    </w:p>
    <w:p w14:paraId="56D97D1A" w14:textId="076B02B3" w:rsidR="00C81E9C" w:rsidRPr="00B832E0" w:rsidRDefault="00C81E9C" w:rsidP="005358B1">
      <w:pPr>
        <w:pStyle w:val="Heading3"/>
      </w:pPr>
      <w:bookmarkStart w:id="31" w:name="_Toc184039478"/>
      <w:r w:rsidRPr="00B832E0">
        <w:t>Significant but remote contingenc</w:t>
      </w:r>
      <w:bookmarkEnd w:id="31"/>
      <w:r w:rsidR="006E43B9">
        <w:t>y</w:t>
      </w:r>
    </w:p>
    <w:p w14:paraId="70A13864" w14:textId="63DBA420" w:rsidR="00C81E9C" w:rsidRPr="00685E86" w:rsidRDefault="00685E86" w:rsidP="005358B1">
      <w:pPr>
        <w:pStyle w:val="Heading4"/>
        <w:rPr>
          <w:bCs/>
          <w:lang w:val="en-US"/>
        </w:rPr>
      </w:pPr>
      <w:bookmarkStart w:id="32" w:name="_Toc71117784"/>
      <w:bookmarkStart w:id="33" w:name="_Hlk148351463"/>
      <w:bookmarkStart w:id="34" w:name="_Hlk148524785"/>
      <w:r w:rsidRPr="00685E86">
        <w:rPr>
          <w:bCs/>
          <w:lang w:val="en-US"/>
        </w:rPr>
        <w:t>Remote contingencies</w:t>
      </w:r>
      <w:bookmarkEnd w:id="32"/>
      <w:bookmarkEnd w:id="33"/>
      <w:bookmarkEnd w:id="34"/>
    </w:p>
    <w:p w14:paraId="6460EC78" w14:textId="64B98C95" w:rsidR="007D2BF4" w:rsidRPr="00301009" w:rsidRDefault="007D2BF4" w:rsidP="00D2242A">
      <w:pPr>
        <w:rPr>
          <w:rFonts w:eastAsia="Arial"/>
        </w:rPr>
      </w:pPr>
      <w:r w:rsidRPr="00301009">
        <w:rPr>
          <w:rFonts w:eastAsia="Arial"/>
        </w:rPr>
        <w:t xml:space="preserve">As </w:t>
      </w:r>
      <w:proofErr w:type="gramStart"/>
      <w:r w:rsidRPr="00301009">
        <w:rPr>
          <w:rFonts w:eastAsia="Arial"/>
        </w:rPr>
        <w:t>at</w:t>
      </w:r>
      <w:proofErr w:type="gramEnd"/>
      <w:r w:rsidRPr="00301009">
        <w:rPr>
          <w:rFonts w:eastAsia="Arial"/>
        </w:rPr>
        <w:t xml:space="preserve"> 30 June 2024, the Department of Defence carried 412 instances of quantifiable remote contingent liabilities valued at $7.95</w:t>
      </w:r>
      <w:r w:rsidR="002E6F0C">
        <w:rPr>
          <w:rFonts w:eastAsia="Arial"/>
        </w:rPr>
        <w:t> billion</w:t>
      </w:r>
      <w:r w:rsidRPr="00301009">
        <w:rPr>
          <w:rFonts w:eastAsia="Arial"/>
        </w:rPr>
        <w:t xml:space="preserve"> and 592 instances of unquantifiable remote contingent liabilities. </w:t>
      </w:r>
    </w:p>
    <w:p w14:paraId="755CA49D" w14:textId="77777777" w:rsidR="007D2BF4" w:rsidRPr="00301009" w:rsidRDefault="007D2BF4" w:rsidP="00D2242A">
      <w:pPr>
        <w:rPr>
          <w:rFonts w:eastAsia="Arial"/>
        </w:rPr>
      </w:pPr>
      <w:r w:rsidRPr="00301009">
        <w:rPr>
          <w:rFonts w:eastAsia="Arial"/>
        </w:rPr>
        <w:t>Details of these significant but remote contingent liabilities are not given due to commercial and/or national security sensitivities.</w:t>
      </w:r>
    </w:p>
    <w:p w14:paraId="26B0CF47" w14:textId="345F06EE" w:rsidR="007D2BF4" w:rsidRPr="00353085" w:rsidRDefault="00353085" w:rsidP="005358B1">
      <w:pPr>
        <w:pStyle w:val="Heading3"/>
        <w:rPr>
          <w:bCs/>
          <w:lang w:val="en-US"/>
        </w:rPr>
      </w:pPr>
      <w:bookmarkStart w:id="35" w:name="_Toc184039479"/>
      <w:r w:rsidRPr="00353085">
        <w:rPr>
          <w:bCs/>
          <w:lang w:val="en-US"/>
        </w:rPr>
        <w:t xml:space="preserve">Contingent </w:t>
      </w:r>
      <w:r w:rsidR="006E43B9">
        <w:rPr>
          <w:bCs/>
          <w:lang w:val="en-US"/>
        </w:rPr>
        <w:t>liability</w:t>
      </w:r>
      <w:r w:rsidRPr="00353085">
        <w:rPr>
          <w:bCs/>
          <w:lang w:val="en-US"/>
        </w:rPr>
        <w:t xml:space="preserve"> – quantifiable</w:t>
      </w:r>
      <w:bookmarkEnd w:id="35"/>
    </w:p>
    <w:p w14:paraId="6AD55466" w14:textId="5915B2CC" w:rsidR="00B96F68" w:rsidRPr="00B96F68" w:rsidRDefault="00B96F68" w:rsidP="005358B1">
      <w:pPr>
        <w:pStyle w:val="Heading4"/>
        <w:rPr>
          <w:bCs/>
          <w:lang w:val="en-US"/>
        </w:rPr>
      </w:pPr>
      <w:r w:rsidRPr="00B96F68">
        <w:rPr>
          <w:bCs/>
          <w:lang w:val="en-US"/>
        </w:rPr>
        <w:t xml:space="preserve">Claims against the Department of </w:t>
      </w:r>
      <w:proofErr w:type="spellStart"/>
      <w:r w:rsidRPr="00B96F68">
        <w:rPr>
          <w:bCs/>
          <w:lang w:val="en-US"/>
        </w:rPr>
        <w:t>Defence</w:t>
      </w:r>
      <w:proofErr w:type="spellEnd"/>
    </w:p>
    <w:p w14:paraId="10086A08" w14:textId="53043909" w:rsidR="00301009" w:rsidRPr="00301009" w:rsidRDefault="00301009" w:rsidP="00D2242A">
      <w:pPr>
        <w:rPr>
          <w:rFonts w:eastAsia="Arial"/>
        </w:rPr>
      </w:pPr>
      <w:r w:rsidRPr="00301009">
        <w:rPr>
          <w:rFonts w:eastAsia="Arial"/>
        </w:rPr>
        <w:t xml:space="preserve">The Department of Defence </w:t>
      </w:r>
      <w:r w:rsidR="002E5D6B">
        <w:rPr>
          <w:rFonts w:eastAsia="Arial"/>
        </w:rPr>
        <w:t xml:space="preserve">(Defence) </w:t>
      </w:r>
      <w:r w:rsidRPr="00301009">
        <w:rPr>
          <w:rFonts w:eastAsia="Arial"/>
        </w:rPr>
        <w:t>has 15 instances of non</w:t>
      </w:r>
      <w:r w:rsidR="00B63FC6">
        <w:rPr>
          <w:rFonts w:eastAsia="Arial"/>
        </w:rPr>
        <w:noBreakHyphen/>
      </w:r>
      <w:r w:rsidRPr="00301009">
        <w:rPr>
          <w:rFonts w:eastAsia="Arial"/>
        </w:rPr>
        <w:t>remote, quantifiable contingent liabilities in respect of claims against Defence valued at $17.9</w:t>
      </w:r>
      <w:r w:rsidR="002E6F0C">
        <w:rPr>
          <w:rFonts w:eastAsia="Arial"/>
        </w:rPr>
        <w:t> million</w:t>
      </w:r>
      <w:r w:rsidRPr="00301009">
        <w:rPr>
          <w:rFonts w:eastAsia="Arial"/>
        </w:rPr>
        <w:t xml:space="preserve">. </w:t>
      </w:r>
    </w:p>
    <w:p w14:paraId="30F1ED2C" w14:textId="6F06583B" w:rsidR="00D030D2" w:rsidRDefault="00301009" w:rsidP="00D2242A">
      <w:pPr>
        <w:rPr>
          <w:rFonts w:eastAsia="Arial"/>
        </w:rPr>
      </w:pPr>
      <w:r w:rsidRPr="00301009">
        <w:rPr>
          <w:rFonts w:eastAsia="Arial"/>
        </w:rPr>
        <w:t>The estimated figure is determined by an objective analysis of the probable amount payable for all matters managed by firms engaged by Defence using the Attorney</w:t>
      </w:r>
      <w:r w:rsidR="00B63FC6">
        <w:rPr>
          <w:rFonts w:eastAsia="Arial"/>
        </w:rPr>
        <w:noBreakHyphen/>
      </w:r>
      <w:r w:rsidRPr="00301009">
        <w:rPr>
          <w:rFonts w:eastAsia="Arial"/>
        </w:rPr>
        <w:t>General</w:t>
      </w:r>
      <w:r w:rsidR="00B63FC6">
        <w:rPr>
          <w:rFonts w:eastAsia="Arial"/>
        </w:rPr>
        <w:t>’</w:t>
      </w:r>
      <w:r w:rsidRPr="00301009">
        <w:rPr>
          <w:rFonts w:eastAsia="Arial"/>
        </w:rPr>
        <w:t>s Whole of Australian Government Legal Services Panel and those being handled in</w:t>
      </w:r>
      <w:r w:rsidR="00B63FC6">
        <w:rPr>
          <w:rFonts w:eastAsia="Arial"/>
        </w:rPr>
        <w:noBreakHyphen/>
      </w:r>
      <w:r w:rsidRPr="00301009">
        <w:rPr>
          <w:rFonts w:eastAsia="Arial"/>
        </w:rPr>
        <w:t>house by Defence Legal Division. However, the exact amount payable under those claims is uncertain. Defence is defending the claims or trying to resolve them through alternative dispute resolution.</w:t>
      </w:r>
    </w:p>
    <w:p w14:paraId="2263B78D" w14:textId="77777777" w:rsidR="004D5192" w:rsidRPr="00B832E0" w:rsidRDefault="004D5192" w:rsidP="005358B1">
      <w:pPr>
        <w:pStyle w:val="Heading2"/>
      </w:pPr>
      <w:bookmarkStart w:id="36" w:name="_Toc184039480"/>
      <w:r w:rsidRPr="00B832E0">
        <w:t>Employment and Workplace Relations</w:t>
      </w:r>
      <w:bookmarkEnd w:id="29"/>
      <w:bookmarkEnd w:id="36"/>
    </w:p>
    <w:p w14:paraId="43C3823E" w14:textId="77777777" w:rsidR="004D5192" w:rsidRPr="00B832E0" w:rsidRDefault="004D5192" w:rsidP="005358B1">
      <w:pPr>
        <w:pStyle w:val="Heading3"/>
      </w:pPr>
      <w:bookmarkStart w:id="37" w:name="_Toc184039481"/>
      <w:bookmarkStart w:id="38" w:name="_Toc99141864"/>
      <w:r w:rsidRPr="00B832E0">
        <w:t>Contingent liabilit</w:t>
      </w:r>
      <w:r>
        <w:t xml:space="preserve">ies </w:t>
      </w:r>
      <w:r w:rsidRPr="00B832E0">
        <w:t>– quantifiable</w:t>
      </w:r>
      <w:bookmarkEnd w:id="37"/>
    </w:p>
    <w:p w14:paraId="3E685B4A" w14:textId="4C4A31A2" w:rsidR="004D5192" w:rsidRPr="004C4FB6" w:rsidRDefault="004D5192" w:rsidP="005358B1">
      <w:pPr>
        <w:pStyle w:val="Heading4"/>
        <w:rPr>
          <w:rFonts w:eastAsia="Arial"/>
          <w:lang w:val="en-US"/>
        </w:rPr>
      </w:pPr>
      <w:bookmarkStart w:id="39" w:name="_Toc71117793"/>
      <w:proofErr w:type="spellStart"/>
      <w:r w:rsidRPr="004C4FB6">
        <w:rPr>
          <w:rFonts w:eastAsia="Arial"/>
          <w:lang w:val="en-US"/>
        </w:rPr>
        <w:t>ParentsNext</w:t>
      </w:r>
      <w:proofErr w:type="spellEnd"/>
      <w:r w:rsidRPr="004C4FB6">
        <w:rPr>
          <w:rFonts w:eastAsia="Arial"/>
          <w:lang w:val="en-US"/>
        </w:rPr>
        <w:t xml:space="preserve"> program</w:t>
      </w:r>
      <w:bookmarkEnd w:id="39"/>
    </w:p>
    <w:p w14:paraId="5B493A00" w14:textId="1A40F4D6" w:rsidR="00F954CB" w:rsidRPr="00F954CB" w:rsidRDefault="00F954CB" w:rsidP="008575FA">
      <w:pPr>
        <w:rPr>
          <w:rFonts w:eastAsia="Arial"/>
        </w:rPr>
      </w:pPr>
      <w:bookmarkStart w:id="40" w:name="_Hlk183079646"/>
      <w:proofErr w:type="spellStart"/>
      <w:r w:rsidRPr="00F954CB">
        <w:rPr>
          <w:rFonts w:eastAsia="Arial"/>
        </w:rPr>
        <w:t>ParentsNext</w:t>
      </w:r>
      <w:proofErr w:type="spellEnd"/>
      <w:r w:rsidRPr="00F954CB">
        <w:rPr>
          <w:rFonts w:eastAsia="Arial"/>
        </w:rPr>
        <w:t xml:space="preserve"> supported parents to identify their education and employment related goals </w:t>
      </w:r>
      <w:r w:rsidR="00FE5D08">
        <w:rPr>
          <w:rFonts w:eastAsia="Arial"/>
        </w:rPr>
        <w:br/>
      </w:r>
      <w:r w:rsidRPr="00F954CB">
        <w:rPr>
          <w:rFonts w:eastAsia="Arial"/>
        </w:rPr>
        <w:t>to build their work readiness, and plan and prepare for employment by the time their youngest child starts school.</w:t>
      </w:r>
      <w:r w:rsidRPr="00F954CB">
        <w:rPr>
          <w:rFonts w:eastAsia="Arial"/>
          <w:lang w:val="en-US"/>
        </w:rPr>
        <w:t xml:space="preserve"> </w:t>
      </w:r>
      <w:r w:rsidRPr="00F954CB">
        <w:rPr>
          <w:rFonts w:eastAsia="Arial"/>
        </w:rPr>
        <w:t>The program ceased on 31</w:t>
      </w:r>
      <w:r w:rsidR="00EE2148">
        <w:rPr>
          <w:rFonts w:eastAsia="Arial"/>
        </w:rPr>
        <w:t> </w:t>
      </w:r>
      <w:r w:rsidRPr="00F954CB">
        <w:rPr>
          <w:rFonts w:eastAsia="Arial"/>
        </w:rPr>
        <w:t xml:space="preserve">October 2024. </w:t>
      </w:r>
    </w:p>
    <w:p w14:paraId="2342FAFA" w14:textId="237C221F" w:rsidR="00F954CB" w:rsidRPr="00F954CB" w:rsidRDefault="00F954CB" w:rsidP="008575FA">
      <w:pPr>
        <w:rPr>
          <w:rFonts w:eastAsia="Arial"/>
        </w:rPr>
      </w:pPr>
      <w:r w:rsidRPr="00F954CB">
        <w:rPr>
          <w:rFonts w:eastAsia="Arial"/>
        </w:rPr>
        <w:t>Under the program, providers accumulated one</w:t>
      </w:r>
      <w:r w:rsidR="00B63FC6">
        <w:rPr>
          <w:rFonts w:eastAsia="Arial"/>
        </w:rPr>
        <w:noBreakHyphen/>
      </w:r>
      <w:r w:rsidRPr="00F954CB">
        <w:rPr>
          <w:rFonts w:eastAsia="Arial"/>
        </w:rPr>
        <w:t>off credits which accrued to their provider</w:t>
      </w:r>
      <w:r w:rsidR="00B63FC6">
        <w:rPr>
          <w:rFonts w:eastAsia="Arial"/>
        </w:rPr>
        <w:t>’</w:t>
      </w:r>
      <w:r w:rsidRPr="00F954CB">
        <w:rPr>
          <w:rFonts w:eastAsia="Arial"/>
        </w:rPr>
        <w:t xml:space="preserve">s Participation Fund on commencement of a participant. </w:t>
      </w:r>
    </w:p>
    <w:p w14:paraId="5BA30EA7" w14:textId="6B17B258" w:rsidR="00F954CB" w:rsidRPr="00F954CB" w:rsidRDefault="00F954CB" w:rsidP="008575FA">
      <w:pPr>
        <w:rPr>
          <w:rFonts w:eastAsia="Arial"/>
        </w:rPr>
      </w:pPr>
      <w:r w:rsidRPr="00F954CB">
        <w:rPr>
          <w:rFonts w:eastAsia="Arial"/>
        </w:rPr>
        <w:t xml:space="preserve">Currently, providers are forecast to spend less than the value of the available credits, creating a surplus of credits that present a contingent liability. As </w:t>
      </w:r>
      <w:proofErr w:type="gramStart"/>
      <w:r w:rsidRPr="00F954CB">
        <w:rPr>
          <w:rFonts w:eastAsia="Arial"/>
        </w:rPr>
        <w:t>at</w:t>
      </w:r>
      <w:proofErr w:type="gramEnd"/>
      <w:r w:rsidRPr="00F954CB">
        <w:rPr>
          <w:rFonts w:eastAsia="Arial"/>
        </w:rPr>
        <w:t xml:space="preserve"> 31</w:t>
      </w:r>
      <w:r w:rsidR="00EE2148">
        <w:rPr>
          <w:rFonts w:eastAsia="Arial"/>
        </w:rPr>
        <w:t> </w:t>
      </w:r>
      <w:r w:rsidRPr="00F954CB">
        <w:rPr>
          <w:rFonts w:eastAsia="Arial"/>
        </w:rPr>
        <w:t>August 2024, there was $84.7</w:t>
      </w:r>
      <w:r w:rsidR="002E6F0C">
        <w:rPr>
          <w:rFonts w:eastAsia="Arial"/>
        </w:rPr>
        <w:t> million</w:t>
      </w:r>
      <w:r w:rsidRPr="00F954CB">
        <w:rPr>
          <w:rFonts w:eastAsia="Arial"/>
        </w:rPr>
        <w:t xml:space="preserve"> in unspent Participation Fund credits in the Participation Fund notional bank. </w:t>
      </w:r>
      <w:r w:rsidRPr="00F954CB">
        <w:rPr>
          <w:rFonts w:eastAsia="Arial"/>
          <w:lang w:val="en-US"/>
        </w:rPr>
        <w:t xml:space="preserve">The surplus of credits will decline as providers seek reimbursement for funds expended before the end of the </w:t>
      </w:r>
      <w:proofErr w:type="spellStart"/>
      <w:r w:rsidRPr="00F954CB">
        <w:rPr>
          <w:rFonts w:eastAsia="Arial"/>
          <w:lang w:val="en-US"/>
        </w:rPr>
        <w:t>ParentsNext</w:t>
      </w:r>
      <w:proofErr w:type="spellEnd"/>
      <w:r w:rsidRPr="00F954CB">
        <w:rPr>
          <w:rFonts w:eastAsia="Arial"/>
          <w:lang w:val="en-US"/>
        </w:rPr>
        <w:t xml:space="preserve"> program.</w:t>
      </w:r>
    </w:p>
    <w:p w14:paraId="19760199" w14:textId="26135BF1" w:rsidR="00F954CB" w:rsidRPr="00F954CB" w:rsidRDefault="00F954CB" w:rsidP="008575FA">
      <w:pPr>
        <w:rPr>
          <w:rFonts w:eastAsia="Arial"/>
          <w:lang w:val="en-US"/>
        </w:rPr>
      </w:pPr>
      <w:r w:rsidRPr="00F954CB">
        <w:rPr>
          <w:rFonts w:eastAsia="Arial"/>
        </w:rPr>
        <w:t>A new voluntary pre</w:t>
      </w:r>
      <w:r w:rsidR="00B63FC6">
        <w:rPr>
          <w:rFonts w:eastAsia="Arial"/>
        </w:rPr>
        <w:noBreakHyphen/>
      </w:r>
      <w:r w:rsidRPr="00F954CB">
        <w:rPr>
          <w:rFonts w:eastAsia="Arial"/>
        </w:rPr>
        <w:t>employment service for parents, called Parent Pathways, commenced on 1</w:t>
      </w:r>
      <w:r w:rsidR="00EE2148">
        <w:rPr>
          <w:rFonts w:eastAsia="Arial"/>
        </w:rPr>
        <w:t> </w:t>
      </w:r>
      <w:r w:rsidRPr="00F954CB">
        <w:rPr>
          <w:rFonts w:eastAsia="Arial"/>
        </w:rPr>
        <w:t>November</w:t>
      </w:r>
      <w:r w:rsidR="00EE2148">
        <w:rPr>
          <w:rFonts w:eastAsia="Arial"/>
        </w:rPr>
        <w:t> </w:t>
      </w:r>
      <w:r w:rsidRPr="00F954CB">
        <w:rPr>
          <w:rFonts w:eastAsia="Arial"/>
        </w:rPr>
        <w:t xml:space="preserve">2024. </w:t>
      </w:r>
    </w:p>
    <w:bookmarkEnd w:id="40"/>
    <w:p w14:paraId="711FC5CE" w14:textId="77777777" w:rsidR="004D5192" w:rsidRPr="00002090" w:rsidRDefault="004D5192" w:rsidP="005358B1">
      <w:pPr>
        <w:pStyle w:val="Heading4"/>
        <w:rPr>
          <w:rFonts w:eastAsia="Arial"/>
          <w:lang w:val="en-US"/>
        </w:rPr>
      </w:pPr>
      <w:r w:rsidRPr="00002090">
        <w:rPr>
          <w:rFonts w:eastAsia="Arial"/>
          <w:lang w:val="en-US"/>
        </w:rPr>
        <w:lastRenderedPageBreak/>
        <w:t xml:space="preserve">Workforce Australia </w:t>
      </w:r>
      <w:r>
        <w:rPr>
          <w:rFonts w:eastAsia="Calibri"/>
        </w:rPr>
        <w:t>–</w:t>
      </w:r>
      <w:r w:rsidRPr="00002090">
        <w:rPr>
          <w:rFonts w:eastAsia="Arial"/>
          <w:lang w:val="en-US"/>
        </w:rPr>
        <w:t xml:space="preserve"> Employment Fund</w:t>
      </w:r>
      <w:r>
        <w:rPr>
          <w:rFonts w:eastAsia="Arial"/>
          <w:lang w:val="en-US"/>
        </w:rPr>
        <w:t> </w:t>
      </w:r>
    </w:p>
    <w:p w14:paraId="6AF472E2" w14:textId="77777777" w:rsidR="004D5192" w:rsidRPr="002E4C79" w:rsidRDefault="004D5192" w:rsidP="005358B1">
      <w:pPr>
        <w:rPr>
          <w:rFonts w:eastAsia="Arial"/>
          <w:lang w:val="en-US"/>
        </w:rPr>
      </w:pPr>
      <w:r w:rsidRPr="69E2749F">
        <w:rPr>
          <w:rFonts w:eastAsia="Arial"/>
          <w:lang w:val="en-US"/>
        </w:rPr>
        <w:t>Since</w:t>
      </w:r>
      <w:r>
        <w:rPr>
          <w:rFonts w:eastAsia="Arial"/>
          <w:lang w:val="en-US"/>
        </w:rPr>
        <w:t> July </w:t>
      </w:r>
      <w:r w:rsidRPr="69E2749F">
        <w:rPr>
          <w:rFonts w:eastAsia="Arial"/>
          <w:lang w:val="en-US"/>
        </w:rPr>
        <w:t xml:space="preserve">2022, with the introduction of Workforce Australia, </w:t>
      </w:r>
      <w:r>
        <w:rPr>
          <w:rFonts w:eastAsia="Arial"/>
          <w:lang w:val="en-US"/>
        </w:rPr>
        <w:t xml:space="preserve">contracted service providers and the Digital Services Contact Centre </w:t>
      </w:r>
      <w:r w:rsidRPr="69E2749F">
        <w:rPr>
          <w:rFonts w:eastAsia="Arial"/>
          <w:lang w:val="en-US"/>
        </w:rPr>
        <w:t xml:space="preserve">have had access to the Employment Fund, which can be used to purchase goods and services to help participants to get and keep a job. </w:t>
      </w:r>
    </w:p>
    <w:p w14:paraId="3EE83C77" w14:textId="0B66E68D" w:rsidR="004D5192" w:rsidRPr="004017EF" w:rsidRDefault="004D5192" w:rsidP="005358B1">
      <w:pPr>
        <w:pStyle w:val="Bullet"/>
        <w:numPr>
          <w:ilvl w:val="0"/>
          <w:numId w:val="3"/>
        </w:numPr>
      </w:pPr>
      <w:r w:rsidRPr="004017EF">
        <w:t>Providers accumulate a $1,600 Employment Fund credit upon commencement of each participant in Workforce Australia Provider Services.</w:t>
      </w:r>
      <w:r w:rsidR="00CA6D88">
        <w:t xml:space="preserve"> </w:t>
      </w:r>
      <w:r w:rsidR="00CA6D88" w:rsidRPr="00CA6D88">
        <w:t>This will reduce to $1,500 from 1</w:t>
      </w:r>
      <w:r w:rsidR="00CA6D88">
        <w:t> </w:t>
      </w:r>
      <w:r w:rsidR="00CA6D88" w:rsidRPr="00CA6D88">
        <w:t xml:space="preserve">July 2025 as part of </w:t>
      </w:r>
      <w:r w:rsidR="00742846">
        <w:t xml:space="preserve">a </w:t>
      </w:r>
      <w:r w:rsidR="00CA6D88" w:rsidRPr="00CA6D88">
        <w:t xml:space="preserve">measure announced at </w:t>
      </w:r>
      <w:r w:rsidR="00E06A91">
        <w:t xml:space="preserve">the </w:t>
      </w:r>
      <w:r w:rsidR="00CA6D88" w:rsidRPr="00CA6D88">
        <w:t>2024</w:t>
      </w:r>
      <w:r w:rsidR="00EE2148">
        <w:t>–</w:t>
      </w:r>
      <w:r w:rsidR="00CA6D88" w:rsidRPr="00CA6D88">
        <w:t>25</w:t>
      </w:r>
      <w:r w:rsidR="00E06A91" w:rsidRPr="00E06A91">
        <w:t xml:space="preserve"> </w:t>
      </w:r>
      <w:proofErr w:type="gramStart"/>
      <w:r w:rsidR="00E06A91" w:rsidRPr="00CA6D88">
        <w:t>Budget</w:t>
      </w:r>
      <w:proofErr w:type="gramEnd"/>
    </w:p>
    <w:p w14:paraId="6E647E84" w14:textId="0A6C759E" w:rsidR="004D5192" w:rsidRPr="00BD728C" w:rsidRDefault="004D5192" w:rsidP="005358B1">
      <w:pPr>
        <w:pStyle w:val="Bullet"/>
        <w:numPr>
          <w:ilvl w:val="0"/>
          <w:numId w:val="3"/>
        </w:numPr>
      </w:pPr>
      <w:r w:rsidRPr="00BD728C">
        <w:t xml:space="preserve">Participants in </w:t>
      </w:r>
      <w:r w:rsidR="009F078B" w:rsidRPr="009F078B">
        <w:t>Workforce Australia Online attract an Employment Fund credit, credited after a participant has been in Digital Services for two months. The credit amount</w:t>
      </w:r>
      <w:r w:rsidR="009F078B" w:rsidRPr="009F078B">
        <w:rPr>
          <w:lang w:val="en-US"/>
        </w:rPr>
        <w:t xml:space="preserve"> </w:t>
      </w:r>
      <w:r w:rsidR="009F078B" w:rsidRPr="009F078B">
        <w:t xml:space="preserve">reduced from $300 to $250 </w:t>
      </w:r>
      <w:r w:rsidR="00437F4A">
        <w:t>i</w:t>
      </w:r>
      <w:r w:rsidR="009F078B" w:rsidRPr="009F078B">
        <w:t xml:space="preserve">n June 2024 as part of </w:t>
      </w:r>
      <w:r w:rsidR="00742846">
        <w:t xml:space="preserve">a </w:t>
      </w:r>
      <w:r w:rsidR="009F078B" w:rsidRPr="009F078B">
        <w:t>measure announced at</w:t>
      </w:r>
      <w:r w:rsidR="00077881">
        <w:t xml:space="preserve"> the</w:t>
      </w:r>
      <w:r w:rsidR="009F078B" w:rsidRPr="009F078B">
        <w:t xml:space="preserve"> </w:t>
      </w:r>
      <w:r w:rsidR="00FE5D08">
        <w:br/>
      </w:r>
      <w:r w:rsidR="00E06A91" w:rsidRPr="00CA6D88">
        <w:t>2024</w:t>
      </w:r>
      <w:r w:rsidR="00E06A91">
        <w:t>–</w:t>
      </w:r>
      <w:r w:rsidR="00E06A91" w:rsidRPr="00CA6D88">
        <w:t>25</w:t>
      </w:r>
      <w:r w:rsidR="00FE5D08" w:rsidRPr="005F6D17">
        <w:rPr>
          <w:rFonts w:eastAsia="Book Antiqua"/>
        </w:rPr>
        <w:t> </w:t>
      </w:r>
      <w:r w:rsidR="009F078B" w:rsidRPr="009F078B">
        <w:t>Budget.</w:t>
      </w:r>
    </w:p>
    <w:p w14:paraId="304D0B8C" w14:textId="364617FB" w:rsidR="009A2F39" w:rsidRPr="009A2F39" w:rsidRDefault="009A2F39" w:rsidP="005358B1">
      <w:pPr>
        <w:rPr>
          <w:rFonts w:eastAsia="Arial"/>
          <w:lang w:val="en-US"/>
        </w:rPr>
      </w:pPr>
      <w:r w:rsidRPr="009A2F39">
        <w:rPr>
          <w:rFonts w:eastAsia="Arial"/>
        </w:rPr>
        <w:t xml:space="preserve">Currently, Employment Fund expenditure is expected to be less than the value of the available credits, creating an accumulating surplus of credits that present a contingent liability. As </w:t>
      </w:r>
      <w:proofErr w:type="gramStart"/>
      <w:r w:rsidRPr="009A2F39">
        <w:rPr>
          <w:rFonts w:eastAsia="Arial"/>
        </w:rPr>
        <w:t>at</w:t>
      </w:r>
      <w:proofErr w:type="gramEnd"/>
      <w:r w:rsidRPr="009A2F39">
        <w:rPr>
          <w:rFonts w:eastAsia="Arial"/>
        </w:rPr>
        <w:t xml:space="preserve"> 31 August 2024, there was $643.3</w:t>
      </w:r>
      <w:r w:rsidR="002E6F0C">
        <w:rPr>
          <w:rFonts w:eastAsia="Arial"/>
        </w:rPr>
        <w:t> million</w:t>
      </w:r>
      <w:r w:rsidRPr="009A2F39">
        <w:rPr>
          <w:rFonts w:eastAsia="Arial"/>
        </w:rPr>
        <w:t xml:space="preserve"> in unspent Employment Fund Credits in the Workforce Australia Employment Fund notional bank.</w:t>
      </w:r>
    </w:p>
    <w:p w14:paraId="6D4245E8" w14:textId="77777777" w:rsidR="00E6173B" w:rsidRPr="00B832E0" w:rsidRDefault="00E6173B" w:rsidP="005358B1">
      <w:pPr>
        <w:pStyle w:val="Heading2"/>
      </w:pPr>
      <w:bookmarkStart w:id="41" w:name="_Toc184039482"/>
      <w:bookmarkEnd w:id="38"/>
      <w:r w:rsidRPr="00B832E0">
        <w:t>Foreign Affairs and Trade</w:t>
      </w:r>
      <w:bookmarkEnd w:id="41"/>
    </w:p>
    <w:p w14:paraId="2280C933" w14:textId="77777777" w:rsidR="00E6173B" w:rsidRPr="00B832E0" w:rsidRDefault="00E6173B" w:rsidP="005358B1">
      <w:pPr>
        <w:pStyle w:val="Heading3"/>
      </w:pPr>
      <w:bookmarkStart w:id="42" w:name="_Toc71117807"/>
      <w:bookmarkStart w:id="43" w:name="_Toc99141869"/>
      <w:bookmarkStart w:id="44" w:name="_Toc184039483"/>
      <w:r w:rsidRPr="00B832E0">
        <w:t>Fiscal Risk</w:t>
      </w:r>
      <w:bookmarkEnd w:id="42"/>
      <w:bookmarkEnd w:id="43"/>
      <w:bookmarkEnd w:id="44"/>
    </w:p>
    <w:p w14:paraId="41B35D01" w14:textId="77777777" w:rsidR="00E6173B" w:rsidRDefault="00E6173B" w:rsidP="005358B1">
      <w:pPr>
        <w:pStyle w:val="Heading4"/>
        <w:rPr>
          <w:rFonts w:eastAsia="Arial"/>
          <w:lang w:val="en-US"/>
        </w:rPr>
      </w:pPr>
      <w:bookmarkStart w:id="45" w:name="_Toc71117808"/>
      <w:bookmarkStart w:id="46" w:name="_Toc71117811"/>
      <w:bookmarkStart w:id="47" w:name="_Toc99141870"/>
      <w:r w:rsidRPr="00B35882">
        <w:rPr>
          <w:rFonts w:eastAsia="Arial"/>
          <w:lang w:val="en-US"/>
        </w:rPr>
        <w:t xml:space="preserve">Export Finance Australia </w:t>
      </w:r>
      <w:r>
        <w:rPr>
          <w:rFonts w:eastAsia="Calibri"/>
        </w:rPr>
        <w:t>–</w:t>
      </w:r>
      <w:r w:rsidRPr="00B35882">
        <w:rPr>
          <w:rFonts w:eastAsia="Arial"/>
          <w:lang w:val="en-US"/>
        </w:rPr>
        <w:t xml:space="preserve"> National Interest Account</w:t>
      </w:r>
      <w:bookmarkEnd w:id="45"/>
    </w:p>
    <w:p w14:paraId="1903C10A" w14:textId="7C256743" w:rsidR="003D59A8" w:rsidRPr="00FE72B7" w:rsidRDefault="003D59A8" w:rsidP="00FE72B7">
      <w:pPr>
        <w:rPr>
          <w:rFonts w:eastAsia="Calibri"/>
        </w:rPr>
      </w:pPr>
      <w:r w:rsidRPr="00FE72B7">
        <w:rPr>
          <w:rFonts w:eastAsia="Calibri"/>
        </w:rPr>
        <w:t>There are five financing facilities under Export Finance Australia</w:t>
      </w:r>
      <w:r w:rsidR="00B63FC6">
        <w:rPr>
          <w:rFonts w:eastAsia="Calibri"/>
        </w:rPr>
        <w:t>’</w:t>
      </w:r>
      <w:r w:rsidRPr="00FE72B7">
        <w:rPr>
          <w:rFonts w:eastAsia="Calibri"/>
        </w:rPr>
        <w:t xml:space="preserve">s National Interest Account, set out below. </w:t>
      </w:r>
    </w:p>
    <w:p w14:paraId="0E496C9B" w14:textId="6EBBDCA8" w:rsidR="003D59A8" w:rsidRPr="00FE72B7" w:rsidRDefault="003D59A8" w:rsidP="00FE72B7">
      <w:pPr>
        <w:rPr>
          <w:rFonts w:eastAsia="Calibri"/>
        </w:rPr>
      </w:pPr>
      <w:r w:rsidRPr="00FE72B7">
        <w:rPr>
          <w:rFonts w:eastAsia="Calibri"/>
        </w:rPr>
        <w:t>The Australian Infrastructure Financing Facility for the Pacific (AIFFP) started operation on 1 July 2019. The AIFFP can provide up to $4</w:t>
      </w:r>
      <w:r w:rsidR="002E6F0C">
        <w:rPr>
          <w:rFonts w:eastAsia="Calibri"/>
        </w:rPr>
        <w:t> billion</w:t>
      </w:r>
      <w:r w:rsidRPr="00FE72B7">
        <w:rPr>
          <w:rFonts w:eastAsia="Calibri"/>
        </w:rPr>
        <w:t xml:space="preserve"> in facilities, including up to $1</w:t>
      </w:r>
      <w:r w:rsidR="002E6F0C">
        <w:rPr>
          <w:rFonts w:eastAsia="Calibri"/>
        </w:rPr>
        <w:t> billion</w:t>
      </w:r>
      <w:r w:rsidRPr="00FE72B7">
        <w:rPr>
          <w:rFonts w:eastAsia="Calibri"/>
        </w:rPr>
        <w:t xml:space="preserve"> in grants and the balance in loans and guarantees, to support high priority infrastructure development in Pacific countries and Timor</w:t>
      </w:r>
      <w:r w:rsidR="00B63FC6">
        <w:rPr>
          <w:rFonts w:eastAsia="Calibri"/>
        </w:rPr>
        <w:noBreakHyphen/>
      </w:r>
      <w:r w:rsidRPr="00FE72B7">
        <w:rPr>
          <w:rFonts w:eastAsia="Calibri"/>
        </w:rPr>
        <w:t>Leste. To date, the Australian</w:t>
      </w:r>
      <w:r w:rsidR="00FE5D08" w:rsidRPr="005F6D17">
        <w:rPr>
          <w:rFonts w:eastAsia="Book Antiqua"/>
        </w:rPr>
        <w:t> </w:t>
      </w:r>
      <w:r w:rsidRPr="00FE72B7">
        <w:rPr>
          <w:rFonts w:eastAsia="Calibri"/>
        </w:rPr>
        <w:t>Government has agreed to provide loans, guarantees and grants to support the development of 21</w:t>
      </w:r>
      <w:r w:rsidR="00674003">
        <w:rPr>
          <w:rFonts w:eastAsia="Calibri"/>
        </w:rPr>
        <w:t> </w:t>
      </w:r>
      <w:r w:rsidRPr="00FE72B7">
        <w:rPr>
          <w:rFonts w:eastAsia="Calibri"/>
        </w:rPr>
        <w:t xml:space="preserve">infrastructure projects in ten countries. As </w:t>
      </w:r>
      <w:proofErr w:type="gramStart"/>
      <w:r w:rsidR="0051207E" w:rsidRPr="00FE72B7">
        <w:rPr>
          <w:rFonts w:eastAsia="Calibri"/>
        </w:rPr>
        <w:t>at</w:t>
      </w:r>
      <w:proofErr w:type="gramEnd"/>
      <w:r w:rsidR="0051207E" w:rsidRPr="00FE72B7">
        <w:rPr>
          <w:rFonts w:eastAsia="Calibri"/>
        </w:rPr>
        <w:t xml:space="preserve"> </w:t>
      </w:r>
      <w:r w:rsidR="00930B84" w:rsidRPr="00FE72B7">
        <w:rPr>
          <w:rFonts w:eastAsia="Calibri"/>
        </w:rPr>
        <w:t xml:space="preserve">31 October </w:t>
      </w:r>
      <w:r w:rsidR="0051207E" w:rsidRPr="00FE72B7">
        <w:rPr>
          <w:rFonts w:eastAsia="Calibri"/>
        </w:rPr>
        <w:t xml:space="preserve">2024, </w:t>
      </w:r>
      <w:r w:rsidRPr="00FE72B7">
        <w:rPr>
          <w:rFonts w:eastAsia="Calibri"/>
        </w:rPr>
        <w:t>the maximum loan exposure is $1.1</w:t>
      </w:r>
      <w:r w:rsidR="002E6F0C">
        <w:rPr>
          <w:rFonts w:eastAsia="Calibri"/>
        </w:rPr>
        <w:t> billion</w:t>
      </w:r>
      <w:r w:rsidRPr="00FE72B7">
        <w:rPr>
          <w:rFonts w:eastAsia="Calibri"/>
        </w:rPr>
        <w:t>, of which $20</w:t>
      </w:r>
      <w:r w:rsidR="00930B84" w:rsidRPr="00FE72B7">
        <w:rPr>
          <w:rFonts w:eastAsia="Calibri"/>
        </w:rPr>
        <w:t>8</w:t>
      </w:r>
      <w:r w:rsidRPr="00FE72B7">
        <w:rPr>
          <w:rFonts w:eastAsia="Calibri"/>
        </w:rPr>
        <w:t>.</w:t>
      </w:r>
      <w:r w:rsidR="00930B84" w:rsidRPr="00FE72B7">
        <w:rPr>
          <w:rFonts w:eastAsia="Calibri"/>
        </w:rPr>
        <w:t>8</w:t>
      </w:r>
      <w:r w:rsidR="002E6F0C">
        <w:rPr>
          <w:rFonts w:eastAsia="Calibri"/>
        </w:rPr>
        <w:t> million</w:t>
      </w:r>
      <w:r w:rsidRPr="00FE72B7">
        <w:rPr>
          <w:rFonts w:eastAsia="Calibri"/>
        </w:rPr>
        <w:t xml:space="preserve"> was drawn down. </w:t>
      </w:r>
    </w:p>
    <w:p w14:paraId="31D82909" w14:textId="7AA4CA29" w:rsidR="003D59A8" w:rsidRPr="00FE72B7" w:rsidRDefault="003D59A8" w:rsidP="00FE72B7">
      <w:pPr>
        <w:rPr>
          <w:rFonts w:eastAsia="Calibri"/>
        </w:rPr>
      </w:pPr>
      <w:r w:rsidRPr="00FE72B7">
        <w:rPr>
          <w:rFonts w:eastAsia="Calibri"/>
        </w:rPr>
        <w:t xml:space="preserve">The Critical Minerals Facility (CMF) was established on 28 September 2021 to provide finance to critical minerals projects in Australia where private sector finance is unavailable or insufficient. In the 2023–24 MYEFO, the </w:t>
      </w:r>
      <w:r w:rsidR="006A6A14">
        <w:rPr>
          <w:rFonts w:eastAsia="Calibri"/>
        </w:rPr>
        <w:t xml:space="preserve">Australian </w:t>
      </w:r>
      <w:r w:rsidRPr="00FE72B7">
        <w:rPr>
          <w:rFonts w:eastAsia="Calibri"/>
        </w:rPr>
        <w:t>Government expanded the CMF by $2.0</w:t>
      </w:r>
      <w:r w:rsidR="002E6F0C">
        <w:rPr>
          <w:rFonts w:eastAsia="Calibri"/>
        </w:rPr>
        <w:t> billion</w:t>
      </w:r>
      <w:r w:rsidRPr="00FE72B7">
        <w:rPr>
          <w:rFonts w:eastAsia="Calibri"/>
        </w:rPr>
        <w:t xml:space="preserve"> for a maximum aggregate exposure of $4.0</w:t>
      </w:r>
      <w:r w:rsidR="002E6F0C">
        <w:rPr>
          <w:rFonts w:eastAsia="Calibri"/>
        </w:rPr>
        <w:t> billion</w:t>
      </w:r>
      <w:r w:rsidRPr="00FE72B7">
        <w:rPr>
          <w:rFonts w:eastAsia="Calibri"/>
        </w:rPr>
        <w:t>. To date, the Government has agreed to provide a total of approximately $2.</w:t>
      </w:r>
      <w:r w:rsidR="00330D34">
        <w:rPr>
          <w:rFonts w:eastAsia="Calibri"/>
        </w:rPr>
        <w:t>63</w:t>
      </w:r>
      <w:r w:rsidR="002E6F0C">
        <w:rPr>
          <w:rFonts w:eastAsia="Calibri"/>
        </w:rPr>
        <w:t> billion</w:t>
      </w:r>
      <w:r w:rsidRPr="00FE72B7">
        <w:rPr>
          <w:rFonts w:eastAsia="Calibri"/>
        </w:rPr>
        <w:t xml:space="preserve"> to support five projects under the facility. As </w:t>
      </w:r>
      <w:proofErr w:type="gramStart"/>
      <w:r w:rsidRPr="00FE72B7">
        <w:rPr>
          <w:rFonts w:eastAsia="Calibri"/>
        </w:rPr>
        <w:t>at</w:t>
      </w:r>
      <w:proofErr w:type="gramEnd"/>
      <w:r w:rsidRPr="00FE72B7">
        <w:rPr>
          <w:rFonts w:eastAsia="Calibri"/>
        </w:rPr>
        <w:t xml:space="preserve"> 31 </w:t>
      </w:r>
      <w:r w:rsidR="009F184C" w:rsidRPr="00FE72B7">
        <w:rPr>
          <w:rFonts w:eastAsia="Calibri"/>
        </w:rPr>
        <w:t>October</w:t>
      </w:r>
      <w:r w:rsidRPr="00FE72B7">
        <w:rPr>
          <w:rFonts w:eastAsia="Calibri"/>
        </w:rPr>
        <w:t xml:space="preserve"> 2024, $19</w:t>
      </w:r>
      <w:r w:rsidR="009F184C" w:rsidRPr="00FE72B7">
        <w:rPr>
          <w:rFonts w:eastAsia="Calibri"/>
        </w:rPr>
        <w:t>5</w:t>
      </w:r>
      <w:r w:rsidRPr="00FE72B7">
        <w:rPr>
          <w:rFonts w:eastAsia="Calibri"/>
        </w:rPr>
        <w:t>.</w:t>
      </w:r>
      <w:r w:rsidR="009F184C" w:rsidRPr="00FE72B7">
        <w:rPr>
          <w:rFonts w:eastAsia="Calibri"/>
        </w:rPr>
        <w:t>0</w:t>
      </w:r>
      <w:r w:rsidR="002E6F0C">
        <w:rPr>
          <w:rFonts w:eastAsia="Calibri"/>
        </w:rPr>
        <w:t> million</w:t>
      </w:r>
      <w:r w:rsidRPr="00FE72B7">
        <w:rPr>
          <w:rFonts w:eastAsia="Calibri"/>
        </w:rPr>
        <w:t xml:space="preserve"> was drawn down from the CMF. </w:t>
      </w:r>
    </w:p>
    <w:p w14:paraId="4CAB16FC" w14:textId="2E65A1EE" w:rsidR="003D59A8" w:rsidRPr="00FE72B7" w:rsidRDefault="003D59A8" w:rsidP="00FE72B7">
      <w:pPr>
        <w:rPr>
          <w:rFonts w:eastAsia="Calibri"/>
        </w:rPr>
      </w:pPr>
      <w:r w:rsidRPr="00FE72B7">
        <w:rPr>
          <w:rFonts w:eastAsia="Calibri"/>
        </w:rPr>
        <w:t>The Defence Export Facility (DEF) was established to grow Australia</w:t>
      </w:r>
      <w:r w:rsidR="00B63FC6">
        <w:rPr>
          <w:rFonts w:eastAsia="Calibri"/>
        </w:rPr>
        <w:t>’</w:t>
      </w:r>
      <w:r w:rsidRPr="00FE72B7">
        <w:rPr>
          <w:rFonts w:eastAsia="Calibri"/>
        </w:rPr>
        <w:t>s defence exports by helping to overcome difficulties in accessing private sector finance. The DEF has a maximum aggregate exposure of US$3.0</w:t>
      </w:r>
      <w:r w:rsidR="002E6F0C">
        <w:rPr>
          <w:rFonts w:eastAsia="Calibri"/>
        </w:rPr>
        <w:t> billion</w:t>
      </w:r>
      <w:r w:rsidR="00CB7DA1">
        <w:rPr>
          <w:rFonts w:eastAsia="Calibri"/>
        </w:rPr>
        <w:t xml:space="preserve"> </w:t>
      </w:r>
      <w:r w:rsidR="008116C2" w:rsidRPr="008116C2">
        <w:rPr>
          <w:rFonts w:eastAsia="Calibri"/>
        </w:rPr>
        <w:t xml:space="preserve">(approximately A$4.4 billion as </w:t>
      </w:r>
      <w:proofErr w:type="gramStart"/>
      <w:r w:rsidR="008116C2" w:rsidRPr="008116C2">
        <w:rPr>
          <w:rFonts w:eastAsia="Calibri"/>
        </w:rPr>
        <w:t>at</w:t>
      </w:r>
      <w:proofErr w:type="gramEnd"/>
      <w:r w:rsidR="008116C2" w:rsidRPr="008116C2">
        <w:rPr>
          <w:rFonts w:eastAsia="Calibri"/>
        </w:rPr>
        <w:t xml:space="preserve"> </w:t>
      </w:r>
      <w:r w:rsidR="008116C2" w:rsidRPr="008116C2">
        <w:rPr>
          <w:rFonts w:eastAsia="Calibri"/>
        </w:rPr>
        <w:lastRenderedPageBreak/>
        <w:t>22</w:t>
      </w:r>
      <w:r w:rsidR="00C83AB1">
        <w:rPr>
          <w:rFonts w:eastAsia="Calibri"/>
        </w:rPr>
        <w:t> </w:t>
      </w:r>
      <w:r w:rsidR="008116C2" w:rsidRPr="008116C2">
        <w:rPr>
          <w:rFonts w:eastAsia="Calibri"/>
        </w:rPr>
        <w:t>September 2024).</w:t>
      </w:r>
      <w:r w:rsidR="00CB7DA1">
        <w:rPr>
          <w:rFonts w:eastAsia="Calibri"/>
        </w:rPr>
        <w:t xml:space="preserve"> </w:t>
      </w:r>
      <w:r w:rsidRPr="00FE72B7">
        <w:rPr>
          <w:rFonts w:eastAsia="Calibri"/>
        </w:rPr>
        <w:t>To date, three loans under the DEF have been agreed for a total signing value of A$228</w:t>
      </w:r>
      <w:r w:rsidR="002E6F0C">
        <w:rPr>
          <w:rFonts w:eastAsia="Calibri"/>
        </w:rPr>
        <w:t> million</w:t>
      </w:r>
      <w:r w:rsidRPr="00FE72B7">
        <w:rPr>
          <w:rFonts w:eastAsia="Calibri"/>
        </w:rPr>
        <w:t xml:space="preserve">. As </w:t>
      </w:r>
      <w:proofErr w:type="gramStart"/>
      <w:r w:rsidRPr="00FE72B7">
        <w:rPr>
          <w:rFonts w:eastAsia="Calibri"/>
        </w:rPr>
        <w:t>at</w:t>
      </w:r>
      <w:proofErr w:type="gramEnd"/>
      <w:r w:rsidRPr="00FE72B7">
        <w:rPr>
          <w:rFonts w:eastAsia="Calibri"/>
        </w:rPr>
        <w:t xml:space="preserve"> 31 </w:t>
      </w:r>
      <w:r w:rsidR="00713276" w:rsidRPr="00FE72B7">
        <w:rPr>
          <w:rFonts w:eastAsia="Calibri"/>
        </w:rPr>
        <w:t>October</w:t>
      </w:r>
      <w:r w:rsidRPr="00FE72B7">
        <w:rPr>
          <w:rFonts w:eastAsia="Calibri"/>
        </w:rPr>
        <w:t xml:space="preserve"> 2024, A$16</w:t>
      </w:r>
      <w:r w:rsidR="00713276" w:rsidRPr="00FE72B7">
        <w:rPr>
          <w:rFonts w:eastAsia="Calibri"/>
        </w:rPr>
        <w:t>8.2</w:t>
      </w:r>
      <w:r w:rsidR="002E6F0C">
        <w:rPr>
          <w:rFonts w:eastAsia="Calibri"/>
        </w:rPr>
        <w:t> million</w:t>
      </w:r>
      <w:r w:rsidRPr="00FE72B7">
        <w:rPr>
          <w:rFonts w:eastAsia="Calibri"/>
        </w:rPr>
        <w:t xml:space="preserve"> was outstanding. </w:t>
      </w:r>
    </w:p>
    <w:p w14:paraId="5A9D9DC8" w14:textId="06DED97E" w:rsidR="003D59A8" w:rsidRPr="00FE72B7" w:rsidRDefault="003D59A8" w:rsidP="00FE72B7">
      <w:pPr>
        <w:rPr>
          <w:rFonts w:eastAsia="Calibri"/>
        </w:rPr>
      </w:pPr>
      <w:r w:rsidRPr="00FE72B7">
        <w:rPr>
          <w:rFonts w:eastAsia="Calibri"/>
        </w:rPr>
        <w:t>The COVID</w:t>
      </w:r>
      <w:r w:rsidR="00B63FC6">
        <w:rPr>
          <w:rFonts w:eastAsia="Calibri"/>
        </w:rPr>
        <w:noBreakHyphen/>
      </w:r>
      <w:r w:rsidRPr="00FE72B7">
        <w:rPr>
          <w:rFonts w:eastAsia="Calibri"/>
        </w:rPr>
        <w:t>19 Export Capital Facility was announced on 15 April 2020, with a maximum aggregate exposure of $500</w:t>
      </w:r>
      <w:r w:rsidR="002E6F0C">
        <w:rPr>
          <w:rFonts w:eastAsia="Calibri"/>
        </w:rPr>
        <w:t> million</w:t>
      </w:r>
      <w:r w:rsidRPr="00FE72B7">
        <w:rPr>
          <w:rFonts w:eastAsia="Calibri"/>
        </w:rPr>
        <w:t>. The COVID</w:t>
      </w:r>
      <w:r w:rsidR="00B63FC6">
        <w:rPr>
          <w:rFonts w:eastAsia="Calibri"/>
        </w:rPr>
        <w:noBreakHyphen/>
      </w:r>
      <w:r w:rsidRPr="00FE72B7">
        <w:rPr>
          <w:rFonts w:eastAsia="Calibri"/>
        </w:rPr>
        <w:t>19 Export Capital Facility expired in April</w:t>
      </w:r>
      <w:r w:rsidR="009531BC" w:rsidRPr="00FE72B7">
        <w:rPr>
          <w:rFonts w:eastAsia="Calibri"/>
        </w:rPr>
        <w:t> </w:t>
      </w:r>
      <w:r w:rsidRPr="00FE72B7">
        <w:rPr>
          <w:rFonts w:eastAsia="Calibri"/>
        </w:rPr>
        <w:t xml:space="preserve">2021. As </w:t>
      </w:r>
      <w:proofErr w:type="gramStart"/>
      <w:r w:rsidRPr="00FE72B7">
        <w:rPr>
          <w:rFonts w:eastAsia="Calibri"/>
        </w:rPr>
        <w:t>at</w:t>
      </w:r>
      <w:proofErr w:type="gramEnd"/>
      <w:r w:rsidRPr="00FE72B7">
        <w:rPr>
          <w:rFonts w:eastAsia="Calibri"/>
        </w:rPr>
        <w:t xml:space="preserve"> 31 </w:t>
      </w:r>
      <w:r w:rsidR="003465B8" w:rsidRPr="00FE72B7">
        <w:rPr>
          <w:rFonts w:eastAsia="Calibri"/>
        </w:rPr>
        <w:t>October</w:t>
      </w:r>
      <w:r w:rsidRPr="00FE72B7">
        <w:rPr>
          <w:rFonts w:eastAsia="Calibri"/>
        </w:rPr>
        <w:t xml:space="preserve"> 2024, $0.9</w:t>
      </w:r>
      <w:r w:rsidR="002E6F0C">
        <w:rPr>
          <w:rFonts w:eastAsia="Calibri"/>
        </w:rPr>
        <w:t> million</w:t>
      </w:r>
      <w:r w:rsidRPr="00FE72B7">
        <w:rPr>
          <w:rFonts w:eastAsia="Calibri"/>
        </w:rPr>
        <w:t xml:space="preserve"> was outstanding. </w:t>
      </w:r>
    </w:p>
    <w:p w14:paraId="6BBAF27F" w14:textId="22F217BC" w:rsidR="003D59A8" w:rsidRPr="00FE72B7" w:rsidRDefault="003D59A8" w:rsidP="00FE72B7">
      <w:pPr>
        <w:rPr>
          <w:rFonts w:eastAsia="Calibri"/>
        </w:rPr>
      </w:pPr>
      <w:r w:rsidRPr="00FE72B7">
        <w:rPr>
          <w:rFonts w:eastAsia="Calibri"/>
        </w:rPr>
        <w:t>The Southeast Asia Investment Financing Facility (SEAIFF) was announced on 5</w:t>
      </w:r>
      <w:r w:rsidR="009531BC" w:rsidRPr="00FE72B7">
        <w:rPr>
          <w:rFonts w:eastAsia="Calibri"/>
        </w:rPr>
        <w:t> </w:t>
      </w:r>
      <w:r w:rsidRPr="00FE72B7">
        <w:rPr>
          <w:rFonts w:eastAsia="Calibri"/>
        </w:rPr>
        <w:t>March</w:t>
      </w:r>
      <w:r w:rsidR="009531BC" w:rsidRPr="00FE72B7">
        <w:rPr>
          <w:rFonts w:eastAsia="Calibri"/>
        </w:rPr>
        <w:t> </w:t>
      </w:r>
      <w:r w:rsidRPr="00FE72B7">
        <w:rPr>
          <w:rFonts w:eastAsia="Calibri"/>
        </w:rPr>
        <w:t>2024. The SEAIFF will provide up to $2.0</w:t>
      </w:r>
      <w:r w:rsidR="002E6F0C">
        <w:rPr>
          <w:rFonts w:eastAsia="Calibri"/>
        </w:rPr>
        <w:t> billion</w:t>
      </w:r>
      <w:r w:rsidRPr="00FE72B7">
        <w:rPr>
          <w:rFonts w:eastAsia="Calibri"/>
        </w:rPr>
        <w:t xml:space="preserve"> in loans, guarantees, equity and insurance for projects that would boost Australian trade and investment in Southeast Asia, particularly in support of the region</w:t>
      </w:r>
      <w:r w:rsidR="00B63FC6">
        <w:rPr>
          <w:rFonts w:eastAsia="Calibri"/>
        </w:rPr>
        <w:t>’</w:t>
      </w:r>
      <w:r w:rsidRPr="00FE72B7">
        <w:rPr>
          <w:rFonts w:eastAsia="Calibri"/>
        </w:rPr>
        <w:t xml:space="preserve">s clean energy transition and infrastructure development. </w:t>
      </w:r>
      <w:r w:rsidR="00126407" w:rsidRPr="00FE72B7">
        <w:rPr>
          <w:rFonts w:eastAsia="Calibri"/>
        </w:rPr>
        <w:t>In the 2024</w:t>
      </w:r>
      <w:r w:rsidR="002E6F0C">
        <w:rPr>
          <w:rFonts w:eastAsia="Calibri"/>
        </w:rPr>
        <w:t>–</w:t>
      </w:r>
      <w:r w:rsidR="00126407" w:rsidRPr="00FE72B7">
        <w:rPr>
          <w:rFonts w:eastAsia="Calibri"/>
        </w:rPr>
        <w:t>25 MYEFO, the</w:t>
      </w:r>
      <w:r w:rsidR="008C169E">
        <w:rPr>
          <w:rFonts w:eastAsia="Calibri"/>
        </w:rPr>
        <w:t xml:space="preserve"> Australian</w:t>
      </w:r>
      <w:r w:rsidR="00126407" w:rsidRPr="00FE72B7">
        <w:rPr>
          <w:rFonts w:eastAsia="Calibri"/>
        </w:rPr>
        <w:t xml:space="preserve"> Government agreed to provide US$50</w:t>
      </w:r>
      <w:r w:rsidR="002E6F0C">
        <w:rPr>
          <w:rFonts w:eastAsia="Calibri"/>
        </w:rPr>
        <w:t> million</w:t>
      </w:r>
      <w:r w:rsidR="00263466">
        <w:rPr>
          <w:rFonts w:eastAsia="Calibri"/>
        </w:rPr>
        <w:t xml:space="preserve"> </w:t>
      </w:r>
      <w:r w:rsidR="00263466" w:rsidRPr="00263466">
        <w:rPr>
          <w:rFonts w:eastAsia="Calibri"/>
        </w:rPr>
        <w:t>(approximately</w:t>
      </w:r>
      <w:r w:rsidR="00263466">
        <w:rPr>
          <w:rFonts w:eastAsia="Calibri"/>
        </w:rPr>
        <w:t xml:space="preserve"> </w:t>
      </w:r>
      <w:r w:rsidR="00263466" w:rsidRPr="00263466">
        <w:rPr>
          <w:rFonts w:eastAsia="Calibri"/>
        </w:rPr>
        <w:t xml:space="preserve">A$73.2 million as </w:t>
      </w:r>
      <w:proofErr w:type="gramStart"/>
      <w:r w:rsidR="00263466" w:rsidRPr="00263466">
        <w:rPr>
          <w:rFonts w:eastAsia="Calibri"/>
        </w:rPr>
        <w:t>at</w:t>
      </w:r>
      <w:proofErr w:type="gramEnd"/>
      <w:r w:rsidR="00263466" w:rsidRPr="00263466">
        <w:rPr>
          <w:rFonts w:eastAsia="Calibri"/>
        </w:rPr>
        <w:t xml:space="preserve"> 22 September 2024)</w:t>
      </w:r>
      <w:r w:rsidR="00126407" w:rsidRPr="00FE72B7">
        <w:rPr>
          <w:rFonts w:eastAsia="Calibri"/>
        </w:rPr>
        <w:t xml:space="preserve"> to support one project under the SEAIFF. As </w:t>
      </w:r>
      <w:proofErr w:type="gramStart"/>
      <w:r w:rsidR="00126407" w:rsidRPr="00FE72B7">
        <w:rPr>
          <w:rFonts w:eastAsia="Calibri"/>
        </w:rPr>
        <w:t>at</w:t>
      </w:r>
      <w:proofErr w:type="gramEnd"/>
      <w:r w:rsidR="00126407" w:rsidRPr="00FE72B7">
        <w:rPr>
          <w:rFonts w:eastAsia="Calibri"/>
        </w:rPr>
        <w:t xml:space="preserve"> 31 October, no transactions have occurred</w:t>
      </w:r>
      <w:r w:rsidRPr="00FE72B7">
        <w:rPr>
          <w:rFonts w:eastAsia="Calibri"/>
        </w:rPr>
        <w:t xml:space="preserve">. </w:t>
      </w:r>
    </w:p>
    <w:p w14:paraId="7DF5E11A" w14:textId="47191346" w:rsidR="003D59A8" w:rsidRPr="003D59A8" w:rsidRDefault="003D59A8" w:rsidP="0059380F">
      <w:pPr>
        <w:rPr>
          <w:rFonts w:eastAsia="Arial"/>
          <w:lang w:eastAsia="en-US"/>
        </w:rPr>
      </w:pPr>
      <w:r w:rsidRPr="003D59A8">
        <w:rPr>
          <w:rFonts w:eastAsia="Calibri"/>
          <w:lang w:eastAsia="en-US"/>
        </w:rPr>
        <w:t xml:space="preserve">The </w:t>
      </w:r>
      <w:r w:rsidR="00243E86">
        <w:rPr>
          <w:rFonts w:eastAsia="Calibri"/>
          <w:lang w:eastAsia="en-US"/>
        </w:rPr>
        <w:t>Australia</w:t>
      </w:r>
      <w:r w:rsidR="005D67AE">
        <w:rPr>
          <w:rFonts w:eastAsia="Calibri"/>
          <w:lang w:eastAsia="en-US"/>
        </w:rPr>
        <w:t>n</w:t>
      </w:r>
      <w:r w:rsidR="00243E86">
        <w:rPr>
          <w:rFonts w:eastAsia="Calibri"/>
          <w:lang w:eastAsia="en-US"/>
        </w:rPr>
        <w:t xml:space="preserve"> </w:t>
      </w:r>
      <w:r w:rsidRPr="003D59A8">
        <w:rPr>
          <w:rFonts w:eastAsia="Calibri"/>
          <w:lang w:eastAsia="en-US"/>
        </w:rPr>
        <w:t xml:space="preserve">Government has also agreed to amend the </w:t>
      </w:r>
      <w:r w:rsidRPr="00EE2148">
        <w:rPr>
          <w:rStyle w:val="Emphasis"/>
          <w:rFonts w:eastAsia="Calibri"/>
        </w:rPr>
        <w:t>Export Finance and Insurance Corporation Act</w:t>
      </w:r>
      <w:r w:rsidR="009531BC" w:rsidRPr="00EE2148">
        <w:rPr>
          <w:rStyle w:val="Emphasis"/>
          <w:rFonts w:eastAsia="Calibri"/>
        </w:rPr>
        <w:t> </w:t>
      </w:r>
      <w:r w:rsidRPr="00EE2148">
        <w:rPr>
          <w:rStyle w:val="Emphasis"/>
          <w:rFonts w:eastAsia="Calibri"/>
        </w:rPr>
        <w:t>1991</w:t>
      </w:r>
      <w:r w:rsidRPr="003D59A8">
        <w:rPr>
          <w:rFonts w:eastAsia="Calibri"/>
          <w:i/>
          <w:iCs/>
          <w:lang w:eastAsia="en-US"/>
        </w:rPr>
        <w:t xml:space="preserve"> </w:t>
      </w:r>
      <w:r w:rsidRPr="003D59A8">
        <w:rPr>
          <w:rFonts w:eastAsia="Calibri"/>
          <w:lang w:eastAsia="en-US"/>
        </w:rPr>
        <w:t>to enable Export Finance Australia to finance domestic projects in the national interest where they are consistent with the Future Made in Australia Framework. The Government will be able to consider supporting projects on the National Interest Account through financing including debt or equity, where projects are unable to progress solely through commercial financing.</w:t>
      </w:r>
    </w:p>
    <w:p w14:paraId="0DF66A56" w14:textId="77777777" w:rsidR="00E6173B" w:rsidRPr="00B832E0" w:rsidRDefault="00E6173B" w:rsidP="005358B1">
      <w:pPr>
        <w:pStyle w:val="Heading3"/>
      </w:pPr>
      <w:bookmarkStart w:id="48" w:name="_Toc184039484"/>
      <w:r w:rsidRPr="00B832E0">
        <w:t>Contingent liability – quantifiable</w:t>
      </w:r>
      <w:bookmarkEnd w:id="46"/>
      <w:bookmarkEnd w:id="47"/>
      <w:bookmarkEnd w:id="48"/>
    </w:p>
    <w:p w14:paraId="65FEEAD4" w14:textId="77777777" w:rsidR="005E449E" w:rsidRPr="00F65567" w:rsidRDefault="005E449E" w:rsidP="005358B1">
      <w:pPr>
        <w:pStyle w:val="Heading4"/>
        <w:rPr>
          <w:rFonts w:ascii="Arial" w:eastAsia="Arial" w:hAnsi="Arial" w:cs="Arial"/>
          <w:b w:val="0"/>
          <w:bCs/>
          <w:i/>
          <w:iCs/>
          <w:lang w:eastAsia="en-US"/>
        </w:rPr>
      </w:pPr>
      <w:r w:rsidRPr="009744DB">
        <w:rPr>
          <w:rFonts w:eastAsia="Arial"/>
        </w:rPr>
        <w:t xml:space="preserve">Papua New Guinea National Rugby League Franchise </w:t>
      </w:r>
    </w:p>
    <w:p w14:paraId="7F83A1D3" w14:textId="362F32B2" w:rsidR="005E449E" w:rsidRPr="00FE72B7" w:rsidRDefault="005E449E" w:rsidP="00FE72B7">
      <w:pPr>
        <w:rPr>
          <w:rFonts w:eastAsia="Calibri"/>
        </w:rPr>
      </w:pPr>
      <w:r w:rsidRPr="00FE72B7">
        <w:rPr>
          <w:rFonts w:eastAsia="Calibri"/>
        </w:rPr>
        <w:t>The Australian Government has agreed to provide support to the Australian Rugby League Commission and the NRL Bid 25 Limited to establish and support the operation of the Papua New Guinea National Rugby League franchise</w:t>
      </w:r>
      <w:r w:rsidR="00D724ED">
        <w:rPr>
          <w:rFonts w:eastAsia="Calibri"/>
        </w:rPr>
        <w:t xml:space="preserve">. </w:t>
      </w:r>
    </w:p>
    <w:p w14:paraId="4CA176A6" w14:textId="0469BD8B" w:rsidR="00980276" w:rsidRPr="001D7A2E" w:rsidRDefault="00980276" w:rsidP="006961CD">
      <w:pPr>
        <w:rPr>
          <w:rFonts w:eastAsia="Calibri"/>
        </w:rPr>
      </w:pPr>
      <w:bookmarkStart w:id="49" w:name="_Toc99141874"/>
      <w:bookmarkStart w:id="50" w:name="_Toc184039485"/>
      <w:r w:rsidRPr="001D7A2E">
        <w:rPr>
          <w:rFonts w:eastAsia="Calibri"/>
        </w:rPr>
        <w:t>The support will include contingent liabilities for the Commonwealth. Details of these liabilities are not provided as they include commercial</w:t>
      </w:r>
      <w:r w:rsidR="00B63FC6">
        <w:rPr>
          <w:rFonts w:eastAsia="Calibri" w:cs="Arial"/>
          <w:szCs w:val="19"/>
          <w:lang w:eastAsia="en-US"/>
        </w:rPr>
        <w:noBreakHyphen/>
      </w:r>
      <w:r w:rsidRPr="001D7A2E">
        <w:rPr>
          <w:rFonts w:eastAsia="Calibri"/>
        </w:rPr>
        <w:t>in</w:t>
      </w:r>
      <w:r w:rsidR="00B63FC6">
        <w:rPr>
          <w:rFonts w:eastAsia="Calibri" w:cs="Arial"/>
          <w:szCs w:val="19"/>
          <w:lang w:eastAsia="en-US"/>
        </w:rPr>
        <w:noBreakHyphen/>
      </w:r>
      <w:r w:rsidRPr="001D7A2E">
        <w:rPr>
          <w:rFonts w:eastAsia="Calibri"/>
        </w:rPr>
        <w:t xml:space="preserve">confidence sensitivities. </w:t>
      </w:r>
    </w:p>
    <w:p w14:paraId="295198DE" w14:textId="14186471" w:rsidR="00E6173B" w:rsidRPr="00B832E0" w:rsidRDefault="00E6173B" w:rsidP="005358B1">
      <w:pPr>
        <w:pStyle w:val="Heading2"/>
      </w:pPr>
      <w:r w:rsidRPr="00B832E0">
        <w:t>Home Affairs</w:t>
      </w:r>
      <w:bookmarkEnd w:id="49"/>
      <w:bookmarkEnd w:id="50"/>
    </w:p>
    <w:p w14:paraId="3A623A51" w14:textId="77777777" w:rsidR="00E6173B" w:rsidRPr="00B832E0" w:rsidRDefault="00E6173B" w:rsidP="005358B1">
      <w:pPr>
        <w:pStyle w:val="Heading3"/>
      </w:pPr>
      <w:bookmarkStart w:id="51" w:name="_Toc71117824"/>
      <w:bookmarkStart w:id="52" w:name="_Toc99141875"/>
      <w:bookmarkStart w:id="53" w:name="_Toc184039486"/>
      <w:bookmarkStart w:id="54" w:name="_Toc99141879"/>
      <w:r w:rsidRPr="00B832E0">
        <w:t>Fiscal Risk</w:t>
      </w:r>
      <w:bookmarkEnd w:id="51"/>
      <w:bookmarkEnd w:id="52"/>
      <w:bookmarkEnd w:id="53"/>
    </w:p>
    <w:p w14:paraId="6563FBB5" w14:textId="77777777" w:rsidR="00E6173B" w:rsidRDefault="00E6173B" w:rsidP="005358B1">
      <w:pPr>
        <w:pStyle w:val="Heading4"/>
      </w:pPr>
      <w:bookmarkStart w:id="55" w:name="_Toc71117825"/>
      <w:r w:rsidRPr="00B832E0">
        <w:t>Regional processing arrangements</w:t>
      </w:r>
      <w:bookmarkEnd w:id="55"/>
    </w:p>
    <w:p w14:paraId="4B38CC33" w14:textId="34D26390" w:rsidR="006F61BF" w:rsidRPr="00FE72B7" w:rsidRDefault="000851FB" w:rsidP="00FE72B7">
      <w:pPr>
        <w:rPr>
          <w:rFonts w:eastAsia="Calibri"/>
        </w:rPr>
      </w:pPr>
      <w:bookmarkStart w:id="56" w:name="_Hlk182822350"/>
      <w:r w:rsidRPr="00FE72B7">
        <w:rPr>
          <w:rFonts w:eastAsia="Calibri"/>
        </w:rPr>
        <w:t xml:space="preserve">Under a Memorandum of Understanding between Australia and the Republic of Nauru on the Enduring Regional Processing Capability in the Republic of Nauru, the Australian Government supports the Government of Nauru to provide support and services to transferees residing in Nauru. Any significant changes in the number of transferees, the arrangements that underpin the provision of those services, relevant </w:t>
      </w:r>
      <w:proofErr w:type="gramStart"/>
      <w:r w:rsidRPr="00FE72B7">
        <w:rPr>
          <w:rFonts w:eastAsia="Calibri"/>
        </w:rPr>
        <w:t>litigation</w:t>
      </w:r>
      <w:proofErr w:type="gramEnd"/>
      <w:r w:rsidRPr="00FE72B7">
        <w:rPr>
          <w:rFonts w:eastAsia="Calibri"/>
        </w:rPr>
        <w:t xml:space="preserve"> or legislative changes, may incur a cost or generate cost reductions which are unquantifiable at this time.</w:t>
      </w:r>
      <w:bookmarkStart w:id="57" w:name="_Toc71117826"/>
      <w:bookmarkStart w:id="58" w:name="_Toc99141876"/>
      <w:bookmarkEnd w:id="56"/>
      <w:bookmarkEnd w:id="57"/>
      <w:bookmarkEnd w:id="58"/>
    </w:p>
    <w:p w14:paraId="6CDED326" w14:textId="77777777" w:rsidR="00BE2BBB" w:rsidRDefault="00BE2BBB">
      <w:pPr>
        <w:spacing w:before="0" w:after="160" w:line="259" w:lineRule="auto"/>
        <w:rPr>
          <w:rFonts w:ascii="Arial Bold" w:hAnsi="Arial Bold"/>
          <w:b/>
          <w:sz w:val="22"/>
        </w:rPr>
      </w:pPr>
      <w:r>
        <w:rPr>
          <w:rFonts w:ascii="Arial Bold" w:hAnsi="Arial Bold"/>
          <w:b/>
          <w:sz w:val="22"/>
        </w:rPr>
        <w:br w:type="page"/>
      </w:r>
    </w:p>
    <w:p w14:paraId="646A7DE3" w14:textId="25BD5E7E" w:rsidR="00933D29" w:rsidRDefault="00933D29" w:rsidP="00DF002A">
      <w:pPr>
        <w:pStyle w:val="Heading3"/>
      </w:pPr>
      <w:r w:rsidRPr="00933D29">
        <w:lastRenderedPageBreak/>
        <w:t>Contingent liabilities – unquantifiable</w:t>
      </w:r>
    </w:p>
    <w:p w14:paraId="3AD95C4A" w14:textId="77777777" w:rsidR="00330D34" w:rsidRPr="005358B1" w:rsidRDefault="00330D34" w:rsidP="00330D34">
      <w:pPr>
        <w:pStyle w:val="Heading4"/>
      </w:pPr>
      <w:bookmarkStart w:id="59" w:name="_Hlk183617417"/>
      <w:r w:rsidRPr="005358B1">
        <w:t>Commonwealth Community Safety Order Scheme – Federation Funding Agreement – indemnity</w:t>
      </w:r>
    </w:p>
    <w:p w14:paraId="3FB65920" w14:textId="77777777" w:rsidR="00330D34" w:rsidRPr="00FE72B7" w:rsidRDefault="00330D34" w:rsidP="00330D34">
      <w:pPr>
        <w:rPr>
          <w:rFonts w:eastAsia="Calibri"/>
        </w:rPr>
      </w:pPr>
      <w:bookmarkStart w:id="60" w:name="_Hlk183617286"/>
      <w:bookmarkStart w:id="61" w:name="_Hlk183617469"/>
      <w:bookmarkEnd w:id="59"/>
      <w:r w:rsidRPr="00FE72B7">
        <w:rPr>
          <w:rFonts w:eastAsia="Calibri"/>
        </w:rPr>
        <w:t xml:space="preserve">The Department of Home Affairs has negotiated arrangements for the Community Safety Order (CSO) scheme and has, on behalf of the Commonwealth, entered into a Federation Funding Agreement (FFA) with New South Wales (NSW) ending on 30 June 2025. The FFA provides for delivery of services to CSO offenders including evidence collection, specialist legal support, accommodation (in prison) and case management support for offenders in the community. </w:t>
      </w:r>
    </w:p>
    <w:p w14:paraId="4C963E1A" w14:textId="10FC0F06" w:rsidR="00330D34" w:rsidRPr="00330D34" w:rsidRDefault="00330D34" w:rsidP="00330D34">
      <w:pPr>
        <w:rPr>
          <w:rFonts w:eastAsia="Book Antiqua"/>
        </w:rPr>
      </w:pPr>
      <w:r w:rsidRPr="00FE72B7">
        <w:rPr>
          <w:rFonts w:eastAsia="Calibri"/>
        </w:rPr>
        <w:t xml:space="preserve">The accommodation component of the services is governed by a housing agreement that stipulates baseline detention under a Community Safety Detention Order (CSDO). The housing agreement indemnifies NSW, and each of its employees, </w:t>
      </w:r>
      <w:proofErr w:type="gramStart"/>
      <w:r w:rsidRPr="00FE72B7">
        <w:rPr>
          <w:rFonts w:eastAsia="Calibri"/>
        </w:rPr>
        <w:t>officers</w:t>
      </w:r>
      <w:proofErr w:type="gramEnd"/>
      <w:r w:rsidRPr="00FE72B7">
        <w:rPr>
          <w:rFonts w:eastAsia="Calibri"/>
        </w:rPr>
        <w:t xml:space="preserve"> and agents, for all costs reasonably sustained or incurred in the operation of the housing agreement.</w:t>
      </w:r>
      <w:r w:rsidRPr="00FE72B7">
        <w:rPr>
          <w:rFonts w:eastAsia="Book Antiqua"/>
        </w:rPr>
        <w:t xml:space="preserve"> </w:t>
      </w:r>
      <w:bookmarkEnd w:id="60"/>
      <w:bookmarkEnd w:id="61"/>
    </w:p>
    <w:p w14:paraId="144C42AD" w14:textId="00154F77" w:rsidR="00C25166" w:rsidRPr="005358B1" w:rsidRDefault="00C25166" w:rsidP="00DF002A">
      <w:pPr>
        <w:pStyle w:val="Heading4"/>
        <w:rPr>
          <w:rFonts w:eastAsia="Arial"/>
          <w:lang w:eastAsia="en-US"/>
        </w:rPr>
      </w:pPr>
      <w:r w:rsidRPr="005358B1">
        <w:rPr>
          <w:rFonts w:eastAsia="Arial"/>
          <w:lang w:eastAsia="en-US"/>
        </w:rPr>
        <w:t>Immigration detention services contract (Serco) – liability limit</w:t>
      </w:r>
    </w:p>
    <w:p w14:paraId="05C54AD6" w14:textId="64D72337" w:rsidR="009F1C18" w:rsidRPr="00FE72B7" w:rsidRDefault="009F1C18" w:rsidP="00FE72B7">
      <w:pPr>
        <w:rPr>
          <w:rFonts w:eastAsia="Calibri"/>
        </w:rPr>
      </w:pPr>
      <w:r w:rsidRPr="00FE72B7">
        <w:rPr>
          <w:rFonts w:eastAsia="Calibri"/>
        </w:rPr>
        <w:t xml:space="preserve">The Department of Home Affairs </w:t>
      </w:r>
      <w:proofErr w:type="gramStart"/>
      <w:r w:rsidRPr="00FE72B7">
        <w:rPr>
          <w:rFonts w:eastAsia="Calibri"/>
        </w:rPr>
        <w:t>entered into</w:t>
      </w:r>
      <w:proofErr w:type="gramEnd"/>
      <w:r w:rsidRPr="00FE72B7">
        <w:rPr>
          <w:rFonts w:eastAsia="Calibri"/>
        </w:rPr>
        <w:t xml:space="preserve"> a contract with Serco Australia Pty Ltd (Serco), which commenced on 11 December 2014, to deliver immigration detention services at facilities in Australia on behalf of the Australian Government. The contract limits Serco</w:t>
      </w:r>
      <w:r w:rsidR="00B63FC6">
        <w:rPr>
          <w:rFonts w:eastAsia="Calibri"/>
        </w:rPr>
        <w:t>’</w:t>
      </w:r>
      <w:r w:rsidRPr="00FE72B7">
        <w:rPr>
          <w:rFonts w:eastAsia="Calibri"/>
        </w:rPr>
        <w:t>s liability to the Commonwealth to a maximum of any insurance proceeds recovered by Serco up to a value of $330</w:t>
      </w:r>
      <w:r w:rsidR="002E6F0C">
        <w:rPr>
          <w:rFonts w:eastAsia="Calibri"/>
        </w:rPr>
        <w:t> million</w:t>
      </w:r>
      <w:r w:rsidRPr="00FE72B7">
        <w:rPr>
          <w:rFonts w:eastAsia="Calibri"/>
        </w:rPr>
        <w:t xml:space="preserve"> for the term of the contract. Serco</w:t>
      </w:r>
      <w:r w:rsidR="00B63FC6">
        <w:rPr>
          <w:rFonts w:eastAsia="Calibri"/>
        </w:rPr>
        <w:t>’</w:t>
      </w:r>
      <w:r w:rsidRPr="00FE72B7">
        <w:rPr>
          <w:rFonts w:eastAsia="Calibri"/>
        </w:rPr>
        <w:t>s liability is unlimited for specific events defined under the contract. This liability limit will operate simultaneously with a new immigration detention services contract until completion of transition activities.</w:t>
      </w:r>
    </w:p>
    <w:p w14:paraId="50A6075C" w14:textId="21447ACA" w:rsidR="00CB7755" w:rsidRPr="005358B1" w:rsidRDefault="00CB7755" w:rsidP="00DF002A">
      <w:pPr>
        <w:pStyle w:val="Heading4"/>
        <w:rPr>
          <w:rFonts w:eastAsia="Arial"/>
          <w:lang w:eastAsia="en-US"/>
        </w:rPr>
      </w:pPr>
      <w:r w:rsidRPr="005358B1">
        <w:rPr>
          <w:rFonts w:eastAsia="Arial"/>
          <w:lang w:eastAsia="en-US"/>
        </w:rPr>
        <w:t>Immigration detention services contract (Secure Journeys) – liability limit</w:t>
      </w:r>
    </w:p>
    <w:p w14:paraId="3D53B840" w14:textId="4081A03F" w:rsidR="0036283C" w:rsidRPr="00FE72B7" w:rsidRDefault="0036283C" w:rsidP="00FE72B7">
      <w:pPr>
        <w:rPr>
          <w:rFonts w:eastAsia="Calibri"/>
        </w:rPr>
      </w:pPr>
      <w:r w:rsidRPr="00FE72B7">
        <w:rPr>
          <w:rFonts w:eastAsia="Calibri"/>
        </w:rPr>
        <w:t xml:space="preserve">The Department of Home Affairs </w:t>
      </w:r>
      <w:proofErr w:type="gramStart"/>
      <w:r w:rsidRPr="00FE72B7">
        <w:rPr>
          <w:rFonts w:eastAsia="Calibri"/>
        </w:rPr>
        <w:t>entered into</w:t>
      </w:r>
      <w:proofErr w:type="gramEnd"/>
      <w:r w:rsidRPr="00FE72B7">
        <w:rPr>
          <w:rFonts w:eastAsia="Calibri"/>
        </w:rPr>
        <w:t xml:space="preserve"> a new contract with Secure Journeys Pty Ltd (Secure Journeys) commencing on 11 December 2024, to deliver immigration detention services at facilities in Australia on behalf of the Australian Government. The contract limits Secure Journey</w:t>
      </w:r>
      <w:r w:rsidR="00B63FC6">
        <w:rPr>
          <w:rFonts w:eastAsia="Calibri"/>
        </w:rPr>
        <w:t>’</w:t>
      </w:r>
      <w:r w:rsidRPr="00FE72B7">
        <w:rPr>
          <w:rFonts w:eastAsia="Calibri"/>
        </w:rPr>
        <w:t>s total liability to the Commonwealth under the contract to a maximum of $300</w:t>
      </w:r>
      <w:r w:rsidR="002E6F0C">
        <w:rPr>
          <w:rFonts w:eastAsia="Calibri"/>
        </w:rPr>
        <w:t> million</w:t>
      </w:r>
      <w:r w:rsidRPr="00FE72B7">
        <w:rPr>
          <w:rFonts w:eastAsia="Calibri"/>
        </w:rPr>
        <w:t>. Secure Journey</w:t>
      </w:r>
      <w:r w:rsidR="00B63FC6">
        <w:rPr>
          <w:rFonts w:eastAsia="Calibri"/>
        </w:rPr>
        <w:t>’</w:t>
      </w:r>
      <w:r w:rsidRPr="00FE72B7">
        <w:rPr>
          <w:rFonts w:eastAsia="Calibri"/>
        </w:rPr>
        <w:t>s liability is unlimited for specific events defined under the contract.</w:t>
      </w:r>
    </w:p>
    <w:p w14:paraId="26A01CC6" w14:textId="77777777" w:rsidR="00E6173B" w:rsidRPr="00B832E0" w:rsidRDefault="00E6173B" w:rsidP="005358B1">
      <w:pPr>
        <w:pStyle w:val="Heading2"/>
      </w:pPr>
      <w:bookmarkStart w:id="62" w:name="_Toc184039487"/>
      <w:r w:rsidRPr="00B832E0">
        <w:t>Industry, Science and Resources</w:t>
      </w:r>
      <w:bookmarkEnd w:id="54"/>
      <w:bookmarkEnd w:id="62"/>
    </w:p>
    <w:p w14:paraId="76E4BDC4" w14:textId="4B0E2B27" w:rsidR="00E6173B" w:rsidRPr="00B832E0" w:rsidRDefault="00E6173B" w:rsidP="005358B1">
      <w:pPr>
        <w:pStyle w:val="Heading3"/>
      </w:pPr>
      <w:bookmarkStart w:id="63" w:name="_Toc71117835"/>
      <w:bookmarkStart w:id="64" w:name="_Toc99141881"/>
      <w:bookmarkStart w:id="65" w:name="_Toc184039488"/>
      <w:bookmarkStart w:id="66" w:name="_Toc99141885"/>
      <w:r w:rsidRPr="00B832E0">
        <w:t xml:space="preserve">Significant but remote </w:t>
      </w:r>
      <w:bookmarkEnd w:id="63"/>
      <w:bookmarkEnd w:id="64"/>
      <w:bookmarkEnd w:id="65"/>
      <w:r w:rsidR="00330D34">
        <w:t>contingency</w:t>
      </w:r>
    </w:p>
    <w:p w14:paraId="52316093" w14:textId="77777777" w:rsidR="00E6173B" w:rsidRDefault="00E6173B" w:rsidP="005358B1">
      <w:pPr>
        <w:pStyle w:val="Heading4"/>
      </w:pPr>
      <w:bookmarkStart w:id="67" w:name="_Toc71117839"/>
      <w:bookmarkStart w:id="68" w:name="_Toc71117838"/>
      <w:r w:rsidRPr="00B832E0">
        <w:t>Operations and maintenance of the Northern Endeavour and associated infrastructure</w:t>
      </w:r>
      <w:bookmarkEnd w:id="67"/>
    </w:p>
    <w:p w14:paraId="145C4D1D" w14:textId="4DF12509" w:rsidR="00E7328E" w:rsidRPr="00E7328E" w:rsidRDefault="00E7328E" w:rsidP="005358B1">
      <w:pPr>
        <w:widowControl w:val="0"/>
        <w:spacing w:line="240" w:lineRule="auto"/>
        <w:rPr>
          <w:rFonts w:eastAsia="Calibri" w:cs="Arial"/>
          <w:szCs w:val="19"/>
          <w:lang w:eastAsia="en-US"/>
        </w:rPr>
      </w:pPr>
      <w:r w:rsidRPr="00E7328E">
        <w:rPr>
          <w:rFonts w:eastAsia="Calibri" w:cs="Arial"/>
          <w:szCs w:val="19"/>
          <w:lang w:eastAsia="en-US"/>
        </w:rPr>
        <w:t>On 31 March 2022, Petrofac Facilities Management Limited (Petrofac) was engaged to deliver Phase One of the decommissioning of the Northern Endeavour. This will see the floating production storage and offtake facility (FPSO) disconnected from the sub</w:t>
      </w:r>
      <w:r w:rsidR="00B63FC6">
        <w:rPr>
          <w:rFonts w:eastAsia="Calibri" w:cs="Arial"/>
          <w:szCs w:val="19"/>
          <w:lang w:eastAsia="en-US"/>
        </w:rPr>
        <w:noBreakHyphen/>
      </w:r>
      <w:r w:rsidRPr="00E7328E">
        <w:rPr>
          <w:rFonts w:eastAsia="Calibri" w:cs="Arial"/>
          <w:szCs w:val="19"/>
          <w:lang w:eastAsia="en-US"/>
        </w:rPr>
        <w:t xml:space="preserve">sea equipment and temporary suspension of the wells. On 30 September 2022, the operational control of the facility transitioned from Upstream Production Solutions Pty Ltd to Petrofac. </w:t>
      </w:r>
    </w:p>
    <w:p w14:paraId="3406FE6B" w14:textId="15918992" w:rsidR="00E7328E" w:rsidRPr="00E7328E" w:rsidRDefault="00E7328E" w:rsidP="005358B1">
      <w:pPr>
        <w:widowControl w:val="0"/>
        <w:spacing w:line="240" w:lineRule="auto"/>
        <w:rPr>
          <w:rFonts w:eastAsia="Calibri" w:cs="Arial"/>
          <w:szCs w:val="19"/>
          <w:lang w:eastAsia="en-US"/>
        </w:rPr>
      </w:pPr>
      <w:r w:rsidRPr="00E7328E">
        <w:rPr>
          <w:rFonts w:eastAsia="Calibri" w:cs="Arial"/>
          <w:szCs w:val="19"/>
          <w:lang w:eastAsia="en-US"/>
        </w:rPr>
        <w:lastRenderedPageBreak/>
        <w:t xml:space="preserve">The contract with Petrofac has adopted an industry standard </w:t>
      </w:r>
      <w:r w:rsidR="00B63FC6">
        <w:rPr>
          <w:rFonts w:eastAsia="Calibri" w:cs="Arial"/>
          <w:szCs w:val="19"/>
          <w:lang w:eastAsia="en-US"/>
        </w:rPr>
        <w:t>‘</w:t>
      </w:r>
      <w:r w:rsidRPr="00E7328E">
        <w:rPr>
          <w:rFonts w:eastAsia="Calibri" w:cs="Arial"/>
          <w:szCs w:val="19"/>
          <w:lang w:eastAsia="en-US"/>
        </w:rPr>
        <w:t>knock</w:t>
      </w:r>
      <w:r w:rsidR="00B63FC6">
        <w:rPr>
          <w:rFonts w:eastAsia="Calibri" w:cs="Arial"/>
          <w:szCs w:val="19"/>
          <w:lang w:eastAsia="en-US"/>
        </w:rPr>
        <w:noBreakHyphen/>
      </w:r>
      <w:r w:rsidRPr="00E7328E">
        <w:rPr>
          <w:rFonts w:eastAsia="Calibri" w:cs="Arial"/>
          <w:szCs w:val="19"/>
          <w:lang w:eastAsia="en-US"/>
        </w:rPr>
        <w:t>for</w:t>
      </w:r>
      <w:r w:rsidR="00B63FC6">
        <w:rPr>
          <w:rFonts w:eastAsia="Calibri" w:cs="Arial"/>
          <w:szCs w:val="19"/>
          <w:lang w:eastAsia="en-US"/>
        </w:rPr>
        <w:noBreakHyphen/>
      </w:r>
      <w:r w:rsidRPr="00E7328E">
        <w:rPr>
          <w:rFonts w:eastAsia="Calibri" w:cs="Arial"/>
          <w:szCs w:val="19"/>
          <w:lang w:eastAsia="en-US"/>
        </w:rPr>
        <w:t>knock</w:t>
      </w:r>
      <w:r w:rsidR="00B63FC6">
        <w:rPr>
          <w:rFonts w:eastAsia="Calibri" w:cs="Arial"/>
          <w:szCs w:val="19"/>
          <w:lang w:eastAsia="en-US"/>
        </w:rPr>
        <w:t>’</w:t>
      </w:r>
      <w:r w:rsidRPr="00E7328E">
        <w:rPr>
          <w:rFonts w:eastAsia="Calibri" w:cs="Arial"/>
          <w:szCs w:val="19"/>
          <w:lang w:eastAsia="en-US"/>
        </w:rPr>
        <w:t xml:space="preserve"> risk and liability allocation arrangement, that positions risks so that they are borne by the party most likely to be able to financially manage the consequences of a risk materialising. Petrofac is liable, to a pre</w:t>
      </w:r>
      <w:r w:rsidR="00B63FC6">
        <w:rPr>
          <w:rFonts w:eastAsia="Calibri" w:cs="Arial"/>
          <w:szCs w:val="19"/>
          <w:lang w:eastAsia="en-US"/>
        </w:rPr>
        <w:noBreakHyphen/>
      </w:r>
      <w:r w:rsidRPr="00E7328E">
        <w:rPr>
          <w:rFonts w:eastAsia="Calibri" w:cs="Arial"/>
          <w:szCs w:val="19"/>
          <w:lang w:eastAsia="en-US"/>
        </w:rPr>
        <w:t xml:space="preserve">determined cap, for several insured risks, including to property, </w:t>
      </w:r>
      <w:proofErr w:type="gramStart"/>
      <w:r w:rsidRPr="00E7328E">
        <w:rPr>
          <w:rFonts w:eastAsia="Calibri" w:cs="Arial"/>
          <w:szCs w:val="19"/>
          <w:lang w:eastAsia="en-US"/>
        </w:rPr>
        <w:t>pollution</w:t>
      </w:r>
      <w:proofErr w:type="gramEnd"/>
      <w:r w:rsidRPr="00E7328E">
        <w:rPr>
          <w:rFonts w:eastAsia="Calibri" w:cs="Arial"/>
          <w:szCs w:val="19"/>
          <w:lang w:eastAsia="en-US"/>
        </w:rPr>
        <w:t xml:space="preserve"> and the environment. Petrofac will also bear responsibility for some instances of loss or damage to the extent it is caused by Petrofac</w:t>
      </w:r>
      <w:r w:rsidR="00B63FC6">
        <w:rPr>
          <w:rFonts w:eastAsia="Calibri" w:cs="Arial"/>
          <w:szCs w:val="19"/>
          <w:lang w:eastAsia="en-US"/>
        </w:rPr>
        <w:t>’</w:t>
      </w:r>
      <w:r w:rsidRPr="00E7328E">
        <w:rPr>
          <w:rFonts w:eastAsia="Calibri" w:cs="Arial"/>
          <w:szCs w:val="19"/>
          <w:lang w:eastAsia="en-US"/>
        </w:rPr>
        <w:t xml:space="preserve">s negligence or wilful misconduct. </w:t>
      </w:r>
    </w:p>
    <w:p w14:paraId="0B5B2125" w14:textId="352B1F6C" w:rsidR="00E7328E" w:rsidRPr="00E7328E" w:rsidRDefault="00E7328E" w:rsidP="005358B1">
      <w:pPr>
        <w:widowControl w:val="0"/>
        <w:spacing w:line="240" w:lineRule="auto"/>
        <w:rPr>
          <w:rFonts w:eastAsia="Calibri" w:cs="Arial"/>
          <w:szCs w:val="19"/>
          <w:lang w:eastAsia="en-US"/>
        </w:rPr>
      </w:pPr>
      <w:r w:rsidRPr="00E7328E">
        <w:rPr>
          <w:rFonts w:eastAsia="Calibri" w:cs="Arial"/>
          <w:szCs w:val="19"/>
          <w:lang w:eastAsia="en-US"/>
        </w:rPr>
        <w:t>The Australian Government has obtained protection and indemnity, facility damage and control of well insurance, and taken out membership with oil spill response agencies. These limit the Government</w:t>
      </w:r>
      <w:r w:rsidR="00B63FC6">
        <w:rPr>
          <w:rFonts w:eastAsia="Calibri" w:cs="Arial"/>
          <w:szCs w:val="19"/>
          <w:lang w:eastAsia="en-US"/>
        </w:rPr>
        <w:t>’</w:t>
      </w:r>
      <w:r w:rsidRPr="00E7328E">
        <w:rPr>
          <w:rFonts w:eastAsia="Calibri" w:cs="Arial"/>
          <w:szCs w:val="19"/>
          <w:lang w:eastAsia="en-US"/>
        </w:rPr>
        <w:t xml:space="preserve">s potential risk and financial exposure. </w:t>
      </w:r>
    </w:p>
    <w:p w14:paraId="42134CDA" w14:textId="77777777" w:rsidR="00E7328E" w:rsidRPr="00E7328E" w:rsidRDefault="00E7328E" w:rsidP="005358B1">
      <w:pPr>
        <w:widowControl w:val="0"/>
        <w:spacing w:line="240" w:lineRule="auto"/>
        <w:rPr>
          <w:rFonts w:eastAsia="Calibri" w:cs="Arial"/>
          <w:szCs w:val="19"/>
          <w:lang w:eastAsia="en-US"/>
        </w:rPr>
      </w:pPr>
      <w:r w:rsidRPr="00E7328E">
        <w:rPr>
          <w:rFonts w:eastAsia="Calibri" w:cs="Arial"/>
          <w:szCs w:val="19"/>
          <w:lang w:eastAsia="en-US"/>
        </w:rPr>
        <w:t xml:space="preserve">The risk of an incident is remote. The floating production storage offtake facility is being maintained with safety critical maintenance carried out, limited oil in storage and no further oil production taking place. The additional works to prepare for disconnection are not considered to materially increase the risk. </w:t>
      </w:r>
    </w:p>
    <w:p w14:paraId="79781AD0" w14:textId="68E56A57" w:rsidR="00E7328E" w:rsidRPr="00E7328E" w:rsidRDefault="00E7328E" w:rsidP="005358B1">
      <w:pPr>
        <w:widowControl w:val="0"/>
        <w:spacing w:line="240" w:lineRule="auto"/>
        <w:rPr>
          <w:rFonts w:eastAsia="Calibri" w:cs="Arial"/>
          <w:szCs w:val="19"/>
          <w:lang w:eastAsia="en-US"/>
        </w:rPr>
      </w:pPr>
      <w:r w:rsidRPr="00E7328E">
        <w:rPr>
          <w:rFonts w:eastAsia="Calibri" w:cs="Arial"/>
          <w:szCs w:val="19"/>
          <w:lang w:eastAsia="en-US"/>
        </w:rPr>
        <w:t>Petrofac Limited, the parent company of Petrofac, is experiencing financial difficulties and is pursuing a financial restructure to resolve its solvency issues. So far, delivery of Phase</w:t>
      </w:r>
      <w:r w:rsidR="00B07046" w:rsidRPr="005F6D17">
        <w:rPr>
          <w:rFonts w:eastAsia="Book Antiqua"/>
        </w:rPr>
        <w:t> </w:t>
      </w:r>
      <w:r w:rsidRPr="00E7328E">
        <w:rPr>
          <w:rFonts w:eastAsia="Calibri" w:cs="Arial"/>
          <w:szCs w:val="19"/>
          <w:lang w:eastAsia="en-US"/>
        </w:rPr>
        <w:t>One decommissioning of the Northern Endeavour has remained largely unaffected by this financial situation, however solvency issues could increase project delivery risks and potentially lead to delays and increase costs. The Australian Government continues to work with Petrofac to anticipate and minimise any potential impacts to program delivery.</w:t>
      </w:r>
    </w:p>
    <w:p w14:paraId="0FA992AE" w14:textId="7BDA898C" w:rsidR="00E7328E" w:rsidRPr="00E7328E" w:rsidRDefault="00E7328E" w:rsidP="005358B1">
      <w:pPr>
        <w:widowControl w:val="0"/>
        <w:spacing w:line="240" w:lineRule="auto"/>
        <w:rPr>
          <w:rFonts w:asciiTheme="minorHAnsi" w:eastAsia="Calibri" w:hAnsiTheme="minorHAnsi" w:cs="Arial"/>
          <w:szCs w:val="19"/>
          <w:lang w:eastAsia="en-US"/>
        </w:rPr>
      </w:pPr>
      <w:r w:rsidRPr="00E7328E">
        <w:rPr>
          <w:rFonts w:eastAsia="Calibri" w:cs="Arial"/>
          <w:szCs w:val="19"/>
          <w:lang w:eastAsia="en-US"/>
        </w:rPr>
        <w:t>The Australian Government has committed to decommission the Northern Endeavour FPSO and remediate the Laminaria</w:t>
      </w:r>
      <w:r w:rsidR="00B63FC6">
        <w:rPr>
          <w:rFonts w:eastAsia="Calibri" w:cs="Arial"/>
          <w:szCs w:val="19"/>
          <w:lang w:eastAsia="en-US"/>
        </w:rPr>
        <w:noBreakHyphen/>
      </w:r>
      <w:r w:rsidRPr="00E7328E">
        <w:rPr>
          <w:rFonts w:eastAsia="Calibri" w:cs="Arial"/>
          <w:szCs w:val="19"/>
          <w:lang w:eastAsia="en-US"/>
        </w:rPr>
        <w:t xml:space="preserve">Corallina oil fields. The cost to deliver Phase One of the decommissioning, including the disconnection and disposal of the FPSO, is </w:t>
      </w:r>
      <w:proofErr w:type="gramStart"/>
      <w:r w:rsidRPr="00E7328E">
        <w:rPr>
          <w:rFonts w:eastAsia="Calibri" w:cs="Arial"/>
          <w:szCs w:val="19"/>
          <w:lang w:eastAsia="en-US"/>
        </w:rPr>
        <w:t>taken into account</w:t>
      </w:r>
      <w:proofErr w:type="gramEnd"/>
      <w:r w:rsidRPr="00E7328E">
        <w:rPr>
          <w:rFonts w:eastAsia="Calibri" w:cs="Arial"/>
          <w:szCs w:val="19"/>
          <w:lang w:eastAsia="en-US"/>
        </w:rPr>
        <w:t xml:space="preserve"> in the forward estimates. However, costs for the subsequent phases of the decommissioning – the permanent plug and abandonment of the wells (Phase Two) and the removal of subsea infrastructure (Phase Three), which are estimated to commence over the forward estimates period – are not able to be fully quantified until procurement activities for those Phases have been completed. Actual costs associated with Northern Endeavour decommissioning will be recovered through the </w:t>
      </w:r>
      <w:r w:rsidRPr="00EE2148">
        <w:rPr>
          <w:rStyle w:val="Emphasis"/>
          <w:rFonts w:eastAsia="Calibri"/>
        </w:rPr>
        <w:t>Offshore Petroleum (Laminaria and Corallina Decommissioning Cost Recovery Levy) Act 2022</w:t>
      </w:r>
      <w:r w:rsidRPr="00E7328E">
        <w:rPr>
          <w:rFonts w:asciiTheme="minorHAnsi" w:eastAsia="Calibri" w:hAnsiTheme="minorHAnsi" w:cs="Arial"/>
          <w:i/>
          <w:iCs/>
          <w:szCs w:val="19"/>
          <w:lang w:eastAsia="en-US"/>
        </w:rPr>
        <w:t>.</w:t>
      </w:r>
    </w:p>
    <w:p w14:paraId="20B57F7F" w14:textId="77777777" w:rsidR="00E6173B" w:rsidRPr="00B832E0" w:rsidRDefault="00E6173B" w:rsidP="005358B1">
      <w:pPr>
        <w:pStyle w:val="Heading2"/>
      </w:pPr>
      <w:bookmarkStart w:id="69" w:name="_Toc184039489"/>
      <w:bookmarkEnd w:id="68"/>
      <w:r w:rsidRPr="00B832E0">
        <w:t xml:space="preserve">Infrastructure, Transport, Regional Development, </w:t>
      </w:r>
      <w:proofErr w:type="gramStart"/>
      <w:r w:rsidRPr="00B832E0">
        <w:t>Communications</w:t>
      </w:r>
      <w:bookmarkEnd w:id="66"/>
      <w:proofErr w:type="gramEnd"/>
      <w:r w:rsidRPr="00B832E0">
        <w:t xml:space="preserve"> and the Arts</w:t>
      </w:r>
      <w:bookmarkEnd w:id="69"/>
    </w:p>
    <w:p w14:paraId="6DE8FBC2" w14:textId="77777777" w:rsidR="00E6173B" w:rsidRDefault="00E6173B" w:rsidP="005358B1">
      <w:pPr>
        <w:pStyle w:val="Heading3"/>
      </w:pPr>
      <w:bookmarkStart w:id="70" w:name="_Toc184039490"/>
      <w:bookmarkStart w:id="71" w:name="_Toc71117852"/>
      <w:bookmarkStart w:id="72" w:name="_Toc71117853"/>
      <w:bookmarkStart w:id="73" w:name="_Toc99141890"/>
      <w:r>
        <w:t>Fiscal Risks</w:t>
      </w:r>
      <w:bookmarkEnd w:id="70"/>
    </w:p>
    <w:p w14:paraId="1E0F2C67" w14:textId="187C2910" w:rsidR="00E6173B" w:rsidRPr="00BE6C2E" w:rsidRDefault="00E6173B" w:rsidP="005358B1">
      <w:pPr>
        <w:pStyle w:val="Heading4"/>
        <w:rPr>
          <w:rFonts w:eastAsia="Arial"/>
          <w:lang w:val="en-US"/>
        </w:rPr>
      </w:pPr>
      <w:r w:rsidRPr="00BE6C2E">
        <w:rPr>
          <w:rFonts w:eastAsia="Arial"/>
          <w:lang w:val="en-US"/>
        </w:rPr>
        <w:t>Australia Post</w:t>
      </w:r>
      <w:r w:rsidR="00B63FC6">
        <w:rPr>
          <w:rFonts w:eastAsia="Arial"/>
          <w:lang w:val="en-US"/>
        </w:rPr>
        <w:t>’</w:t>
      </w:r>
      <w:r w:rsidRPr="00BE6C2E">
        <w:rPr>
          <w:rFonts w:eastAsia="Arial"/>
          <w:lang w:val="en-US"/>
        </w:rPr>
        <w:t>s financial stability</w:t>
      </w:r>
    </w:p>
    <w:p w14:paraId="2A1708A9" w14:textId="2813CE2B" w:rsidR="00404290" w:rsidRPr="00FE72B7" w:rsidRDefault="00404290" w:rsidP="00FE72B7">
      <w:pPr>
        <w:rPr>
          <w:rFonts w:eastAsia="Calibri"/>
        </w:rPr>
      </w:pPr>
      <w:r w:rsidRPr="00FE72B7">
        <w:rPr>
          <w:rFonts w:eastAsia="Calibri"/>
        </w:rPr>
        <w:t>Australia Post is a Government Business Enterprise wholly owned by the Australian</w:t>
      </w:r>
      <w:r w:rsidR="005B3BB9" w:rsidRPr="005F6D17">
        <w:rPr>
          <w:rFonts w:eastAsia="Book Antiqua"/>
        </w:rPr>
        <w:t> </w:t>
      </w:r>
      <w:r w:rsidRPr="00FE72B7">
        <w:rPr>
          <w:rFonts w:eastAsia="Calibri"/>
        </w:rPr>
        <w:t>Government. In the 2023–24 financial year, Australia Post reported a full financial year pre</w:t>
      </w:r>
      <w:r w:rsidR="00B63FC6">
        <w:rPr>
          <w:rFonts w:eastAsia="Calibri"/>
        </w:rPr>
        <w:noBreakHyphen/>
      </w:r>
      <w:r w:rsidRPr="00FE72B7">
        <w:rPr>
          <w:rFonts w:eastAsia="Calibri"/>
        </w:rPr>
        <w:t>tax loss of $88.5</w:t>
      </w:r>
      <w:r w:rsidR="002E6F0C">
        <w:rPr>
          <w:rFonts w:eastAsia="Calibri"/>
        </w:rPr>
        <w:t> million</w:t>
      </w:r>
      <w:r w:rsidRPr="00FE72B7">
        <w:rPr>
          <w:rFonts w:eastAsia="Calibri"/>
        </w:rPr>
        <w:t>. This is Australia Post</w:t>
      </w:r>
      <w:r w:rsidR="00B63FC6">
        <w:rPr>
          <w:rFonts w:eastAsia="Calibri"/>
        </w:rPr>
        <w:t>’</w:t>
      </w:r>
      <w:r w:rsidRPr="00FE72B7">
        <w:rPr>
          <w:rFonts w:eastAsia="Calibri"/>
        </w:rPr>
        <w:t xml:space="preserve">s second annual loss since 2014–15. It reflects the way in which digitisation of the global and national economy is changing how many people and businesses use postal and related services. Australia Post does not receive financial support from the Australian Government but is required to meet a range of Community Service Obligations. </w:t>
      </w:r>
    </w:p>
    <w:p w14:paraId="50B3FC0F" w14:textId="326D227F" w:rsidR="00404290" w:rsidRPr="00FE72B7" w:rsidRDefault="00404290" w:rsidP="00FE72B7">
      <w:pPr>
        <w:rPr>
          <w:rFonts w:eastAsia="Calibri"/>
        </w:rPr>
      </w:pPr>
      <w:r w:rsidRPr="00FE72B7">
        <w:rPr>
          <w:rFonts w:eastAsia="Calibri"/>
        </w:rPr>
        <w:lastRenderedPageBreak/>
        <w:t xml:space="preserve">On 6 December 2023, the Australian Government announced a package of reforms to enable Australia Post to boost productivity, increase its focus on parcel delivery services, and improve financial sustainability. The Government is monitoring the implementation of these reforms to assess whether they are achieving meaningful financial benefits as intended. </w:t>
      </w:r>
    </w:p>
    <w:p w14:paraId="609260EF" w14:textId="14FCD387" w:rsidR="00E6173B" w:rsidRDefault="00404290" w:rsidP="00FE72B7">
      <w:pPr>
        <w:rPr>
          <w:rFonts w:eastAsia="Calibri"/>
        </w:rPr>
      </w:pPr>
      <w:r w:rsidRPr="00FE72B7">
        <w:rPr>
          <w:rFonts w:eastAsia="Calibri"/>
        </w:rPr>
        <w:t>Given the uncertainty surrounding Australia Post</w:t>
      </w:r>
      <w:r w:rsidR="00B63FC6">
        <w:rPr>
          <w:rFonts w:eastAsia="Calibri"/>
        </w:rPr>
        <w:t>’</w:t>
      </w:r>
      <w:r w:rsidRPr="00FE72B7">
        <w:rPr>
          <w:rFonts w:eastAsia="Calibri"/>
        </w:rPr>
        <w:t>s financial position, there is a risk that the Australian Government will need to consider providing financial assistance to Australia Post in the future.</w:t>
      </w:r>
      <w:bookmarkEnd w:id="71"/>
    </w:p>
    <w:p w14:paraId="193D49C3" w14:textId="77777777" w:rsidR="00C25330" w:rsidRPr="008228B1" w:rsidRDefault="00C25330" w:rsidP="00C25330">
      <w:pPr>
        <w:pStyle w:val="Heading4"/>
        <w:rPr>
          <w:rFonts w:eastAsia="Arial"/>
          <w:lang w:val="en-US"/>
        </w:rPr>
      </w:pPr>
      <w:r w:rsidRPr="008228B1">
        <w:rPr>
          <w:rFonts w:eastAsia="Arial"/>
          <w:lang w:val="en-US"/>
        </w:rPr>
        <w:t>Infrastructure Investment Program</w:t>
      </w:r>
      <w:r w:rsidRPr="00971BE1">
        <w:rPr>
          <w:rFonts w:eastAsia="Arial"/>
          <w:lang w:val="en-US"/>
        </w:rPr>
        <w:t xml:space="preserve"> </w:t>
      </w:r>
      <w:r w:rsidRPr="008228B1">
        <w:rPr>
          <w:rFonts w:eastAsia="Arial"/>
          <w:lang w:val="en-US"/>
        </w:rPr>
        <w:t>project</w:t>
      </w:r>
      <w:r w:rsidRPr="00971BE1">
        <w:rPr>
          <w:rFonts w:eastAsia="Arial"/>
          <w:lang w:val="en-US"/>
        </w:rPr>
        <w:t xml:space="preserve"> </w:t>
      </w:r>
      <w:r w:rsidRPr="008228B1">
        <w:rPr>
          <w:rFonts w:eastAsia="Arial"/>
          <w:lang w:val="en-US"/>
        </w:rPr>
        <w:t xml:space="preserve">slippage </w:t>
      </w:r>
      <w:r w:rsidRPr="00971BE1">
        <w:rPr>
          <w:rFonts w:eastAsia="Arial"/>
          <w:lang w:val="en-US"/>
        </w:rPr>
        <w:t xml:space="preserve">adjustment </w:t>
      </w:r>
    </w:p>
    <w:p w14:paraId="5F586A34" w14:textId="7F38D4F2" w:rsidR="00A75A6F" w:rsidRPr="00B2133A" w:rsidRDefault="00A75A6F" w:rsidP="00B2133A">
      <w:pPr>
        <w:rPr>
          <w:rFonts w:eastAsia="Calibri"/>
          <w:lang w:eastAsia="en-US"/>
        </w:rPr>
      </w:pPr>
      <w:bookmarkStart w:id="74" w:name="_Toc99141888"/>
      <w:bookmarkStart w:id="75" w:name="_Toc184039491"/>
      <w:bookmarkStart w:id="76" w:name="_Toc71117860"/>
      <w:r w:rsidRPr="00B2133A">
        <w:rPr>
          <w:rFonts w:eastAsia="Calibri"/>
          <w:lang w:eastAsia="en-US"/>
        </w:rPr>
        <w:t xml:space="preserve">The Infrastructure Investment Program includes a slippage adjustment to take account of historical experience, including the timing of states claiming payments against milestones and the complexity of delivery. Details of the slippage adjustment are published in </w:t>
      </w:r>
      <w:r w:rsidR="005B3BB9">
        <w:rPr>
          <w:rFonts w:eastAsia="Calibri"/>
          <w:lang w:eastAsia="en-US"/>
        </w:rPr>
        <w:br/>
      </w:r>
      <w:r w:rsidR="00A75B70">
        <w:rPr>
          <w:rFonts w:eastAsia="Calibri"/>
          <w:lang w:eastAsia="en-US"/>
        </w:rPr>
        <w:t>2024</w:t>
      </w:r>
      <w:r w:rsidR="00F21CB8">
        <w:rPr>
          <w:rFonts w:eastAsia="Calibri"/>
          <w:lang w:eastAsia="en-US"/>
        </w:rPr>
        <w:t>–</w:t>
      </w:r>
      <w:r w:rsidR="00A75B70">
        <w:rPr>
          <w:rFonts w:eastAsia="Calibri"/>
          <w:lang w:eastAsia="en-US"/>
        </w:rPr>
        <w:t>25</w:t>
      </w:r>
      <w:r w:rsidR="005B3BB9" w:rsidRPr="005F6D17">
        <w:rPr>
          <w:rFonts w:eastAsia="Book Antiqua"/>
        </w:rPr>
        <w:t> </w:t>
      </w:r>
      <w:r w:rsidR="00A75B70">
        <w:rPr>
          <w:rFonts w:eastAsia="Calibri"/>
          <w:lang w:eastAsia="en-US"/>
        </w:rPr>
        <w:t xml:space="preserve">MYEFO </w:t>
      </w:r>
      <w:r w:rsidRPr="00DF002A">
        <w:rPr>
          <w:rStyle w:val="Emphasis"/>
          <w:rFonts w:eastAsia="Calibri"/>
        </w:rPr>
        <w:t>Appendix C: Australia</w:t>
      </w:r>
      <w:r w:rsidR="00B63FC6">
        <w:rPr>
          <w:rStyle w:val="Emphasis"/>
          <w:rFonts w:eastAsia="Calibri"/>
        </w:rPr>
        <w:t>’</w:t>
      </w:r>
      <w:r w:rsidRPr="00DF002A">
        <w:rPr>
          <w:rStyle w:val="Emphasis"/>
          <w:rFonts w:eastAsia="Calibri"/>
        </w:rPr>
        <w:t>s Federal Financial Relations</w:t>
      </w:r>
      <w:r w:rsidR="00CB3314">
        <w:rPr>
          <w:rFonts w:eastAsia="Calibri"/>
          <w:lang w:eastAsia="en-US"/>
        </w:rPr>
        <w:t xml:space="preserve">. </w:t>
      </w:r>
    </w:p>
    <w:p w14:paraId="5DEF3AA9" w14:textId="503FD7EC" w:rsidR="00A75A6F" w:rsidRPr="00B2133A" w:rsidRDefault="00A75A6F" w:rsidP="00B2133A">
      <w:pPr>
        <w:rPr>
          <w:rFonts w:eastAsia="Calibri"/>
          <w:lang w:eastAsia="en-US"/>
        </w:rPr>
      </w:pPr>
      <w:r w:rsidRPr="00B2133A">
        <w:rPr>
          <w:rFonts w:eastAsia="Calibri"/>
          <w:lang w:eastAsia="en-US"/>
        </w:rPr>
        <w:t>As the adjustment does not affect the Australian Government</w:t>
      </w:r>
      <w:r w:rsidR="00B63FC6">
        <w:rPr>
          <w:rFonts w:eastAsia="Calibri"/>
          <w:lang w:eastAsia="en-US"/>
        </w:rPr>
        <w:t>’</w:t>
      </w:r>
      <w:r w:rsidRPr="00B2133A">
        <w:rPr>
          <w:rFonts w:eastAsia="Calibri"/>
          <w:lang w:eastAsia="en-US"/>
        </w:rPr>
        <w:t>s commitments to individual states and territories, there is an equivalent financial risk to the Australian</w:t>
      </w:r>
      <w:r w:rsidR="005B3BB9" w:rsidRPr="005F6D17">
        <w:rPr>
          <w:rFonts w:eastAsia="Book Antiqua"/>
        </w:rPr>
        <w:t> </w:t>
      </w:r>
      <w:r w:rsidRPr="00B2133A">
        <w:rPr>
          <w:rFonts w:eastAsia="Calibri"/>
          <w:lang w:eastAsia="en-US"/>
        </w:rPr>
        <w:t>Government should the states and territories meet all current project milestones</w:t>
      </w:r>
      <w:r w:rsidRPr="00B033D3">
        <w:rPr>
          <w:rFonts w:eastAsia="Calibri"/>
          <w:lang w:eastAsia="en-US"/>
        </w:rPr>
        <w:t>. A similar</w:t>
      </w:r>
      <w:r w:rsidRPr="00B2133A">
        <w:rPr>
          <w:rFonts w:eastAsia="Calibri"/>
          <w:lang w:eastAsia="en-US"/>
        </w:rPr>
        <w:t xml:space="preserve"> adjustment was implemented in the 2020</w:t>
      </w:r>
      <w:r w:rsidR="00F21CB8">
        <w:rPr>
          <w:rFonts w:eastAsia="Calibri"/>
          <w:lang w:eastAsia="en-US"/>
        </w:rPr>
        <w:t>–</w:t>
      </w:r>
      <w:r w:rsidRPr="00B2133A">
        <w:rPr>
          <w:rFonts w:eastAsia="Calibri"/>
          <w:lang w:eastAsia="en-US"/>
        </w:rPr>
        <w:t>21 Budget.</w:t>
      </w:r>
    </w:p>
    <w:p w14:paraId="161208C2" w14:textId="169BC068" w:rsidR="00F649A5" w:rsidRPr="00B832E0" w:rsidRDefault="00F649A5" w:rsidP="005358B1">
      <w:pPr>
        <w:pStyle w:val="Heading3"/>
      </w:pPr>
      <w:r w:rsidRPr="00B832E0">
        <w:t>Contingent liabilit</w:t>
      </w:r>
      <w:r w:rsidR="00330D34">
        <w:t>y</w:t>
      </w:r>
      <w:r w:rsidRPr="00B832E0">
        <w:t xml:space="preserve"> – unquantifiable</w:t>
      </w:r>
      <w:bookmarkEnd w:id="74"/>
      <w:bookmarkEnd w:id="75"/>
    </w:p>
    <w:p w14:paraId="4CE6BCDD" w14:textId="1AD78C04" w:rsidR="00F649A5" w:rsidRPr="00BE6C2E" w:rsidRDefault="00F649A5" w:rsidP="005358B1">
      <w:pPr>
        <w:pStyle w:val="Heading4"/>
        <w:rPr>
          <w:rFonts w:eastAsia="Arial"/>
          <w:lang w:val="en-US"/>
        </w:rPr>
      </w:pPr>
      <w:bookmarkStart w:id="77" w:name="_Toc71117865"/>
      <w:bookmarkStart w:id="78" w:name="_Toc71117866"/>
      <w:r w:rsidRPr="00BE6C2E">
        <w:rPr>
          <w:rFonts w:eastAsia="Arial"/>
          <w:lang w:val="en-US"/>
        </w:rPr>
        <w:t>Aviation rescue and firefighting services potential per</w:t>
      </w:r>
      <w:r w:rsidR="00B63FC6">
        <w:rPr>
          <w:rFonts w:eastAsia="Arial"/>
          <w:lang w:val="en-US"/>
        </w:rPr>
        <w:noBreakHyphen/>
      </w:r>
      <w:r w:rsidRPr="00BE6C2E">
        <w:rPr>
          <w:rFonts w:eastAsia="Arial"/>
          <w:lang w:val="en-US"/>
        </w:rPr>
        <w:t xml:space="preserve"> and poly</w:t>
      </w:r>
      <w:r w:rsidR="00B63FC6">
        <w:rPr>
          <w:rFonts w:eastAsia="Arial"/>
          <w:lang w:val="en-US"/>
        </w:rPr>
        <w:noBreakHyphen/>
      </w:r>
      <w:r w:rsidRPr="00BE6C2E">
        <w:rPr>
          <w:rFonts w:eastAsia="Arial"/>
          <w:lang w:val="en-US"/>
        </w:rPr>
        <w:t>fluoroalkyl substances contamination</w:t>
      </w:r>
      <w:bookmarkEnd w:id="77"/>
    </w:p>
    <w:p w14:paraId="4AE84194" w14:textId="533A65A6" w:rsidR="00F649A5" w:rsidRPr="00404290" w:rsidRDefault="00F649A5" w:rsidP="00FE72B7">
      <w:pPr>
        <w:rPr>
          <w:rFonts w:eastAsia="Calibri"/>
          <w:lang w:eastAsia="en-US"/>
        </w:rPr>
      </w:pPr>
      <w:bookmarkStart w:id="79" w:name="_Hlk182824988"/>
      <w:r w:rsidRPr="00404290">
        <w:rPr>
          <w:rFonts w:eastAsia="Calibri"/>
          <w:lang w:eastAsia="en-US"/>
        </w:rPr>
        <w:t xml:space="preserve">The Department of Infrastructure, Transport, Regional Development, </w:t>
      </w:r>
      <w:proofErr w:type="gramStart"/>
      <w:r w:rsidRPr="00404290">
        <w:rPr>
          <w:rFonts w:eastAsia="Calibri"/>
          <w:lang w:eastAsia="en-US"/>
        </w:rPr>
        <w:t>Communications</w:t>
      </w:r>
      <w:proofErr w:type="gramEnd"/>
      <w:r w:rsidRPr="00404290">
        <w:rPr>
          <w:rFonts w:eastAsia="Calibri"/>
          <w:lang w:eastAsia="en-US"/>
        </w:rPr>
        <w:t xml:space="preserve"> and the Arts (DITRDCA) has identified a number of sites in Australia potentially contaminated </w:t>
      </w:r>
      <w:r w:rsidRPr="00E9609F">
        <w:rPr>
          <w:rFonts w:eastAsia="Calibri"/>
          <w:lang w:eastAsia="en-US"/>
        </w:rPr>
        <w:t>with per</w:t>
      </w:r>
      <w:r w:rsidR="00B63FC6">
        <w:rPr>
          <w:rFonts w:eastAsia="Calibri"/>
          <w:lang w:eastAsia="en-US"/>
        </w:rPr>
        <w:noBreakHyphen/>
      </w:r>
      <w:r w:rsidRPr="00E9609F">
        <w:rPr>
          <w:rFonts w:eastAsia="Calibri"/>
          <w:lang w:eastAsia="en-US"/>
        </w:rPr>
        <w:t xml:space="preserve"> and</w:t>
      </w:r>
      <w:r w:rsidRPr="00404290">
        <w:rPr>
          <w:rFonts w:eastAsia="Calibri"/>
          <w:lang w:eastAsia="en-US"/>
        </w:rPr>
        <w:t xml:space="preserve"> pol</w:t>
      </w:r>
      <w:r w:rsidRPr="0031206D">
        <w:rPr>
          <w:rFonts w:eastAsia="Calibri"/>
          <w:lang w:eastAsia="en-US"/>
        </w:rPr>
        <w:t>y</w:t>
      </w:r>
      <w:r w:rsidR="00B63FC6">
        <w:rPr>
          <w:rFonts w:eastAsia="Calibri"/>
          <w:lang w:eastAsia="en-US"/>
        </w:rPr>
        <w:noBreakHyphen/>
      </w:r>
      <w:r w:rsidRPr="0031206D">
        <w:rPr>
          <w:rFonts w:eastAsia="Calibri"/>
          <w:lang w:eastAsia="en-US"/>
        </w:rPr>
        <w:t>fluoroalkyl</w:t>
      </w:r>
      <w:r w:rsidRPr="00404290">
        <w:rPr>
          <w:rFonts w:eastAsia="Calibri"/>
          <w:lang w:eastAsia="en-US"/>
        </w:rPr>
        <w:t xml:space="preserve"> substances (PFAS), which were contained in firefighting foams. </w:t>
      </w:r>
    </w:p>
    <w:p w14:paraId="4B2895B2" w14:textId="77777777" w:rsidR="00F649A5" w:rsidRPr="00404290" w:rsidRDefault="00F649A5" w:rsidP="00FE72B7">
      <w:pPr>
        <w:rPr>
          <w:rFonts w:eastAsia="Calibri"/>
          <w:lang w:eastAsia="en-US"/>
        </w:rPr>
      </w:pPr>
      <w:r w:rsidRPr="00404290">
        <w:rPr>
          <w:rFonts w:eastAsia="Calibri"/>
          <w:lang w:eastAsia="en-US"/>
        </w:rPr>
        <w:t xml:space="preserve">PFAS contaminants do not naturally break down in the environment and several have been listed on the Stockholm Convention as persistent contaminants. Australian health and environmental agencies have set a range of standards for environmental protection and precautionary health measures. </w:t>
      </w:r>
    </w:p>
    <w:p w14:paraId="6F0399B7" w14:textId="349DF279" w:rsidR="00F649A5" w:rsidRPr="00404290" w:rsidRDefault="00F649A5" w:rsidP="00FE72B7">
      <w:pPr>
        <w:rPr>
          <w:rFonts w:eastAsia="Calibri"/>
          <w:lang w:eastAsia="en-US"/>
        </w:rPr>
      </w:pPr>
      <w:r w:rsidRPr="00404290">
        <w:rPr>
          <w:rFonts w:eastAsia="Calibri"/>
          <w:lang w:eastAsia="en-US"/>
        </w:rPr>
        <w:t>Up to 37 airport sites are potentially contaminated with PFAS (20 federally</w:t>
      </w:r>
      <w:r w:rsidR="00B63FC6">
        <w:rPr>
          <w:rFonts w:eastAsia="Calibri"/>
          <w:lang w:eastAsia="en-US"/>
        </w:rPr>
        <w:noBreakHyphen/>
      </w:r>
      <w:r w:rsidRPr="00404290">
        <w:rPr>
          <w:rFonts w:eastAsia="Calibri"/>
          <w:lang w:eastAsia="en-US"/>
        </w:rPr>
        <w:t>leased airports and 17 regional airports), which relate to the Australian Government</w:t>
      </w:r>
      <w:r w:rsidR="00B63FC6">
        <w:rPr>
          <w:rFonts w:eastAsia="Calibri"/>
          <w:lang w:eastAsia="en-US"/>
        </w:rPr>
        <w:t>’</w:t>
      </w:r>
      <w:r w:rsidRPr="00404290">
        <w:rPr>
          <w:rFonts w:eastAsia="Calibri"/>
          <w:lang w:eastAsia="en-US"/>
        </w:rPr>
        <w:t>s provision of firefighting services. DITRDCA is undertaking PFAS investigations at these airports to understand the risks and develop management plans for any identified PFAS contamination. These investigations are funded under DITRDCA</w:t>
      </w:r>
      <w:r w:rsidR="00B63FC6">
        <w:rPr>
          <w:rFonts w:eastAsia="Calibri"/>
          <w:lang w:eastAsia="en-US"/>
        </w:rPr>
        <w:t>’</w:t>
      </w:r>
      <w:r w:rsidRPr="00404290">
        <w:rPr>
          <w:rFonts w:eastAsia="Calibri"/>
          <w:lang w:eastAsia="en-US"/>
        </w:rPr>
        <w:t>s $130.5</w:t>
      </w:r>
      <w:r w:rsidR="002E6F0C">
        <w:rPr>
          <w:rFonts w:eastAsia="Calibri"/>
          <w:lang w:eastAsia="en-US"/>
        </w:rPr>
        <w:t> million</w:t>
      </w:r>
      <w:r w:rsidRPr="00404290">
        <w:rPr>
          <w:rFonts w:eastAsia="Calibri"/>
          <w:lang w:eastAsia="en-US"/>
        </w:rPr>
        <w:t xml:space="preserve"> PFAS Airports Investigation Program (the Program). Airservices Australia (Airservices) is continuing to implement the National PFAS Management Program, which includes ongoing PFAS investigations at 18 airport sites. The costs of potential long</w:t>
      </w:r>
      <w:r w:rsidR="00B63FC6">
        <w:rPr>
          <w:rFonts w:eastAsia="Calibri"/>
          <w:lang w:eastAsia="en-US"/>
        </w:rPr>
        <w:noBreakHyphen/>
      </w:r>
      <w:r w:rsidRPr="00404290">
        <w:rPr>
          <w:rFonts w:eastAsia="Calibri"/>
          <w:lang w:eastAsia="en-US"/>
        </w:rPr>
        <w:t xml:space="preserve">term management options cannot be accurately quantified at this time. </w:t>
      </w:r>
    </w:p>
    <w:p w14:paraId="189B63A1" w14:textId="092A8B79" w:rsidR="00F649A5" w:rsidRPr="00404290" w:rsidRDefault="00F649A5" w:rsidP="00FE72B7">
      <w:pPr>
        <w:rPr>
          <w:rFonts w:eastAsia="Calibri"/>
          <w:lang w:eastAsia="en-US"/>
        </w:rPr>
      </w:pPr>
      <w:r w:rsidRPr="00404290">
        <w:rPr>
          <w:rFonts w:eastAsia="Calibri"/>
          <w:lang w:eastAsia="en-US"/>
        </w:rPr>
        <w:lastRenderedPageBreak/>
        <w:t>For Commonwealth</w:t>
      </w:r>
      <w:r w:rsidR="00B63FC6">
        <w:rPr>
          <w:rFonts w:eastAsia="Calibri"/>
          <w:lang w:eastAsia="en-US"/>
        </w:rPr>
        <w:noBreakHyphen/>
      </w:r>
      <w:r w:rsidRPr="00404290">
        <w:rPr>
          <w:rFonts w:eastAsia="Calibri"/>
          <w:lang w:eastAsia="en-US"/>
        </w:rPr>
        <w:t>owned airports that are leased on a long</w:t>
      </w:r>
      <w:r w:rsidR="00B63FC6">
        <w:rPr>
          <w:rFonts w:eastAsia="Calibri"/>
          <w:lang w:eastAsia="en-US"/>
        </w:rPr>
        <w:noBreakHyphen/>
      </w:r>
      <w:r w:rsidRPr="00404290">
        <w:rPr>
          <w:rFonts w:eastAsia="Calibri"/>
          <w:lang w:eastAsia="en-US"/>
        </w:rPr>
        <w:t>term basis, Airport Lessee Companies are responsible for environmental management of their airport sites. Airport leases indemnify the Commonwealth in relation to damages or injury to the environment, including in respect of costs and claims arising due to such damages or injury. However, these leases do not indemnify Airservices, as it is a corporate Commonwealth entity. The Commonwealth is not indemnified for 16 airports (which are privately or local government owned) in the Program</w:t>
      </w:r>
      <w:r w:rsidR="00B63FC6">
        <w:rPr>
          <w:rFonts w:eastAsia="Calibri"/>
          <w:lang w:eastAsia="en-US"/>
        </w:rPr>
        <w:t>’</w:t>
      </w:r>
      <w:r w:rsidRPr="00404290">
        <w:rPr>
          <w:rFonts w:eastAsia="Calibri"/>
          <w:lang w:eastAsia="en-US"/>
        </w:rPr>
        <w:t>s scope because the Commonwealth is not a party to any lease deed at these airports. The costs of potential long</w:t>
      </w:r>
      <w:r w:rsidR="00B63FC6">
        <w:rPr>
          <w:rFonts w:eastAsia="Calibri"/>
          <w:lang w:eastAsia="en-US"/>
        </w:rPr>
        <w:noBreakHyphen/>
      </w:r>
      <w:r w:rsidRPr="00404290">
        <w:rPr>
          <w:rFonts w:eastAsia="Calibri"/>
          <w:lang w:eastAsia="en-US"/>
        </w:rPr>
        <w:t xml:space="preserve">term management options cannot be quantified at this time. </w:t>
      </w:r>
    </w:p>
    <w:p w14:paraId="58D096D0" w14:textId="20C4A240" w:rsidR="00F649A5" w:rsidRPr="00404290" w:rsidRDefault="00F649A5" w:rsidP="00FE72B7">
      <w:pPr>
        <w:rPr>
          <w:rFonts w:eastAsia="Calibri"/>
          <w:lang w:eastAsia="en-US"/>
        </w:rPr>
      </w:pPr>
      <w:proofErr w:type="gramStart"/>
      <w:r w:rsidRPr="00404290">
        <w:rPr>
          <w:rFonts w:eastAsia="Calibri"/>
          <w:lang w:eastAsia="en-US"/>
        </w:rPr>
        <w:t>A number of</w:t>
      </w:r>
      <w:proofErr w:type="gramEnd"/>
      <w:r w:rsidRPr="00404290">
        <w:rPr>
          <w:rFonts w:eastAsia="Calibri"/>
          <w:lang w:eastAsia="en-US"/>
        </w:rPr>
        <w:t xml:space="preserve"> Airport Lessee Companies have requested that Airport Environment Officer</w:t>
      </w:r>
      <w:r w:rsidR="00445363">
        <w:rPr>
          <w:rFonts w:eastAsia="Calibri"/>
          <w:lang w:eastAsia="en-US"/>
        </w:rPr>
        <w:t>s</w:t>
      </w:r>
      <w:r w:rsidRPr="00404290">
        <w:rPr>
          <w:rFonts w:eastAsia="Calibri"/>
          <w:lang w:eastAsia="en-US"/>
        </w:rPr>
        <w:t xml:space="preserve"> (AEO</w:t>
      </w:r>
      <w:r w:rsidR="00445363">
        <w:rPr>
          <w:rFonts w:eastAsia="Calibri"/>
          <w:lang w:eastAsia="en-US"/>
        </w:rPr>
        <w:t>s</w:t>
      </w:r>
      <w:r w:rsidRPr="00404290">
        <w:rPr>
          <w:rFonts w:eastAsia="Calibri"/>
          <w:lang w:eastAsia="en-US"/>
        </w:rPr>
        <w:t xml:space="preserve">) issue remedial orders to Airservices for PFAS contamination under the </w:t>
      </w:r>
      <w:r w:rsidRPr="00FE72B7">
        <w:rPr>
          <w:rStyle w:val="Emphasis"/>
          <w:rFonts w:eastAsia="Calibri"/>
        </w:rPr>
        <w:t xml:space="preserve">Airports (Environment Protection) Regulations 1997. </w:t>
      </w:r>
      <w:r w:rsidRPr="00404290">
        <w:rPr>
          <w:rFonts w:eastAsia="Calibri"/>
          <w:lang w:eastAsia="en-US"/>
        </w:rPr>
        <w:t>Two Environmental Remedial Orders (EROs) have been issued to Airservices, directing it to undertake specified remedial work at Launceston and Canberra airports, within a set timeframe. AEO</w:t>
      </w:r>
      <w:r w:rsidR="002C5366">
        <w:rPr>
          <w:rFonts w:eastAsia="Calibri"/>
          <w:lang w:eastAsia="en-US"/>
        </w:rPr>
        <w:t>s</w:t>
      </w:r>
      <w:r w:rsidRPr="00404290">
        <w:rPr>
          <w:rFonts w:eastAsia="Calibri"/>
          <w:lang w:eastAsia="en-US"/>
        </w:rPr>
        <w:t xml:space="preserve"> </w:t>
      </w:r>
      <w:r w:rsidR="002C5366">
        <w:rPr>
          <w:rFonts w:eastAsia="Calibri"/>
          <w:lang w:eastAsia="en-US"/>
        </w:rPr>
        <w:t xml:space="preserve">are </w:t>
      </w:r>
      <w:r w:rsidRPr="00404290">
        <w:rPr>
          <w:rFonts w:eastAsia="Calibri"/>
          <w:lang w:eastAsia="en-US"/>
        </w:rPr>
        <w:t xml:space="preserve">also actively considering regulatory action at Brisbane, </w:t>
      </w:r>
      <w:proofErr w:type="gramStart"/>
      <w:r w:rsidRPr="00404290">
        <w:rPr>
          <w:rFonts w:eastAsia="Calibri"/>
          <w:lang w:eastAsia="en-US"/>
        </w:rPr>
        <w:t>Moorabbin</w:t>
      </w:r>
      <w:proofErr w:type="gramEnd"/>
      <w:r w:rsidRPr="00404290">
        <w:rPr>
          <w:rFonts w:eastAsia="Calibri"/>
          <w:lang w:eastAsia="en-US"/>
        </w:rPr>
        <w:t xml:space="preserve"> and Sydney Airports. </w:t>
      </w:r>
    </w:p>
    <w:p w14:paraId="24F1BCD9" w14:textId="5A6AA72F" w:rsidR="00F649A5" w:rsidRDefault="00F649A5" w:rsidP="00FE72B7">
      <w:pPr>
        <w:rPr>
          <w:rFonts w:eastAsia="Calibri"/>
          <w:lang w:eastAsia="en-US"/>
        </w:rPr>
      </w:pPr>
      <w:r w:rsidRPr="00404290">
        <w:rPr>
          <w:rFonts w:eastAsia="Calibri"/>
          <w:lang w:eastAsia="en-US"/>
        </w:rPr>
        <w:t>Brisbane Airport Corporation has commenced legal proceedings in the Queensland Supreme Court against Airservices concerning legacy PFAS contamination from Airservices</w:t>
      </w:r>
      <w:r w:rsidR="00B63FC6">
        <w:rPr>
          <w:rFonts w:eastAsia="Calibri"/>
          <w:lang w:eastAsia="en-US"/>
        </w:rPr>
        <w:t>’</w:t>
      </w:r>
      <w:r w:rsidRPr="00404290">
        <w:rPr>
          <w:rFonts w:eastAsia="Calibri"/>
          <w:lang w:eastAsia="en-US"/>
        </w:rPr>
        <w:t xml:space="preserve"> use of firefighting foams containing PFAS at the airport. Australia Pacific Airports Launceston and Perth Airport Pty Ltd have also commenced legal proceedings against Airservices in relation to PFAS contamination in the Federal Court. Potential costs relating to these matters are unquantifiable </w:t>
      </w:r>
      <w:proofErr w:type="gramStart"/>
      <w:r w:rsidRPr="00404290">
        <w:rPr>
          <w:rFonts w:eastAsia="Calibri"/>
          <w:lang w:eastAsia="en-US"/>
        </w:rPr>
        <w:t>at this time</w:t>
      </w:r>
      <w:proofErr w:type="gramEnd"/>
      <w:r w:rsidRPr="00404290">
        <w:rPr>
          <w:rFonts w:eastAsia="Calibri"/>
          <w:lang w:eastAsia="en-US"/>
        </w:rPr>
        <w:t>.</w:t>
      </w:r>
      <w:bookmarkEnd w:id="72"/>
      <w:bookmarkEnd w:id="76"/>
      <w:bookmarkEnd w:id="78"/>
      <w:bookmarkEnd w:id="79"/>
      <w:r>
        <w:rPr>
          <w:rFonts w:eastAsia="Calibri"/>
          <w:lang w:eastAsia="en-US"/>
        </w:rPr>
        <w:t xml:space="preserve"> </w:t>
      </w:r>
    </w:p>
    <w:p w14:paraId="5BF1B51A" w14:textId="77777777" w:rsidR="00804556" w:rsidRPr="00B832E0" w:rsidRDefault="00804556" w:rsidP="005358B1">
      <w:pPr>
        <w:pStyle w:val="Heading2"/>
      </w:pPr>
      <w:bookmarkStart w:id="80" w:name="_Toc184039492"/>
      <w:bookmarkEnd w:id="73"/>
      <w:r w:rsidRPr="00B832E0">
        <w:t>Social Services</w:t>
      </w:r>
      <w:bookmarkEnd w:id="80"/>
      <w:r w:rsidRPr="00B832E0">
        <w:t xml:space="preserve"> </w:t>
      </w:r>
    </w:p>
    <w:p w14:paraId="0F2FBDC9" w14:textId="26032638" w:rsidR="00804556" w:rsidRPr="007F0E00" w:rsidRDefault="00804556" w:rsidP="005358B1">
      <w:pPr>
        <w:pStyle w:val="Heading3"/>
        <w:rPr>
          <w:rFonts w:eastAsia="Book Antiqua"/>
        </w:rPr>
      </w:pPr>
      <w:bookmarkStart w:id="81" w:name="_Toc99141894"/>
      <w:bookmarkStart w:id="82" w:name="_Toc184039493"/>
      <w:bookmarkStart w:id="83" w:name="_Toc99141896"/>
      <w:r w:rsidRPr="00B832E0">
        <w:t xml:space="preserve">Fiscal </w:t>
      </w:r>
      <w:r w:rsidRPr="003669F3">
        <w:t>Risk</w:t>
      </w:r>
      <w:bookmarkEnd w:id="81"/>
      <w:bookmarkEnd w:id="82"/>
    </w:p>
    <w:p w14:paraId="3590828A" w14:textId="76061EDD" w:rsidR="00804556" w:rsidRDefault="00804556" w:rsidP="005358B1">
      <w:pPr>
        <w:pStyle w:val="Heading4"/>
      </w:pPr>
      <w:r w:rsidRPr="00B832E0">
        <w:t xml:space="preserve">National Disability Insurance Scheme </w:t>
      </w:r>
    </w:p>
    <w:p w14:paraId="55D93683" w14:textId="2704C30A" w:rsidR="00595FCB" w:rsidRPr="00595FCB" w:rsidRDefault="00460EC1" w:rsidP="00FE72B7">
      <w:pPr>
        <w:rPr>
          <w:rFonts w:eastAsia="Book Antiqua"/>
        </w:rPr>
      </w:pPr>
      <w:r w:rsidRPr="00460EC1">
        <w:rPr>
          <w:rFonts w:eastAsia="Book Antiqua"/>
        </w:rPr>
        <w:t xml:space="preserve">The National Disability Insurance Scheme (NDIS/Scheme) provides Australians with permanent and significant disability with financial support to build capacity, increase independence and establish stronger connections with their community. </w:t>
      </w:r>
    </w:p>
    <w:p w14:paraId="5633A707" w14:textId="29341539" w:rsidR="00595FCB" w:rsidRPr="00595FCB" w:rsidRDefault="00595FCB" w:rsidP="00FE72B7">
      <w:pPr>
        <w:rPr>
          <w:rFonts w:eastAsia="Book Antiqua"/>
        </w:rPr>
      </w:pPr>
      <w:r w:rsidRPr="00595FCB">
        <w:rPr>
          <w:rFonts w:eastAsia="Book Antiqua"/>
        </w:rPr>
        <w:t>As with other demand</w:t>
      </w:r>
      <w:r w:rsidR="00B63FC6">
        <w:rPr>
          <w:rFonts w:eastAsia="Book Antiqua"/>
        </w:rPr>
        <w:noBreakHyphen/>
      </w:r>
      <w:r w:rsidRPr="00595FCB">
        <w:rPr>
          <w:rFonts w:eastAsia="Book Antiqua"/>
        </w:rPr>
        <w:t>driven programs, the estimated costs for the NDIS are subject to adjustments to reflect observed changes in actual payments. Scheme projections are liable to change as significant reform initiatives are implemented and the Scheme continues to mature. Reform initiatives may lead to revisions to forecasts of the number of Scheme participants, the funds allocated in participant support packages, the payments by participants from those funds for supports, and the resourcing required by the National Disability Insurance Agency to effectively administer the Scheme.</w:t>
      </w:r>
    </w:p>
    <w:p w14:paraId="6CD403DA" w14:textId="0E4C0961" w:rsidR="00595FCB" w:rsidRPr="00595FCB" w:rsidRDefault="00595FCB" w:rsidP="00FE72B7">
      <w:pPr>
        <w:rPr>
          <w:rFonts w:eastAsia="Book Antiqua"/>
        </w:rPr>
      </w:pPr>
      <w:r w:rsidRPr="00595FCB">
        <w:rPr>
          <w:rFonts w:eastAsia="Book Antiqua"/>
        </w:rPr>
        <w:t>National Cabinet has committed to a NDIS Financial Sustainability Framework to ensure the Scheme is sustainable in the long term, with an annual growth target for Scheme costs of no more than 8</w:t>
      </w:r>
      <w:r w:rsidR="002E6F0C">
        <w:rPr>
          <w:rFonts w:eastAsia="Book Antiqua"/>
        </w:rPr>
        <w:t> per cent</w:t>
      </w:r>
      <w:r w:rsidRPr="00595FCB">
        <w:rPr>
          <w:rFonts w:eastAsia="Book Antiqua"/>
        </w:rPr>
        <w:t xml:space="preserve"> from 1 July 2026. </w:t>
      </w:r>
    </w:p>
    <w:p w14:paraId="76586518" w14:textId="26E89EB6" w:rsidR="00595FCB" w:rsidRPr="00595FCB" w:rsidRDefault="00595FCB" w:rsidP="00FE72B7">
      <w:pPr>
        <w:rPr>
          <w:rFonts w:eastAsia="Book Antiqua"/>
        </w:rPr>
      </w:pPr>
      <w:r w:rsidRPr="00595FCB">
        <w:rPr>
          <w:rFonts w:eastAsia="Book Antiqua"/>
        </w:rPr>
        <w:t xml:space="preserve">The </w:t>
      </w:r>
      <w:r w:rsidRPr="00EE2148">
        <w:rPr>
          <w:rStyle w:val="Emphasis"/>
          <w:rFonts w:eastAsia="Book Antiqua"/>
        </w:rPr>
        <w:t>National Disability Insurance Scheme Amendment (Getting the NDIS Back on Track No.</w:t>
      </w:r>
      <w:r w:rsidR="001A53AE">
        <w:rPr>
          <w:rStyle w:val="Emphasis"/>
          <w:rFonts w:eastAsia="Book Antiqua"/>
        </w:rPr>
        <w:t> </w:t>
      </w:r>
      <w:r w:rsidRPr="00EE2148">
        <w:rPr>
          <w:rStyle w:val="Emphasis"/>
          <w:rFonts w:eastAsia="Book Antiqua"/>
        </w:rPr>
        <w:t>1)</w:t>
      </w:r>
      <w:r w:rsidR="001A53AE">
        <w:rPr>
          <w:rStyle w:val="Emphasis"/>
          <w:rFonts w:eastAsia="Book Antiqua"/>
        </w:rPr>
        <w:t> </w:t>
      </w:r>
      <w:r w:rsidRPr="00EE2148">
        <w:rPr>
          <w:rStyle w:val="Emphasis"/>
          <w:rFonts w:eastAsia="Book Antiqua"/>
        </w:rPr>
        <w:t>Act</w:t>
      </w:r>
      <w:r w:rsidR="001A53AE">
        <w:rPr>
          <w:rStyle w:val="Emphasis"/>
          <w:rFonts w:eastAsia="Book Antiqua"/>
        </w:rPr>
        <w:t> </w:t>
      </w:r>
      <w:r w:rsidRPr="00EE2148">
        <w:rPr>
          <w:rStyle w:val="Emphasis"/>
          <w:rFonts w:eastAsia="Book Antiqua"/>
        </w:rPr>
        <w:t>2024</w:t>
      </w:r>
      <w:r w:rsidRPr="00595FCB">
        <w:rPr>
          <w:rFonts w:eastAsia="Book Antiqua"/>
        </w:rPr>
        <w:t xml:space="preserve"> (the amending Act) commenced on 3 October 2024. Changes in the </w:t>
      </w:r>
      <w:r w:rsidRPr="00595FCB">
        <w:rPr>
          <w:rFonts w:eastAsia="Book Antiqua"/>
        </w:rPr>
        <w:lastRenderedPageBreak/>
        <w:t>amending Act and subsequent amendments to NDIS rules and other legislative instruments will moderate growth in NDIS expenditure by determining NDIS participant plan budgets more consistently based on participant need and supporting participants to spend in accordance with their plans.</w:t>
      </w:r>
    </w:p>
    <w:p w14:paraId="6E0DA7EF" w14:textId="12ED4CAE" w:rsidR="00595FCB" w:rsidRPr="00595FCB" w:rsidRDefault="00595FCB" w:rsidP="00FE72B7">
      <w:pPr>
        <w:rPr>
          <w:rFonts w:eastAsia="Book Antiqua"/>
        </w:rPr>
      </w:pPr>
      <w:r w:rsidRPr="00595FCB">
        <w:rPr>
          <w:rFonts w:eastAsia="Book Antiqua"/>
        </w:rPr>
        <w:t>The 2024</w:t>
      </w:r>
      <w:r w:rsidR="00EE2148">
        <w:rPr>
          <w:rFonts w:eastAsia="Book Antiqua"/>
        </w:rPr>
        <w:t>–</w:t>
      </w:r>
      <w:r w:rsidRPr="00595FCB">
        <w:rPr>
          <w:rFonts w:eastAsia="Book Antiqua"/>
        </w:rPr>
        <w:t>25 MYEFO estimates for the NDIS align with the NDIS Scheme Actuary</w:t>
      </w:r>
      <w:r w:rsidR="00B63FC6">
        <w:rPr>
          <w:rFonts w:eastAsia="Book Antiqua"/>
        </w:rPr>
        <w:t>’</w:t>
      </w:r>
      <w:r w:rsidRPr="00595FCB">
        <w:rPr>
          <w:rFonts w:eastAsia="Book Antiqua"/>
        </w:rPr>
        <w:t>s June</w:t>
      </w:r>
      <w:r w:rsidR="00AD1833">
        <w:rPr>
          <w:rFonts w:eastAsia="Book Antiqua"/>
        </w:rPr>
        <w:t> </w:t>
      </w:r>
      <w:r w:rsidRPr="00595FCB">
        <w:rPr>
          <w:rFonts w:eastAsia="Book Antiqua"/>
        </w:rPr>
        <w:t>2024 projections reported in the Annual Financial Sustainability Report 2023</w:t>
      </w:r>
      <w:r w:rsidR="00EE2148">
        <w:rPr>
          <w:rFonts w:eastAsia="Book Antiqua"/>
        </w:rPr>
        <w:t>–</w:t>
      </w:r>
      <w:r w:rsidRPr="00595FCB">
        <w:rPr>
          <w:rFonts w:eastAsia="Book Antiqua"/>
        </w:rPr>
        <w:t xml:space="preserve">24 </w:t>
      </w:r>
      <w:r w:rsidR="005B3BB9">
        <w:rPr>
          <w:rFonts w:eastAsia="Book Antiqua"/>
        </w:rPr>
        <w:br/>
      </w:r>
      <w:r w:rsidRPr="00595FCB">
        <w:rPr>
          <w:rFonts w:eastAsia="Book Antiqua"/>
        </w:rPr>
        <w:t xml:space="preserve">which have been reviewed by the Australian Government Actuary. </w:t>
      </w:r>
      <w:r w:rsidR="00BE2E2A" w:rsidRPr="00BE2E2A">
        <w:rPr>
          <w:rFonts w:eastAsia="Book Antiqua"/>
        </w:rPr>
        <w:t>The Scheme Actuary</w:t>
      </w:r>
      <w:r w:rsidR="00B63FC6">
        <w:rPr>
          <w:rFonts w:eastAsia="Book Antiqua"/>
        </w:rPr>
        <w:t>’</w:t>
      </w:r>
      <w:r w:rsidR="00BE2E2A" w:rsidRPr="00BE2E2A">
        <w:rPr>
          <w:rFonts w:eastAsia="Book Antiqua"/>
        </w:rPr>
        <w:t>s June</w:t>
      </w:r>
      <w:r w:rsidR="009606DE" w:rsidRPr="005F6D17">
        <w:rPr>
          <w:rFonts w:eastAsia="Book Antiqua"/>
        </w:rPr>
        <w:t> </w:t>
      </w:r>
      <w:r w:rsidR="00BE2E2A" w:rsidRPr="00BE2E2A">
        <w:rPr>
          <w:rFonts w:eastAsia="Book Antiqua"/>
        </w:rPr>
        <w:t>2024 projections align with National Cabinet</w:t>
      </w:r>
      <w:r w:rsidR="00B63FC6">
        <w:rPr>
          <w:rFonts w:eastAsia="Book Antiqua"/>
        </w:rPr>
        <w:t>’</w:t>
      </w:r>
      <w:r w:rsidR="00BE2E2A" w:rsidRPr="00BE2E2A">
        <w:rPr>
          <w:rFonts w:eastAsia="Book Antiqua"/>
        </w:rPr>
        <w:t>s commitment to the NDIS Financial Sustainability Framework.</w:t>
      </w:r>
      <w:r w:rsidR="00BE2E2A">
        <w:rPr>
          <w:rFonts w:eastAsia="Book Antiqua"/>
        </w:rPr>
        <w:t xml:space="preserve"> </w:t>
      </w:r>
    </w:p>
    <w:p w14:paraId="03684F12" w14:textId="77777777" w:rsidR="00804556" w:rsidRDefault="00804556" w:rsidP="005358B1">
      <w:pPr>
        <w:pStyle w:val="Heading3"/>
      </w:pPr>
      <w:bookmarkStart w:id="84" w:name="_Toc184039494"/>
      <w:r>
        <w:t xml:space="preserve">Contingent liability </w:t>
      </w:r>
      <w:r>
        <w:rPr>
          <w:rFonts w:hint="eastAsia"/>
        </w:rPr>
        <w:t>–</w:t>
      </w:r>
      <w:r>
        <w:t xml:space="preserve"> unquantifiable</w:t>
      </w:r>
      <w:bookmarkEnd w:id="84"/>
    </w:p>
    <w:p w14:paraId="53AE1EC9" w14:textId="3338B030" w:rsidR="00804556" w:rsidRDefault="000E058D" w:rsidP="00FE72B7">
      <w:pPr>
        <w:pStyle w:val="Heading4"/>
        <w:rPr>
          <w:rFonts w:eastAsia="Arial"/>
          <w:lang w:val="en-US"/>
        </w:rPr>
      </w:pPr>
      <w:proofErr w:type="spellStart"/>
      <w:r w:rsidRPr="000E058D">
        <w:rPr>
          <w:rFonts w:eastAsia="Arial"/>
          <w:lang w:val="en-US"/>
        </w:rPr>
        <w:t>Prygodicz</w:t>
      </w:r>
      <w:proofErr w:type="spellEnd"/>
      <w:r w:rsidRPr="000E058D">
        <w:rPr>
          <w:rFonts w:eastAsia="Arial"/>
          <w:lang w:val="en-US"/>
        </w:rPr>
        <w:t xml:space="preserve"> v Commonwealth</w:t>
      </w:r>
    </w:p>
    <w:p w14:paraId="3891AD1D" w14:textId="18DD79EE" w:rsidR="00926FD4" w:rsidRPr="00926FD4" w:rsidRDefault="00926FD4" w:rsidP="005358B1">
      <w:pPr>
        <w:rPr>
          <w:rFonts w:eastAsia="Arial"/>
        </w:rPr>
      </w:pPr>
      <w:bookmarkStart w:id="85" w:name="_Hlk181886079"/>
      <w:r w:rsidRPr="00926FD4">
        <w:rPr>
          <w:rFonts w:eastAsia="Arial"/>
        </w:rPr>
        <w:t>In September 2024, Gord</w:t>
      </w:r>
      <w:r w:rsidR="00330D34">
        <w:rPr>
          <w:rFonts w:eastAsia="Arial"/>
        </w:rPr>
        <w:t>o</w:t>
      </w:r>
      <w:r w:rsidRPr="00926FD4">
        <w:rPr>
          <w:rFonts w:eastAsia="Arial"/>
        </w:rPr>
        <w:t xml:space="preserve">n Legal filed an extension application in the Federal Court of Australia to appeal settlement orders granted in the </w:t>
      </w:r>
      <w:proofErr w:type="spellStart"/>
      <w:r w:rsidRPr="00926FD4">
        <w:rPr>
          <w:rFonts w:eastAsia="Arial"/>
        </w:rPr>
        <w:t>Prygodicz</w:t>
      </w:r>
      <w:proofErr w:type="spellEnd"/>
      <w:r w:rsidRPr="00926FD4">
        <w:rPr>
          <w:rFonts w:eastAsia="Arial"/>
        </w:rPr>
        <w:t xml:space="preserve"> v Commonwealth class action on behalf of representative applicants impacted by the Income Compliance Program (the </w:t>
      </w:r>
      <w:proofErr w:type="spellStart"/>
      <w:r w:rsidRPr="00926FD4">
        <w:rPr>
          <w:rFonts w:eastAsia="Arial"/>
        </w:rPr>
        <w:t>Robodebt</w:t>
      </w:r>
      <w:proofErr w:type="spellEnd"/>
      <w:r w:rsidRPr="00926FD4">
        <w:rPr>
          <w:rFonts w:eastAsia="Arial"/>
        </w:rPr>
        <w:t xml:space="preserve"> scheme). Costs associated with the appeal (if any) and any potential related future litigation are not quantifiable until the matter is determined by the Court or otherwise resolved.</w:t>
      </w:r>
    </w:p>
    <w:p w14:paraId="485EF84B" w14:textId="77777777" w:rsidR="00804556" w:rsidRPr="00B832E0" w:rsidRDefault="00804556" w:rsidP="005358B1">
      <w:pPr>
        <w:pStyle w:val="Heading3"/>
      </w:pPr>
      <w:bookmarkStart w:id="86" w:name="_Toc99141895"/>
      <w:bookmarkStart w:id="87" w:name="_Toc184039495"/>
      <w:bookmarkEnd w:id="85"/>
      <w:r w:rsidRPr="00B832E0">
        <w:t>Contingent asset – quantifiable</w:t>
      </w:r>
      <w:bookmarkEnd w:id="86"/>
      <w:bookmarkEnd w:id="87"/>
    </w:p>
    <w:p w14:paraId="7E681E73" w14:textId="77777777" w:rsidR="00804556" w:rsidRPr="00114905" w:rsidRDefault="00804556" w:rsidP="005358B1">
      <w:pPr>
        <w:pStyle w:val="Heading4"/>
        <w:rPr>
          <w:rFonts w:eastAsia="Arial"/>
          <w:lang w:val="en-US"/>
        </w:rPr>
      </w:pPr>
      <w:r w:rsidRPr="00114905">
        <w:rPr>
          <w:rFonts w:eastAsia="Arial"/>
          <w:lang w:val="en-US"/>
        </w:rPr>
        <w:t>National Redress Scheme</w:t>
      </w:r>
    </w:p>
    <w:p w14:paraId="497C5990" w14:textId="74FE8D60" w:rsidR="00BE56C1" w:rsidRPr="00BE56C1" w:rsidRDefault="00BE56C1" w:rsidP="00B5088C">
      <w:r w:rsidRPr="00BE56C1">
        <w:t xml:space="preserve">The </w:t>
      </w:r>
      <w:r w:rsidRPr="00EE2148">
        <w:rPr>
          <w:rStyle w:val="Emphasis"/>
        </w:rPr>
        <w:t>National Redress Scheme for Institutional Child Sexual Abuse Act 2018</w:t>
      </w:r>
      <w:r w:rsidRPr="00BE56C1">
        <w:rPr>
          <w:i/>
        </w:rPr>
        <w:t xml:space="preserve"> </w:t>
      </w:r>
      <w:r w:rsidRPr="00BE56C1">
        <w:t>supports people who experienced institutional child sexual abuse by providing a monetary payment and facilitating access to counselling and psychological services and a direct personal response from the institution determined to be responsible for the abuse. The Department of Social Services (DSS) administers the National Redress Scheme. In this capacity, DSS makes the monetary payment to the survivor and then recovers this amount from the responsible institution.</w:t>
      </w:r>
    </w:p>
    <w:p w14:paraId="4284B7B0" w14:textId="038EDBED" w:rsidR="00BE56C1" w:rsidRPr="00BE56C1" w:rsidRDefault="00BE56C1" w:rsidP="00B5088C">
      <w:r w:rsidRPr="00BE56C1">
        <w:t xml:space="preserve">As </w:t>
      </w:r>
      <w:proofErr w:type="gramStart"/>
      <w:r w:rsidRPr="00BE56C1">
        <w:t>at</w:t>
      </w:r>
      <w:proofErr w:type="gramEnd"/>
      <w:r w:rsidRPr="00BE56C1">
        <w:t xml:space="preserve"> 22 September 2024, DSS has an administered quantifiable contingent asset of $532.2</w:t>
      </w:r>
      <w:r w:rsidR="002E6F0C">
        <w:t> million</w:t>
      </w:r>
      <w:r w:rsidRPr="00BE56C1">
        <w:t xml:space="preserve"> in relation to the probable recovery from responsible institutions of monetary payments that may be made to survivors. The value is based on applications that have been referred to an independent decision maker for assessment and average payment values. </w:t>
      </w:r>
    </w:p>
    <w:p w14:paraId="7887B4A0" w14:textId="4CA6BBB1" w:rsidR="00BE56C1" w:rsidRPr="00BE56C1" w:rsidRDefault="00BE56C1" w:rsidP="00B5088C">
      <w:r w:rsidRPr="00BE56C1">
        <w:t xml:space="preserve">As </w:t>
      </w:r>
      <w:proofErr w:type="gramStart"/>
      <w:r w:rsidRPr="00BE56C1">
        <w:t>at</w:t>
      </w:r>
      <w:proofErr w:type="gramEnd"/>
      <w:r w:rsidRPr="00BE56C1">
        <w:t xml:space="preserve"> 22 September 2024, DSS has an administered quantifiable contingent liability of $334.1</w:t>
      </w:r>
      <w:r w:rsidR="002E6F0C">
        <w:t> million</w:t>
      </w:r>
      <w:r w:rsidRPr="00BE56C1">
        <w:t xml:space="preserve"> in relation to applications made under the National Redress Scheme that have been referred to an independent decision maker for assessment. The amount is based on the number of applications and average payment values. </w:t>
      </w:r>
    </w:p>
    <w:p w14:paraId="5E439959" w14:textId="0F44709E" w:rsidR="00F649A5" w:rsidRDefault="00BE56C1" w:rsidP="005358B1">
      <w:pPr>
        <w:rPr>
          <w:iCs/>
        </w:rPr>
      </w:pPr>
      <w:r w:rsidRPr="00BE56C1">
        <w:rPr>
          <w:iCs/>
        </w:rPr>
        <w:t>The difference between the contingent asset and the contingent liability represents the net risk to the Budget from the National Redress Scheme</w:t>
      </w:r>
      <w:r>
        <w:rPr>
          <w:iCs/>
        </w:rPr>
        <w:t>.</w:t>
      </w:r>
    </w:p>
    <w:p w14:paraId="625EC698" w14:textId="77777777" w:rsidR="00804556" w:rsidRPr="00B832E0" w:rsidRDefault="00804556" w:rsidP="00330D34">
      <w:pPr>
        <w:pStyle w:val="Heading2"/>
      </w:pPr>
      <w:bookmarkStart w:id="88" w:name="_Toc184039496"/>
      <w:r w:rsidRPr="00B832E0">
        <w:lastRenderedPageBreak/>
        <w:t>Treasury</w:t>
      </w:r>
      <w:bookmarkEnd w:id="83"/>
      <w:bookmarkEnd w:id="88"/>
    </w:p>
    <w:p w14:paraId="5A546D94" w14:textId="77777777" w:rsidR="001725D5" w:rsidRDefault="001725D5" w:rsidP="005358B1">
      <w:pPr>
        <w:pStyle w:val="Heading3"/>
      </w:pPr>
      <w:bookmarkStart w:id="89" w:name="_Toc71117878"/>
      <w:bookmarkStart w:id="90" w:name="_Toc184039497"/>
      <w:bookmarkStart w:id="91" w:name="_Toc71117880"/>
      <w:bookmarkStart w:id="92" w:name="_Toc99141897"/>
      <w:bookmarkStart w:id="93" w:name="_Toc99141900"/>
      <w:bookmarkEnd w:id="89"/>
      <w:r>
        <w:t>Fiscal risk</w:t>
      </w:r>
      <w:bookmarkEnd w:id="90"/>
    </w:p>
    <w:p w14:paraId="447A43CD" w14:textId="7AE22E0D" w:rsidR="00B15D8F" w:rsidRDefault="00B15D8F" w:rsidP="005358B1">
      <w:pPr>
        <w:pStyle w:val="Heading4"/>
      </w:pPr>
      <w:r w:rsidRPr="00013C02">
        <w:t>Guarantee for the Asia Development Bank</w:t>
      </w:r>
      <w:r w:rsidR="00B63FC6">
        <w:t>’</w:t>
      </w:r>
      <w:r w:rsidRPr="00013C02">
        <w:t>s Innovative Finance Facility</w:t>
      </w:r>
    </w:p>
    <w:p w14:paraId="5498B825" w14:textId="6FA682AB" w:rsidR="0093602D" w:rsidRPr="00655C8D" w:rsidRDefault="0093602D" w:rsidP="005358B1">
      <w:r w:rsidRPr="00655C8D">
        <w:t xml:space="preserve">The Australian Government </w:t>
      </w:r>
      <w:r w:rsidR="008D7F93" w:rsidRPr="008D7F93">
        <w:t>has</w:t>
      </w:r>
      <w:r w:rsidRPr="00655C8D">
        <w:t xml:space="preserve"> committed to </w:t>
      </w:r>
      <w:proofErr w:type="gramStart"/>
      <w:r w:rsidRPr="00655C8D">
        <w:t>enter into</w:t>
      </w:r>
      <w:proofErr w:type="gramEnd"/>
      <w:r w:rsidRPr="00655C8D">
        <w:t xml:space="preserve"> a 25</w:t>
      </w:r>
      <w:r w:rsidR="00B63FC6">
        <w:noBreakHyphen/>
      </w:r>
      <w:r w:rsidRPr="00655C8D">
        <w:t>year guarantee capped at US$200</w:t>
      </w:r>
      <w:r w:rsidR="002E6F0C">
        <w:t> million</w:t>
      </w:r>
      <w:r w:rsidRPr="00655C8D">
        <w:t xml:space="preserve"> (A$306.2</w:t>
      </w:r>
      <w:r w:rsidR="002E6F0C">
        <w:t> million</w:t>
      </w:r>
      <w:r w:rsidRPr="00655C8D">
        <w:t xml:space="preserve">) with the Asian Development Bank (ADB) to support its Innovative Finance Facility for Climate in Asia and the Pacific (the facility). </w:t>
      </w:r>
      <w:r w:rsidR="008D7F93" w:rsidRPr="008D7F93">
        <w:t>The facility will</w:t>
      </w:r>
      <w:r w:rsidRPr="00655C8D">
        <w:t xml:space="preserve"> support climate mitigation and adaptation finance projects of sovereign nations identified by ADB in the Asia and Pacific region. </w:t>
      </w:r>
    </w:p>
    <w:p w14:paraId="01DD4095" w14:textId="0F208803" w:rsidR="0093602D" w:rsidRDefault="0093602D" w:rsidP="005358B1">
      <w:r w:rsidRPr="00655C8D">
        <w:t xml:space="preserve">The guarantee transfers a portion of risk associated with sovereign nations default from the ADB Facility to the Australian Government. The guarantee will </w:t>
      </w:r>
      <w:r w:rsidRPr="003146BB">
        <w:t>only be called on in the</w:t>
      </w:r>
      <w:r w:rsidRPr="00655C8D">
        <w:t xml:space="preserve"> event of a sovereign nation defaulting on a project under the facility.</w:t>
      </w:r>
    </w:p>
    <w:p w14:paraId="68F59832" w14:textId="0C173EF3" w:rsidR="00804556" w:rsidRPr="00B832E0" w:rsidRDefault="00804556" w:rsidP="005358B1">
      <w:pPr>
        <w:pStyle w:val="Heading3"/>
      </w:pPr>
      <w:bookmarkStart w:id="94" w:name="_Toc184039498"/>
      <w:r w:rsidRPr="00B832E0">
        <w:t>Significant but remote contingencies</w:t>
      </w:r>
      <w:bookmarkEnd w:id="91"/>
      <w:bookmarkEnd w:id="92"/>
      <w:bookmarkEnd w:id="94"/>
    </w:p>
    <w:p w14:paraId="6A4FE799" w14:textId="7AC075BF" w:rsidR="00804556" w:rsidRPr="006F0D8E" w:rsidRDefault="00804556" w:rsidP="005358B1">
      <w:pPr>
        <w:pStyle w:val="Heading4"/>
      </w:pPr>
      <w:r w:rsidRPr="006F0D8E">
        <w:t xml:space="preserve">Guarantees under the </w:t>
      </w:r>
      <w:r w:rsidRPr="00CF18CD">
        <w:rPr>
          <w:rStyle w:val="Emphasis"/>
        </w:rPr>
        <w:t>Commonwealth Bank Sale Act 1995</w:t>
      </w:r>
    </w:p>
    <w:p w14:paraId="3B96305B" w14:textId="6ECED805" w:rsidR="005444BF" w:rsidRPr="00B8314B" w:rsidRDefault="005444BF" w:rsidP="005358B1">
      <w:pPr>
        <w:widowControl w:val="0"/>
        <w:spacing w:line="240" w:lineRule="auto"/>
        <w:rPr>
          <w:rFonts w:eastAsiaTheme="minorEastAsia"/>
          <w:sz w:val="24"/>
          <w:szCs w:val="24"/>
          <w:lang w:val="en-US"/>
        </w:rPr>
      </w:pPr>
      <w:bookmarkStart w:id="95" w:name="_Toc99141898"/>
      <w:r w:rsidRPr="00313D12">
        <w:rPr>
          <w:rFonts w:eastAsiaTheme="minorEastAsia"/>
        </w:rPr>
        <w:t xml:space="preserve">Under the </w:t>
      </w:r>
      <w:r w:rsidRPr="00EE2148">
        <w:rPr>
          <w:rStyle w:val="Emphasis"/>
          <w:rFonts w:eastAsiaTheme="minorEastAsia"/>
        </w:rPr>
        <w:t>Commonwealth Bank Sale Act 1995</w:t>
      </w:r>
      <w:r w:rsidRPr="00313D12">
        <w:rPr>
          <w:rFonts w:eastAsiaTheme="minorEastAsia"/>
        </w:rPr>
        <w:t xml:space="preserve">, the Australian Government guarantees various superannuation and other liabilities of the Commonwealth Bank. As </w:t>
      </w:r>
      <w:proofErr w:type="gramStart"/>
      <w:r w:rsidRPr="00313D12">
        <w:rPr>
          <w:rFonts w:eastAsiaTheme="minorEastAsia"/>
        </w:rPr>
        <w:t>at</w:t>
      </w:r>
      <w:proofErr w:type="gramEnd"/>
      <w:r w:rsidRPr="00313D12">
        <w:rPr>
          <w:rFonts w:eastAsiaTheme="minorEastAsia"/>
        </w:rPr>
        <w:t xml:space="preserve"> 30</w:t>
      </w:r>
      <w:r w:rsidR="00E77262">
        <w:rPr>
          <w:rFonts w:eastAsiaTheme="minorEastAsia"/>
        </w:rPr>
        <w:t> </w:t>
      </w:r>
      <w:r w:rsidRPr="00313D12">
        <w:rPr>
          <w:rFonts w:eastAsiaTheme="minorEastAsia"/>
        </w:rPr>
        <w:t>June</w:t>
      </w:r>
      <w:r w:rsidR="00E77262">
        <w:rPr>
          <w:rFonts w:eastAsiaTheme="minorEastAsia"/>
        </w:rPr>
        <w:t> </w:t>
      </w:r>
      <w:r w:rsidRPr="00313D12">
        <w:rPr>
          <w:rFonts w:eastAsiaTheme="minorEastAsia"/>
        </w:rPr>
        <w:t>2024, the Commonwealth Bank of Australia holds no attributed liabilities and $4.3</w:t>
      </w:r>
      <w:r w:rsidR="002E6F0C">
        <w:rPr>
          <w:rFonts w:eastAsiaTheme="minorEastAsia"/>
        </w:rPr>
        <w:t> billion</w:t>
      </w:r>
      <w:r w:rsidRPr="00313D12">
        <w:rPr>
          <w:rFonts w:eastAsiaTheme="minorEastAsia"/>
        </w:rPr>
        <w:t xml:space="preserve"> is attributable to liabilities of the Commonwealth Bank Officers</w:t>
      </w:r>
      <w:r w:rsidR="00B63FC6">
        <w:rPr>
          <w:rFonts w:eastAsiaTheme="minorEastAsia"/>
        </w:rPr>
        <w:t>’</w:t>
      </w:r>
      <w:r w:rsidRPr="00313D12">
        <w:rPr>
          <w:rFonts w:eastAsiaTheme="minorEastAsia"/>
        </w:rPr>
        <w:t xml:space="preserve"> Superannuation</w:t>
      </w:r>
      <w:r w:rsidRPr="00565A23">
        <w:rPr>
          <w:rFonts w:eastAsiaTheme="minorEastAsia"/>
          <w:lang w:val="en-US"/>
        </w:rPr>
        <w:t>.</w:t>
      </w:r>
    </w:p>
    <w:p w14:paraId="1BA4C915" w14:textId="44722C47" w:rsidR="00804556" w:rsidRDefault="00804556" w:rsidP="005358B1">
      <w:pPr>
        <w:pStyle w:val="Heading4"/>
      </w:pPr>
      <w:r w:rsidRPr="00C531BE">
        <w:t xml:space="preserve">Reserve Bank of Australia </w:t>
      </w:r>
      <w:r w:rsidRPr="00C531BE">
        <w:rPr>
          <w:rFonts w:eastAsia="Calibri"/>
        </w:rPr>
        <w:t>–</w:t>
      </w:r>
      <w:r w:rsidRPr="00C531BE">
        <w:t xml:space="preserve"> Guarantee</w:t>
      </w:r>
    </w:p>
    <w:p w14:paraId="478F48CA" w14:textId="4D9B2A30" w:rsidR="00341788" w:rsidRPr="00341788" w:rsidRDefault="00867BE5" w:rsidP="005358B1">
      <w:pPr>
        <w:widowControl w:val="0"/>
        <w:spacing w:line="240" w:lineRule="auto"/>
        <w:rPr>
          <w:rFonts w:eastAsiaTheme="minorEastAsia"/>
        </w:rPr>
      </w:pPr>
      <w:r w:rsidRPr="00341788">
        <w:rPr>
          <w:rFonts w:eastAsiaTheme="minorEastAsia"/>
        </w:rPr>
        <w:t>The Australian Government guarantees the liabilities of the Reserve Bank of Australia</w:t>
      </w:r>
      <w:r>
        <w:rPr>
          <w:rFonts w:eastAsiaTheme="minorEastAsia"/>
        </w:rPr>
        <w:t xml:space="preserve"> (RBA)</w:t>
      </w:r>
      <w:r w:rsidRPr="00341788">
        <w:rPr>
          <w:rFonts w:eastAsiaTheme="minorEastAsia"/>
        </w:rPr>
        <w:t>, measured as the Bank</w:t>
      </w:r>
      <w:r w:rsidR="00B63FC6">
        <w:rPr>
          <w:rFonts w:eastAsiaTheme="minorEastAsia"/>
        </w:rPr>
        <w:t>’</w:t>
      </w:r>
      <w:r w:rsidRPr="00341788">
        <w:rPr>
          <w:rFonts w:eastAsiaTheme="minorEastAsia"/>
        </w:rPr>
        <w:t>s total liabilities excluding capital, reserves, and Australian</w:t>
      </w:r>
      <w:r w:rsidR="00533453">
        <w:rPr>
          <w:rFonts w:eastAsiaTheme="minorEastAsia"/>
        </w:rPr>
        <w:t> </w:t>
      </w:r>
      <w:r w:rsidRPr="00341788">
        <w:rPr>
          <w:rFonts w:eastAsiaTheme="minorEastAsia"/>
        </w:rPr>
        <w:t xml:space="preserve">Government deposits. The principal component of the </w:t>
      </w:r>
      <w:r w:rsidR="00CD27E4" w:rsidRPr="00CD27E4">
        <w:rPr>
          <w:rFonts w:eastAsiaTheme="minorEastAsia"/>
        </w:rPr>
        <w:t>RBA</w:t>
      </w:r>
      <w:r w:rsidR="00B63FC6">
        <w:rPr>
          <w:rFonts w:eastAsiaTheme="minorEastAsia"/>
        </w:rPr>
        <w:t>’</w:t>
      </w:r>
      <w:r w:rsidR="00CD27E4" w:rsidRPr="00CD27E4">
        <w:rPr>
          <w:rFonts w:eastAsiaTheme="minorEastAsia"/>
        </w:rPr>
        <w:t>s</w:t>
      </w:r>
      <w:r w:rsidRPr="00341788">
        <w:rPr>
          <w:rFonts w:eastAsiaTheme="minorEastAsia"/>
        </w:rPr>
        <w:t xml:space="preserve"> liabilities consists of exchange settlement balances. As </w:t>
      </w:r>
      <w:proofErr w:type="gramStart"/>
      <w:r w:rsidRPr="00341788">
        <w:rPr>
          <w:rFonts w:eastAsiaTheme="minorEastAsia"/>
        </w:rPr>
        <w:t>at</w:t>
      </w:r>
      <w:proofErr w:type="gramEnd"/>
      <w:r w:rsidRPr="00341788">
        <w:rPr>
          <w:rFonts w:eastAsiaTheme="minorEastAsia"/>
        </w:rPr>
        <w:t xml:space="preserve"> 30 September 2024, exchange settlement balances amount to $232.6</w:t>
      </w:r>
      <w:r w:rsidR="002E6F0C">
        <w:rPr>
          <w:rFonts w:eastAsiaTheme="minorEastAsia"/>
        </w:rPr>
        <w:t> billion</w:t>
      </w:r>
      <w:r w:rsidRPr="00341788">
        <w:rPr>
          <w:rFonts w:eastAsiaTheme="minorEastAsia"/>
        </w:rPr>
        <w:t>, and the total guarantee is $346.6</w:t>
      </w:r>
      <w:r w:rsidR="002E6F0C">
        <w:rPr>
          <w:rFonts w:eastAsiaTheme="minorEastAsia"/>
        </w:rPr>
        <w:t> billion</w:t>
      </w:r>
      <w:r w:rsidR="00341788" w:rsidRPr="00341788">
        <w:rPr>
          <w:rFonts w:eastAsiaTheme="minorEastAsia"/>
        </w:rPr>
        <w:t>.</w:t>
      </w:r>
    </w:p>
    <w:p w14:paraId="29B99E2C" w14:textId="77777777" w:rsidR="00804556" w:rsidRPr="00B832E0" w:rsidRDefault="00804556" w:rsidP="005358B1">
      <w:pPr>
        <w:pStyle w:val="Heading3"/>
        <w:rPr>
          <w:rFonts w:eastAsia="Arial"/>
        </w:rPr>
      </w:pPr>
      <w:bookmarkStart w:id="96" w:name="_Toc99141899"/>
      <w:bookmarkStart w:id="97" w:name="_Toc184039499"/>
      <w:bookmarkEnd w:id="95"/>
      <w:r w:rsidRPr="00B832E0">
        <w:rPr>
          <w:rFonts w:eastAsia="Arial"/>
        </w:rPr>
        <w:t>Contingent liabilities – quantifiable</w:t>
      </w:r>
      <w:bookmarkEnd w:id="96"/>
      <w:bookmarkEnd w:id="97"/>
    </w:p>
    <w:p w14:paraId="50F5BEA6" w14:textId="77777777" w:rsidR="00804556" w:rsidRPr="002E7D92" w:rsidRDefault="00804556" w:rsidP="005358B1">
      <w:pPr>
        <w:pStyle w:val="Heading4"/>
      </w:pPr>
      <w:bookmarkStart w:id="98" w:name="_Toc71117889"/>
      <w:r w:rsidRPr="002E7D92">
        <w:t xml:space="preserve">Australian Taxation Office </w:t>
      </w:r>
      <w:r>
        <w:rPr>
          <w:rFonts w:hint="eastAsia"/>
        </w:rPr>
        <w:t>–</w:t>
      </w:r>
      <w:r w:rsidRPr="002E7D92">
        <w:t xml:space="preserve"> tax </w:t>
      </w:r>
      <w:r w:rsidRPr="00BD728C">
        <w:t>disputes</w:t>
      </w:r>
    </w:p>
    <w:p w14:paraId="137E166C" w14:textId="77777777" w:rsidR="00A446E2" w:rsidRPr="00A446E2" w:rsidRDefault="00A446E2" w:rsidP="005358B1">
      <w:pPr>
        <w:rPr>
          <w:rFonts w:eastAsiaTheme="minorEastAsia"/>
        </w:rPr>
      </w:pPr>
      <w:r w:rsidRPr="00A446E2">
        <w:rPr>
          <w:rFonts w:eastAsiaTheme="minorEastAsia"/>
        </w:rPr>
        <w:t xml:space="preserve">At any point in time, the Australian Taxation Office is involved in a range of dispute resolution processes, including litigation, relating to tax disputes. </w:t>
      </w:r>
    </w:p>
    <w:p w14:paraId="672EE188" w14:textId="1B84E207" w:rsidR="00A446E2" w:rsidRPr="00A446E2" w:rsidRDefault="00A446E2" w:rsidP="005358B1">
      <w:pPr>
        <w:rPr>
          <w:rFonts w:eastAsiaTheme="minorEastAsia"/>
        </w:rPr>
      </w:pPr>
      <w:r w:rsidRPr="00A446E2">
        <w:rPr>
          <w:rFonts w:eastAsiaTheme="minorEastAsia"/>
        </w:rPr>
        <w:t xml:space="preserve">Details of the outcome of dispute resolution processes remain uncertain until a court ruling is made and/or an agreement is reached with the taxpayer. Accordingly, in most cases it is not possible to reliably estimate the likely financial impact of current disputes. The estimated aggregate value of tax in dispute as </w:t>
      </w:r>
      <w:proofErr w:type="gramStart"/>
      <w:r w:rsidRPr="00A446E2">
        <w:rPr>
          <w:rFonts w:eastAsiaTheme="minorEastAsia"/>
        </w:rPr>
        <w:t>at</w:t>
      </w:r>
      <w:proofErr w:type="gramEnd"/>
      <w:r w:rsidRPr="00A446E2">
        <w:rPr>
          <w:rFonts w:eastAsiaTheme="minorEastAsia"/>
        </w:rPr>
        <w:t xml:space="preserve"> 30</w:t>
      </w:r>
      <w:r w:rsidR="00EE2148">
        <w:rPr>
          <w:rFonts w:eastAsiaTheme="minorEastAsia"/>
        </w:rPr>
        <w:t> </w:t>
      </w:r>
      <w:r w:rsidRPr="00A446E2">
        <w:rPr>
          <w:rFonts w:eastAsiaTheme="minorEastAsia"/>
        </w:rPr>
        <w:t>June 2024, for which a provision has not been made, is $11.7</w:t>
      </w:r>
      <w:r w:rsidR="002E6F0C">
        <w:rPr>
          <w:rFonts w:eastAsiaTheme="minorEastAsia"/>
        </w:rPr>
        <w:t> billion</w:t>
      </w:r>
      <w:r w:rsidRPr="00A446E2">
        <w:rPr>
          <w:rFonts w:eastAsiaTheme="minorEastAsia"/>
        </w:rPr>
        <w:t xml:space="preserve">. </w:t>
      </w:r>
    </w:p>
    <w:p w14:paraId="6E5706AA" w14:textId="3F83BB32" w:rsidR="00804556" w:rsidRDefault="00A446E2" w:rsidP="005358B1">
      <w:pPr>
        <w:rPr>
          <w:rFonts w:eastAsiaTheme="minorEastAsia"/>
          <w:lang w:val="en-US"/>
        </w:rPr>
      </w:pPr>
      <w:r w:rsidRPr="00A446E2">
        <w:rPr>
          <w:rFonts w:eastAsiaTheme="minorEastAsia"/>
        </w:rPr>
        <w:t>Outcomes of dispute resolution processes are included in the Commissioner of Taxation</w:t>
      </w:r>
      <w:r w:rsidR="00B63FC6">
        <w:rPr>
          <w:rFonts w:eastAsiaTheme="minorEastAsia"/>
        </w:rPr>
        <w:t>’</w:t>
      </w:r>
      <w:r w:rsidRPr="00A446E2">
        <w:rPr>
          <w:rFonts w:eastAsiaTheme="minorEastAsia"/>
        </w:rPr>
        <w:t xml:space="preserve">s Annual Report each year. This may include disputes resolved through objections, </w:t>
      </w:r>
      <w:r w:rsidRPr="00A446E2">
        <w:rPr>
          <w:rFonts w:eastAsiaTheme="minorEastAsia"/>
        </w:rPr>
        <w:lastRenderedPageBreak/>
        <w:t>settlements and court and tribunal decisions. It may also include amounts owed by taxpayers that are subject to dispute but not finalised</w:t>
      </w:r>
      <w:r w:rsidR="00804556" w:rsidRPr="1809C9FA">
        <w:rPr>
          <w:rFonts w:eastAsiaTheme="minorEastAsia"/>
          <w:lang w:val="en-US"/>
        </w:rPr>
        <w:t>.</w:t>
      </w:r>
    </w:p>
    <w:bookmarkEnd w:id="98"/>
    <w:p w14:paraId="1BA79ADA" w14:textId="7CD76B66" w:rsidR="00804556" w:rsidRPr="00DE183C" w:rsidRDefault="00804556" w:rsidP="005358B1">
      <w:pPr>
        <w:pStyle w:val="Heading4"/>
      </w:pPr>
      <w:r w:rsidRPr="00DE183C">
        <w:t xml:space="preserve">International </w:t>
      </w:r>
      <w:r w:rsidRPr="001D7010">
        <w:t>financial</w:t>
      </w:r>
      <w:r w:rsidRPr="00DE183C">
        <w:t xml:space="preserve"> institutions </w:t>
      </w:r>
      <w:r>
        <w:rPr>
          <w:rFonts w:hint="eastAsia"/>
        </w:rPr>
        <w:t>–</w:t>
      </w:r>
      <w:r w:rsidRPr="00DE183C">
        <w:t xml:space="preserve"> uncalled capital subscriptions</w:t>
      </w:r>
    </w:p>
    <w:p w14:paraId="5CDCE6CA" w14:textId="1AE3E434" w:rsidR="00362C9B" w:rsidRPr="00C37643" w:rsidRDefault="00362C9B" w:rsidP="005358B1">
      <w:pPr>
        <w:rPr>
          <w:rFonts w:eastAsiaTheme="minorEastAsia"/>
          <w:lang w:val="en-US"/>
        </w:rPr>
      </w:pPr>
      <w:r w:rsidRPr="00C37643">
        <w:rPr>
          <w:rFonts w:eastAsiaTheme="minorEastAsia"/>
        </w:rPr>
        <w:t xml:space="preserve">The Australian Government has held an uncalled capital subscription in the International Bank for Reconstruction and Development (IBRD) since 1947. </w:t>
      </w:r>
      <w:r>
        <w:rPr>
          <w:rFonts w:eastAsiaTheme="minorEastAsia"/>
        </w:rPr>
        <w:t>A</w:t>
      </w:r>
      <w:r w:rsidRPr="00C37643">
        <w:rPr>
          <w:rFonts w:eastAsiaTheme="minorEastAsia"/>
        </w:rPr>
        <w:t xml:space="preserve">s </w:t>
      </w:r>
      <w:proofErr w:type="gramStart"/>
      <w:r w:rsidRPr="00C37643">
        <w:rPr>
          <w:rFonts w:eastAsiaTheme="minorEastAsia"/>
        </w:rPr>
        <w:t>at</w:t>
      </w:r>
      <w:proofErr w:type="gramEnd"/>
      <w:r w:rsidRPr="00C37643">
        <w:rPr>
          <w:rFonts w:eastAsiaTheme="minorEastAsia"/>
        </w:rPr>
        <w:t xml:space="preserve"> 22 September 2024</w:t>
      </w:r>
      <w:r>
        <w:rPr>
          <w:rFonts w:eastAsiaTheme="minorEastAsia"/>
        </w:rPr>
        <w:t xml:space="preserve">, </w:t>
      </w:r>
      <w:r w:rsidRPr="00C37643">
        <w:rPr>
          <w:rFonts w:eastAsiaTheme="minorEastAsia"/>
        </w:rPr>
        <w:t>Australia</w:t>
      </w:r>
      <w:r w:rsidR="00B63FC6">
        <w:rPr>
          <w:rFonts w:eastAsiaTheme="minorEastAsia"/>
        </w:rPr>
        <w:t>’</w:t>
      </w:r>
      <w:r w:rsidRPr="00C37643">
        <w:rPr>
          <w:rFonts w:eastAsiaTheme="minorEastAsia"/>
        </w:rPr>
        <w:t>s uncalled capital subscription to the IBRD</w:t>
      </w:r>
      <w:r>
        <w:rPr>
          <w:rFonts w:eastAsiaTheme="minorEastAsia"/>
        </w:rPr>
        <w:t xml:space="preserve"> was</w:t>
      </w:r>
      <w:r w:rsidR="001604FD" w:rsidRPr="001604FD">
        <w:rPr>
          <w:rFonts w:eastAsiaTheme="minorEastAsia"/>
        </w:rPr>
        <w:t xml:space="preserve"> </w:t>
      </w:r>
      <w:r w:rsidRPr="00C37643">
        <w:rPr>
          <w:rFonts w:eastAsiaTheme="minorEastAsia"/>
        </w:rPr>
        <w:t>around US$4.4</w:t>
      </w:r>
      <w:r w:rsidR="002E6F0C">
        <w:rPr>
          <w:rFonts w:eastAsiaTheme="minorEastAsia"/>
        </w:rPr>
        <w:t> billion</w:t>
      </w:r>
      <w:r w:rsidRPr="00C37643">
        <w:rPr>
          <w:rFonts w:eastAsiaTheme="minorEastAsia"/>
        </w:rPr>
        <w:t xml:space="preserve"> (approximately A$6.4</w:t>
      </w:r>
      <w:r w:rsidR="002E6F0C">
        <w:rPr>
          <w:rFonts w:eastAsiaTheme="minorEastAsia"/>
        </w:rPr>
        <w:t> billion</w:t>
      </w:r>
      <w:r w:rsidR="001604FD" w:rsidRPr="001604FD">
        <w:rPr>
          <w:rFonts w:eastAsiaTheme="minorEastAsia"/>
        </w:rPr>
        <w:t>)</w:t>
      </w:r>
      <w:r w:rsidRPr="00C37643">
        <w:rPr>
          <w:rFonts w:eastAsiaTheme="minorEastAsia"/>
        </w:rPr>
        <w:t xml:space="preserve">. </w:t>
      </w:r>
    </w:p>
    <w:p w14:paraId="218EC653" w14:textId="744094CB" w:rsidR="00362C9B" w:rsidRPr="00C37643" w:rsidRDefault="00362C9B" w:rsidP="005358B1">
      <w:pPr>
        <w:rPr>
          <w:rFonts w:eastAsiaTheme="minorEastAsia"/>
        </w:rPr>
      </w:pPr>
      <w:r w:rsidRPr="00C37643">
        <w:rPr>
          <w:rFonts w:eastAsiaTheme="minorEastAsia"/>
        </w:rPr>
        <w:t xml:space="preserve">The Australian Government has an uncalled capital subscription in the European Bank for Reconstruction and Development (EBRD) since 1991. </w:t>
      </w:r>
      <w:r>
        <w:rPr>
          <w:rFonts w:eastAsiaTheme="minorEastAsia"/>
        </w:rPr>
        <w:t>A</w:t>
      </w:r>
      <w:r w:rsidRPr="00C37643">
        <w:rPr>
          <w:rFonts w:eastAsiaTheme="minorEastAsia"/>
        </w:rPr>
        <w:t xml:space="preserve">s </w:t>
      </w:r>
      <w:proofErr w:type="gramStart"/>
      <w:r w:rsidRPr="00C37643">
        <w:rPr>
          <w:rFonts w:eastAsiaTheme="minorEastAsia"/>
        </w:rPr>
        <w:t>at</w:t>
      </w:r>
      <w:proofErr w:type="gramEnd"/>
      <w:r w:rsidRPr="00C37643">
        <w:rPr>
          <w:rFonts w:eastAsiaTheme="minorEastAsia"/>
        </w:rPr>
        <w:t xml:space="preserve"> 22 September 2024</w:t>
      </w:r>
      <w:r>
        <w:rPr>
          <w:rFonts w:eastAsiaTheme="minorEastAsia"/>
        </w:rPr>
        <w:t>,</w:t>
      </w:r>
      <w:r w:rsidRPr="00C37643">
        <w:rPr>
          <w:rFonts w:eastAsiaTheme="minorEastAsia"/>
        </w:rPr>
        <w:t xml:space="preserve"> Australia</w:t>
      </w:r>
      <w:r w:rsidR="00B63FC6">
        <w:rPr>
          <w:rFonts w:eastAsiaTheme="minorEastAsia"/>
        </w:rPr>
        <w:t>’</w:t>
      </w:r>
      <w:r w:rsidRPr="00C37643">
        <w:rPr>
          <w:rFonts w:eastAsiaTheme="minorEastAsia"/>
        </w:rPr>
        <w:t xml:space="preserve">s uncalled capital subscription to the EBRD </w:t>
      </w:r>
      <w:r w:rsidR="001604FD" w:rsidRPr="001604FD">
        <w:rPr>
          <w:rFonts w:eastAsiaTheme="minorEastAsia"/>
        </w:rPr>
        <w:t>was</w:t>
      </w:r>
      <w:r w:rsidRPr="00C37643">
        <w:rPr>
          <w:rFonts w:eastAsiaTheme="minorEastAsia"/>
        </w:rPr>
        <w:t xml:space="preserve"> around EUR237.5</w:t>
      </w:r>
      <w:r w:rsidR="002E6F0C">
        <w:rPr>
          <w:rFonts w:eastAsiaTheme="minorEastAsia"/>
        </w:rPr>
        <w:t> million</w:t>
      </w:r>
      <w:r w:rsidRPr="00C37643">
        <w:rPr>
          <w:rFonts w:eastAsiaTheme="minorEastAsia"/>
        </w:rPr>
        <w:t xml:space="preserve"> (approximately A$389.0</w:t>
      </w:r>
      <w:r w:rsidR="002E6F0C">
        <w:rPr>
          <w:rFonts w:eastAsiaTheme="minorEastAsia"/>
        </w:rPr>
        <w:t> million</w:t>
      </w:r>
      <w:r>
        <w:rPr>
          <w:rFonts w:eastAsiaTheme="minorEastAsia"/>
        </w:rPr>
        <w:t>).</w:t>
      </w:r>
      <w:r w:rsidRPr="00C37643">
        <w:rPr>
          <w:rFonts w:eastAsiaTheme="minorEastAsia"/>
        </w:rPr>
        <w:t xml:space="preserve"> </w:t>
      </w:r>
    </w:p>
    <w:p w14:paraId="7D5B2A0D" w14:textId="48B512EC" w:rsidR="00362C9B" w:rsidRPr="00C37643" w:rsidRDefault="00362C9B" w:rsidP="005358B1">
      <w:pPr>
        <w:rPr>
          <w:rFonts w:eastAsiaTheme="minorEastAsia"/>
        </w:rPr>
      </w:pPr>
      <w:r w:rsidRPr="00C37643">
        <w:rPr>
          <w:rFonts w:eastAsiaTheme="minorEastAsia"/>
        </w:rPr>
        <w:t xml:space="preserve">The Australian Government has held an uncalled capital subscription in the Asian Development Bank (ADB) since 1966. </w:t>
      </w:r>
      <w:r>
        <w:rPr>
          <w:rFonts w:eastAsiaTheme="minorEastAsia"/>
        </w:rPr>
        <w:t>A</w:t>
      </w:r>
      <w:r w:rsidRPr="00C37643">
        <w:rPr>
          <w:rFonts w:eastAsiaTheme="minorEastAsia"/>
        </w:rPr>
        <w:t xml:space="preserve">s </w:t>
      </w:r>
      <w:proofErr w:type="gramStart"/>
      <w:r w:rsidRPr="00C37643">
        <w:rPr>
          <w:rFonts w:eastAsiaTheme="minorEastAsia"/>
        </w:rPr>
        <w:t>at</w:t>
      </w:r>
      <w:proofErr w:type="gramEnd"/>
      <w:r w:rsidRPr="00C37643">
        <w:rPr>
          <w:rFonts w:eastAsiaTheme="minorEastAsia"/>
        </w:rPr>
        <w:t xml:space="preserve"> 22 September 2024</w:t>
      </w:r>
      <w:r>
        <w:rPr>
          <w:rFonts w:eastAsiaTheme="minorEastAsia"/>
        </w:rPr>
        <w:t xml:space="preserve">, </w:t>
      </w:r>
      <w:r w:rsidRPr="00C37643">
        <w:rPr>
          <w:rFonts w:eastAsiaTheme="minorEastAsia"/>
        </w:rPr>
        <w:t>Australia</w:t>
      </w:r>
      <w:r w:rsidR="00B63FC6">
        <w:rPr>
          <w:rFonts w:eastAsiaTheme="minorEastAsia"/>
        </w:rPr>
        <w:t>’</w:t>
      </w:r>
      <w:r w:rsidRPr="00C37643">
        <w:rPr>
          <w:rFonts w:eastAsiaTheme="minorEastAsia"/>
        </w:rPr>
        <w:t>s uncalled capital subscription to the ADB</w:t>
      </w:r>
      <w:r>
        <w:rPr>
          <w:rFonts w:eastAsiaTheme="minorEastAsia"/>
        </w:rPr>
        <w:t xml:space="preserve"> was</w:t>
      </w:r>
      <w:r w:rsidR="001604FD" w:rsidRPr="001604FD">
        <w:rPr>
          <w:rFonts w:eastAsiaTheme="minorEastAsia"/>
        </w:rPr>
        <w:t xml:space="preserve"> </w:t>
      </w:r>
      <w:r w:rsidRPr="00C37643">
        <w:rPr>
          <w:rFonts w:eastAsiaTheme="minorEastAsia"/>
        </w:rPr>
        <w:t>around US$7.0</w:t>
      </w:r>
      <w:r w:rsidR="002E6F0C">
        <w:rPr>
          <w:rFonts w:eastAsiaTheme="minorEastAsia"/>
        </w:rPr>
        <w:t> billion</w:t>
      </w:r>
      <w:r w:rsidRPr="00C37643">
        <w:rPr>
          <w:rFonts w:eastAsiaTheme="minorEastAsia"/>
        </w:rPr>
        <w:t xml:space="preserve"> (approximately A$10.3</w:t>
      </w:r>
      <w:r w:rsidR="002E6F0C">
        <w:rPr>
          <w:rFonts w:eastAsiaTheme="minorEastAsia"/>
        </w:rPr>
        <w:t> billion</w:t>
      </w:r>
      <w:r w:rsidR="001604FD" w:rsidRPr="001604FD">
        <w:rPr>
          <w:rFonts w:eastAsiaTheme="minorEastAsia"/>
        </w:rPr>
        <w:t>)</w:t>
      </w:r>
      <w:r w:rsidRPr="00C37643">
        <w:rPr>
          <w:rFonts w:eastAsiaTheme="minorEastAsia"/>
        </w:rPr>
        <w:t xml:space="preserve">. </w:t>
      </w:r>
    </w:p>
    <w:p w14:paraId="2D693500" w14:textId="225077B7" w:rsidR="00362C9B" w:rsidRPr="00C37643" w:rsidRDefault="00362C9B" w:rsidP="005358B1">
      <w:pPr>
        <w:rPr>
          <w:rFonts w:eastAsiaTheme="minorEastAsia"/>
        </w:rPr>
      </w:pPr>
      <w:r w:rsidRPr="00C37643">
        <w:rPr>
          <w:rFonts w:eastAsiaTheme="minorEastAsia"/>
        </w:rPr>
        <w:t>The Australian Government has an uncalled capital subscription in the Multilateral Investment Guarantee Agency of around US$26.5</w:t>
      </w:r>
      <w:r w:rsidR="002E6F0C">
        <w:rPr>
          <w:rFonts w:eastAsiaTheme="minorEastAsia"/>
        </w:rPr>
        <w:t> million</w:t>
      </w:r>
      <w:r w:rsidRPr="00C37643">
        <w:rPr>
          <w:rFonts w:eastAsiaTheme="minorEastAsia"/>
        </w:rPr>
        <w:t xml:space="preserve"> (approximately A$38.8</w:t>
      </w:r>
      <w:r w:rsidR="002E6F0C">
        <w:rPr>
          <w:rFonts w:eastAsiaTheme="minorEastAsia"/>
        </w:rPr>
        <w:t> million</w:t>
      </w:r>
      <w:r>
        <w:rPr>
          <w:rFonts w:eastAsiaTheme="minorEastAsia"/>
        </w:rPr>
        <w:t>),</w:t>
      </w:r>
      <w:r w:rsidRPr="00C37643">
        <w:rPr>
          <w:rFonts w:eastAsiaTheme="minorEastAsia"/>
        </w:rPr>
        <w:t xml:space="preserve"> as </w:t>
      </w:r>
      <w:proofErr w:type="gramStart"/>
      <w:r w:rsidRPr="00C37643">
        <w:rPr>
          <w:rFonts w:eastAsiaTheme="minorEastAsia"/>
        </w:rPr>
        <w:t>at</w:t>
      </w:r>
      <w:proofErr w:type="gramEnd"/>
      <w:r w:rsidRPr="00C37643">
        <w:rPr>
          <w:rFonts w:eastAsiaTheme="minorEastAsia"/>
        </w:rPr>
        <w:t xml:space="preserve"> 22 September 2024. </w:t>
      </w:r>
    </w:p>
    <w:p w14:paraId="1A4FB0D1" w14:textId="56E6EED5" w:rsidR="001604FD" w:rsidRPr="001604FD" w:rsidRDefault="001604FD" w:rsidP="005358B1">
      <w:pPr>
        <w:rPr>
          <w:rFonts w:eastAsiaTheme="minorEastAsia"/>
          <w:lang w:val="en-US"/>
        </w:rPr>
      </w:pPr>
      <w:r w:rsidRPr="001604FD">
        <w:rPr>
          <w:rFonts w:eastAsiaTheme="minorEastAsia"/>
        </w:rPr>
        <w:t xml:space="preserve">The Australian Government has subscribed to shares in the Asian Infrastructure Investment Bank (AIIB), which includes an uncalled capital subscription. As </w:t>
      </w:r>
      <w:proofErr w:type="gramStart"/>
      <w:r w:rsidRPr="001604FD">
        <w:rPr>
          <w:rFonts w:eastAsiaTheme="minorEastAsia"/>
        </w:rPr>
        <w:t>at</w:t>
      </w:r>
      <w:proofErr w:type="gramEnd"/>
      <w:r w:rsidRPr="001604FD">
        <w:rPr>
          <w:rFonts w:eastAsiaTheme="minorEastAsia"/>
        </w:rPr>
        <w:t xml:space="preserve"> 22</w:t>
      </w:r>
      <w:r w:rsidR="002E6F0C">
        <w:rPr>
          <w:rFonts w:eastAsiaTheme="minorEastAsia"/>
        </w:rPr>
        <w:t> </w:t>
      </w:r>
      <w:r w:rsidRPr="001604FD">
        <w:rPr>
          <w:rFonts w:eastAsiaTheme="minorEastAsia"/>
        </w:rPr>
        <w:t>September 2024, Australia</w:t>
      </w:r>
      <w:r w:rsidR="00B63FC6">
        <w:rPr>
          <w:rFonts w:eastAsiaTheme="minorEastAsia"/>
        </w:rPr>
        <w:t>’</w:t>
      </w:r>
      <w:r w:rsidRPr="001604FD">
        <w:rPr>
          <w:rFonts w:eastAsiaTheme="minorEastAsia"/>
        </w:rPr>
        <w:t>s uncalled capital subscription to the AIIB was around US$3.0</w:t>
      </w:r>
      <w:r w:rsidR="002E6F0C">
        <w:rPr>
          <w:rFonts w:eastAsiaTheme="minorEastAsia"/>
        </w:rPr>
        <w:t> billion</w:t>
      </w:r>
      <w:r w:rsidRPr="001604FD">
        <w:rPr>
          <w:rFonts w:eastAsiaTheme="minorEastAsia"/>
        </w:rPr>
        <w:t xml:space="preserve"> (approximately A$4.3</w:t>
      </w:r>
      <w:r w:rsidR="002E6F0C">
        <w:rPr>
          <w:rFonts w:eastAsiaTheme="minorEastAsia"/>
        </w:rPr>
        <w:t> billion</w:t>
      </w:r>
      <w:r w:rsidRPr="001604FD">
        <w:rPr>
          <w:rFonts w:eastAsiaTheme="minorEastAsia"/>
        </w:rPr>
        <w:t>)</w:t>
      </w:r>
      <w:r w:rsidRPr="001604FD">
        <w:rPr>
          <w:rFonts w:eastAsiaTheme="minorEastAsia"/>
          <w:lang w:val="en-US"/>
        </w:rPr>
        <w:t>.</w:t>
      </w:r>
    </w:p>
    <w:p w14:paraId="6CCEA90A" w14:textId="3F24F8E5" w:rsidR="00804556" w:rsidRPr="00F83B5C" w:rsidRDefault="00804556" w:rsidP="005358B1">
      <w:pPr>
        <w:pStyle w:val="Heading4"/>
        <w:rPr>
          <w:rFonts w:ascii="Arial" w:eastAsia="Arial" w:hAnsi="Arial" w:cs="Arial"/>
          <w:bCs/>
          <w:lang w:val="en-US"/>
        </w:rPr>
      </w:pPr>
      <w:r w:rsidRPr="00F83B5C">
        <w:rPr>
          <w:rFonts w:eastAsia="Arial"/>
        </w:rPr>
        <w:t>International Monetary Fund – 16</w:t>
      </w:r>
      <w:proofErr w:type="spellStart"/>
      <w:r w:rsidRPr="00F83B5C">
        <w:rPr>
          <w:rFonts w:ascii="Arial" w:eastAsia="Arial" w:hAnsi="Arial" w:cs="Arial"/>
          <w:bCs/>
          <w:vertAlign w:val="superscript"/>
          <w:lang w:val="en-US"/>
        </w:rPr>
        <w:t>th</w:t>
      </w:r>
      <w:proofErr w:type="spellEnd"/>
      <w:r w:rsidRPr="00F83B5C">
        <w:rPr>
          <w:rFonts w:ascii="Arial" w:eastAsia="Arial" w:hAnsi="Arial" w:cs="Arial"/>
          <w:bCs/>
          <w:lang w:val="en-US"/>
        </w:rPr>
        <w:t xml:space="preserve"> General Review of Quota</w:t>
      </w:r>
    </w:p>
    <w:p w14:paraId="20A08A69" w14:textId="7366C0DA" w:rsidR="005E65DC" w:rsidRPr="005E65DC" w:rsidRDefault="007E2008" w:rsidP="005358B1">
      <w:r w:rsidRPr="00EA4CC2">
        <w:t>The Australian Government has agreed to approve a 50</w:t>
      </w:r>
      <w:r w:rsidR="002E6F0C">
        <w:t> per cent</w:t>
      </w:r>
      <w:r w:rsidRPr="00EA4CC2">
        <w:t xml:space="preserve"> increase to</w:t>
      </w:r>
      <w:r>
        <w:t xml:space="preserve"> </w:t>
      </w:r>
      <w:r w:rsidRPr="00EA4D27">
        <w:t xml:space="preserve">its </w:t>
      </w:r>
      <w:r w:rsidRPr="00EA4CC2">
        <w:t>International Monetary Fund (IMF) quota.</w:t>
      </w:r>
      <w:r w:rsidRPr="000109F0">
        <w:t xml:space="preserve"> </w:t>
      </w:r>
      <w:r w:rsidRPr="00D87E6A" w:rsidDel="00017452">
        <w:t>Under the agreement, Australia</w:t>
      </w:r>
      <w:r w:rsidR="00B63FC6">
        <w:t>’</w:t>
      </w:r>
      <w:r w:rsidRPr="00D87E6A" w:rsidDel="00017452">
        <w:t xml:space="preserve">s quota will increase from </w:t>
      </w:r>
      <w:r>
        <w:t>Special</w:t>
      </w:r>
      <w:r w:rsidDel="00017452">
        <w:t xml:space="preserve"> </w:t>
      </w:r>
      <w:r w:rsidRPr="00B97C7D" w:rsidDel="00017452">
        <w:t>D</w:t>
      </w:r>
      <w:r w:rsidDel="00017452">
        <w:t xml:space="preserve">rawing </w:t>
      </w:r>
      <w:r w:rsidRPr="00B97C7D" w:rsidDel="00017452">
        <w:t>R</w:t>
      </w:r>
      <w:r w:rsidDel="00017452">
        <w:t>ights (SDR)</w:t>
      </w:r>
      <w:r w:rsidRPr="00EA4CC2">
        <w:t xml:space="preserve"> </w:t>
      </w:r>
      <w:r w:rsidRPr="00B97C7D" w:rsidDel="00017452">
        <w:t>6.6</w:t>
      </w:r>
      <w:r w:rsidR="002E6F0C">
        <w:t> billion</w:t>
      </w:r>
      <w:r w:rsidRPr="00B97C7D" w:rsidDel="00017452">
        <w:t xml:space="preserve"> (approximately A$13.</w:t>
      </w:r>
      <w:r w:rsidRPr="00EA4D27">
        <w:t>1</w:t>
      </w:r>
      <w:r w:rsidR="002E6F0C">
        <w:t> billion</w:t>
      </w:r>
      <w:r>
        <w:t>)</w:t>
      </w:r>
      <w:r w:rsidRPr="00B97C7D" w:rsidDel="00017452">
        <w:t xml:space="preserve"> to SDR</w:t>
      </w:r>
      <w:r w:rsidRPr="00EA4D27">
        <w:t> </w:t>
      </w:r>
      <w:r w:rsidRPr="00B97C7D" w:rsidDel="00017452">
        <w:t>9.9</w:t>
      </w:r>
      <w:r w:rsidR="002E6F0C">
        <w:t> billion</w:t>
      </w:r>
      <w:r w:rsidRPr="00B97C7D" w:rsidDel="00017452">
        <w:t xml:space="preserve"> (approximately A$19.</w:t>
      </w:r>
      <w:r w:rsidRPr="00EA4D27">
        <w:t>6</w:t>
      </w:r>
      <w:r w:rsidR="002E6F0C">
        <w:t> billion</w:t>
      </w:r>
      <w:r>
        <w:t xml:space="preserve">), as </w:t>
      </w:r>
      <w:proofErr w:type="gramStart"/>
      <w:r>
        <w:t>at</w:t>
      </w:r>
      <w:proofErr w:type="gramEnd"/>
      <w:r>
        <w:t xml:space="preserve"> </w:t>
      </w:r>
      <w:r w:rsidRPr="00EA4D27">
        <w:t>22</w:t>
      </w:r>
      <w:r w:rsidR="00422CA3">
        <w:t> </w:t>
      </w:r>
      <w:r w:rsidRPr="00EA4D27">
        <w:t>September 2024</w:t>
      </w:r>
      <w:r w:rsidRPr="00D87E6A" w:rsidDel="00017452">
        <w:t xml:space="preserve">. </w:t>
      </w:r>
      <w:r w:rsidRPr="00D87E6A">
        <w:t>This increase maintains Australia</w:t>
      </w:r>
      <w:r w:rsidR="00B63FC6">
        <w:t>’</w:t>
      </w:r>
      <w:r w:rsidRPr="00D87E6A">
        <w:t>s voting power at the IMF and</w:t>
      </w:r>
      <w:r w:rsidRPr="00EA4D27">
        <w:t xml:space="preserve"> </w:t>
      </w:r>
      <w:r w:rsidRPr="00D87E6A">
        <w:t xml:space="preserve">share of any future SDR </w:t>
      </w:r>
      <w:proofErr w:type="gramStart"/>
      <w:r w:rsidRPr="00D87E6A">
        <w:t>allocation</w:t>
      </w:r>
      <w:r w:rsidRPr="00EA4D27">
        <w:t>,</w:t>
      </w:r>
      <w:r w:rsidRPr="00D87E6A">
        <w:t xml:space="preserve"> and</w:t>
      </w:r>
      <w:proofErr w:type="gramEnd"/>
      <w:r w:rsidRPr="00D87E6A">
        <w:t xml:space="preserve"> increases access to fund financing</w:t>
      </w:r>
      <w:r w:rsidRPr="00B97C7D">
        <w:t xml:space="preserve">. </w:t>
      </w:r>
    </w:p>
    <w:p w14:paraId="3FCAA4E2" w14:textId="79093F3B" w:rsidR="007E2008" w:rsidRPr="00B97C7D" w:rsidRDefault="005E65DC" w:rsidP="005358B1">
      <w:r w:rsidRPr="005E65DC">
        <w:t>The timing of the contribution is uncertain; it will come into effect no earlier than 15</w:t>
      </w:r>
      <w:r w:rsidRPr="005E65DC">
        <w:rPr>
          <w:rFonts w:hint="eastAsia"/>
        </w:rPr>
        <w:t> November</w:t>
      </w:r>
      <w:r w:rsidRPr="005E65DC">
        <w:t xml:space="preserve"> 2024 and is subject to conditions including consent by members representing 85</w:t>
      </w:r>
      <w:r w:rsidR="002E6F0C">
        <w:t> per cent</w:t>
      </w:r>
      <w:r w:rsidRPr="005E65DC">
        <w:t xml:space="preserve"> of the existing quota. </w:t>
      </w:r>
      <w:r w:rsidRPr="005E65DC" w:rsidDel="00072574">
        <w:t>25</w:t>
      </w:r>
      <w:r w:rsidR="002E6F0C">
        <w:t> per cent</w:t>
      </w:r>
      <w:r w:rsidRPr="005E65DC">
        <w:t xml:space="preserve"> of the increase, SDR 821.6</w:t>
      </w:r>
      <w:r w:rsidR="002E6F0C">
        <w:t> million</w:t>
      </w:r>
      <w:r w:rsidRPr="005E65DC">
        <w:t xml:space="preserve"> (approximately A$1.6</w:t>
      </w:r>
      <w:r w:rsidR="002E6F0C">
        <w:t> billion</w:t>
      </w:r>
      <w:r w:rsidRPr="005E65DC">
        <w:t xml:space="preserve">) as </w:t>
      </w:r>
      <w:proofErr w:type="gramStart"/>
      <w:r w:rsidRPr="005E65DC">
        <w:t>at</w:t>
      </w:r>
      <w:proofErr w:type="gramEnd"/>
      <w:r w:rsidRPr="005E65DC">
        <w:t xml:space="preserve"> 22 September 2024, will be made in foreign currency (in consultation with the IMF) and the remainder will be covered by Australian dollar denominated promissory notes. If the IMF quota increase is implemented it will be largely offset by reductions in Australia</w:t>
      </w:r>
      <w:r w:rsidR="00B63FC6">
        <w:t>’</w:t>
      </w:r>
      <w:r w:rsidRPr="005E65DC">
        <w:t>s other IMF commitments</w:t>
      </w:r>
      <w:r>
        <w:t>.</w:t>
      </w:r>
    </w:p>
    <w:p w14:paraId="2D86A099" w14:textId="28D7612D" w:rsidR="00804556" w:rsidRPr="00DE183C" w:rsidRDefault="00804556" w:rsidP="005358B1">
      <w:pPr>
        <w:pStyle w:val="Heading4"/>
      </w:pPr>
      <w:r w:rsidRPr="00DE183C">
        <w:lastRenderedPageBreak/>
        <w:t xml:space="preserve">International Monetary Fund </w:t>
      </w:r>
      <w:r>
        <w:rPr>
          <w:rFonts w:hint="eastAsia"/>
        </w:rPr>
        <w:t>–</w:t>
      </w:r>
      <w:r w:rsidRPr="00DE183C">
        <w:t xml:space="preserve"> New Arrangements to Borrow &amp; Bilateral </w:t>
      </w:r>
      <w:r w:rsidRPr="001D7010">
        <w:t>Borrowing</w:t>
      </w:r>
      <w:r w:rsidRPr="00DE183C">
        <w:t xml:space="preserve"> Agreement</w:t>
      </w:r>
    </w:p>
    <w:p w14:paraId="549CF8D3" w14:textId="77777777" w:rsidR="002774FA" w:rsidRDefault="002774FA" w:rsidP="002774FA">
      <w:r w:rsidRPr="00DB4BE3">
        <w:t xml:space="preserve">Australia has made a line of credit available to the International Monetary Fund (IMF) under its New Arrangements to Borrow since 1998. </w:t>
      </w:r>
      <w:r w:rsidRPr="00F709B2">
        <w:t xml:space="preserve">This is a contingent loan to help ensure that the IMF has the resources available to maintain stability in the global economy. </w:t>
      </w:r>
    </w:p>
    <w:p w14:paraId="250288DA" w14:textId="6901285C" w:rsidR="002774FA" w:rsidRPr="00F709B2" w:rsidRDefault="002774FA" w:rsidP="002774FA">
      <w:r w:rsidRPr="00F709B2">
        <w:t xml:space="preserve">On 26 January 2020, the IMF Executive Board approved amendments to the </w:t>
      </w:r>
      <w:r w:rsidRPr="00DB4BE3">
        <w:t xml:space="preserve">New Arrangements to Borrow </w:t>
      </w:r>
      <w:r w:rsidRPr="00F709B2">
        <w:t>decision, including increasing the credit arrangements of all participants and extending the arrangement from 1 January 2021 to 31 December 2025. On 8</w:t>
      </w:r>
      <w:r w:rsidR="003146BB" w:rsidRPr="005F6D17">
        <w:rPr>
          <w:rFonts w:eastAsia="Book Antiqua"/>
        </w:rPr>
        <w:t> </w:t>
      </w:r>
      <w:r w:rsidRPr="00F709B2">
        <w:t>October 2020, the Australian Government advised the IMF that Australia consented to th</w:t>
      </w:r>
      <w:r>
        <w:t>is</w:t>
      </w:r>
      <w:r w:rsidR="006A6037">
        <w:t xml:space="preserve"> </w:t>
      </w:r>
      <w:r w:rsidRPr="00F709B2">
        <w:t xml:space="preserve">decision. On 19 July 2024, a renewal of the </w:t>
      </w:r>
      <w:r w:rsidRPr="00DB4BE3">
        <w:t xml:space="preserve">New Arrangements to Borrow </w:t>
      </w:r>
      <w:r w:rsidRPr="00F709B2">
        <w:t>was adopted by a decision of the IMF</w:t>
      </w:r>
      <w:r w:rsidR="00B63FC6">
        <w:t>’</w:t>
      </w:r>
      <w:r w:rsidRPr="00F709B2">
        <w:t xml:space="preserve">s Executive Board. The Government is undertaking the relevant process under the </w:t>
      </w:r>
      <w:r w:rsidRPr="00DF002A">
        <w:rPr>
          <w:rStyle w:val="Emphasis"/>
        </w:rPr>
        <w:t>International Monetary Agreements Act 1947</w:t>
      </w:r>
      <w:r w:rsidRPr="00F709B2">
        <w:t xml:space="preserve"> to enable Australia to carry out its obligations. As </w:t>
      </w:r>
      <w:proofErr w:type="gramStart"/>
      <w:r w:rsidRPr="00F709B2">
        <w:t>at</w:t>
      </w:r>
      <w:proofErr w:type="gramEnd"/>
      <w:r w:rsidRPr="00F709B2">
        <w:t xml:space="preserve"> 22 September 2024, the value of Australia</w:t>
      </w:r>
      <w:r w:rsidR="00B63FC6">
        <w:t>’</w:t>
      </w:r>
      <w:r w:rsidRPr="00F709B2">
        <w:t xml:space="preserve">s </w:t>
      </w:r>
      <w:r w:rsidRPr="00DB4BE3">
        <w:t xml:space="preserve">New Arrangements to Borrow </w:t>
      </w:r>
      <w:r w:rsidRPr="00F709B2">
        <w:t>credit arrangement is around Special Drawing Rights (SDR) 4.4 billion (approximately A$8.8 billion</w:t>
      </w:r>
      <w:r w:rsidR="00106955">
        <w:t>)</w:t>
      </w:r>
      <w:r w:rsidRPr="00F709B2">
        <w:t>. If the IMF quota increase is implemented, the value of Australia</w:t>
      </w:r>
      <w:r w:rsidR="00B63FC6">
        <w:t>’</w:t>
      </w:r>
      <w:r w:rsidRPr="00F709B2">
        <w:t xml:space="preserve">s contribution will decrease by SDR 0.7 billion to SDR 3.7 billion (approximately A$7.3 billion as </w:t>
      </w:r>
      <w:proofErr w:type="gramStart"/>
      <w:r w:rsidRPr="00F709B2">
        <w:t>at</w:t>
      </w:r>
      <w:proofErr w:type="gramEnd"/>
      <w:r w:rsidRPr="00F709B2">
        <w:t xml:space="preserve"> 22 September 2024). </w:t>
      </w:r>
    </w:p>
    <w:p w14:paraId="6D389F25" w14:textId="72CC796F" w:rsidR="002057E2" w:rsidRPr="00F709B2" w:rsidRDefault="002057E2" w:rsidP="002057E2">
      <w:r w:rsidRPr="00F709B2">
        <w:t xml:space="preserve">Australia has also made available approximately SDR 2.0 billion (approximately A$3.9 billion as </w:t>
      </w:r>
      <w:proofErr w:type="gramStart"/>
      <w:r w:rsidRPr="00F709B2">
        <w:t>at</w:t>
      </w:r>
      <w:proofErr w:type="gramEnd"/>
      <w:r w:rsidRPr="00F709B2">
        <w:t xml:space="preserve"> 22 September 2024) through a contingent bilateral loan to the IMF, known as a Bilateral Borrowing Agreement</w:t>
      </w:r>
      <w:r>
        <w:t xml:space="preserve"> (the Agreement)</w:t>
      </w:r>
      <w:r w:rsidRPr="00F709B2">
        <w:t>. This contingent bilateral loan is on terms consistent with other bilateral loans and note purchase agreements between the IMF and other contributing countries. The contingent bilateral loan will be drawn upon by the IMF only if needed to supplement the IMF</w:t>
      </w:r>
      <w:r w:rsidR="00B63FC6">
        <w:t>’</w:t>
      </w:r>
      <w:r w:rsidRPr="00F709B2">
        <w:t>s quota and New Arrangements to Borrow resources, and any drawings on loans would be repaid in full, with interest. On 26</w:t>
      </w:r>
      <w:r w:rsidR="003146BB" w:rsidRPr="005F6D17">
        <w:rPr>
          <w:rFonts w:eastAsia="Book Antiqua"/>
        </w:rPr>
        <w:t> </w:t>
      </w:r>
      <w:r w:rsidRPr="00F709B2">
        <w:t>July</w:t>
      </w:r>
      <w:r w:rsidR="003146BB" w:rsidRPr="005F6D17">
        <w:rPr>
          <w:rFonts w:eastAsia="Book Antiqua"/>
        </w:rPr>
        <w:t> </w:t>
      </w:r>
      <w:r w:rsidRPr="00F709B2">
        <w:t xml:space="preserve">2023, Australia agreed to extend the </w:t>
      </w:r>
      <w:r>
        <w:t xml:space="preserve">Agreement </w:t>
      </w:r>
      <w:r w:rsidRPr="00F709B2">
        <w:t>by one year through to 31</w:t>
      </w:r>
      <w:r w:rsidR="003146BB" w:rsidRPr="005F6D17">
        <w:rPr>
          <w:rFonts w:eastAsia="Book Antiqua"/>
        </w:rPr>
        <w:t> </w:t>
      </w:r>
      <w:r w:rsidRPr="00F709B2">
        <w:t xml:space="preserve">December 2024. On 20 November 2024, the Australian Government finalised a further extension of the </w:t>
      </w:r>
      <w:r>
        <w:t xml:space="preserve">Agreement </w:t>
      </w:r>
      <w:r w:rsidRPr="00F709B2">
        <w:t>through to 31</w:t>
      </w:r>
      <w:r>
        <w:t> </w:t>
      </w:r>
      <w:r w:rsidRPr="00F709B2">
        <w:t>December 2027. If the IMF quota increase is implemented before 31</w:t>
      </w:r>
      <w:r>
        <w:t> </w:t>
      </w:r>
      <w:r w:rsidRPr="00F709B2">
        <w:t>December 2027, Australia</w:t>
      </w:r>
      <w:r w:rsidR="00B63FC6">
        <w:t>’</w:t>
      </w:r>
      <w:r w:rsidRPr="00F709B2">
        <w:t xml:space="preserve">s </w:t>
      </w:r>
      <w:r w:rsidR="00356DDF">
        <w:t>Agreement</w:t>
      </w:r>
      <w:r w:rsidRPr="00F709B2">
        <w:t xml:space="preserve"> will be allowed to expire.</w:t>
      </w:r>
    </w:p>
    <w:p w14:paraId="23F582A7" w14:textId="40EA3360" w:rsidR="005B5840" w:rsidRPr="00F709B2" w:rsidRDefault="005B5840" w:rsidP="005B5840">
      <w:pPr>
        <w:pStyle w:val="Heading4"/>
      </w:pPr>
      <w:r w:rsidRPr="00DE183C">
        <w:t xml:space="preserve">International Monetary </w:t>
      </w:r>
      <w:r w:rsidRPr="00E1106B">
        <w:t>Fund</w:t>
      </w:r>
      <w:r w:rsidRPr="00DE183C">
        <w:t xml:space="preserve"> </w:t>
      </w:r>
      <w:r>
        <w:rPr>
          <w:rFonts w:hint="eastAsia"/>
        </w:rPr>
        <w:t>–</w:t>
      </w:r>
      <w:r w:rsidRPr="00DE183C">
        <w:t xml:space="preserve"> Poverty Reduction and Growth Trust</w:t>
      </w:r>
    </w:p>
    <w:p w14:paraId="09F1B6A1" w14:textId="481EE4C4" w:rsidR="004E3B81" w:rsidRPr="00617D24" w:rsidRDefault="004E3B81" w:rsidP="005358B1">
      <w:pPr>
        <w:widowControl w:val="0"/>
        <w:spacing w:line="240" w:lineRule="auto"/>
        <w:rPr>
          <w:rFonts w:eastAsiaTheme="minorEastAsia"/>
        </w:rPr>
      </w:pPr>
      <w:r w:rsidRPr="00617D24">
        <w:rPr>
          <w:rFonts w:eastAsiaTheme="minorEastAsia"/>
        </w:rPr>
        <w:t>The Australian Government has entered into agreements to make a line of credit available to the International Monetary Fund (IMF) under the Poverty Reduction and Growth Trust through to 31 December</w:t>
      </w:r>
      <w:r w:rsidR="00EC1E6A">
        <w:rPr>
          <w:rFonts w:eastAsiaTheme="minorEastAsia"/>
        </w:rPr>
        <w:t> </w:t>
      </w:r>
      <w:r w:rsidRPr="00617D24">
        <w:rPr>
          <w:rFonts w:eastAsiaTheme="minorEastAsia"/>
        </w:rPr>
        <w:t>2029. The Poverty Reduction and Growth Trust provides concessional financial support to low</w:t>
      </w:r>
      <w:r w:rsidR="00B63FC6">
        <w:rPr>
          <w:rFonts w:eastAsiaTheme="minorEastAsia"/>
        </w:rPr>
        <w:noBreakHyphen/>
      </w:r>
      <w:r w:rsidRPr="00617D24">
        <w:rPr>
          <w:rFonts w:eastAsiaTheme="minorEastAsia"/>
        </w:rPr>
        <w:t xml:space="preserve">income countries to help them achieve, maintain, or restore a stable and sustainable macroeconomic position. Poverty Reduction and Growth Trust funds are drawn upon by the IMF as needed and will be repaid in full, with interest. </w:t>
      </w:r>
    </w:p>
    <w:p w14:paraId="1AA2F62E" w14:textId="449937D9" w:rsidR="00804556" w:rsidRPr="00326BDE" w:rsidRDefault="004E3B81" w:rsidP="005358B1">
      <w:pPr>
        <w:widowControl w:val="0"/>
        <w:spacing w:line="240" w:lineRule="auto"/>
        <w:rPr>
          <w:rFonts w:eastAsiaTheme="minorEastAsia"/>
          <w:lang w:val="en-US"/>
        </w:rPr>
      </w:pPr>
      <w:r w:rsidRPr="00617D24">
        <w:rPr>
          <w:rFonts w:eastAsiaTheme="minorEastAsia"/>
        </w:rPr>
        <w:t>Through these agreements, the Government has made available Special Drawing Rights (SDR) 1</w:t>
      </w:r>
      <w:r w:rsidR="002E6F0C">
        <w:rPr>
          <w:rFonts w:eastAsiaTheme="minorEastAsia"/>
        </w:rPr>
        <w:t> billion</w:t>
      </w:r>
      <w:r w:rsidRPr="00617D24">
        <w:rPr>
          <w:rFonts w:eastAsiaTheme="minorEastAsia"/>
        </w:rPr>
        <w:t xml:space="preserve"> (approximately A$2.0</w:t>
      </w:r>
      <w:r w:rsidR="002E6F0C">
        <w:rPr>
          <w:rFonts w:eastAsiaTheme="minorEastAsia"/>
        </w:rPr>
        <w:t> billion</w:t>
      </w:r>
      <w:r w:rsidRPr="00617D24">
        <w:rPr>
          <w:rFonts w:eastAsiaTheme="minorEastAsia"/>
        </w:rPr>
        <w:t xml:space="preserve"> as </w:t>
      </w:r>
      <w:proofErr w:type="gramStart"/>
      <w:r w:rsidRPr="00617D24">
        <w:rPr>
          <w:rFonts w:eastAsiaTheme="minorEastAsia"/>
        </w:rPr>
        <w:t>at</w:t>
      </w:r>
      <w:proofErr w:type="gramEnd"/>
      <w:r w:rsidRPr="00617D24">
        <w:rPr>
          <w:rFonts w:eastAsiaTheme="minorEastAsia"/>
        </w:rPr>
        <w:t xml:space="preserve"> 22 September 2024) to loan to the IMF under the Poverty Reduction and Growth Trust. As </w:t>
      </w:r>
      <w:proofErr w:type="gramStart"/>
      <w:r w:rsidRPr="00617D24">
        <w:rPr>
          <w:rFonts w:eastAsiaTheme="minorEastAsia"/>
        </w:rPr>
        <w:t>at</w:t>
      </w:r>
      <w:proofErr w:type="gramEnd"/>
      <w:r w:rsidRPr="00617D24">
        <w:rPr>
          <w:rFonts w:eastAsiaTheme="minorEastAsia"/>
        </w:rPr>
        <w:t xml:space="preserve"> 30 June 2024, SDR 260.5</w:t>
      </w:r>
      <w:r w:rsidR="002E6F0C">
        <w:rPr>
          <w:rFonts w:eastAsiaTheme="minorEastAsia"/>
        </w:rPr>
        <w:t> million</w:t>
      </w:r>
      <w:r w:rsidRPr="00617D24">
        <w:rPr>
          <w:rFonts w:eastAsiaTheme="minorEastAsia"/>
        </w:rPr>
        <w:t xml:space="preserve"> has been drawn down, leaving SDR 739.5</w:t>
      </w:r>
      <w:r w:rsidR="002E6F0C">
        <w:rPr>
          <w:rFonts w:eastAsiaTheme="minorEastAsia"/>
        </w:rPr>
        <w:t> million</w:t>
      </w:r>
      <w:r w:rsidRPr="00617D24">
        <w:rPr>
          <w:rFonts w:eastAsiaTheme="minorEastAsia"/>
        </w:rPr>
        <w:t xml:space="preserve"> (approximately A$1.5</w:t>
      </w:r>
      <w:r w:rsidR="002E6F0C">
        <w:rPr>
          <w:rFonts w:eastAsiaTheme="minorEastAsia"/>
        </w:rPr>
        <w:t> billion</w:t>
      </w:r>
      <w:r w:rsidRPr="00617D24">
        <w:rPr>
          <w:rFonts w:eastAsiaTheme="minorEastAsia"/>
        </w:rPr>
        <w:t xml:space="preserve"> as at 22</w:t>
      </w:r>
      <w:r w:rsidR="002E6F0C">
        <w:rPr>
          <w:rFonts w:eastAsiaTheme="minorEastAsia"/>
        </w:rPr>
        <w:t> </w:t>
      </w:r>
      <w:r w:rsidRPr="00617D24">
        <w:rPr>
          <w:rFonts w:eastAsiaTheme="minorEastAsia"/>
        </w:rPr>
        <w:t>September 2024) available to the IMF under the Poverty Reduction and Growth Trust</w:t>
      </w:r>
      <w:r w:rsidR="00804556">
        <w:rPr>
          <w:rFonts w:eastAsiaTheme="minorEastAsia"/>
        </w:rPr>
        <w:t>.</w:t>
      </w:r>
    </w:p>
    <w:p w14:paraId="78CB076B" w14:textId="7AC176A4" w:rsidR="00804556" w:rsidRPr="00DE183C" w:rsidRDefault="00804556" w:rsidP="005358B1">
      <w:pPr>
        <w:pStyle w:val="Heading4"/>
      </w:pPr>
      <w:r w:rsidRPr="00E1106B">
        <w:lastRenderedPageBreak/>
        <w:t>International</w:t>
      </w:r>
      <w:r w:rsidRPr="00DE183C">
        <w:t xml:space="preserve"> Monetary Fund</w:t>
      </w:r>
      <w:r>
        <w:t xml:space="preserve"> </w:t>
      </w:r>
      <w:r>
        <w:rPr>
          <w:rFonts w:hint="eastAsia"/>
        </w:rPr>
        <w:t>–</w:t>
      </w:r>
      <w:r w:rsidRPr="00DE183C">
        <w:t xml:space="preserve"> Resilience and Sustainability Trust</w:t>
      </w:r>
    </w:p>
    <w:p w14:paraId="36046B6A" w14:textId="48C94CA9" w:rsidR="00804556" w:rsidRPr="00B70CE8" w:rsidRDefault="002A56CF" w:rsidP="005358B1">
      <w:pPr>
        <w:widowControl w:val="0"/>
        <w:spacing w:line="240" w:lineRule="auto"/>
        <w:rPr>
          <w:rFonts w:eastAsiaTheme="minorEastAsia"/>
          <w:lang w:val="en-US"/>
        </w:rPr>
      </w:pPr>
      <w:r w:rsidRPr="00B70CE8">
        <w:rPr>
          <w:rFonts w:eastAsiaTheme="minorEastAsia"/>
        </w:rPr>
        <w:t>On 11 October 2022, the Australian Government entered into an agreement to make a line of credit of Special Drawing Rights (SDR) 760</w:t>
      </w:r>
      <w:r w:rsidR="002E6F0C">
        <w:rPr>
          <w:rFonts w:eastAsiaTheme="minorEastAsia"/>
        </w:rPr>
        <w:t> million</w:t>
      </w:r>
      <w:r w:rsidRPr="00B70CE8">
        <w:rPr>
          <w:rFonts w:eastAsiaTheme="minorEastAsia"/>
        </w:rPr>
        <w:t xml:space="preserve"> (approximately A$1.5</w:t>
      </w:r>
      <w:r w:rsidR="002E6F0C">
        <w:rPr>
          <w:rFonts w:eastAsiaTheme="minorEastAsia"/>
        </w:rPr>
        <w:t> billion</w:t>
      </w:r>
      <w:r w:rsidRPr="00B70CE8">
        <w:rPr>
          <w:rFonts w:eastAsiaTheme="minorEastAsia"/>
        </w:rPr>
        <w:t xml:space="preserve"> as </w:t>
      </w:r>
      <w:proofErr w:type="gramStart"/>
      <w:r w:rsidRPr="00B70CE8">
        <w:rPr>
          <w:rFonts w:eastAsiaTheme="minorEastAsia"/>
        </w:rPr>
        <w:t>at</w:t>
      </w:r>
      <w:proofErr w:type="gramEnd"/>
      <w:r w:rsidRPr="00B70CE8">
        <w:rPr>
          <w:rFonts w:eastAsiaTheme="minorEastAsia"/>
        </w:rPr>
        <w:t xml:space="preserve"> 22</w:t>
      </w:r>
      <w:r w:rsidR="002E6F0C">
        <w:rPr>
          <w:rFonts w:eastAsiaTheme="minorEastAsia"/>
        </w:rPr>
        <w:t> </w:t>
      </w:r>
      <w:r w:rsidRPr="00B70CE8">
        <w:rPr>
          <w:rFonts w:eastAsiaTheme="minorEastAsia"/>
        </w:rPr>
        <w:t>September 2024) available to the IMF under the Resilience and Sustainability Trust through to 30 November 2030. The Resilience and Sustainability Trust will provide affordable long</w:t>
      </w:r>
      <w:r w:rsidR="00B63FC6">
        <w:rPr>
          <w:rFonts w:eastAsiaTheme="minorEastAsia"/>
        </w:rPr>
        <w:noBreakHyphen/>
      </w:r>
      <w:r w:rsidRPr="00B70CE8">
        <w:rPr>
          <w:rFonts w:eastAsiaTheme="minorEastAsia"/>
        </w:rPr>
        <w:t xml:space="preserve">term financing to help vulnerable countries build resilience and sustainability to address risks stemming from climate change and pandemic preparedness. Resilience and Sustainability Trust line of credit funds are drawn upon by the IMF as needed and will be repaid in full, with interest. As </w:t>
      </w:r>
      <w:proofErr w:type="gramStart"/>
      <w:r w:rsidRPr="00B70CE8">
        <w:rPr>
          <w:rFonts w:eastAsiaTheme="minorEastAsia"/>
        </w:rPr>
        <w:t>at</w:t>
      </w:r>
      <w:proofErr w:type="gramEnd"/>
      <w:r w:rsidRPr="00B70CE8">
        <w:rPr>
          <w:rFonts w:eastAsiaTheme="minorEastAsia"/>
        </w:rPr>
        <w:t xml:space="preserve"> 30 June 2024, SDR 14.2</w:t>
      </w:r>
      <w:r w:rsidR="002E6F0C">
        <w:rPr>
          <w:rFonts w:eastAsiaTheme="minorEastAsia"/>
        </w:rPr>
        <w:t> million</w:t>
      </w:r>
      <w:r w:rsidRPr="00B70CE8">
        <w:rPr>
          <w:rFonts w:eastAsiaTheme="minorEastAsia"/>
        </w:rPr>
        <w:t xml:space="preserve"> has been drawn down, leaving SDR 745.8</w:t>
      </w:r>
      <w:r w:rsidR="002E6F0C">
        <w:rPr>
          <w:rFonts w:eastAsiaTheme="minorEastAsia"/>
        </w:rPr>
        <w:t> million</w:t>
      </w:r>
      <w:r w:rsidRPr="00B70CE8">
        <w:rPr>
          <w:rFonts w:eastAsiaTheme="minorEastAsia"/>
        </w:rPr>
        <w:t xml:space="preserve"> (approximately A$1.5</w:t>
      </w:r>
      <w:r w:rsidR="002E6F0C">
        <w:rPr>
          <w:rFonts w:eastAsiaTheme="minorEastAsia"/>
        </w:rPr>
        <w:t> billion</w:t>
      </w:r>
      <w:r w:rsidRPr="00B70CE8">
        <w:rPr>
          <w:rFonts w:eastAsiaTheme="minorEastAsia"/>
        </w:rPr>
        <w:t xml:space="preserve"> as at 22</w:t>
      </w:r>
      <w:r w:rsidR="002E6F0C">
        <w:rPr>
          <w:rFonts w:eastAsiaTheme="minorEastAsia"/>
        </w:rPr>
        <w:t> </w:t>
      </w:r>
      <w:r w:rsidRPr="00B70CE8">
        <w:rPr>
          <w:rFonts w:eastAsiaTheme="minorEastAsia"/>
        </w:rPr>
        <w:t>September 2024) available to the IMF under the Resilience and Sustainability Trust</w:t>
      </w:r>
      <w:r w:rsidR="00804556" w:rsidRPr="1809C9FA">
        <w:rPr>
          <w:rFonts w:eastAsiaTheme="minorEastAsia"/>
          <w:lang w:val="en-US"/>
        </w:rPr>
        <w:t>.</w:t>
      </w:r>
    </w:p>
    <w:p w14:paraId="5834B68C" w14:textId="77777777" w:rsidR="00BE2BBB" w:rsidRDefault="00BE2BBB">
      <w:pPr>
        <w:spacing w:before="0" w:after="160" w:line="259" w:lineRule="auto"/>
        <w:rPr>
          <w:rFonts w:ascii="Arial Bold" w:eastAsia="Arial" w:hAnsi="Arial Bold"/>
          <w:b/>
          <w:sz w:val="26"/>
        </w:rPr>
      </w:pPr>
      <w:bookmarkStart w:id="99" w:name="_Toc99141902"/>
      <w:bookmarkStart w:id="100" w:name="_Toc184039500"/>
      <w:bookmarkEnd w:id="93"/>
      <w:r>
        <w:rPr>
          <w:rFonts w:eastAsia="Arial"/>
        </w:rPr>
        <w:br w:type="page"/>
      </w:r>
    </w:p>
    <w:p w14:paraId="4433CBF0" w14:textId="6AABB467" w:rsidR="00804556" w:rsidRPr="00B41496" w:rsidRDefault="00804556" w:rsidP="00B41496">
      <w:pPr>
        <w:pStyle w:val="Heading2"/>
        <w:rPr>
          <w:rFonts w:eastAsia="Arial"/>
        </w:rPr>
      </w:pPr>
      <w:r w:rsidRPr="00B41496">
        <w:rPr>
          <w:rFonts w:eastAsia="Arial"/>
        </w:rPr>
        <w:lastRenderedPageBreak/>
        <w:t>Government loans</w:t>
      </w:r>
      <w:bookmarkEnd w:id="99"/>
      <w:bookmarkEnd w:id="100"/>
    </w:p>
    <w:p w14:paraId="12238743" w14:textId="77777777" w:rsidR="00804556" w:rsidRDefault="00804556" w:rsidP="00804556">
      <w:r>
        <w:t xml:space="preserve">Loans are recorded as financial assets. Accordingly, the amounts advanced and repaid do not normally affect the Budget aggregates of fiscal balance and underlying cash balance. Loans that are concessional (lower than market interest rate) or are agreed to be written off, result in an impact on the fiscal balance. </w:t>
      </w:r>
    </w:p>
    <w:p w14:paraId="7808DD58" w14:textId="04886B0B" w:rsidR="00804556" w:rsidRPr="00E1106B" w:rsidRDefault="00804556" w:rsidP="00804556">
      <w:r>
        <w:t xml:space="preserve">The Government makes loans for policy purposes. All loans contain some element of credit risk that they will not be repaid in full, although in many cases this risk is </w:t>
      </w:r>
      <w:r w:rsidRPr="00E908FA">
        <w:t xml:space="preserve">small. Table </w:t>
      </w:r>
      <w:r w:rsidR="00F13523">
        <w:t>6</w:t>
      </w:r>
      <w:r w:rsidRPr="00E908FA">
        <w:t>.3 summarises Government loans estimated to exceed $200</w:t>
      </w:r>
      <w:r w:rsidR="002E6F0C">
        <w:t> million</w:t>
      </w:r>
      <w:r w:rsidRPr="00E908FA">
        <w:t xml:space="preserve"> </w:t>
      </w:r>
      <w:proofErr w:type="gramStart"/>
      <w:r w:rsidRPr="00E908FA">
        <w:t>at</w:t>
      </w:r>
      <w:proofErr w:type="gramEnd"/>
      <w:r w:rsidRPr="00E908FA">
        <w:t xml:space="preserve"> </w:t>
      </w:r>
      <w:r w:rsidRPr="00E46520">
        <w:t>30</w:t>
      </w:r>
      <w:r>
        <w:t> June </w:t>
      </w:r>
      <w:r w:rsidRPr="00E46520">
        <w:t>2024</w:t>
      </w:r>
      <w:r w:rsidRPr="00E908FA">
        <w:t>.</w:t>
      </w:r>
    </w:p>
    <w:p w14:paraId="37E4D50D" w14:textId="77777777" w:rsidR="00804556" w:rsidRDefault="00804556" w:rsidP="002458BF"/>
    <w:p w14:paraId="7118661E" w14:textId="77777777" w:rsidR="009172D2" w:rsidRDefault="009172D2" w:rsidP="002458BF">
      <w:pPr>
        <w:sectPr w:rsidR="009172D2" w:rsidSect="00295DB0">
          <w:headerReference w:type="even" r:id="rId7"/>
          <w:headerReference w:type="default" r:id="rId8"/>
          <w:footerReference w:type="even" r:id="rId9"/>
          <w:footerReference w:type="default" r:id="rId10"/>
          <w:footerReference w:type="first" r:id="rId11"/>
          <w:pgSz w:w="11906" w:h="16838" w:code="9"/>
          <w:pgMar w:top="2835" w:right="2098" w:bottom="2466" w:left="2098" w:header="1814" w:footer="1814" w:gutter="0"/>
          <w:pgNumType w:start="105"/>
          <w:cols w:space="708"/>
          <w:titlePg/>
          <w:docGrid w:linePitch="360"/>
        </w:sectPr>
      </w:pPr>
    </w:p>
    <w:p w14:paraId="3C1E9B44" w14:textId="5A4E634D" w:rsidR="00FC0BFF" w:rsidRPr="00B832E0" w:rsidRDefault="00FC0BFF" w:rsidP="00FC0BFF">
      <w:pPr>
        <w:pStyle w:val="TableHeading"/>
        <w:rPr>
          <w:rFonts w:eastAsia="Arial"/>
        </w:rPr>
      </w:pPr>
      <w:r w:rsidRPr="00010F87">
        <w:rPr>
          <w:rFonts w:eastAsia="Arial"/>
        </w:rPr>
        <w:lastRenderedPageBreak/>
        <w:t xml:space="preserve">Table </w:t>
      </w:r>
      <w:r w:rsidR="00AB5A5E" w:rsidRPr="00010F87">
        <w:rPr>
          <w:rFonts w:eastAsia="Arial"/>
        </w:rPr>
        <w:t>6</w:t>
      </w:r>
      <w:r w:rsidRPr="00010F87">
        <w:rPr>
          <w:rFonts w:eastAsia="Arial"/>
        </w:rPr>
        <w:t>.3</w:t>
      </w:r>
      <w:r w:rsidRPr="00B832E0">
        <w:rPr>
          <w:rFonts w:eastAsia="Arial"/>
        </w:rPr>
        <w:t xml:space="preserve">: Summary of Australian Government loans meeting the materiality threshold </w:t>
      </w:r>
    </w:p>
    <w:tbl>
      <w:tblPr>
        <w:tblpPr w:leftFromText="180" w:rightFromText="180" w:vertAnchor="text" w:tblpY="1"/>
        <w:tblOverlap w:val="never"/>
        <w:tblW w:w="5000" w:type="pct"/>
        <w:tblBorders>
          <w:top w:val="single" w:sz="4" w:space="0" w:color="002A54" w:themeColor="text2"/>
          <w:bottom w:val="single" w:sz="4" w:space="0" w:color="002A54" w:themeColor="text2"/>
          <w:insideH w:val="single" w:sz="4" w:space="0" w:color="002A54" w:themeColor="text2"/>
        </w:tblBorders>
        <w:tblLayout w:type="fixed"/>
        <w:tblLook w:val="04A0" w:firstRow="1" w:lastRow="0" w:firstColumn="1" w:lastColumn="0" w:noHBand="0" w:noVBand="1"/>
        <w:tblCaption w:val="Table"/>
      </w:tblPr>
      <w:tblGrid>
        <w:gridCol w:w="2991"/>
        <w:gridCol w:w="1829"/>
        <w:gridCol w:w="2587"/>
        <w:gridCol w:w="1425"/>
        <w:gridCol w:w="1567"/>
        <w:gridCol w:w="1140"/>
      </w:tblGrid>
      <w:tr w:rsidR="00FC0BFF" w:rsidRPr="00B832E0" w14:paraId="790FA1CC" w14:textId="77777777" w:rsidTr="00D36321">
        <w:trPr>
          <w:trHeight w:val="227"/>
        </w:trPr>
        <w:tc>
          <w:tcPr>
            <w:tcW w:w="11539" w:type="dxa"/>
            <w:gridSpan w:val="6"/>
            <w:shd w:val="clear" w:color="auto" w:fill="E6F2FF"/>
          </w:tcPr>
          <w:p w14:paraId="4050DBDE" w14:textId="77777777" w:rsidR="00FC0BFF" w:rsidRPr="00B832E0" w:rsidRDefault="00FC0BFF" w:rsidP="00D36321">
            <w:pPr>
              <w:pStyle w:val="TableColumnHeadingLeft"/>
              <w:spacing w:before="0"/>
            </w:pPr>
            <w:r w:rsidRPr="00B832E0">
              <w:t>Agriculture, Fisheries and Forestry</w:t>
            </w:r>
          </w:p>
        </w:tc>
      </w:tr>
      <w:tr w:rsidR="00FC0BFF" w:rsidRPr="00B832E0" w14:paraId="35822178" w14:textId="77777777" w:rsidTr="00D36321">
        <w:trPr>
          <w:trHeight w:val="227"/>
        </w:trPr>
        <w:tc>
          <w:tcPr>
            <w:tcW w:w="2991" w:type="dxa"/>
            <w:shd w:val="clear" w:color="auto" w:fill="auto"/>
          </w:tcPr>
          <w:p w14:paraId="67BEFA41" w14:textId="50B0ECFF" w:rsidR="00FC0BFF" w:rsidRPr="00B832E0" w:rsidRDefault="00FC0BFF" w:rsidP="00D36321">
            <w:pPr>
              <w:pStyle w:val="TableTextLeft"/>
              <w:spacing w:before="0"/>
            </w:pPr>
            <w:r w:rsidRPr="00F109B4">
              <w:t>Drought</w:t>
            </w:r>
            <w:r w:rsidR="00B63FC6">
              <w:noBreakHyphen/>
            </w:r>
            <w:r w:rsidRPr="00F109B4">
              <w:t>related and farm finance concessional loans – Agriculture</w:t>
            </w:r>
          </w:p>
        </w:tc>
        <w:tc>
          <w:tcPr>
            <w:tcW w:w="1829" w:type="dxa"/>
            <w:shd w:val="clear" w:color="auto" w:fill="auto"/>
          </w:tcPr>
          <w:p w14:paraId="2493863A" w14:textId="796103EB" w:rsidR="00FC0BFF" w:rsidRPr="00B832E0" w:rsidRDefault="0080681C" w:rsidP="00D36321">
            <w:pPr>
              <w:pStyle w:val="TableTextRight"/>
              <w:spacing w:before="0"/>
            </w:pPr>
            <w:r>
              <w:t>171</w:t>
            </w:r>
          </w:p>
        </w:tc>
        <w:tc>
          <w:tcPr>
            <w:tcW w:w="2587" w:type="dxa"/>
            <w:shd w:val="clear" w:color="auto" w:fill="auto"/>
          </w:tcPr>
          <w:p w14:paraId="4A912727" w14:textId="21E5CB51" w:rsidR="00FC0BFF" w:rsidRPr="00B832E0" w:rsidRDefault="00FC0BFF" w:rsidP="00D36321">
            <w:pPr>
              <w:pStyle w:val="TableTextLeft"/>
              <w:spacing w:before="0"/>
            </w:pPr>
            <w:r w:rsidRPr="00B832E0">
              <w:t>State Governments (that through their delivery agencies, on</w:t>
            </w:r>
            <w:r w:rsidR="00B63FC6">
              <w:noBreakHyphen/>
            </w:r>
            <w:r w:rsidRPr="00B832E0">
              <w:t>lend to eligible farm businesses) </w:t>
            </w:r>
          </w:p>
        </w:tc>
        <w:tc>
          <w:tcPr>
            <w:tcW w:w="1425" w:type="dxa"/>
            <w:shd w:val="clear" w:color="auto" w:fill="auto"/>
          </w:tcPr>
          <w:p w14:paraId="3D97D2F8" w14:textId="77777777" w:rsidR="00FC0BFF" w:rsidRPr="00B832E0" w:rsidRDefault="00FC0BFF" w:rsidP="00D36321">
            <w:pPr>
              <w:pStyle w:val="TableTextLeft"/>
              <w:spacing w:before="0"/>
            </w:pPr>
            <w:r w:rsidRPr="00B832E0">
              <w:t>Various </w:t>
            </w:r>
          </w:p>
        </w:tc>
        <w:tc>
          <w:tcPr>
            <w:tcW w:w="1567" w:type="dxa"/>
          </w:tcPr>
          <w:p w14:paraId="048538BB" w14:textId="77777777" w:rsidR="00FC0BFF" w:rsidRPr="00B832E0" w:rsidRDefault="00FC0BFF" w:rsidP="00D36321">
            <w:pPr>
              <w:pStyle w:val="TableTextLeft"/>
              <w:spacing w:before="0"/>
            </w:pPr>
            <w:r w:rsidRPr="00B832E0">
              <w:t>Various </w:t>
            </w:r>
          </w:p>
        </w:tc>
        <w:tc>
          <w:tcPr>
            <w:tcW w:w="1140" w:type="dxa"/>
          </w:tcPr>
          <w:p w14:paraId="05DE2019" w14:textId="77777777" w:rsidR="00FC0BFF" w:rsidRPr="00B832E0" w:rsidRDefault="00FC0BFF" w:rsidP="00D36321">
            <w:pPr>
              <w:pStyle w:val="TableTextLeft"/>
              <w:spacing w:before="0"/>
            </w:pPr>
            <w:r w:rsidRPr="00B832E0">
              <w:t>Modified </w:t>
            </w:r>
          </w:p>
        </w:tc>
      </w:tr>
      <w:tr w:rsidR="00FC0BFF" w:rsidRPr="00B832E0" w14:paraId="69053FD5" w14:textId="77777777" w:rsidTr="00D36321">
        <w:trPr>
          <w:trHeight w:val="227"/>
        </w:trPr>
        <w:tc>
          <w:tcPr>
            <w:tcW w:w="2991" w:type="dxa"/>
            <w:shd w:val="clear" w:color="auto" w:fill="auto"/>
          </w:tcPr>
          <w:p w14:paraId="5C4ACFE2" w14:textId="77777777" w:rsidR="00FC0BFF" w:rsidRPr="00B832E0" w:rsidRDefault="00FC0BFF" w:rsidP="00D36321">
            <w:pPr>
              <w:pStyle w:val="TableTextLeft"/>
              <w:spacing w:before="0"/>
            </w:pPr>
            <w:r w:rsidRPr="00F109B4">
              <w:t xml:space="preserve">Farm Investment Loans, Drought Loans, </w:t>
            </w:r>
            <w:proofErr w:type="spellStart"/>
            <w:r w:rsidRPr="00F109B4">
              <w:t>AgriStarter</w:t>
            </w:r>
            <w:proofErr w:type="spellEnd"/>
            <w:r w:rsidRPr="00F109B4">
              <w:t xml:space="preserve"> Loans, </w:t>
            </w:r>
            <w:proofErr w:type="spellStart"/>
            <w:r w:rsidRPr="00F109B4">
              <w:t>AgBiz</w:t>
            </w:r>
            <w:proofErr w:type="spellEnd"/>
            <w:r w:rsidRPr="00F109B4">
              <w:t xml:space="preserve"> Drought Loans</w:t>
            </w:r>
            <w:r>
              <w:t xml:space="preserve"> and</w:t>
            </w:r>
            <w:r w:rsidRPr="00F109B4">
              <w:t xml:space="preserve"> </w:t>
            </w:r>
            <w:proofErr w:type="spellStart"/>
            <w:r w:rsidRPr="00F109B4">
              <w:t>AgRebuild</w:t>
            </w:r>
            <w:proofErr w:type="spellEnd"/>
            <w:r w:rsidRPr="00F109B4">
              <w:t xml:space="preserve"> Loans</w:t>
            </w:r>
          </w:p>
        </w:tc>
        <w:tc>
          <w:tcPr>
            <w:tcW w:w="1829" w:type="dxa"/>
            <w:shd w:val="clear" w:color="auto" w:fill="auto"/>
          </w:tcPr>
          <w:p w14:paraId="3D160265" w14:textId="19E03985" w:rsidR="00FC0BFF" w:rsidRPr="00B832E0" w:rsidRDefault="00FC0BFF" w:rsidP="00D36321">
            <w:pPr>
              <w:pStyle w:val="TableTextRight"/>
              <w:spacing w:before="0"/>
            </w:pPr>
            <w:r w:rsidRPr="00B832E0">
              <w:t>2,</w:t>
            </w:r>
            <w:r w:rsidR="00565FBD">
              <w:t>668</w:t>
            </w:r>
          </w:p>
        </w:tc>
        <w:tc>
          <w:tcPr>
            <w:tcW w:w="2587" w:type="dxa"/>
            <w:shd w:val="clear" w:color="auto" w:fill="auto"/>
          </w:tcPr>
          <w:p w14:paraId="1066A8BF" w14:textId="77777777" w:rsidR="00FC0BFF" w:rsidRPr="00B832E0" w:rsidRDefault="00FC0BFF" w:rsidP="00D36321">
            <w:pPr>
              <w:pStyle w:val="TableTextLeft"/>
              <w:spacing w:before="0"/>
            </w:pPr>
            <w:r w:rsidRPr="00B832E0">
              <w:t xml:space="preserve">Eligible Australian farm businesses and related small businesses, </w:t>
            </w:r>
            <w:r>
              <w:t>through the</w:t>
            </w:r>
            <w:r w:rsidRPr="00B832E0">
              <w:t xml:space="preserve"> Regional Investment Corporation </w:t>
            </w:r>
          </w:p>
        </w:tc>
        <w:tc>
          <w:tcPr>
            <w:tcW w:w="1425" w:type="dxa"/>
            <w:shd w:val="clear" w:color="auto" w:fill="auto"/>
          </w:tcPr>
          <w:p w14:paraId="4D6468E0" w14:textId="0C8012FC" w:rsidR="00FC0BFF" w:rsidRPr="00B832E0" w:rsidRDefault="005A0967" w:rsidP="00D36321">
            <w:pPr>
              <w:pStyle w:val="TableTextLeft"/>
              <w:spacing w:before="0"/>
            </w:pPr>
            <w:r>
              <w:t>5</w:t>
            </w:r>
            <w:r w:rsidR="00FC0BFF" w:rsidRPr="00B832E0">
              <w:t>.</w:t>
            </w:r>
            <w:r>
              <w:t>18</w:t>
            </w:r>
            <w:r w:rsidR="002E6F0C">
              <w:t> per cent</w:t>
            </w:r>
            <w:r w:rsidR="00FC0BFF">
              <w:t> </w:t>
            </w:r>
            <w:r w:rsidR="00FC0BFF" w:rsidRPr="00B832E0">
              <w:t>f</w:t>
            </w:r>
            <w:r w:rsidR="00D9729A">
              <w:t>o</w:t>
            </w:r>
            <w:r w:rsidR="00FC0BFF" w:rsidRPr="00B832E0">
              <w:t>r all loans</w:t>
            </w:r>
            <w:r w:rsidR="00FC0BFF">
              <w:t> </w:t>
            </w:r>
          </w:p>
        </w:tc>
        <w:tc>
          <w:tcPr>
            <w:tcW w:w="1567" w:type="dxa"/>
            <w:shd w:val="clear" w:color="auto" w:fill="auto"/>
          </w:tcPr>
          <w:p w14:paraId="201829C6" w14:textId="6565A645" w:rsidR="00FC0BFF" w:rsidRPr="00B832E0" w:rsidRDefault="00C03DF9" w:rsidP="00D36321">
            <w:pPr>
              <w:pStyle w:val="TableTextLeft"/>
              <w:spacing w:before="0"/>
            </w:pPr>
            <w:r>
              <w:t xml:space="preserve">Up to </w:t>
            </w:r>
            <w:r w:rsidR="00E57190">
              <w:t>10 </w:t>
            </w:r>
            <w:r>
              <w:t>years for all loans </w:t>
            </w:r>
          </w:p>
        </w:tc>
        <w:tc>
          <w:tcPr>
            <w:tcW w:w="1140" w:type="dxa"/>
          </w:tcPr>
          <w:p w14:paraId="5A0766F2" w14:textId="77777777" w:rsidR="00FC0BFF" w:rsidRPr="00B832E0" w:rsidRDefault="00FC0BFF" w:rsidP="00D36321">
            <w:pPr>
              <w:pStyle w:val="TableTextLeft"/>
              <w:spacing w:before="0"/>
            </w:pPr>
            <w:r w:rsidRPr="00B832E0">
              <w:t>Modified </w:t>
            </w:r>
          </w:p>
        </w:tc>
      </w:tr>
      <w:tr w:rsidR="00FC0BFF" w:rsidRPr="00B832E0" w14:paraId="77E73F1B" w14:textId="77777777" w:rsidTr="00D36321">
        <w:trPr>
          <w:trHeight w:val="227"/>
        </w:trPr>
        <w:tc>
          <w:tcPr>
            <w:tcW w:w="11539" w:type="dxa"/>
            <w:gridSpan w:val="6"/>
            <w:shd w:val="clear" w:color="auto" w:fill="E6F2FF"/>
          </w:tcPr>
          <w:p w14:paraId="096EBA21" w14:textId="6813C558" w:rsidR="00FC0BFF" w:rsidRPr="00B832E0" w:rsidRDefault="00FC0BFF" w:rsidP="00D36321">
            <w:pPr>
              <w:pStyle w:val="TableColumnHeadingLeft"/>
              <w:spacing w:before="0"/>
              <w:rPr>
                <w:vertAlign w:val="superscript"/>
              </w:rPr>
            </w:pPr>
            <w:r w:rsidRPr="116C2317">
              <w:t>Climate Change, Energy, the Environment and Water</w:t>
            </w:r>
          </w:p>
        </w:tc>
      </w:tr>
      <w:tr w:rsidR="00FC0BFF" w:rsidRPr="00B832E0" w14:paraId="1FF21B7B" w14:textId="77777777" w:rsidTr="00D36321">
        <w:trPr>
          <w:trHeight w:val="227"/>
        </w:trPr>
        <w:tc>
          <w:tcPr>
            <w:tcW w:w="2991" w:type="dxa"/>
            <w:shd w:val="clear" w:color="auto" w:fill="auto"/>
          </w:tcPr>
          <w:p w14:paraId="7D6CD4B5" w14:textId="77777777" w:rsidR="00FC0BFF" w:rsidRPr="00B832E0" w:rsidRDefault="00FC0BFF" w:rsidP="00D36321">
            <w:pPr>
              <w:pStyle w:val="TableTextLeft"/>
              <w:spacing w:before="0"/>
            </w:pPr>
            <w:r w:rsidRPr="00B832E0">
              <w:t>Clean Energy Finance Corporation</w:t>
            </w:r>
          </w:p>
        </w:tc>
        <w:tc>
          <w:tcPr>
            <w:tcW w:w="1829" w:type="dxa"/>
            <w:shd w:val="clear" w:color="auto" w:fill="auto"/>
          </w:tcPr>
          <w:p w14:paraId="53292527" w14:textId="79E36746" w:rsidR="00FC0BFF" w:rsidRPr="00B832E0" w:rsidRDefault="00FC0BFF" w:rsidP="00D36321">
            <w:pPr>
              <w:pStyle w:val="TableTextRight"/>
              <w:spacing w:before="0"/>
            </w:pPr>
            <w:r w:rsidRPr="00B832E0">
              <w:t>2,</w:t>
            </w:r>
            <w:r w:rsidR="00936E4C">
              <w:t>710</w:t>
            </w:r>
          </w:p>
        </w:tc>
        <w:tc>
          <w:tcPr>
            <w:tcW w:w="2587" w:type="dxa"/>
            <w:shd w:val="clear" w:color="auto" w:fill="auto"/>
          </w:tcPr>
          <w:p w14:paraId="6C833DAE" w14:textId="77777777" w:rsidR="00FC0BFF" w:rsidRPr="00B832E0" w:rsidRDefault="00FC0BFF" w:rsidP="00D36321">
            <w:pPr>
              <w:pStyle w:val="TableTextLeft"/>
              <w:spacing w:before="0"/>
            </w:pPr>
            <w:r w:rsidRPr="00B832E0">
              <w:rPr>
                <w:rFonts w:cs="Arial"/>
                <w:szCs w:val="16"/>
              </w:rPr>
              <w:t>Approved entities undertaking clean energy technology projects </w:t>
            </w:r>
          </w:p>
        </w:tc>
        <w:tc>
          <w:tcPr>
            <w:tcW w:w="1425" w:type="dxa"/>
            <w:shd w:val="clear" w:color="auto" w:fill="auto"/>
          </w:tcPr>
          <w:p w14:paraId="01E2275D" w14:textId="25A626D7" w:rsidR="00FC0BFF" w:rsidRPr="00B832E0" w:rsidRDefault="00FC0BFF" w:rsidP="00D36321">
            <w:pPr>
              <w:pStyle w:val="TableTextLeft"/>
              <w:spacing w:before="0"/>
            </w:pPr>
            <w:r>
              <w:rPr>
                <w:rFonts w:cs="Arial"/>
                <w:szCs w:val="16"/>
              </w:rPr>
              <w:t xml:space="preserve">Approximately </w:t>
            </w:r>
            <w:r w:rsidRPr="00B832E0">
              <w:rPr>
                <w:rFonts w:cs="Arial"/>
                <w:szCs w:val="16"/>
              </w:rPr>
              <w:t>4.</w:t>
            </w:r>
            <w:r w:rsidR="00A10D25">
              <w:rPr>
                <w:rFonts w:cs="Arial"/>
                <w:szCs w:val="16"/>
              </w:rPr>
              <w:t>9</w:t>
            </w:r>
            <w:r>
              <w:rPr>
                <w:rFonts w:cs="Arial"/>
                <w:szCs w:val="16"/>
              </w:rPr>
              <w:t> per cen</w:t>
            </w:r>
            <w:r w:rsidR="003971E3">
              <w:rPr>
                <w:rFonts w:cs="Arial"/>
                <w:szCs w:val="16"/>
              </w:rPr>
              <w:t xml:space="preserve">t weighted </w:t>
            </w:r>
            <w:r w:rsidRPr="00B832E0">
              <w:rPr>
                <w:rFonts w:cs="Arial"/>
                <w:szCs w:val="16"/>
              </w:rPr>
              <w:t>average </w:t>
            </w:r>
          </w:p>
        </w:tc>
        <w:tc>
          <w:tcPr>
            <w:tcW w:w="1567" w:type="dxa"/>
            <w:shd w:val="clear" w:color="auto" w:fill="auto"/>
          </w:tcPr>
          <w:p w14:paraId="5C0CC4AB" w14:textId="5F5DECE5" w:rsidR="00FC0BFF" w:rsidRPr="00B832E0" w:rsidRDefault="00FC0BFF" w:rsidP="00D36321">
            <w:pPr>
              <w:pStyle w:val="TableTextLeft"/>
              <w:spacing w:before="0"/>
              <w:rPr>
                <w:color w:val="000000"/>
              </w:rPr>
            </w:pPr>
            <w:r>
              <w:rPr>
                <w:rFonts w:cs="Arial"/>
                <w:szCs w:val="16"/>
              </w:rPr>
              <w:t xml:space="preserve">Predominately </w:t>
            </w:r>
            <w:r w:rsidRPr="00B832E0">
              <w:rPr>
                <w:rFonts w:cs="Arial"/>
                <w:szCs w:val="16"/>
              </w:rPr>
              <w:t>5</w:t>
            </w:r>
            <w:r w:rsidR="00B63FC6">
              <w:rPr>
                <w:rFonts w:cs="Arial"/>
                <w:szCs w:val="16"/>
              </w:rPr>
              <w:noBreakHyphen/>
            </w:r>
            <w:r w:rsidRPr="00B832E0">
              <w:rPr>
                <w:rFonts w:cs="Arial"/>
                <w:szCs w:val="16"/>
              </w:rPr>
              <w:t>15 years </w:t>
            </w:r>
          </w:p>
        </w:tc>
        <w:tc>
          <w:tcPr>
            <w:tcW w:w="1140" w:type="dxa"/>
          </w:tcPr>
          <w:p w14:paraId="70E1C291" w14:textId="5FF6BF03" w:rsidR="00FC0BFF" w:rsidRPr="00B832E0" w:rsidRDefault="00D4169C" w:rsidP="00D36321">
            <w:pPr>
              <w:pStyle w:val="TableTextLeft"/>
              <w:spacing w:before="0"/>
              <w:rPr>
                <w:color w:val="000000"/>
              </w:rPr>
            </w:pPr>
            <w:r>
              <w:rPr>
                <w:rFonts w:cs="Arial"/>
                <w:szCs w:val="16"/>
              </w:rPr>
              <w:t>Modified</w:t>
            </w:r>
            <w:r w:rsidRPr="00B832E0">
              <w:rPr>
                <w:rFonts w:cs="Arial"/>
                <w:szCs w:val="16"/>
              </w:rPr>
              <w:t> </w:t>
            </w:r>
          </w:p>
        </w:tc>
      </w:tr>
      <w:tr w:rsidR="00FC0BFF" w:rsidRPr="00B832E0" w14:paraId="0DAAF59A" w14:textId="77777777" w:rsidTr="00D36321">
        <w:trPr>
          <w:trHeight w:val="227"/>
        </w:trPr>
        <w:tc>
          <w:tcPr>
            <w:tcW w:w="11539" w:type="dxa"/>
            <w:gridSpan w:val="6"/>
            <w:shd w:val="clear" w:color="auto" w:fill="E6F2FF"/>
          </w:tcPr>
          <w:p w14:paraId="2614F941" w14:textId="77777777" w:rsidR="00FC0BFF" w:rsidRPr="00B832E0" w:rsidRDefault="00FC0BFF" w:rsidP="00D36321">
            <w:pPr>
              <w:pStyle w:val="TableColumnHeadingLeft"/>
              <w:spacing w:before="0"/>
            </w:pPr>
            <w:r w:rsidRPr="00B832E0">
              <w:t>Education</w:t>
            </w:r>
          </w:p>
        </w:tc>
      </w:tr>
      <w:tr w:rsidR="00FC0BFF" w:rsidRPr="00B832E0" w14:paraId="259571AD" w14:textId="77777777" w:rsidTr="00D36321">
        <w:trPr>
          <w:trHeight w:val="227"/>
        </w:trPr>
        <w:tc>
          <w:tcPr>
            <w:tcW w:w="2991" w:type="dxa"/>
            <w:shd w:val="clear" w:color="auto" w:fill="auto"/>
          </w:tcPr>
          <w:p w14:paraId="729CD741" w14:textId="77777777" w:rsidR="00FC0BFF" w:rsidRPr="00B832E0" w:rsidRDefault="00FC0BFF" w:rsidP="00D36321">
            <w:pPr>
              <w:pStyle w:val="TableTextLeft"/>
              <w:spacing w:before="0"/>
            </w:pPr>
            <w:r w:rsidRPr="00B832E0">
              <w:t>Higher Education Loan Program</w:t>
            </w:r>
          </w:p>
        </w:tc>
        <w:tc>
          <w:tcPr>
            <w:tcW w:w="1829" w:type="dxa"/>
            <w:shd w:val="clear" w:color="auto" w:fill="auto"/>
          </w:tcPr>
          <w:p w14:paraId="05FACF4E" w14:textId="180AAD62" w:rsidR="00FC0BFF" w:rsidRPr="00B832E0" w:rsidRDefault="00FC0BFF" w:rsidP="00D36321">
            <w:pPr>
              <w:pStyle w:val="TableTextRight"/>
              <w:spacing w:before="0"/>
            </w:pPr>
            <w:r>
              <w:t>4</w:t>
            </w:r>
            <w:r w:rsidR="00C34988">
              <w:t>9</w:t>
            </w:r>
            <w:r>
              <w:t>,200</w:t>
            </w:r>
          </w:p>
        </w:tc>
        <w:tc>
          <w:tcPr>
            <w:tcW w:w="2587" w:type="dxa"/>
            <w:shd w:val="clear" w:color="auto" w:fill="auto"/>
          </w:tcPr>
          <w:p w14:paraId="01EF8C07" w14:textId="77777777" w:rsidR="00FC0BFF" w:rsidRPr="00B832E0" w:rsidRDefault="00FC0BFF" w:rsidP="00D36321">
            <w:pPr>
              <w:pStyle w:val="TableTextLeft"/>
              <w:spacing w:before="0"/>
            </w:pPr>
            <w:r w:rsidRPr="00B832E0">
              <w:rPr>
                <w:rFonts w:cs="Arial"/>
                <w:szCs w:val="16"/>
              </w:rPr>
              <w:t>Eligible higher education students </w:t>
            </w:r>
          </w:p>
        </w:tc>
        <w:tc>
          <w:tcPr>
            <w:tcW w:w="1425" w:type="dxa"/>
            <w:shd w:val="clear" w:color="auto" w:fill="auto"/>
          </w:tcPr>
          <w:p w14:paraId="5DDB8DDB" w14:textId="77777777" w:rsidR="00FC0BFF" w:rsidRPr="00B832E0" w:rsidRDefault="00FC0BFF" w:rsidP="00D36321">
            <w:pPr>
              <w:pStyle w:val="TableTextLeft"/>
              <w:spacing w:before="0"/>
            </w:pPr>
            <w:r>
              <w:rPr>
                <w:rFonts w:cs="Arial"/>
                <w:szCs w:val="16"/>
              </w:rPr>
              <w:t xml:space="preserve">The lower of Wage Price Index (WPI) or </w:t>
            </w:r>
            <w:r w:rsidRPr="00B832E0">
              <w:rPr>
                <w:rFonts w:cs="Arial"/>
                <w:szCs w:val="16"/>
              </w:rPr>
              <w:t xml:space="preserve">Consumer Price Index (CPI) </w:t>
            </w:r>
            <w:r>
              <w:rPr>
                <w:rFonts w:cs="Arial"/>
                <w:szCs w:val="16"/>
              </w:rPr>
              <w:t>growth</w:t>
            </w:r>
          </w:p>
        </w:tc>
        <w:tc>
          <w:tcPr>
            <w:tcW w:w="1567" w:type="dxa"/>
            <w:shd w:val="clear" w:color="auto" w:fill="auto"/>
          </w:tcPr>
          <w:p w14:paraId="4ADDF5EF" w14:textId="6CAA5387" w:rsidR="00FC0BFF" w:rsidRPr="00B832E0" w:rsidRDefault="00FC0BFF" w:rsidP="00D36321">
            <w:pPr>
              <w:pStyle w:val="TableTextLeft"/>
              <w:spacing w:before="0"/>
              <w:rPr>
                <w:color w:val="000000"/>
              </w:rPr>
            </w:pPr>
            <w:r w:rsidRPr="00B832E0">
              <w:rPr>
                <w:rFonts w:cs="Arial"/>
                <w:color w:val="000000"/>
                <w:szCs w:val="16"/>
              </w:rPr>
              <w:t>9.</w:t>
            </w:r>
            <w:r w:rsidR="00C34988">
              <w:rPr>
                <w:rFonts w:cs="Arial"/>
                <w:color w:val="000000"/>
                <w:szCs w:val="16"/>
              </w:rPr>
              <w:t>9</w:t>
            </w:r>
            <w:r w:rsidRPr="00B832E0">
              <w:rPr>
                <w:rFonts w:cs="Arial"/>
                <w:color w:val="000000"/>
                <w:szCs w:val="16"/>
              </w:rPr>
              <w:t xml:space="preserve"> years</w:t>
            </w:r>
            <w:r>
              <w:rPr>
                <w:rFonts w:cs="Arial"/>
                <w:color w:val="000000"/>
                <w:szCs w:val="16"/>
              </w:rPr>
              <w:t xml:space="preserve"> (average)</w:t>
            </w:r>
          </w:p>
        </w:tc>
        <w:tc>
          <w:tcPr>
            <w:tcW w:w="1140" w:type="dxa"/>
          </w:tcPr>
          <w:p w14:paraId="4030A778" w14:textId="4EAFDBA1" w:rsidR="00FC0BFF" w:rsidRPr="00B832E0" w:rsidRDefault="00FC0BFF" w:rsidP="00D36321">
            <w:pPr>
              <w:pStyle w:val="TableTextLeft"/>
              <w:spacing w:before="0"/>
              <w:rPr>
                <w:color w:val="000000"/>
              </w:rPr>
            </w:pPr>
            <w:r w:rsidDel="00C34988">
              <w:rPr>
                <w:rFonts w:cs="Arial"/>
                <w:szCs w:val="16"/>
              </w:rPr>
              <w:t>Modified</w:t>
            </w:r>
            <w:r w:rsidRPr="00B832E0" w:rsidDel="00C34988">
              <w:rPr>
                <w:rFonts w:cs="Arial"/>
                <w:szCs w:val="16"/>
              </w:rPr>
              <w:t> </w:t>
            </w:r>
          </w:p>
        </w:tc>
      </w:tr>
      <w:tr w:rsidR="00FC0BFF" w:rsidRPr="00B832E0" w14:paraId="59A9DA90" w14:textId="77777777" w:rsidTr="00D36321">
        <w:trPr>
          <w:trHeight w:val="227"/>
        </w:trPr>
        <w:tc>
          <w:tcPr>
            <w:tcW w:w="11539" w:type="dxa"/>
            <w:gridSpan w:val="6"/>
            <w:shd w:val="clear" w:color="auto" w:fill="E6F2FF"/>
          </w:tcPr>
          <w:p w14:paraId="7136AD78" w14:textId="77777777" w:rsidR="00FC0BFF" w:rsidRPr="00B832E0" w:rsidRDefault="00FC0BFF" w:rsidP="00D36321">
            <w:pPr>
              <w:pStyle w:val="TableColumnHeadingLeft"/>
              <w:spacing w:before="0"/>
            </w:pPr>
            <w:r w:rsidRPr="00B832E0">
              <w:t>Employment and Workplace Relations</w:t>
            </w:r>
          </w:p>
        </w:tc>
      </w:tr>
      <w:tr w:rsidR="00FC0BFF" w:rsidRPr="00B832E0" w14:paraId="43409938" w14:textId="77777777" w:rsidTr="00D36321">
        <w:trPr>
          <w:trHeight w:val="227"/>
        </w:trPr>
        <w:tc>
          <w:tcPr>
            <w:tcW w:w="2991" w:type="dxa"/>
            <w:shd w:val="clear" w:color="auto" w:fill="auto"/>
          </w:tcPr>
          <w:p w14:paraId="6432BDD2" w14:textId="77777777" w:rsidR="00FC0BFF" w:rsidRPr="00B832E0" w:rsidRDefault="00FC0BFF" w:rsidP="00D36321">
            <w:pPr>
              <w:pStyle w:val="TableTextLeft"/>
              <w:spacing w:before="0"/>
            </w:pPr>
            <w:r w:rsidRPr="005A0A62">
              <w:t xml:space="preserve">Australian Apprenticeship </w:t>
            </w:r>
            <w:r w:rsidRPr="00B832E0">
              <w:t>Support Loans Program</w:t>
            </w:r>
          </w:p>
        </w:tc>
        <w:tc>
          <w:tcPr>
            <w:tcW w:w="1829" w:type="dxa"/>
            <w:shd w:val="clear" w:color="auto" w:fill="auto"/>
          </w:tcPr>
          <w:p w14:paraId="09A916A1" w14:textId="5D535475" w:rsidR="00FC0BFF" w:rsidRPr="00B832E0" w:rsidRDefault="008340DA" w:rsidP="00D36321">
            <w:pPr>
              <w:pStyle w:val="TableTextRight"/>
              <w:spacing w:before="0"/>
            </w:pPr>
            <w:r>
              <w:t>88</w:t>
            </w:r>
            <w:r w:rsidR="003A53A8">
              <w:t>4</w:t>
            </w:r>
          </w:p>
        </w:tc>
        <w:tc>
          <w:tcPr>
            <w:tcW w:w="2587" w:type="dxa"/>
            <w:shd w:val="clear" w:color="auto" w:fill="auto"/>
          </w:tcPr>
          <w:p w14:paraId="36D5E333" w14:textId="77777777" w:rsidR="00FC0BFF" w:rsidRPr="00B832E0" w:rsidRDefault="00FC0BFF" w:rsidP="00D36321">
            <w:pPr>
              <w:pStyle w:val="TableTextLeft"/>
              <w:spacing w:before="0"/>
            </w:pPr>
            <w:r w:rsidRPr="00B832E0">
              <w:rPr>
                <w:rFonts w:cs="Arial"/>
                <w:szCs w:val="16"/>
              </w:rPr>
              <w:t>Eligible Australian Apprentices </w:t>
            </w:r>
          </w:p>
        </w:tc>
        <w:tc>
          <w:tcPr>
            <w:tcW w:w="1425" w:type="dxa"/>
            <w:shd w:val="clear" w:color="auto" w:fill="auto"/>
          </w:tcPr>
          <w:p w14:paraId="4679E4A8" w14:textId="77777777" w:rsidR="00FC0BFF" w:rsidRPr="00B832E0" w:rsidRDefault="00FC0BFF" w:rsidP="00D36321">
            <w:pPr>
              <w:pStyle w:val="TableTextLeft"/>
              <w:spacing w:before="0"/>
            </w:pPr>
            <w:r>
              <w:rPr>
                <w:rFonts w:cs="Arial"/>
                <w:szCs w:val="16"/>
              </w:rPr>
              <w:t>The lower of WPI or CPI</w:t>
            </w:r>
            <w:r w:rsidRPr="00B832E0">
              <w:rPr>
                <w:rFonts w:cs="Arial"/>
                <w:szCs w:val="16"/>
              </w:rPr>
              <w:t xml:space="preserve"> growth </w:t>
            </w:r>
          </w:p>
        </w:tc>
        <w:tc>
          <w:tcPr>
            <w:tcW w:w="1567" w:type="dxa"/>
            <w:shd w:val="clear" w:color="auto" w:fill="auto"/>
          </w:tcPr>
          <w:p w14:paraId="4D45E5A9" w14:textId="77777777" w:rsidR="00FC0BFF" w:rsidRPr="00B832E0" w:rsidRDefault="00FC0BFF" w:rsidP="00D36321">
            <w:pPr>
              <w:pStyle w:val="TableTextLeft"/>
              <w:spacing w:before="0"/>
              <w:rPr>
                <w:color w:val="000000"/>
              </w:rPr>
            </w:pPr>
            <w:r w:rsidRPr="00B832E0">
              <w:rPr>
                <w:rFonts w:cs="Arial"/>
                <w:color w:val="000000"/>
                <w:szCs w:val="16"/>
              </w:rPr>
              <w:t> </w:t>
            </w:r>
          </w:p>
        </w:tc>
        <w:tc>
          <w:tcPr>
            <w:tcW w:w="1140" w:type="dxa"/>
          </w:tcPr>
          <w:p w14:paraId="0D885C10" w14:textId="77777777" w:rsidR="00FC0BFF" w:rsidRPr="00B832E0" w:rsidRDefault="00FC0BFF" w:rsidP="00D36321">
            <w:pPr>
              <w:pStyle w:val="TableTextLeft"/>
              <w:spacing w:before="0"/>
              <w:rPr>
                <w:color w:val="000000"/>
              </w:rPr>
            </w:pPr>
            <w:r>
              <w:rPr>
                <w:rFonts w:cs="Arial"/>
                <w:szCs w:val="16"/>
              </w:rPr>
              <w:t>Modified</w:t>
            </w:r>
            <w:r w:rsidRPr="00B832E0">
              <w:rPr>
                <w:rFonts w:cs="Arial"/>
                <w:szCs w:val="16"/>
              </w:rPr>
              <w:t> </w:t>
            </w:r>
          </w:p>
        </w:tc>
      </w:tr>
      <w:tr w:rsidR="00FC0BFF" w:rsidRPr="00B832E0" w14:paraId="44A6A006" w14:textId="77777777" w:rsidTr="00D36321">
        <w:trPr>
          <w:trHeight w:val="227"/>
        </w:trPr>
        <w:tc>
          <w:tcPr>
            <w:tcW w:w="2991" w:type="dxa"/>
            <w:shd w:val="clear" w:color="auto" w:fill="auto"/>
          </w:tcPr>
          <w:p w14:paraId="2042D728" w14:textId="77777777" w:rsidR="00FC0BFF" w:rsidRPr="00B832E0" w:rsidRDefault="00FC0BFF" w:rsidP="00D36321">
            <w:pPr>
              <w:pStyle w:val="TableTextLeft"/>
              <w:spacing w:before="0"/>
            </w:pPr>
            <w:r w:rsidRPr="00B832E0">
              <w:t>VET Student Loans Program</w:t>
            </w:r>
          </w:p>
        </w:tc>
        <w:tc>
          <w:tcPr>
            <w:tcW w:w="1829" w:type="dxa"/>
            <w:shd w:val="clear" w:color="auto" w:fill="auto"/>
          </w:tcPr>
          <w:p w14:paraId="3F44DCE4" w14:textId="60DBF46E" w:rsidR="00FC0BFF" w:rsidRPr="00B832E0" w:rsidRDefault="00FC0BFF" w:rsidP="00D36321">
            <w:pPr>
              <w:pStyle w:val="TableTextRight"/>
              <w:spacing w:before="0"/>
            </w:pPr>
            <w:r>
              <w:t>3,</w:t>
            </w:r>
            <w:r w:rsidR="001D4B49">
              <w:t>726</w:t>
            </w:r>
          </w:p>
        </w:tc>
        <w:tc>
          <w:tcPr>
            <w:tcW w:w="2587" w:type="dxa"/>
            <w:shd w:val="clear" w:color="auto" w:fill="auto"/>
          </w:tcPr>
          <w:p w14:paraId="4FDAFBFB" w14:textId="77777777" w:rsidR="00FC0BFF" w:rsidRPr="00B832E0" w:rsidRDefault="00FC0BFF" w:rsidP="00D36321">
            <w:pPr>
              <w:pStyle w:val="TableTextLeft"/>
              <w:spacing w:before="0"/>
            </w:pPr>
            <w:r w:rsidRPr="00B832E0">
              <w:rPr>
                <w:rFonts w:cs="Arial"/>
                <w:szCs w:val="16"/>
              </w:rPr>
              <w:t>Eligible diploma and above students </w:t>
            </w:r>
          </w:p>
        </w:tc>
        <w:tc>
          <w:tcPr>
            <w:tcW w:w="1425" w:type="dxa"/>
            <w:shd w:val="clear" w:color="auto" w:fill="auto"/>
          </w:tcPr>
          <w:p w14:paraId="1F01AE44" w14:textId="77777777" w:rsidR="00FC0BFF" w:rsidRPr="00B832E0" w:rsidRDefault="00FC0BFF" w:rsidP="00D36321">
            <w:pPr>
              <w:pStyle w:val="TableTextLeft"/>
              <w:spacing w:before="0"/>
            </w:pPr>
            <w:r>
              <w:rPr>
                <w:rFonts w:cs="Arial"/>
                <w:szCs w:val="16"/>
              </w:rPr>
              <w:t>The lower of WPI or CPI growth</w:t>
            </w:r>
          </w:p>
        </w:tc>
        <w:tc>
          <w:tcPr>
            <w:tcW w:w="1567" w:type="dxa"/>
            <w:shd w:val="clear" w:color="auto" w:fill="auto"/>
          </w:tcPr>
          <w:p w14:paraId="1E8737A1" w14:textId="40FEB42C" w:rsidR="00FC0BFF" w:rsidRPr="00B832E0" w:rsidRDefault="00FC0BFF" w:rsidP="00D36321">
            <w:pPr>
              <w:pStyle w:val="TableTextLeft"/>
              <w:spacing w:before="0"/>
              <w:rPr>
                <w:color w:val="000000"/>
              </w:rPr>
            </w:pPr>
            <w:r w:rsidRPr="00B832E0">
              <w:rPr>
                <w:rFonts w:cs="Arial"/>
                <w:color w:val="000000"/>
                <w:szCs w:val="16"/>
              </w:rPr>
              <w:t> </w:t>
            </w:r>
            <w:r w:rsidR="00715B2E">
              <w:rPr>
                <w:rFonts w:cs="Arial"/>
                <w:color w:val="000000"/>
                <w:szCs w:val="16"/>
              </w:rPr>
              <w:t xml:space="preserve">2.1 years </w:t>
            </w:r>
            <w:r w:rsidR="00B327BB">
              <w:rPr>
                <w:rFonts w:cs="Arial"/>
                <w:color w:val="000000"/>
                <w:szCs w:val="16"/>
              </w:rPr>
              <w:t>(average)</w:t>
            </w:r>
          </w:p>
        </w:tc>
        <w:tc>
          <w:tcPr>
            <w:tcW w:w="1140" w:type="dxa"/>
          </w:tcPr>
          <w:p w14:paraId="446DD58F" w14:textId="5BB0C3D8" w:rsidR="00FC0BFF" w:rsidRPr="00B832E0" w:rsidRDefault="00FC0BFF" w:rsidP="00D36321">
            <w:pPr>
              <w:pStyle w:val="TableTextLeft"/>
              <w:spacing w:before="0"/>
            </w:pPr>
            <w:r w:rsidDel="009A252B">
              <w:rPr>
                <w:rFonts w:cs="Arial"/>
                <w:szCs w:val="16"/>
              </w:rPr>
              <w:t>Modified</w:t>
            </w:r>
          </w:p>
        </w:tc>
      </w:tr>
      <w:tr w:rsidR="00FC0BFF" w:rsidRPr="00B832E0" w14:paraId="41D3D045" w14:textId="77777777" w:rsidTr="00D36321">
        <w:trPr>
          <w:trHeight w:val="227"/>
        </w:trPr>
        <w:tc>
          <w:tcPr>
            <w:tcW w:w="11539" w:type="dxa"/>
            <w:gridSpan w:val="6"/>
            <w:shd w:val="clear" w:color="auto" w:fill="E6F2FF"/>
          </w:tcPr>
          <w:p w14:paraId="4755CE30" w14:textId="77777777" w:rsidR="00FC0BFF" w:rsidRPr="00B832E0" w:rsidRDefault="00FC0BFF" w:rsidP="00D36321">
            <w:pPr>
              <w:pStyle w:val="TableColumnHeadingLeft"/>
              <w:spacing w:before="0"/>
              <w:rPr>
                <w:color w:val="000000"/>
              </w:rPr>
            </w:pPr>
            <w:r w:rsidRPr="00B832E0">
              <w:t>Foreign Affairs and Trade</w:t>
            </w:r>
          </w:p>
        </w:tc>
      </w:tr>
      <w:tr w:rsidR="00FC0BFF" w:rsidRPr="00B832E0" w14:paraId="23B1EA6D" w14:textId="77777777" w:rsidTr="00D36321">
        <w:trPr>
          <w:trHeight w:val="227"/>
        </w:trPr>
        <w:tc>
          <w:tcPr>
            <w:tcW w:w="2991" w:type="dxa"/>
            <w:shd w:val="clear" w:color="auto" w:fill="auto"/>
          </w:tcPr>
          <w:p w14:paraId="75E9AFD2" w14:textId="77777777" w:rsidR="00FC0BFF" w:rsidRDefault="00FC0BFF" w:rsidP="00D36321">
            <w:pPr>
              <w:pStyle w:val="TableTextLeft"/>
              <w:spacing w:before="0"/>
            </w:pPr>
            <w:r>
              <w:t xml:space="preserve">Government support for </w:t>
            </w:r>
            <w:proofErr w:type="spellStart"/>
            <w:r>
              <w:t>PsiQuantum</w:t>
            </w:r>
            <w:proofErr w:type="spellEnd"/>
            <w:r>
              <w:t xml:space="preserve"> Pty Ltd</w:t>
            </w:r>
          </w:p>
        </w:tc>
        <w:tc>
          <w:tcPr>
            <w:tcW w:w="1829" w:type="dxa"/>
            <w:shd w:val="clear" w:color="auto" w:fill="auto"/>
          </w:tcPr>
          <w:p w14:paraId="210AF371" w14:textId="713CF753" w:rsidR="00FC0BFF" w:rsidRDefault="00976219" w:rsidP="00D36321">
            <w:pPr>
              <w:pStyle w:val="TableTextRight"/>
              <w:spacing w:before="0"/>
            </w:pPr>
            <w:r>
              <w:t>188</w:t>
            </w:r>
          </w:p>
        </w:tc>
        <w:tc>
          <w:tcPr>
            <w:tcW w:w="2587" w:type="dxa"/>
            <w:shd w:val="clear" w:color="auto" w:fill="auto"/>
          </w:tcPr>
          <w:p w14:paraId="3C29FC1C" w14:textId="5102F9B7" w:rsidR="00FC0BFF" w:rsidRPr="00B832E0" w:rsidRDefault="00FC0BFF" w:rsidP="00D36321">
            <w:pPr>
              <w:pStyle w:val="TableTextLeft"/>
              <w:spacing w:before="0"/>
              <w:rPr>
                <w:rFonts w:cs="Arial"/>
                <w:szCs w:val="16"/>
              </w:rPr>
            </w:pPr>
            <w:proofErr w:type="spellStart"/>
            <w:r>
              <w:rPr>
                <w:rFonts w:cs="Arial"/>
                <w:szCs w:val="16"/>
              </w:rPr>
              <w:t>PsiQuantum</w:t>
            </w:r>
            <w:proofErr w:type="spellEnd"/>
            <w:r>
              <w:rPr>
                <w:rFonts w:cs="Arial"/>
                <w:szCs w:val="16"/>
              </w:rPr>
              <w:t xml:space="preserve"> Pty Ltd</w:t>
            </w:r>
            <w:r w:rsidR="00976219">
              <w:rPr>
                <w:rFonts w:cs="Arial"/>
                <w:szCs w:val="16"/>
              </w:rPr>
              <w:t xml:space="preserve"> and </w:t>
            </w:r>
            <w:proofErr w:type="spellStart"/>
            <w:r w:rsidR="00976219">
              <w:rPr>
                <w:rFonts w:cs="Arial"/>
                <w:szCs w:val="16"/>
              </w:rPr>
              <w:t>PsiQuantum</w:t>
            </w:r>
            <w:proofErr w:type="spellEnd"/>
            <w:r w:rsidR="00976219">
              <w:rPr>
                <w:rFonts w:cs="Arial"/>
                <w:szCs w:val="16"/>
              </w:rPr>
              <w:t xml:space="preserve"> Corporation</w:t>
            </w:r>
          </w:p>
        </w:tc>
        <w:tc>
          <w:tcPr>
            <w:tcW w:w="1425" w:type="dxa"/>
            <w:shd w:val="clear" w:color="auto" w:fill="auto"/>
          </w:tcPr>
          <w:p w14:paraId="31B991A5" w14:textId="72CF8209" w:rsidR="00FC0BFF" w:rsidRPr="00B832E0" w:rsidRDefault="003971E3" w:rsidP="00D36321">
            <w:pPr>
              <w:pStyle w:val="TableTextLeft"/>
              <w:spacing w:before="0"/>
              <w:rPr>
                <w:rFonts w:cs="Arial"/>
                <w:szCs w:val="16"/>
              </w:rPr>
            </w:pPr>
            <w:r w:rsidRPr="00B832E0">
              <w:rPr>
                <w:rFonts w:cs="Arial"/>
                <w:szCs w:val="16"/>
              </w:rPr>
              <w:t>Commercial</w:t>
            </w:r>
            <w:r w:rsidR="00B63FC6">
              <w:rPr>
                <w:rFonts w:cs="Arial"/>
                <w:szCs w:val="16"/>
              </w:rPr>
              <w:noBreakHyphen/>
            </w:r>
            <w:r w:rsidRPr="00B832E0">
              <w:rPr>
                <w:rFonts w:cs="Arial"/>
                <w:szCs w:val="16"/>
              </w:rPr>
              <w:t>in</w:t>
            </w:r>
            <w:r w:rsidR="00B63FC6">
              <w:rPr>
                <w:rFonts w:cs="Arial"/>
                <w:szCs w:val="16"/>
              </w:rPr>
              <w:noBreakHyphen/>
            </w:r>
            <w:r w:rsidRPr="00B832E0">
              <w:rPr>
                <w:rFonts w:cs="Arial"/>
                <w:szCs w:val="16"/>
              </w:rPr>
              <w:t> </w:t>
            </w:r>
            <w:r w:rsidRPr="00B832E0">
              <w:rPr>
                <w:rFonts w:cs="Arial"/>
                <w:szCs w:val="16"/>
              </w:rPr>
              <w:br/>
              <w:t>confidence </w:t>
            </w:r>
          </w:p>
        </w:tc>
        <w:tc>
          <w:tcPr>
            <w:tcW w:w="1567" w:type="dxa"/>
            <w:shd w:val="clear" w:color="auto" w:fill="auto"/>
          </w:tcPr>
          <w:p w14:paraId="371527C1" w14:textId="2DCE2BFB" w:rsidR="00FC0BFF" w:rsidRPr="00B832E0" w:rsidRDefault="003971E3" w:rsidP="00D36321">
            <w:pPr>
              <w:pStyle w:val="TableTextLeft"/>
              <w:spacing w:before="0"/>
              <w:rPr>
                <w:rFonts w:cs="Arial"/>
                <w:szCs w:val="16"/>
              </w:rPr>
            </w:pPr>
            <w:r w:rsidRPr="00B832E0">
              <w:rPr>
                <w:rFonts w:cs="Arial"/>
                <w:szCs w:val="16"/>
              </w:rPr>
              <w:t>Commercial</w:t>
            </w:r>
            <w:r w:rsidR="00B63FC6">
              <w:rPr>
                <w:rFonts w:cs="Arial"/>
                <w:szCs w:val="16"/>
              </w:rPr>
              <w:noBreakHyphen/>
            </w:r>
            <w:r w:rsidRPr="00B832E0">
              <w:rPr>
                <w:rFonts w:cs="Arial"/>
                <w:szCs w:val="16"/>
              </w:rPr>
              <w:t>in</w:t>
            </w:r>
            <w:r w:rsidR="00B63FC6">
              <w:rPr>
                <w:rFonts w:cs="Arial"/>
                <w:szCs w:val="16"/>
              </w:rPr>
              <w:noBreakHyphen/>
            </w:r>
            <w:r w:rsidRPr="00B832E0">
              <w:rPr>
                <w:rFonts w:cs="Arial"/>
                <w:szCs w:val="16"/>
              </w:rPr>
              <w:t> </w:t>
            </w:r>
            <w:r w:rsidRPr="00B832E0">
              <w:rPr>
                <w:rFonts w:cs="Arial"/>
                <w:szCs w:val="16"/>
              </w:rPr>
              <w:br/>
              <w:t>confidence </w:t>
            </w:r>
          </w:p>
        </w:tc>
        <w:tc>
          <w:tcPr>
            <w:tcW w:w="1140" w:type="dxa"/>
          </w:tcPr>
          <w:p w14:paraId="41A2F586" w14:textId="4AE92369" w:rsidR="00FC0BFF" w:rsidRDefault="00976219" w:rsidP="00D36321">
            <w:pPr>
              <w:pStyle w:val="TableTextLeft"/>
              <w:spacing w:before="0"/>
              <w:rPr>
                <w:rFonts w:cs="Arial"/>
                <w:szCs w:val="16"/>
              </w:rPr>
            </w:pPr>
            <w:r>
              <w:rPr>
                <w:rFonts w:cs="Arial"/>
                <w:szCs w:val="16"/>
              </w:rPr>
              <w:t>Modified</w:t>
            </w:r>
          </w:p>
        </w:tc>
      </w:tr>
      <w:tr w:rsidR="00FC0BFF" w:rsidRPr="00B832E0" w14:paraId="5669C6EA" w14:textId="77777777" w:rsidTr="00D36321">
        <w:trPr>
          <w:trHeight w:val="227"/>
        </w:trPr>
        <w:tc>
          <w:tcPr>
            <w:tcW w:w="2991" w:type="dxa"/>
            <w:shd w:val="clear" w:color="auto" w:fill="auto"/>
          </w:tcPr>
          <w:p w14:paraId="7B7B1BC7" w14:textId="77777777" w:rsidR="00FC0BFF" w:rsidRPr="00B832E0" w:rsidRDefault="00FC0BFF" w:rsidP="00D36321">
            <w:pPr>
              <w:pStyle w:val="TableTextLeft"/>
              <w:spacing w:before="0"/>
              <w:rPr>
                <w:vertAlign w:val="superscript"/>
              </w:rPr>
            </w:pPr>
            <w:r>
              <w:t>Telstra acquisition of Digicel Pacific</w:t>
            </w:r>
          </w:p>
        </w:tc>
        <w:tc>
          <w:tcPr>
            <w:tcW w:w="1829" w:type="dxa"/>
            <w:shd w:val="clear" w:color="auto" w:fill="auto"/>
          </w:tcPr>
          <w:p w14:paraId="3CE5ACBC" w14:textId="6D006183" w:rsidR="00FC0BFF" w:rsidRPr="00B832E0" w:rsidRDefault="00FC0BFF" w:rsidP="00D36321">
            <w:pPr>
              <w:pStyle w:val="TableTextRight"/>
              <w:spacing w:before="0"/>
            </w:pPr>
            <w:r>
              <w:t>2,</w:t>
            </w:r>
            <w:r w:rsidR="00976219">
              <w:t>200</w:t>
            </w:r>
            <w:r>
              <w:t xml:space="preserve"> </w:t>
            </w:r>
          </w:p>
        </w:tc>
        <w:tc>
          <w:tcPr>
            <w:tcW w:w="2587" w:type="dxa"/>
            <w:shd w:val="clear" w:color="auto" w:fill="auto"/>
          </w:tcPr>
          <w:p w14:paraId="668957BA" w14:textId="2740B8C9" w:rsidR="00BD0221" w:rsidRPr="00BD0221" w:rsidRDefault="00FC0BFF" w:rsidP="00D36321">
            <w:pPr>
              <w:pStyle w:val="TableTextLeft"/>
              <w:spacing w:before="0"/>
            </w:pPr>
            <w:r w:rsidRPr="00B832E0">
              <w:rPr>
                <w:rFonts w:cs="Arial"/>
                <w:szCs w:val="16"/>
              </w:rPr>
              <w:t>Telstra </w:t>
            </w:r>
          </w:p>
          <w:p w14:paraId="5220837C" w14:textId="77777777" w:rsidR="00BD0221" w:rsidRPr="00BD0221" w:rsidRDefault="00BD0221" w:rsidP="00D36321">
            <w:pPr>
              <w:pStyle w:val="TableTextLeft"/>
              <w:spacing w:before="0"/>
            </w:pPr>
          </w:p>
        </w:tc>
        <w:tc>
          <w:tcPr>
            <w:tcW w:w="1425" w:type="dxa"/>
            <w:shd w:val="clear" w:color="auto" w:fill="auto"/>
          </w:tcPr>
          <w:p w14:paraId="4461080F" w14:textId="25F72EB7" w:rsidR="00FC0BFF" w:rsidRPr="00B832E0" w:rsidRDefault="00FC0BFF" w:rsidP="00D36321">
            <w:pPr>
              <w:pStyle w:val="TableTextLeft"/>
              <w:spacing w:before="0"/>
            </w:pPr>
            <w:r w:rsidRPr="00B832E0">
              <w:rPr>
                <w:rFonts w:cs="Arial"/>
                <w:szCs w:val="16"/>
              </w:rPr>
              <w:t>Commercial</w:t>
            </w:r>
            <w:r w:rsidR="00B63FC6">
              <w:rPr>
                <w:rFonts w:cs="Arial"/>
                <w:szCs w:val="16"/>
              </w:rPr>
              <w:noBreakHyphen/>
            </w:r>
            <w:r w:rsidRPr="00B832E0">
              <w:rPr>
                <w:rFonts w:cs="Arial"/>
                <w:szCs w:val="16"/>
              </w:rPr>
              <w:t>in</w:t>
            </w:r>
            <w:r w:rsidR="00B63FC6">
              <w:rPr>
                <w:rFonts w:cs="Arial"/>
                <w:szCs w:val="16"/>
              </w:rPr>
              <w:noBreakHyphen/>
            </w:r>
            <w:r w:rsidRPr="00B832E0">
              <w:rPr>
                <w:rFonts w:cs="Arial"/>
                <w:szCs w:val="16"/>
              </w:rPr>
              <w:t> </w:t>
            </w:r>
            <w:r w:rsidRPr="00B832E0">
              <w:rPr>
                <w:rFonts w:cs="Arial"/>
                <w:szCs w:val="16"/>
              </w:rPr>
              <w:br/>
              <w:t>confidence </w:t>
            </w:r>
          </w:p>
        </w:tc>
        <w:tc>
          <w:tcPr>
            <w:tcW w:w="1567" w:type="dxa"/>
            <w:shd w:val="clear" w:color="auto" w:fill="auto"/>
          </w:tcPr>
          <w:p w14:paraId="597F0363" w14:textId="77777777" w:rsidR="00FC0BFF" w:rsidRPr="00B832E0" w:rsidRDefault="00FC0BFF" w:rsidP="00D36321">
            <w:pPr>
              <w:pStyle w:val="TableTextLeft"/>
              <w:spacing w:before="0"/>
            </w:pPr>
            <w:r w:rsidRPr="00B832E0">
              <w:rPr>
                <w:rFonts w:cs="Arial"/>
                <w:szCs w:val="16"/>
              </w:rPr>
              <w:t>Various </w:t>
            </w:r>
          </w:p>
        </w:tc>
        <w:tc>
          <w:tcPr>
            <w:tcW w:w="1140" w:type="dxa"/>
          </w:tcPr>
          <w:p w14:paraId="78B1C1EE" w14:textId="0FE6AB2D" w:rsidR="00FC0BFF" w:rsidRPr="00B832E0" w:rsidRDefault="00FC0BFF" w:rsidP="00D36321">
            <w:pPr>
              <w:pStyle w:val="TableTextLeft"/>
              <w:spacing w:before="0"/>
            </w:pPr>
            <w:r w:rsidDel="00976219">
              <w:rPr>
                <w:rFonts w:cs="Arial"/>
                <w:szCs w:val="16"/>
              </w:rPr>
              <w:t>Modified</w:t>
            </w:r>
          </w:p>
        </w:tc>
      </w:tr>
    </w:tbl>
    <w:p w14:paraId="3300D7CD" w14:textId="61BC1B43" w:rsidR="00FC0BFF" w:rsidRPr="00B832E0" w:rsidRDefault="00FC0BFF" w:rsidP="00FC0BFF">
      <w:pPr>
        <w:pStyle w:val="TableHeadingcontinued"/>
        <w:rPr>
          <w:rFonts w:eastAsia="Arial"/>
        </w:rPr>
      </w:pPr>
      <w:bookmarkStart w:id="101" w:name="_Hlk71274754"/>
      <w:bookmarkStart w:id="102" w:name="_Hlk71311815"/>
      <w:r w:rsidRPr="00010F87">
        <w:rPr>
          <w:rFonts w:eastAsia="Arial"/>
        </w:rPr>
        <w:lastRenderedPageBreak/>
        <w:t xml:space="preserve">Table </w:t>
      </w:r>
      <w:r w:rsidR="00AB5A5E" w:rsidRPr="00010F87">
        <w:rPr>
          <w:rFonts w:eastAsia="Arial"/>
        </w:rPr>
        <w:t>6</w:t>
      </w:r>
      <w:r w:rsidRPr="00010F87">
        <w:rPr>
          <w:rFonts w:eastAsia="Arial"/>
        </w:rPr>
        <w:t>.3</w:t>
      </w:r>
      <w:r w:rsidRPr="00B832E0">
        <w:rPr>
          <w:rFonts w:eastAsia="Arial"/>
        </w:rPr>
        <w:t>: Summary of Australian Government loans meeting the materiality threshold (continued)</w:t>
      </w:r>
      <w:bookmarkEnd w:id="101"/>
    </w:p>
    <w:tbl>
      <w:tblPr>
        <w:tblW w:w="5000" w:type="pct"/>
        <w:tblBorders>
          <w:top w:val="single" w:sz="4" w:space="0" w:color="002A54" w:themeColor="text2"/>
          <w:bottom w:val="single" w:sz="4" w:space="0" w:color="002A54" w:themeColor="text2"/>
          <w:insideH w:val="single" w:sz="4" w:space="0" w:color="002A54" w:themeColor="text2"/>
        </w:tblBorders>
        <w:tblLayout w:type="fixed"/>
        <w:tblLook w:val="04A0" w:firstRow="1" w:lastRow="0" w:firstColumn="1" w:lastColumn="0" w:noHBand="0" w:noVBand="1"/>
        <w:tblCaption w:val="Table"/>
      </w:tblPr>
      <w:tblGrid>
        <w:gridCol w:w="2990"/>
        <w:gridCol w:w="1830"/>
        <w:gridCol w:w="2564"/>
        <w:gridCol w:w="1481"/>
        <w:gridCol w:w="1453"/>
        <w:gridCol w:w="1221"/>
      </w:tblGrid>
      <w:tr w:rsidR="00FC0BFF" w:rsidRPr="00B832E0" w14:paraId="46A6C28E" w14:textId="77777777" w:rsidTr="00191C51">
        <w:trPr>
          <w:trHeight w:val="227"/>
          <w:tblHeader/>
        </w:trPr>
        <w:tc>
          <w:tcPr>
            <w:tcW w:w="2990" w:type="dxa"/>
            <w:shd w:val="clear" w:color="auto" w:fill="E6F2FF"/>
            <w:vAlign w:val="bottom"/>
          </w:tcPr>
          <w:p w14:paraId="42639051" w14:textId="77777777" w:rsidR="00FC0BFF" w:rsidRPr="001A1A6F" w:rsidRDefault="00FC0BFF" w:rsidP="001A1A6F">
            <w:pPr>
              <w:pStyle w:val="TableColumnHeadingLeft"/>
              <w:spacing w:before="0"/>
            </w:pPr>
            <w:bookmarkStart w:id="103" w:name="_Hlk165618902"/>
            <w:bookmarkEnd w:id="102"/>
            <w:r w:rsidRPr="001A1A6F">
              <w:t>Portfolio</w:t>
            </w:r>
          </w:p>
        </w:tc>
        <w:tc>
          <w:tcPr>
            <w:tcW w:w="1830" w:type="dxa"/>
            <w:shd w:val="clear" w:color="auto" w:fill="E6F2FF"/>
          </w:tcPr>
          <w:p w14:paraId="00A439CA" w14:textId="77777777" w:rsidR="00FC0BFF" w:rsidRPr="00B832E0" w:rsidRDefault="00FC0BFF" w:rsidP="001A1A6F">
            <w:pPr>
              <w:pStyle w:val="TableColumnHeadingCentred"/>
              <w:spacing w:before="0"/>
              <w:rPr>
                <w:rFonts w:ascii="Arial" w:hAnsi="Arial" w:cs="Arial"/>
                <w:szCs w:val="16"/>
              </w:rPr>
            </w:pPr>
            <w:r w:rsidRPr="00B832E0">
              <w:t>Loan amount</w:t>
            </w:r>
            <w:r w:rsidRPr="00B832E0">
              <w:rPr>
                <w:sz w:val="18"/>
                <w:szCs w:val="18"/>
                <w:vertAlign w:val="superscript"/>
              </w:rPr>
              <w:t xml:space="preserve">(a) </w:t>
            </w:r>
            <w:r w:rsidRPr="00B832E0">
              <w:rPr>
                <w:szCs w:val="16"/>
              </w:rPr>
              <w:t>($m)</w:t>
            </w:r>
          </w:p>
        </w:tc>
        <w:tc>
          <w:tcPr>
            <w:tcW w:w="2564" w:type="dxa"/>
            <w:shd w:val="clear" w:color="auto" w:fill="E6F2FF"/>
            <w:vAlign w:val="bottom"/>
          </w:tcPr>
          <w:p w14:paraId="37499D00" w14:textId="77777777" w:rsidR="00FC0BFF" w:rsidRPr="00B832E0" w:rsidRDefault="00FC0BFF" w:rsidP="001A1A6F">
            <w:pPr>
              <w:pStyle w:val="TableColumnHeadingLeft"/>
              <w:spacing w:before="0"/>
              <w:rPr>
                <w:rFonts w:ascii="Arial" w:hAnsi="Arial" w:cs="Arial"/>
                <w:szCs w:val="16"/>
              </w:rPr>
            </w:pPr>
            <w:r w:rsidRPr="00B832E0">
              <w:t>Borrower</w:t>
            </w:r>
          </w:p>
        </w:tc>
        <w:tc>
          <w:tcPr>
            <w:tcW w:w="1481" w:type="dxa"/>
            <w:shd w:val="clear" w:color="auto" w:fill="E6F2FF"/>
            <w:vAlign w:val="bottom"/>
          </w:tcPr>
          <w:p w14:paraId="1E18DFB2" w14:textId="77777777" w:rsidR="00FC0BFF" w:rsidRPr="00B832E0" w:rsidRDefault="00FC0BFF" w:rsidP="001A1A6F">
            <w:pPr>
              <w:pStyle w:val="TableColumnHeadingLeft"/>
              <w:spacing w:before="0"/>
              <w:rPr>
                <w:rFonts w:ascii="Arial" w:hAnsi="Arial" w:cs="Arial"/>
                <w:szCs w:val="16"/>
              </w:rPr>
            </w:pPr>
            <w:r w:rsidRPr="00B832E0">
              <w:t>Interest rate</w:t>
            </w:r>
          </w:p>
        </w:tc>
        <w:tc>
          <w:tcPr>
            <w:tcW w:w="1453" w:type="dxa"/>
            <w:shd w:val="clear" w:color="auto" w:fill="E6F2FF"/>
            <w:vAlign w:val="bottom"/>
          </w:tcPr>
          <w:p w14:paraId="3B4A74AC" w14:textId="77777777" w:rsidR="00FC0BFF" w:rsidRPr="00B832E0" w:rsidRDefault="00FC0BFF" w:rsidP="001A1A6F">
            <w:pPr>
              <w:pStyle w:val="TableColumnHeadingLeft"/>
              <w:spacing w:before="0"/>
              <w:rPr>
                <w:rFonts w:ascii="Arial" w:hAnsi="Arial" w:cs="Arial"/>
                <w:szCs w:val="16"/>
              </w:rPr>
            </w:pPr>
            <w:r w:rsidRPr="00B832E0">
              <w:t>Term</w:t>
            </w:r>
          </w:p>
        </w:tc>
        <w:tc>
          <w:tcPr>
            <w:tcW w:w="1221" w:type="dxa"/>
            <w:shd w:val="clear" w:color="auto" w:fill="E6F2FF"/>
            <w:vAlign w:val="bottom"/>
          </w:tcPr>
          <w:p w14:paraId="326ACF7D" w14:textId="77777777" w:rsidR="00FC0BFF" w:rsidRPr="00B832E0" w:rsidRDefault="00FC0BFF" w:rsidP="001A1A6F">
            <w:pPr>
              <w:pStyle w:val="TableColumnHeadingLeft"/>
              <w:spacing w:before="0"/>
              <w:rPr>
                <w:rFonts w:ascii="Arial" w:hAnsi="Arial" w:cs="Arial"/>
                <w:szCs w:val="16"/>
              </w:rPr>
            </w:pPr>
            <w:r w:rsidRPr="00B832E0">
              <w:t>Status</w:t>
            </w:r>
            <w:r w:rsidRPr="00B832E0">
              <w:rPr>
                <w:sz w:val="18"/>
                <w:szCs w:val="18"/>
                <w:vertAlign w:val="superscript"/>
              </w:rPr>
              <w:t>(b)</w:t>
            </w:r>
          </w:p>
        </w:tc>
      </w:tr>
      <w:tr w:rsidR="00FC0BFF" w:rsidRPr="00B832E0" w14:paraId="5B77976F" w14:textId="77777777" w:rsidTr="00191C51">
        <w:trPr>
          <w:trHeight w:val="227"/>
        </w:trPr>
        <w:tc>
          <w:tcPr>
            <w:tcW w:w="11539" w:type="dxa"/>
            <w:gridSpan w:val="6"/>
            <w:shd w:val="clear" w:color="auto" w:fill="E6F2FF"/>
          </w:tcPr>
          <w:p w14:paraId="06829AC1" w14:textId="77777777" w:rsidR="00FC0BFF" w:rsidRDefault="00FC0BFF" w:rsidP="001A1A6F">
            <w:pPr>
              <w:pStyle w:val="TableColumnHeadingLeft"/>
              <w:spacing w:before="0"/>
            </w:pPr>
            <w:r w:rsidRPr="00B832E0">
              <w:t>Industry, Science and Resources</w:t>
            </w:r>
          </w:p>
        </w:tc>
      </w:tr>
      <w:tr w:rsidR="00FC0BFF" w:rsidRPr="00B832E0" w14:paraId="19F367CC" w14:textId="77777777" w:rsidTr="00191C51">
        <w:trPr>
          <w:trHeight w:val="227"/>
        </w:trPr>
        <w:tc>
          <w:tcPr>
            <w:tcW w:w="2990" w:type="dxa"/>
          </w:tcPr>
          <w:p w14:paraId="15F95571" w14:textId="77777777" w:rsidR="00FC0BFF" w:rsidRPr="00B832E0" w:rsidRDefault="00FC0BFF" w:rsidP="001A1A6F">
            <w:pPr>
              <w:pStyle w:val="TableTextLeft"/>
              <w:spacing w:before="0"/>
            </w:pPr>
            <w:r>
              <w:t>National Reconstruction Fund Corporation</w:t>
            </w:r>
            <w:r w:rsidRPr="116C2317">
              <w:rPr>
                <w:rFonts w:cs="Arial"/>
                <w:sz w:val="12"/>
                <w:szCs w:val="12"/>
                <w:vertAlign w:val="superscript"/>
              </w:rPr>
              <w:t>(c)</w:t>
            </w:r>
          </w:p>
        </w:tc>
        <w:tc>
          <w:tcPr>
            <w:tcW w:w="1830" w:type="dxa"/>
            <w:shd w:val="clear" w:color="auto" w:fill="auto"/>
          </w:tcPr>
          <w:p w14:paraId="194F9AE8" w14:textId="77777777" w:rsidR="00FC0BFF" w:rsidRDefault="00FC0BFF" w:rsidP="001A1A6F">
            <w:pPr>
              <w:pStyle w:val="TableTextRight"/>
              <w:spacing w:before="0"/>
            </w:pPr>
            <w:r>
              <w:t>Various</w:t>
            </w:r>
          </w:p>
        </w:tc>
        <w:tc>
          <w:tcPr>
            <w:tcW w:w="2564" w:type="dxa"/>
            <w:shd w:val="clear" w:color="auto" w:fill="auto"/>
          </w:tcPr>
          <w:p w14:paraId="1DF67B5E" w14:textId="77777777" w:rsidR="00FC0BFF" w:rsidRPr="00B832E0" w:rsidRDefault="00FC0BFF" w:rsidP="001A1A6F">
            <w:pPr>
              <w:pStyle w:val="TableTextLeft"/>
              <w:spacing w:before="0"/>
            </w:pPr>
            <w:r w:rsidRPr="00B832E0">
              <w:t xml:space="preserve">To be determined </w:t>
            </w:r>
          </w:p>
        </w:tc>
        <w:tc>
          <w:tcPr>
            <w:tcW w:w="1481" w:type="dxa"/>
            <w:shd w:val="clear" w:color="auto" w:fill="auto"/>
          </w:tcPr>
          <w:p w14:paraId="13E78AC3" w14:textId="77777777" w:rsidR="00FC0BFF" w:rsidRPr="00B832E0" w:rsidRDefault="00FC0BFF" w:rsidP="001A1A6F">
            <w:pPr>
              <w:pStyle w:val="TableTextLeft"/>
              <w:spacing w:before="0"/>
            </w:pPr>
            <w:r w:rsidRPr="00B832E0">
              <w:t>To be determined</w:t>
            </w:r>
            <w:r>
              <w:t> </w:t>
            </w:r>
          </w:p>
        </w:tc>
        <w:tc>
          <w:tcPr>
            <w:tcW w:w="1453" w:type="dxa"/>
            <w:shd w:val="clear" w:color="auto" w:fill="auto"/>
          </w:tcPr>
          <w:p w14:paraId="34C30480" w14:textId="77777777" w:rsidR="00FC0BFF" w:rsidRPr="00B832E0" w:rsidRDefault="00FC0BFF" w:rsidP="001A1A6F">
            <w:pPr>
              <w:pStyle w:val="TableTextLeft"/>
              <w:spacing w:before="0"/>
            </w:pPr>
            <w:r w:rsidRPr="00B832E0">
              <w:t>To be determined </w:t>
            </w:r>
          </w:p>
        </w:tc>
        <w:tc>
          <w:tcPr>
            <w:tcW w:w="1221" w:type="dxa"/>
            <w:shd w:val="clear" w:color="auto" w:fill="auto"/>
          </w:tcPr>
          <w:p w14:paraId="38907C0A" w14:textId="074860C7" w:rsidR="00FC0BFF" w:rsidRDefault="00D847F0" w:rsidP="001A1A6F">
            <w:pPr>
              <w:pStyle w:val="TableTextLeft"/>
              <w:spacing w:before="0"/>
            </w:pPr>
            <w:r>
              <w:t>Unchanged</w:t>
            </w:r>
          </w:p>
        </w:tc>
      </w:tr>
      <w:tr w:rsidR="00FC0BFF" w:rsidRPr="00B832E0" w14:paraId="54A7607D" w14:textId="77777777" w:rsidTr="00191C51">
        <w:trPr>
          <w:trHeight w:val="227"/>
        </w:trPr>
        <w:tc>
          <w:tcPr>
            <w:tcW w:w="11539" w:type="dxa"/>
            <w:gridSpan w:val="6"/>
            <w:shd w:val="clear" w:color="auto" w:fill="E6F2FF"/>
          </w:tcPr>
          <w:p w14:paraId="29E1C09F" w14:textId="77777777" w:rsidR="00FC0BFF" w:rsidRDefault="00FC0BFF" w:rsidP="001A1A6F">
            <w:pPr>
              <w:pStyle w:val="TableColumnHeadingLeft"/>
              <w:spacing w:before="0"/>
            </w:pPr>
            <w:r w:rsidRPr="00D76D70">
              <w:t xml:space="preserve">Infrastructure, Transport, Regional Development, </w:t>
            </w:r>
            <w:proofErr w:type="gramStart"/>
            <w:r w:rsidRPr="00D76D70">
              <w:t>Communications</w:t>
            </w:r>
            <w:proofErr w:type="gramEnd"/>
            <w:r w:rsidRPr="00D76D70">
              <w:t xml:space="preserve"> and the Arts</w:t>
            </w:r>
          </w:p>
        </w:tc>
      </w:tr>
      <w:bookmarkEnd w:id="103"/>
      <w:tr w:rsidR="00FC0BFF" w:rsidRPr="00B832E0" w14:paraId="39CA653D" w14:textId="77777777" w:rsidTr="00191C51">
        <w:trPr>
          <w:trHeight w:val="227"/>
        </w:trPr>
        <w:tc>
          <w:tcPr>
            <w:tcW w:w="2990" w:type="dxa"/>
          </w:tcPr>
          <w:p w14:paraId="0C4C03F5" w14:textId="77777777" w:rsidR="00FC0BFF" w:rsidRPr="00B832E0" w:rsidRDefault="00FC0BFF" w:rsidP="001A1A6F">
            <w:pPr>
              <w:pStyle w:val="TableTextLeft"/>
              <w:spacing w:before="0"/>
            </w:pPr>
            <w:r w:rsidRPr="00B832E0">
              <w:t>Northern Australia Infrastructure Facility Loans</w:t>
            </w:r>
          </w:p>
        </w:tc>
        <w:tc>
          <w:tcPr>
            <w:tcW w:w="1830" w:type="dxa"/>
            <w:shd w:val="clear" w:color="auto" w:fill="auto"/>
          </w:tcPr>
          <w:p w14:paraId="5B407E1B" w14:textId="6BB48679" w:rsidR="00FC0BFF" w:rsidRPr="00B832E0" w:rsidRDefault="00FC0BFF" w:rsidP="001A1A6F">
            <w:pPr>
              <w:pStyle w:val="TableTextRight"/>
              <w:spacing w:before="0"/>
            </w:pPr>
            <w:r>
              <w:t>1,</w:t>
            </w:r>
            <w:r w:rsidR="00D847F0">
              <w:t>262</w:t>
            </w:r>
          </w:p>
        </w:tc>
        <w:tc>
          <w:tcPr>
            <w:tcW w:w="2564" w:type="dxa"/>
            <w:shd w:val="clear" w:color="auto" w:fill="auto"/>
          </w:tcPr>
          <w:p w14:paraId="5432C32D" w14:textId="0D6792A9" w:rsidR="00FC0BFF" w:rsidRPr="00B832E0" w:rsidRDefault="00FC0BFF" w:rsidP="001A1A6F">
            <w:pPr>
              <w:pStyle w:val="TableTextLeft"/>
              <w:spacing w:before="0"/>
            </w:pPr>
            <w:r w:rsidRPr="00B832E0">
              <w:t xml:space="preserve">Northern Australia jurisdictions (Western Australia, </w:t>
            </w:r>
            <w:proofErr w:type="gramStart"/>
            <w:r w:rsidRPr="00B832E0">
              <w:t>Queensland</w:t>
            </w:r>
            <w:proofErr w:type="gramEnd"/>
            <w:r w:rsidRPr="00B832E0">
              <w:t xml:space="preserve"> or the Northern Territory) for on</w:t>
            </w:r>
            <w:r w:rsidR="00B63FC6">
              <w:noBreakHyphen/>
            </w:r>
            <w:r w:rsidRPr="00B832E0">
              <w:t xml:space="preserve"> lending to project proponents. The NAIF Investment Mandate Direction 2021 additionally allows for provision of financial assistance directly to other entities </w:t>
            </w:r>
          </w:p>
        </w:tc>
        <w:tc>
          <w:tcPr>
            <w:tcW w:w="1481" w:type="dxa"/>
            <w:shd w:val="clear" w:color="auto" w:fill="auto"/>
          </w:tcPr>
          <w:p w14:paraId="3A76685E" w14:textId="77777777" w:rsidR="00FC0BFF" w:rsidRPr="00B832E0" w:rsidRDefault="00FC0BFF" w:rsidP="001A1A6F">
            <w:pPr>
              <w:pStyle w:val="TableTextLeft"/>
              <w:spacing w:before="0"/>
            </w:pPr>
            <w:r w:rsidRPr="00B832E0">
              <w:t>Various (circa</w:t>
            </w:r>
            <w:r>
              <w:t xml:space="preserve">. </w:t>
            </w:r>
            <w:r w:rsidRPr="00B832E0">
              <w:br/>
              <w:t>5</w:t>
            </w:r>
            <w:r>
              <w:t> per cent</w:t>
            </w:r>
            <w:r w:rsidRPr="00B832E0">
              <w:t>) </w:t>
            </w:r>
          </w:p>
        </w:tc>
        <w:tc>
          <w:tcPr>
            <w:tcW w:w="1453" w:type="dxa"/>
            <w:shd w:val="clear" w:color="auto" w:fill="auto"/>
          </w:tcPr>
          <w:p w14:paraId="6B8EC1E0" w14:textId="77777777" w:rsidR="00FC0BFF" w:rsidRPr="00B832E0" w:rsidRDefault="00FC0BFF" w:rsidP="001A1A6F">
            <w:pPr>
              <w:pStyle w:val="TableTextLeft"/>
              <w:spacing w:before="0"/>
            </w:pPr>
            <w:r w:rsidRPr="00B832E0">
              <w:t>Various </w:t>
            </w:r>
          </w:p>
        </w:tc>
        <w:tc>
          <w:tcPr>
            <w:tcW w:w="1221" w:type="dxa"/>
            <w:shd w:val="clear" w:color="auto" w:fill="auto"/>
          </w:tcPr>
          <w:p w14:paraId="5EB0A582" w14:textId="27B536BD" w:rsidR="00FC0BFF" w:rsidRPr="00B832E0" w:rsidRDefault="00FC0BFF" w:rsidP="001A1A6F">
            <w:pPr>
              <w:pStyle w:val="TableTextLeft"/>
              <w:spacing w:before="0"/>
            </w:pPr>
            <w:r w:rsidDel="00D847F0">
              <w:t>Modified</w:t>
            </w:r>
            <w:r w:rsidRPr="00B832E0" w:rsidDel="00D847F0">
              <w:t> </w:t>
            </w:r>
          </w:p>
        </w:tc>
      </w:tr>
      <w:tr w:rsidR="00FC0BFF" w:rsidRPr="00B832E0" w14:paraId="3E202BE3" w14:textId="77777777" w:rsidTr="00191C51">
        <w:trPr>
          <w:trHeight w:val="227"/>
        </w:trPr>
        <w:tc>
          <w:tcPr>
            <w:tcW w:w="2990" w:type="dxa"/>
          </w:tcPr>
          <w:p w14:paraId="249A960D" w14:textId="77777777" w:rsidR="00FC0BFF" w:rsidRPr="00B832E0" w:rsidRDefault="00FC0BFF" w:rsidP="001A1A6F">
            <w:pPr>
              <w:pStyle w:val="TableTextLeft"/>
              <w:spacing w:before="0"/>
            </w:pPr>
            <w:r w:rsidRPr="00B832E0">
              <w:t xml:space="preserve">WestConnex Stage 2 Concessional Loan </w:t>
            </w:r>
          </w:p>
        </w:tc>
        <w:tc>
          <w:tcPr>
            <w:tcW w:w="1830" w:type="dxa"/>
            <w:shd w:val="clear" w:color="auto" w:fill="auto"/>
          </w:tcPr>
          <w:p w14:paraId="597B2FBC" w14:textId="0797B125" w:rsidR="00FC0BFF" w:rsidRPr="00B832E0" w:rsidRDefault="00FC0BFF" w:rsidP="001A1A6F">
            <w:pPr>
              <w:pStyle w:val="TableTextRight"/>
              <w:spacing w:before="0"/>
            </w:pPr>
            <w:r>
              <w:rPr>
                <w:rFonts w:cs="Arial"/>
                <w:szCs w:val="16"/>
              </w:rPr>
              <w:t>2</w:t>
            </w:r>
            <w:r w:rsidRPr="00B832E0">
              <w:rPr>
                <w:rFonts w:cs="Arial"/>
                <w:szCs w:val="16"/>
              </w:rPr>
              <w:t>,</w:t>
            </w:r>
            <w:r>
              <w:rPr>
                <w:rFonts w:cs="Arial"/>
                <w:szCs w:val="16"/>
              </w:rPr>
              <w:t>2</w:t>
            </w:r>
            <w:r w:rsidR="00D847F0">
              <w:rPr>
                <w:rFonts w:cs="Arial"/>
                <w:szCs w:val="16"/>
              </w:rPr>
              <w:t>55</w:t>
            </w:r>
          </w:p>
        </w:tc>
        <w:tc>
          <w:tcPr>
            <w:tcW w:w="2564" w:type="dxa"/>
            <w:shd w:val="clear" w:color="auto" w:fill="auto"/>
          </w:tcPr>
          <w:p w14:paraId="65E33648" w14:textId="77777777" w:rsidR="00FC0BFF" w:rsidRPr="00B832E0" w:rsidRDefault="00FC0BFF" w:rsidP="001A1A6F">
            <w:pPr>
              <w:pStyle w:val="TableTextLeft"/>
              <w:spacing w:before="0"/>
            </w:pPr>
            <w:r w:rsidRPr="00B832E0">
              <w:rPr>
                <w:rFonts w:cs="Arial"/>
                <w:szCs w:val="16"/>
              </w:rPr>
              <w:t xml:space="preserve">WCX M5 </w:t>
            </w:r>
            <w:proofErr w:type="spellStart"/>
            <w:r w:rsidRPr="00B832E0">
              <w:rPr>
                <w:rFonts w:cs="Arial"/>
                <w:szCs w:val="16"/>
              </w:rPr>
              <w:t>Finco</w:t>
            </w:r>
            <w:proofErr w:type="spellEnd"/>
            <w:r w:rsidRPr="00B832E0">
              <w:rPr>
                <w:rFonts w:cs="Arial"/>
                <w:szCs w:val="16"/>
              </w:rPr>
              <w:t xml:space="preserve"> Pty Ltd </w:t>
            </w:r>
          </w:p>
        </w:tc>
        <w:tc>
          <w:tcPr>
            <w:tcW w:w="1481" w:type="dxa"/>
            <w:shd w:val="clear" w:color="auto" w:fill="auto"/>
          </w:tcPr>
          <w:p w14:paraId="58A65314" w14:textId="77777777" w:rsidR="00FC0BFF" w:rsidRPr="00B832E0" w:rsidRDefault="00FC0BFF" w:rsidP="001A1A6F">
            <w:pPr>
              <w:pStyle w:val="TableTextLeft"/>
              <w:spacing w:before="0"/>
            </w:pPr>
            <w:r w:rsidRPr="00B832E0">
              <w:rPr>
                <w:rFonts w:cs="Arial"/>
                <w:szCs w:val="16"/>
              </w:rPr>
              <w:t>3.36</w:t>
            </w:r>
            <w:r>
              <w:rPr>
                <w:rFonts w:cs="Arial"/>
                <w:szCs w:val="16"/>
              </w:rPr>
              <w:t> per cent </w:t>
            </w:r>
          </w:p>
        </w:tc>
        <w:tc>
          <w:tcPr>
            <w:tcW w:w="1453" w:type="dxa"/>
            <w:shd w:val="clear" w:color="auto" w:fill="auto"/>
          </w:tcPr>
          <w:p w14:paraId="7FCE07D2" w14:textId="77777777" w:rsidR="00FC0BFF" w:rsidRPr="00B832E0" w:rsidRDefault="00FC0BFF" w:rsidP="001A1A6F">
            <w:pPr>
              <w:pStyle w:val="TableTextLeft"/>
              <w:spacing w:before="0"/>
            </w:pPr>
            <w:r w:rsidRPr="00B832E0">
              <w:rPr>
                <w:rFonts w:cs="Arial"/>
                <w:szCs w:val="16"/>
              </w:rPr>
              <w:t>November 2015 to July 2034 </w:t>
            </w:r>
          </w:p>
        </w:tc>
        <w:tc>
          <w:tcPr>
            <w:tcW w:w="1221" w:type="dxa"/>
            <w:shd w:val="clear" w:color="auto" w:fill="auto"/>
          </w:tcPr>
          <w:p w14:paraId="1E0EF02A" w14:textId="61737C2E" w:rsidR="00FC0BFF" w:rsidRPr="00B832E0" w:rsidRDefault="00ED443D" w:rsidP="001A1A6F">
            <w:pPr>
              <w:pStyle w:val="TableTextLeft"/>
              <w:spacing w:before="0"/>
            </w:pPr>
            <w:r>
              <w:rPr>
                <w:rFonts w:cs="Arial"/>
                <w:szCs w:val="16"/>
              </w:rPr>
              <w:t>Modified</w:t>
            </w:r>
            <w:r w:rsidRPr="00B832E0">
              <w:rPr>
                <w:rFonts w:cs="Arial"/>
                <w:szCs w:val="16"/>
              </w:rPr>
              <w:t> </w:t>
            </w:r>
          </w:p>
        </w:tc>
      </w:tr>
      <w:tr w:rsidR="00FC0BFF" w:rsidRPr="00B832E0" w14:paraId="0B6A52A4" w14:textId="77777777" w:rsidTr="00191C51">
        <w:trPr>
          <w:trHeight w:val="227"/>
        </w:trPr>
        <w:tc>
          <w:tcPr>
            <w:tcW w:w="11539" w:type="dxa"/>
            <w:gridSpan w:val="6"/>
            <w:shd w:val="clear" w:color="auto" w:fill="E6F2FF"/>
          </w:tcPr>
          <w:p w14:paraId="734078E1" w14:textId="77777777" w:rsidR="00FC0BFF" w:rsidRPr="00B832E0" w:rsidRDefault="00FC0BFF" w:rsidP="001A1A6F">
            <w:pPr>
              <w:pStyle w:val="TableColumnHeadingLeft"/>
              <w:spacing w:before="0"/>
              <w:rPr>
                <w:rFonts w:cs="Arial"/>
                <w:szCs w:val="16"/>
              </w:rPr>
            </w:pPr>
            <w:r w:rsidRPr="00B832E0">
              <w:t>Prime Minister and Cabinet</w:t>
            </w:r>
          </w:p>
        </w:tc>
      </w:tr>
      <w:tr w:rsidR="00FC0BFF" w:rsidRPr="00B832E0" w14:paraId="331D2C90" w14:textId="77777777" w:rsidTr="00191C51">
        <w:trPr>
          <w:trHeight w:val="227"/>
        </w:trPr>
        <w:tc>
          <w:tcPr>
            <w:tcW w:w="2990" w:type="dxa"/>
          </w:tcPr>
          <w:p w14:paraId="08F11DA5" w14:textId="77777777" w:rsidR="00FC0BFF" w:rsidRPr="00B832E0" w:rsidRDefault="00FC0BFF" w:rsidP="001A1A6F">
            <w:pPr>
              <w:pStyle w:val="TableTextLeft"/>
              <w:spacing w:before="0"/>
            </w:pPr>
            <w:r w:rsidRPr="00B832E0">
              <w:t>Indigenous home ownership, business development and assistance</w:t>
            </w:r>
          </w:p>
        </w:tc>
        <w:tc>
          <w:tcPr>
            <w:tcW w:w="1830" w:type="dxa"/>
            <w:shd w:val="clear" w:color="auto" w:fill="auto"/>
          </w:tcPr>
          <w:p w14:paraId="250B0208" w14:textId="266FE334" w:rsidR="00FC0BFF" w:rsidRPr="00B30EB5" w:rsidRDefault="004E09A8" w:rsidP="001A1A6F">
            <w:pPr>
              <w:pStyle w:val="TableTextRight"/>
              <w:spacing w:before="0"/>
            </w:pPr>
            <w:r w:rsidRPr="00B30EB5">
              <w:t>1,071</w:t>
            </w:r>
          </w:p>
        </w:tc>
        <w:tc>
          <w:tcPr>
            <w:tcW w:w="2564" w:type="dxa"/>
            <w:shd w:val="clear" w:color="auto" w:fill="auto"/>
          </w:tcPr>
          <w:p w14:paraId="3259C480" w14:textId="77777777" w:rsidR="00FC0BFF" w:rsidRPr="00B832E0" w:rsidRDefault="00FC0BFF" w:rsidP="001A1A6F">
            <w:pPr>
              <w:pStyle w:val="TableTextLeft"/>
              <w:spacing w:before="0"/>
            </w:pPr>
            <w:r w:rsidRPr="00B832E0">
              <w:t>Eligible Indigenous persons </w:t>
            </w:r>
          </w:p>
        </w:tc>
        <w:tc>
          <w:tcPr>
            <w:tcW w:w="1481" w:type="dxa"/>
            <w:shd w:val="clear" w:color="auto" w:fill="auto"/>
          </w:tcPr>
          <w:p w14:paraId="38D422F0" w14:textId="77777777" w:rsidR="00FC0BFF" w:rsidRPr="00B832E0" w:rsidRDefault="00FC0BFF" w:rsidP="001A1A6F">
            <w:pPr>
              <w:pStyle w:val="TableTextLeft"/>
              <w:spacing w:before="0"/>
            </w:pPr>
            <w:r>
              <w:t>1.64 per cent – 6.14 per cent </w:t>
            </w:r>
          </w:p>
        </w:tc>
        <w:tc>
          <w:tcPr>
            <w:tcW w:w="1453" w:type="dxa"/>
            <w:shd w:val="clear" w:color="auto" w:fill="auto"/>
          </w:tcPr>
          <w:p w14:paraId="3D4D331F" w14:textId="77777777" w:rsidR="00FC0BFF" w:rsidRPr="00B832E0" w:rsidRDefault="00FC0BFF" w:rsidP="001A1A6F">
            <w:pPr>
              <w:pStyle w:val="TableTextLeft"/>
              <w:spacing w:before="0"/>
            </w:pPr>
            <w:r w:rsidRPr="00B832E0">
              <w:t>Up to 32 years </w:t>
            </w:r>
          </w:p>
        </w:tc>
        <w:tc>
          <w:tcPr>
            <w:tcW w:w="1221" w:type="dxa"/>
            <w:shd w:val="clear" w:color="auto" w:fill="auto"/>
          </w:tcPr>
          <w:p w14:paraId="55AEEF3F" w14:textId="24D5C49C" w:rsidR="00FC0BFF" w:rsidRPr="00B832E0" w:rsidRDefault="00265342" w:rsidP="001A1A6F">
            <w:pPr>
              <w:pStyle w:val="TableTextLeft"/>
              <w:spacing w:before="0"/>
            </w:pPr>
            <w:r>
              <w:t>Modified</w:t>
            </w:r>
            <w:r w:rsidRPr="00B832E0">
              <w:t> </w:t>
            </w:r>
          </w:p>
        </w:tc>
      </w:tr>
      <w:tr w:rsidR="00FC0BFF" w:rsidRPr="00B832E0" w14:paraId="2E050E83" w14:textId="77777777" w:rsidTr="00191C51">
        <w:trPr>
          <w:trHeight w:val="227"/>
        </w:trPr>
        <w:tc>
          <w:tcPr>
            <w:tcW w:w="2990" w:type="dxa"/>
          </w:tcPr>
          <w:p w14:paraId="014360A4" w14:textId="77777777" w:rsidR="00FC0BFF" w:rsidRPr="00B832E0" w:rsidRDefault="00FC0BFF" w:rsidP="001A1A6F">
            <w:pPr>
              <w:pStyle w:val="TableTextLeft"/>
              <w:spacing w:before="0"/>
            </w:pPr>
            <w:r w:rsidRPr="00B832E0">
              <w:t>Voyages Indigenous Tourism Australia Pty Ltd</w:t>
            </w:r>
          </w:p>
        </w:tc>
        <w:tc>
          <w:tcPr>
            <w:tcW w:w="1830" w:type="dxa"/>
          </w:tcPr>
          <w:p w14:paraId="10DF1C44" w14:textId="37E46B11" w:rsidR="00FC0BFF" w:rsidRPr="00B30EB5" w:rsidRDefault="004E686E" w:rsidP="001A1A6F">
            <w:pPr>
              <w:pStyle w:val="TableTextRight"/>
              <w:spacing w:before="0"/>
            </w:pPr>
            <w:r w:rsidRPr="00B30EB5">
              <w:t>330</w:t>
            </w:r>
          </w:p>
        </w:tc>
        <w:tc>
          <w:tcPr>
            <w:tcW w:w="2564" w:type="dxa"/>
          </w:tcPr>
          <w:p w14:paraId="5A4C2861" w14:textId="77777777" w:rsidR="00FC0BFF" w:rsidRPr="00B832E0" w:rsidRDefault="00FC0BFF" w:rsidP="001A1A6F">
            <w:pPr>
              <w:pStyle w:val="TableTextLeft"/>
              <w:spacing w:before="0"/>
            </w:pPr>
            <w:r w:rsidRPr="00B832E0">
              <w:t>Voyages Indigenous Tourism Australia Pty Ltd </w:t>
            </w:r>
          </w:p>
        </w:tc>
        <w:tc>
          <w:tcPr>
            <w:tcW w:w="1481" w:type="dxa"/>
          </w:tcPr>
          <w:p w14:paraId="36B6081D" w14:textId="38950329" w:rsidR="00FC0BFF" w:rsidRPr="00B832E0" w:rsidRDefault="00FC0BFF" w:rsidP="001A1A6F">
            <w:pPr>
              <w:pStyle w:val="TableTextLeft"/>
              <w:spacing w:before="0"/>
            </w:pPr>
            <w:r w:rsidRPr="00B832E0">
              <w:t xml:space="preserve">90 Day bank bill swap reference rate </w:t>
            </w:r>
            <w:r>
              <w:t xml:space="preserve">plus </w:t>
            </w:r>
            <w:r w:rsidR="00AF79A2">
              <w:t>1.2 </w:t>
            </w:r>
            <w:r w:rsidRPr="00B832E0">
              <w:t>per cent </w:t>
            </w:r>
            <w:r>
              <w:t>(on $176</w:t>
            </w:r>
            <w:r w:rsidR="002E6F0C">
              <w:t> million</w:t>
            </w:r>
            <w:r>
              <w:t xml:space="preserve"> of principal)</w:t>
            </w:r>
          </w:p>
        </w:tc>
        <w:tc>
          <w:tcPr>
            <w:tcW w:w="1453" w:type="dxa"/>
          </w:tcPr>
          <w:p w14:paraId="00620DDE" w14:textId="77777777" w:rsidR="00FC0BFF" w:rsidRPr="00B832E0" w:rsidRDefault="00FC0BFF" w:rsidP="001A1A6F">
            <w:pPr>
              <w:pStyle w:val="TableTextLeft"/>
              <w:spacing w:before="0"/>
            </w:pPr>
            <w:r w:rsidRPr="00B832E0">
              <w:t>9 years, 11 months </w:t>
            </w:r>
          </w:p>
        </w:tc>
        <w:tc>
          <w:tcPr>
            <w:tcW w:w="1221" w:type="dxa"/>
          </w:tcPr>
          <w:p w14:paraId="4CBA9C25" w14:textId="534289AC" w:rsidR="00FC0BFF" w:rsidRPr="00B832E0" w:rsidRDefault="004E686E" w:rsidP="001A1A6F">
            <w:pPr>
              <w:pStyle w:val="TableTextLeft"/>
              <w:spacing w:before="0"/>
            </w:pPr>
            <w:r>
              <w:t>Modified</w:t>
            </w:r>
            <w:r w:rsidRPr="00B832E0">
              <w:t> </w:t>
            </w:r>
          </w:p>
        </w:tc>
      </w:tr>
      <w:tr w:rsidR="00FC0BFF" w:rsidRPr="00B832E0" w14:paraId="0AE6A584" w14:textId="77777777" w:rsidTr="00191C51">
        <w:trPr>
          <w:trHeight w:val="227"/>
        </w:trPr>
        <w:tc>
          <w:tcPr>
            <w:tcW w:w="2990" w:type="dxa"/>
            <w:shd w:val="clear" w:color="auto" w:fill="E6F2FF"/>
          </w:tcPr>
          <w:p w14:paraId="130A7C01" w14:textId="77777777" w:rsidR="00FC0BFF" w:rsidRPr="00B832E0" w:rsidRDefault="00FC0BFF" w:rsidP="001A1A6F">
            <w:pPr>
              <w:pStyle w:val="TableColumnHeadingLeft"/>
              <w:spacing w:before="0"/>
            </w:pPr>
            <w:r w:rsidRPr="00B832E0">
              <w:t>Social Services</w:t>
            </w:r>
          </w:p>
        </w:tc>
        <w:tc>
          <w:tcPr>
            <w:tcW w:w="8549" w:type="dxa"/>
            <w:gridSpan w:val="5"/>
            <w:shd w:val="clear" w:color="auto" w:fill="E6F2FF"/>
          </w:tcPr>
          <w:p w14:paraId="1443DF9F" w14:textId="77777777" w:rsidR="00FC0BFF" w:rsidRPr="00B832E0" w:rsidRDefault="00FC0BFF" w:rsidP="001A1A6F">
            <w:pPr>
              <w:pStyle w:val="TableColumnHeadingLeft"/>
              <w:spacing w:before="0"/>
              <w:rPr>
                <w:rFonts w:cs="Arial"/>
                <w:szCs w:val="16"/>
              </w:rPr>
            </w:pPr>
          </w:p>
        </w:tc>
      </w:tr>
      <w:tr w:rsidR="00FC0BFF" w:rsidRPr="00B832E0" w14:paraId="014C376C" w14:textId="77777777" w:rsidTr="00191C51">
        <w:trPr>
          <w:trHeight w:val="227"/>
        </w:trPr>
        <w:tc>
          <w:tcPr>
            <w:tcW w:w="2990" w:type="dxa"/>
          </w:tcPr>
          <w:p w14:paraId="4D6868C2" w14:textId="77777777" w:rsidR="00FC0BFF" w:rsidRPr="00B832E0" w:rsidRDefault="00FC0BFF" w:rsidP="001A1A6F">
            <w:pPr>
              <w:pStyle w:val="TableTextLeft"/>
              <w:spacing w:before="0"/>
              <w:rPr>
                <w:rFonts w:cs="Arial"/>
                <w:szCs w:val="16"/>
              </w:rPr>
            </w:pPr>
            <w:r w:rsidRPr="00B832E0">
              <w:rPr>
                <w:rFonts w:cs="Arial"/>
                <w:szCs w:val="16"/>
              </w:rPr>
              <w:t>Home Equity Access Scheme</w:t>
            </w:r>
          </w:p>
        </w:tc>
        <w:tc>
          <w:tcPr>
            <w:tcW w:w="1830" w:type="dxa"/>
            <w:shd w:val="clear" w:color="auto" w:fill="auto"/>
          </w:tcPr>
          <w:p w14:paraId="3987AFF8" w14:textId="3AA87296" w:rsidR="00FC0BFF" w:rsidRPr="00B832E0" w:rsidRDefault="007F7452" w:rsidP="001A1A6F">
            <w:pPr>
              <w:pStyle w:val="TableTextRight"/>
              <w:spacing w:before="0"/>
              <w:rPr>
                <w:rFonts w:cs="Arial"/>
                <w:szCs w:val="16"/>
              </w:rPr>
            </w:pPr>
            <w:r>
              <w:rPr>
                <w:rFonts w:cs="Arial"/>
                <w:szCs w:val="16"/>
              </w:rPr>
              <w:t>372</w:t>
            </w:r>
          </w:p>
        </w:tc>
        <w:tc>
          <w:tcPr>
            <w:tcW w:w="2564" w:type="dxa"/>
            <w:shd w:val="clear" w:color="auto" w:fill="auto"/>
          </w:tcPr>
          <w:p w14:paraId="2576A09A" w14:textId="77777777" w:rsidR="00FC0BFF" w:rsidRPr="00B832E0" w:rsidRDefault="00FC0BFF" w:rsidP="001A1A6F">
            <w:pPr>
              <w:pStyle w:val="TableTextLeft"/>
              <w:spacing w:before="0"/>
              <w:rPr>
                <w:rFonts w:cs="Arial"/>
                <w:szCs w:val="16"/>
              </w:rPr>
            </w:pPr>
            <w:r>
              <w:rPr>
                <w:rFonts w:cs="Arial"/>
                <w:szCs w:val="16"/>
              </w:rPr>
              <w:t>Eligible older Australians</w:t>
            </w:r>
            <w:r w:rsidRPr="00B832E0">
              <w:rPr>
                <w:rFonts w:cs="Arial"/>
                <w:szCs w:val="16"/>
              </w:rPr>
              <w:t xml:space="preserve"> who meet residency requirements</w:t>
            </w:r>
            <w:r>
              <w:rPr>
                <w:rFonts w:cs="Arial"/>
                <w:szCs w:val="16"/>
              </w:rPr>
              <w:t xml:space="preserve"> </w:t>
            </w:r>
            <w:r w:rsidRPr="0007389D">
              <w:rPr>
                <w:rFonts w:cs="Arial"/>
                <w:szCs w:val="16"/>
              </w:rPr>
              <w:t>and own suitable real estate in Australia to use as security.</w:t>
            </w:r>
          </w:p>
        </w:tc>
        <w:tc>
          <w:tcPr>
            <w:tcW w:w="1481" w:type="dxa"/>
            <w:shd w:val="clear" w:color="auto" w:fill="auto"/>
          </w:tcPr>
          <w:p w14:paraId="52FBEFD0" w14:textId="77777777" w:rsidR="00FC0BFF" w:rsidRPr="00B832E0" w:rsidRDefault="00FC0BFF" w:rsidP="001A1A6F">
            <w:pPr>
              <w:pStyle w:val="TableTextLeft"/>
              <w:spacing w:before="0"/>
              <w:rPr>
                <w:rFonts w:cs="Arial"/>
                <w:szCs w:val="16"/>
              </w:rPr>
            </w:pPr>
            <w:r w:rsidRPr="00B832E0">
              <w:rPr>
                <w:rFonts w:cs="Arial"/>
                <w:szCs w:val="16"/>
              </w:rPr>
              <w:t>3.95</w:t>
            </w:r>
            <w:r>
              <w:rPr>
                <w:rFonts w:cs="Arial"/>
                <w:szCs w:val="16"/>
              </w:rPr>
              <w:t> per cent</w:t>
            </w:r>
          </w:p>
        </w:tc>
        <w:tc>
          <w:tcPr>
            <w:tcW w:w="1453" w:type="dxa"/>
            <w:shd w:val="clear" w:color="auto" w:fill="auto"/>
          </w:tcPr>
          <w:p w14:paraId="262BDD6C" w14:textId="77777777" w:rsidR="00FC0BFF" w:rsidRPr="00B832E0" w:rsidRDefault="00FC0BFF" w:rsidP="001A1A6F">
            <w:pPr>
              <w:pStyle w:val="TableTextLeft"/>
              <w:spacing w:before="0"/>
              <w:rPr>
                <w:rFonts w:cs="Arial"/>
                <w:szCs w:val="16"/>
              </w:rPr>
            </w:pPr>
            <w:r w:rsidRPr="00B832E0">
              <w:rPr>
                <w:rFonts w:cs="Arial"/>
                <w:szCs w:val="16"/>
              </w:rPr>
              <w:t>Various</w:t>
            </w:r>
          </w:p>
        </w:tc>
        <w:tc>
          <w:tcPr>
            <w:tcW w:w="1221" w:type="dxa"/>
          </w:tcPr>
          <w:p w14:paraId="7BDA506C" w14:textId="6B40BBEE" w:rsidR="00FC0BFF" w:rsidRPr="00B832E0" w:rsidRDefault="00265342" w:rsidP="001A1A6F">
            <w:pPr>
              <w:pStyle w:val="TableTextLeft"/>
              <w:spacing w:before="0"/>
              <w:rPr>
                <w:rFonts w:cs="Arial"/>
                <w:szCs w:val="16"/>
              </w:rPr>
            </w:pPr>
            <w:r>
              <w:rPr>
                <w:rFonts w:cs="Arial"/>
                <w:szCs w:val="16"/>
              </w:rPr>
              <w:t>Modified</w:t>
            </w:r>
          </w:p>
        </w:tc>
      </w:tr>
      <w:tr w:rsidR="00FC0BFF" w:rsidRPr="00B832E0" w14:paraId="3B586247" w14:textId="77777777" w:rsidTr="00191C51">
        <w:trPr>
          <w:trHeight w:val="227"/>
        </w:trPr>
        <w:tc>
          <w:tcPr>
            <w:tcW w:w="2990" w:type="dxa"/>
          </w:tcPr>
          <w:p w14:paraId="63F6EB32" w14:textId="77777777" w:rsidR="00FC0BFF" w:rsidRPr="00B832E0" w:rsidRDefault="00FC0BFF" w:rsidP="001A1A6F">
            <w:pPr>
              <w:pStyle w:val="TableTextLeft"/>
              <w:spacing w:before="0"/>
            </w:pPr>
            <w:r w:rsidRPr="00B832E0">
              <w:t>Student Financial Supplement Scheme</w:t>
            </w:r>
          </w:p>
        </w:tc>
        <w:tc>
          <w:tcPr>
            <w:tcW w:w="1830" w:type="dxa"/>
            <w:shd w:val="clear" w:color="auto" w:fill="auto"/>
          </w:tcPr>
          <w:p w14:paraId="12A9C984" w14:textId="2D7698B1" w:rsidR="00FC0BFF" w:rsidRPr="00B832E0" w:rsidDel="00583E3C" w:rsidRDefault="009B21A8" w:rsidP="001A1A6F">
            <w:pPr>
              <w:pStyle w:val="TableTextRight"/>
              <w:spacing w:before="0"/>
            </w:pPr>
            <w:r>
              <w:rPr>
                <w:rFonts w:cs="Arial"/>
                <w:szCs w:val="16"/>
              </w:rPr>
              <w:t>164</w:t>
            </w:r>
          </w:p>
        </w:tc>
        <w:tc>
          <w:tcPr>
            <w:tcW w:w="2564" w:type="dxa"/>
            <w:shd w:val="clear" w:color="auto" w:fill="auto"/>
          </w:tcPr>
          <w:p w14:paraId="16A47E8F" w14:textId="77777777" w:rsidR="00FC0BFF" w:rsidRPr="00B832E0" w:rsidRDefault="00FC0BFF" w:rsidP="001A1A6F">
            <w:pPr>
              <w:pStyle w:val="TableTextLeft"/>
              <w:spacing w:before="0"/>
            </w:pPr>
            <w:r w:rsidRPr="00B832E0">
              <w:rPr>
                <w:rFonts w:cs="Arial"/>
                <w:szCs w:val="16"/>
              </w:rPr>
              <w:t xml:space="preserve">Eligible recipients of Youth Allowance (student), </w:t>
            </w:r>
            <w:proofErr w:type="spellStart"/>
            <w:r w:rsidRPr="00B832E0">
              <w:rPr>
                <w:rFonts w:cs="Arial"/>
                <w:szCs w:val="16"/>
              </w:rPr>
              <w:t>Austudy</w:t>
            </w:r>
            <w:proofErr w:type="spellEnd"/>
            <w:r w:rsidRPr="00B832E0">
              <w:rPr>
                <w:rFonts w:cs="Arial"/>
                <w:szCs w:val="16"/>
              </w:rPr>
              <w:t xml:space="preserve"> and ABSTUDY recipients </w:t>
            </w:r>
          </w:p>
        </w:tc>
        <w:tc>
          <w:tcPr>
            <w:tcW w:w="1481" w:type="dxa"/>
            <w:shd w:val="clear" w:color="auto" w:fill="auto"/>
          </w:tcPr>
          <w:p w14:paraId="3F97F0DE" w14:textId="39CC8243" w:rsidR="00FC0BFF" w:rsidRPr="00B832E0" w:rsidRDefault="009B21A8" w:rsidP="001A1A6F">
            <w:pPr>
              <w:pStyle w:val="TableTextLeft"/>
              <w:spacing w:before="0"/>
            </w:pPr>
            <w:r w:rsidRPr="009B21A8">
              <w:rPr>
                <w:rFonts w:cs="Arial"/>
                <w:szCs w:val="16"/>
              </w:rPr>
              <w:t>The lower of WPI or CPI growth</w:t>
            </w:r>
          </w:p>
        </w:tc>
        <w:tc>
          <w:tcPr>
            <w:tcW w:w="1453" w:type="dxa"/>
            <w:shd w:val="clear" w:color="auto" w:fill="auto"/>
          </w:tcPr>
          <w:p w14:paraId="430041F9" w14:textId="77777777" w:rsidR="00FC0BFF" w:rsidRPr="00B832E0" w:rsidRDefault="00FC0BFF" w:rsidP="001A1A6F">
            <w:pPr>
              <w:pStyle w:val="TableTextLeft"/>
              <w:spacing w:before="0"/>
            </w:pPr>
            <w:r w:rsidRPr="00B832E0">
              <w:rPr>
                <w:rFonts w:cs="Arial"/>
                <w:szCs w:val="16"/>
              </w:rPr>
              <w:t>Various </w:t>
            </w:r>
          </w:p>
        </w:tc>
        <w:tc>
          <w:tcPr>
            <w:tcW w:w="1221" w:type="dxa"/>
          </w:tcPr>
          <w:p w14:paraId="7BEFD8AD" w14:textId="3255CD11" w:rsidR="00FC0BFF" w:rsidRPr="00B832E0" w:rsidRDefault="00265342" w:rsidP="001A1A6F">
            <w:pPr>
              <w:pStyle w:val="TableTextLeft"/>
              <w:spacing w:before="0"/>
            </w:pPr>
            <w:r>
              <w:rPr>
                <w:rFonts w:cs="Arial"/>
                <w:szCs w:val="16"/>
              </w:rPr>
              <w:t>Modified</w:t>
            </w:r>
            <w:r w:rsidRPr="00B832E0">
              <w:rPr>
                <w:rFonts w:cs="Arial"/>
                <w:szCs w:val="16"/>
              </w:rPr>
              <w:t> </w:t>
            </w:r>
          </w:p>
        </w:tc>
      </w:tr>
    </w:tbl>
    <w:p w14:paraId="27805099" w14:textId="77777777" w:rsidR="001A1A6F" w:rsidRDefault="001A1A6F" w:rsidP="00FC0BFF">
      <w:pPr>
        <w:pStyle w:val="TableHeadingcontinued"/>
        <w:rPr>
          <w:rFonts w:eastAsia="Arial"/>
        </w:rPr>
      </w:pPr>
    </w:p>
    <w:p w14:paraId="35529D76" w14:textId="77777777" w:rsidR="001A1A6F" w:rsidRDefault="001A1A6F">
      <w:pPr>
        <w:spacing w:before="0" w:after="160" w:line="259" w:lineRule="auto"/>
        <w:rPr>
          <w:rFonts w:ascii="Arial Bold" w:eastAsia="Arial" w:hAnsi="Arial Bold"/>
          <w:b/>
          <w:sz w:val="20"/>
        </w:rPr>
      </w:pPr>
      <w:r>
        <w:rPr>
          <w:rFonts w:eastAsia="Arial"/>
        </w:rPr>
        <w:br w:type="page"/>
      </w:r>
    </w:p>
    <w:p w14:paraId="48BF1A54" w14:textId="00A0D687" w:rsidR="00FC0BFF" w:rsidRPr="00B832E0" w:rsidRDefault="00FC0BFF" w:rsidP="00FC0BFF">
      <w:pPr>
        <w:pStyle w:val="TableHeadingcontinued"/>
        <w:rPr>
          <w:rFonts w:eastAsia="Arial"/>
        </w:rPr>
      </w:pPr>
      <w:r w:rsidRPr="00010F87">
        <w:rPr>
          <w:rFonts w:eastAsia="Arial"/>
        </w:rPr>
        <w:lastRenderedPageBreak/>
        <w:t xml:space="preserve">Table </w:t>
      </w:r>
      <w:r w:rsidR="001C0424" w:rsidRPr="00010F87">
        <w:rPr>
          <w:rFonts w:eastAsia="Arial"/>
        </w:rPr>
        <w:t>6</w:t>
      </w:r>
      <w:r w:rsidRPr="00010F87">
        <w:rPr>
          <w:rFonts w:eastAsia="Arial"/>
        </w:rPr>
        <w:t>.3:</w:t>
      </w:r>
      <w:r w:rsidRPr="00B832E0">
        <w:rPr>
          <w:rFonts w:eastAsia="Arial"/>
        </w:rPr>
        <w:t xml:space="preserve"> Summary of Australian Government loans meeting the materiality threshold (continued)</w:t>
      </w:r>
    </w:p>
    <w:tbl>
      <w:tblPr>
        <w:tblW w:w="5000" w:type="pct"/>
        <w:tblBorders>
          <w:top w:val="single" w:sz="4" w:space="0" w:color="002A54" w:themeColor="text2"/>
          <w:bottom w:val="single" w:sz="4" w:space="0" w:color="002A54" w:themeColor="text2"/>
          <w:insideH w:val="single" w:sz="4" w:space="0" w:color="002A54" w:themeColor="text2"/>
        </w:tblBorders>
        <w:tblLayout w:type="fixed"/>
        <w:tblLook w:val="04A0" w:firstRow="1" w:lastRow="0" w:firstColumn="1" w:lastColumn="0" w:noHBand="0" w:noVBand="1"/>
        <w:tblCaption w:val="Table"/>
      </w:tblPr>
      <w:tblGrid>
        <w:gridCol w:w="2834"/>
        <w:gridCol w:w="143"/>
        <w:gridCol w:w="1701"/>
        <w:gridCol w:w="2693"/>
        <w:gridCol w:w="1844"/>
        <w:gridCol w:w="1274"/>
        <w:gridCol w:w="1050"/>
      </w:tblGrid>
      <w:tr w:rsidR="006330CA" w:rsidRPr="00B832E0" w14:paraId="1B1C6D01" w14:textId="77777777" w:rsidTr="00191C51">
        <w:trPr>
          <w:trHeight w:val="227"/>
          <w:tblHeader/>
        </w:trPr>
        <w:tc>
          <w:tcPr>
            <w:tcW w:w="1228" w:type="pct"/>
            <w:shd w:val="clear" w:color="auto" w:fill="E6F2FF"/>
            <w:vAlign w:val="bottom"/>
          </w:tcPr>
          <w:p w14:paraId="6661EEDE" w14:textId="77777777" w:rsidR="00FC0BFF" w:rsidRPr="002D23BA" w:rsidRDefault="00FC0BFF" w:rsidP="002D23BA">
            <w:pPr>
              <w:pStyle w:val="TableColumnHeadingLeft"/>
              <w:spacing w:before="0"/>
            </w:pPr>
            <w:r>
              <w:t>Portfolio</w:t>
            </w:r>
          </w:p>
        </w:tc>
        <w:tc>
          <w:tcPr>
            <w:tcW w:w="799" w:type="pct"/>
            <w:gridSpan w:val="2"/>
            <w:shd w:val="clear" w:color="auto" w:fill="E6F2FF"/>
          </w:tcPr>
          <w:p w14:paraId="56159922" w14:textId="77777777" w:rsidR="00FC0BFF" w:rsidRPr="00B832E0" w:rsidRDefault="00FC0BFF" w:rsidP="002D23BA">
            <w:pPr>
              <w:pStyle w:val="TableColumnHeadingRight"/>
              <w:spacing w:before="0"/>
            </w:pPr>
            <w:r w:rsidRPr="00B832E0">
              <w:t>Loan amount</w:t>
            </w:r>
            <w:r w:rsidRPr="00B832E0">
              <w:rPr>
                <w:sz w:val="18"/>
                <w:szCs w:val="18"/>
                <w:vertAlign w:val="superscript"/>
              </w:rPr>
              <w:t xml:space="preserve">(a) </w:t>
            </w:r>
            <w:r w:rsidRPr="00B832E0">
              <w:rPr>
                <w:szCs w:val="16"/>
              </w:rPr>
              <w:t>($m)</w:t>
            </w:r>
          </w:p>
        </w:tc>
        <w:tc>
          <w:tcPr>
            <w:tcW w:w="1167" w:type="pct"/>
            <w:shd w:val="clear" w:color="auto" w:fill="E6F2FF"/>
            <w:vAlign w:val="bottom"/>
          </w:tcPr>
          <w:p w14:paraId="15A08911" w14:textId="77777777" w:rsidR="00FC0BFF" w:rsidRPr="00B832E0" w:rsidRDefault="00FC0BFF" w:rsidP="002D23BA">
            <w:pPr>
              <w:pStyle w:val="TableColumnHeadingLeft"/>
              <w:spacing w:before="0"/>
            </w:pPr>
            <w:r w:rsidRPr="00B832E0">
              <w:t>Borrower</w:t>
            </w:r>
          </w:p>
        </w:tc>
        <w:tc>
          <w:tcPr>
            <w:tcW w:w="799" w:type="pct"/>
            <w:shd w:val="clear" w:color="auto" w:fill="E6F2FF"/>
            <w:vAlign w:val="bottom"/>
          </w:tcPr>
          <w:p w14:paraId="4AB7113D" w14:textId="77777777" w:rsidR="00FC0BFF" w:rsidRPr="00B832E0" w:rsidRDefault="00FC0BFF" w:rsidP="002D23BA">
            <w:pPr>
              <w:pStyle w:val="TableColumnHeadingLeft"/>
              <w:spacing w:before="0"/>
            </w:pPr>
            <w:r w:rsidRPr="00B832E0">
              <w:t>Interest rate</w:t>
            </w:r>
          </w:p>
        </w:tc>
        <w:tc>
          <w:tcPr>
            <w:tcW w:w="552" w:type="pct"/>
            <w:shd w:val="clear" w:color="auto" w:fill="E6F2FF"/>
            <w:vAlign w:val="bottom"/>
          </w:tcPr>
          <w:p w14:paraId="6C1D369C" w14:textId="77777777" w:rsidR="00FC0BFF" w:rsidRPr="00B832E0" w:rsidRDefault="00FC0BFF" w:rsidP="002D23BA">
            <w:pPr>
              <w:pStyle w:val="TableColumnHeadingLeft"/>
              <w:spacing w:before="0"/>
            </w:pPr>
            <w:r w:rsidRPr="00B832E0">
              <w:t>Term</w:t>
            </w:r>
          </w:p>
        </w:tc>
        <w:tc>
          <w:tcPr>
            <w:tcW w:w="455" w:type="pct"/>
            <w:shd w:val="clear" w:color="auto" w:fill="E6F2FF"/>
            <w:vAlign w:val="bottom"/>
          </w:tcPr>
          <w:p w14:paraId="37C4FCA1" w14:textId="77777777" w:rsidR="00FC0BFF" w:rsidRPr="00B832E0" w:rsidRDefault="00FC0BFF" w:rsidP="002D23BA">
            <w:pPr>
              <w:pStyle w:val="TableColumnHeadingLeft"/>
              <w:spacing w:before="0"/>
            </w:pPr>
            <w:r w:rsidRPr="00B832E0">
              <w:t>Status</w:t>
            </w:r>
            <w:r w:rsidRPr="00B832E0">
              <w:rPr>
                <w:sz w:val="18"/>
                <w:szCs w:val="18"/>
                <w:vertAlign w:val="superscript"/>
              </w:rPr>
              <w:t>(b)</w:t>
            </w:r>
          </w:p>
        </w:tc>
      </w:tr>
      <w:tr w:rsidR="00FC0BFF" w:rsidRPr="00B832E0" w14:paraId="721A39C8" w14:textId="77777777" w:rsidTr="00191C51">
        <w:trPr>
          <w:trHeight w:val="227"/>
        </w:trPr>
        <w:tc>
          <w:tcPr>
            <w:tcW w:w="5000" w:type="pct"/>
            <w:gridSpan w:val="7"/>
            <w:shd w:val="clear" w:color="auto" w:fill="E6F2FF"/>
          </w:tcPr>
          <w:p w14:paraId="2C8E81E7" w14:textId="77777777" w:rsidR="00FC0BFF" w:rsidRPr="00B832E0" w:rsidRDefault="00FC0BFF" w:rsidP="002D23BA">
            <w:pPr>
              <w:pStyle w:val="TableColumnHeadingLeft"/>
              <w:spacing w:before="0"/>
            </w:pPr>
            <w:r w:rsidRPr="00B832E0">
              <w:t>Social Services</w:t>
            </w:r>
          </w:p>
        </w:tc>
      </w:tr>
      <w:tr w:rsidR="00B30EB5" w:rsidRPr="00B832E0" w14:paraId="2F3003F8" w14:textId="77777777" w:rsidTr="00191C51">
        <w:trPr>
          <w:trHeight w:val="227"/>
        </w:trPr>
        <w:tc>
          <w:tcPr>
            <w:tcW w:w="1290" w:type="pct"/>
            <w:gridSpan w:val="2"/>
            <w:shd w:val="clear" w:color="auto" w:fill="auto"/>
          </w:tcPr>
          <w:p w14:paraId="732796B4" w14:textId="073A957B" w:rsidR="00FC0BFF" w:rsidRPr="116C2317" w:rsidRDefault="00FC0BFF" w:rsidP="002D23BA">
            <w:pPr>
              <w:pStyle w:val="TableTextLeft"/>
              <w:spacing w:before="0"/>
              <w:rPr>
                <w:rFonts w:cs="Arial"/>
              </w:rPr>
            </w:pPr>
            <w:r w:rsidRPr="00B832E0">
              <w:t>Student Start</w:t>
            </w:r>
            <w:r w:rsidR="00B63FC6">
              <w:noBreakHyphen/>
            </w:r>
            <w:r w:rsidRPr="00B832E0">
              <w:t>up Loan</w:t>
            </w:r>
          </w:p>
        </w:tc>
        <w:tc>
          <w:tcPr>
            <w:tcW w:w="737" w:type="pct"/>
            <w:shd w:val="clear" w:color="auto" w:fill="auto"/>
          </w:tcPr>
          <w:p w14:paraId="50CD6AB4" w14:textId="20A8D92C" w:rsidR="00FC0BFF" w:rsidRPr="006330CA" w:rsidRDefault="00DE1B9D" w:rsidP="002D23BA">
            <w:pPr>
              <w:pStyle w:val="TableTextRight"/>
              <w:spacing w:before="0"/>
            </w:pPr>
            <w:r w:rsidRPr="006330CA">
              <w:t>821</w:t>
            </w:r>
          </w:p>
        </w:tc>
        <w:tc>
          <w:tcPr>
            <w:tcW w:w="1167" w:type="pct"/>
            <w:shd w:val="clear" w:color="auto" w:fill="auto"/>
          </w:tcPr>
          <w:p w14:paraId="73836A35" w14:textId="77777777" w:rsidR="00FC0BFF" w:rsidRPr="006330CA" w:rsidRDefault="00FC0BFF" w:rsidP="002D23BA">
            <w:pPr>
              <w:pStyle w:val="TableTextLeft"/>
              <w:spacing w:before="0"/>
            </w:pPr>
            <w:r w:rsidRPr="006330CA">
              <w:t xml:space="preserve">Eligible Youth Allowance (student), </w:t>
            </w:r>
            <w:proofErr w:type="spellStart"/>
            <w:r w:rsidRPr="006330CA">
              <w:t>Austudy</w:t>
            </w:r>
            <w:proofErr w:type="spellEnd"/>
            <w:r w:rsidRPr="006330CA">
              <w:t xml:space="preserve"> and ABSTUDY Living Allowance recipients </w:t>
            </w:r>
          </w:p>
        </w:tc>
        <w:tc>
          <w:tcPr>
            <w:tcW w:w="799" w:type="pct"/>
            <w:shd w:val="clear" w:color="auto" w:fill="auto"/>
          </w:tcPr>
          <w:p w14:paraId="138E65E6" w14:textId="77777777" w:rsidR="00FC0BFF" w:rsidRPr="006330CA" w:rsidRDefault="00FC0BFF" w:rsidP="002D23BA">
            <w:pPr>
              <w:pStyle w:val="TableTextLeft"/>
              <w:spacing w:before="0"/>
            </w:pPr>
            <w:r w:rsidRPr="006330CA">
              <w:t>The lower of WPI or CPI growth</w:t>
            </w:r>
          </w:p>
        </w:tc>
        <w:tc>
          <w:tcPr>
            <w:tcW w:w="552" w:type="pct"/>
            <w:shd w:val="clear" w:color="auto" w:fill="auto"/>
          </w:tcPr>
          <w:p w14:paraId="58E7D8BB" w14:textId="77777777" w:rsidR="00FC0BFF" w:rsidRPr="006330CA" w:rsidRDefault="00FC0BFF" w:rsidP="002D23BA">
            <w:pPr>
              <w:pStyle w:val="TableTextLeft"/>
              <w:spacing w:before="0"/>
            </w:pPr>
            <w:r w:rsidRPr="006330CA">
              <w:t>Various </w:t>
            </w:r>
          </w:p>
        </w:tc>
        <w:tc>
          <w:tcPr>
            <w:tcW w:w="455" w:type="pct"/>
            <w:shd w:val="clear" w:color="auto" w:fill="auto"/>
          </w:tcPr>
          <w:p w14:paraId="51727645" w14:textId="3A5E7F71" w:rsidR="00FC0BFF" w:rsidRPr="006330CA" w:rsidRDefault="00FC0BFF" w:rsidP="002D23BA">
            <w:pPr>
              <w:pStyle w:val="TableTextLeft"/>
              <w:spacing w:before="0"/>
            </w:pPr>
            <w:r w:rsidRPr="006330CA" w:rsidDel="00784A75">
              <w:t>Modified </w:t>
            </w:r>
          </w:p>
        </w:tc>
      </w:tr>
      <w:tr w:rsidR="00FC0BFF" w:rsidRPr="00B832E0" w14:paraId="208124FF" w14:textId="77777777" w:rsidTr="00191C51">
        <w:trPr>
          <w:trHeight w:val="227"/>
        </w:trPr>
        <w:tc>
          <w:tcPr>
            <w:tcW w:w="5000" w:type="pct"/>
            <w:gridSpan w:val="7"/>
            <w:shd w:val="clear" w:color="auto" w:fill="E6F2FF"/>
          </w:tcPr>
          <w:p w14:paraId="6014FED5" w14:textId="77777777" w:rsidR="00FC0BFF" w:rsidRPr="006330CA" w:rsidRDefault="00FC0BFF" w:rsidP="002D23BA">
            <w:pPr>
              <w:pStyle w:val="TableColumnHeadingLeft"/>
              <w:spacing w:before="0"/>
            </w:pPr>
            <w:r w:rsidRPr="006330CA">
              <w:t>Treasury</w:t>
            </w:r>
          </w:p>
        </w:tc>
      </w:tr>
      <w:tr w:rsidR="00B30EB5" w:rsidRPr="00B832E0" w14:paraId="480CBE8C" w14:textId="77777777" w:rsidTr="00191C51">
        <w:trPr>
          <w:trHeight w:val="227"/>
        </w:trPr>
        <w:tc>
          <w:tcPr>
            <w:tcW w:w="1290" w:type="pct"/>
            <w:gridSpan w:val="2"/>
            <w:shd w:val="clear" w:color="auto" w:fill="auto"/>
          </w:tcPr>
          <w:p w14:paraId="15750888" w14:textId="77777777" w:rsidR="00FC0BFF" w:rsidRPr="006330CA" w:rsidRDefault="00FC0BFF" w:rsidP="002D23BA">
            <w:pPr>
              <w:pStyle w:val="TableTextLeft"/>
              <w:spacing w:before="0"/>
            </w:pPr>
            <w:r w:rsidRPr="006330CA">
              <w:t>Affordable Housing Bond Aggregator </w:t>
            </w:r>
          </w:p>
        </w:tc>
        <w:tc>
          <w:tcPr>
            <w:tcW w:w="737" w:type="pct"/>
            <w:shd w:val="clear" w:color="auto" w:fill="auto"/>
          </w:tcPr>
          <w:p w14:paraId="45D4FE3B" w14:textId="08A03837" w:rsidR="00FC0BFF" w:rsidRPr="00B30EB5" w:rsidRDefault="002E10A4" w:rsidP="002D23BA">
            <w:pPr>
              <w:pStyle w:val="TableTextRight"/>
              <w:spacing w:before="0"/>
            </w:pPr>
            <w:r w:rsidRPr="00B30EB5">
              <w:t>238</w:t>
            </w:r>
          </w:p>
        </w:tc>
        <w:tc>
          <w:tcPr>
            <w:tcW w:w="1167" w:type="pct"/>
            <w:shd w:val="clear" w:color="auto" w:fill="auto"/>
          </w:tcPr>
          <w:p w14:paraId="1729F973" w14:textId="77777777" w:rsidR="00FC0BFF" w:rsidRPr="006330CA" w:rsidRDefault="00FC0BFF" w:rsidP="002D23BA">
            <w:pPr>
              <w:pStyle w:val="TableTextLeft"/>
              <w:spacing w:before="0"/>
            </w:pPr>
            <w:r w:rsidRPr="006330CA">
              <w:t>Housing Australia</w:t>
            </w:r>
          </w:p>
        </w:tc>
        <w:tc>
          <w:tcPr>
            <w:tcW w:w="799" w:type="pct"/>
            <w:shd w:val="clear" w:color="auto" w:fill="auto"/>
          </w:tcPr>
          <w:p w14:paraId="4053665A" w14:textId="77777777" w:rsidR="00FC0BFF" w:rsidRPr="006330CA" w:rsidRDefault="00FC0BFF" w:rsidP="002D23BA">
            <w:pPr>
              <w:pStyle w:val="TableTextLeft"/>
              <w:spacing w:before="0"/>
            </w:pPr>
            <w:r w:rsidRPr="006330CA">
              <w:t>Commonwealth cost of borrowing </w:t>
            </w:r>
          </w:p>
        </w:tc>
        <w:tc>
          <w:tcPr>
            <w:tcW w:w="552" w:type="pct"/>
            <w:shd w:val="clear" w:color="auto" w:fill="auto"/>
          </w:tcPr>
          <w:p w14:paraId="5A8A5FAA" w14:textId="77777777" w:rsidR="00FC0BFF" w:rsidRPr="006330CA" w:rsidRDefault="00FC0BFF" w:rsidP="002D23BA">
            <w:pPr>
              <w:pStyle w:val="TableTextLeft"/>
              <w:spacing w:before="0"/>
            </w:pPr>
            <w:r w:rsidRPr="006330CA">
              <w:t>Various </w:t>
            </w:r>
          </w:p>
        </w:tc>
        <w:tc>
          <w:tcPr>
            <w:tcW w:w="455" w:type="pct"/>
            <w:shd w:val="clear" w:color="auto" w:fill="auto"/>
          </w:tcPr>
          <w:p w14:paraId="0984D5DA" w14:textId="0599578C" w:rsidR="00FC0BFF" w:rsidRPr="006330CA" w:rsidRDefault="00785D6B" w:rsidP="002D23BA">
            <w:pPr>
              <w:pStyle w:val="TableTextLeft"/>
              <w:spacing w:before="0"/>
            </w:pPr>
            <w:r w:rsidRPr="006330CA">
              <w:t>Modified</w:t>
            </w:r>
          </w:p>
        </w:tc>
      </w:tr>
      <w:tr w:rsidR="00B30EB5" w:rsidRPr="00B832E0" w14:paraId="2E36D8AC" w14:textId="77777777" w:rsidTr="00191C51">
        <w:trPr>
          <w:trHeight w:val="227"/>
        </w:trPr>
        <w:tc>
          <w:tcPr>
            <w:tcW w:w="1290" w:type="pct"/>
            <w:gridSpan w:val="2"/>
            <w:shd w:val="clear" w:color="auto" w:fill="auto"/>
          </w:tcPr>
          <w:p w14:paraId="2BF6DD19" w14:textId="2E1D7A2B" w:rsidR="00FC0BFF" w:rsidRPr="006330CA" w:rsidRDefault="00FC0BFF" w:rsidP="002D23BA">
            <w:pPr>
              <w:pStyle w:val="TableTextLeft"/>
              <w:spacing w:before="0"/>
            </w:pPr>
            <w:r w:rsidRPr="006330CA">
              <w:t>Commonwealth</w:t>
            </w:r>
            <w:r w:rsidR="00B63FC6">
              <w:noBreakHyphen/>
            </w:r>
            <w:r w:rsidRPr="006330CA">
              <w:t>State financing arrangements – housing and specific purpose capital </w:t>
            </w:r>
          </w:p>
        </w:tc>
        <w:tc>
          <w:tcPr>
            <w:tcW w:w="737" w:type="pct"/>
            <w:shd w:val="clear" w:color="auto" w:fill="auto"/>
          </w:tcPr>
          <w:p w14:paraId="388CD290" w14:textId="66C046DC" w:rsidR="00FC0BFF" w:rsidRPr="00B30EB5" w:rsidRDefault="00FC0BFF" w:rsidP="002D23BA">
            <w:pPr>
              <w:pStyle w:val="TableTextRight"/>
              <w:spacing w:before="0"/>
            </w:pPr>
            <w:r w:rsidRPr="00B30EB5">
              <w:t>1,</w:t>
            </w:r>
            <w:r w:rsidR="00C45621" w:rsidRPr="00B30EB5">
              <w:t>1</w:t>
            </w:r>
            <w:r w:rsidR="008B19E4" w:rsidRPr="00B30EB5">
              <w:t>70</w:t>
            </w:r>
          </w:p>
        </w:tc>
        <w:tc>
          <w:tcPr>
            <w:tcW w:w="1167" w:type="pct"/>
            <w:shd w:val="clear" w:color="auto" w:fill="auto"/>
          </w:tcPr>
          <w:p w14:paraId="0D76A6EC" w14:textId="77777777" w:rsidR="00FC0BFF" w:rsidRPr="006330CA" w:rsidRDefault="00FC0BFF" w:rsidP="002D23BA">
            <w:pPr>
              <w:pStyle w:val="TableTextLeft"/>
              <w:spacing w:before="0"/>
            </w:pPr>
            <w:r w:rsidRPr="006330CA">
              <w:t>State and Northern Territory governments </w:t>
            </w:r>
          </w:p>
        </w:tc>
        <w:tc>
          <w:tcPr>
            <w:tcW w:w="799" w:type="pct"/>
            <w:shd w:val="clear" w:color="auto" w:fill="auto"/>
          </w:tcPr>
          <w:p w14:paraId="1BEE5F96" w14:textId="77777777" w:rsidR="00FC0BFF" w:rsidRPr="006330CA" w:rsidRDefault="00FC0BFF" w:rsidP="002D23BA">
            <w:pPr>
              <w:pStyle w:val="TableTextLeft"/>
              <w:spacing w:before="0"/>
            </w:pPr>
            <w:r w:rsidRPr="006330CA">
              <w:t>4.0 per cent – </w:t>
            </w:r>
            <w:r w:rsidRPr="006330CA">
              <w:br/>
              <w:t>6.0 per cent </w:t>
            </w:r>
          </w:p>
        </w:tc>
        <w:tc>
          <w:tcPr>
            <w:tcW w:w="552" w:type="pct"/>
            <w:shd w:val="clear" w:color="auto" w:fill="auto"/>
          </w:tcPr>
          <w:p w14:paraId="22D5CBA5" w14:textId="77777777" w:rsidR="00FC0BFF" w:rsidRPr="006330CA" w:rsidRDefault="00FC0BFF" w:rsidP="002D23BA">
            <w:pPr>
              <w:pStyle w:val="TableTextLeft"/>
              <w:spacing w:before="0"/>
            </w:pPr>
            <w:r w:rsidRPr="006330CA">
              <w:t>Up to 30 June 2042 </w:t>
            </w:r>
          </w:p>
        </w:tc>
        <w:tc>
          <w:tcPr>
            <w:tcW w:w="455" w:type="pct"/>
            <w:shd w:val="clear" w:color="auto" w:fill="auto"/>
          </w:tcPr>
          <w:p w14:paraId="7EF23DB9" w14:textId="796B5E2E" w:rsidR="00FC0BFF" w:rsidRPr="006330CA" w:rsidRDefault="00785D6B" w:rsidP="002D23BA">
            <w:pPr>
              <w:pStyle w:val="TableTextLeft"/>
              <w:spacing w:before="0"/>
            </w:pPr>
            <w:r w:rsidRPr="006330CA">
              <w:t>Modified</w:t>
            </w:r>
          </w:p>
        </w:tc>
      </w:tr>
      <w:tr w:rsidR="00B30EB5" w:rsidRPr="00B832E0" w14:paraId="65A7BE2F" w14:textId="77777777" w:rsidTr="00191C51">
        <w:trPr>
          <w:trHeight w:val="227"/>
        </w:trPr>
        <w:tc>
          <w:tcPr>
            <w:tcW w:w="1290" w:type="pct"/>
            <w:gridSpan w:val="2"/>
            <w:shd w:val="clear" w:color="auto" w:fill="auto"/>
          </w:tcPr>
          <w:p w14:paraId="1542258F" w14:textId="77777777" w:rsidR="00FC0BFF" w:rsidRPr="006330CA" w:rsidRDefault="00FC0BFF" w:rsidP="002D23BA">
            <w:pPr>
              <w:pStyle w:val="TableTextLeft"/>
              <w:spacing w:before="0"/>
            </w:pPr>
            <w:r w:rsidRPr="006330CA">
              <w:t>International Monetary Fund – Poverty Reduction and Growth Trust</w:t>
            </w:r>
          </w:p>
        </w:tc>
        <w:tc>
          <w:tcPr>
            <w:tcW w:w="737" w:type="pct"/>
            <w:shd w:val="clear" w:color="auto" w:fill="auto"/>
          </w:tcPr>
          <w:p w14:paraId="25A79A38" w14:textId="2708F902" w:rsidR="00FC0BFF" w:rsidRPr="00B30EB5" w:rsidRDefault="00A939EA" w:rsidP="002D23BA">
            <w:pPr>
              <w:pStyle w:val="TableTextRight"/>
              <w:spacing w:before="0"/>
            </w:pPr>
            <w:r w:rsidRPr="00B30EB5">
              <w:t>517</w:t>
            </w:r>
          </w:p>
        </w:tc>
        <w:tc>
          <w:tcPr>
            <w:tcW w:w="1167" w:type="pct"/>
            <w:shd w:val="clear" w:color="auto" w:fill="auto"/>
          </w:tcPr>
          <w:p w14:paraId="29D423D2" w14:textId="77777777" w:rsidR="00FC0BFF" w:rsidRPr="006330CA" w:rsidRDefault="00FC0BFF" w:rsidP="002D23BA">
            <w:pPr>
              <w:pStyle w:val="TableTextLeft"/>
              <w:spacing w:before="0"/>
            </w:pPr>
            <w:r w:rsidRPr="006330CA">
              <w:t>International Monetary Fund </w:t>
            </w:r>
          </w:p>
        </w:tc>
        <w:tc>
          <w:tcPr>
            <w:tcW w:w="799" w:type="pct"/>
            <w:shd w:val="clear" w:color="auto" w:fill="auto"/>
          </w:tcPr>
          <w:p w14:paraId="4A6F0216" w14:textId="77777777" w:rsidR="00FC0BFF" w:rsidRPr="006330CA" w:rsidRDefault="00FC0BFF" w:rsidP="002D23BA">
            <w:pPr>
              <w:pStyle w:val="TableTextLeft"/>
              <w:spacing w:before="0"/>
            </w:pPr>
            <w:r w:rsidRPr="006330CA">
              <w:t>IMF SDR interest rate </w:t>
            </w:r>
          </w:p>
        </w:tc>
        <w:tc>
          <w:tcPr>
            <w:tcW w:w="552" w:type="pct"/>
            <w:shd w:val="clear" w:color="auto" w:fill="auto"/>
          </w:tcPr>
          <w:p w14:paraId="1FAFD4D2" w14:textId="77777777" w:rsidR="00FC0BFF" w:rsidRPr="006330CA" w:rsidRDefault="00FC0BFF" w:rsidP="002D23BA">
            <w:pPr>
              <w:pStyle w:val="TableTextLeft"/>
              <w:spacing w:before="0"/>
            </w:pPr>
            <w:r w:rsidRPr="006330CA">
              <w:t>10 years </w:t>
            </w:r>
          </w:p>
        </w:tc>
        <w:tc>
          <w:tcPr>
            <w:tcW w:w="455" w:type="pct"/>
            <w:shd w:val="clear" w:color="auto" w:fill="auto"/>
          </w:tcPr>
          <w:p w14:paraId="37843310" w14:textId="6BD604BB" w:rsidR="00FC0BFF" w:rsidRPr="006330CA" w:rsidRDefault="00785D6B" w:rsidP="002D23BA">
            <w:pPr>
              <w:pStyle w:val="TableTextLeft"/>
              <w:spacing w:before="0"/>
            </w:pPr>
            <w:r w:rsidRPr="006330CA">
              <w:t>Modified </w:t>
            </w:r>
          </w:p>
        </w:tc>
      </w:tr>
      <w:tr w:rsidR="00B30EB5" w:rsidRPr="00B832E0" w14:paraId="694ED2F0" w14:textId="77777777" w:rsidTr="00191C51">
        <w:trPr>
          <w:trHeight w:val="227"/>
        </w:trPr>
        <w:tc>
          <w:tcPr>
            <w:tcW w:w="1290" w:type="pct"/>
            <w:gridSpan w:val="2"/>
            <w:shd w:val="clear" w:color="auto" w:fill="auto"/>
          </w:tcPr>
          <w:p w14:paraId="6F37F4F3" w14:textId="77777777" w:rsidR="00FC0BFF" w:rsidRPr="006330CA" w:rsidRDefault="00FC0BFF" w:rsidP="002D23BA">
            <w:pPr>
              <w:pStyle w:val="TableTextLeft"/>
              <w:spacing w:before="0"/>
            </w:pPr>
            <w:r w:rsidRPr="006330CA">
              <w:t>International Monetary Fund – Resilience and Sustainability Trust</w:t>
            </w:r>
          </w:p>
        </w:tc>
        <w:tc>
          <w:tcPr>
            <w:tcW w:w="737" w:type="pct"/>
            <w:shd w:val="clear" w:color="auto" w:fill="auto"/>
          </w:tcPr>
          <w:p w14:paraId="50BD1359" w14:textId="0C8061B6" w:rsidR="00FC0BFF" w:rsidRPr="00B30EB5" w:rsidRDefault="00FC0BFF" w:rsidP="002D23BA">
            <w:pPr>
              <w:pStyle w:val="TableTextRight"/>
              <w:spacing w:before="0"/>
              <w:rPr>
                <w:rFonts w:eastAsia="Book Antiqua"/>
              </w:rPr>
            </w:pPr>
            <w:r w:rsidRPr="00B30EB5">
              <w:t>2</w:t>
            </w:r>
            <w:r w:rsidR="002848A3" w:rsidRPr="00B30EB5">
              <w:t>8</w:t>
            </w:r>
          </w:p>
        </w:tc>
        <w:tc>
          <w:tcPr>
            <w:tcW w:w="1167" w:type="pct"/>
            <w:shd w:val="clear" w:color="auto" w:fill="auto"/>
          </w:tcPr>
          <w:p w14:paraId="009C2DF4" w14:textId="77777777" w:rsidR="00FC0BFF" w:rsidRPr="006330CA" w:rsidRDefault="00FC0BFF" w:rsidP="002D23BA">
            <w:pPr>
              <w:pStyle w:val="TableTextLeft"/>
              <w:spacing w:before="0"/>
            </w:pPr>
            <w:r w:rsidRPr="006330CA">
              <w:t>International Monetary Fund </w:t>
            </w:r>
          </w:p>
        </w:tc>
        <w:tc>
          <w:tcPr>
            <w:tcW w:w="799" w:type="pct"/>
            <w:shd w:val="clear" w:color="auto" w:fill="auto"/>
          </w:tcPr>
          <w:p w14:paraId="029B9D58" w14:textId="77777777" w:rsidR="00FC0BFF" w:rsidRPr="006330CA" w:rsidRDefault="00FC0BFF" w:rsidP="002D23BA">
            <w:pPr>
              <w:pStyle w:val="TableTextLeft"/>
              <w:spacing w:before="0"/>
            </w:pPr>
            <w:r w:rsidRPr="006330CA">
              <w:t>IMF SDR interest rate </w:t>
            </w:r>
          </w:p>
        </w:tc>
        <w:tc>
          <w:tcPr>
            <w:tcW w:w="552" w:type="pct"/>
            <w:shd w:val="clear" w:color="auto" w:fill="auto"/>
          </w:tcPr>
          <w:p w14:paraId="26EFF92F" w14:textId="77777777" w:rsidR="00FC0BFF" w:rsidRPr="006330CA" w:rsidRDefault="00FC0BFF" w:rsidP="002D23BA">
            <w:pPr>
              <w:pStyle w:val="TableTextLeft"/>
              <w:spacing w:before="0"/>
            </w:pPr>
            <w:r w:rsidRPr="006330CA">
              <w:t>20 years </w:t>
            </w:r>
          </w:p>
        </w:tc>
        <w:tc>
          <w:tcPr>
            <w:tcW w:w="455" w:type="pct"/>
            <w:shd w:val="clear" w:color="auto" w:fill="auto"/>
          </w:tcPr>
          <w:p w14:paraId="5F375899" w14:textId="34314C9F" w:rsidR="00FC0BFF" w:rsidRPr="006330CA" w:rsidRDefault="00785D6B" w:rsidP="002D23BA">
            <w:pPr>
              <w:pStyle w:val="TableTextLeft"/>
              <w:spacing w:before="0"/>
            </w:pPr>
            <w:r w:rsidRPr="006330CA">
              <w:t>Modified</w:t>
            </w:r>
          </w:p>
        </w:tc>
      </w:tr>
      <w:tr w:rsidR="00B30EB5" w:rsidRPr="00B832E0" w14:paraId="30614BA8" w14:textId="77777777" w:rsidTr="00191C51">
        <w:trPr>
          <w:trHeight w:val="227"/>
        </w:trPr>
        <w:tc>
          <w:tcPr>
            <w:tcW w:w="1290" w:type="pct"/>
            <w:gridSpan w:val="2"/>
            <w:shd w:val="clear" w:color="auto" w:fill="auto"/>
          </w:tcPr>
          <w:p w14:paraId="0FFF322F" w14:textId="77777777" w:rsidR="00FC0BFF" w:rsidRPr="006330CA" w:rsidRDefault="00FC0BFF" w:rsidP="002D23BA">
            <w:pPr>
              <w:pStyle w:val="TableTextLeft"/>
              <w:spacing w:before="0"/>
            </w:pPr>
            <w:r w:rsidRPr="006330CA">
              <w:t>Loan Agreement between the Australian Government and the Government of Indonesia </w:t>
            </w:r>
          </w:p>
        </w:tc>
        <w:tc>
          <w:tcPr>
            <w:tcW w:w="737" w:type="pct"/>
            <w:shd w:val="clear" w:color="auto" w:fill="auto"/>
          </w:tcPr>
          <w:p w14:paraId="4C34E541" w14:textId="77777777" w:rsidR="00FC0BFF" w:rsidRPr="00B30EB5" w:rsidRDefault="00FC0BFF" w:rsidP="002D23BA">
            <w:pPr>
              <w:pStyle w:val="TableTextRight"/>
              <w:spacing w:before="0"/>
            </w:pPr>
            <w:r w:rsidRPr="00B30EB5">
              <w:t>895</w:t>
            </w:r>
          </w:p>
        </w:tc>
        <w:tc>
          <w:tcPr>
            <w:tcW w:w="1167" w:type="pct"/>
            <w:shd w:val="clear" w:color="auto" w:fill="auto"/>
          </w:tcPr>
          <w:p w14:paraId="244BC096" w14:textId="77777777" w:rsidR="00FC0BFF" w:rsidRPr="006330CA" w:rsidRDefault="00FC0BFF" w:rsidP="002D23BA">
            <w:pPr>
              <w:pStyle w:val="TableTextLeft"/>
              <w:spacing w:before="0"/>
            </w:pPr>
            <w:r w:rsidRPr="006330CA">
              <w:t>Government of Indonesia </w:t>
            </w:r>
          </w:p>
        </w:tc>
        <w:tc>
          <w:tcPr>
            <w:tcW w:w="799" w:type="pct"/>
            <w:shd w:val="clear" w:color="auto" w:fill="auto"/>
          </w:tcPr>
          <w:p w14:paraId="09280965" w14:textId="77777777" w:rsidR="00FC0BFF" w:rsidRPr="006330CA" w:rsidRDefault="00FC0BFF" w:rsidP="002D23BA">
            <w:pPr>
              <w:pStyle w:val="TableTextLeft"/>
              <w:spacing w:before="0"/>
            </w:pPr>
            <w:r w:rsidRPr="006330CA">
              <w:t>Commonwealth cost of borrowing plus 0.5 per cent </w:t>
            </w:r>
          </w:p>
        </w:tc>
        <w:tc>
          <w:tcPr>
            <w:tcW w:w="552" w:type="pct"/>
            <w:shd w:val="clear" w:color="auto" w:fill="auto"/>
          </w:tcPr>
          <w:p w14:paraId="5FFD256E" w14:textId="77777777" w:rsidR="00FC0BFF" w:rsidRPr="006330CA" w:rsidRDefault="00FC0BFF" w:rsidP="002D23BA">
            <w:pPr>
              <w:pStyle w:val="TableTextLeft"/>
              <w:spacing w:before="0"/>
            </w:pPr>
            <w:r w:rsidRPr="006330CA">
              <w:t>15 years </w:t>
            </w:r>
          </w:p>
        </w:tc>
        <w:tc>
          <w:tcPr>
            <w:tcW w:w="455" w:type="pct"/>
            <w:shd w:val="clear" w:color="auto" w:fill="auto"/>
          </w:tcPr>
          <w:p w14:paraId="0D91E094" w14:textId="77777777" w:rsidR="00FC0BFF" w:rsidRPr="006330CA" w:rsidRDefault="00FC0BFF" w:rsidP="002D23BA">
            <w:pPr>
              <w:pStyle w:val="TableTextLeft"/>
              <w:spacing w:before="0"/>
            </w:pPr>
            <w:r w:rsidRPr="006330CA">
              <w:t>Unchanged</w:t>
            </w:r>
          </w:p>
        </w:tc>
      </w:tr>
      <w:tr w:rsidR="00B30EB5" w:rsidRPr="00B832E0" w14:paraId="23926DC0" w14:textId="77777777" w:rsidTr="00191C51">
        <w:trPr>
          <w:trHeight w:val="227"/>
        </w:trPr>
        <w:tc>
          <w:tcPr>
            <w:tcW w:w="1290" w:type="pct"/>
            <w:gridSpan w:val="2"/>
            <w:shd w:val="clear" w:color="auto" w:fill="auto"/>
          </w:tcPr>
          <w:p w14:paraId="1FA04739" w14:textId="77777777" w:rsidR="00FC0BFF" w:rsidRPr="006330CA" w:rsidRDefault="00FC0BFF" w:rsidP="002D23BA">
            <w:pPr>
              <w:pStyle w:val="TableTextLeft"/>
              <w:spacing w:before="0"/>
            </w:pPr>
            <w:r w:rsidRPr="006330CA">
              <w:t>2020 Loan Agreement between the Australian Government and the Government of Papua New Guinea </w:t>
            </w:r>
          </w:p>
        </w:tc>
        <w:tc>
          <w:tcPr>
            <w:tcW w:w="737" w:type="pct"/>
            <w:shd w:val="clear" w:color="auto" w:fill="auto"/>
          </w:tcPr>
          <w:p w14:paraId="62D90B5B" w14:textId="77777777" w:rsidR="00FC0BFF" w:rsidRPr="00B30EB5" w:rsidRDefault="00FC0BFF" w:rsidP="002D23BA">
            <w:pPr>
              <w:pStyle w:val="TableTextRight"/>
              <w:spacing w:before="0"/>
            </w:pPr>
            <w:r w:rsidRPr="00B30EB5">
              <w:t>286</w:t>
            </w:r>
          </w:p>
        </w:tc>
        <w:tc>
          <w:tcPr>
            <w:tcW w:w="1167" w:type="pct"/>
            <w:shd w:val="clear" w:color="auto" w:fill="auto"/>
          </w:tcPr>
          <w:p w14:paraId="3B957DFF" w14:textId="77777777" w:rsidR="00FC0BFF" w:rsidRPr="006330CA" w:rsidRDefault="00FC0BFF" w:rsidP="002D23BA">
            <w:pPr>
              <w:pStyle w:val="TableTextLeft"/>
              <w:spacing w:before="0"/>
            </w:pPr>
            <w:r w:rsidRPr="006330CA">
              <w:t>Government of Papua New Guinea </w:t>
            </w:r>
          </w:p>
        </w:tc>
        <w:tc>
          <w:tcPr>
            <w:tcW w:w="799" w:type="pct"/>
            <w:shd w:val="clear" w:color="auto" w:fill="auto"/>
          </w:tcPr>
          <w:p w14:paraId="710F749A" w14:textId="77777777" w:rsidR="00FC0BFF" w:rsidRPr="006330CA" w:rsidRDefault="00FC0BFF" w:rsidP="002D23BA">
            <w:pPr>
              <w:pStyle w:val="TableTextLeft"/>
              <w:spacing w:before="0"/>
            </w:pPr>
            <w:r w:rsidRPr="006330CA">
              <w:t>Commonwealth cost of borrowing plus 0.5 per cent </w:t>
            </w:r>
          </w:p>
        </w:tc>
        <w:tc>
          <w:tcPr>
            <w:tcW w:w="552" w:type="pct"/>
            <w:shd w:val="clear" w:color="auto" w:fill="auto"/>
          </w:tcPr>
          <w:p w14:paraId="78F93765" w14:textId="77777777" w:rsidR="00FC0BFF" w:rsidRPr="006330CA" w:rsidRDefault="00FC0BFF" w:rsidP="002D23BA">
            <w:pPr>
              <w:pStyle w:val="TableTextLeft"/>
              <w:spacing w:before="0"/>
            </w:pPr>
            <w:r w:rsidRPr="006330CA">
              <w:t>15 years </w:t>
            </w:r>
          </w:p>
        </w:tc>
        <w:tc>
          <w:tcPr>
            <w:tcW w:w="455" w:type="pct"/>
            <w:shd w:val="clear" w:color="auto" w:fill="auto"/>
          </w:tcPr>
          <w:p w14:paraId="0BCF1CD9" w14:textId="77777777" w:rsidR="00FC0BFF" w:rsidRPr="006330CA" w:rsidRDefault="00FC0BFF" w:rsidP="002D23BA">
            <w:pPr>
              <w:pStyle w:val="TableTextLeft"/>
              <w:spacing w:before="0"/>
            </w:pPr>
            <w:r w:rsidRPr="006330CA">
              <w:t>Unchanged</w:t>
            </w:r>
          </w:p>
        </w:tc>
      </w:tr>
      <w:tr w:rsidR="00B30EB5" w:rsidRPr="00B832E0" w14:paraId="1A360E58" w14:textId="77777777" w:rsidTr="00191C51">
        <w:trPr>
          <w:trHeight w:val="227"/>
        </w:trPr>
        <w:tc>
          <w:tcPr>
            <w:tcW w:w="1290" w:type="pct"/>
            <w:gridSpan w:val="2"/>
            <w:shd w:val="clear" w:color="auto" w:fill="auto"/>
          </w:tcPr>
          <w:p w14:paraId="43892C13" w14:textId="77777777" w:rsidR="00FC0BFF" w:rsidRPr="006330CA" w:rsidRDefault="00FC0BFF" w:rsidP="002D23BA">
            <w:pPr>
              <w:pStyle w:val="TableTextLeft"/>
              <w:spacing w:before="0"/>
            </w:pPr>
            <w:r w:rsidRPr="006330CA">
              <w:t>2021 Loan Agreement between the Australian Government and the Government of Papua New Guinea </w:t>
            </w:r>
          </w:p>
        </w:tc>
        <w:tc>
          <w:tcPr>
            <w:tcW w:w="737" w:type="pct"/>
            <w:shd w:val="clear" w:color="auto" w:fill="auto"/>
          </w:tcPr>
          <w:p w14:paraId="006CC021" w14:textId="77777777" w:rsidR="00FC0BFF" w:rsidRPr="00B30EB5" w:rsidRDefault="00FC0BFF" w:rsidP="002D23BA">
            <w:pPr>
              <w:pStyle w:val="TableTextRight"/>
              <w:spacing w:before="0"/>
            </w:pPr>
            <w:r w:rsidRPr="00B30EB5">
              <w:t>307</w:t>
            </w:r>
          </w:p>
        </w:tc>
        <w:tc>
          <w:tcPr>
            <w:tcW w:w="1167" w:type="pct"/>
            <w:shd w:val="clear" w:color="auto" w:fill="auto"/>
          </w:tcPr>
          <w:p w14:paraId="671362B1" w14:textId="77777777" w:rsidR="00FC0BFF" w:rsidRPr="006330CA" w:rsidRDefault="00FC0BFF" w:rsidP="002D23BA">
            <w:pPr>
              <w:pStyle w:val="TableTextLeft"/>
              <w:spacing w:before="0"/>
            </w:pPr>
            <w:r w:rsidRPr="006330CA">
              <w:t>Government of Papua New Guinea </w:t>
            </w:r>
          </w:p>
        </w:tc>
        <w:tc>
          <w:tcPr>
            <w:tcW w:w="799" w:type="pct"/>
            <w:shd w:val="clear" w:color="auto" w:fill="auto"/>
          </w:tcPr>
          <w:p w14:paraId="6DBDFCB0" w14:textId="77777777" w:rsidR="00FC0BFF" w:rsidRPr="006330CA" w:rsidRDefault="00FC0BFF" w:rsidP="002D23BA">
            <w:pPr>
              <w:pStyle w:val="TableTextLeft"/>
              <w:spacing w:before="0"/>
            </w:pPr>
            <w:r w:rsidRPr="006330CA">
              <w:t>Commonwealth cost of borrowing plus 0.5 per cent </w:t>
            </w:r>
          </w:p>
        </w:tc>
        <w:tc>
          <w:tcPr>
            <w:tcW w:w="552" w:type="pct"/>
            <w:shd w:val="clear" w:color="auto" w:fill="auto"/>
          </w:tcPr>
          <w:p w14:paraId="2C93CFD2" w14:textId="77777777" w:rsidR="00FC0BFF" w:rsidRPr="006330CA" w:rsidRDefault="00FC0BFF" w:rsidP="002D23BA">
            <w:pPr>
              <w:pStyle w:val="TableTextLeft"/>
              <w:spacing w:before="0"/>
            </w:pPr>
            <w:r w:rsidRPr="006330CA">
              <w:t>20 years </w:t>
            </w:r>
          </w:p>
        </w:tc>
        <w:tc>
          <w:tcPr>
            <w:tcW w:w="455" w:type="pct"/>
            <w:shd w:val="clear" w:color="auto" w:fill="auto"/>
          </w:tcPr>
          <w:p w14:paraId="3D9863B6" w14:textId="77777777" w:rsidR="00FC0BFF" w:rsidRPr="006330CA" w:rsidRDefault="00FC0BFF" w:rsidP="002D23BA">
            <w:pPr>
              <w:pStyle w:val="TableTextLeft"/>
              <w:spacing w:before="0"/>
            </w:pPr>
            <w:r w:rsidRPr="006330CA">
              <w:t>Unchanged </w:t>
            </w:r>
          </w:p>
        </w:tc>
      </w:tr>
      <w:tr w:rsidR="00B30EB5" w:rsidRPr="00B832E0" w14:paraId="30EAFC59" w14:textId="77777777" w:rsidTr="00191C51">
        <w:trPr>
          <w:trHeight w:val="227"/>
        </w:trPr>
        <w:tc>
          <w:tcPr>
            <w:tcW w:w="1290" w:type="pct"/>
            <w:gridSpan w:val="2"/>
            <w:shd w:val="clear" w:color="auto" w:fill="auto"/>
          </w:tcPr>
          <w:p w14:paraId="26D0F58D" w14:textId="77777777" w:rsidR="00FC0BFF" w:rsidRPr="006330CA" w:rsidRDefault="00FC0BFF" w:rsidP="002D23BA">
            <w:pPr>
              <w:pStyle w:val="TableTextLeft"/>
              <w:spacing w:before="0"/>
            </w:pPr>
            <w:r w:rsidRPr="006330CA">
              <w:t>2022 Loan Agreement between the Australian Government and the Government of Papua New Guinea </w:t>
            </w:r>
          </w:p>
        </w:tc>
        <w:tc>
          <w:tcPr>
            <w:tcW w:w="737" w:type="pct"/>
            <w:shd w:val="clear" w:color="auto" w:fill="auto"/>
          </w:tcPr>
          <w:p w14:paraId="3968E2D0" w14:textId="77777777" w:rsidR="00FC0BFF" w:rsidRPr="00B30EB5" w:rsidRDefault="00FC0BFF" w:rsidP="002D23BA">
            <w:pPr>
              <w:pStyle w:val="TableTextRight"/>
              <w:spacing w:before="0"/>
            </w:pPr>
            <w:r w:rsidRPr="00B30EB5">
              <w:t>350</w:t>
            </w:r>
          </w:p>
        </w:tc>
        <w:tc>
          <w:tcPr>
            <w:tcW w:w="1167" w:type="pct"/>
            <w:shd w:val="clear" w:color="auto" w:fill="auto"/>
          </w:tcPr>
          <w:p w14:paraId="07D20F12" w14:textId="77777777" w:rsidR="00FC0BFF" w:rsidRPr="006330CA" w:rsidRDefault="00FC0BFF" w:rsidP="002D23BA">
            <w:pPr>
              <w:pStyle w:val="TableTextLeft"/>
              <w:spacing w:before="0"/>
            </w:pPr>
            <w:r w:rsidRPr="006330CA">
              <w:t>Government of Papua New Guinea </w:t>
            </w:r>
          </w:p>
        </w:tc>
        <w:tc>
          <w:tcPr>
            <w:tcW w:w="799" w:type="pct"/>
            <w:shd w:val="clear" w:color="auto" w:fill="auto"/>
          </w:tcPr>
          <w:p w14:paraId="2098E049" w14:textId="77777777" w:rsidR="00FC0BFF" w:rsidRPr="006330CA" w:rsidRDefault="00FC0BFF" w:rsidP="002D23BA">
            <w:pPr>
              <w:pStyle w:val="TableTextLeft"/>
              <w:spacing w:before="0"/>
            </w:pPr>
            <w:r w:rsidRPr="006330CA">
              <w:t xml:space="preserve">Commonwealth cost of borrowing </w:t>
            </w:r>
          </w:p>
        </w:tc>
        <w:tc>
          <w:tcPr>
            <w:tcW w:w="552" w:type="pct"/>
            <w:shd w:val="clear" w:color="auto" w:fill="auto"/>
          </w:tcPr>
          <w:p w14:paraId="23E11395" w14:textId="77777777" w:rsidR="00FC0BFF" w:rsidRPr="006330CA" w:rsidRDefault="00FC0BFF" w:rsidP="002D23BA">
            <w:pPr>
              <w:pStyle w:val="TableTextLeft"/>
              <w:spacing w:before="0"/>
            </w:pPr>
            <w:r w:rsidRPr="006330CA">
              <w:t>20 years</w:t>
            </w:r>
          </w:p>
        </w:tc>
        <w:tc>
          <w:tcPr>
            <w:tcW w:w="455" w:type="pct"/>
            <w:shd w:val="clear" w:color="auto" w:fill="auto"/>
          </w:tcPr>
          <w:p w14:paraId="0CB9046A" w14:textId="7E0C3E12" w:rsidR="00FC0BFF" w:rsidRPr="006330CA" w:rsidRDefault="00E12324" w:rsidP="002D23BA">
            <w:pPr>
              <w:pStyle w:val="TableTextLeft"/>
              <w:spacing w:before="0"/>
            </w:pPr>
            <w:r w:rsidRPr="006330CA">
              <w:t>Unchanged </w:t>
            </w:r>
          </w:p>
        </w:tc>
      </w:tr>
      <w:tr w:rsidR="00B30EB5" w:rsidRPr="00B832E0" w14:paraId="6227D312" w14:textId="77777777" w:rsidTr="00191C51">
        <w:trPr>
          <w:trHeight w:val="227"/>
        </w:trPr>
        <w:tc>
          <w:tcPr>
            <w:tcW w:w="1290" w:type="pct"/>
            <w:gridSpan w:val="2"/>
            <w:shd w:val="clear" w:color="auto" w:fill="auto"/>
          </w:tcPr>
          <w:p w14:paraId="41DFB1C2" w14:textId="77777777" w:rsidR="00FC0BFF" w:rsidRPr="006330CA" w:rsidRDefault="00FC0BFF" w:rsidP="002D23BA">
            <w:pPr>
              <w:pStyle w:val="TableTextLeft"/>
              <w:spacing w:before="0"/>
            </w:pPr>
            <w:r w:rsidRPr="006330CA">
              <w:t>2023 Loan Agreement between the Australian Government and the Government of Papua New Guinea </w:t>
            </w:r>
          </w:p>
        </w:tc>
        <w:tc>
          <w:tcPr>
            <w:tcW w:w="737" w:type="pct"/>
            <w:shd w:val="clear" w:color="auto" w:fill="auto"/>
          </w:tcPr>
          <w:p w14:paraId="3DB327A2" w14:textId="77777777" w:rsidR="00FC0BFF" w:rsidRPr="00B30EB5" w:rsidRDefault="00FC0BFF" w:rsidP="002D23BA">
            <w:pPr>
              <w:pStyle w:val="TableTextRight"/>
              <w:spacing w:before="0"/>
            </w:pPr>
            <w:r w:rsidRPr="00B30EB5">
              <w:t>344</w:t>
            </w:r>
          </w:p>
        </w:tc>
        <w:tc>
          <w:tcPr>
            <w:tcW w:w="1167" w:type="pct"/>
            <w:shd w:val="clear" w:color="auto" w:fill="auto"/>
          </w:tcPr>
          <w:p w14:paraId="1D04489F" w14:textId="77777777" w:rsidR="00FC0BFF" w:rsidRPr="006330CA" w:rsidRDefault="00FC0BFF" w:rsidP="002D23BA">
            <w:pPr>
              <w:pStyle w:val="TableTextLeft"/>
              <w:spacing w:before="0"/>
            </w:pPr>
            <w:r w:rsidRPr="006330CA">
              <w:t>Government of Papua New Guinea </w:t>
            </w:r>
          </w:p>
        </w:tc>
        <w:tc>
          <w:tcPr>
            <w:tcW w:w="799" w:type="pct"/>
            <w:shd w:val="clear" w:color="auto" w:fill="auto"/>
          </w:tcPr>
          <w:p w14:paraId="4862BC46" w14:textId="77777777" w:rsidR="00FC0BFF" w:rsidRPr="006330CA" w:rsidRDefault="00FC0BFF" w:rsidP="002D23BA">
            <w:pPr>
              <w:pStyle w:val="TableTextLeft"/>
              <w:spacing w:before="0"/>
            </w:pPr>
            <w:r w:rsidRPr="006330CA">
              <w:t>Commonwealth cost of borrowing</w:t>
            </w:r>
          </w:p>
        </w:tc>
        <w:tc>
          <w:tcPr>
            <w:tcW w:w="552" w:type="pct"/>
            <w:shd w:val="clear" w:color="auto" w:fill="auto"/>
          </w:tcPr>
          <w:p w14:paraId="0EDDB255" w14:textId="77777777" w:rsidR="00FC0BFF" w:rsidRPr="006330CA" w:rsidRDefault="00FC0BFF" w:rsidP="002D23BA">
            <w:pPr>
              <w:pStyle w:val="TableTextLeft"/>
              <w:spacing w:before="0"/>
            </w:pPr>
            <w:r w:rsidRPr="006330CA">
              <w:t>20 years</w:t>
            </w:r>
          </w:p>
        </w:tc>
        <w:tc>
          <w:tcPr>
            <w:tcW w:w="455" w:type="pct"/>
            <w:shd w:val="clear" w:color="auto" w:fill="auto"/>
          </w:tcPr>
          <w:p w14:paraId="6A0F25BE" w14:textId="36B6282F" w:rsidR="00FC0BFF" w:rsidRPr="006330CA" w:rsidRDefault="00A24416" w:rsidP="002D23BA">
            <w:pPr>
              <w:pStyle w:val="TableTextLeft"/>
              <w:spacing w:before="0"/>
            </w:pPr>
            <w:r w:rsidRPr="006330CA">
              <w:t>Unch</w:t>
            </w:r>
            <w:r w:rsidR="00A25C78" w:rsidRPr="006330CA">
              <w:t>anged</w:t>
            </w:r>
          </w:p>
        </w:tc>
      </w:tr>
    </w:tbl>
    <w:p w14:paraId="2CD94CB5" w14:textId="6F13A950" w:rsidR="00FC0BFF" w:rsidRPr="007A1859" w:rsidRDefault="00FC0BFF" w:rsidP="00FC0BFF">
      <w:pPr>
        <w:pStyle w:val="ChartandTableFootnoteAlpha"/>
        <w:numPr>
          <w:ilvl w:val="0"/>
          <w:numId w:val="28"/>
        </w:numPr>
        <w:spacing w:before="0"/>
        <w:rPr>
          <w:szCs w:val="16"/>
        </w:rPr>
      </w:pPr>
      <w:r w:rsidRPr="00F715F0">
        <w:rPr>
          <w:szCs w:val="16"/>
        </w:rPr>
        <w:t xml:space="preserve">Loan amount is </w:t>
      </w:r>
      <w:r w:rsidRPr="007A1859">
        <w:rPr>
          <w:szCs w:val="16"/>
        </w:rPr>
        <w:t xml:space="preserve">the estimated loan program amounts outstanding as </w:t>
      </w:r>
      <w:proofErr w:type="gramStart"/>
      <w:r w:rsidRPr="007A1859">
        <w:rPr>
          <w:szCs w:val="16"/>
        </w:rPr>
        <w:t>at</w:t>
      </w:r>
      <w:proofErr w:type="gramEnd"/>
      <w:r w:rsidRPr="007A1859">
        <w:rPr>
          <w:szCs w:val="16"/>
        </w:rPr>
        <w:t xml:space="preserve"> 30 June 2024 in $</w:t>
      </w:r>
      <w:r w:rsidR="002E6F0C">
        <w:rPr>
          <w:szCs w:val="16"/>
        </w:rPr>
        <w:t> million</w:t>
      </w:r>
      <w:r w:rsidRPr="007A1859">
        <w:rPr>
          <w:szCs w:val="16"/>
        </w:rPr>
        <w:t>. </w:t>
      </w:r>
    </w:p>
    <w:p w14:paraId="27607633" w14:textId="7BB76C3D" w:rsidR="00FC0BFF" w:rsidRPr="00F715F0" w:rsidRDefault="00FC0BFF" w:rsidP="00FC0BFF">
      <w:pPr>
        <w:pStyle w:val="ChartandTableFootnoteAlpha"/>
        <w:numPr>
          <w:ilvl w:val="0"/>
          <w:numId w:val="28"/>
        </w:numPr>
        <w:spacing w:before="0"/>
        <w:rPr>
          <w:szCs w:val="16"/>
        </w:rPr>
      </w:pPr>
      <w:r w:rsidRPr="00F715F0">
        <w:rPr>
          <w:szCs w:val="16"/>
        </w:rPr>
        <w:t xml:space="preserve">Status of loan items are considered </w:t>
      </w:r>
      <w:r w:rsidR="00B63FC6">
        <w:rPr>
          <w:szCs w:val="16"/>
        </w:rPr>
        <w:t>‘</w:t>
      </w:r>
      <w:r w:rsidRPr="00F715F0">
        <w:rPr>
          <w:szCs w:val="16"/>
        </w:rPr>
        <w:t>unchanged</w:t>
      </w:r>
      <w:r w:rsidR="00B63FC6">
        <w:rPr>
          <w:szCs w:val="16"/>
        </w:rPr>
        <w:t>’</w:t>
      </w:r>
      <w:r w:rsidRPr="00F715F0">
        <w:rPr>
          <w:szCs w:val="16"/>
        </w:rPr>
        <w:t xml:space="preserve"> unless there are modifications to respective interest rates and/or loan term. </w:t>
      </w:r>
    </w:p>
    <w:p w14:paraId="3AA35014" w14:textId="77777777" w:rsidR="00FC0BFF" w:rsidRPr="00F715F0" w:rsidRDefault="00FC0BFF" w:rsidP="00FC0BFF">
      <w:pPr>
        <w:pStyle w:val="ChartandTableFootnoteAlpha"/>
        <w:numPr>
          <w:ilvl w:val="0"/>
          <w:numId w:val="28"/>
        </w:numPr>
        <w:spacing w:before="0"/>
        <w:rPr>
          <w:szCs w:val="16"/>
        </w:rPr>
      </w:pPr>
      <w:r w:rsidRPr="00F715F0">
        <w:rPr>
          <w:szCs w:val="16"/>
        </w:rPr>
        <w:t xml:space="preserve">The Government has established the National Reconstruction Fund, which will offer loans and guarantees and make equity investments in a range of emerging technologies and technically complex projects. These investments carry the inherent risks associated with investing in a large and diverse portfolio of financial assets. Details will be provided in this disclosure once loans, guarantees and investments are made. </w:t>
      </w:r>
    </w:p>
    <w:p w14:paraId="6DDE4920" w14:textId="19D671EE" w:rsidR="00FA3C6D" w:rsidRDefault="00FC0BFF" w:rsidP="00AA667C">
      <w:pPr>
        <w:pStyle w:val="ChartandTableFootnote"/>
      </w:pPr>
      <w:r w:rsidRPr="007B66E7">
        <w:t xml:space="preserve">Note: </w:t>
      </w:r>
      <w:r w:rsidR="00AA667C">
        <w:tab/>
      </w:r>
      <w:r w:rsidRPr="007B66E7">
        <w:t>The Australian Government will provide Snowy Hydro Limited with a loan of up to $4.5</w:t>
      </w:r>
      <w:r w:rsidR="002E6F0C">
        <w:t> billion</w:t>
      </w:r>
      <w:r w:rsidRPr="007B66E7">
        <w:t xml:space="preserve"> on commercial terms to put towards completion of Snowy 2.0. The loan will commence in 2024</w:t>
      </w:r>
      <w:r w:rsidR="00B63FC6">
        <w:noBreakHyphen/>
      </w:r>
      <w:r w:rsidRPr="007B66E7">
        <w:t>25 and is expected to be refinanced by Snowy Hydro from 2029</w:t>
      </w:r>
      <w:r w:rsidR="00B63FC6">
        <w:noBreakHyphen/>
      </w:r>
      <w:r w:rsidRPr="007B66E7">
        <w:t>30 onwards, once Snowy 2.0 is operational.</w:t>
      </w:r>
    </w:p>
    <w:p w14:paraId="6A5C98C3" w14:textId="77777777" w:rsidR="00AA667C" w:rsidRPr="00AA667C" w:rsidRDefault="00AA667C" w:rsidP="00AA667C">
      <w:pPr>
        <w:pStyle w:val="ChartLine"/>
      </w:pPr>
    </w:p>
    <w:p w14:paraId="164FA29D" w14:textId="77777777" w:rsidR="00FC0BFF" w:rsidRPr="007A40B1" w:rsidRDefault="00FC0BFF" w:rsidP="00021082">
      <w:pPr>
        <w:pStyle w:val="TableLine"/>
        <w:sectPr w:rsidR="00FC0BFF" w:rsidRPr="007A40B1" w:rsidSect="005A0258">
          <w:headerReference w:type="even" r:id="rId12"/>
          <w:headerReference w:type="default" r:id="rId13"/>
          <w:footerReference w:type="even" r:id="rId14"/>
          <w:footerReference w:type="default" r:id="rId15"/>
          <w:headerReference w:type="first" r:id="rId16"/>
          <w:footerReference w:type="first" r:id="rId17"/>
          <w:pgSz w:w="16840" w:h="11907" w:code="9"/>
          <w:pgMar w:top="2098" w:right="2835" w:bottom="2098" w:left="2466" w:header="1531" w:footer="1531" w:gutter="0"/>
          <w:cols w:space="708"/>
          <w:docGrid w:linePitch="360"/>
        </w:sectPr>
      </w:pPr>
    </w:p>
    <w:p w14:paraId="0CD932D7" w14:textId="77777777" w:rsidR="00054CCC" w:rsidRPr="00B832E0" w:rsidRDefault="00054CCC" w:rsidP="008146F2">
      <w:pPr>
        <w:pStyle w:val="Heading2"/>
        <w:rPr>
          <w:rFonts w:eastAsia="Arial"/>
        </w:rPr>
      </w:pPr>
      <w:bookmarkStart w:id="104" w:name="_Toc99141903"/>
      <w:bookmarkStart w:id="105" w:name="_Toc184039501"/>
      <w:r w:rsidRPr="00B832E0">
        <w:rPr>
          <w:rFonts w:eastAsia="Arial"/>
        </w:rPr>
        <w:lastRenderedPageBreak/>
        <w:t xml:space="preserve">Agriculture, Fisheries and </w:t>
      </w:r>
      <w:bookmarkEnd w:id="104"/>
      <w:r w:rsidRPr="00B832E0">
        <w:rPr>
          <w:rFonts w:eastAsia="Arial"/>
        </w:rPr>
        <w:t>Forestry</w:t>
      </w:r>
      <w:bookmarkEnd w:id="105"/>
    </w:p>
    <w:p w14:paraId="03802565" w14:textId="56343EE2" w:rsidR="00054CCC" w:rsidRPr="005F06B9" w:rsidRDefault="00054CCC" w:rsidP="001C38DC">
      <w:pPr>
        <w:pStyle w:val="Heading3"/>
        <w:rPr>
          <w:rFonts w:eastAsia="Arial"/>
        </w:rPr>
      </w:pPr>
      <w:bookmarkStart w:id="106" w:name="_Toc184039502"/>
      <w:bookmarkStart w:id="107" w:name="_Toc99141904"/>
      <w:r w:rsidRPr="005F06B9">
        <w:rPr>
          <w:rFonts w:eastAsia="Arial"/>
        </w:rPr>
        <w:t>Drought</w:t>
      </w:r>
      <w:r w:rsidR="00B63FC6">
        <w:rPr>
          <w:rFonts w:eastAsia="Arial"/>
        </w:rPr>
        <w:noBreakHyphen/>
      </w:r>
      <w:r w:rsidRPr="005F06B9">
        <w:rPr>
          <w:rFonts w:eastAsia="Arial"/>
        </w:rPr>
        <w:t xml:space="preserve">related and farm finance concessional loans </w:t>
      </w:r>
      <w:r>
        <w:rPr>
          <w:rFonts w:eastAsia="Calibri"/>
        </w:rPr>
        <w:t>–</w:t>
      </w:r>
      <w:r w:rsidRPr="005F06B9">
        <w:rPr>
          <w:rFonts w:eastAsia="Arial"/>
        </w:rPr>
        <w:t xml:space="preserve"> Agriculture</w:t>
      </w:r>
      <w:bookmarkEnd w:id="106"/>
    </w:p>
    <w:p w14:paraId="6F3897D0" w14:textId="7786781F" w:rsidR="00F905EF" w:rsidRPr="00F905EF" w:rsidRDefault="00F905EF" w:rsidP="007A40B1">
      <w:r w:rsidRPr="00F905EF">
        <w:rPr>
          <w:lang w:val="en-US"/>
        </w:rPr>
        <w:t xml:space="preserve">As </w:t>
      </w:r>
      <w:proofErr w:type="gramStart"/>
      <w:r w:rsidRPr="00F905EF">
        <w:rPr>
          <w:lang w:val="en-US"/>
        </w:rPr>
        <w:t>at</w:t>
      </w:r>
      <w:proofErr w:type="gramEnd"/>
      <w:r w:rsidRPr="00F905EF">
        <w:rPr>
          <w:lang w:val="en-US"/>
        </w:rPr>
        <w:t xml:space="preserve"> 30 June 2024, the fair value of farm business, drought and dairy farm related loans was approximately $170.7</w:t>
      </w:r>
      <w:r w:rsidR="002E6F0C">
        <w:rPr>
          <w:lang w:val="en-US"/>
        </w:rPr>
        <w:t> million</w:t>
      </w:r>
      <w:r w:rsidRPr="00F905EF">
        <w:rPr>
          <w:lang w:val="en-US"/>
        </w:rPr>
        <w:t>.</w:t>
      </w:r>
    </w:p>
    <w:p w14:paraId="6924F528" w14:textId="6E79E892" w:rsidR="00F905EF" w:rsidRPr="00F905EF" w:rsidRDefault="00F905EF" w:rsidP="007A40B1">
      <w:r w:rsidRPr="007A40B1">
        <w:rPr>
          <w:rStyle w:val="Strong"/>
        </w:rPr>
        <w:t>Drought Recovery and Dairy Recovery Concessional Loans Scheme</w:t>
      </w:r>
      <w:r w:rsidRPr="00F905EF">
        <w:rPr>
          <w:b/>
          <w:bCs/>
        </w:rPr>
        <w:t>:</w:t>
      </w:r>
      <w:r w:rsidRPr="00F905EF">
        <w:t xml:space="preserve"> The drought recovery component of this scheme provided loans to farm businesses affected by unprecedented drought or, where applicable, Queensland farm businesses directly impacted by the combined effects of drought and the mid</w:t>
      </w:r>
      <w:r w:rsidR="00B63FC6">
        <w:noBreakHyphen/>
      </w:r>
      <w:r w:rsidRPr="00F905EF">
        <w:t>2011 disruption to live cattle exports to Indonesia. The loans funded planting and restocking activities and associated expenses when seasonal conditions allowed. The loans were available from January</w:t>
      </w:r>
      <w:r w:rsidR="00A12537" w:rsidRPr="005F6D17">
        <w:rPr>
          <w:rFonts w:eastAsia="Book Antiqua"/>
        </w:rPr>
        <w:t> </w:t>
      </w:r>
      <w:r w:rsidRPr="00F905EF">
        <w:t>2015 and, in 2014–15, operated in Queensland and New South Wales. In 2015–16, drought recovery concessional loans were available in Queensland, New South Wales, South</w:t>
      </w:r>
      <w:r w:rsidR="00A12537" w:rsidRPr="005F6D17">
        <w:rPr>
          <w:rFonts w:eastAsia="Book Antiqua"/>
        </w:rPr>
        <w:t> </w:t>
      </w:r>
      <w:proofErr w:type="gramStart"/>
      <w:r w:rsidRPr="00F905EF">
        <w:t>Australia</w:t>
      </w:r>
      <w:proofErr w:type="gramEnd"/>
      <w:r w:rsidRPr="00F905EF">
        <w:t xml:space="preserve"> and Tasmania.</w:t>
      </w:r>
    </w:p>
    <w:p w14:paraId="49DDDD44" w14:textId="0F8A1ECE" w:rsidR="00F905EF" w:rsidRPr="00F905EF" w:rsidRDefault="00F905EF" w:rsidP="007A40B1">
      <w:r w:rsidRPr="00F905EF">
        <w:t xml:space="preserve">The dairy recovery component of this scheme provided concessional loans to dairy farm businesses affected by the 2016 reduction in farm gate milk prices by Murray Goulburn, </w:t>
      </w:r>
      <w:proofErr w:type="gramStart"/>
      <w:r w:rsidRPr="00F905EF">
        <w:t>Fonterra</w:t>
      </w:r>
      <w:proofErr w:type="gramEnd"/>
      <w:r w:rsidRPr="00F905EF">
        <w:t xml:space="preserve"> and National Dairy Products. Loans were available for debt restructuring, providing new debt for operating expenses or productivity enhancement activities, or a combination of these purposes. Dairy recovery concessional loans became available in Victoria, New South Wales, South </w:t>
      </w:r>
      <w:proofErr w:type="gramStart"/>
      <w:r w:rsidRPr="00F905EF">
        <w:t>Australia</w:t>
      </w:r>
      <w:proofErr w:type="gramEnd"/>
      <w:r w:rsidRPr="00F905EF">
        <w:t xml:space="preserve"> and Tasmania from June 2016. Applications closed on 31 October 2016. A dairy recovery concessional loan product was available</w:t>
      </w:r>
      <w:r w:rsidR="00974E48">
        <w:br/>
      </w:r>
      <w:r w:rsidRPr="00F905EF">
        <w:t>under the Farm Business Concessional Loans Scheme until 30 June 2018.</w:t>
      </w:r>
    </w:p>
    <w:p w14:paraId="5F7E5C75" w14:textId="59976BA3" w:rsidR="00F905EF" w:rsidRPr="00F905EF" w:rsidRDefault="00F905EF" w:rsidP="007A40B1">
      <w:r w:rsidRPr="00F905EF">
        <w:t xml:space="preserve">As </w:t>
      </w:r>
      <w:proofErr w:type="gramStart"/>
      <w:r w:rsidRPr="00F905EF">
        <w:t>at</w:t>
      </w:r>
      <w:proofErr w:type="gramEnd"/>
      <w:r w:rsidRPr="00F905EF">
        <w:t xml:space="preserve"> 1 August 2024, the scheme</w:t>
      </w:r>
      <w:r w:rsidR="00B63FC6">
        <w:t>’</w:t>
      </w:r>
      <w:r w:rsidRPr="00F905EF">
        <w:t>s interest rate was 4.23</w:t>
      </w:r>
      <w:r w:rsidR="002E6F0C">
        <w:t> per cent</w:t>
      </w:r>
      <w:r w:rsidRPr="00F905EF">
        <w:t>, reviewed on a six</w:t>
      </w:r>
      <w:r w:rsidR="00B63FC6">
        <w:noBreakHyphen/>
      </w:r>
      <w:r w:rsidRPr="00F905EF">
        <w:t>monthly basis and revised in accordance with changes in the ten</w:t>
      </w:r>
      <w:r w:rsidR="00B63FC6">
        <w:noBreakHyphen/>
      </w:r>
      <w:r w:rsidRPr="00F905EF">
        <w:t>year Australian</w:t>
      </w:r>
      <w:r w:rsidR="001420E9">
        <w:t> </w:t>
      </w:r>
      <w:r w:rsidRPr="00F905EF">
        <w:t>Government bond rate. Loans have a maximum term of ten years with interest</w:t>
      </w:r>
      <w:r w:rsidR="00B63FC6">
        <w:noBreakHyphen/>
      </w:r>
      <w:r w:rsidRPr="00F905EF">
        <w:t>only payments required for the first five years. Principal and interest repayments will be made in the remaining five years of the loan term.</w:t>
      </w:r>
    </w:p>
    <w:p w14:paraId="0DADDDC8" w14:textId="7889C74C" w:rsidR="00F905EF" w:rsidRPr="00F905EF" w:rsidRDefault="00F905EF" w:rsidP="007A40B1">
      <w:r w:rsidRPr="00D66E2F">
        <w:rPr>
          <w:rStyle w:val="Strong"/>
        </w:rPr>
        <w:t>Farm Business Concessional Loans Scheme:</w:t>
      </w:r>
      <w:r w:rsidRPr="00F905EF">
        <w:t xml:space="preserve"> This scheme provided three types of concessional loans: drought assistance, dairy </w:t>
      </w:r>
      <w:proofErr w:type="gramStart"/>
      <w:r w:rsidRPr="00F905EF">
        <w:t>recovery</w:t>
      </w:r>
      <w:proofErr w:type="gramEnd"/>
      <w:r w:rsidRPr="00F905EF">
        <w:t xml:space="preserve"> and business improvement. This scheme was designed to cover a farmer</w:t>
      </w:r>
      <w:r w:rsidR="00B63FC6">
        <w:t>’</w:t>
      </w:r>
      <w:r w:rsidRPr="00F905EF">
        <w:t>s short</w:t>
      </w:r>
      <w:r w:rsidR="00B63FC6">
        <w:noBreakHyphen/>
      </w:r>
      <w:r w:rsidRPr="00F905EF">
        <w:t>term needs when income was tight and to supplement, rather than replace, commercial finance. Loans under the scheme were first available in November 2016. Applications for loans under the scheme closed on 30</w:t>
      </w:r>
      <w:r w:rsidR="00B5088C">
        <w:t> </w:t>
      </w:r>
      <w:r w:rsidRPr="00F905EF">
        <w:t>June</w:t>
      </w:r>
      <w:r w:rsidR="00B5088C">
        <w:t> </w:t>
      </w:r>
      <w:r w:rsidRPr="00F905EF">
        <w:t>2018.</w:t>
      </w:r>
    </w:p>
    <w:p w14:paraId="6221FCFF" w14:textId="77777777" w:rsidR="00F905EF" w:rsidRPr="00F905EF" w:rsidRDefault="00F905EF" w:rsidP="007A40B1">
      <w:r w:rsidRPr="00F905EF">
        <w:t xml:space="preserve">Drought assistance concessional loans were available in Queensland, New South Wales, Victoria, South Australia, </w:t>
      </w:r>
      <w:proofErr w:type="gramStart"/>
      <w:r w:rsidRPr="00F905EF">
        <w:t>Tasmania</w:t>
      </w:r>
      <w:proofErr w:type="gramEnd"/>
      <w:r w:rsidRPr="00F905EF">
        <w:t xml:space="preserve"> and the Northern Territory. Loans were available for debt restructuring, operating expenses, drought preparedness activities or drought recovery activities or a combination of these purposes.</w:t>
      </w:r>
    </w:p>
    <w:p w14:paraId="4CF3BD72" w14:textId="48E0756C" w:rsidR="00F905EF" w:rsidRPr="00F905EF" w:rsidRDefault="00F905EF" w:rsidP="007A40B1">
      <w:r w:rsidRPr="00F905EF">
        <w:t xml:space="preserve">Business improvement concessional loans were available in Queensland, New South Wales, Victoria, South Australia, </w:t>
      </w:r>
      <w:proofErr w:type="gramStart"/>
      <w:r w:rsidRPr="00F905EF">
        <w:t>Tasmania</w:t>
      </w:r>
      <w:proofErr w:type="gramEnd"/>
      <w:r w:rsidRPr="00F905EF">
        <w:t xml:space="preserve"> and the Northern Territory. Loans were available for eligible Farm Household Allowance (FHA) recipients who were recovering from financial </w:t>
      </w:r>
      <w:r w:rsidRPr="00F905EF">
        <w:lastRenderedPageBreak/>
        <w:t>hardship and had exhausted or would exhaust their FHA 1,095</w:t>
      </w:r>
      <w:r w:rsidR="00B63FC6">
        <w:noBreakHyphen/>
      </w:r>
      <w:r w:rsidRPr="00F905EF">
        <w:t>day income support entitlement by 30 June 2018. These loans were for debt restructuring only.</w:t>
      </w:r>
    </w:p>
    <w:p w14:paraId="3DB78D17" w14:textId="30D5059E" w:rsidR="00F905EF" w:rsidRPr="00F905EF" w:rsidRDefault="00F905EF" w:rsidP="007A40B1">
      <w:r w:rsidRPr="00F905EF">
        <w:t>Dairy recovery concessional loans were available in New South Wales, Victoria, South</w:t>
      </w:r>
      <w:r w:rsidR="00A82F29" w:rsidRPr="005F6D17">
        <w:rPr>
          <w:rFonts w:eastAsia="Book Antiqua"/>
        </w:rPr>
        <w:t> </w:t>
      </w:r>
      <w:proofErr w:type="gramStart"/>
      <w:r w:rsidRPr="00F905EF">
        <w:t>Australia</w:t>
      </w:r>
      <w:proofErr w:type="gramEnd"/>
      <w:r w:rsidRPr="00F905EF">
        <w:t xml:space="preserve"> and Tasmania to eligible suppliers of Murray Goulburn, Fonterra and National Dairy Products. Loans were available for debt restructuring, providing new debt for operating expenses, productivity enhancement activities or a combination of these purposes.</w:t>
      </w:r>
    </w:p>
    <w:p w14:paraId="776D2135" w14:textId="299882BF" w:rsidR="00054CCC" w:rsidRPr="00C96E41" w:rsidRDefault="00F905EF" w:rsidP="007A40B1">
      <w:r w:rsidRPr="00F905EF">
        <w:t xml:space="preserve">As </w:t>
      </w:r>
      <w:proofErr w:type="gramStart"/>
      <w:r w:rsidRPr="00F905EF">
        <w:t>at</w:t>
      </w:r>
      <w:proofErr w:type="gramEnd"/>
      <w:r w:rsidRPr="00F905EF">
        <w:t xml:space="preserve"> 1 August 2024, the interest rate was 4.63</w:t>
      </w:r>
      <w:r w:rsidR="002E6F0C">
        <w:t> per cent</w:t>
      </w:r>
      <w:r w:rsidRPr="00F905EF">
        <w:t>, reviewed on a six</w:t>
      </w:r>
      <w:r w:rsidR="00B63FC6">
        <w:noBreakHyphen/>
      </w:r>
      <w:r w:rsidRPr="00F905EF">
        <w:t>monthly basis and revised in accordance with changes in the ten</w:t>
      </w:r>
      <w:r w:rsidR="00B63FC6">
        <w:noBreakHyphen/>
      </w:r>
      <w:r w:rsidRPr="00F905EF">
        <w:t>year Australian Government bond rate. Loans have a maximum term of ten years.</w:t>
      </w:r>
    </w:p>
    <w:p w14:paraId="309FDA74" w14:textId="77777777" w:rsidR="00054CCC" w:rsidRPr="005F06B9" w:rsidRDefault="00054CCC" w:rsidP="001C38DC">
      <w:pPr>
        <w:pStyle w:val="Heading3"/>
        <w:rPr>
          <w:rFonts w:eastAsia="Arial"/>
        </w:rPr>
      </w:pPr>
      <w:bookmarkStart w:id="108" w:name="_Toc184039503"/>
      <w:r w:rsidRPr="005F06B9">
        <w:rPr>
          <w:rFonts w:eastAsia="Arial"/>
        </w:rPr>
        <w:t xml:space="preserve">Farm Investment Loans, Drought Loans, </w:t>
      </w:r>
      <w:proofErr w:type="spellStart"/>
      <w:r w:rsidRPr="005F06B9">
        <w:rPr>
          <w:rFonts w:eastAsia="Arial"/>
        </w:rPr>
        <w:t>AgriStarter</w:t>
      </w:r>
      <w:proofErr w:type="spellEnd"/>
      <w:r w:rsidRPr="005F06B9">
        <w:rPr>
          <w:rFonts w:eastAsia="Arial"/>
        </w:rPr>
        <w:t xml:space="preserve"> Loans, </w:t>
      </w:r>
      <w:proofErr w:type="spellStart"/>
      <w:r w:rsidRPr="005F06B9">
        <w:rPr>
          <w:rFonts w:eastAsia="Arial"/>
        </w:rPr>
        <w:t>AgBiz</w:t>
      </w:r>
      <w:proofErr w:type="spellEnd"/>
      <w:r w:rsidRPr="005F06B9">
        <w:rPr>
          <w:rFonts w:eastAsia="Arial"/>
        </w:rPr>
        <w:t xml:space="preserve"> Drought Loans and </w:t>
      </w:r>
      <w:proofErr w:type="spellStart"/>
      <w:r w:rsidRPr="005F06B9">
        <w:rPr>
          <w:rFonts w:eastAsia="Arial"/>
        </w:rPr>
        <w:t>AgRebuild</w:t>
      </w:r>
      <w:proofErr w:type="spellEnd"/>
      <w:r w:rsidRPr="005F06B9">
        <w:rPr>
          <w:rFonts w:eastAsia="Arial"/>
        </w:rPr>
        <w:t xml:space="preserve"> Loans</w:t>
      </w:r>
      <w:bookmarkEnd w:id="108"/>
      <w:r w:rsidRPr="005F06B9">
        <w:rPr>
          <w:rFonts w:eastAsia="Arial"/>
        </w:rPr>
        <w:t xml:space="preserve"> </w:t>
      </w:r>
    </w:p>
    <w:p w14:paraId="68D595D7" w14:textId="77777777" w:rsidR="00837ABC" w:rsidRPr="00837ABC" w:rsidRDefault="00837ABC" w:rsidP="005358B1">
      <w:pPr>
        <w:spacing w:line="240" w:lineRule="auto"/>
        <w:rPr>
          <w:rFonts w:cstheme="minorHAnsi"/>
        </w:rPr>
      </w:pPr>
      <w:r w:rsidRPr="00837ABC">
        <w:rPr>
          <w:rFonts w:cstheme="minorHAnsi"/>
        </w:rPr>
        <w:t>The Regional Investment Corporation commenced operations on 1 July 2018.</w:t>
      </w:r>
    </w:p>
    <w:p w14:paraId="64E23A5C" w14:textId="4ED56A27" w:rsidR="00837ABC" w:rsidRPr="00837ABC" w:rsidRDefault="00837ABC" w:rsidP="005358B1">
      <w:pPr>
        <w:spacing w:line="240" w:lineRule="auto"/>
        <w:rPr>
          <w:rFonts w:cstheme="minorHAnsi"/>
          <w:i/>
          <w:iCs/>
        </w:rPr>
      </w:pPr>
      <w:r w:rsidRPr="00837ABC">
        <w:rPr>
          <w:rFonts w:cstheme="minorHAnsi"/>
        </w:rPr>
        <w:t xml:space="preserve">There are three loan products currently available to farm businesses: Farm Investment Loans, Drought Loans and </w:t>
      </w:r>
      <w:proofErr w:type="spellStart"/>
      <w:r w:rsidRPr="00837ABC">
        <w:rPr>
          <w:rFonts w:cstheme="minorHAnsi"/>
        </w:rPr>
        <w:t>AgriStarter</w:t>
      </w:r>
      <w:proofErr w:type="spellEnd"/>
      <w:r w:rsidRPr="00837ABC">
        <w:rPr>
          <w:rFonts w:cstheme="minorHAnsi"/>
        </w:rPr>
        <w:t xml:space="preserve"> Loans. In addition, </w:t>
      </w:r>
      <w:proofErr w:type="spellStart"/>
      <w:r w:rsidRPr="00837ABC">
        <w:rPr>
          <w:rFonts w:cstheme="minorHAnsi"/>
        </w:rPr>
        <w:t>AgBiz</w:t>
      </w:r>
      <w:proofErr w:type="spellEnd"/>
      <w:r w:rsidRPr="00837ABC">
        <w:rPr>
          <w:rFonts w:cstheme="minorHAnsi"/>
        </w:rPr>
        <w:t xml:space="preserve"> Drought Loans are available for small businesses. </w:t>
      </w:r>
      <w:proofErr w:type="spellStart"/>
      <w:r w:rsidRPr="00837ABC">
        <w:rPr>
          <w:rFonts w:cstheme="minorHAnsi"/>
        </w:rPr>
        <w:t>AgRebuild</w:t>
      </w:r>
      <w:proofErr w:type="spellEnd"/>
      <w:r w:rsidRPr="00837ABC">
        <w:rPr>
          <w:rFonts w:cstheme="minorHAnsi"/>
        </w:rPr>
        <w:t xml:space="preserve"> Loans (North Queensland flood) closed on 30</w:t>
      </w:r>
      <w:r w:rsidR="007362FD">
        <w:rPr>
          <w:rFonts w:cstheme="minorHAnsi"/>
        </w:rPr>
        <w:t> </w:t>
      </w:r>
      <w:r w:rsidRPr="00837ABC">
        <w:rPr>
          <w:rFonts w:cstheme="minorHAnsi"/>
        </w:rPr>
        <w:t xml:space="preserve">June 2020. As </w:t>
      </w:r>
      <w:proofErr w:type="gramStart"/>
      <w:r w:rsidRPr="00837ABC">
        <w:rPr>
          <w:rFonts w:cstheme="minorHAnsi"/>
        </w:rPr>
        <w:t>at</w:t>
      </w:r>
      <w:proofErr w:type="gramEnd"/>
      <w:r w:rsidRPr="00837ABC">
        <w:rPr>
          <w:rFonts w:cstheme="minorHAnsi"/>
        </w:rPr>
        <w:t xml:space="preserve"> 30 June 2024, the fair value of </w:t>
      </w:r>
      <w:r w:rsidRPr="00837ABC">
        <w:rPr>
          <w:rFonts w:cstheme="minorHAnsi"/>
          <w:lang w:val="en-US"/>
        </w:rPr>
        <w:t xml:space="preserve">Farm Investment Loans, Drought Loans, </w:t>
      </w:r>
      <w:proofErr w:type="spellStart"/>
      <w:r w:rsidRPr="00837ABC">
        <w:rPr>
          <w:rFonts w:cstheme="minorHAnsi"/>
          <w:lang w:val="en-US"/>
        </w:rPr>
        <w:t>AgriStarter</w:t>
      </w:r>
      <w:proofErr w:type="spellEnd"/>
      <w:r w:rsidRPr="00837ABC">
        <w:rPr>
          <w:rFonts w:cstheme="minorHAnsi"/>
          <w:lang w:val="en-US"/>
        </w:rPr>
        <w:t xml:space="preserve"> Loans, </w:t>
      </w:r>
      <w:proofErr w:type="spellStart"/>
      <w:r w:rsidRPr="00837ABC">
        <w:rPr>
          <w:rFonts w:cstheme="minorHAnsi"/>
          <w:lang w:val="en-US"/>
        </w:rPr>
        <w:t>AgBiz</w:t>
      </w:r>
      <w:proofErr w:type="spellEnd"/>
      <w:r w:rsidRPr="00837ABC">
        <w:rPr>
          <w:rFonts w:cstheme="minorHAnsi"/>
          <w:lang w:val="en-US"/>
        </w:rPr>
        <w:t xml:space="preserve"> Drought Loans, and </w:t>
      </w:r>
      <w:proofErr w:type="spellStart"/>
      <w:r w:rsidRPr="00837ABC">
        <w:rPr>
          <w:rFonts w:cstheme="minorHAnsi"/>
          <w:lang w:val="en-US"/>
        </w:rPr>
        <w:t>AgRebuild</w:t>
      </w:r>
      <w:proofErr w:type="spellEnd"/>
      <w:r w:rsidRPr="00837ABC">
        <w:rPr>
          <w:rFonts w:cstheme="minorHAnsi"/>
          <w:lang w:val="en-US"/>
        </w:rPr>
        <w:t xml:space="preserve"> Loans </w:t>
      </w:r>
      <w:r w:rsidRPr="00837ABC">
        <w:rPr>
          <w:rFonts w:cstheme="minorHAnsi"/>
        </w:rPr>
        <w:t>was approximately $2.7</w:t>
      </w:r>
      <w:r w:rsidR="002E6F0C">
        <w:rPr>
          <w:rFonts w:cstheme="minorHAnsi"/>
        </w:rPr>
        <w:t> billion</w:t>
      </w:r>
      <w:r w:rsidRPr="00837ABC">
        <w:rPr>
          <w:rFonts w:cstheme="minorHAnsi"/>
        </w:rPr>
        <w:t>.</w:t>
      </w:r>
    </w:p>
    <w:p w14:paraId="55E5D2C8" w14:textId="20F3BA7A" w:rsidR="00837ABC" w:rsidRPr="00837ABC" w:rsidRDefault="00837ABC" w:rsidP="005358B1">
      <w:pPr>
        <w:spacing w:line="240" w:lineRule="auto"/>
        <w:rPr>
          <w:rFonts w:cstheme="minorHAnsi"/>
        </w:rPr>
      </w:pPr>
      <w:r w:rsidRPr="00837ABC">
        <w:rPr>
          <w:rFonts w:cstheme="minorHAnsi"/>
        </w:rPr>
        <w:t xml:space="preserve">The Farm Investment, Drought, </w:t>
      </w:r>
      <w:proofErr w:type="spellStart"/>
      <w:r w:rsidRPr="00837ABC">
        <w:rPr>
          <w:rFonts w:cstheme="minorHAnsi"/>
        </w:rPr>
        <w:t>AgriStarter</w:t>
      </w:r>
      <w:proofErr w:type="spellEnd"/>
      <w:r w:rsidRPr="00837ABC">
        <w:rPr>
          <w:rFonts w:cstheme="minorHAnsi"/>
        </w:rPr>
        <w:t xml:space="preserve"> and </w:t>
      </w:r>
      <w:proofErr w:type="spellStart"/>
      <w:r w:rsidRPr="00837ABC">
        <w:rPr>
          <w:rFonts w:cstheme="minorHAnsi"/>
        </w:rPr>
        <w:t>AgBiz</w:t>
      </w:r>
      <w:proofErr w:type="spellEnd"/>
      <w:r w:rsidRPr="00837ABC">
        <w:rPr>
          <w:rFonts w:cstheme="minorHAnsi"/>
        </w:rPr>
        <w:t xml:space="preserve"> Drought loan products provide concessional loans to eligible businesses experiencing financial difficulties and are considered financially viable in the long term (additional criteria apply for each product, and terms and conditions may vary). All products are for farm businesses, except for </w:t>
      </w:r>
      <w:proofErr w:type="spellStart"/>
      <w:r w:rsidRPr="00837ABC">
        <w:rPr>
          <w:rFonts w:cstheme="minorHAnsi"/>
        </w:rPr>
        <w:t>AgBiz</w:t>
      </w:r>
      <w:proofErr w:type="spellEnd"/>
      <w:r w:rsidR="00974E48" w:rsidRPr="005F6D17">
        <w:rPr>
          <w:rFonts w:eastAsia="Book Antiqua"/>
        </w:rPr>
        <w:t> </w:t>
      </w:r>
      <w:r w:rsidRPr="00837ABC">
        <w:rPr>
          <w:rFonts w:cstheme="minorHAnsi"/>
        </w:rPr>
        <w:t>Drought Loans which are for small businesses that provide primary production related goods and services for drought affected farm businesses.</w:t>
      </w:r>
    </w:p>
    <w:p w14:paraId="6CD42A0E" w14:textId="7B5BEC1E" w:rsidR="00837ABC" w:rsidRPr="00837ABC" w:rsidRDefault="00837ABC" w:rsidP="005358B1">
      <w:pPr>
        <w:spacing w:line="240" w:lineRule="auto"/>
        <w:rPr>
          <w:rFonts w:cstheme="minorHAnsi"/>
        </w:rPr>
      </w:pPr>
      <w:r w:rsidRPr="00837ABC">
        <w:rPr>
          <w:rFonts w:cstheme="minorHAnsi"/>
        </w:rPr>
        <w:t xml:space="preserve">As </w:t>
      </w:r>
      <w:proofErr w:type="gramStart"/>
      <w:r w:rsidRPr="00837ABC">
        <w:rPr>
          <w:rFonts w:cstheme="minorHAnsi"/>
        </w:rPr>
        <w:t>at</w:t>
      </w:r>
      <w:proofErr w:type="gramEnd"/>
      <w:r w:rsidRPr="00837ABC">
        <w:rPr>
          <w:rFonts w:cstheme="minorHAnsi"/>
        </w:rPr>
        <w:t xml:space="preserve"> 1 August 2024, the variable interest rate was 5.18</w:t>
      </w:r>
      <w:r w:rsidR="002E6F0C">
        <w:rPr>
          <w:rFonts w:cstheme="minorHAnsi"/>
        </w:rPr>
        <w:t> per cent</w:t>
      </w:r>
      <w:r w:rsidRPr="00837ABC">
        <w:rPr>
          <w:rFonts w:cstheme="minorHAnsi"/>
        </w:rPr>
        <w:t xml:space="preserve"> for the Farm Investment, Drought, </w:t>
      </w:r>
      <w:proofErr w:type="spellStart"/>
      <w:r w:rsidRPr="00837ABC">
        <w:rPr>
          <w:rFonts w:cstheme="minorHAnsi"/>
        </w:rPr>
        <w:t>AgriStarter</w:t>
      </w:r>
      <w:proofErr w:type="spellEnd"/>
      <w:r w:rsidRPr="00837ABC">
        <w:rPr>
          <w:rFonts w:cstheme="minorHAnsi"/>
        </w:rPr>
        <w:t xml:space="preserve"> and </w:t>
      </w:r>
      <w:proofErr w:type="spellStart"/>
      <w:r w:rsidRPr="00837ABC">
        <w:rPr>
          <w:rFonts w:cstheme="minorHAnsi"/>
        </w:rPr>
        <w:t>AgBiz</w:t>
      </w:r>
      <w:proofErr w:type="spellEnd"/>
      <w:r w:rsidRPr="00837ABC">
        <w:rPr>
          <w:rFonts w:cstheme="minorHAnsi"/>
        </w:rPr>
        <w:t xml:space="preserve"> Drought loan products. Interest rates are revised on a </w:t>
      </w:r>
      <w:r w:rsidR="0022222E">
        <w:rPr>
          <w:rFonts w:cstheme="minorHAnsi"/>
        </w:rPr>
        <w:t>six</w:t>
      </w:r>
      <w:r w:rsidR="00B63FC6">
        <w:rPr>
          <w:rFonts w:cstheme="minorHAnsi"/>
        </w:rPr>
        <w:noBreakHyphen/>
      </w:r>
      <w:r w:rsidRPr="00837ABC">
        <w:rPr>
          <w:rFonts w:cstheme="minorHAnsi"/>
        </w:rPr>
        <w:t xml:space="preserve">monthly basis in line with any material changes to the Australian Government </w:t>
      </w:r>
      <w:r w:rsidR="0022222E">
        <w:rPr>
          <w:rFonts w:cstheme="minorHAnsi"/>
        </w:rPr>
        <w:t>ten</w:t>
      </w:r>
      <w:r w:rsidR="00B63FC6">
        <w:rPr>
          <w:rFonts w:cstheme="minorHAnsi"/>
        </w:rPr>
        <w:noBreakHyphen/>
      </w:r>
      <w:r w:rsidRPr="00837ABC">
        <w:rPr>
          <w:rFonts w:cstheme="minorHAnsi"/>
        </w:rPr>
        <w:t>year bond rate where a material change is taken to be a movement of more than ten basis points (0.1</w:t>
      </w:r>
      <w:r w:rsidR="002E6F0C">
        <w:rPr>
          <w:rFonts w:cstheme="minorHAnsi"/>
        </w:rPr>
        <w:t> per cent</w:t>
      </w:r>
      <w:r w:rsidRPr="00837ABC">
        <w:rPr>
          <w:rFonts w:cstheme="minorHAnsi"/>
        </w:rPr>
        <w:t>). The next update will be on 1 February 2025.</w:t>
      </w:r>
    </w:p>
    <w:p w14:paraId="225E4E67" w14:textId="360A165E" w:rsidR="00837ABC" w:rsidRPr="00837ABC" w:rsidRDefault="00837ABC" w:rsidP="005358B1">
      <w:pPr>
        <w:spacing w:line="240" w:lineRule="auto"/>
        <w:rPr>
          <w:rFonts w:cstheme="minorHAnsi"/>
        </w:rPr>
      </w:pPr>
      <w:r w:rsidRPr="00837ABC">
        <w:rPr>
          <w:rFonts w:cstheme="minorHAnsi"/>
        </w:rPr>
        <w:t xml:space="preserve">Interest is not payable during the first two years of the </w:t>
      </w:r>
      <w:proofErr w:type="spellStart"/>
      <w:r w:rsidRPr="00837ABC">
        <w:rPr>
          <w:rFonts w:cstheme="minorHAnsi"/>
        </w:rPr>
        <w:t>AgRebuild</w:t>
      </w:r>
      <w:proofErr w:type="spellEnd"/>
      <w:r w:rsidRPr="00837ABC">
        <w:rPr>
          <w:rFonts w:cstheme="minorHAnsi"/>
        </w:rPr>
        <w:t xml:space="preserve"> Loan, or on the Drought</w:t>
      </w:r>
      <w:r w:rsidR="00A82F29" w:rsidRPr="005F6D17">
        <w:rPr>
          <w:rFonts w:eastAsia="Book Antiqua"/>
        </w:rPr>
        <w:t> </w:t>
      </w:r>
      <w:r w:rsidRPr="00837ABC">
        <w:rPr>
          <w:rFonts w:cstheme="minorHAnsi"/>
        </w:rPr>
        <w:t xml:space="preserve">Loans and </w:t>
      </w:r>
      <w:proofErr w:type="spellStart"/>
      <w:r w:rsidRPr="00837ABC">
        <w:rPr>
          <w:rFonts w:cstheme="minorHAnsi"/>
        </w:rPr>
        <w:t>AgBiz</w:t>
      </w:r>
      <w:proofErr w:type="spellEnd"/>
      <w:r w:rsidRPr="00837ABC">
        <w:rPr>
          <w:rFonts w:cstheme="minorHAnsi"/>
        </w:rPr>
        <w:t xml:space="preserve"> Drought Loans for loan applications that were received before 30</w:t>
      </w:r>
      <w:r w:rsidR="007362FD">
        <w:rPr>
          <w:rFonts w:cstheme="minorHAnsi"/>
        </w:rPr>
        <w:t> </w:t>
      </w:r>
      <w:r w:rsidRPr="00837ABC">
        <w:rPr>
          <w:rFonts w:cstheme="minorHAnsi"/>
        </w:rPr>
        <w:t>September 2020.</w:t>
      </w:r>
    </w:p>
    <w:p w14:paraId="23ED98D7" w14:textId="2FFB0992" w:rsidR="00054CCC" w:rsidRPr="00837ABC" w:rsidRDefault="00837ABC" w:rsidP="005358B1">
      <w:pPr>
        <w:spacing w:line="240" w:lineRule="auto"/>
        <w:rPr>
          <w:rFonts w:cstheme="minorHAnsi"/>
        </w:rPr>
      </w:pPr>
      <w:r w:rsidRPr="00837ABC">
        <w:rPr>
          <w:rFonts w:cstheme="minorHAnsi"/>
        </w:rPr>
        <w:t>Loans have a maximum term of ten years.</w:t>
      </w:r>
    </w:p>
    <w:p w14:paraId="25513CA8" w14:textId="38B7A175" w:rsidR="00840C20" w:rsidRPr="00840C20" w:rsidRDefault="001F70E2" w:rsidP="001C38DC">
      <w:pPr>
        <w:pStyle w:val="Heading2"/>
        <w:rPr>
          <w:rFonts w:eastAsia="Arial"/>
          <w:highlight w:val="lightGray"/>
          <w:lang w:val="en-US"/>
        </w:rPr>
      </w:pPr>
      <w:bookmarkStart w:id="109" w:name="_Toc184039504"/>
      <w:bookmarkStart w:id="110" w:name="_Toc99141905"/>
      <w:bookmarkEnd w:id="107"/>
      <w:r w:rsidRPr="001F70E2">
        <w:rPr>
          <w:rFonts w:eastAsia="Arial"/>
          <w:lang w:val="en-US"/>
        </w:rPr>
        <w:lastRenderedPageBreak/>
        <w:t>Climate Change, Energy, the Environment and Water</w:t>
      </w:r>
      <w:bookmarkEnd w:id="109"/>
    </w:p>
    <w:p w14:paraId="3890CD7A" w14:textId="5BFD899E" w:rsidR="00840C20" w:rsidRDefault="00FE4289" w:rsidP="00507633">
      <w:pPr>
        <w:pStyle w:val="Heading3"/>
        <w:rPr>
          <w:rFonts w:eastAsia="Arial"/>
        </w:rPr>
      </w:pPr>
      <w:bookmarkStart w:id="111" w:name="_Toc184039505"/>
      <w:r w:rsidRPr="00FE4289">
        <w:rPr>
          <w:rFonts w:eastAsia="Arial"/>
        </w:rPr>
        <w:t>Clean Energy Finance Corporation</w:t>
      </w:r>
      <w:bookmarkEnd w:id="111"/>
    </w:p>
    <w:p w14:paraId="159F9C66" w14:textId="5B46CCEC" w:rsidR="004268B5" w:rsidRPr="004268B5" w:rsidRDefault="004268B5" w:rsidP="005358B1">
      <w:pPr>
        <w:rPr>
          <w:rFonts w:eastAsia="Arial"/>
        </w:rPr>
      </w:pPr>
      <w:bookmarkStart w:id="112" w:name="_Hlk183704338"/>
      <w:r w:rsidRPr="004268B5">
        <w:rPr>
          <w:rFonts w:eastAsia="Arial"/>
        </w:rPr>
        <w:t xml:space="preserve">The Clean Energy Finance Corporation (CEFC) has developed a portfolio of loans and investments across the spectrum of clean energy technologies, as required by the </w:t>
      </w:r>
      <w:r w:rsidRPr="00A94E30">
        <w:rPr>
          <w:rStyle w:val="Emphasis"/>
          <w:rFonts w:eastAsia="Arial"/>
        </w:rPr>
        <w:t>Clean Energy Finance Corporation Act 2012</w:t>
      </w:r>
      <w:r w:rsidRPr="004268B5">
        <w:rPr>
          <w:rFonts w:eastAsia="Arial"/>
          <w:i/>
          <w:iCs/>
        </w:rPr>
        <w:t xml:space="preserve"> </w:t>
      </w:r>
      <w:r w:rsidRPr="004268B5">
        <w:rPr>
          <w:rFonts w:eastAsia="Arial"/>
        </w:rPr>
        <w:t xml:space="preserve">and the </w:t>
      </w:r>
      <w:r w:rsidRPr="00A94E30">
        <w:rPr>
          <w:rStyle w:val="Emphasis"/>
          <w:rFonts w:eastAsia="Arial"/>
        </w:rPr>
        <w:t>Clean Energy Finance Corporation Investment Mandate Direction 2023</w:t>
      </w:r>
      <w:r w:rsidRPr="004268B5">
        <w:rPr>
          <w:rFonts w:eastAsia="Arial"/>
          <w:i/>
          <w:iCs/>
        </w:rPr>
        <w:t xml:space="preserve"> </w:t>
      </w:r>
      <w:r w:rsidRPr="004268B5">
        <w:rPr>
          <w:rFonts w:eastAsia="Arial"/>
        </w:rPr>
        <w:t>(the Investment Mandate), comprising the General Portfolio, Rewiring the Nation Fund and Specialised Investment Funds.</w:t>
      </w:r>
    </w:p>
    <w:p w14:paraId="273FA922" w14:textId="63DE353F" w:rsidR="004268B5" w:rsidRPr="004268B5" w:rsidRDefault="004268B5" w:rsidP="005358B1">
      <w:pPr>
        <w:rPr>
          <w:rFonts w:eastAsia="Arial"/>
        </w:rPr>
      </w:pPr>
      <w:r w:rsidRPr="004268B5">
        <w:rPr>
          <w:rFonts w:eastAsia="Arial"/>
        </w:rPr>
        <w:t>The CEFC</w:t>
      </w:r>
      <w:r w:rsidR="00B63FC6">
        <w:rPr>
          <w:rFonts w:eastAsia="Arial"/>
        </w:rPr>
        <w:t>’</w:t>
      </w:r>
      <w:r w:rsidRPr="004268B5">
        <w:rPr>
          <w:rFonts w:eastAsia="Arial"/>
        </w:rPr>
        <w:t>s loan portfolio consists of predominantly senior</w:t>
      </w:r>
      <w:r w:rsidR="00B63FC6">
        <w:rPr>
          <w:rFonts w:eastAsia="Arial"/>
        </w:rPr>
        <w:noBreakHyphen/>
      </w:r>
      <w:r w:rsidRPr="004268B5">
        <w:rPr>
          <w:rFonts w:eastAsia="Arial"/>
        </w:rPr>
        <w:t xml:space="preserve">ranking secured loans and secured project finance facilities, typically secured against energy generating assets such as wind or solar farms or energy efficiency assets. </w:t>
      </w:r>
    </w:p>
    <w:p w14:paraId="50483A0B" w14:textId="4437C056" w:rsidR="004268B5" w:rsidRPr="004268B5" w:rsidRDefault="004268B5" w:rsidP="005358B1">
      <w:pPr>
        <w:rPr>
          <w:rFonts w:eastAsia="Arial"/>
        </w:rPr>
      </w:pPr>
      <w:r w:rsidRPr="004268B5">
        <w:rPr>
          <w:rFonts w:eastAsia="Arial"/>
        </w:rPr>
        <w:t>The CEFC</w:t>
      </w:r>
      <w:r w:rsidR="00B63FC6">
        <w:rPr>
          <w:rFonts w:eastAsia="Arial"/>
        </w:rPr>
        <w:t>’</w:t>
      </w:r>
      <w:r w:rsidRPr="004268B5">
        <w:rPr>
          <w:rFonts w:eastAsia="Arial"/>
        </w:rPr>
        <w:t xml:space="preserve">s Rewiring the Nation Fund is expected to deliver concessional finance, including loans, for projects that support grid transformation. This portfolio of predominantly concessional loans is expected to be comprised mainly of unsecured corporate facilities, senior ranking secured </w:t>
      </w:r>
      <w:proofErr w:type="gramStart"/>
      <w:r w:rsidRPr="004268B5">
        <w:rPr>
          <w:rFonts w:eastAsia="Arial"/>
        </w:rPr>
        <w:t>loans</w:t>
      </w:r>
      <w:proofErr w:type="gramEnd"/>
      <w:r w:rsidRPr="004268B5">
        <w:rPr>
          <w:rFonts w:eastAsia="Arial"/>
        </w:rPr>
        <w:t xml:space="preserve"> and secured project finance facilities. </w:t>
      </w:r>
    </w:p>
    <w:p w14:paraId="7DE796C7" w14:textId="3CB2CF2C" w:rsidR="004268B5" w:rsidRPr="004268B5" w:rsidRDefault="004268B5" w:rsidP="005358B1">
      <w:pPr>
        <w:rPr>
          <w:rFonts w:eastAsia="Arial"/>
        </w:rPr>
      </w:pPr>
      <w:r w:rsidRPr="004268B5">
        <w:rPr>
          <w:rFonts w:eastAsia="Arial"/>
        </w:rPr>
        <w:t>The CEFC</w:t>
      </w:r>
      <w:r w:rsidR="00B63FC6">
        <w:rPr>
          <w:rFonts w:eastAsia="Arial"/>
        </w:rPr>
        <w:t>’</w:t>
      </w:r>
      <w:r w:rsidRPr="004268B5">
        <w:rPr>
          <w:rFonts w:eastAsia="Arial"/>
        </w:rPr>
        <w:t xml:space="preserve">s Specialised Investment Funds portfolio of loans (consisting of the Clean Energy Innovation Fund, the Advancing Hydrogen Fund, the Powering Australia Technology </w:t>
      </w:r>
      <w:proofErr w:type="gramStart"/>
      <w:r w:rsidRPr="004268B5">
        <w:rPr>
          <w:rFonts w:eastAsia="Arial"/>
        </w:rPr>
        <w:t>Fund</w:t>
      </w:r>
      <w:proofErr w:type="gramEnd"/>
      <w:r w:rsidRPr="004268B5">
        <w:rPr>
          <w:rFonts w:eastAsia="Arial"/>
        </w:rPr>
        <w:t xml:space="preserve"> and the Household Energy Upgrades Fund) are expected to be predominantly unsecured corporate facilities, senior</w:t>
      </w:r>
      <w:r w:rsidR="00B63FC6">
        <w:rPr>
          <w:rFonts w:eastAsia="Arial"/>
        </w:rPr>
        <w:noBreakHyphen/>
      </w:r>
      <w:r w:rsidRPr="004268B5">
        <w:rPr>
          <w:rFonts w:eastAsia="Arial"/>
        </w:rPr>
        <w:t xml:space="preserve">ranking secured loans, bonds and secured project finance facilities. </w:t>
      </w:r>
    </w:p>
    <w:p w14:paraId="389047E1" w14:textId="77777777" w:rsidR="004268B5" w:rsidRPr="004268B5" w:rsidRDefault="004268B5" w:rsidP="005358B1">
      <w:pPr>
        <w:rPr>
          <w:rFonts w:eastAsia="Arial"/>
        </w:rPr>
      </w:pPr>
      <w:r w:rsidRPr="004268B5">
        <w:rPr>
          <w:rFonts w:eastAsia="Arial"/>
        </w:rPr>
        <w:t xml:space="preserve">The targeted level of risk for each of these portfolios is set out in the Investment Mandate. For all but the Rewiring the Nation Fund, the CEFC Board seeks to develop a portfolio of loans and investments that, in aggregate, has an acceptable but not excessive level of risk relative to the sector and the specific focus of each of the Funds. For the Rewiring the Nation Fund, the Board must seek to develop a portfolio that, in aggregate, has an acceptable level of risk relative to the sector and the focus of the Rewiring the Nation Fund. </w:t>
      </w:r>
    </w:p>
    <w:p w14:paraId="122258AF" w14:textId="63D31F34" w:rsidR="004268B5" w:rsidRPr="004268B5" w:rsidRDefault="004268B5" w:rsidP="005358B1">
      <w:pPr>
        <w:rPr>
          <w:rFonts w:eastAsia="Arial"/>
        </w:rPr>
      </w:pPr>
      <w:r w:rsidRPr="004268B5">
        <w:rPr>
          <w:rFonts w:eastAsia="Arial"/>
        </w:rPr>
        <w:t>The Rewiring the Nation Fund investments may increase the CEFC</w:t>
      </w:r>
      <w:r w:rsidR="00B63FC6">
        <w:rPr>
          <w:rFonts w:eastAsia="Arial"/>
        </w:rPr>
        <w:t>’</w:t>
      </w:r>
      <w:r w:rsidRPr="004268B5">
        <w:rPr>
          <w:rFonts w:eastAsia="Arial"/>
        </w:rPr>
        <w:t>s overall exposure to risk as the scale, concentration, loan tenor and nature of these investments will have a higher risk profile. The Specialised Investment Funds may also have a higher risk profile than the General Portfolio, however they are a relatively smaller component of the CEFC</w:t>
      </w:r>
      <w:r w:rsidR="00B63FC6">
        <w:rPr>
          <w:rFonts w:eastAsia="Arial"/>
        </w:rPr>
        <w:t>’</w:t>
      </w:r>
      <w:r w:rsidRPr="004268B5">
        <w:rPr>
          <w:rFonts w:eastAsia="Arial"/>
        </w:rPr>
        <w:t xml:space="preserve">s overall exposure. </w:t>
      </w:r>
    </w:p>
    <w:p w14:paraId="7614B9A9" w14:textId="636F7620" w:rsidR="00C70104" w:rsidRDefault="004268B5" w:rsidP="005358B1">
      <w:pPr>
        <w:rPr>
          <w:rFonts w:eastAsia="Arial"/>
        </w:rPr>
      </w:pPr>
      <w:r w:rsidRPr="004268B5">
        <w:rPr>
          <w:rFonts w:eastAsia="Arial"/>
        </w:rPr>
        <w:t>The CEFC has predominantly made loans as a co</w:t>
      </w:r>
      <w:r w:rsidR="00B63FC6">
        <w:rPr>
          <w:rFonts w:eastAsia="Arial"/>
        </w:rPr>
        <w:noBreakHyphen/>
      </w:r>
      <w:r w:rsidRPr="004268B5">
        <w:rPr>
          <w:rFonts w:eastAsia="Arial"/>
        </w:rPr>
        <w:t>financier either jointly or in consortiums with private sector financial institutions. Interest rates vary with a current average expected return of approximately 4.9</w:t>
      </w:r>
      <w:r w:rsidR="002E6F0C">
        <w:rPr>
          <w:rFonts w:eastAsia="Arial"/>
        </w:rPr>
        <w:t> per cent</w:t>
      </w:r>
      <w:r w:rsidRPr="004268B5">
        <w:rPr>
          <w:rFonts w:eastAsia="Arial"/>
        </w:rPr>
        <w:t xml:space="preserve">. Loans have various maturity dates, typically in the range of 5 to 15 years, although it is anticipated that loan tenors will extend with the introduction of the Rewiring the Nation Fund. As </w:t>
      </w:r>
      <w:proofErr w:type="gramStart"/>
      <w:r w:rsidRPr="004268B5">
        <w:rPr>
          <w:rFonts w:eastAsia="Arial"/>
        </w:rPr>
        <w:t>at</w:t>
      </w:r>
      <w:proofErr w:type="gramEnd"/>
      <w:r w:rsidRPr="004268B5">
        <w:rPr>
          <w:rFonts w:eastAsia="Arial"/>
        </w:rPr>
        <w:t xml:space="preserve"> 30 June</w:t>
      </w:r>
      <w:r w:rsidR="00A94E30">
        <w:rPr>
          <w:rFonts w:eastAsia="Arial"/>
        </w:rPr>
        <w:t> </w:t>
      </w:r>
      <w:r w:rsidRPr="004268B5">
        <w:rPr>
          <w:rFonts w:eastAsia="Arial"/>
        </w:rPr>
        <w:t>2024, loans contracted and outstanding (excluding bonds and equities) totalled $2.7</w:t>
      </w:r>
      <w:r w:rsidR="002E6F0C">
        <w:rPr>
          <w:rFonts w:eastAsia="Arial"/>
        </w:rPr>
        <w:t> billion</w:t>
      </w:r>
      <w:r w:rsidRPr="004268B5">
        <w:rPr>
          <w:rFonts w:eastAsia="Arial"/>
        </w:rPr>
        <w:t xml:space="preserve"> and are almost exclusively in the General Portfolio.</w:t>
      </w:r>
      <w:bookmarkEnd w:id="112"/>
    </w:p>
    <w:p w14:paraId="7633A7D0" w14:textId="55C87C95" w:rsidR="00AE1AD8" w:rsidRDefault="00AE1AD8" w:rsidP="00507633">
      <w:pPr>
        <w:pStyle w:val="Heading2"/>
        <w:rPr>
          <w:rFonts w:eastAsia="Arial"/>
        </w:rPr>
      </w:pPr>
      <w:bookmarkStart w:id="113" w:name="_Toc184039506"/>
      <w:r>
        <w:rPr>
          <w:rFonts w:eastAsia="Arial"/>
        </w:rPr>
        <w:lastRenderedPageBreak/>
        <w:t>Education</w:t>
      </w:r>
      <w:bookmarkEnd w:id="113"/>
    </w:p>
    <w:p w14:paraId="28E97398" w14:textId="7ACB5555" w:rsidR="009E5F42" w:rsidRPr="005F06B9" w:rsidRDefault="009707B0" w:rsidP="00507633">
      <w:pPr>
        <w:pStyle w:val="Heading3"/>
        <w:rPr>
          <w:rFonts w:eastAsia="Arial"/>
        </w:rPr>
      </w:pPr>
      <w:r>
        <w:rPr>
          <w:rFonts w:eastAsia="Arial"/>
        </w:rPr>
        <w:t xml:space="preserve">Higher </w:t>
      </w:r>
      <w:r w:rsidR="00DE562E" w:rsidRPr="00C356DF">
        <w:rPr>
          <w:rFonts w:eastAsia="Arial"/>
        </w:rPr>
        <w:t>Education Loan Program</w:t>
      </w:r>
    </w:p>
    <w:p w14:paraId="74B65291" w14:textId="7953339C" w:rsidR="00573EA3" w:rsidRPr="00573EA3" w:rsidRDefault="00573EA3" w:rsidP="005358B1">
      <w:pPr>
        <w:rPr>
          <w:rFonts w:eastAsia="Arial"/>
        </w:rPr>
      </w:pPr>
      <w:r w:rsidRPr="00573EA3">
        <w:rPr>
          <w:rFonts w:eastAsia="Arial"/>
        </w:rPr>
        <w:t>The Higher Education Loan Program (HELP) is an income</w:t>
      </w:r>
      <w:r w:rsidR="00B63FC6">
        <w:rPr>
          <w:rFonts w:eastAsia="Arial"/>
        </w:rPr>
        <w:noBreakHyphen/>
      </w:r>
      <w:r w:rsidRPr="00573EA3">
        <w:rPr>
          <w:rFonts w:eastAsia="Arial"/>
        </w:rPr>
        <w:t xml:space="preserve">contingent loan program that assists eligible higher education students with the cost of their student contribution amounts and tuition fees. As </w:t>
      </w:r>
      <w:proofErr w:type="gramStart"/>
      <w:r w:rsidRPr="00573EA3">
        <w:rPr>
          <w:rFonts w:eastAsia="Arial"/>
        </w:rPr>
        <w:t>at</w:t>
      </w:r>
      <w:proofErr w:type="gramEnd"/>
      <w:r w:rsidRPr="00573EA3">
        <w:rPr>
          <w:rFonts w:eastAsia="Arial"/>
        </w:rPr>
        <w:t xml:space="preserve"> 30 June 2024, the fair value of HELP debt outstanding is estimated to be $</w:t>
      </w:r>
      <w:r w:rsidR="0032007E" w:rsidRPr="0032007E">
        <w:rPr>
          <w:rFonts w:eastAsia="Arial"/>
        </w:rPr>
        <w:t>49</w:t>
      </w:r>
      <w:r w:rsidRPr="00573EA3">
        <w:rPr>
          <w:rFonts w:eastAsia="Arial"/>
        </w:rPr>
        <w:t>.2</w:t>
      </w:r>
      <w:r w:rsidR="002E6F0C">
        <w:rPr>
          <w:rFonts w:eastAsia="Arial"/>
        </w:rPr>
        <w:t> billion</w:t>
      </w:r>
      <w:r w:rsidRPr="00573EA3">
        <w:rPr>
          <w:rFonts w:eastAsia="Arial"/>
        </w:rPr>
        <w:t xml:space="preserve">. The fair value </w:t>
      </w:r>
      <w:proofErr w:type="gramStart"/>
      <w:r w:rsidRPr="00573EA3">
        <w:rPr>
          <w:rFonts w:eastAsia="Arial"/>
        </w:rPr>
        <w:t>takes into account</w:t>
      </w:r>
      <w:proofErr w:type="gramEnd"/>
      <w:r w:rsidRPr="00573EA3">
        <w:rPr>
          <w:rFonts w:eastAsia="Arial"/>
        </w:rPr>
        <w:t xml:space="preserve"> the </w:t>
      </w:r>
      <w:proofErr w:type="spellStart"/>
      <w:r w:rsidR="001047C5" w:rsidRPr="00573EA3">
        <w:rPr>
          <w:rFonts w:eastAsia="Arial"/>
        </w:rPr>
        <w:t>concessional</w:t>
      </w:r>
      <w:r w:rsidR="00F35E8E">
        <w:rPr>
          <w:rFonts w:eastAsia="Arial"/>
        </w:rPr>
        <w:t>it</w:t>
      </w:r>
      <w:r w:rsidR="001047C5" w:rsidRPr="00573EA3">
        <w:rPr>
          <w:rFonts w:eastAsia="Arial"/>
        </w:rPr>
        <w:t>y</w:t>
      </w:r>
      <w:proofErr w:type="spellEnd"/>
      <w:r w:rsidRPr="00573EA3">
        <w:rPr>
          <w:rFonts w:eastAsia="Arial"/>
        </w:rPr>
        <w:t xml:space="preserve"> of HELP loans and makes an allowance for debt not expected to be repaid. </w:t>
      </w:r>
    </w:p>
    <w:p w14:paraId="21D2FA8B" w14:textId="4C3B21FA" w:rsidR="003B1B72" w:rsidRPr="003B1B72" w:rsidRDefault="003B1B72" w:rsidP="005358B1">
      <w:pPr>
        <w:rPr>
          <w:rFonts w:eastAsia="Arial"/>
        </w:rPr>
      </w:pPr>
      <w:r w:rsidRPr="003B1B72">
        <w:rPr>
          <w:rFonts w:eastAsia="Arial"/>
        </w:rPr>
        <w:t xml:space="preserve">Debts outstanding for more than 11 months are indexed annually. From 1 June 2023, indexation will be based on the lower of the Wage Price Index or the Consumer Price Index. </w:t>
      </w:r>
    </w:p>
    <w:p w14:paraId="26E7940F" w14:textId="09B95FE7" w:rsidR="00771F3C" w:rsidRDefault="00771F3C" w:rsidP="00771F3C">
      <w:pPr>
        <w:rPr>
          <w:rFonts w:eastAsia="Arial"/>
        </w:rPr>
      </w:pPr>
      <w:bookmarkStart w:id="114" w:name="_Hlk183707033"/>
      <w:r w:rsidRPr="00B63392">
        <w:rPr>
          <w:rFonts w:eastAsia="Arial"/>
        </w:rPr>
        <w:t>In addition, the Government has announced that it will deliver a 20 per cent reduction to the balance of outstanding income</w:t>
      </w:r>
      <w:r w:rsidR="00B63FC6">
        <w:rPr>
          <w:rFonts w:eastAsia="Arial"/>
        </w:rPr>
        <w:noBreakHyphen/>
      </w:r>
      <w:r w:rsidRPr="00B63392">
        <w:rPr>
          <w:rFonts w:eastAsia="Arial"/>
        </w:rPr>
        <w:t>contingent student loan debts by 1 June 2025</w:t>
      </w:r>
      <w:r w:rsidR="00405F07">
        <w:rPr>
          <w:rFonts w:eastAsia="Arial"/>
        </w:rPr>
        <w:t>,</w:t>
      </w:r>
      <w:r w:rsidRPr="00B63392">
        <w:rPr>
          <w:rFonts w:eastAsia="Arial"/>
        </w:rPr>
        <w:t xml:space="preserve"> and raise the minimum student debt repayment threshold and introduce a marginal repayment system from 1 July 2025. The fair value does not yet include the impact of the 2024</w:t>
      </w:r>
      <w:r w:rsidR="00543B5A">
        <w:rPr>
          <w:rFonts w:eastAsia="Arial"/>
        </w:rPr>
        <w:t>–‍</w:t>
      </w:r>
      <w:r w:rsidRPr="00B63392">
        <w:rPr>
          <w:rFonts w:eastAsia="Arial"/>
        </w:rPr>
        <w:t>25</w:t>
      </w:r>
      <w:r w:rsidR="00A82F29" w:rsidRPr="005F6D17">
        <w:rPr>
          <w:rFonts w:eastAsia="Book Antiqua"/>
        </w:rPr>
        <w:t> </w:t>
      </w:r>
      <w:r w:rsidRPr="00B63392">
        <w:rPr>
          <w:rFonts w:eastAsia="Arial"/>
        </w:rPr>
        <w:t xml:space="preserve">MYEFO measure </w:t>
      </w:r>
      <w:r w:rsidRPr="000E20BD">
        <w:rPr>
          <w:rStyle w:val="Emphasis"/>
          <w:rFonts w:eastAsia="Arial"/>
        </w:rPr>
        <w:t>Building Australia</w:t>
      </w:r>
      <w:r w:rsidR="00B63FC6">
        <w:rPr>
          <w:rStyle w:val="Emphasis"/>
          <w:rFonts w:eastAsia="Arial"/>
        </w:rPr>
        <w:t>’</w:t>
      </w:r>
      <w:r w:rsidRPr="000E20BD">
        <w:rPr>
          <w:rStyle w:val="Emphasis"/>
          <w:rFonts w:eastAsia="Arial"/>
        </w:rPr>
        <w:t>s Future</w:t>
      </w:r>
      <w:r w:rsidR="00CB3314" w:rsidRPr="000E20BD">
        <w:rPr>
          <w:rStyle w:val="Emphasis"/>
          <w:rFonts w:eastAsia="Arial"/>
        </w:rPr>
        <w:t xml:space="preserve"> – </w:t>
      </w:r>
      <w:r w:rsidRPr="000E20BD">
        <w:rPr>
          <w:rStyle w:val="Emphasis"/>
          <w:rFonts w:eastAsia="Arial"/>
        </w:rPr>
        <w:t>a fairer deal for students.</w:t>
      </w:r>
      <w:r w:rsidRPr="00B63392">
        <w:rPr>
          <w:rFonts w:eastAsia="Arial"/>
        </w:rPr>
        <w:t xml:space="preserve"> </w:t>
      </w:r>
    </w:p>
    <w:p w14:paraId="253F19EA" w14:textId="18FC0543" w:rsidR="00022875" w:rsidRDefault="00022875" w:rsidP="005358B1">
      <w:pPr>
        <w:rPr>
          <w:rFonts w:eastAsia="Arial"/>
        </w:rPr>
      </w:pPr>
      <w:r w:rsidRPr="00022875">
        <w:rPr>
          <w:rFonts w:eastAsia="Arial"/>
        </w:rPr>
        <w:t>The Australian Taxation Office collects repayment of these debts through the tax system. Repayment of debts commence when an individual debtor</w:t>
      </w:r>
      <w:r w:rsidR="00B63FC6">
        <w:rPr>
          <w:rFonts w:eastAsia="Arial"/>
        </w:rPr>
        <w:t>’</w:t>
      </w:r>
      <w:r w:rsidRPr="00022875">
        <w:rPr>
          <w:rFonts w:eastAsia="Arial"/>
        </w:rPr>
        <w:t>s income reaches the repayment threshold.</w:t>
      </w:r>
      <w:r w:rsidR="003B1B72" w:rsidRPr="0015746B">
        <w:t xml:space="preserve"> </w:t>
      </w:r>
    </w:p>
    <w:bookmarkEnd w:id="114"/>
    <w:p w14:paraId="6594C3F8" w14:textId="43B17AEA" w:rsidR="0032007E" w:rsidRPr="0032007E" w:rsidRDefault="0032007E" w:rsidP="005358B1">
      <w:pPr>
        <w:rPr>
          <w:rFonts w:eastAsia="Arial"/>
        </w:rPr>
      </w:pPr>
      <w:r w:rsidRPr="0032007E">
        <w:rPr>
          <w:rFonts w:eastAsia="Arial"/>
        </w:rPr>
        <w:t xml:space="preserve">There were 2,932,349 HELP debtors as </w:t>
      </w:r>
      <w:proofErr w:type="gramStart"/>
      <w:r w:rsidRPr="0032007E">
        <w:rPr>
          <w:rFonts w:eastAsia="Arial"/>
        </w:rPr>
        <w:t>at</w:t>
      </w:r>
      <w:proofErr w:type="gramEnd"/>
      <w:r w:rsidRPr="0032007E">
        <w:rPr>
          <w:rFonts w:eastAsia="Arial"/>
        </w:rPr>
        <w:t xml:space="preserve"> 30 June</w:t>
      </w:r>
      <w:r w:rsidR="00A94E30">
        <w:rPr>
          <w:rFonts w:eastAsia="Arial"/>
        </w:rPr>
        <w:t> </w:t>
      </w:r>
      <w:r w:rsidRPr="0032007E">
        <w:rPr>
          <w:rFonts w:eastAsia="Arial"/>
        </w:rPr>
        <w:t>2024. The repayment term of a HELP debt can only be determined for people who have fully repaid their debt. As at the end of June</w:t>
      </w:r>
      <w:r w:rsidR="00A94E30">
        <w:rPr>
          <w:rFonts w:eastAsia="Arial"/>
        </w:rPr>
        <w:t> </w:t>
      </w:r>
      <w:r w:rsidRPr="0032007E">
        <w:rPr>
          <w:rFonts w:eastAsia="Arial"/>
        </w:rPr>
        <w:t>2024, the average time taken to repay HELP debts was 9.9</w:t>
      </w:r>
      <w:r w:rsidR="00A94E30">
        <w:rPr>
          <w:rFonts w:eastAsia="Arial"/>
        </w:rPr>
        <w:t> </w:t>
      </w:r>
      <w:r w:rsidRPr="0032007E">
        <w:rPr>
          <w:rFonts w:eastAsia="Arial"/>
        </w:rPr>
        <w:t>years.</w:t>
      </w:r>
    </w:p>
    <w:p w14:paraId="447E9B0F" w14:textId="593FC41F" w:rsidR="00054CCC" w:rsidRPr="00C426FA" w:rsidRDefault="00C426FA" w:rsidP="00507633">
      <w:pPr>
        <w:pStyle w:val="Heading2"/>
        <w:rPr>
          <w:rFonts w:eastAsia="Arial"/>
          <w:lang w:val="en-US"/>
        </w:rPr>
      </w:pPr>
      <w:bookmarkStart w:id="115" w:name="_Toc184039508"/>
      <w:r w:rsidRPr="00C426FA">
        <w:rPr>
          <w:rFonts w:eastAsia="Arial"/>
          <w:lang w:val="en-US"/>
        </w:rPr>
        <w:t>Employment and Workplace Relations</w:t>
      </w:r>
      <w:bookmarkEnd w:id="115"/>
    </w:p>
    <w:p w14:paraId="6924DA42" w14:textId="6C7160A2" w:rsidR="00054CCC" w:rsidRPr="005F06B9" w:rsidRDefault="00054CCC" w:rsidP="00847FBA">
      <w:pPr>
        <w:pStyle w:val="Heading3"/>
        <w:rPr>
          <w:rFonts w:eastAsia="Arial"/>
        </w:rPr>
      </w:pPr>
      <w:bookmarkStart w:id="116" w:name="_Toc184039509"/>
      <w:r w:rsidRPr="005F06B9">
        <w:rPr>
          <w:rFonts w:eastAsia="Arial"/>
        </w:rPr>
        <w:t>Australian Apprenticeship Support Loans Program</w:t>
      </w:r>
      <w:bookmarkEnd w:id="116"/>
      <w:r w:rsidRPr="005F06B9">
        <w:rPr>
          <w:rFonts w:eastAsia="Arial"/>
        </w:rPr>
        <w:t xml:space="preserve"> </w:t>
      </w:r>
    </w:p>
    <w:p w14:paraId="45D60DB6" w14:textId="4AA470E5" w:rsidR="00054CCC" w:rsidRPr="00A52101" w:rsidRDefault="00A52101" w:rsidP="005358B1">
      <w:pPr>
        <w:rPr>
          <w:rFonts w:eastAsia="Arial"/>
        </w:rPr>
      </w:pPr>
      <w:bookmarkStart w:id="117" w:name="_Hlk183081007"/>
      <w:r w:rsidRPr="00A52101">
        <w:rPr>
          <w:rFonts w:eastAsia="Arial"/>
        </w:rPr>
        <w:t>The Australian Apprenticeship Support Loans Program (formerly Trade Support Loans Program) is an income</w:t>
      </w:r>
      <w:r w:rsidR="00B63FC6">
        <w:rPr>
          <w:rFonts w:eastAsia="Arial"/>
        </w:rPr>
        <w:noBreakHyphen/>
      </w:r>
      <w:r w:rsidRPr="00A52101">
        <w:rPr>
          <w:rFonts w:eastAsia="Arial"/>
        </w:rPr>
        <w:t xml:space="preserve">contingent, concessional loan program that assists eligible Australian apprentices by providing financial support of up to $25,643 (for 2024–25) to assist with the costs of living, </w:t>
      </w:r>
      <w:proofErr w:type="gramStart"/>
      <w:r w:rsidRPr="00A52101">
        <w:rPr>
          <w:rFonts w:eastAsia="Arial"/>
        </w:rPr>
        <w:t>learning</w:t>
      </w:r>
      <w:proofErr w:type="gramEnd"/>
      <w:r w:rsidRPr="00A52101">
        <w:rPr>
          <w:rFonts w:eastAsia="Arial"/>
        </w:rPr>
        <w:t xml:space="preserve"> and undertaking an apprenticeship, and helping apprentices to focus on completing a qualification listed on the Australian Apprenticeships Priority List. </w:t>
      </w:r>
      <w:bookmarkEnd w:id="117"/>
    </w:p>
    <w:p w14:paraId="3FD8E2FF" w14:textId="026610F4" w:rsidR="00054CCC" w:rsidRPr="004B0476" w:rsidRDefault="004B0476" w:rsidP="005358B1">
      <w:pPr>
        <w:rPr>
          <w:rFonts w:eastAsia="Arial"/>
        </w:rPr>
      </w:pPr>
      <w:r w:rsidRPr="004B0476">
        <w:rPr>
          <w:rFonts w:eastAsia="Arial"/>
        </w:rPr>
        <w:t>An eligible Australian Apprentice can access up to $854.78 per month in the first year of their apprenticeship, $641.08 per month in the second year, $427.39 per month in the third</w:t>
      </w:r>
      <w:r w:rsidR="002E6F0C">
        <w:rPr>
          <w:rFonts w:eastAsia="Arial"/>
        </w:rPr>
        <w:t> year</w:t>
      </w:r>
      <w:r w:rsidRPr="004B0476">
        <w:rPr>
          <w:rFonts w:eastAsia="Arial"/>
        </w:rPr>
        <w:t xml:space="preserve">, and $213.69 per month in the fourth year. </w:t>
      </w:r>
    </w:p>
    <w:p w14:paraId="7E892F58" w14:textId="1207514E" w:rsidR="00054CCC" w:rsidRPr="00CA334A" w:rsidRDefault="00CA334A" w:rsidP="005358B1">
      <w:pPr>
        <w:rPr>
          <w:rFonts w:eastAsia="Arial"/>
        </w:rPr>
      </w:pPr>
      <w:r w:rsidRPr="00CA334A">
        <w:rPr>
          <w:rFonts w:eastAsia="Arial"/>
        </w:rPr>
        <w:t xml:space="preserve">The loan amounts provided are higher in the early years of training to compensate for lower wages. The lifetime limit of $25,643 was indexed on 1 July 2024 using the Consumer Price Index and will continue to be indexed annually on 1 July to maintain its real value. </w:t>
      </w:r>
    </w:p>
    <w:p w14:paraId="786B7AB5" w14:textId="0B1FAD72" w:rsidR="00B841D0" w:rsidRPr="00591BD0" w:rsidRDefault="00B841D0" w:rsidP="00B841D0">
      <w:pPr>
        <w:rPr>
          <w:rFonts w:asciiTheme="minorHAnsi" w:eastAsia="Calibri" w:hAnsiTheme="minorHAnsi"/>
        </w:rPr>
      </w:pPr>
      <w:bookmarkStart w:id="118" w:name="_Toc184039510"/>
      <w:r>
        <w:lastRenderedPageBreak/>
        <w:t>T</w:t>
      </w:r>
      <w:r w:rsidRPr="0015746B">
        <w:t>he Government</w:t>
      </w:r>
      <w:r>
        <w:t xml:space="preserve"> has announced that it</w:t>
      </w:r>
      <w:r w:rsidRPr="0015746B">
        <w:t xml:space="preserve"> will</w:t>
      </w:r>
      <w:r>
        <w:t xml:space="preserve"> </w:t>
      </w:r>
      <w:r w:rsidRPr="00591BD0">
        <w:rPr>
          <w:rFonts w:asciiTheme="minorHAnsi" w:eastAsia="Calibri" w:hAnsiTheme="minorHAnsi"/>
        </w:rPr>
        <w:t>deliver a 20</w:t>
      </w:r>
      <w:r w:rsidRPr="003B1B72">
        <w:rPr>
          <w:rFonts w:asciiTheme="minorHAnsi" w:eastAsia="Calibri" w:hAnsiTheme="minorHAnsi" w:cs="Arial"/>
          <w:szCs w:val="19"/>
          <w:lang w:eastAsia="en-US"/>
        </w:rPr>
        <w:t xml:space="preserve"> </w:t>
      </w:r>
      <w:r w:rsidRPr="00591BD0">
        <w:rPr>
          <w:rFonts w:asciiTheme="minorHAnsi" w:eastAsia="Calibri" w:hAnsiTheme="minorHAnsi"/>
        </w:rPr>
        <w:t>per</w:t>
      </w:r>
      <w:r w:rsidRPr="003B1B72">
        <w:rPr>
          <w:rFonts w:asciiTheme="minorHAnsi" w:eastAsia="Calibri" w:hAnsiTheme="minorHAnsi" w:cs="Arial"/>
          <w:szCs w:val="19"/>
          <w:lang w:eastAsia="en-US"/>
        </w:rPr>
        <w:t xml:space="preserve"> </w:t>
      </w:r>
      <w:r w:rsidRPr="00591BD0">
        <w:rPr>
          <w:rFonts w:asciiTheme="minorHAnsi" w:eastAsia="Calibri" w:hAnsiTheme="minorHAnsi"/>
        </w:rPr>
        <w:t>cent reduction to the balance of outstanding income</w:t>
      </w:r>
      <w:r w:rsidR="00B63FC6">
        <w:rPr>
          <w:rFonts w:asciiTheme="minorHAnsi" w:eastAsia="Calibri" w:hAnsiTheme="minorHAnsi" w:cs="Arial"/>
          <w:szCs w:val="19"/>
          <w:lang w:eastAsia="en-US"/>
        </w:rPr>
        <w:noBreakHyphen/>
      </w:r>
      <w:r w:rsidRPr="00591BD0">
        <w:rPr>
          <w:rFonts w:asciiTheme="minorHAnsi" w:eastAsia="Calibri" w:hAnsiTheme="minorHAnsi"/>
        </w:rPr>
        <w:t>contingent student loan debts by 1 June</w:t>
      </w:r>
      <w:r w:rsidRPr="003B1B72">
        <w:rPr>
          <w:rFonts w:asciiTheme="minorHAnsi" w:eastAsia="Calibri" w:hAnsiTheme="minorHAnsi" w:cs="Arial"/>
          <w:szCs w:val="19"/>
          <w:lang w:eastAsia="en-US"/>
        </w:rPr>
        <w:t xml:space="preserve"> </w:t>
      </w:r>
      <w:r w:rsidRPr="00591BD0">
        <w:rPr>
          <w:rFonts w:asciiTheme="minorHAnsi" w:eastAsia="Calibri" w:hAnsiTheme="minorHAnsi"/>
        </w:rPr>
        <w:t>2025</w:t>
      </w:r>
      <w:r w:rsidR="00405F07">
        <w:rPr>
          <w:rFonts w:asciiTheme="minorHAnsi" w:eastAsia="Calibri" w:hAnsiTheme="minorHAnsi" w:cs="Arial"/>
          <w:szCs w:val="19"/>
          <w:lang w:eastAsia="en-US"/>
        </w:rPr>
        <w:t>,</w:t>
      </w:r>
      <w:r w:rsidRPr="003B1B72">
        <w:rPr>
          <w:rFonts w:asciiTheme="minorHAnsi" w:eastAsia="Calibri" w:hAnsiTheme="minorHAnsi" w:cs="Arial"/>
          <w:szCs w:val="19"/>
          <w:lang w:eastAsia="en-US"/>
        </w:rPr>
        <w:t xml:space="preserve"> and</w:t>
      </w:r>
      <w:r>
        <w:rPr>
          <w:rFonts w:asciiTheme="minorHAnsi" w:eastAsia="Calibri" w:hAnsiTheme="minorHAnsi" w:cs="Arial"/>
          <w:szCs w:val="19"/>
          <w:lang w:eastAsia="en-US"/>
        </w:rPr>
        <w:t xml:space="preserve"> </w:t>
      </w:r>
      <w:r w:rsidRPr="00591BD0">
        <w:rPr>
          <w:rFonts w:asciiTheme="minorHAnsi" w:eastAsia="Calibri" w:hAnsiTheme="minorHAnsi"/>
        </w:rPr>
        <w:t>raise the minimum student debt repayment threshold and introduce a marginal repayment system from 1</w:t>
      </w:r>
      <w:r w:rsidR="000102C3" w:rsidRPr="005F6D17">
        <w:rPr>
          <w:rFonts w:eastAsia="Book Antiqua"/>
        </w:rPr>
        <w:t> </w:t>
      </w:r>
      <w:r w:rsidRPr="00591BD0">
        <w:rPr>
          <w:rFonts w:asciiTheme="minorHAnsi" w:eastAsia="Calibri" w:hAnsiTheme="minorHAnsi"/>
        </w:rPr>
        <w:t>July</w:t>
      </w:r>
      <w:r w:rsidR="000102C3" w:rsidRPr="005F6D17">
        <w:rPr>
          <w:rFonts w:eastAsia="Book Antiqua"/>
        </w:rPr>
        <w:t> </w:t>
      </w:r>
      <w:r w:rsidRPr="00591BD0">
        <w:rPr>
          <w:rFonts w:asciiTheme="minorHAnsi" w:eastAsia="Calibri" w:hAnsiTheme="minorHAnsi"/>
        </w:rPr>
        <w:t>2025</w:t>
      </w:r>
      <w:r w:rsidRPr="00B033D3">
        <w:rPr>
          <w:rFonts w:asciiTheme="minorHAnsi" w:eastAsia="Calibri" w:hAnsiTheme="minorHAnsi"/>
        </w:rPr>
        <w:t>.</w:t>
      </w:r>
      <w:r w:rsidRPr="00B033D3">
        <w:rPr>
          <w:rFonts w:asciiTheme="minorHAnsi" w:eastAsia="Calibri" w:hAnsiTheme="minorHAnsi" w:cs="Arial"/>
          <w:szCs w:val="19"/>
          <w:lang w:eastAsia="en-US"/>
        </w:rPr>
        <w:t xml:space="preserve"> These changes</w:t>
      </w:r>
      <w:r>
        <w:rPr>
          <w:rFonts w:asciiTheme="minorHAnsi" w:eastAsia="Calibri" w:hAnsiTheme="minorHAnsi" w:cs="Arial"/>
          <w:szCs w:val="19"/>
          <w:lang w:eastAsia="en-US"/>
        </w:rPr>
        <w:t xml:space="preserve"> will apply to Australian Apprenticeship Support Loans.</w:t>
      </w:r>
    </w:p>
    <w:p w14:paraId="4E4F6E82" w14:textId="33BF78BD" w:rsidR="00B841D0" w:rsidRDefault="00B841D0" w:rsidP="00B841D0">
      <w:pPr>
        <w:rPr>
          <w:rFonts w:eastAsia="Arial"/>
        </w:rPr>
      </w:pPr>
      <w:r w:rsidRPr="006F3E6F">
        <w:rPr>
          <w:rFonts w:eastAsia="Arial"/>
        </w:rPr>
        <w:t xml:space="preserve">As an incentive to encourage completion of training, apprentices who successfully complete their apprenticeships are eligible for </w:t>
      </w:r>
      <w:r>
        <w:rPr>
          <w:rFonts w:eastAsia="Arial"/>
        </w:rPr>
        <w:t xml:space="preserve">the </w:t>
      </w:r>
      <w:r w:rsidRPr="006F3E6F">
        <w:rPr>
          <w:rFonts w:eastAsia="Arial"/>
        </w:rPr>
        <w:t xml:space="preserve">20 per cent discount on their loan. The loans become repayable at the same thresholds as the Higher Education Loan Program, which is $54,435 for the 2024–25 income year. This is a demand driven program. As </w:t>
      </w:r>
      <w:proofErr w:type="gramStart"/>
      <w:r w:rsidRPr="006F3E6F">
        <w:rPr>
          <w:rFonts w:eastAsia="Arial"/>
        </w:rPr>
        <w:t>at</w:t>
      </w:r>
      <w:proofErr w:type="gramEnd"/>
      <w:r w:rsidRPr="006F3E6F">
        <w:rPr>
          <w:rFonts w:eastAsia="Arial"/>
        </w:rPr>
        <w:t xml:space="preserve"> 30</w:t>
      </w:r>
      <w:r w:rsidR="000102C3" w:rsidRPr="005F6D17">
        <w:rPr>
          <w:rFonts w:eastAsia="Book Antiqua"/>
        </w:rPr>
        <w:t> </w:t>
      </w:r>
      <w:r w:rsidRPr="006F3E6F">
        <w:rPr>
          <w:rFonts w:eastAsia="Arial"/>
        </w:rPr>
        <w:t xml:space="preserve">June 2024, the fair value of the Australian Apprenticeship Support Loans debt outstanding is estimated to be $883.54 million. The fair value </w:t>
      </w:r>
      <w:proofErr w:type="gramStart"/>
      <w:r w:rsidRPr="006F3E6F">
        <w:rPr>
          <w:rFonts w:eastAsia="Arial"/>
        </w:rPr>
        <w:t>takes into account</w:t>
      </w:r>
      <w:proofErr w:type="gramEnd"/>
      <w:r w:rsidRPr="006F3E6F">
        <w:rPr>
          <w:rFonts w:eastAsia="Arial"/>
        </w:rPr>
        <w:t xml:space="preserve"> the </w:t>
      </w:r>
      <w:proofErr w:type="spellStart"/>
      <w:r w:rsidRPr="006F3E6F">
        <w:rPr>
          <w:rFonts w:eastAsia="Arial"/>
        </w:rPr>
        <w:t>concessionality</w:t>
      </w:r>
      <w:proofErr w:type="spellEnd"/>
      <w:r w:rsidRPr="006F3E6F">
        <w:rPr>
          <w:rFonts w:eastAsia="Arial"/>
        </w:rPr>
        <w:t xml:space="preserve"> of Australian Apprenticeship Support Loans and makes an allowance for debt not expected to be repaid.</w:t>
      </w:r>
      <w:r>
        <w:rPr>
          <w:rFonts w:eastAsia="Arial"/>
        </w:rPr>
        <w:t xml:space="preserve"> </w:t>
      </w:r>
      <w:r w:rsidRPr="002A4F59">
        <w:rPr>
          <w:rFonts w:asciiTheme="minorHAnsi" w:eastAsia="Calibri" w:hAnsiTheme="minorHAnsi" w:cs="Arial"/>
          <w:szCs w:val="19"/>
          <w:lang w:eastAsia="en-US"/>
        </w:rPr>
        <w:t>The fair value does not yet include the impact of the 2024</w:t>
      </w:r>
      <w:r w:rsidR="00C51E2C">
        <w:rPr>
          <w:rFonts w:asciiTheme="minorHAnsi" w:eastAsia="Calibri" w:hAnsiTheme="minorHAnsi" w:cs="Arial"/>
          <w:szCs w:val="19"/>
          <w:lang w:eastAsia="en-US"/>
        </w:rPr>
        <w:t>–‍</w:t>
      </w:r>
      <w:r w:rsidRPr="002A4F59">
        <w:rPr>
          <w:rFonts w:asciiTheme="minorHAnsi" w:eastAsia="Calibri" w:hAnsiTheme="minorHAnsi" w:cs="Arial"/>
          <w:szCs w:val="19"/>
          <w:lang w:eastAsia="en-US"/>
        </w:rPr>
        <w:t>25</w:t>
      </w:r>
      <w:r w:rsidR="000102C3" w:rsidRPr="005F6D17">
        <w:rPr>
          <w:rFonts w:eastAsia="Book Antiqua"/>
        </w:rPr>
        <w:t> </w:t>
      </w:r>
      <w:r w:rsidRPr="002A4F59">
        <w:rPr>
          <w:rFonts w:asciiTheme="minorHAnsi" w:eastAsia="Calibri" w:hAnsiTheme="minorHAnsi" w:cs="Arial"/>
          <w:szCs w:val="19"/>
          <w:lang w:eastAsia="en-US"/>
        </w:rPr>
        <w:t xml:space="preserve">MYEFO measure </w:t>
      </w:r>
      <w:r w:rsidRPr="000E20BD">
        <w:rPr>
          <w:rStyle w:val="Emphasis"/>
          <w:rFonts w:eastAsia="Calibri"/>
        </w:rPr>
        <w:t>Building Australia</w:t>
      </w:r>
      <w:r w:rsidR="00B63FC6">
        <w:rPr>
          <w:rStyle w:val="Emphasis"/>
          <w:rFonts w:eastAsia="Calibri"/>
        </w:rPr>
        <w:t>’</w:t>
      </w:r>
      <w:r w:rsidRPr="000E20BD">
        <w:rPr>
          <w:rStyle w:val="Emphasis"/>
          <w:rFonts w:eastAsia="Calibri"/>
        </w:rPr>
        <w:t>s Future</w:t>
      </w:r>
      <w:r w:rsidR="00CB3314" w:rsidRPr="000E20BD">
        <w:rPr>
          <w:rStyle w:val="Emphasis"/>
          <w:rFonts w:eastAsia="Calibri"/>
        </w:rPr>
        <w:t xml:space="preserve"> – </w:t>
      </w:r>
      <w:r w:rsidRPr="000E20BD">
        <w:rPr>
          <w:rStyle w:val="Emphasis"/>
          <w:rFonts w:eastAsia="Calibri"/>
        </w:rPr>
        <w:t>a fairer deal for students</w:t>
      </w:r>
      <w:r w:rsidRPr="002A4F59">
        <w:rPr>
          <w:rFonts w:asciiTheme="minorHAnsi" w:eastAsia="Calibri" w:hAnsiTheme="minorHAnsi" w:cs="Arial"/>
          <w:szCs w:val="19"/>
          <w:lang w:eastAsia="en-US"/>
        </w:rPr>
        <w:t>.</w:t>
      </w:r>
    </w:p>
    <w:p w14:paraId="6AA74990" w14:textId="6F4B7CC6" w:rsidR="00083EF8" w:rsidRPr="00190DE7" w:rsidRDefault="00190DE7" w:rsidP="00951AA3">
      <w:pPr>
        <w:pStyle w:val="Heading3"/>
        <w:rPr>
          <w:rFonts w:eastAsia="Arial"/>
        </w:rPr>
      </w:pPr>
      <w:r w:rsidRPr="00190DE7">
        <w:rPr>
          <w:rFonts w:eastAsia="Arial"/>
        </w:rPr>
        <w:t>VET Student Loans Program</w:t>
      </w:r>
      <w:bookmarkEnd w:id="118"/>
    </w:p>
    <w:p w14:paraId="1EEA5662" w14:textId="783B561F" w:rsidR="00C2142D" w:rsidRPr="00C055BF" w:rsidRDefault="00C2142D" w:rsidP="00C2142D">
      <w:pPr>
        <w:rPr>
          <w:rFonts w:eastAsia="Arial"/>
        </w:rPr>
      </w:pPr>
      <w:bookmarkStart w:id="119" w:name="_Toc184039511"/>
      <w:r w:rsidRPr="00C055BF">
        <w:rPr>
          <w:rFonts w:eastAsia="Arial"/>
        </w:rPr>
        <w:t>The VET Student Loans (VSL) Program is an income contingent loan program that assists eligible tertiary education students with the cost of their fees when undertaking approved higher</w:t>
      </w:r>
      <w:r w:rsidR="00B63FC6">
        <w:rPr>
          <w:rFonts w:eastAsia="Arial"/>
        </w:rPr>
        <w:noBreakHyphen/>
      </w:r>
      <w:r w:rsidRPr="00C055BF">
        <w:rPr>
          <w:rFonts w:eastAsia="Arial"/>
        </w:rPr>
        <w:t xml:space="preserve">level Vocational Education and Training (VET) courses (diploma and above). </w:t>
      </w:r>
    </w:p>
    <w:p w14:paraId="1F00BC64" w14:textId="77777777" w:rsidR="00C2142D" w:rsidRDefault="00C2142D" w:rsidP="00C2142D">
      <w:pPr>
        <w:rPr>
          <w:rFonts w:eastAsia="Arial"/>
        </w:rPr>
      </w:pPr>
      <w:r w:rsidRPr="00C055BF">
        <w:rPr>
          <w:rFonts w:eastAsia="Arial"/>
        </w:rPr>
        <w:t xml:space="preserve">Debts outstanding for more than 11 months are indexed annually. From 1 June 2023, indexation will be based on the lower of Wage Price Index or Consumer Price Index. </w:t>
      </w:r>
    </w:p>
    <w:p w14:paraId="7A480ECC" w14:textId="6AC18484" w:rsidR="00C2142D" w:rsidRPr="00B20040" w:rsidRDefault="00C2142D" w:rsidP="00C2142D">
      <w:r w:rsidRPr="0015746B">
        <w:t xml:space="preserve">In addition, the Government </w:t>
      </w:r>
      <w:r>
        <w:t xml:space="preserve">has announced that it </w:t>
      </w:r>
      <w:r w:rsidRPr="0015746B">
        <w:t>will</w:t>
      </w:r>
      <w:r>
        <w:t xml:space="preserve"> </w:t>
      </w:r>
      <w:r w:rsidRPr="00591BD0">
        <w:rPr>
          <w:rFonts w:asciiTheme="minorHAnsi" w:eastAsia="Calibri" w:hAnsiTheme="minorHAnsi"/>
        </w:rPr>
        <w:t>deliver a 20</w:t>
      </w:r>
      <w:r w:rsidRPr="00B20040">
        <w:rPr>
          <w:rFonts w:asciiTheme="minorHAnsi" w:eastAsia="Calibri" w:hAnsiTheme="minorHAnsi" w:cs="Arial"/>
          <w:szCs w:val="19"/>
          <w:lang w:eastAsia="en-US"/>
        </w:rPr>
        <w:t xml:space="preserve"> </w:t>
      </w:r>
      <w:r w:rsidRPr="00591BD0">
        <w:rPr>
          <w:rFonts w:asciiTheme="minorHAnsi" w:eastAsia="Calibri" w:hAnsiTheme="minorHAnsi"/>
        </w:rPr>
        <w:t>per</w:t>
      </w:r>
      <w:r w:rsidRPr="00B20040">
        <w:rPr>
          <w:rFonts w:asciiTheme="minorHAnsi" w:eastAsia="Calibri" w:hAnsiTheme="minorHAnsi" w:cs="Arial"/>
          <w:szCs w:val="19"/>
          <w:lang w:eastAsia="en-US"/>
        </w:rPr>
        <w:t xml:space="preserve"> </w:t>
      </w:r>
      <w:r w:rsidRPr="00591BD0">
        <w:rPr>
          <w:rFonts w:asciiTheme="minorHAnsi" w:eastAsia="Calibri" w:hAnsiTheme="minorHAnsi"/>
        </w:rPr>
        <w:t>cent reduction to the balance of outstanding income</w:t>
      </w:r>
      <w:r w:rsidR="00B63FC6">
        <w:rPr>
          <w:rFonts w:asciiTheme="minorHAnsi" w:eastAsia="Calibri" w:hAnsiTheme="minorHAnsi" w:cs="Arial"/>
          <w:szCs w:val="19"/>
          <w:lang w:eastAsia="en-US"/>
        </w:rPr>
        <w:noBreakHyphen/>
      </w:r>
      <w:r w:rsidRPr="00591BD0">
        <w:rPr>
          <w:rFonts w:asciiTheme="minorHAnsi" w:eastAsia="Calibri" w:hAnsiTheme="minorHAnsi"/>
        </w:rPr>
        <w:t>contingent student loan debts by 1 June 2025</w:t>
      </w:r>
      <w:r w:rsidR="00746892">
        <w:rPr>
          <w:rFonts w:asciiTheme="minorHAnsi" w:eastAsia="Calibri" w:hAnsiTheme="minorHAnsi"/>
        </w:rPr>
        <w:t>,</w:t>
      </w:r>
      <w:r w:rsidRPr="00591BD0">
        <w:rPr>
          <w:rFonts w:asciiTheme="minorHAnsi" w:eastAsia="Calibri" w:hAnsiTheme="minorHAnsi"/>
        </w:rPr>
        <w:t xml:space="preserve"> and</w:t>
      </w:r>
      <w:r>
        <w:t xml:space="preserve"> </w:t>
      </w:r>
      <w:r w:rsidRPr="00591BD0">
        <w:rPr>
          <w:rFonts w:asciiTheme="minorHAnsi" w:eastAsia="Calibri" w:hAnsiTheme="minorHAnsi"/>
        </w:rPr>
        <w:t>raise the minimum student debt repayment threshold and introduce a marginal repayment system from 1 July 2025.</w:t>
      </w:r>
      <w:r>
        <w:rPr>
          <w:rFonts w:asciiTheme="minorHAnsi" w:eastAsia="Calibri" w:hAnsiTheme="minorHAnsi" w:cs="Arial"/>
          <w:szCs w:val="19"/>
          <w:lang w:eastAsia="en-US"/>
        </w:rPr>
        <w:t xml:space="preserve"> These changes will apply to VET Student Loans.</w:t>
      </w:r>
    </w:p>
    <w:p w14:paraId="396C8EB9" w14:textId="45B7755E" w:rsidR="00C2142D" w:rsidRPr="00C055BF" w:rsidRDefault="00C2142D" w:rsidP="00C2142D">
      <w:pPr>
        <w:rPr>
          <w:rFonts w:eastAsia="Arial"/>
        </w:rPr>
      </w:pPr>
      <w:r w:rsidRPr="00C055BF">
        <w:rPr>
          <w:rFonts w:eastAsia="Arial"/>
        </w:rPr>
        <w:t xml:space="preserve">The </w:t>
      </w:r>
      <w:r w:rsidRPr="00B033D3">
        <w:rPr>
          <w:rFonts w:eastAsia="Arial"/>
        </w:rPr>
        <w:t>Australian Taxation Office</w:t>
      </w:r>
      <w:r w:rsidRPr="00C055BF">
        <w:rPr>
          <w:rFonts w:eastAsia="Arial"/>
        </w:rPr>
        <w:t xml:space="preserve"> </w:t>
      </w:r>
      <w:r w:rsidR="00B033D3" w:rsidRPr="00B033D3">
        <w:rPr>
          <w:rFonts w:eastAsia="Arial"/>
        </w:rPr>
        <w:t xml:space="preserve">(ATO) </w:t>
      </w:r>
      <w:r w:rsidRPr="00C055BF">
        <w:rPr>
          <w:rFonts w:eastAsia="Arial"/>
        </w:rPr>
        <w:t>collects repayment of these debts through the tax system. Repayment of debts commences when an individual debtor</w:t>
      </w:r>
      <w:r w:rsidR="00B63FC6">
        <w:rPr>
          <w:rFonts w:eastAsia="Arial"/>
        </w:rPr>
        <w:t>’</w:t>
      </w:r>
      <w:r w:rsidRPr="00C055BF">
        <w:rPr>
          <w:rFonts w:eastAsia="Arial"/>
        </w:rPr>
        <w:t xml:space="preserve">s income reaches the repayment threshold. Debtors must pay Higher Education Loan Program (HELP) debts before they repay VSL debts. </w:t>
      </w:r>
    </w:p>
    <w:p w14:paraId="14AC32F1" w14:textId="7B5BB263" w:rsidR="00C2142D" w:rsidRPr="00C055BF" w:rsidRDefault="00C2142D" w:rsidP="00C2142D">
      <w:pPr>
        <w:rPr>
          <w:rFonts w:eastAsia="Arial"/>
        </w:rPr>
      </w:pPr>
      <w:r w:rsidRPr="00C055BF">
        <w:rPr>
          <w:rFonts w:eastAsia="Arial"/>
        </w:rPr>
        <w:t xml:space="preserve">There were 126,403 VSL debtors as </w:t>
      </w:r>
      <w:proofErr w:type="gramStart"/>
      <w:r w:rsidRPr="00C055BF">
        <w:rPr>
          <w:rFonts w:eastAsia="Arial"/>
        </w:rPr>
        <w:t>at</w:t>
      </w:r>
      <w:proofErr w:type="gramEnd"/>
      <w:r w:rsidRPr="00C055BF">
        <w:rPr>
          <w:rFonts w:eastAsia="Arial"/>
        </w:rPr>
        <w:t xml:space="preserve"> 30 June 2024. The repayment term of a post 1</w:t>
      </w:r>
      <w:r w:rsidR="000102C3" w:rsidRPr="005F6D17">
        <w:rPr>
          <w:rFonts w:eastAsia="Book Antiqua"/>
        </w:rPr>
        <w:t> </w:t>
      </w:r>
      <w:r w:rsidRPr="00C055BF">
        <w:rPr>
          <w:rFonts w:eastAsia="Arial"/>
        </w:rPr>
        <w:t>July</w:t>
      </w:r>
      <w:r w:rsidR="000102C3" w:rsidRPr="005F6D17">
        <w:rPr>
          <w:rFonts w:eastAsia="Book Antiqua"/>
        </w:rPr>
        <w:t> </w:t>
      </w:r>
      <w:r w:rsidRPr="00C055BF">
        <w:rPr>
          <w:rFonts w:eastAsia="Arial"/>
        </w:rPr>
        <w:t>2019 VSL debt can only be determined for people who have fully repaid their debt. ATO data for the 2023</w:t>
      </w:r>
      <w:r w:rsidR="00B63FC6">
        <w:rPr>
          <w:rFonts w:eastAsia="Arial"/>
        </w:rPr>
        <w:noBreakHyphen/>
      </w:r>
      <w:r w:rsidRPr="00C055BF">
        <w:rPr>
          <w:rFonts w:eastAsia="Arial"/>
        </w:rPr>
        <w:t>24 period indicates the average time to repay a VSL debt in full is 2.1</w:t>
      </w:r>
      <w:r w:rsidR="000102C3" w:rsidRPr="005F6D17">
        <w:rPr>
          <w:rFonts w:eastAsia="Book Antiqua"/>
        </w:rPr>
        <w:t> </w:t>
      </w:r>
      <w:r w:rsidRPr="00C055BF">
        <w:rPr>
          <w:rFonts w:eastAsia="Arial"/>
        </w:rPr>
        <w:t>years.</w:t>
      </w:r>
    </w:p>
    <w:p w14:paraId="2D2AF1F6" w14:textId="0EA31983" w:rsidR="00C2142D" w:rsidRPr="00C055BF" w:rsidRDefault="00C2142D" w:rsidP="00C2142D">
      <w:pPr>
        <w:rPr>
          <w:rFonts w:eastAsia="Arial"/>
        </w:rPr>
      </w:pPr>
      <w:r w:rsidRPr="00C055BF">
        <w:rPr>
          <w:rFonts w:eastAsia="Arial"/>
        </w:rPr>
        <w:t>Prior to the commencement of the VSL Program, loans for VET students were available through the VET</w:t>
      </w:r>
      <w:r w:rsidR="00B63FC6">
        <w:rPr>
          <w:rFonts w:eastAsia="Arial"/>
        </w:rPr>
        <w:noBreakHyphen/>
      </w:r>
      <w:r w:rsidRPr="00C055BF">
        <w:rPr>
          <w:rFonts w:eastAsia="Arial"/>
        </w:rPr>
        <w:t>FEE HELP (VFH) scheme, which closed to new students on 31</w:t>
      </w:r>
      <w:r w:rsidR="000102C3" w:rsidRPr="005F6D17">
        <w:rPr>
          <w:rFonts w:eastAsia="Book Antiqua"/>
        </w:rPr>
        <w:t> </w:t>
      </w:r>
      <w:r w:rsidRPr="00C055BF">
        <w:rPr>
          <w:rFonts w:eastAsia="Arial"/>
        </w:rPr>
        <w:t>December</w:t>
      </w:r>
      <w:r w:rsidR="000102C3" w:rsidRPr="005F6D17">
        <w:rPr>
          <w:rFonts w:eastAsia="Book Antiqua"/>
        </w:rPr>
        <w:t> </w:t>
      </w:r>
      <w:r w:rsidRPr="00C055BF">
        <w:rPr>
          <w:rFonts w:eastAsia="Arial"/>
        </w:rPr>
        <w:t xml:space="preserve">2016. As </w:t>
      </w:r>
      <w:proofErr w:type="gramStart"/>
      <w:r w:rsidRPr="00C055BF">
        <w:rPr>
          <w:rFonts w:eastAsia="Arial"/>
        </w:rPr>
        <w:t>at</w:t>
      </w:r>
      <w:proofErr w:type="gramEnd"/>
      <w:r w:rsidRPr="00C055BF">
        <w:rPr>
          <w:rFonts w:eastAsia="Arial"/>
        </w:rPr>
        <w:t xml:space="preserve"> 30 June 2024, the fair value of both VFH debt and VSL debt outstanding is estimated to be $3.726 billion. The fair value </w:t>
      </w:r>
      <w:proofErr w:type="gramStart"/>
      <w:r w:rsidRPr="00C055BF">
        <w:rPr>
          <w:rFonts w:eastAsia="Arial"/>
        </w:rPr>
        <w:t>takes into account</w:t>
      </w:r>
      <w:proofErr w:type="gramEnd"/>
      <w:r w:rsidRPr="00C055BF">
        <w:rPr>
          <w:rFonts w:eastAsia="Arial"/>
        </w:rPr>
        <w:t xml:space="preserve"> the </w:t>
      </w:r>
      <w:proofErr w:type="spellStart"/>
      <w:r w:rsidRPr="00C055BF">
        <w:rPr>
          <w:rFonts w:eastAsia="Arial"/>
        </w:rPr>
        <w:t>concessionality</w:t>
      </w:r>
      <w:proofErr w:type="spellEnd"/>
      <w:r w:rsidRPr="00C055BF">
        <w:rPr>
          <w:rFonts w:eastAsia="Arial"/>
        </w:rPr>
        <w:t xml:space="preserve"> of VSL loans and makes an allowance for debt not expected to be repaid. </w:t>
      </w:r>
      <w:r w:rsidRPr="002A4F59">
        <w:rPr>
          <w:rFonts w:asciiTheme="minorHAnsi" w:eastAsia="Calibri" w:hAnsiTheme="minorHAnsi" w:cs="Arial"/>
          <w:szCs w:val="19"/>
          <w:lang w:eastAsia="en-US"/>
        </w:rPr>
        <w:t>The fair value does not yet include the impact of the 2024</w:t>
      </w:r>
      <w:r w:rsidR="005C4A9C">
        <w:rPr>
          <w:rFonts w:asciiTheme="minorHAnsi" w:eastAsia="Calibri" w:hAnsiTheme="minorHAnsi" w:cs="Arial"/>
          <w:szCs w:val="19"/>
          <w:lang w:eastAsia="en-US"/>
        </w:rPr>
        <w:t>–</w:t>
      </w:r>
      <w:r w:rsidRPr="002A4F59">
        <w:rPr>
          <w:rFonts w:asciiTheme="minorHAnsi" w:eastAsia="Calibri" w:hAnsiTheme="minorHAnsi" w:cs="Arial"/>
          <w:szCs w:val="19"/>
          <w:lang w:eastAsia="en-US"/>
        </w:rPr>
        <w:t xml:space="preserve">25 MYEFO measure </w:t>
      </w:r>
      <w:r w:rsidR="00974E48">
        <w:rPr>
          <w:rFonts w:asciiTheme="minorHAnsi" w:eastAsia="Calibri" w:hAnsiTheme="minorHAnsi" w:cs="Arial"/>
          <w:szCs w:val="19"/>
          <w:lang w:eastAsia="en-US"/>
        </w:rPr>
        <w:br/>
      </w:r>
      <w:r w:rsidRPr="000E20BD">
        <w:rPr>
          <w:rStyle w:val="Emphasis"/>
          <w:rFonts w:eastAsia="Calibri"/>
        </w:rPr>
        <w:t>Building Australia</w:t>
      </w:r>
      <w:r w:rsidR="00B63FC6">
        <w:rPr>
          <w:rStyle w:val="Emphasis"/>
          <w:rFonts w:eastAsia="Calibri"/>
        </w:rPr>
        <w:t>’</w:t>
      </w:r>
      <w:r w:rsidRPr="000E20BD">
        <w:rPr>
          <w:rStyle w:val="Emphasis"/>
          <w:rFonts w:eastAsia="Calibri"/>
        </w:rPr>
        <w:t>s Future</w:t>
      </w:r>
      <w:r w:rsidR="00CB3314" w:rsidRPr="000E20BD">
        <w:rPr>
          <w:rStyle w:val="Emphasis"/>
          <w:rFonts w:eastAsia="Calibri"/>
        </w:rPr>
        <w:t xml:space="preserve"> – </w:t>
      </w:r>
      <w:r w:rsidRPr="000E20BD">
        <w:rPr>
          <w:rStyle w:val="Emphasis"/>
          <w:rFonts w:eastAsia="Calibri"/>
        </w:rPr>
        <w:t>a fairer deal for students</w:t>
      </w:r>
      <w:r w:rsidRPr="002A4F59">
        <w:rPr>
          <w:rFonts w:asciiTheme="minorHAnsi" w:eastAsia="Calibri" w:hAnsiTheme="minorHAnsi" w:cs="Arial"/>
          <w:szCs w:val="19"/>
          <w:lang w:eastAsia="en-US"/>
        </w:rPr>
        <w:t>.</w:t>
      </w:r>
    </w:p>
    <w:p w14:paraId="63913CDD" w14:textId="77777777" w:rsidR="00C2142D" w:rsidRDefault="00C2142D" w:rsidP="00C2142D">
      <w:pPr>
        <w:rPr>
          <w:rFonts w:eastAsia="Arial"/>
        </w:rPr>
      </w:pPr>
      <w:r w:rsidRPr="00C055BF">
        <w:rPr>
          <w:rFonts w:eastAsia="Arial"/>
        </w:rPr>
        <w:lastRenderedPageBreak/>
        <w:t>To support students affected by the delayed transfer of historical VET loans, accessed under the former VFH scheme and the current VSL program, the Australian Government agreed to waive historical indexation for affected loans and the entirety of affected VFH debts for study prior to 2017.</w:t>
      </w:r>
    </w:p>
    <w:p w14:paraId="3BA0C712" w14:textId="77777777" w:rsidR="00054CCC" w:rsidRDefault="00054CCC" w:rsidP="00951AA3">
      <w:pPr>
        <w:pStyle w:val="Heading2"/>
        <w:rPr>
          <w:rFonts w:eastAsia="Arial"/>
        </w:rPr>
      </w:pPr>
      <w:r w:rsidRPr="00B832E0">
        <w:rPr>
          <w:rFonts w:eastAsia="Arial"/>
        </w:rPr>
        <w:t>Foreign Affairs and Trade</w:t>
      </w:r>
      <w:bookmarkEnd w:id="110"/>
      <w:bookmarkEnd w:id="119"/>
    </w:p>
    <w:p w14:paraId="2201DA3A" w14:textId="77777777" w:rsidR="00054CCC" w:rsidRDefault="00054CCC" w:rsidP="00951AA3">
      <w:pPr>
        <w:pStyle w:val="Heading3"/>
        <w:rPr>
          <w:rFonts w:eastAsia="Arial"/>
        </w:rPr>
      </w:pPr>
      <w:bookmarkStart w:id="120" w:name="_Toc184039512"/>
      <w:r>
        <w:rPr>
          <w:rFonts w:eastAsia="Arial"/>
        </w:rPr>
        <w:t xml:space="preserve">Government support for </w:t>
      </w:r>
      <w:proofErr w:type="spellStart"/>
      <w:r>
        <w:rPr>
          <w:rFonts w:eastAsia="Arial"/>
        </w:rPr>
        <w:t>PsiQuantum</w:t>
      </w:r>
      <w:proofErr w:type="spellEnd"/>
      <w:r>
        <w:rPr>
          <w:rFonts w:eastAsia="Arial"/>
        </w:rPr>
        <w:t xml:space="preserve"> Pty Ltd</w:t>
      </w:r>
      <w:bookmarkEnd w:id="120"/>
    </w:p>
    <w:p w14:paraId="33883460" w14:textId="518B18DD" w:rsidR="001C6FE4" w:rsidRPr="001C6FE4" w:rsidRDefault="001C6FE4" w:rsidP="001C6FE4">
      <w:pPr>
        <w:rPr>
          <w:rFonts w:eastAsia="Calibri"/>
          <w:lang w:eastAsia="en-US"/>
        </w:rPr>
      </w:pPr>
      <w:bookmarkStart w:id="121" w:name="_Hlk182825955"/>
      <w:bookmarkStart w:id="122" w:name="_Toc184039513"/>
      <w:bookmarkStart w:id="123" w:name="_Toc99141909"/>
      <w:r w:rsidRPr="001C6FE4">
        <w:rPr>
          <w:rFonts w:eastAsia="Calibri"/>
          <w:lang w:eastAsia="en-US"/>
        </w:rPr>
        <w:t>In the 2024</w:t>
      </w:r>
      <w:r w:rsidR="005C4A9C">
        <w:rPr>
          <w:rFonts w:eastAsia="Calibri"/>
          <w:lang w:eastAsia="en-US"/>
        </w:rPr>
        <w:t>–</w:t>
      </w:r>
      <w:r w:rsidRPr="001C6FE4">
        <w:rPr>
          <w:rFonts w:eastAsia="Calibri"/>
          <w:lang w:eastAsia="en-US"/>
        </w:rPr>
        <w:t xml:space="preserve">25 Budget, the Australian Government agreed to a financing package of equity and loans through Export Finance Australia on the National Interest Account to </w:t>
      </w:r>
      <w:proofErr w:type="spellStart"/>
      <w:r w:rsidRPr="001C6FE4">
        <w:rPr>
          <w:rFonts w:eastAsia="Calibri"/>
          <w:lang w:eastAsia="en-US"/>
        </w:rPr>
        <w:t>PsiQuantum</w:t>
      </w:r>
      <w:proofErr w:type="spellEnd"/>
      <w:r w:rsidRPr="001C6FE4">
        <w:rPr>
          <w:rFonts w:eastAsia="Calibri"/>
          <w:lang w:eastAsia="en-US"/>
        </w:rPr>
        <w:t xml:space="preserve"> Corporation and its wholly owned Australian subsidiary. This assistance is to support the construction and operation of quantum computing capabilities and associated investment in industry and research development in Brisbane. The package is part of a joint investment with the Queensland Government. As </w:t>
      </w:r>
      <w:proofErr w:type="gramStart"/>
      <w:r w:rsidRPr="001C6FE4">
        <w:rPr>
          <w:rFonts w:eastAsia="Calibri"/>
          <w:lang w:eastAsia="en-US"/>
        </w:rPr>
        <w:t>at</w:t>
      </w:r>
      <w:proofErr w:type="gramEnd"/>
      <w:r w:rsidRPr="001C6FE4">
        <w:rPr>
          <w:rFonts w:eastAsia="Calibri"/>
          <w:lang w:eastAsia="en-US"/>
        </w:rPr>
        <w:t xml:space="preserve"> 30 November 2024, the Australian Government has provided financing of US$125 million (A$188.3 million) with further loan funding of </w:t>
      </w:r>
      <w:r w:rsidR="00E24598" w:rsidRPr="00E24598">
        <w:rPr>
          <w:rFonts w:eastAsia="Calibri"/>
          <w:lang w:eastAsia="en-US"/>
        </w:rPr>
        <w:t>A$</w:t>
      </w:r>
      <w:r w:rsidRPr="00E24598">
        <w:rPr>
          <w:rFonts w:eastAsia="Calibri"/>
          <w:lang w:eastAsia="en-US"/>
        </w:rPr>
        <w:t xml:space="preserve">275.0 </w:t>
      </w:r>
      <w:bookmarkEnd w:id="121"/>
      <w:r w:rsidRPr="001C6FE4">
        <w:rPr>
          <w:rFonts w:eastAsia="Calibri"/>
          <w:lang w:eastAsia="en-US"/>
        </w:rPr>
        <w:t>million still to be drawn down.</w:t>
      </w:r>
    </w:p>
    <w:p w14:paraId="3C65EACB" w14:textId="5F920D81" w:rsidR="00994DC2" w:rsidRPr="00994DC2" w:rsidRDefault="00994DC2" w:rsidP="00951AA3">
      <w:pPr>
        <w:pStyle w:val="Heading3"/>
        <w:rPr>
          <w:rFonts w:eastAsia="Arial"/>
        </w:rPr>
      </w:pPr>
      <w:r w:rsidRPr="00994DC2">
        <w:rPr>
          <w:rFonts w:eastAsia="Arial"/>
        </w:rPr>
        <w:t>Telstra acquisition of Digicel Pacific</w:t>
      </w:r>
      <w:bookmarkEnd w:id="122"/>
      <w:r w:rsidRPr="00994DC2">
        <w:rPr>
          <w:rFonts w:eastAsia="Arial"/>
        </w:rPr>
        <w:t xml:space="preserve"> </w:t>
      </w:r>
    </w:p>
    <w:p w14:paraId="344E56D5" w14:textId="1138790C" w:rsidR="00994DC2" w:rsidRDefault="00994DC2" w:rsidP="0093000B">
      <w:pPr>
        <w:rPr>
          <w:rFonts w:eastAsia="Calibri"/>
          <w:lang w:eastAsia="en-US"/>
        </w:rPr>
      </w:pPr>
      <w:r w:rsidRPr="00994DC2">
        <w:rPr>
          <w:rFonts w:eastAsia="Calibri"/>
          <w:lang w:eastAsia="en-US"/>
        </w:rPr>
        <w:t>The Australian Government provided Telstra a financing package through Export Finance Australia for Telstra</w:t>
      </w:r>
      <w:r w:rsidR="00B63FC6">
        <w:rPr>
          <w:rFonts w:eastAsia="Calibri"/>
          <w:lang w:eastAsia="en-US"/>
        </w:rPr>
        <w:t>’</w:t>
      </w:r>
      <w:r w:rsidRPr="00994DC2">
        <w:rPr>
          <w:rFonts w:eastAsia="Calibri"/>
          <w:lang w:eastAsia="en-US"/>
        </w:rPr>
        <w:t>s acquisition of Digicel Pacific. Telstra now owns and operates Digicel Pacific. This package includes debt and equity, including securities designed to secure the Government a long</w:t>
      </w:r>
      <w:r w:rsidR="00B63FC6">
        <w:rPr>
          <w:rFonts w:eastAsia="Calibri"/>
          <w:lang w:eastAsia="en-US"/>
        </w:rPr>
        <w:noBreakHyphen/>
      </w:r>
      <w:r w:rsidRPr="00994DC2">
        <w:rPr>
          <w:rFonts w:eastAsia="Calibri"/>
          <w:lang w:eastAsia="en-US"/>
        </w:rPr>
        <w:t>term return. A</w:t>
      </w:r>
      <w:bookmarkStart w:id="124" w:name="_Hlk178861257"/>
      <w:r w:rsidRPr="00994DC2">
        <w:rPr>
          <w:rFonts w:eastAsia="Calibri"/>
          <w:lang w:eastAsia="en-US"/>
        </w:rPr>
        <w:t xml:space="preserve">s </w:t>
      </w:r>
      <w:proofErr w:type="gramStart"/>
      <w:r w:rsidRPr="00994DC2">
        <w:rPr>
          <w:rFonts w:eastAsia="Calibri"/>
          <w:lang w:eastAsia="en-US"/>
        </w:rPr>
        <w:t>at</w:t>
      </w:r>
      <w:proofErr w:type="gramEnd"/>
      <w:r w:rsidRPr="00994DC2">
        <w:rPr>
          <w:rFonts w:eastAsia="Calibri"/>
          <w:lang w:eastAsia="en-US"/>
        </w:rPr>
        <w:t xml:space="preserve"> 30 June 2024, US$1.4</w:t>
      </w:r>
      <w:r w:rsidR="002E6F0C">
        <w:rPr>
          <w:rFonts w:eastAsia="Calibri"/>
          <w:lang w:eastAsia="en-US"/>
        </w:rPr>
        <w:t> billion</w:t>
      </w:r>
      <w:r w:rsidRPr="00994DC2">
        <w:rPr>
          <w:rFonts w:eastAsia="Calibri"/>
          <w:lang w:eastAsia="en-US"/>
        </w:rPr>
        <w:t xml:space="preserve"> (A$2.2</w:t>
      </w:r>
      <w:r w:rsidR="002E6F0C">
        <w:rPr>
          <w:rFonts w:eastAsia="Calibri"/>
          <w:lang w:eastAsia="en-US"/>
        </w:rPr>
        <w:t> billion</w:t>
      </w:r>
      <w:r w:rsidRPr="00994DC2">
        <w:rPr>
          <w:rFonts w:eastAsia="Calibri"/>
          <w:lang w:eastAsia="en-US"/>
        </w:rPr>
        <w:t>) in funds</w:t>
      </w:r>
      <w:bookmarkEnd w:id="124"/>
      <w:r w:rsidRPr="00994DC2">
        <w:rPr>
          <w:rFonts w:eastAsia="Calibri"/>
          <w:lang w:eastAsia="en-US"/>
        </w:rPr>
        <w:t xml:space="preserve"> are outstanding.</w:t>
      </w:r>
    </w:p>
    <w:p w14:paraId="60192DAE" w14:textId="77777777" w:rsidR="009744DB" w:rsidRPr="009744DB" w:rsidRDefault="009744DB" w:rsidP="00951AA3">
      <w:pPr>
        <w:pStyle w:val="Heading2"/>
        <w:rPr>
          <w:rFonts w:eastAsia="Arial"/>
        </w:rPr>
      </w:pPr>
      <w:bookmarkStart w:id="125" w:name="_Toc184039514"/>
      <w:r w:rsidRPr="009744DB">
        <w:rPr>
          <w:rFonts w:eastAsia="Arial"/>
        </w:rPr>
        <w:t xml:space="preserve">Infrastructure, Transport, Regional Development, </w:t>
      </w:r>
      <w:proofErr w:type="gramStart"/>
      <w:r w:rsidRPr="009744DB">
        <w:rPr>
          <w:rFonts w:eastAsia="Arial"/>
        </w:rPr>
        <w:t>Communications</w:t>
      </w:r>
      <w:proofErr w:type="gramEnd"/>
      <w:r w:rsidRPr="009744DB">
        <w:rPr>
          <w:rFonts w:eastAsia="Arial"/>
        </w:rPr>
        <w:t xml:space="preserve"> and the Arts</w:t>
      </w:r>
      <w:bookmarkEnd w:id="125"/>
    </w:p>
    <w:p w14:paraId="40FA6632" w14:textId="63DB09F5" w:rsidR="009744DB" w:rsidRPr="009744DB" w:rsidRDefault="009744DB" w:rsidP="00951AA3">
      <w:pPr>
        <w:pStyle w:val="Heading3"/>
        <w:rPr>
          <w:rFonts w:eastAsia="Arial"/>
        </w:rPr>
      </w:pPr>
      <w:bookmarkStart w:id="126" w:name="_Toc184039515"/>
      <w:r w:rsidRPr="009744DB">
        <w:rPr>
          <w:rFonts w:eastAsia="Arial"/>
        </w:rPr>
        <w:t>Northern Australia Infrastructure Facility Loans</w:t>
      </w:r>
      <w:bookmarkEnd w:id="126"/>
    </w:p>
    <w:p w14:paraId="612F5AE9" w14:textId="05173E9F" w:rsidR="009744DB" w:rsidRPr="009744DB" w:rsidRDefault="009744DB" w:rsidP="00B5088C">
      <w:pPr>
        <w:rPr>
          <w:rFonts w:eastAsia="Calibri"/>
          <w:lang w:eastAsia="en-US"/>
        </w:rPr>
      </w:pPr>
      <w:r w:rsidRPr="009744DB">
        <w:rPr>
          <w:rFonts w:eastAsia="Calibri"/>
          <w:lang w:eastAsia="en-US"/>
        </w:rPr>
        <w:t xml:space="preserve">The Northern Australia Infrastructure Facility (NAIF) is a lending facility established by the Australian Government under the </w:t>
      </w:r>
      <w:r w:rsidRPr="002E6F0C">
        <w:rPr>
          <w:rStyle w:val="Emphasis"/>
          <w:rFonts w:eastAsia="Calibri"/>
        </w:rPr>
        <w:t>Northern Australia Infrastructure Facility Act</w:t>
      </w:r>
      <w:r w:rsidR="002E6F0C">
        <w:rPr>
          <w:rStyle w:val="Emphasis"/>
          <w:rFonts w:eastAsia="Calibri"/>
        </w:rPr>
        <w:t> </w:t>
      </w:r>
      <w:r w:rsidRPr="002E6F0C">
        <w:rPr>
          <w:rStyle w:val="Emphasis"/>
          <w:rFonts w:eastAsia="Calibri"/>
        </w:rPr>
        <w:t>2016</w:t>
      </w:r>
      <w:r w:rsidRPr="009744DB">
        <w:rPr>
          <w:rFonts w:eastAsia="Calibri"/>
          <w:lang w:eastAsia="en-US"/>
        </w:rPr>
        <w:t xml:space="preserve"> and will continue to make investment decisions until 30 June 2026. The primary purpose of the NAIF is to provide loans or alternative financing mechanisms to infrastructure projects. The infrastructure that NAIF can finance is wide ranging and includes assets that facilitate the establishment or enhancement of business activity or increase economic activity in a region. </w:t>
      </w:r>
    </w:p>
    <w:p w14:paraId="70BF992C" w14:textId="1652AC42" w:rsidR="009744DB" w:rsidRPr="009744DB" w:rsidRDefault="009744DB" w:rsidP="001B5331">
      <w:pPr>
        <w:rPr>
          <w:rFonts w:eastAsia="Calibri"/>
          <w:lang w:eastAsia="en-US"/>
        </w:rPr>
      </w:pPr>
      <w:r w:rsidRPr="009744DB">
        <w:rPr>
          <w:rFonts w:eastAsia="Calibri"/>
          <w:lang w:eastAsia="en-US"/>
        </w:rPr>
        <w:t>To be eligible for a loan from the NAIF, including up to 100</w:t>
      </w:r>
      <w:r w:rsidR="002E6F0C">
        <w:rPr>
          <w:rFonts w:eastAsia="Calibri"/>
          <w:lang w:eastAsia="en-US"/>
        </w:rPr>
        <w:t> per cent</w:t>
      </w:r>
      <w:r w:rsidRPr="009744DB">
        <w:rPr>
          <w:rFonts w:eastAsia="Calibri"/>
          <w:lang w:eastAsia="en-US"/>
        </w:rPr>
        <w:t xml:space="preserve"> of the project</w:t>
      </w:r>
      <w:r w:rsidR="00B63FC6">
        <w:rPr>
          <w:rFonts w:eastAsia="Calibri"/>
          <w:lang w:eastAsia="en-US"/>
        </w:rPr>
        <w:t>’</w:t>
      </w:r>
      <w:r w:rsidRPr="009744DB">
        <w:rPr>
          <w:rFonts w:eastAsia="Calibri"/>
          <w:lang w:eastAsia="en-US"/>
        </w:rPr>
        <w:t xml:space="preserve">s debt, project proponents must meet the mandatory criteria outlined in the NAIF Investment Mandate that commenced on 15 December 2023. Since its establishment, the NAIF has been amended to: </w:t>
      </w:r>
    </w:p>
    <w:p w14:paraId="016428D8" w14:textId="0F1802C9" w:rsidR="009744DB" w:rsidRPr="009744DB" w:rsidRDefault="009744DB" w:rsidP="00B5088C">
      <w:pPr>
        <w:pStyle w:val="Bullet"/>
        <w:rPr>
          <w:rFonts w:eastAsia="Calibri"/>
          <w:lang w:eastAsia="en-US"/>
        </w:rPr>
      </w:pPr>
      <w:r w:rsidRPr="009744DB">
        <w:rPr>
          <w:rFonts w:eastAsia="Calibri"/>
          <w:lang w:eastAsia="en-US"/>
        </w:rPr>
        <w:t>expand the eligibility for NAIF financing to include non</w:t>
      </w:r>
      <w:r w:rsidR="00B63FC6">
        <w:rPr>
          <w:rFonts w:eastAsia="Calibri"/>
          <w:lang w:eastAsia="en-US"/>
        </w:rPr>
        <w:noBreakHyphen/>
      </w:r>
      <w:r w:rsidRPr="009744DB">
        <w:rPr>
          <w:rFonts w:eastAsia="Calibri"/>
          <w:lang w:eastAsia="en-US"/>
        </w:rPr>
        <w:t xml:space="preserve">construction activities associated with the development of economic </w:t>
      </w:r>
      <w:proofErr w:type="gramStart"/>
      <w:r w:rsidRPr="009744DB">
        <w:rPr>
          <w:rFonts w:eastAsia="Calibri"/>
          <w:lang w:eastAsia="en-US"/>
        </w:rPr>
        <w:t>infrastructure</w:t>
      </w:r>
      <w:proofErr w:type="gramEnd"/>
      <w:r w:rsidRPr="009744DB">
        <w:rPr>
          <w:rFonts w:eastAsia="Calibri"/>
          <w:lang w:eastAsia="en-US"/>
        </w:rPr>
        <w:t xml:space="preserve"> </w:t>
      </w:r>
    </w:p>
    <w:p w14:paraId="7A7FA3AF" w14:textId="77777777" w:rsidR="009744DB" w:rsidRPr="009744DB" w:rsidRDefault="009744DB" w:rsidP="00B5088C">
      <w:pPr>
        <w:pStyle w:val="Bullet"/>
        <w:rPr>
          <w:rFonts w:eastAsia="Calibri"/>
          <w:lang w:eastAsia="en-US"/>
        </w:rPr>
      </w:pPr>
      <w:r w:rsidRPr="009744DB">
        <w:rPr>
          <w:rFonts w:eastAsia="Calibri"/>
          <w:lang w:eastAsia="en-US"/>
        </w:rPr>
        <w:lastRenderedPageBreak/>
        <w:t xml:space="preserve">provide NAIF with expanded debt tools, including the ability to provide letters of credit, guarantees and lend in foreign currency, finance smaller loans through working with financing partnerships, and in certain circumstances provide financing directly to proponents rather than via the States or Northern Territory </w:t>
      </w:r>
    </w:p>
    <w:p w14:paraId="0DB759C7" w14:textId="6533A10F" w:rsidR="009744DB" w:rsidRPr="009744DB" w:rsidRDefault="009744DB" w:rsidP="008D70C6">
      <w:pPr>
        <w:pStyle w:val="Bullet"/>
        <w:rPr>
          <w:rFonts w:eastAsia="Calibri"/>
          <w:lang w:eastAsia="en-US"/>
        </w:rPr>
      </w:pPr>
      <w:r w:rsidRPr="009744DB">
        <w:rPr>
          <w:rFonts w:eastAsia="Calibri"/>
          <w:lang w:eastAsia="en-US"/>
        </w:rPr>
        <w:t>make equity investments subject to a cap of $50</w:t>
      </w:r>
      <w:r w:rsidR="002E6F0C">
        <w:rPr>
          <w:rFonts w:eastAsia="Calibri"/>
          <w:lang w:eastAsia="en-US"/>
        </w:rPr>
        <w:t> million</w:t>
      </w:r>
      <w:r w:rsidRPr="009744DB">
        <w:rPr>
          <w:rFonts w:eastAsia="Calibri"/>
          <w:lang w:eastAsia="en-US"/>
        </w:rPr>
        <w:t xml:space="preserve"> and a minimum of $5</w:t>
      </w:r>
      <w:r w:rsidR="002E6F0C">
        <w:rPr>
          <w:rFonts w:eastAsia="Calibri"/>
          <w:lang w:eastAsia="en-US"/>
        </w:rPr>
        <w:t> million</w:t>
      </w:r>
      <w:r w:rsidRPr="009744DB">
        <w:rPr>
          <w:rFonts w:eastAsia="Calibri"/>
          <w:lang w:eastAsia="en-US"/>
        </w:rPr>
        <w:t xml:space="preserve"> per investment, for non</w:t>
      </w:r>
      <w:r w:rsidR="00B63FC6">
        <w:rPr>
          <w:rFonts w:eastAsia="Calibri"/>
          <w:lang w:eastAsia="en-US"/>
        </w:rPr>
        <w:noBreakHyphen/>
      </w:r>
      <w:r w:rsidRPr="009744DB">
        <w:rPr>
          <w:rFonts w:eastAsia="Calibri"/>
          <w:lang w:eastAsia="en-US"/>
        </w:rPr>
        <w:t xml:space="preserve">controlling </w:t>
      </w:r>
      <w:proofErr w:type="gramStart"/>
      <w:r w:rsidRPr="009744DB">
        <w:rPr>
          <w:rFonts w:eastAsia="Calibri"/>
          <w:lang w:eastAsia="en-US"/>
        </w:rPr>
        <w:t>interest</w:t>
      </w:r>
      <w:proofErr w:type="gramEnd"/>
      <w:r w:rsidRPr="009744DB">
        <w:rPr>
          <w:rFonts w:eastAsia="Calibri"/>
          <w:lang w:eastAsia="en-US"/>
        </w:rPr>
        <w:t xml:space="preserve"> </w:t>
      </w:r>
    </w:p>
    <w:p w14:paraId="4DFBE735" w14:textId="77777777" w:rsidR="009744DB" w:rsidRPr="009744DB" w:rsidRDefault="009744DB" w:rsidP="008D70C6">
      <w:pPr>
        <w:pStyle w:val="Bullet"/>
        <w:rPr>
          <w:rFonts w:eastAsia="Calibri"/>
          <w:lang w:eastAsia="en-US"/>
        </w:rPr>
      </w:pPr>
      <w:r w:rsidRPr="009744DB">
        <w:rPr>
          <w:rFonts w:eastAsia="Calibri"/>
          <w:lang w:eastAsia="en-US"/>
        </w:rPr>
        <w:t xml:space="preserve">enhance the potential to deliver significant public benefit to northern Australia by removing the prohibition against the Australian Government assuming the majority risk in any project. The new requirement is that the financial risk be acceptable but not </w:t>
      </w:r>
      <w:proofErr w:type="gramStart"/>
      <w:r w:rsidRPr="009744DB">
        <w:rPr>
          <w:rFonts w:eastAsia="Calibri"/>
          <w:lang w:eastAsia="en-US"/>
        </w:rPr>
        <w:t>excessive</w:t>
      </w:r>
      <w:proofErr w:type="gramEnd"/>
      <w:r w:rsidRPr="009744DB">
        <w:rPr>
          <w:rFonts w:eastAsia="Calibri"/>
          <w:lang w:eastAsia="en-US"/>
        </w:rPr>
        <w:t xml:space="preserve"> </w:t>
      </w:r>
    </w:p>
    <w:p w14:paraId="53E1B3C5" w14:textId="331A7E5D" w:rsidR="009744DB" w:rsidRPr="009744DB" w:rsidRDefault="009744DB" w:rsidP="008D70C6">
      <w:pPr>
        <w:pStyle w:val="Bullet"/>
        <w:rPr>
          <w:rFonts w:eastAsia="Calibri"/>
          <w:lang w:eastAsia="en-US"/>
        </w:rPr>
      </w:pPr>
      <w:r w:rsidRPr="009744DB">
        <w:rPr>
          <w:rFonts w:eastAsia="Calibri"/>
          <w:lang w:eastAsia="en-US"/>
        </w:rPr>
        <w:t>legislate the requirement to earmark $500</w:t>
      </w:r>
      <w:r w:rsidR="002E6F0C">
        <w:rPr>
          <w:rFonts w:eastAsia="Calibri"/>
          <w:lang w:eastAsia="en-US"/>
        </w:rPr>
        <w:t> million</w:t>
      </w:r>
      <w:r w:rsidRPr="009744DB">
        <w:rPr>
          <w:rFonts w:eastAsia="Calibri"/>
          <w:lang w:eastAsia="en-US"/>
        </w:rPr>
        <w:t xml:space="preserve"> of its $7</w:t>
      </w:r>
      <w:r w:rsidR="002E6F0C">
        <w:rPr>
          <w:rFonts w:eastAsia="Calibri"/>
          <w:lang w:eastAsia="en-US"/>
        </w:rPr>
        <w:t> billion</w:t>
      </w:r>
      <w:r w:rsidRPr="009744DB">
        <w:rPr>
          <w:rFonts w:eastAsia="Calibri"/>
          <w:lang w:eastAsia="en-US"/>
        </w:rPr>
        <w:t xml:space="preserve"> appropriation to go towards realising the Government</w:t>
      </w:r>
      <w:r w:rsidR="00B63FC6">
        <w:rPr>
          <w:rFonts w:eastAsia="Calibri"/>
          <w:lang w:eastAsia="en-US"/>
        </w:rPr>
        <w:t>’</w:t>
      </w:r>
      <w:r w:rsidRPr="009744DB">
        <w:rPr>
          <w:rFonts w:eastAsia="Calibri"/>
          <w:lang w:eastAsia="en-US"/>
        </w:rPr>
        <w:t xml:space="preserve">s Critical Minerals Strategy and create alignment of investment decisions to Government Policy Priorities </w:t>
      </w:r>
    </w:p>
    <w:p w14:paraId="14BA6C67" w14:textId="1AD9E938" w:rsidR="009744DB" w:rsidRPr="009744DB" w:rsidRDefault="009744DB" w:rsidP="008D70C6">
      <w:pPr>
        <w:pStyle w:val="Bullet"/>
        <w:rPr>
          <w:rFonts w:eastAsia="Calibri"/>
          <w:lang w:eastAsia="en-US"/>
        </w:rPr>
      </w:pPr>
      <w:r w:rsidRPr="009744DB">
        <w:rPr>
          <w:rFonts w:eastAsia="Calibri"/>
          <w:lang w:eastAsia="en-US"/>
        </w:rPr>
        <w:t>add further areas to be considered as part of NAIF</w:t>
      </w:r>
      <w:r w:rsidR="00B63FC6">
        <w:rPr>
          <w:rFonts w:eastAsia="Calibri"/>
          <w:lang w:eastAsia="en-US"/>
        </w:rPr>
        <w:t>’</w:t>
      </w:r>
      <w:r w:rsidRPr="009744DB">
        <w:rPr>
          <w:rFonts w:eastAsia="Calibri"/>
          <w:lang w:eastAsia="en-US"/>
        </w:rPr>
        <w:t xml:space="preserve">s Risk Appetite Statement – including risk sharing between NAIF and the Australian Government, climate change related risks and net zero transition </w:t>
      </w:r>
      <w:proofErr w:type="gramStart"/>
      <w:r w:rsidRPr="009744DB">
        <w:rPr>
          <w:rFonts w:eastAsia="Calibri"/>
          <w:lang w:eastAsia="en-US"/>
        </w:rPr>
        <w:t>risks</w:t>
      </w:r>
      <w:proofErr w:type="gramEnd"/>
      <w:r w:rsidRPr="009744DB">
        <w:rPr>
          <w:rFonts w:eastAsia="Calibri"/>
          <w:lang w:eastAsia="en-US"/>
        </w:rPr>
        <w:t xml:space="preserve"> </w:t>
      </w:r>
    </w:p>
    <w:p w14:paraId="4EDD6B1B" w14:textId="61A44737" w:rsidR="009744DB" w:rsidRPr="009744DB" w:rsidRDefault="009744DB" w:rsidP="008D70C6">
      <w:pPr>
        <w:pStyle w:val="Bullet"/>
        <w:rPr>
          <w:rFonts w:eastAsia="Calibri"/>
          <w:lang w:eastAsia="en-US"/>
        </w:rPr>
      </w:pPr>
      <w:r w:rsidRPr="009744DB">
        <w:rPr>
          <w:rFonts w:eastAsia="Calibri"/>
          <w:lang w:eastAsia="en-US"/>
        </w:rPr>
        <w:t>extend NAIF</w:t>
      </w:r>
      <w:r w:rsidR="00B63FC6">
        <w:rPr>
          <w:rFonts w:eastAsia="Calibri"/>
          <w:lang w:eastAsia="en-US"/>
        </w:rPr>
        <w:t>’</w:t>
      </w:r>
      <w:r w:rsidRPr="009744DB">
        <w:rPr>
          <w:rFonts w:eastAsia="Calibri"/>
          <w:lang w:eastAsia="en-US"/>
        </w:rPr>
        <w:t xml:space="preserve">s internal and external reporting on </w:t>
      </w:r>
      <w:proofErr w:type="gramStart"/>
      <w:r w:rsidRPr="009744DB">
        <w:rPr>
          <w:rFonts w:eastAsia="Calibri"/>
          <w:lang w:eastAsia="en-US"/>
        </w:rPr>
        <w:t>investments</w:t>
      </w:r>
      <w:proofErr w:type="gramEnd"/>
      <w:r w:rsidRPr="009744DB">
        <w:rPr>
          <w:rFonts w:eastAsia="Calibri"/>
          <w:lang w:eastAsia="en-US"/>
        </w:rPr>
        <w:t xml:space="preserve"> </w:t>
      </w:r>
    </w:p>
    <w:p w14:paraId="1F62D3C9" w14:textId="77777777" w:rsidR="009744DB" w:rsidRPr="009744DB" w:rsidRDefault="009744DB" w:rsidP="008D70C6">
      <w:pPr>
        <w:pStyle w:val="Bullet"/>
        <w:rPr>
          <w:rFonts w:eastAsia="Calibri"/>
          <w:lang w:eastAsia="en-US"/>
        </w:rPr>
      </w:pPr>
      <w:r w:rsidRPr="009744DB">
        <w:rPr>
          <w:rFonts w:eastAsia="Calibri"/>
          <w:lang w:eastAsia="en-US"/>
        </w:rPr>
        <w:t xml:space="preserve">further tighten NAIFs Direct Financing powers and a greater emphasis on consulting/collaborating with other Commonwealth entities/Specialist Investment Vehicles. </w:t>
      </w:r>
    </w:p>
    <w:p w14:paraId="2D638BDB" w14:textId="77777777" w:rsidR="009744DB" w:rsidRPr="009744DB" w:rsidRDefault="009744DB" w:rsidP="0083632D">
      <w:pPr>
        <w:rPr>
          <w:rFonts w:eastAsia="Calibri"/>
          <w:lang w:eastAsia="en-US"/>
        </w:rPr>
      </w:pPr>
      <w:r w:rsidRPr="009744DB">
        <w:rPr>
          <w:rFonts w:eastAsia="Calibri"/>
          <w:lang w:eastAsia="en-US"/>
        </w:rPr>
        <w:t>The Australian Government updated the Investment Mandate to give effect to these changes.</w:t>
      </w:r>
    </w:p>
    <w:p w14:paraId="5EF90F1F" w14:textId="6519D7A4" w:rsidR="009744DB" w:rsidRPr="003E27C4" w:rsidRDefault="009744DB" w:rsidP="00541565">
      <w:pPr>
        <w:pStyle w:val="Heading3"/>
        <w:rPr>
          <w:rFonts w:eastAsia="Arial"/>
          <w:lang w:eastAsia="en-US"/>
        </w:rPr>
      </w:pPr>
      <w:bookmarkStart w:id="127" w:name="_Toc184039516"/>
      <w:r w:rsidRPr="003E27C4">
        <w:rPr>
          <w:rFonts w:eastAsia="Arial"/>
          <w:lang w:eastAsia="en-US"/>
        </w:rPr>
        <w:t>WestConnex Stage 2 Concessional Loan</w:t>
      </w:r>
      <w:bookmarkEnd w:id="127"/>
    </w:p>
    <w:p w14:paraId="13C60BCE" w14:textId="0867CB50" w:rsidR="009744DB" w:rsidRPr="007F7E9F" w:rsidRDefault="009744DB" w:rsidP="00AD5DB2">
      <w:pPr>
        <w:rPr>
          <w:rFonts w:eastAsia="Calibri"/>
          <w:lang w:eastAsia="en-US"/>
        </w:rPr>
      </w:pPr>
      <w:r w:rsidRPr="007F7E9F">
        <w:rPr>
          <w:rFonts w:eastAsia="Calibri"/>
          <w:lang w:eastAsia="en-US"/>
        </w:rPr>
        <w:t>The WestConnex concessional loan is a $2</w:t>
      </w:r>
      <w:r w:rsidR="002E6F0C">
        <w:rPr>
          <w:rFonts w:eastAsia="Calibri"/>
          <w:lang w:eastAsia="en-US"/>
        </w:rPr>
        <w:t> billion</w:t>
      </w:r>
      <w:r w:rsidRPr="007F7E9F">
        <w:rPr>
          <w:rFonts w:eastAsia="Calibri"/>
          <w:lang w:eastAsia="en-US"/>
        </w:rPr>
        <w:t xml:space="preserve"> loan facility provided to deliver WestConnex Stage 2. The concessional loan enabled Stage 2 to be brought forward, allowing Stages 1 and 2 to proceed in parallel. This resulted in significant time savings compared to the original approach where these stages progressed in sequence. </w:t>
      </w:r>
    </w:p>
    <w:p w14:paraId="2FBF94C2" w14:textId="619BF070" w:rsidR="009744DB" w:rsidRPr="007F7E9F" w:rsidRDefault="009744DB" w:rsidP="00AD5DB2">
      <w:pPr>
        <w:rPr>
          <w:rFonts w:eastAsia="Calibri"/>
          <w:lang w:eastAsia="en-US"/>
        </w:rPr>
      </w:pPr>
      <w:r w:rsidRPr="007F7E9F">
        <w:rPr>
          <w:rFonts w:eastAsia="Calibri"/>
          <w:lang w:eastAsia="en-US"/>
        </w:rPr>
        <w:t>WestConnex Stage 2 includes the King Georges Road Interchange Upgrade (completed in 2016) and construction of new twin tunnels from Kingsgrove to a new St Peters interchange, providing motorway connections to Alexandria and Mascot, the M4</w:t>
      </w:r>
      <w:r w:rsidR="00B63FC6">
        <w:rPr>
          <w:rFonts w:eastAsia="Calibri"/>
          <w:lang w:eastAsia="en-US"/>
        </w:rPr>
        <w:noBreakHyphen/>
      </w:r>
      <w:r w:rsidRPr="007F7E9F">
        <w:rPr>
          <w:rFonts w:eastAsia="Calibri"/>
          <w:lang w:eastAsia="en-US"/>
        </w:rPr>
        <w:t xml:space="preserve">M5 Link (completed in January 2023) and the future Sydney Gateway. </w:t>
      </w:r>
    </w:p>
    <w:p w14:paraId="4AB4C6BB" w14:textId="4DBE1694" w:rsidR="009744DB" w:rsidRPr="00994DC2" w:rsidRDefault="009744DB" w:rsidP="008D70C6">
      <w:pPr>
        <w:rPr>
          <w:rFonts w:eastAsia="Calibri"/>
          <w:lang w:eastAsia="en-US"/>
        </w:rPr>
      </w:pPr>
      <w:r w:rsidRPr="007F7E9F">
        <w:rPr>
          <w:rFonts w:eastAsia="Calibri"/>
          <w:lang w:eastAsia="en-US"/>
        </w:rPr>
        <w:t>The concessional loan agreement requires that the loan be repaid between September</w:t>
      </w:r>
      <w:r w:rsidR="002E6F0C">
        <w:rPr>
          <w:rFonts w:eastAsia="Calibri"/>
          <w:lang w:eastAsia="en-US"/>
        </w:rPr>
        <w:t> </w:t>
      </w:r>
      <w:r w:rsidRPr="007F7E9F">
        <w:rPr>
          <w:rFonts w:eastAsia="Calibri"/>
          <w:lang w:eastAsia="en-US"/>
        </w:rPr>
        <w:t>2029</w:t>
      </w:r>
      <w:r w:rsidR="008D70C6">
        <w:rPr>
          <w:rFonts w:eastAsia="Calibri"/>
          <w:lang w:eastAsia="en-US"/>
        </w:rPr>
        <w:t> </w:t>
      </w:r>
      <w:r w:rsidRPr="007F7E9F">
        <w:rPr>
          <w:rFonts w:eastAsia="Calibri"/>
          <w:lang w:eastAsia="en-US"/>
        </w:rPr>
        <w:t>and July 2034.</w:t>
      </w:r>
    </w:p>
    <w:p w14:paraId="1F290388" w14:textId="77777777" w:rsidR="00054CCC" w:rsidRPr="00B832E0" w:rsidRDefault="00054CCC" w:rsidP="00847FBA">
      <w:pPr>
        <w:pStyle w:val="Heading2"/>
        <w:rPr>
          <w:rFonts w:eastAsia="Arial"/>
        </w:rPr>
      </w:pPr>
      <w:bookmarkStart w:id="128" w:name="_Toc184039517"/>
      <w:r w:rsidRPr="00B832E0">
        <w:rPr>
          <w:rFonts w:eastAsia="Arial"/>
        </w:rPr>
        <w:lastRenderedPageBreak/>
        <w:t>Prime Minister and Cabinet</w:t>
      </w:r>
      <w:bookmarkEnd w:id="123"/>
      <w:bookmarkEnd w:id="128"/>
    </w:p>
    <w:p w14:paraId="6DEB2562" w14:textId="1FD128F2" w:rsidR="00F90503" w:rsidRPr="00F90503" w:rsidRDefault="00F90503" w:rsidP="00847FBA">
      <w:pPr>
        <w:pStyle w:val="Heading3"/>
        <w:rPr>
          <w:rFonts w:eastAsia="Arial"/>
        </w:rPr>
      </w:pPr>
      <w:bookmarkStart w:id="129" w:name="_Toc184039518"/>
      <w:r w:rsidRPr="00F90503">
        <w:rPr>
          <w:rFonts w:eastAsia="Arial"/>
        </w:rPr>
        <w:t>Indigenous home ownership, business development and assistance</w:t>
      </w:r>
      <w:bookmarkEnd w:id="129"/>
      <w:r w:rsidRPr="00F90503">
        <w:rPr>
          <w:rFonts w:eastAsia="Arial"/>
        </w:rPr>
        <w:t xml:space="preserve"> </w:t>
      </w:r>
    </w:p>
    <w:p w14:paraId="71061749" w14:textId="317BBE48" w:rsidR="00F90503" w:rsidRPr="00F90503" w:rsidRDefault="00F90503" w:rsidP="003D2218">
      <w:pPr>
        <w:rPr>
          <w:rFonts w:eastAsia="Calibri"/>
          <w:lang w:eastAsia="en-US"/>
        </w:rPr>
      </w:pPr>
      <w:r w:rsidRPr="00F90503">
        <w:rPr>
          <w:rFonts w:eastAsia="Calibri"/>
          <w:lang w:eastAsia="en-US"/>
        </w:rPr>
        <w:t>Indigenous Business Australia delivers flexible loans with concessional interest rates to improve Indigenous home ownership across Australia, including in remote Indigenous communities. Indigenous Business Australia also provides concessional interest rate business loans and business support to increase Indigenous ownership of small</w:t>
      </w:r>
      <w:r w:rsidR="00B63FC6">
        <w:rPr>
          <w:rFonts w:eastAsia="Calibri"/>
          <w:lang w:eastAsia="en-US"/>
        </w:rPr>
        <w:noBreakHyphen/>
      </w:r>
      <w:r w:rsidRPr="00F90503">
        <w:rPr>
          <w:rFonts w:eastAsia="Calibri"/>
          <w:lang w:eastAsia="en-US"/>
        </w:rPr>
        <w:t>to</w:t>
      </w:r>
      <w:r w:rsidR="00B63FC6">
        <w:rPr>
          <w:rFonts w:eastAsia="Calibri"/>
          <w:lang w:eastAsia="en-US"/>
        </w:rPr>
        <w:noBreakHyphen/>
      </w:r>
      <w:r w:rsidRPr="00F90503">
        <w:rPr>
          <w:rFonts w:eastAsia="Calibri"/>
          <w:lang w:eastAsia="en-US"/>
        </w:rPr>
        <w:t>medium</w:t>
      </w:r>
      <w:r w:rsidR="00B63FC6">
        <w:rPr>
          <w:rFonts w:eastAsia="Calibri"/>
          <w:lang w:eastAsia="en-US"/>
        </w:rPr>
        <w:noBreakHyphen/>
      </w:r>
      <w:r w:rsidRPr="00F90503">
        <w:rPr>
          <w:rFonts w:eastAsia="Calibri"/>
          <w:lang w:eastAsia="en-US"/>
        </w:rPr>
        <w:t>sized enterprises and support their sustainability and growth.</w:t>
      </w:r>
    </w:p>
    <w:p w14:paraId="070F382F" w14:textId="75E430BC" w:rsidR="00F90503" w:rsidRPr="00F90503" w:rsidRDefault="00F90503" w:rsidP="003D2218">
      <w:pPr>
        <w:rPr>
          <w:rFonts w:eastAsia="Calibri"/>
          <w:lang w:eastAsia="en-US"/>
        </w:rPr>
      </w:pPr>
      <w:r w:rsidRPr="00F90503">
        <w:rPr>
          <w:rFonts w:eastAsia="Calibri"/>
          <w:lang w:eastAsia="en-US"/>
        </w:rPr>
        <w:t xml:space="preserve">As </w:t>
      </w:r>
      <w:proofErr w:type="gramStart"/>
      <w:r w:rsidRPr="00F90503">
        <w:rPr>
          <w:rFonts w:eastAsia="Calibri"/>
          <w:lang w:eastAsia="en-US"/>
        </w:rPr>
        <w:t>at</w:t>
      </w:r>
      <w:proofErr w:type="gramEnd"/>
      <w:r w:rsidRPr="00F90503">
        <w:rPr>
          <w:rFonts w:eastAsia="Calibri"/>
          <w:lang w:eastAsia="en-US"/>
        </w:rPr>
        <w:t xml:space="preserve"> 30 June 2024, the expected fair value of outstanding loans for Indigenous home ownership and business development and assistance is estimated to total $1,071.1</w:t>
      </w:r>
      <w:r w:rsidR="002E6F0C">
        <w:rPr>
          <w:rFonts w:eastAsia="Calibri"/>
          <w:lang w:eastAsia="en-US"/>
        </w:rPr>
        <w:t> million</w:t>
      </w:r>
      <w:r w:rsidRPr="00F90503">
        <w:rPr>
          <w:rFonts w:eastAsia="Calibri"/>
          <w:lang w:eastAsia="en-US"/>
        </w:rPr>
        <w:t>.</w:t>
      </w:r>
    </w:p>
    <w:p w14:paraId="7D458AF7" w14:textId="77777777" w:rsidR="00054CCC" w:rsidRPr="00B832E0" w:rsidRDefault="00054CCC" w:rsidP="00847FBA">
      <w:pPr>
        <w:pStyle w:val="Heading3"/>
        <w:rPr>
          <w:rFonts w:eastAsia="Arial"/>
        </w:rPr>
      </w:pPr>
      <w:bookmarkStart w:id="130" w:name="_Toc184039519"/>
      <w:bookmarkStart w:id="131" w:name="_Toc99141910"/>
      <w:r w:rsidRPr="00B832E0">
        <w:rPr>
          <w:rFonts w:eastAsia="Arial"/>
        </w:rPr>
        <w:t xml:space="preserve">Voyages </w:t>
      </w:r>
      <w:r w:rsidRPr="00AD5DB2">
        <w:rPr>
          <w:rFonts w:eastAsia="Arial"/>
        </w:rPr>
        <w:t>Indigenous</w:t>
      </w:r>
      <w:r w:rsidRPr="00B832E0">
        <w:rPr>
          <w:rFonts w:eastAsia="Arial"/>
        </w:rPr>
        <w:t xml:space="preserve"> Tourism Australia Pty Ltd</w:t>
      </w:r>
      <w:bookmarkEnd w:id="130"/>
    </w:p>
    <w:p w14:paraId="6FF127E1" w14:textId="30206DAD" w:rsidR="00054CCC" w:rsidRDefault="00054CCC" w:rsidP="005358B1">
      <w:pPr>
        <w:rPr>
          <w:rFonts w:eastAsiaTheme="minorEastAsia"/>
          <w:lang w:val="en-US"/>
        </w:rPr>
      </w:pPr>
      <w:r w:rsidRPr="0AE0DC10">
        <w:rPr>
          <w:rFonts w:eastAsiaTheme="minorEastAsia"/>
          <w:lang w:val="en-US"/>
        </w:rPr>
        <w:t>The Indigenous Land and Sea Corporation purchased Ayers Rock Resort for $291.2</w:t>
      </w:r>
      <w:r w:rsidR="002E6F0C">
        <w:rPr>
          <w:rFonts w:eastAsiaTheme="minorEastAsia"/>
          <w:lang w:val="en-US"/>
        </w:rPr>
        <w:t> million</w:t>
      </w:r>
      <w:r w:rsidRPr="0AE0DC10">
        <w:rPr>
          <w:rFonts w:eastAsiaTheme="minorEastAsia"/>
          <w:lang w:val="en-US"/>
        </w:rPr>
        <w:t xml:space="preserve"> in May 2011 and immediately on</w:t>
      </w:r>
      <w:r w:rsidR="00B63FC6">
        <w:rPr>
          <w:rFonts w:eastAsiaTheme="minorEastAsia"/>
          <w:lang w:val="en-US"/>
        </w:rPr>
        <w:noBreakHyphen/>
      </w:r>
      <w:r w:rsidRPr="0AE0DC10">
        <w:rPr>
          <w:rFonts w:eastAsiaTheme="minorEastAsia"/>
          <w:lang w:val="en-US"/>
        </w:rPr>
        <w:t>sold it to its wholly owned subsidiary, Voyages Indigenous Tourism Australia Pty Ltd, creating an inter</w:t>
      </w:r>
      <w:r w:rsidR="00B63FC6">
        <w:rPr>
          <w:rFonts w:eastAsiaTheme="minorEastAsia"/>
          <w:lang w:val="en-US"/>
        </w:rPr>
        <w:noBreakHyphen/>
      </w:r>
      <w:r w:rsidRPr="0AE0DC10">
        <w:rPr>
          <w:rFonts w:eastAsiaTheme="minorEastAsia"/>
          <w:lang w:val="en-US"/>
        </w:rPr>
        <w:t>company loan that is partly funded by borrowings. The interest rate</w:t>
      </w:r>
      <w:r w:rsidR="007A6771">
        <w:rPr>
          <w:rFonts w:eastAsiaTheme="minorEastAsia"/>
          <w:lang w:val="en-US"/>
        </w:rPr>
        <w:t xml:space="preserve"> has been</w:t>
      </w:r>
      <w:r w:rsidRPr="0AE0DC10">
        <w:rPr>
          <w:rFonts w:eastAsiaTheme="minorEastAsia"/>
          <w:lang w:val="en-US"/>
        </w:rPr>
        <w:t xml:space="preserve"> set at the 90</w:t>
      </w:r>
      <w:r w:rsidR="00B63FC6">
        <w:rPr>
          <w:rFonts w:eastAsiaTheme="minorEastAsia"/>
          <w:lang w:val="en-US"/>
        </w:rPr>
        <w:noBreakHyphen/>
      </w:r>
      <w:r w:rsidRPr="0AE0DC10">
        <w:rPr>
          <w:rFonts w:eastAsiaTheme="minorEastAsia"/>
          <w:lang w:val="en-US"/>
        </w:rPr>
        <w:t xml:space="preserve">day bank bill swap reference rate plus </w:t>
      </w:r>
      <w:r w:rsidR="002C69AE">
        <w:rPr>
          <w:rFonts w:eastAsiaTheme="minorEastAsia"/>
          <w:lang w:val="en-US"/>
        </w:rPr>
        <w:t xml:space="preserve">a margin of </w:t>
      </w:r>
      <w:r w:rsidRPr="0AE0DC10">
        <w:rPr>
          <w:rFonts w:eastAsiaTheme="minorEastAsia"/>
          <w:lang w:val="en-US"/>
        </w:rPr>
        <w:t>5</w:t>
      </w:r>
      <w:r w:rsidR="002E6F0C">
        <w:rPr>
          <w:rFonts w:eastAsiaTheme="minorEastAsia"/>
          <w:lang w:val="en-US"/>
        </w:rPr>
        <w:t> per </w:t>
      </w:r>
      <w:proofErr w:type="gramStart"/>
      <w:r w:rsidR="002E6F0C">
        <w:rPr>
          <w:rFonts w:eastAsiaTheme="minorEastAsia"/>
          <w:lang w:val="en-US"/>
        </w:rPr>
        <w:t>cent</w:t>
      </w:r>
      <w:bookmarkStart w:id="132" w:name="_Int_3frD3RWw"/>
      <w:r w:rsidRPr="0AE0DC10">
        <w:rPr>
          <w:rFonts w:eastAsiaTheme="minorEastAsia"/>
          <w:lang w:val="en-US"/>
        </w:rPr>
        <w:t>, and</w:t>
      </w:r>
      <w:bookmarkEnd w:id="132"/>
      <w:proofErr w:type="gramEnd"/>
      <w:r w:rsidRPr="0AE0DC10">
        <w:rPr>
          <w:rFonts w:eastAsiaTheme="minorEastAsia"/>
          <w:lang w:val="en-US"/>
        </w:rPr>
        <w:t xml:space="preserve"> is reset </w:t>
      </w:r>
      <w:r w:rsidR="002049EE">
        <w:rPr>
          <w:rFonts w:eastAsiaTheme="minorEastAsia"/>
          <w:lang w:val="en-US"/>
        </w:rPr>
        <w:t>six</w:t>
      </w:r>
      <w:r w:rsidR="00B63FC6">
        <w:rPr>
          <w:rFonts w:eastAsiaTheme="minorEastAsia"/>
          <w:lang w:val="en-US"/>
        </w:rPr>
        <w:noBreakHyphen/>
      </w:r>
      <w:r w:rsidRPr="0AE0DC10">
        <w:rPr>
          <w:rFonts w:eastAsiaTheme="minorEastAsia"/>
          <w:lang w:val="en-US"/>
        </w:rPr>
        <w:t xml:space="preserve">monthly. </w:t>
      </w:r>
      <w:r w:rsidR="00D84EBF">
        <w:rPr>
          <w:rFonts w:eastAsiaTheme="minorEastAsia"/>
          <w:lang w:val="en-US"/>
        </w:rPr>
        <w:t>Effective 1 July 2024, the margin has been reduced to 1.2</w:t>
      </w:r>
      <w:r w:rsidR="002E6F0C">
        <w:rPr>
          <w:rFonts w:eastAsiaTheme="minorEastAsia"/>
          <w:lang w:val="en-US"/>
        </w:rPr>
        <w:t> per cent</w:t>
      </w:r>
      <w:r w:rsidR="00D84EBF">
        <w:rPr>
          <w:rFonts w:eastAsiaTheme="minorEastAsia"/>
          <w:lang w:val="en-US"/>
        </w:rPr>
        <w:t xml:space="preserve">. </w:t>
      </w:r>
      <w:r w:rsidRPr="0AE0DC10">
        <w:rPr>
          <w:rFonts w:eastAsiaTheme="minorEastAsia"/>
          <w:lang w:val="en-US"/>
        </w:rPr>
        <w:t xml:space="preserve">As </w:t>
      </w:r>
      <w:bookmarkStart w:id="133" w:name="_Int_PtSW7GKv"/>
      <w:proofErr w:type="gramStart"/>
      <w:r w:rsidRPr="0AE0DC10">
        <w:rPr>
          <w:rFonts w:eastAsiaTheme="minorEastAsia"/>
          <w:lang w:val="en-US"/>
        </w:rPr>
        <w:t>at</w:t>
      </w:r>
      <w:bookmarkEnd w:id="133"/>
      <w:proofErr w:type="gramEnd"/>
      <w:r w:rsidRPr="0AE0DC10">
        <w:rPr>
          <w:rFonts w:eastAsiaTheme="minorEastAsia"/>
          <w:lang w:val="en-US"/>
        </w:rPr>
        <w:t xml:space="preserve"> 30 June 202</w:t>
      </w:r>
      <w:r>
        <w:rPr>
          <w:rFonts w:eastAsiaTheme="minorEastAsia"/>
          <w:lang w:val="en-US"/>
        </w:rPr>
        <w:t>4</w:t>
      </w:r>
      <w:r w:rsidRPr="0AE0DC10">
        <w:rPr>
          <w:rFonts w:eastAsiaTheme="minorEastAsia"/>
          <w:lang w:val="en-US"/>
        </w:rPr>
        <w:t>, the outstanding loan balance is estimated to total $</w:t>
      </w:r>
      <w:r w:rsidR="00655AB9">
        <w:rPr>
          <w:rFonts w:eastAsiaTheme="minorEastAsia"/>
          <w:lang w:val="en-US"/>
        </w:rPr>
        <w:t>329.6</w:t>
      </w:r>
      <w:r w:rsidR="002E6F0C">
        <w:rPr>
          <w:rFonts w:eastAsiaTheme="minorEastAsia"/>
          <w:lang w:val="en-US"/>
        </w:rPr>
        <w:t> million</w:t>
      </w:r>
      <w:r w:rsidRPr="0AE0DC10">
        <w:rPr>
          <w:rFonts w:eastAsiaTheme="minorEastAsia"/>
          <w:lang w:val="en-US"/>
        </w:rPr>
        <w:t>.</w:t>
      </w:r>
    </w:p>
    <w:p w14:paraId="04CBEBA9" w14:textId="77777777" w:rsidR="00665D03" w:rsidRPr="00665D03" w:rsidRDefault="00665D03" w:rsidP="00541565">
      <w:pPr>
        <w:pStyle w:val="Heading2"/>
        <w:rPr>
          <w:rFonts w:eastAsia="Arial"/>
        </w:rPr>
      </w:pPr>
      <w:bookmarkStart w:id="134" w:name="_Toc184039520"/>
      <w:bookmarkEnd w:id="131"/>
      <w:r w:rsidRPr="00665D03">
        <w:rPr>
          <w:rFonts w:eastAsia="Arial"/>
        </w:rPr>
        <w:t>Social Services</w:t>
      </w:r>
      <w:bookmarkEnd w:id="134"/>
    </w:p>
    <w:p w14:paraId="1E1C7156" w14:textId="341CC445" w:rsidR="00665D03" w:rsidRPr="00665D03" w:rsidRDefault="00665D03" w:rsidP="00541565">
      <w:pPr>
        <w:pStyle w:val="Heading3"/>
        <w:rPr>
          <w:rFonts w:eastAsia="Arial"/>
        </w:rPr>
      </w:pPr>
      <w:bookmarkStart w:id="135" w:name="_Toc184039521"/>
      <w:r w:rsidRPr="00665D03">
        <w:rPr>
          <w:rFonts w:eastAsia="Arial"/>
        </w:rPr>
        <w:t>Home Equity Access Scheme</w:t>
      </w:r>
      <w:bookmarkEnd w:id="135"/>
    </w:p>
    <w:p w14:paraId="4434B9E6" w14:textId="58BDF1FB" w:rsidR="00665D03" w:rsidRPr="00665D03" w:rsidRDefault="00665D03" w:rsidP="005358B1">
      <w:pPr>
        <w:rPr>
          <w:rFonts w:eastAsiaTheme="minorEastAsia"/>
          <w:lang w:val="en-US"/>
        </w:rPr>
      </w:pPr>
      <w:r w:rsidRPr="00665D03">
        <w:rPr>
          <w:rFonts w:eastAsiaTheme="minorEastAsia"/>
          <w:lang w:val="en-US"/>
        </w:rPr>
        <w:t>The Home Equity Access Scheme (HEAS) is a voluntary arrangement which allows eligible older Australians to receive a non</w:t>
      </w:r>
      <w:r w:rsidR="00B63FC6">
        <w:rPr>
          <w:rFonts w:eastAsiaTheme="minorEastAsia"/>
          <w:lang w:val="en-US"/>
        </w:rPr>
        <w:noBreakHyphen/>
      </w:r>
      <w:r w:rsidRPr="00665D03">
        <w:rPr>
          <w:rFonts w:eastAsiaTheme="minorEastAsia"/>
          <w:lang w:val="en-US"/>
        </w:rPr>
        <w:t xml:space="preserve">taxable loan from the Australian Government. The loan can be paid as regular fortnightly instalments or capped lump sum advance payments, or both, for people of Age Pension age who meet certain residency criteria and own suitable real estate in Australia. </w:t>
      </w:r>
    </w:p>
    <w:p w14:paraId="35CC753C" w14:textId="57AE5919" w:rsidR="00665D03" w:rsidRPr="00665D03" w:rsidRDefault="00665D03" w:rsidP="005358B1">
      <w:pPr>
        <w:rPr>
          <w:rFonts w:eastAsiaTheme="minorEastAsia"/>
          <w:lang w:val="en-US"/>
        </w:rPr>
      </w:pPr>
      <w:r w:rsidRPr="00665D03">
        <w:rPr>
          <w:rFonts w:eastAsiaTheme="minorEastAsia"/>
          <w:lang w:val="en-US"/>
        </w:rPr>
        <w:t>Any amount received under HEAS, and any interest and costs accrued, is attributed as a debt against real estate assets provided as collateral by the participant. The loan can be paid back at any time or is recovered on the sale of the secured real estate or from the person</w:t>
      </w:r>
      <w:r w:rsidR="00B63FC6">
        <w:rPr>
          <w:rFonts w:eastAsiaTheme="minorEastAsia"/>
          <w:lang w:val="en-US"/>
        </w:rPr>
        <w:t>’</w:t>
      </w:r>
      <w:r w:rsidRPr="00665D03">
        <w:rPr>
          <w:rFonts w:eastAsiaTheme="minorEastAsia"/>
          <w:lang w:val="en-US"/>
        </w:rPr>
        <w:t>s estate. Additionally, since 1 July 2022, a No Negative Equity Guarantee applies to HEAS loans, limiting the recoverable debt to the equity in the property used to secure the loan.</w:t>
      </w:r>
    </w:p>
    <w:p w14:paraId="7FBA5FFA" w14:textId="02C2C645" w:rsidR="00665D03" w:rsidRPr="00665D03" w:rsidRDefault="00665D03" w:rsidP="00541565">
      <w:pPr>
        <w:pStyle w:val="Heading3"/>
        <w:rPr>
          <w:rFonts w:eastAsia="Arial"/>
        </w:rPr>
      </w:pPr>
      <w:bookmarkStart w:id="136" w:name="_Toc184039522"/>
      <w:r w:rsidRPr="00665D03">
        <w:rPr>
          <w:rFonts w:eastAsia="Arial"/>
        </w:rPr>
        <w:t>Student Financial Supplement Scheme</w:t>
      </w:r>
      <w:bookmarkEnd w:id="136"/>
    </w:p>
    <w:p w14:paraId="29208D61" w14:textId="358B98C5" w:rsidR="00EC0A78" w:rsidRPr="00665D03" w:rsidRDefault="00EC0A78" w:rsidP="00EC0A78">
      <w:pPr>
        <w:rPr>
          <w:rFonts w:eastAsiaTheme="minorEastAsia"/>
          <w:lang w:val="en-US"/>
        </w:rPr>
      </w:pPr>
      <w:bookmarkStart w:id="137" w:name="_Toc184039523"/>
      <w:r w:rsidRPr="00665D03">
        <w:rPr>
          <w:rFonts w:eastAsiaTheme="minorEastAsia"/>
          <w:lang w:val="en-US"/>
        </w:rPr>
        <w:t>The Student Financial Supplement Scheme (SFSS) commenced in January 1993 and closed on 31 December 2003. It was a voluntary income</w:t>
      </w:r>
      <w:r w:rsidR="00B63FC6">
        <w:rPr>
          <w:rFonts w:eastAsiaTheme="minorEastAsia"/>
          <w:lang w:val="en-US"/>
        </w:rPr>
        <w:noBreakHyphen/>
      </w:r>
      <w:r w:rsidRPr="00665D03">
        <w:rPr>
          <w:rFonts w:eastAsiaTheme="minorEastAsia"/>
          <w:lang w:val="en-US"/>
        </w:rPr>
        <w:t xml:space="preserve">contingent loan scheme for tertiary students (primarily </w:t>
      </w:r>
      <w:proofErr w:type="spellStart"/>
      <w:r w:rsidRPr="00665D03">
        <w:rPr>
          <w:rFonts w:eastAsiaTheme="minorEastAsia"/>
          <w:lang w:val="en-US"/>
        </w:rPr>
        <w:t>Austudy</w:t>
      </w:r>
      <w:proofErr w:type="spellEnd"/>
      <w:r w:rsidRPr="00665D03">
        <w:rPr>
          <w:rFonts w:eastAsiaTheme="minorEastAsia"/>
          <w:lang w:val="en-US"/>
        </w:rPr>
        <w:t xml:space="preserve"> and ABSTUDY) to help cover their living expenses while studying. Under the scheme, eligible students were able to trade one dollar of income support entitlement for two dollars in loans. Debtors are required to start repaying their </w:t>
      </w:r>
      <w:r w:rsidRPr="00665D03">
        <w:rPr>
          <w:rFonts w:eastAsiaTheme="minorEastAsia"/>
          <w:lang w:val="en-US"/>
        </w:rPr>
        <w:lastRenderedPageBreak/>
        <w:t xml:space="preserve">SFSS loan once they earn $54,435 for 2024–25 and only after they have repaid any Higher Education Loan Program and Vocational Education and Training student loan debt. </w:t>
      </w:r>
    </w:p>
    <w:p w14:paraId="60DC87EB" w14:textId="42E0BFCF" w:rsidR="00EC0A78" w:rsidRPr="000F4FD8" w:rsidRDefault="00EC0A78" w:rsidP="00EC0A78">
      <w:pPr>
        <w:rPr>
          <w:rFonts w:eastAsiaTheme="minorEastAsia"/>
          <w:lang w:val="en-US"/>
        </w:rPr>
      </w:pPr>
      <w:r w:rsidRPr="000F4FD8">
        <w:rPr>
          <w:rFonts w:eastAsiaTheme="minorEastAsia"/>
          <w:lang w:val="en-US"/>
        </w:rPr>
        <w:t>The Government has announced that it will deliver a 20 per cent reduction to the balance of outstanding income</w:t>
      </w:r>
      <w:r w:rsidR="00B63FC6">
        <w:rPr>
          <w:rFonts w:eastAsiaTheme="minorEastAsia"/>
          <w:lang w:val="en-US"/>
        </w:rPr>
        <w:noBreakHyphen/>
      </w:r>
      <w:r w:rsidRPr="000F4FD8">
        <w:rPr>
          <w:rFonts w:eastAsiaTheme="minorEastAsia"/>
          <w:lang w:val="en-US"/>
        </w:rPr>
        <w:t>contingent student loan debts by 1 June 2025</w:t>
      </w:r>
      <w:r w:rsidR="00031D6A">
        <w:rPr>
          <w:rFonts w:eastAsiaTheme="minorEastAsia"/>
          <w:lang w:val="en-US"/>
        </w:rPr>
        <w:t>,</w:t>
      </w:r>
      <w:r w:rsidRPr="000F4FD8">
        <w:rPr>
          <w:rFonts w:eastAsiaTheme="minorEastAsia"/>
          <w:lang w:val="en-US"/>
        </w:rPr>
        <w:t xml:space="preserve"> and raise the minimum student debt repayment threshold and introduce a marginal repayment system from 1</w:t>
      </w:r>
      <w:r w:rsidR="00D57DE9" w:rsidRPr="005F6D17">
        <w:rPr>
          <w:rFonts w:eastAsia="Book Antiqua"/>
        </w:rPr>
        <w:t> </w:t>
      </w:r>
      <w:r w:rsidRPr="000F4FD8">
        <w:rPr>
          <w:rFonts w:eastAsiaTheme="minorEastAsia"/>
          <w:lang w:val="en-US"/>
        </w:rPr>
        <w:t>July</w:t>
      </w:r>
      <w:r w:rsidR="00D57DE9" w:rsidRPr="005F6D17">
        <w:rPr>
          <w:rFonts w:eastAsia="Book Antiqua"/>
        </w:rPr>
        <w:t> </w:t>
      </w:r>
      <w:r w:rsidRPr="000F4FD8">
        <w:rPr>
          <w:rFonts w:eastAsiaTheme="minorEastAsia"/>
          <w:lang w:val="en-US"/>
        </w:rPr>
        <w:t>2025. These changes apply to SFSS loans.</w:t>
      </w:r>
    </w:p>
    <w:p w14:paraId="07573FBB" w14:textId="5EDBB755" w:rsidR="00EC0A78" w:rsidRPr="00665D03" w:rsidRDefault="00EC0A78" w:rsidP="00EC0A78">
      <w:pPr>
        <w:rPr>
          <w:rFonts w:eastAsiaTheme="minorEastAsia"/>
          <w:lang w:val="en-US"/>
        </w:rPr>
      </w:pPr>
      <w:r w:rsidRPr="00665D03">
        <w:rPr>
          <w:rFonts w:eastAsiaTheme="minorEastAsia"/>
          <w:lang w:val="en-US"/>
        </w:rPr>
        <w:t xml:space="preserve">The estimated fair value of SFSS loans outstanding is $163.9 million </w:t>
      </w:r>
      <w:proofErr w:type="gramStart"/>
      <w:r w:rsidRPr="00665D03">
        <w:rPr>
          <w:rFonts w:eastAsiaTheme="minorEastAsia"/>
          <w:lang w:val="en-US"/>
        </w:rPr>
        <w:t>at</w:t>
      </w:r>
      <w:proofErr w:type="gramEnd"/>
      <w:r w:rsidRPr="00665D03">
        <w:rPr>
          <w:rFonts w:eastAsiaTheme="minorEastAsia"/>
          <w:lang w:val="en-US"/>
        </w:rPr>
        <w:t xml:space="preserve"> 30 June 2024.</w:t>
      </w:r>
      <w:r>
        <w:rPr>
          <w:rFonts w:eastAsia="Arial"/>
        </w:rPr>
        <w:t xml:space="preserve"> </w:t>
      </w:r>
      <w:r w:rsidRPr="002A4F59">
        <w:rPr>
          <w:rFonts w:asciiTheme="minorHAnsi" w:eastAsia="Calibri" w:hAnsiTheme="minorHAnsi" w:cs="Arial"/>
          <w:szCs w:val="19"/>
          <w:lang w:eastAsia="en-US"/>
        </w:rPr>
        <w:t>The fair value does not yet include the impact of the 2024</w:t>
      </w:r>
      <w:r w:rsidR="00873B7D">
        <w:rPr>
          <w:rFonts w:asciiTheme="minorHAnsi" w:eastAsia="Calibri" w:hAnsiTheme="minorHAnsi" w:cs="Arial"/>
          <w:szCs w:val="19"/>
          <w:lang w:eastAsia="en-US"/>
        </w:rPr>
        <w:t>–</w:t>
      </w:r>
      <w:r w:rsidRPr="002A4F59">
        <w:rPr>
          <w:rFonts w:asciiTheme="minorHAnsi" w:eastAsia="Calibri" w:hAnsiTheme="minorHAnsi" w:cs="Arial"/>
          <w:szCs w:val="19"/>
          <w:lang w:eastAsia="en-US"/>
        </w:rPr>
        <w:t xml:space="preserve">25 MYEFO measure </w:t>
      </w:r>
      <w:r w:rsidRPr="00176CAE">
        <w:rPr>
          <w:rStyle w:val="Emphasis"/>
          <w:rFonts w:eastAsia="Calibri"/>
        </w:rPr>
        <w:t>Building Australia</w:t>
      </w:r>
      <w:r w:rsidR="00B63FC6">
        <w:rPr>
          <w:rStyle w:val="Emphasis"/>
          <w:rFonts w:eastAsia="Calibri"/>
        </w:rPr>
        <w:t>’</w:t>
      </w:r>
      <w:r w:rsidRPr="00176CAE">
        <w:rPr>
          <w:rStyle w:val="Emphasis"/>
          <w:rFonts w:eastAsia="Calibri"/>
        </w:rPr>
        <w:t>s Future</w:t>
      </w:r>
      <w:r w:rsidR="00CB3314">
        <w:rPr>
          <w:rStyle w:val="Emphasis"/>
          <w:rFonts w:eastAsia="Calibri"/>
        </w:rPr>
        <w:t xml:space="preserve"> – </w:t>
      </w:r>
      <w:r w:rsidRPr="00176CAE">
        <w:rPr>
          <w:rStyle w:val="Emphasis"/>
          <w:rFonts w:eastAsia="Calibri"/>
        </w:rPr>
        <w:t>a fairer deal for students</w:t>
      </w:r>
      <w:r w:rsidRPr="002A4F59">
        <w:rPr>
          <w:rFonts w:asciiTheme="minorHAnsi" w:eastAsia="Calibri" w:hAnsiTheme="minorHAnsi" w:cs="Arial"/>
          <w:szCs w:val="19"/>
          <w:lang w:eastAsia="en-US"/>
        </w:rPr>
        <w:t>.</w:t>
      </w:r>
    </w:p>
    <w:p w14:paraId="5FA002A7" w14:textId="6FB6529A" w:rsidR="00665D03" w:rsidRPr="00665D03" w:rsidRDefault="00665D03" w:rsidP="00541565">
      <w:pPr>
        <w:pStyle w:val="Heading3"/>
        <w:rPr>
          <w:rFonts w:eastAsia="Arial"/>
        </w:rPr>
      </w:pPr>
      <w:r w:rsidRPr="00665D03">
        <w:rPr>
          <w:rFonts w:eastAsia="Arial"/>
        </w:rPr>
        <w:t>Student Start</w:t>
      </w:r>
      <w:r w:rsidR="00B63FC6">
        <w:rPr>
          <w:rFonts w:eastAsia="Arial"/>
        </w:rPr>
        <w:noBreakHyphen/>
      </w:r>
      <w:r w:rsidRPr="00665D03">
        <w:rPr>
          <w:rFonts w:eastAsia="Arial"/>
        </w:rPr>
        <w:t xml:space="preserve">up </w:t>
      </w:r>
      <w:proofErr w:type="gramStart"/>
      <w:r w:rsidRPr="00665D03">
        <w:rPr>
          <w:rFonts w:eastAsia="Arial"/>
        </w:rPr>
        <w:t>Loan</w:t>
      </w:r>
      <w:bookmarkEnd w:id="137"/>
      <w:proofErr w:type="gramEnd"/>
    </w:p>
    <w:p w14:paraId="2158D30A" w14:textId="6A113899" w:rsidR="0027191B" w:rsidRDefault="00665D03" w:rsidP="008D70C6">
      <w:pPr>
        <w:rPr>
          <w:rFonts w:eastAsiaTheme="minorEastAsia"/>
          <w:lang w:val="en-US"/>
        </w:rPr>
      </w:pPr>
      <w:r w:rsidRPr="00665D03">
        <w:rPr>
          <w:rFonts w:eastAsiaTheme="minorEastAsia"/>
          <w:lang w:val="en-US"/>
        </w:rPr>
        <w:t>The Student Start</w:t>
      </w:r>
      <w:r w:rsidR="00B63FC6">
        <w:rPr>
          <w:rFonts w:eastAsiaTheme="minorEastAsia"/>
          <w:lang w:val="en-US"/>
        </w:rPr>
        <w:noBreakHyphen/>
      </w:r>
      <w:r w:rsidRPr="00665D03">
        <w:rPr>
          <w:rFonts w:eastAsiaTheme="minorEastAsia"/>
          <w:lang w:val="en-US"/>
        </w:rPr>
        <w:t>up Loan (SSL) is a voluntary income</w:t>
      </w:r>
      <w:r w:rsidR="00B63FC6">
        <w:rPr>
          <w:rFonts w:eastAsiaTheme="minorEastAsia"/>
          <w:lang w:val="en-US"/>
        </w:rPr>
        <w:noBreakHyphen/>
      </w:r>
      <w:r w:rsidRPr="00665D03">
        <w:rPr>
          <w:rFonts w:eastAsiaTheme="minorEastAsia"/>
          <w:lang w:val="en-US"/>
        </w:rPr>
        <w:t xml:space="preserve">contingent loan for student payment (Youth Allowance (student), </w:t>
      </w:r>
      <w:proofErr w:type="spellStart"/>
      <w:r w:rsidRPr="00665D03">
        <w:rPr>
          <w:rFonts w:eastAsiaTheme="minorEastAsia"/>
          <w:lang w:val="en-US"/>
        </w:rPr>
        <w:t>Austudy</w:t>
      </w:r>
      <w:proofErr w:type="spellEnd"/>
      <w:r w:rsidRPr="00665D03">
        <w:rPr>
          <w:rFonts w:eastAsiaTheme="minorEastAsia"/>
          <w:lang w:val="en-US"/>
        </w:rPr>
        <w:t xml:space="preserve"> and ABSTUDY Living Allowance) recipients undertaking higher education. Introduced on 1 January 2016, the SSL is paid a maximum of twice a year and each SSL payment is valued at $1,273 (in 2024). The SSL is repayable under similar arrangements to Higher Education Loan Program (HELP) debts. Students are required to start repaying their SSL once they earn over $54,435 for 2024–25, and only after they have repaid any HELP and Vocational Education Training student loan debt. When it commenced, the SSL was initially for new student payment recipients undertaking higher education. From 1 July 2017, with the closure of the Student Start</w:t>
      </w:r>
      <w:r w:rsidR="00B63FC6">
        <w:rPr>
          <w:rFonts w:eastAsiaTheme="minorEastAsia"/>
          <w:lang w:val="en-US"/>
        </w:rPr>
        <w:noBreakHyphen/>
      </w:r>
      <w:r w:rsidRPr="00665D03">
        <w:rPr>
          <w:rFonts w:eastAsiaTheme="minorEastAsia"/>
          <w:lang w:val="en-US"/>
        </w:rPr>
        <w:t xml:space="preserve">up Scholarship, the SSL has become available to all eligible student payment recipients undertaking higher education. </w:t>
      </w:r>
    </w:p>
    <w:p w14:paraId="5F0DD9CE" w14:textId="27DF1D10" w:rsidR="00FC0D1D" w:rsidRPr="00AD386C" w:rsidRDefault="00FC0D1D" w:rsidP="00FC0D1D">
      <w:bookmarkStart w:id="138" w:name="_Toc184039524"/>
      <w:r>
        <w:t>The</w:t>
      </w:r>
      <w:r w:rsidRPr="00AD386C">
        <w:t xml:space="preserve"> Government </w:t>
      </w:r>
      <w:r>
        <w:t xml:space="preserve">has announced that it will deliver </w:t>
      </w:r>
      <w:r w:rsidRPr="00AD386C">
        <w:t>a 20 per cent reduction to the balance of outstanding income</w:t>
      </w:r>
      <w:r w:rsidR="00B63FC6">
        <w:noBreakHyphen/>
      </w:r>
      <w:r w:rsidRPr="00AD386C">
        <w:t>contingent student loan debts by 1 June 2025</w:t>
      </w:r>
      <w:r w:rsidR="00031D6A">
        <w:t>,</w:t>
      </w:r>
      <w:r>
        <w:t xml:space="preserve"> and raise the </w:t>
      </w:r>
      <w:r w:rsidRPr="00777A97">
        <w:t>minimum student debt repayment threshold and introduce a marginal repayment system from 1</w:t>
      </w:r>
      <w:r w:rsidR="00541CB7" w:rsidRPr="005F6D17">
        <w:rPr>
          <w:rFonts w:eastAsia="Book Antiqua"/>
        </w:rPr>
        <w:t> </w:t>
      </w:r>
      <w:r w:rsidRPr="00777A97">
        <w:t>July</w:t>
      </w:r>
      <w:r w:rsidR="00541CB7" w:rsidRPr="005F6D17">
        <w:rPr>
          <w:rFonts w:eastAsia="Book Antiqua"/>
        </w:rPr>
        <w:t> </w:t>
      </w:r>
      <w:r w:rsidRPr="00777A97">
        <w:t>2025</w:t>
      </w:r>
      <w:r w:rsidRPr="00AD386C">
        <w:t xml:space="preserve">. </w:t>
      </w:r>
      <w:r>
        <w:t>These changes apply to Student Start</w:t>
      </w:r>
      <w:r w:rsidR="00B63FC6">
        <w:noBreakHyphen/>
      </w:r>
      <w:r>
        <w:t>up loans</w:t>
      </w:r>
      <w:r w:rsidRPr="00AD386C">
        <w:t>.</w:t>
      </w:r>
    </w:p>
    <w:p w14:paraId="31699CE3" w14:textId="46971981" w:rsidR="00FC0D1D" w:rsidRPr="00665D03" w:rsidRDefault="00FC0D1D" w:rsidP="00FC0D1D">
      <w:pPr>
        <w:rPr>
          <w:rFonts w:eastAsiaTheme="minorEastAsia"/>
          <w:lang w:val="en-US"/>
        </w:rPr>
      </w:pPr>
      <w:r w:rsidRPr="00665D03">
        <w:rPr>
          <w:rFonts w:eastAsiaTheme="minorEastAsia"/>
          <w:lang w:val="en-US"/>
        </w:rPr>
        <w:t xml:space="preserve">The estimated fair value of the SSL is $820.6 million </w:t>
      </w:r>
      <w:proofErr w:type="gramStart"/>
      <w:r w:rsidRPr="00665D03">
        <w:rPr>
          <w:rFonts w:eastAsiaTheme="minorEastAsia"/>
          <w:lang w:val="en-US"/>
        </w:rPr>
        <w:t>at</w:t>
      </w:r>
      <w:proofErr w:type="gramEnd"/>
      <w:r w:rsidRPr="00665D03">
        <w:rPr>
          <w:rFonts w:eastAsiaTheme="minorEastAsia"/>
          <w:lang w:val="en-US"/>
        </w:rPr>
        <w:t xml:space="preserve"> 30 June 2024.</w:t>
      </w:r>
      <w:r>
        <w:rPr>
          <w:rFonts w:eastAsia="Arial"/>
        </w:rPr>
        <w:t xml:space="preserve"> </w:t>
      </w:r>
      <w:r w:rsidRPr="002A4F59">
        <w:rPr>
          <w:rFonts w:asciiTheme="minorHAnsi" w:eastAsia="Calibri" w:hAnsiTheme="minorHAnsi" w:cs="Arial"/>
          <w:szCs w:val="19"/>
          <w:lang w:eastAsia="en-US"/>
        </w:rPr>
        <w:t>The fair value does not yet include the impact of the 2024</w:t>
      </w:r>
      <w:r w:rsidR="00873B7D">
        <w:rPr>
          <w:rFonts w:asciiTheme="minorHAnsi" w:eastAsia="Calibri" w:hAnsiTheme="minorHAnsi" w:cs="Arial"/>
          <w:szCs w:val="19"/>
          <w:lang w:eastAsia="en-US"/>
        </w:rPr>
        <w:t>–</w:t>
      </w:r>
      <w:r w:rsidRPr="002A4F59">
        <w:rPr>
          <w:rFonts w:asciiTheme="minorHAnsi" w:eastAsia="Calibri" w:hAnsiTheme="minorHAnsi" w:cs="Arial"/>
          <w:szCs w:val="19"/>
          <w:lang w:eastAsia="en-US"/>
        </w:rPr>
        <w:t xml:space="preserve">25 MYEFO measure </w:t>
      </w:r>
      <w:r w:rsidRPr="00176CAE">
        <w:rPr>
          <w:rStyle w:val="Emphasis"/>
          <w:rFonts w:eastAsia="Calibri"/>
        </w:rPr>
        <w:t>Building Australia</w:t>
      </w:r>
      <w:r w:rsidR="00B63FC6">
        <w:rPr>
          <w:rStyle w:val="Emphasis"/>
          <w:rFonts w:eastAsia="Calibri"/>
        </w:rPr>
        <w:t>’</w:t>
      </w:r>
      <w:r w:rsidRPr="00176CAE">
        <w:rPr>
          <w:rStyle w:val="Emphasis"/>
          <w:rFonts w:eastAsia="Calibri"/>
        </w:rPr>
        <w:t>s Future</w:t>
      </w:r>
      <w:r w:rsidR="00CB3314">
        <w:rPr>
          <w:rStyle w:val="Emphasis"/>
          <w:rFonts w:eastAsia="Calibri"/>
        </w:rPr>
        <w:t xml:space="preserve"> – </w:t>
      </w:r>
      <w:r w:rsidRPr="00176CAE">
        <w:rPr>
          <w:rStyle w:val="Emphasis"/>
          <w:rFonts w:eastAsia="Calibri"/>
        </w:rPr>
        <w:t>a fairer deal for students</w:t>
      </w:r>
      <w:r w:rsidRPr="002A4F59">
        <w:rPr>
          <w:rFonts w:asciiTheme="minorHAnsi" w:eastAsia="Calibri" w:hAnsiTheme="minorHAnsi" w:cs="Arial"/>
          <w:szCs w:val="19"/>
          <w:lang w:eastAsia="en-US"/>
        </w:rPr>
        <w:t>.</w:t>
      </w:r>
    </w:p>
    <w:p w14:paraId="02D2F975" w14:textId="77777777" w:rsidR="006E2583" w:rsidRPr="006E2583" w:rsidRDefault="006E2583" w:rsidP="00DE4CEA">
      <w:pPr>
        <w:pStyle w:val="Heading2"/>
        <w:rPr>
          <w:rFonts w:eastAsia="Arial"/>
        </w:rPr>
      </w:pPr>
      <w:r w:rsidRPr="006E2583">
        <w:rPr>
          <w:rFonts w:eastAsia="Arial"/>
        </w:rPr>
        <w:t>Treasury</w:t>
      </w:r>
      <w:bookmarkEnd w:id="138"/>
    </w:p>
    <w:p w14:paraId="72B8BE64" w14:textId="77777777" w:rsidR="006E2583" w:rsidRPr="006E2583" w:rsidRDefault="006E2583" w:rsidP="00DE4CEA">
      <w:pPr>
        <w:pStyle w:val="Heading3"/>
        <w:rPr>
          <w:rFonts w:eastAsia="Arial"/>
        </w:rPr>
      </w:pPr>
      <w:bookmarkStart w:id="139" w:name="_Toc184039525"/>
      <w:r w:rsidRPr="006E2583">
        <w:rPr>
          <w:rFonts w:eastAsia="Arial"/>
        </w:rPr>
        <w:t>Affordable Housing Bond Aggregator</w:t>
      </w:r>
      <w:bookmarkEnd w:id="139"/>
    </w:p>
    <w:p w14:paraId="346CE7B6" w14:textId="4BED3A6F" w:rsidR="006E2583" w:rsidRPr="008D70C6" w:rsidRDefault="006E2583" w:rsidP="005358B1">
      <w:pPr>
        <w:rPr>
          <w:rFonts w:eastAsiaTheme="minorEastAsia"/>
        </w:rPr>
      </w:pPr>
      <w:r w:rsidRPr="006E2583">
        <w:rPr>
          <w:rFonts w:eastAsiaTheme="minorEastAsia"/>
          <w:lang w:val="en-US"/>
        </w:rPr>
        <w:t xml:space="preserve">The Australian Government, through the Treasury, has made available a line of credit for </w:t>
      </w:r>
      <w:r w:rsidRPr="008D70C6">
        <w:rPr>
          <w:rFonts w:eastAsiaTheme="minorEastAsia"/>
        </w:rPr>
        <w:t>the Housing Australia Affordable Housing Bond Aggregator. The Government has announced the line of credit will be increased to a total of $4</w:t>
      </w:r>
      <w:r w:rsidR="002E6F0C">
        <w:rPr>
          <w:rFonts w:eastAsiaTheme="minorEastAsia"/>
        </w:rPr>
        <w:t> billion</w:t>
      </w:r>
      <w:r w:rsidRPr="008D70C6">
        <w:rPr>
          <w:rFonts w:eastAsiaTheme="minorEastAsia"/>
        </w:rPr>
        <w:t xml:space="preserve"> through amendments to the </w:t>
      </w:r>
      <w:r w:rsidRPr="001A53AE">
        <w:rPr>
          <w:rStyle w:val="Emphasis"/>
          <w:rFonts w:eastAsiaTheme="minorEastAsia"/>
        </w:rPr>
        <w:t>Housing Australia Act 2018</w:t>
      </w:r>
      <w:r w:rsidRPr="008D70C6">
        <w:rPr>
          <w:rFonts w:eastAsiaTheme="minorEastAsia"/>
        </w:rPr>
        <w:t xml:space="preserve">. The provision of funds will be in accordance with the </w:t>
      </w:r>
      <w:r w:rsidRPr="001A53AE">
        <w:rPr>
          <w:rStyle w:val="Emphasis"/>
          <w:rFonts w:eastAsiaTheme="minorEastAsia"/>
        </w:rPr>
        <w:t>Housing Australia Act 2018</w:t>
      </w:r>
      <w:r w:rsidRPr="008D70C6">
        <w:rPr>
          <w:rFonts w:eastAsiaTheme="minorEastAsia"/>
        </w:rPr>
        <w:t xml:space="preserve">. The line of credit is ongoing, and funds borrowed will be repaid with interest. The Treasury manages the receipt of interest and principal repayments from Housing Australia. As </w:t>
      </w:r>
      <w:proofErr w:type="gramStart"/>
      <w:r w:rsidRPr="008D70C6">
        <w:rPr>
          <w:rFonts w:eastAsiaTheme="minorEastAsia"/>
        </w:rPr>
        <w:t>at</w:t>
      </w:r>
      <w:proofErr w:type="gramEnd"/>
      <w:r w:rsidRPr="008D70C6">
        <w:rPr>
          <w:rFonts w:eastAsiaTheme="minorEastAsia"/>
        </w:rPr>
        <w:t xml:space="preserve"> 30 June 2024, the value of outstanding advances issued to Housing Australia from the line of credit is $238</w:t>
      </w:r>
      <w:r w:rsidR="002E6F0C">
        <w:rPr>
          <w:rFonts w:eastAsiaTheme="minorEastAsia"/>
        </w:rPr>
        <w:t> million</w:t>
      </w:r>
      <w:r w:rsidRPr="008D70C6">
        <w:rPr>
          <w:rFonts w:eastAsiaTheme="minorEastAsia"/>
        </w:rPr>
        <w:t>.</w:t>
      </w:r>
    </w:p>
    <w:p w14:paraId="5101F261" w14:textId="4282C28F" w:rsidR="006E2583" w:rsidRPr="006E2583" w:rsidRDefault="006E2583" w:rsidP="00DE4CEA">
      <w:pPr>
        <w:pStyle w:val="Heading3"/>
        <w:rPr>
          <w:rFonts w:eastAsia="Arial"/>
        </w:rPr>
      </w:pPr>
      <w:bookmarkStart w:id="140" w:name="_Toc184039526"/>
      <w:r w:rsidRPr="006E2583">
        <w:rPr>
          <w:rFonts w:eastAsia="Arial"/>
        </w:rPr>
        <w:lastRenderedPageBreak/>
        <w:t>Commonwealth</w:t>
      </w:r>
      <w:r w:rsidR="00B63FC6">
        <w:rPr>
          <w:rFonts w:eastAsia="Arial"/>
        </w:rPr>
        <w:noBreakHyphen/>
      </w:r>
      <w:r w:rsidRPr="006E2583">
        <w:rPr>
          <w:rFonts w:eastAsia="Arial"/>
        </w:rPr>
        <w:t>State financing arrangements – housing and specific purpose capital</w:t>
      </w:r>
      <w:bookmarkEnd w:id="140"/>
    </w:p>
    <w:p w14:paraId="52BC5518" w14:textId="20D345E3" w:rsidR="006E2583" w:rsidRPr="006E2583" w:rsidRDefault="006E2583" w:rsidP="005358B1">
      <w:pPr>
        <w:rPr>
          <w:rFonts w:eastAsiaTheme="minorEastAsia"/>
          <w:lang w:val="en-US"/>
        </w:rPr>
      </w:pPr>
      <w:r w:rsidRPr="006E2583">
        <w:rPr>
          <w:rFonts w:eastAsiaTheme="minorEastAsia"/>
          <w:lang w:val="en-US"/>
        </w:rPr>
        <w:t>From 1945 to 1989, the Australian Government made concessional advances to state and Northern Territory governments under Commonwealth–state financing arrangements for housing and for specific purpose capital. The advances were concessional fixed</w:t>
      </w:r>
      <w:r w:rsidR="00B63FC6">
        <w:rPr>
          <w:rFonts w:eastAsiaTheme="minorEastAsia"/>
          <w:lang w:val="en-US"/>
        </w:rPr>
        <w:noBreakHyphen/>
      </w:r>
      <w:r w:rsidRPr="006E2583">
        <w:rPr>
          <w:rFonts w:eastAsiaTheme="minorEastAsia"/>
          <w:lang w:val="en-US"/>
        </w:rPr>
        <w:t xml:space="preserve">rate loans to be repaid over 53 years, with the last loans maturing in 2042. Annual payments, comprising both interest and principal repayment, are made to the Commonwealth. As </w:t>
      </w:r>
      <w:proofErr w:type="gramStart"/>
      <w:r w:rsidRPr="006E2583">
        <w:rPr>
          <w:rFonts w:eastAsiaTheme="minorEastAsia"/>
          <w:lang w:val="en-US"/>
        </w:rPr>
        <w:t>at</w:t>
      </w:r>
      <w:proofErr w:type="gramEnd"/>
      <w:r w:rsidRPr="006E2583">
        <w:rPr>
          <w:rFonts w:eastAsiaTheme="minorEastAsia"/>
          <w:lang w:val="en-US"/>
        </w:rPr>
        <w:t xml:space="preserve"> 30 June 2024, the </w:t>
      </w:r>
      <w:proofErr w:type="spellStart"/>
      <w:r w:rsidRPr="006E2583">
        <w:rPr>
          <w:rFonts w:eastAsiaTheme="minorEastAsia"/>
          <w:lang w:val="en-US"/>
        </w:rPr>
        <w:t>amortised</w:t>
      </w:r>
      <w:proofErr w:type="spellEnd"/>
      <w:r w:rsidRPr="006E2583">
        <w:rPr>
          <w:rFonts w:eastAsiaTheme="minorEastAsia"/>
          <w:lang w:val="en-US"/>
        </w:rPr>
        <w:t xml:space="preserve"> value of the advances was $1.2</w:t>
      </w:r>
      <w:r w:rsidR="002E6F0C">
        <w:rPr>
          <w:rFonts w:eastAsiaTheme="minorEastAsia"/>
          <w:lang w:val="en-US"/>
        </w:rPr>
        <w:t> billion</w:t>
      </w:r>
      <w:r w:rsidRPr="006E2583">
        <w:rPr>
          <w:rFonts w:eastAsiaTheme="minorEastAsia"/>
          <w:lang w:val="en-US"/>
        </w:rPr>
        <w:t xml:space="preserve"> (and principal value of $1.3</w:t>
      </w:r>
      <w:r w:rsidR="002E6F0C">
        <w:rPr>
          <w:rFonts w:eastAsiaTheme="minorEastAsia"/>
          <w:lang w:val="en-US"/>
        </w:rPr>
        <w:t> billion</w:t>
      </w:r>
      <w:r w:rsidRPr="006E2583">
        <w:rPr>
          <w:rFonts w:eastAsiaTheme="minorEastAsia"/>
          <w:lang w:val="en-US"/>
        </w:rPr>
        <w:t xml:space="preserve">). </w:t>
      </w:r>
    </w:p>
    <w:p w14:paraId="1E195C1A" w14:textId="3E5EB263" w:rsidR="006E2583" w:rsidRPr="006E2583" w:rsidRDefault="006E2583" w:rsidP="005358B1">
      <w:pPr>
        <w:rPr>
          <w:rFonts w:eastAsiaTheme="minorEastAsia"/>
          <w:lang w:val="en-US"/>
        </w:rPr>
      </w:pPr>
      <w:r w:rsidRPr="006E2583">
        <w:rPr>
          <w:rFonts w:eastAsiaTheme="minorEastAsia"/>
          <w:lang w:val="en-US"/>
        </w:rPr>
        <w:t>The Australian Office of Financial Management manages the receipt of interest and principal repayments from state and Northern Territory governments to the Commonwealth.</w:t>
      </w:r>
    </w:p>
    <w:p w14:paraId="4DEF17E1" w14:textId="27A4C893" w:rsidR="006E2583" w:rsidRPr="006E2583" w:rsidRDefault="006E2583" w:rsidP="00965B23">
      <w:pPr>
        <w:pStyle w:val="Heading3"/>
        <w:rPr>
          <w:rFonts w:eastAsia="Arial"/>
        </w:rPr>
      </w:pPr>
      <w:bookmarkStart w:id="141" w:name="_Toc184039527"/>
      <w:r w:rsidRPr="006E2583">
        <w:rPr>
          <w:rFonts w:eastAsia="Arial"/>
        </w:rPr>
        <w:t>International Monetary Fund – Poverty Reduction and Growth Trust</w:t>
      </w:r>
      <w:bookmarkEnd w:id="141"/>
    </w:p>
    <w:p w14:paraId="6873E2AF" w14:textId="4A4C4299" w:rsidR="006E2583" w:rsidRPr="006E2583" w:rsidRDefault="006E2583" w:rsidP="008D70C6">
      <w:pPr>
        <w:rPr>
          <w:rFonts w:eastAsiaTheme="minorEastAsia"/>
          <w:lang w:val="en-US"/>
        </w:rPr>
      </w:pPr>
      <w:r w:rsidRPr="006E2583">
        <w:rPr>
          <w:rFonts w:eastAsiaTheme="minorEastAsia"/>
          <w:lang w:val="en-US"/>
        </w:rPr>
        <w:t>The Australian Government has entered into two agreements to make a line of credit of</w:t>
      </w:r>
      <w:r w:rsidR="00E60CC7">
        <w:rPr>
          <w:rFonts w:eastAsiaTheme="minorEastAsia"/>
          <w:lang w:val="en-US"/>
        </w:rPr>
        <w:t> </w:t>
      </w:r>
      <w:r w:rsidRPr="006E2583">
        <w:rPr>
          <w:rFonts w:eastAsiaTheme="minorEastAsia"/>
          <w:lang w:val="en-US"/>
        </w:rPr>
        <w:t>Special Drawing Rights (SDR) 1</w:t>
      </w:r>
      <w:r w:rsidR="002E6F0C">
        <w:rPr>
          <w:rFonts w:eastAsiaTheme="minorEastAsia"/>
          <w:lang w:val="en-US"/>
        </w:rPr>
        <w:t> billion</w:t>
      </w:r>
      <w:r w:rsidRPr="006E2583">
        <w:rPr>
          <w:rFonts w:eastAsiaTheme="minorEastAsia"/>
          <w:lang w:val="en-US"/>
        </w:rPr>
        <w:t xml:space="preserve"> (approximately A$2.0</w:t>
      </w:r>
      <w:r w:rsidR="002E6F0C">
        <w:rPr>
          <w:rFonts w:eastAsiaTheme="minorEastAsia"/>
          <w:lang w:val="en-US"/>
        </w:rPr>
        <w:t> billion</w:t>
      </w:r>
      <w:r w:rsidRPr="006E2583">
        <w:rPr>
          <w:rFonts w:eastAsiaTheme="minorEastAsia"/>
          <w:lang w:val="en-US"/>
        </w:rPr>
        <w:t xml:space="preserve"> as </w:t>
      </w:r>
      <w:proofErr w:type="gramStart"/>
      <w:r w:rsidRPr="006E2583">
        <w:rPr>
          <w:rFonts w:eastAsiaTheme="minorEastAsia"/>
          <w:lang w:val="en-US"/>
        </w:rPr>
        <w:t>at</w:t>
      </w:r>
      <w:proofErr w:type="gramEnd"/>
      <w:r w:rsidRPr="006E2583">
        <w:rPr>
          <w:rFonts w:eastAsiaTheme="minorEastAsia"/>
          <w:lang w:val="en-US"/>
        </w:rPr>
        <w:t xml:space="preserve"> 22</w:t>
      </w:r>
      <w:r w:rsidR="00E60CC7">
        <w:rPr>
          <w:rFonts w:eastAsiaTheme="minorEastAsia"/>
          <w:lang w:val="en-US"/>
        </w:rPr>
        <w:t> </w:t>
      </w:r>
      <w:r w:rsidRPr="006E2583">
        <w:rPr>
          <w:rFonts w:eastAsiaTheme="minorEastAsia"/>
          <w:lang w:val="en-US"/>
        </w:rPr>
        <w:t>September</w:t>
      </w:r>
      <w:r w:rsidR="00E60CC7">
        <w:rPr>
          <w:rFonts w:eastAsiaTheme="minorEastAsia"/>
          <w:lang w:val="en-US"/>
        </w:rPr>
        <w:t> </w:t>
      </w:r>
      <w:r w:rsidRPr="006E2583">
        <w:rPr>
          <w:rFonts w:eastAsiaTheme="minorEastAsia"/>
          <w:lang w:val="en-US"/>
        </w:rPr>
        <w:t>2024) available to the International Monetary Fund (IMF) under the Poverty</w:t>
      </w:r>
      <w:r w:rsidR="00E60CC7">
        <w:rPr>
          <w:rFonts w:eastAsiaTheme="minorEastAsia"/>
          <w:lang w:val="en-US"/>
        </w:rPr>
        <w:t> </w:t>
      </w:r>
      <w:r w:rsidRPr="006E2583">
        <w:rPr>
          <w:rFonts w:eastAsiaTheme="minorEastAsia"/>
          <w:lang w:val="en-US"/>
        </w:rPr>
        <w:t>Reduction and Growth Trust (PRGT) through to 31 December</w:t>
      </w:r>
      <w:r w:rsidR="00E31025">
        <w:rPr>
          <w:rFonts w:eastAsiaTheme="minorEastAsia"/>
          <w:lang w:val="en-US"/>
        </w:rPr>
        <w:t> </w:t>
      </w:r>
      <w:r w:rsidRPr="006E2583">
        <w:rPr>
          <w:rFonts w:eastAsiaTheme="minorEastAsia"/>
          <w:lang w:val="en-US"/>
        </w:rPr>
        <w:t xml:space="preserve">2029. </w:t>
      </w:r>
    </w:p>
    <w:p w14:paraId="40CC4C82" w14:textId="27983B08" w:rsidR="006E2583" w:rsidRPr="006E2583" w:rsidRDefault="006E2583" w:rsidP="008D70C6">
      <w:pPr>
        <w:rPr>
          <w:rFonts w:eastAsiaTheme="minorEastAsia"/>
          <w:lang w:val="en-US"/>
        </w:rPr>
      </w:pPr>
      <w:r w:rsidRPr="006E2583">
        <w:rPr>
          <w:rFonts w:eastAsiaTheme="minorEastAsia"/>
          <w:lang w:val="en-US"/>
        </w:rPr>
        <w:t>The PRGT provides concessional financial support to low</w:t>
      </w:r>
      <w:r w:rsidR="00B63FC6">
        <w:rPr>
          <w:rFonts w:eastAsiaTheme="minorEastAsia"/>
          <w:lang w:val="en-US"/>
        </w:rPr>
        <w:noBreakHyphen/>
      </w:r>
      <w:r w:rsidRPr="006E2583">
        <w:rPr>
          <w:rFonts w:eastAsiaTheme="minorEastAsia"/>
          <w:lang w:val="en-US"/>
        </w:rPr>
        <w:t>income countries to help them achieve, maintain, or restore a stable and sustainable macroeconomic position. PRGT funds are drawn upon by the IMF as needed and will be repaid in full</w:t>
      </w:r>
      <w:r w:rsidR="00CE6CB4">
        <w:rPr>
          <w:rFonts w:eastAsiaTheme="minorEastAsia"/>
          <w:lang w:val="en-US"/>
        </w:rPr>
        <w:t>,</w:t>
      </w:r>
      <w:r w:rsidRPr="006E2583">
        <w:rPr>
          <w:rFonts w:eastAsiaTheme="minorEastAsia"/>
          <w:lang w:val="en-US"/>
        </w:rPr>
        <w:t xml:space="preserve"> with interest. </w:t>
      </w:r>
    </w:p>
    <w:p w14:paraId="789FF782" w14:textId="7BD832C9" w:rsidR="006E2583" w:rsidRPr="006E2583" w:rsidRDefault="006E2583" w:rsidP="008D70C6">
      <w:pPr>
        <w:rPr>
          <w:rFonts w:eastAsiaTheme="minorEastAsia"/>
          <w:lang w:val="en-US"/>
        </w:rPr>
      </w:pPr>
      <w:r w:rsidRPr="006E2583">
        <w:rPr>
          <w:rFonts w:eastAsiaTheme="minorEastAsia"/>
          <w:lang w:val="en-US"/>
        </w:rPr>
        <w:t>The estimated value of loans outstanding to Australia was SDR 260.5</w:t>
      </w:r>
      <w:r w:rsidR="002E6F0C">
        <w:rPr>
          <w:rFonts w:eastAsiaTheme="minorEastAsia"/>
          <w:lang w:val="en-US"/>
        </w:rPr>
        <w:t> million</w:t>
      </w:r>
      <w:r w:rsidRPr="006E2583">
        <w:rPr>
          <w:rFonts w:eastAsiaTheme="minorEastAsia"/>
          <w:lang w:val="en-US"/>
        </w:rPr>
        <w:t xml:space="preserve"> (approximately A$517.2</w:t>
      </w:r>
      <w:r w:rsidR="002E6F0C">
        <w:rPr>
          <w:rFonts w:eastAsiaTheme="minorEastAsia"/>
          <w:lang w:val="en-US"/>
        </w:rPr>
        <w:t> million</w:t>
      </w:r>
      <w:r w:rsidRPr="006E2583">
        <w:rPr>
          <w:rFonts w:eastAsiaTheme="minorEastAsia"/>
          <w:lang w:val="en-US"/>
        </w:rPr>
        <w:t xml:space="preserve"> as </w:t>
      </w:r>
      <w:proofErr w:type="gramStart"/>
      <w:r w:rsidRPr="006E2583">
        <w:rPr>
          <w:rFonts w:eastAsiaTheme="minorEastAsia"/>
          <w:lang w:val="en-US"/>
        </w:rPr>
        <w:t>at</w:t>
      </w:r>
      <w:proofErr w:type="gramEnd"/>
      <w:r w:rsidRPr="006E2583">
        <w:rPr>
          <w:rFonts w:eastAsiaTheme="minorEastAsia"/>
          <w:lang w:val="en-US"/>
        </w:rPr>
        <w:t xml:space="preserve"> 30 June</w:t>
      </w:r>
      <w:r w:rsidR="00E31025">
        <w:rPr>
          <w:rFonts w:eastAsiaTheme="minorEastAsia"/>
          <w:lang w:val="en-US"/>
        </w:rPr>
        <w:t> </w:t>
      </w:r>
      <w:r w:rsidRPr="006E2583">
        <w:rPr>
          <w:rFonts w:eastAsiaTheme="minorEastAsia"/>
          <w:lang w:val="en-US"/>
        </w:rPr>
        <w:t xml:space="preserve">2024). </w:t>
      </w:r>
    </w:p>
    <w:p w14:paraId="2BE71FBA" w14:textId="76518D59" w:rsidR="006E2583" w:rsidRPr="006E2583" w:rsidRDefault="006E2583" w:rsidP="008D70C6">
      <w:pPr>
        <w:rPr>
          <w:rFonts w:eastAsiaTheme="minorEastAsia"/>
          <w:lang w:val="en-US"/>
        </w:rPr>
      </w:pPr>
      <w:r w:rsidRPr="006E2583">
        <w:rPr>
          <w:rFonts w:eastAsiaTheme="minorEastAsia"/>
          <w:lang w:val="en-US"/>
        </w:rPr>
        <w:t>On 11 October 2022, the Government entered into an agreement to lend SDR 1</w:t>
      </w:r>
      <w:r w:rsidR="002E6F0C">
        <w:rPr>
          <w:rFonts w:eastAsiaTheme="minorEastAsia"/>
          <w:lang w:val="en-US"/>
        </w:rPr>
        <w:t> billion</w:t>
      </w:r>
      <w:r w:rsidRPr="006E2583">
        <w:rPr>
          <w:rFonts w:eastAsiaTheme="minorEastAsia"/>
          <w:lang w:val="en-US"/>
        </w:rPr>
        <w:t xml:space="preserve"> (approximately A$2.0</w:t>
      </w:r>
      <w:r w:rsidR="002E6F0C">
        <w:rPr>
          <w:rFonts w:eastAsiaTheme="minorEastAsia"/>
          <w:lang w:val="en-US"/>
        </w:rPr>
        <w:t> billion</w:t>
      </w:r>
      <w:r w:rsidRPr="006E2583">
        <w:rPr>
          <w:rFonts w:eastAsiaTheme="minorEastAsia"/>
          <w:lang w:val="en-US"/>
        </w:rPr>
        <w:t xml:space="preserve"> as </w:t>
      </w:r>
      <w:proofErr w:type="gramStart"/>
      <w:r w:rsidRPr="006E2583">
        <w:rPr>
          <w:rFonts w:eastAsiaTheme="minorEastAsia"/>
          <w:lang w:val="en-US"/>
        </w:rPr>
        <w:t>at</w:t>
      </w:r>
      <w:proofErr w:type="gramEnd"/>
      <w:r w:rsidRPr="006E2583">
        <w:rPr>
          <w:rFonts w:eastAsiaTheme="minorEastAsia"/>
          <w:lang w:val="en-US"/>
        </w:rPr>
        <w:t xml:space="preserve"> 30 June 2024) to the PRGT Pooled Investments, in order to provide subsidy resources to the PRGT of SDR 36</w:t>
      </w:r>
      <w:r w:rsidR="002E6F0C">
        <w:rPr>
          <w:rFonts w:eastAsiaTheme="minorEastAsia"/>
          <w:lang w:val="en-US"/>
        </w:rPr>
        <w:t> million</w:t>
      </w:r>
      <w:r w:rsidRPr="006E2583">
        <w:rPr>
          <w:rFonts w:eastAsiaTheme="minorEastAsia"/>
          <w:lang w:val="en-US"/>
        </w:rPr>
        <w:t xml:space="preserve"> (approximately A$71.4</w:t>
      </w:r>
      <w:r w:rsidR="002E6F0C">
        <w:rPr>
          <w:rFonts w:eastAsiaTheme="minorEastAsia"/>
          <w:lang w:val="en-US"/>
        </w:rPr>
        <w:t> million</w:t>
      </w:r>
      <w:r w:rsidRPr="006E2583">
        <w:rPr>
          <w:rFonts w:eastAsiaTheme="minorEastAsia"/>
          <w:lang w:val="en-US"/>
        </w:rPr>
        <w:t xml:space="preserve"> as at 22 September 2024). This loan was drawn down by the IMF on 21 October 2022. On 30</w:t>
      </w:r>
      <w:r w:rsidR="00626714">
        <w:rPr>
          <w:rFonts w:eastAsiaTheme="minorEastAsia"/>
          <w:lang w:val="en-US"/>
        </w:rPr>
        <w:t> </w:t>
      </w:r>
      <w:r w:rsidRPr="006E2583">
        <w:rPr>
          <w:rFonts w:eastAsiaTheme="minorEastAsia"/>
          <w:lang w:val="en-US"/>
        </w:rPr>
        <w:t>October 2023 the Government advised the IMF that it would increase the subsidy resources provided to SDR 82</w:t>
      </w:r>
      <w:r w:rsidR="002E6F0C">
        <w:rPr>
          <w:rFonts w:eastAsiaTheme="minorEastAsia"/>
          <w:lang w:val="en-US"/>
        </w:rPr>
        <w:t> million</w:t>
      </w:r>
      <w:r w:rsidRPr="006E2583">
        <w:rPr>
          <w:rFonts w:eastAsiaTheme="minorEastAsia"/>
          <w:lang w:val="en-US"/>
        </w:rPr>
        <w:t xml:space="preserve"> (approximately A$162.7</w:t>
      </w:r>
      <w:r w:rsidR="002E6F0C">
        <w:rPr>
          <w:rFonts w:eastAsiaTheme="minorEastAsia"/>
          <w:lang w:val="en-US"/>
        </w:rPr>
        <w:t> million</w:t>
      </w:r>
      <w:r w:rsidRPr="006E2583">
        <w:rPr>
          <w:rFonts w:eastAsiaTheme="minorEastAsia"/>
          <w:lang w:val="en-US"/>
        </w:rPr>
        <w:t xml:space="preserve"> as </w:t>
      </w:r>
      <w:proofErr w:type="gramStart"/>
      <w:r w:rsidRPr="006E2583">
        <w:rPr>
          <w:rFonts w:eastAsiaTheme="minorEastAsia"/>
          <w:lang w:val="en-US"/>
        </w:rPr>
        <w:t>at</w:t>
      </w:r>
      <w:proofErr w:type="gramEnd"/>
      <w:r w:rsidRPr="006E2583">
        <w:rPr>
          <w:rFonts w:eastAsiaTheme="minorEastAsia"/>
          <w:lang w:val="en-US"/>
        </w:rPr>
        <w:t xml:space="preserve"> 22</w:t>
      </w:r>
      <w:r w:rsidR="004D2888">
        <w:rPr>
          <w:rFonts w:eastAsiaTheme="minorEastAsia"/>
          <w:lang w:val="en-US"/>
        </w:rPr>
        <w:t> </w:t>
      </w:r>
      <w:r w:rsidRPr="006E2583">
        <w:rPr>
          <w:rFonts w:eastAsiaTheme="minorEastAsia"/>
          <w:lang w:val="en-US"/>
        </w:rPr>
        <w:t>September</w:t>
      </w:r>
      <w:r w:rsidR="004D2888">
        <w:rPr>
          <w:rFonts w:eastAsiaTheme="minorEastAsia"/>
          <w:lang w:val="en-US"/>
        </w:rPr>
        <w:t> </w:t>
      </w:r>
      <w:r w:rsidRPr="006E2583">
        <w:rPr>
          <w:rFonts w:eastAsiaTheme="minorEastAsia"/>
          <w:lang w:val="en-US"/>
        </w:rPr>
        <w:t xml:space="preserve">2024). </w:t>
      </w:r>
    </w:p>
    <w:p w14:paraId="5CB8F2D1" w14:textId="77777777" w:rsidR="006E2583" w:rsidRPr="006E2583" w:rsidRDefault="006E2583" w:rsidP="008D70C6">
      <w:pPr>
        <w:rPr>
          <w:rFonts w:eastAsiaTheme="minorEastAsia"/>
          <w:lang w:val="en-US"/>
        </w:rPr>
      </w:pPr>
      <w:r w:rsidRPr="006E2583">
        <w:rPr>
          <w:rFonts w:eastAsiaTheme="minorEastAsia"/>
          <w:lang w:val="en-US"/>
        </w:rPr>
        <w:t>PRGT Pooled Investments funds will be repaid in full, with interest.</w:t>
      </w:r>
    </w:p>
    <w:p w14:paraId="3E482A5F" w14:textId="44A2799C" w:rsidR="006E2583" w:rsidRPr="006E2583" w:rsidRDefault="006E2583" w:rsidP="00965B23">
      <w:pPr>
        <w:pStyle w:val="Heading3"/>
        <w:rPr>
          <w:rFonts w:eastAsia="Arial"/>
        </w:rPr>
      </w:pPr>
      <w:bookmarkStart w:id="142" w:name="_Toc184039528"/>
      <w:r w:rsidRPr="006E2583">
        <w:rPr>
          <w:rFonts w:eastAsia="Arial"/>
        </w:rPr>
        <w:t>International Monetary Fund – Resilience and Sustainability Trust</w:t>
      </w:r>
      <w:bookmarkEnd w:id="142"/>
    </w:p>
    <w:p w14:paraId="718E4E4F" w14:textId="50597217" w:rsidR="006E2583" w:rsidRPr="006E2583" w:rsidRDefault="006E2583" w:rsidP="005358B1">
      <w:pPr>
        <w:rPr>
          <w:rFonts w:eastAsiaTheme="minorEastAsia"/>
          <w:lang w:val="en-US"/>
        </w:rPr>
      </w:pPr>
      <w:r w:rsidRPr="006E2583">
        <w:rPr>
          <w:rFonts w:eastAsiaTheme="minorEastAsia"/>
          <w:lang w:val="en-US"/>
        </w:rPr>
        <w:t>On 11 October 2022, the Australian Government entered into an agreement to make a Special Drawing Rights (SDR) 760</w:t>
      </w:r>
      <w:r w:rsidR="002E6F0C">
        <w:rPr>
          <w:rFonts w:eastAsiaTheme="minorEastAsia"/>
          <w:lang w:val="en-US"/>
        </w:rPr>
        <w:t> million</w:t>
      </w:r>
      <w:r w:rsidRPr="006E2583">
        <w:rPr>
          <w:rFonts w:eastAsiaTheme="minorEastAsia"/>
          <w:lang w:val="en-US"/>
        </w:rPr>
        <w:t xml:space="preserve"> (approximately A$1.5</w:t>
      </w:r>
      <w:r w:rsidR="002E6F0C">
        <w:rPr>
          <w:rFonts w:eastAsiaTheme="minorEastAsia"/>
          <w:lang w:val="en-US"/>
        </w:rPr>
        <w:t> billion</w:t>
      </w:r>
      <w:r w:rsidRPr="006E2583">
        <w:rPr>
          <w:rFonts w:eastAsiaTheme="minorEastAsia"/>
          <w:lang w:val="en-US"/>
        </w:rPr>
        <w:t xml:space="preserve"> as </w:t>
      </w:r>
      <w:proofErr w:type="gramStart"/>
      <w:r w:rsidRPr="006E2583">
        <w:rPr>
          <w:rFonts w:eastAsiaTheme="minorEastAsia"/>
          <w:lang w:val="en-US"/>
        </w:rPr>
        <w:t>at</w:t>
      </w:r>
      <w:proofErr w:type="gramEnd"/>
      <w:r w:rsidRPr="006E2583">
        <w:rPr>
          <w:rFonts w:eastAsiaTheme="minorEastAsia"/>
          <w:lang w:val="en-US"/>
        </w:rPr>
        <w:t xml:space="preserve"> 22</w:t>
      </w:r>
      <w:r w:rsidR="00541CB7" w:rsidRPr="005F6D17">
        <w:rPr>
          <w:rFonts w:eastAsia="Book Antiqua"/>
        </w:rPr>
        <w:t> </w:t>
      </w:r>
      <w:r w:rsidRPr="006E2583">
        <w:rPr>
          <w:rFonts w:eastAsiaTheme="minorEastAsia"/>
          <w:lang w:val="en-US"/>
        </w:rPr>
        <w:t>September</w:t>
      </w:r>
      <w:r w:rsidR="00541CB7" w:rsidRPr="005F6D17">
        <w:rPr>
          <w:rFonts w:eastAsia="Book Antiqua"/>
        </w:rPr>
        <w:t> </w:t>
      </w:r>
      <w:r w:rsidRPr="006E2583">
        <w:rPr>
          <w:rFonts w:eastAsiaTheme="minorEastAsia"/>
          <w:lang w:val="en-US"/>
        </w:rPr>
        <w:t>2024) line of credit available to the International Monetary Fund (IMF) under the Resilience and Sustainability Trust</w:t>
      </w:r>
      <w:r w:rsidR="00B63FC6">
        <w:rPr>
          <w:rFonts w:eastAsiaTheme="minorEastAsia"/>
          <w:lang w:val="en-US"/>
        </w:rPr>
        <w:t>’</w:t>
      </w:r>
      <w:r w:rsidRPr="006E2583">
        <w:rPr>
          <w:rFonts w:eastAsiaTheme="minorEastAsia"/>
          <w:lang w:val="en-US"/>
        </w:rPr>
        <w:t>s Loan Account through to 30 November 2030. The Resilience and Sustainability Trust Loan Account provides affordable long</w:t>
      </w:r>
      <w:r w:rsidR="00B63FC6">
        <w:rPr>
          <w:rFonts w:eastAsiaTheme="minorEastAsia"/>
          <w:lang w:val="en-US"/>
        </w:rPr>
        <w:noBreakHyphen/>
      </w:r>
      <w:r w:rsidRPr="006E2583">
        <w:rPr>
          <w:rFonts w:eastAsiaTheme="minorEastAsia"/>
          <w:lang w:val="en-US"/>
        </w:rPr>
        <w:t xml:space="preserve">term financing to help vulnerable countries build economic resilience and sustainability to address the </w:t>
      </w:r>
      <w:r w:rsidRPr="006E2583">
        <w:rPr>
          <w:rFonts w:eastAsiaTheme="minorEastAsia"/>
          <w:lang w:val="en-US"/>
        </w:rPr>
        <w:lastRenderedPageBreak/>
        <w:t xml:space="preserve">risks stemming from climate change and pandemics. Resilience and Sustainability Trust Loan Account funds are drawn upon by the IMF as needed and will be repaid in full, with interest. As </w:t>
      </w:r>
      <w:proofErr w:type="gramStart"/>
      <w:r w:rsidRPr="006E2583">
        <w:rPr>
          <w:rFonts w:eastAsiaTheme="minorEastAsia"/>
          <w:lang w:val="en-US"/>
        </w:rPr>
        <w:t>at</w:t>
      </w:r>
      <w:proofErr w:type="gramEnd"/>
      <w:r w:rsidRPr="006E2583">
        <w:rPr>
          <w:rFonts w:eastAsiaTheme="minorEastAsia"/>
          <w:lang w:val="en-US"/>
        </w:rPr>
        <w:t xml:space="preserve"> 30 June 2024, SDR 14.2</w:t>
      </w:r>
      <w:r w:rsidR="002E6F0C">
        <w:rPr>
          <w:rFonts w:eastAsiaTheme="minorEastAsia"/>
          <w:lang w:val="en-US"/>
        </w:rPr>
        <w:t> million</w:t>
      </w:r>
      <w:r w:rsidRPr="006E2583">
        <w:rPr>
          <w:rFonts w:eastAsiaTheme="minorEastAsia"/>
          <w:lang w:val="en-US"/>
        </w:rPr>
        <w:t xml:space="preserve"> </w:t>
      </w:r>
      <w:r w:rsidRPr="00C36682">
        <w:rPr>
          <w:rFonts w:eastAsiaTheme="minorEastAsia"/>
          <w:lang w:val="en-US"/>
        </w:rPr>
        <w:t>(approximately A$28.1</w:t>
      </w:r>
      <w:r w:rsidR="002E6F0C">
        <w:rPr>
          <w:rFonts w:eastAsiaTheme="minorEastAsia"/>
          <w:lang w:val="en-US"/>
        </w:rPr>
        <w:t> million</w:t>
      </w:r>
      <w:r w:rsidRPr="00C36682">
        <w:rPr>
          <w:rFonts w:eastAsiaTheme="minorEastAsia"/>
          <w:lang w:val="en-US"/>
        </w:rPr>
        <w:t xml:space="preserve"> as at 30</w:t>
      </w:r>
      <w:r w:rsidR="004D2888">
        <w:rPr>
          <w:rFonts w:eastAsiaTheme="minorEastAsia"/>
          <w:lang w:val="en-US"/>
        </w:rPr>
        <w:t> </w:t>
      </w:r>
      <w:r w:rsidRPr="00C36682">
        <w:rPr>
          <w:rFonts w:eastAsiaTheme="minorEastAsia"/>
          <w:lang w:val="en-US"/>
        </w:rPr>
        <w:t>June</w:t>
      </w:r>
      <w:r w:rsidR="008D70C6">
        <w:rPr>
          <w:rFonts w:eastAsiaTheme="minorEastAsia"/>
          <w:lang w:val="en-US"/>
        </w:rPr>
        <w:t> </w:t>
      </w:r>
      <w:r w:rsidRPr="00C36682">
        <w:rPr>
          <w:rFonts w:eastAsiaTheme="minorEastAsia"/>
          <w:lang w:val="en-US"/>
        </w:rPr>
        <w:t>2024)</w:t>
      </w:r>
      <w:r w:rsidRPr="006E2583">
        <w:rPr>
          <w:rFonts w:eastAsiaTheme="minorEastAsia"/>
          <w:lang w:val="en-US"/>
        </w:rPr>
        <w:t xml:space="preserve"> has been drawn down, leaving SDR 745.8</w:t>
      </w:r>
      <w:r w:rsidR="002E6F0C">
        <w:rPr>
          <w:rFonts w:eastAsiaTheme="minorEastAsia"/>
          <w:lang w:val="en-US"/>
        </w:rPr>
        <w:t> million</w:t>
      </w:r>
      <w:r w:rsidRPr="006E2583">
        <w:rPr>
          <w:rFonts w:eastAsiaTheme="minorEastAsia"/>
          <w:lang w:val="en-US"/>
        </w:rPr>
        <w:t xml:space="preserve"> (approximately A$1.5</w:t>
      </w:r>
      <w:r w:rsidR="002E6F0C">
        <w:rPr>
          <w:rFonts w:eastAsiaTheme="minorEastAsia"/>
          <w:lang w:val="en-US"/>
        </w:rPr>
        <w:t> billion</w:t>
      </w:r>
      <w:r w:rsidRPr="006E2583">
        <w:rPr>
          <w:rFonts w:eastAsiaTheme="minorEastAsia"/>
          <w:lang w:val="en-US"/>
        </w:rPr>
        <w:t xml:space="preserve"> as at 22 September 2024) available to the IMF under the Resilience and Sustainability Trust. </w:t>
      </w:r>
    </w:p>
    <w:p w14:paraId="7B5F17B2" w14:textId="1D58A6D2" w:rsidR="006E2583" w:rsidRPr="006E2583" w:rsidRDefault="006E2583" w:rsidP="005358B1">
      <w:pPr>
        <w:rPr>
          <w:rFonts w:eastAsiaTheme="minorEastAsia"/>
          <w:lang w:val="en-US"/>
        </w:rPr>
      </w:pPr>
      <w:r w:rsidRPr="006E2583">
        <w:rPr>
          <w:rFonts w:eastAsiaTheme="minorEastAsia"/>
          <w:lang w:val="en-US"/>
        </w:rPr>
        <w:t>Additionally, on 11 October 2022, the Australian Government entered into an agreement to lend SDR 152</w:t>
      </w:r>
      <w:r w:rsidR="002E6F0C">
        <w:rPr>
          <w:rFonts w:eastAsiaTheme="minorEastAsia"/>
          <w:lang w:val="en-US"/>
        </w:rPr>
        <w:t> million</w:t>
      </w:r>
      <w:r w:rsidRPr="006E2583">
        <w:rPr>
          <w:rFonts w:eastAsiaTheme="minorEastAsia"/>
          <w:lang w:val="en-US"/>
        </w:rPr>
        <w:t xml:space="preserve"> (approximately A$301.7</w:t>
      </w:r>
      <w:r w:rsidR="002E6F0C">
        <w:rPr>
          <w:rFonts w:eastAsiaTheme="minorEastAsia"/>
          <w:lang w:val="en-US"/>
        </w:rPr>
        <w:t> million</w:t>
      </w:r>
      <w:r w:rsidRPr="006E2583">
        <w:rPr>
          <w:rFonts w:eastAsiaTheme="minorEastAsia"/>
          <w:lang w:val="en-US"/>
        </w:rPr>
        <w:t xml:space="preserve"> as </w:t>
      </w:r>
      <w:proofErr w:type="gramStart"/>
      <w:r w:rsidRPr="006E2583">
        <w:rPr>
          <w:rFonts w:eastAsiaTheme="minorEastAsia"/>
          <w:lang w:val="en-US"/>
        </w:rPr>
        <w:t>at</w:t>
      </w:r>
      <w:proofErr w:type="gramEnd"/>
      <w:r w:rsidRPr="006E2583">
        <w:rPr>
          <w:rFonts w:eastAsiaTheme="minorEastAsia"/>
          <w:lang w:val="en-US"/>
        </w:rPr>
        <w:t xml:space="preserve"> 30 June 2024) to the Resilience and Sustainability Trust Deposit Account through to 30 November 2050, and SDR 15.2</w:t>
      </w:r>
      <w:r w:rsidR="002E6F0C">
        <w:rPr>
          <w:rFonts w:eastAsiaTheme="minorEastAsia"/>
          <w:lang w:val="en-US"/>
        </w:rPr>
        <w:t> million</w:t>
      </w:r>
      <w:r w:rsidRPr="006E2583">
        <w:rPr>
          <w:rFonts w:eastAsiaTheme="minorEastAsia"/>
          <w:lang w:val="en-US"/>
        </w:rPr>
        <w:t xml:space="preserve"> (approximately A$30.2</w:t>
      </w:r>
      <w:r w:rsidR="002E6F0C">
        <w:rPr>
          <w:rFonts w:eastAsiaTheme="minorEastAsia"/>
          <w:lang w:val="en-US"/>
        </w:rPr>
        <w:t> million</w:t>
      </w:r>
      <w:r w:rsidRPr="006E2583">
        <w:rPr>
          <w:rFonts w:eastAsiaTheme="minorEastAsia"/>
          <w:lang w:val="en-US"/>
        </w:rPr>
        <w:t xml:space="preserve"> as at 30 June 2024) to the Resilience and Sustainability Trust Reserve Account through to liquidation of the Trust. </w:t>
      </w:r>
    </w:p>
    <w:p w14:paraId="0A1CF031" w14:textId="4471AC69" w:rsidR="006E2583" w:rsidRPr="006E2583" w:rsidRDefault="006E2583" w:rsidP="005358B1">
      <w:pPr>
        <w:rPr>
          <w:rFonts w:eastAsiaTheme="minorEastAsia"/>
          <w:lang w:val="en-US"/>
        </w:rPr>
      </w:pPr>
      <w:r w:rsidRPr="006E2583">
        <w:rPr>
          <w:rFonts w:eastAsiaTheme="minorEastAsia"/>
          <w:lang w:val="en-US"/>
        </w:rPr>
        <w:t xml:space="preserve">Resilience and Sustainability Trust Deposit Account funds will be repaid in full, with interest. Resilience and Sustainability Trust Reserve Account funds will be repaid on liquidation of the Trust and will not accrue interest. </w:t>
      </w:r>
    </w:p>
    <w:p w14:paraId="13374A44" w14:textId="77777777" w:rsidR="006E2583" w:rsidRPr="006E2583" w:rsidRDefault="006E2583" w:rsidP="005358B1">
      <w:pPr>
        <w:rPr>
          <w:rFonts w:eastAsiaTheme="minorEastAsia"/>
          <w:lang w:val="en-US"/>
        </w:rPr>
      </w:pPr>
      <w:r w:rsidRPr="006E2583">
        <w:rPr>
          <w:rFonts w:eastAsiaTheme="minorEastAsia"/>
          <w:lang w:val="en-US"/>
        </w:rPr>
        <w:t>These additional contributions will enable the IMF to build sufficient reserves over time to manage risks associated with Resilience and Sustainability Trust lending such as potential late payments.</w:t>
      </w:r>
    </w:p>
    <w:sectPr w:rsidR="006E2583" w:rsidRPr="006E2583" w:rsidSect="00054CCC">
      <w:headerReference w:type="even" r:id="rId18"/>
      <w:headerReference w:type="default" r:id="rId19"/>
      <w:footerReference w:type="even" r:id="rId20"/>
      <w:footerReference w:type="default" r:id="rId21"/>
      <w:headerReference w:type="first" r:id="rId22"/>
      <w:footerReference w:type="first" r:id="rId23"/>
      <w:pgSz w:w="11906" w:h="16838" w:code="9"/>
      <w:pgMar w:top="2835" w:right="2098" w:bottom="2466"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40B5B" w14:textId="77777777" w:rsidR="009B3FCC" w:rsidRDefault="009B3FCC" w:rsidP="00E40261">
      <w:pPr>
        <w:spacing w:after="0" w:line="240" w:lineRule="auto"/>
      </w:pPr>
      <w:r>
        <w:separator/>
      </w:r>
    </w:p>
  </w:endnote>
  <w:endnote w:type="continuationSeparator" w:id="0">
    <w:p w14:paraId="6A012093" w14:textId="77777777" w:rsidR="009B3FCC" w:rsidRDefault="009B3FCC" w:rsidP="00E40261">
      <w:pPr>
        <w:spacing w:after="0" w:line="240" w:lineRule="auto"/>
      </w:pPr>
      <w:r>
        <w:continuationSeparator/>
      </w:r>
    </w:p>
  </w:endnote>
  <w:endnote w:type="continuationNotice" w:id="1">
    <w:p w14:paraId="16955793" w14:textId="77777777" w:rsidR="009B3FCC" w:rsidRDefault="009B3FC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A3819" w14:textId="2402F390" w:rsidR="00BD0221" w:rsidRDefault="00F4496B" w:rsidP="00F4496B">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6</w:t>
    </w:r>
    <w:r w:rsidRPr="00B3705D">
      <w:rPr>
        <w:b/>
        <w:bCs/>
      </w:rPr>
      <w:fldChar w:fldCharType="end"/>
    </w:r>
    <w:r w:rsidRPr="00B3705D">
      <w:t xml:space="preserve">  |  </w:t>
    </w:r>
    <w:fldSimple w:instr=" SUBJECT   \* MERGEFORMAT ">
      <w:r w:rsidR="00AA27F8">
        <w:t>Part 6: Statement of Risks</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1F80C" w14:textId="4E3F88C9" w:rsidR="00BA7D5D" w:rsidRDefault="00000000" w:rsidP="00F4496B">
    <w:pPr>
      <w:pStyle w:val="FooterOdd"/>
    </w:pPr>
    <w:fldSimple w:instr=" SUBJECT   \* MERGEFORMAT ">
      <w:r w:rsidR="00AA27F8">
        <w:t>Part 6: Statement of Risks</w:t>
      </w:r>
    </w:fldSimple>
    <w:r w:rsidR="00F4496B" w:rsidRPr="00B3705D">
      <w:t xml:space="preserve">  |  </w:t>
    </w:r>
    <w:r w:rsidR="00F4496B" w:rsidRPr="00B3705D">
      <w:rPr>
        <w:b/>
        <w:bCs/>
      </w:rPr>
      <w:t xml:space="preserve">Page </w:t>
    </w:r>
    <w:r w:rsidR="00F4496B" w:rsidRPr="00B3705D">
      <w:rPr>
        <w:b/>
        <w:bCs/>
      </w:rPr>
      <w:fldChar w:fldCharType="begin"/>
    </w:r>
    <w:r w:rsidR="00F4496B" w:rsidRPr="00B3705D">
      <w:rPr>
        <w:b/>
        <w:bCs/>
      </w:rPr>
      <w:instrText xml:space="preserve"> PAGE  \* Arabic  \* MERGEFORMAT </w:instrText>
    </w:r>
    <w:r w:rsidR="00F4496B" w:rsidRPr="00B3705D">
      <w:rPr>
        <w:b/>
        <w:bCs/>
      </w:rPr>
      <w:fldChar w:fldCharType="separate"/>
    </w:r>
    <w:r w:rsidR="00F4496B">
      <w:rPr>
        <w:b/>
        <w:bCs/>
      </w:rPr>
      <w:t>1</w:t>
    </w:r>
    <w:r w:rsidR="00F4496B" w:rsidRPr="00B3705D">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B8470" w14:textId="2C702C3D" w:rsidR="00BD0221" w:rsidRDefault="00000000" w:rsidP="00F4496B">
    <w:pPr>
      <w:pStyle w:val="FooterOdd"/>
    </w:pPr>
    <w:fldSimple w:instr=" SUBJECT   \* MERGEFORMAT ">
      <w:r w:rsidR="00AA27F8">
        <w:t>Part 6: Statement of Risks</w:t>
      </w:r>
    </w:fldSimple>
    <w:r w:rsidR="00F4496B" w:rsidRPr="00B3705D">
      <w:t xml:space="preserve">  |  </w:t>
    </w:r>
    <w:r w:rsidR="00F4496B" w:rsidRPr="00B3705D">
      <w:rPr>
        <w:b/>
        <w:bCs/>
      </w:rPr>
      <w:t xml:space="preserve">Page </w:t>
    </w:r>
    <w:r w:rsidR="00F4496B" w:rsidRPr="00B3705D">
      <w:rPr>
        <w:b/>
        <w:bCs/>
      </w:rPr>
      <w:fldChar w:fldCharType="begin"/>
    </w:r>
    <w:r w:rsidR="00F4496B" w:rsidRPr="00B3705D">
      <w:rPr>
        <w:b/>
        <w:bCs/>
      </w:rPr>
      <w:instrText xml:space="preserve"> PAGE  \* Arabic  \* MERGEFORMAT </w:instrText>
    </w:r>
    <w:r w:rsidR="00F4496B" w:rsidRPr="00B3705D">
      <w:rPr>
        <w:b/>
        <w:bCs/>
      </w:rPr>
      <w:fldChar w:fldCharType="separate"/>
    </w:r>
    <w:r w:rsidR="00F4496B">
      <w:rPr>
        <w:b/>
        <w:bCs/>
      </w:rPr>
      <w:t>1</w:t>
    </w:r>
    <w:r w:rsidR="00F4496B" w:rsidRPr="00B3705D">
      <w:rPr>
        <w:b/>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B8D31" w14:textId="0065E3C7" w:rsidR="00FC0BFF" w:rsidRPr="00A240DA" w:rsidRDefault="00FC0BFF" w:rsidP="00C03DF9">
    <w:pPr>
      <w:pStyle w:val="Footer"/>
    </w:pPr>
    <w:r w:rsidRPr="005E792C">
      <w:rPr>
        <w:noProof/>
        <w:sz w:val="2"/>
        <w:szCs w:val="2"/>
      </w:rPr>
      <mc:AlternateContent>
        <mc:Choice Requires="wps">
          <w:drawing>
            <wp:anchor distT="0" distB="0" distL="114300" distR="114300" simplePos="0" relativeHeight="251658243" behindDoc="0" locked="0" layoutInCell="1" allowOverlap="1" wp14:anchorId="3C09D772" wp14:editId="5FDFEC22">
              <wp:simplePos x="0" y="0"/>
              <wp:positionH relativeFrom="column">
                <wp:posOffset>-541020</wp:posOffset>
              </wp:positionH>
              <wp:positionV relativeFrom="margin">
                <wp:align>top</wp:align>
              </wp:positionV>
              <wp:extent cx="399600" cy="4896000"/>
              <wp:effectExtent l="0" t="0" r="635" b="0"/>
              <wp:wrapNone/>
              <wp:docPr id="127" name="Text Box 1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w="9525">
                        <a:noFill/>
                        <a:miter lim="800000"/>
                        <a:headEnd/>
                        <a:tailEnd/>
                      </a:ln>
                    </wps:spPr>
                    <wps:txbx>
                      <w:txbxContent>
                        <w:p w14:paraId="15808F2B" w14:textId="49D8FB16" w:rsidR="00FC0BFF" w:rsidRDefault="00FC0BFF" w:rsidP="00447E2C">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2</w:t>
                          </w:r>
                          <w:r w:rsidRPr="00B3705D">
                            <w:rPr>
                              <w:b/>
                              <w:bCs/>
                            </w:rPr>
                            <w:fldChar w:fldCharType="end"/>
                          </w:r>
                          <w:r w:rsidRPr="00B3705D">
                            <w:t xml:space="preserve">  |  </w:t>
                          </w:r>
                          <w:r w:rsidR="00202093">
                            <w:t>Part</w:t>
                          </w:r>
                          <w:r w:rsidRPr="00341168">
                            <w:t xml:space="preserve"> </w:t>
                          </w:r>
                          <w:r w:rsidR="00202093">
                            <w:t>6</w:t>
                          </w:r>
                          <w:r w:rsidRPr="00341168">
                            <w:t>: Statement of Risks</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09D772" id="_x0000_t202" coordsize="21600,21600" o:spt="202" path="m,l,21600r21600,l21600,xe">
              <v:stroke joinstyle="miter"/>
              <v:path gradientshapeok="t" o:connecttype="rect"/>
            </v:shapetype>
            <v:shape id="Text Box 127" o:spid="_x0000_s1029" type="#_x0000_t202" alt="&quot;&quot;" style="position:absolute;left:0;text-align:left;margin-left:-42.6pt;margin-top:0;width:31.45pt;height:385.5pt;z-index:251658243;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" stroked="f">
              <v:textbox style="layout-flow:vertical" inset="0,0,0,0">
                <w:txbxContent>
                  <w:p w14:paraId="15808F2B" w14:textId="49D8FB16" w:rsidR="00FC0BFF" w:rsidRDefault="00FC0BFF" w:rsidP="00447E2C">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2</w:t>
                    </w:r>
                    <w:r w:rsidRPr="00B3705D">
                      <w:rPr>
                        <w:b/>
                        <w:bCs/>
                      </w:rPr>
                      <w:fldChar w:fldCharType="end"/>
                    </w:r>
                    <w:r w:rsidRPr="00B3705D">
                      <w:t xml:space="preserve">  |  </w:t>
                    </w:r>
                    <w:r w:rsidR="00202093">
                      <w:t>Part</w:t>
                    </w:r>
                    <w:r w:rsidRPr="00341168">
                      <w:t xml:space="preserve"> </w:t>
                    </w:r>
                    <w:r w:rsidR="00202093">
                      <w:t>6</w:t>
                    </w:r>
                    <w:r w:rsidRPr="00341168">
                      <w:t>: Statement of Risks</w:t>
                    </w:r>
                  </w:p>
                </w:txbxContent>
              </v:textbox>
              <w10:wrap anchory="margin"/>
            </v:shape>
          </w:pict>
        </mc:Fallback>
      </mc:AlternateContent>
    </w:r>
    <w:r w:rsidRPr="005E792C">
      <w:rPr>
        <w:noProof/>
        <w:sz w:val="2"/>
        <w:szCs w:val="2"/>
      </w:rPr>
      <mc:AlternateContent>
        <mc:Choice Requires="wps">
          <w:drawing>
            <wp:anchor distT="0" distB="0" distL="114300" distR="114300" simplePos="0" relativeHeight="251658242" behindDoc="0" locked="0" layoutInCell="1" allowOverlap="1" wp14:anchorId="376F2B14" wp14:editId="3ED471A9">
              <wp:simplePos x="0" y="0"/>
              <wp:positionH relativeFrom="column">
                <wp:posOffset>-541020</wp:posOffset>
              </wp:positionH>
              <wp:positionV relativeFrom="margin">
                <wp:align>top</wp:align>
              </wp:positionV>
              <wp:extent cx="399600" cy="4896000"/>
              <wp:effectExtent l="0" t="0" r="635" b="0"/>
              <wp:wrapNone/>
              <wp:docPr id="6"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w="9525">
                        <a:noFill/>
                        <a:miter lim="800000"/>
                        <a:headEnd/>
                        <a:tailEnd/>
                      </a:ln>
                    </wps:spPr>
                    <wps:txbx>
                      <w:txbxContent>
                        <w:p w14:paraId="463F9AA8" w14:textId="1F48031D" w:rsidR="00FC0BFF" w:rsidRDefault="00FC0BFF" w:rsidP="00447E2C">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2</w:t>
                          </w:r>
                          <w:r w:rsidRPr="00B3705D">
                            <w:rPr>
                              <w:b/>
                              <w:bCs/>
                            </w:rPr>
                            <w:fldChar w:fldCharType="end"/>
                          </w:r>
                          <w:r w:rsidRPr="00B3705D">
                            <w:t xml:space="preserve">  |  </w:t>
                          </w:r>
                          <w:fldSimple w:instr="SUBJECT   \* MERGEFORMAT">
                            <w:r w:rsidR="00AA27F8">
                              <w:t>Part 6: Statement of Risks</w:t>
                            </w:r>
                          </w:fldSimple>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F2B14" id="_x0000_s1030" type="#_x0000_t202" alt="&quot;&quot;" style="position:absolute;left:0;text-align:left;margin-left:-42.6pt;margin-top:0;width:31.45pt;height:385.5pt;z-index:251658242;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" stroked="f">
              <v:textbox style="layout-flow:vertical" inset="0,0,0,0">
                <w:txbxContent>
                  <w:p w14:paraId="463F9AA8" w14:textId="1F48031D" w:rsidR="00FC0BFF" w:rsidRDefault="00FC0BFF" w:rsidP="00447E2C">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2</w:t>
                    </w:r>
                    <w:r w:rsidRPr="00B3705D">
                      <w:rPr>
                        <w:b/>
                        <w:bCs/>
                      </w:rPr>
                      <w:fldChar w:fldCharType="end"/>
                    </w:r>
                    <w:r w:rsidRPr="00B3705D">
                      <w:t xml:space="preserve">  |  </w:t>
                    </w:r>
                    <w:fldSimple w:instr="SUBJECT   \* MERGEFORMAT">
                      <w:r w:rsidR="00AA27F8">
                        <w:t>Part 6: Statement of Risks</w:t>
                      </w:r>
                    </w:fldSimple>
                  </w:p>
                </w:txbxContent>
              </v:textbox>
              <w10:wrap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E2563" w14:textId="79ABFD29" w:rsidR="00FC0BFF" w:rsidRPr="00A240DA" w:rsidRDefault="00FC0BFF" w:rsidP="00C03DF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839C7" w14:textId="2E221D27" w:rsidR="00FC0BFF" w:rsidRPr="00A240DA" w:rsidRDefault="00FC0BFF" w:rsidP="00C03DF9">
    <w:pPr>
      <w:pStyle w:val="Footer"/>
    </w:pPr>
    <w:r>
      <w:rPr>
        <w:noProof/>
      </w:rPr>
      <mc:AlternateContent>
        <mc:Choice Requires="wps">
          <w:drawing>
            <wp:anchor distT="0" distB="0" distL="114300" distR="114300" simplePos="0" relativeHeight="251658255" behindDoc="0" locked="1" layoutInCell="0" allowOverlap="1" wp14:anchorId="0B75FE37" wp14:editId="48A6356F">
              <wp:simplePos x="0" y="0"/>
              <wp:positionH relativeFrom="margin">
                <wp:align>center</wp:align>
              </wp:positionH>
              <wp:positionV relativeFrom="bottomMargin">
                <wp:align>center</wp:align>
              </wp:positionV>
              <wp:extent cx="1891665" cy="250190"/>
              <wp:effectExtent l="0" t="0" r="0" b="0"/>
              <wp:wrapNone/>
              <wp:docPr id="89" name="Text Box 8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91665" cy="2501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700EA8" w14:textId="2CB31EC7" w:rsidR="00FC0BFF" w:rsidRPr="00BC29FE" w:rsidRDefault="00FC0BFF" w:rsidP="00C03DF9">
                          <w:pPr>
                            <w:spacing w:before="0" w:after="0"/>
                            <w:jc w:val="center"/>
                            <w:rPr>
                              <w:rFonts w:ascii="Arial" w:hAnsi="Arial" w:cs="Arial"/>
                              <w:b/>
                              <w:color w:val="FF0000"/>
                              <w:sz w:val="24"/>
                            </w:rPr>
                          </w:pPr>
                          <w:r w:rsidRPr="00BC29FE">
                            <w:rPr>
                              <w:rFonts w:ascii="Arial" w:hAnsi="Arial" w:cs="Arial"/>
                              <w:b/>
                              <w:color w:val="FF0000"/>
                              <w:sz w:val="24"/>
                            </w:rPr>
                            <w:fldChar w:fldCharType="begin"/>
                          </w:r>
                          <w:r w:rsidRPr="00BC29FE">
                            <w:rPr>
                              <w:rFonts w:ascii="Arial" w:hAnsi="Arial" w:cs="Arial"/>
                              <w:b/>
                              <w:color w:val="FF0000"/>
                              <w:sz w:val="24"/>
                            </w:rPr>
                            <w:instrText xml:space="preserve"> DOCPROPERTY PM_ProtectiveMarkingValue_Footer \* MERGEFORMAT </w:instrText>
                          </w:r>
                          <w:r w:rsidRPr="00BC29FE">
                            <w:rPr>
                              <w:rFonts w:ascii="Arial" w:hAnsi="Arial" w:cs="Arial"/>
                              <w:b/>
                              <w:color w:val="FF0000"/>
                              <w:sz w:val="24"/>
                            </w:rPr>
                            <w:fldChar w:fldCharType="separate"/>
                          </w:r>
                          <w:r w:rsidR="00AA27F8" w:rsidRPr="00AA27F8">
                            <w:rPr>
                              <w:rFonts w:ascii="Arial" w:hAnsi="Arial" w:cs="Arial"/>
                              <w:bCs/>
                              <w:color w:val="FF0000"/>
                              <w:sz w:val="24"/>
                              <w:lang w:val="en-US"/>
                            </w:rPr>
                            <w:t>OFFICIAL</w:t>
                          </w:r>
                          <w:r w:rsidRPr="00BC29FE">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B75FE37" id="_x0000_t202" coordsize="21600,21600" o:spt="202" path="m,l,21600r21600,l21600,xe">
              <v:stroke joinstyle="miter"/>
              <v:path gradientshapeok="t" o:connecttype="rect"/>
            </v:shapetype>
            <v:shape id="Text Box 89" o:spid="_x0000_s1036" type="#_x0000_t202" alt="&quot;&quot;" style="position:absolute;left:0;text-align:left;margin-left:0;margin-top:0;width:148.95pt;height:19.7pt;z-index:251658255;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" o:allowincell="f" filled="f" stroked="f" strokeweight=".5pt">
              <v:textbox style="mso-fit-shape-to-text:t">
                <w:txbxContent>
                  <w:p w14:paraId="72700EA8" w14:textId="2CB31EC7" w:rsidR="00FC0BFF" w:rsidRPr="00BC29FE" w:rsidRDefault="00FC0BFF" w:rsidP="00C03DF9">
                    <w:pPr>
                      <w:spacing w:before="0" w:after="0"/>
                      <w:jc w:val="center"/>
                      <w:rPr>
                        <w:rFonts w:ascii="Arial" w:hAnsi="Arial" w:cs="Arial"/>
                        <w:b/>
                        <w:color w:val="FF0000"/>
                        <w:sz w:val="24"/>
                      </w:rPr>
                    </w:pPr>
                    <w:r w:rsidRPr="00BC29FE">
                      <w:rPr>
                        <w:rFonts w:ascii="Arial" w:hAnsi="Arial" w:cs="Arial"/>
                        <w:b/>
                        <w:color w:val="FF0000"/>
                        <w:sz w:val="24"/>
                      </w:rPr>
                      <w:fldChar w:fldCharType="begin"/>
                    </w:r>
                    <w:r w:rsidRPr="00BC29FE">
                      <w:rPr>
                        <w:rFonts w:ascii="Arial" w:hAnsi="Arial" w:cs="Arial"/>
                        <w:b/>
                        <w:color w:val="FF0000"/>
                        <w:sz w:val="24"/>
                      </w:rPr>
                      <w:instrText xml:space="preserve"> DOCPROPERTY PM_ProtectiveMarkingValue_Footer \* MERGEFORMAT </w:instrText>
                    </w:r>
                    <w:r w:rsidRPr="00BC29FE">
                      <w:rPr>
                        <w:rFonts w:ascii="Arial" w:hAnsi="Arial" w:cs="Arial"/>
                        <w:b/>
                        <w:color w:val="FF0000"/>
                        <w:sz w:val="24"/>
                      </w:rPr>
                      <w:fldChar w:fldCharType="separate"/>
                    </w:r>
                    <w:r w:rsidR="00AA27F8" w:rsidRPr="00AA27F8">
                      <w:rPr>
                        <w:rFonts w:ascii="Arial" w:hAnsi="Arial" w:cs="Arial"/>
                        <w:bCs/>
                        <w:color w:val="FF0000"/>
                        <w:sz w:val="24"/>
                        <w:lang w:val="en-US"/>
                      </w:rPr>
                      <w:t>OFFICIAL</w:t>
                    </w:r>
                    <w:r w:rsidRPr="00BC29FE">
                      <w:rPr>
                        <w:rFonts w:ascii="Arial" w:hAnsi="Arial" w:cs="Arial"/>
                        <w:b/>
                        <w:color w:val="FF0000"/>
                        <w:sz w:val="24"/>
                      </w:rPr>
                      <w:fldChar w:fldCharType="end"/>
                    </w:r>
                  </w:p>
                </w:txbxContent>
              </v:textbox>
              <w10:wrap anchorx="margin" anchory="margin"/>
              <w10:anchorlock/>
            </v:shape>
          </w:pict>
        </mc:Fallback>
      </mc:AlternateContent>
    </w:r>
    <w:r>
      <w:rPr>
        <w:noProof/>
      </w:rPr>
      <mc:AlternateContent>
        <mc:Choice Requires="wps">
          <w:drawing>
            <wp:anchor distT="0" distB="0" distL="114300" distR="114300" simplePos="0" relativeHeight="251658253" behindDoc="0" locked="1" layoutInCell="0" allowOverlap="1" wp14:anchorId="2B5CB8AB" wp14:editId="1F254DB1">
              <wp:simplePos x="0" y="0"/>
              <wp:positionH relativeFrom="margin">
                <wp:align>center</wp:align>
              </wp:positionH>
              <wp:positionV relativeFrom="bottomMargin">
                <wp:align>center</wp:align>
              </wp:positionV>
              <wp:extent cx="1891665" cy="250190"/>
              <wp:effectExtent l="0" t="0" r="0" b="0"/>
              <wp:wrapNone/>
              <wp:docPr id="506" name="Text Box 50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91665" cy="2501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8082BD" w14:textId="06D494AD" w:rsidR="00FC0BFF" w:rsidRPr="00E22CA0" w:rsidRDefault="00FC0BFF" w:rsidP="00C03DF9">
                          <w:pPr>
                            <w:spacing w:before="0" w:after="0"/>
                            <w:jc w:val="center"/>
                            <w:rPr>
                              <w:rFonts w:ascii="Arial" w:hAnsi="Arial" w:cs="Arial"/>
                              <w:b/>
                              <w:color w:val="FF0000"/>
                              <w:sz w:val="24"/>
                            </w:rPr>
                          </w:pPr>
                          <w:r w:rsidRPr="00E22CA0">
                            <w:rPr>
                              <w:rFonts w:ascii="Arial" w:hAnsi="Arial" w:cs="Arial"/>
                              <w:b/>
                              <w:color w:val="FF0000"/>
                              <w:sz w:val="24"/>
                            </w:rPr>
                            <w:fldChar w:fldCharType="begin"/>
                          </w:r>
                          <w:r w:rsidRPr="00E22CA0">
                            <w:rPr>
                              <w:rFonts w:ascii="Arial" w:hAnsi="Arial" w:cs="Arial"/>
                              <w:b/>
                              <w:color w:val="FF0000"/>
                              <w:sz w:val="24"/>
                            </w:rPr>
                            <w:instrText xml:space="preserve"> DOCPROPERTY PM_ProtectiveMarkingValue_Footer \* MERGEFORMAT </w:instrText>
                          </w:r>
                          <w:r w:rsidRPr="00E22CA0">
                            <w:rPr>
                              <w:rFonts w:ascii="Arial" w:hAnsi="Arial" w:cs="Arial"/>
                              <w:b/>
                              <w:color w:val="FF0000"/>
                              <w:sz w:val="24"/>
                            </w:rPr>
                            <w:fldChar w:fldCharType="separate"/>
                          </w:r>
                          <w:r w:rsidR="00AA27F8" w:rsidRPr="00AA27F8">
                            <w:rPr>
                              <w:rFonts w:ascii="Arial" w:hAnsi="Arial" w:cs="Arial"/>
                              <w:bCs/>
                              <w:color w:val="FF0000"/>
                              <w:sz w:val="24"/>
                              <w:lang w:val="en-US"/>
                            </w:rPr>
                            <w:t>OFFICIAL</w:t>
                          </w:r>
                          <w:r w:rsidRPr="00E22CA0">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B5CB8AB" id="Text Box 506" o:spid="_x0000_s1037" type="#_x0000_t202" alt="&quot;&quot;" style="position:absolute;left:0;text-align:left;margin-left:0;margin-top:0;width:148.95pt;height:19.7pt;z-index:251658253;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" o:allowincell="f" filled="f" stroked="f" strokeweight=".5pt">
              <v:textbox style="mso-fit-shape-to-text:t">
                <w:txbxContent>
                  <w:p w14:paraId="268082BD" w14:textId="06D494AD" w:rsidR="00FC0BFF" w:rsidRPr="00E22CA0" w:rsidRDefault="00FC0BFF" w:rsidP="00C03DF9">
                    <w:pPr>
                      <w:spacing w:before="0" w:after="0"/>
                      <w:jc w:val="center"/>
                      <w:rPr>
                        <w:rFonts w:ascii="Arial" w:hAnsi="Arial" w:cs="Arial"/>
                        <w:b/>
                        <w:color w:val="FF0000"/>
                        <w:sz w:val="24"/>
                      </w:rPr>
                    </w:pPr>
                    <w:r w:rsidRPr="00E22CA0">
                      <w:rPr>
                        <w:rFonts w:ascii="Arial" w:hAnsi="Arial" w:cs="Arial"/>
                        <w:b/>
                        <w:color w:val="FF0000"/>
                        <w:sz w:val="24"/>
                      </w:rPr>
                      <w:fldChar w:fldCharType="begin"/>
                    </w:r>
                    <w:r w:rsidRPr="00E22CA0">
                      <w:rPr>
                        <w:rFonts w:ascii="Arial" w:hAnsi="Arial" w:cs="Arial"/>
                        <w:b/>
                        <w:color w:val="FF0000"/>
                        <w:sz w:val="24"/>
                      </w:rPr>
                      <w:instrText xml:space="preserve"> DOCPROPERTY PM_ProtectiveMarkingValue_Footer \* MERGEFORMAT </w:instrText>
                    </w:r>
                    <w:r w:rsidRPr="00E22CA0">
                      <w:rPr>
                        <w:rFonts w:ascii="Arial" w:hAnsi="Arial" w:cs="Arial"/>
                        <w:b/>
                        <w:color w:val="FF0000"/>
                        <w:sz w:val="24"/>
                      </w:rPr>
                      <w:fldChar w:fldCharType="separate"/>
                    </w:r>
                    <w:r w:rsidR="00AA27F8" w:rsidRPr="00AA27F8">
                      <w:rPr>
                        <w:rFonts w:ascii="Arial" w:hAnsi="Arial" w:cs="Arial"/>
                        <w:bCs/>
                        <w:color w:val="FF0000"/>
                        <w:sz w:val="24"/>
                        <w:lang w:val="en-US"/>
                      </w:rPr>
                      <w:t>OFFICIAL</w:t>
                    </w:r>
                    <w:r w:rsidRPr="00E22CA0">
                      <w:rPr>
                        <w:rFonts w:ascii="Arial" w:hAnsi="Arial" w:cs="Arial"/>
                        <w:b/>
                        <w:color w:val="FF0000"/>
                        <w:sz w:val="24"/>
                      </w:rPr>
                      <w:fldChar w:fldCharType="end"/>
                    </w:r>
                  </w:p>
                </w:txbxContent>
              </v:textbox>
              <w10:wrap anchorx="margin" anchory="margin"/>
              <w10:anchorlock/>
            </v:shape>
          </w:pict>
        </mc:Fallback>
      </mc:AlternateContent>
    </w:r>
    <w:r>
      <w:rPr>
        <w:noProof/>
      </w:rPr>
      <mc:AlternateContent>
        <mc:Choice Requires="wps">
          <w:drawing>
            <wp:anchor distT="0" distB="0" distL="114300" distR="114300" simplePos="0" relativeHeight="251658251" behindDoc="0" locked="1" layoutInCell="0" allowOverlap="1" wp14:anchorId="75224368" wp14:editId="3E80F141">
              <wp:simplePos x="0" y="0"/>
              <wp:positionH relativeFrom="margin">
                <wp:align>center</wp:align>
              </wp:positionH>
              <wp:positionV relativeFrom="bottomMargin">
                <wp:align>center</wp:align>
              </wp:positionV>
              <wp:extent cx="1891665" cy="250190"/>
              <wp:effectExtent l="0" t="0" r="0" b="0"/>
              <wp:wrapNone/>
              <wp:docPr id="477" name="Text Box 47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91665" cy="2501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1E8976" w14:textId="6B55F51E" w:rsidR="00FC0BFF" w:rsidRPr="00FF0E48" w:rsidRDefault="00FC0BFF" w:rsidP="00C03DF9">
                          <w:pPr>
                            <w:spacing w:before="0" w:after="0"/>
                            <w:jc w:val="center"/>
                            <w:rPr>
                              <w:rFonts w:ascii="Arial" w:hAnsi="Arial" w:cs="Arial"/>
                              <w:b/>
                              <w:color w:val="FF0000"/>
                              <w:sz w:val="24"/>
                            </w:rPr>
                          </w:pPr>
                          <w:r w:rsidRPr="00FF0E48">
                            <w:rPr>
                              <w:rFonts w:ascii="Arial" w:hAnsi="Arial" w:cs="Arial"/>
                              <w:b/>
                              <w:color w:val="FF0000"/>
                              <w:sz w:val="24"/>
                            </w:rPr>
                            <w:fldChar w:fldCharType="begin"/>
                          </w:r>
                          <w:r w:rsidRPr="00FF0E48">
                            <w:rPr>
                              <w:rFonts w:ascii="Arial" w:hAnsi="Arial" w:cs="Arial"/>
                              <w:b/>
                              <w:color w:val="FF0000"/>
                              <w:sz w:val="24"/>
                            </w:rPr>
                            <w:instrText xml:space="preserve"> DOCPROPERTY PM_ProtectiveMarkingValue_Footer \* MERGEFORMAT </w:instrText>
                          </w:r>
                          <w:r w:rsidRPr="00FF0E48">
                            <w:rPr>
                              <w:rFonts w:ascii="Arial" w:hAnsi="Arial" w:cs="Arial"/>
                              <w:b/>
                              <w:color w:val="FF0000"/>
                              <w:sz w:val="24"/>
                            </w:rPr>
                            <w:fldChar w:fldCharType="separate"/>
                          </w:r>
                          <w:r w:rsidR="00AA27F8" w:rsidRPr="00AA27F8">
                            <w:rPr>
                              <w:rFonts w:ascii="Arial" w:hAnsi="Arial" w:cs="Arial"/>
                              <w:bCs/>
                              <w:color w:val="FF0000"/>
                              <w:sz w:val="24"/>
                              <w:lang w:val="en-US"/>
                            </w:rPr>
                            <w:t>OFFICIAL</w:t>
                          </w:r>
                          <w:r w:rsidRPr="00FF0E48">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5224368" id="Text Box 477" o:spid="_x0000_s1038" type="#_x0000_t202" alt="&quot;&quot;" style="position:absolute;left:0;text-align:left;margin-left:0;margin-top:0;width:148.95pt;height:19.7pt;z-index:251658251;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" o:allowincell="f" filled="f" stroked="f" strokeweight=".5pt">
              <v:textbox style="mso-fit-shape-to-text:t">
                <w:txbxContent>
                  <w:p w14:paraId="2C1E8976" w14:textId="6B55F51E" w:rsidR="00FC0BFF" w:rsidRPr="00FF0E48" w:rsidRDefault="00FC0BFF" w:rsidP="00C03DF9">
                    <w:pPr>
                      <w:spacing w:before="0" w:after="0"/>
                      <w:jc w:val="center"/>
                      <w:rPr>
                        <w:rFonts w:ascii="Arial" w:hAnsi="Arial" w:cs="Arial"/>
                        <w:b/>
                        <w:color w:val="FF0000"/>
                        <w:sz w:val="24"/>
                      </w:rPr>
                    </w:pPr>
                    <w:r w:rsidRPr="00FF0E48">
                      <w:rPr>
                        <w:rFonts w:ascii="Arial" w:hAnsi="Arial" w:cs="Arial"/>
                        <w:b/>
                        <w:color w:val="FF0000"/>
                        <w:sz w:val="24"/>
                      </w:rPr>
                      <w:fldChar w:fldCharType="begin"/>
                    </w:r>
                    <w:r w:rsidRPr="00FF0E48">
                      <w:rPr>
                        <w:rFonts w:ascii="Arial" w:hAnsi="Arial" w:cs="Arial"/>
                        <w:b/>
                        <w:color w:val="FF0000"/>
                        <w:sz w:val="24"/>
                      </w:rPr>
                      <w:instrText xml:space="preserve"> DOCPROPERTY PM_ProtectiveMarkingValue_Footer \* MERGEFORMAT </w:instrText>
                    </w:r>
                    <w:r w:rsidRPr="00FF0E48">
                      <w:rPr>
                        <w:rFonts w:ascii="Arial" w:hAnsi="Arial" w:cs="Arial"/>
                        <w:b/>
                        <w:color w:val="FF0000"/>
                        <w:sz w:val="24"/>
                      </w:rPr>
                      <w:fldChar w:fldCharType="separate"/>
                    </w:r>
                    <w:r w:rsidR="00AA27F8" w:rsidRPr="00AA27F8">
                      <w:rPr>
                        <w:rFonts w:ascii="Arial" w:hAnsi="Arial" w:cs="Arial"/>
                        <w:bCs/>
                        <w:color w:val="FF0000"/>
                        <w:sz w:val="24"/>
                        <w:lang w:val="en-US"/>
                      </w:rPr>
                      <w:t>OFFICIAL</w:t>
                    </w:r>
                    <w:r w:rsidRPr="00FF0E48">
                      <w:rPr>
                        <w:rFonts w:ascii="Arial" w:hAnsi="Arial" w:cs="Arial"/>
                        <w:b/>
                        <w:color w:val="FF0000"/>
                        <w:sz w:val="24"/>
                      </w:rPr>
                      <w:fldChar w:fldCharType="end"/>
                    </w:r>
                  </w:p>
                </w:txbxContent>
              </v:textbox>
              <w10:wrap anchorx="margin" anchory="margin"/>
              <w10:anchorlock/>
            </v:shape>
          </w:pict>
        </mc:Fallback>
      </mc:AlternateContent>
    </w:r>
    <w:r>
      <w:rPr>
        <w:noProof/>
      </w:rPr>
      <mc:AlternateContent>
        <mc:Choice Requires="wps">
          <w:drawing>
            <wp:anchor distT="0" distB="0" distL="114300" distR="114300" simplePos="0" relativeHeight="251658249" behindDoc="0" locked="1" layoutInCell="0" allowOverlap="1" wp14:anchorId="73B429D8" wp14:editId="61B63E80">
              <wp:simplePos x="0" y="0"/>
              <wp:positionH relativeFrom="margin">
                <wp:align>center</wp:align>
              </wp:positionH>
              <wp:positionV relativeFrom="bottomMargin">
                <wp:align>center</wp:align>
              </wp:positionV>
              <wp:extent cx="1891665" cy="250190"/>
              <wp:effectExtent l="0" t="0" r="0" b="0"/>
              <wp:wrapNone/>
              <wp:docPr id="451" name="Text Box 4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91665" cy="2501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912151" w14:textId="108D383B" w:rsidR="00FC0BFF" w:rsidRPr="00B770B1" w:rsidRDefault="00FC0BFF" w:rsidP="00C03DF9">
                          <w:pPr>
                            <w:spacing w:before="0" w:after="0"/>
                            <w:jc w:val="center"/>
                            <w:rPr>
                              <w:rFonts w:ascii="Arial" w:hAnsi="Arial" w:cs="Arial"/>
                              <w:b/>
                              <w:color w:val="FF0000"/>
                              <w:sz w:val="24"/>
                            </w:rPr>
                          </w:pPr>
                          <w:r w:rsidRPr="00B770B1">
                            <w:rPr>
                              <w:rFonts w:ascii="Arial" w:hAnsi="Arial" w:cs="Arial"/>
                              <w:b/>
                              <w:color w:val="FF0000"/>
                              <w:sz w:val="24"/>
                            </w:rPr>
                            <w:fldChar w:fldCharType="begin"/>
                          </w:r>
                          <w:r w:rsidRPr="00B770B1">
                            <w:rPr>
                              <w:rFonts w:ascii="Arial" w:hAnsi="Arial" w:cs="Arial"/>
                              <w:b/>
                              <w:color w:val="FF0000"/>
                              <w:sz w:val="24"/>
                            </w:rPr>
                            <w:instrText xml:space="preserve"> DOCPROPERTY PM_ProtectiveMarkingValue_Footer \* MERGEFORMAT </w:instrText>
                          </w:r>
                          <w:r w:rsidRPr="00B770B1">
                            <w:rPr>
                              <w:rFonts w:ascii="Arial" w:hAnsi="Arial" w:cs="Arial"/>
                              <w:b/>
                              <w:color w:val="FF0000"/>
                              <w:sz w:val="24"/>
                            </w:rPr>
                            <w:fldChar w:fldCharType="separate"/>
                          </w:r>
                          <w:r w:rsidR="00AA27F8" w:rsidRPr="00AA27F8">
                            <w:rPr>
                              <w:rFonts w:ascii="Arial" w:hAnsi="Arial" w:cs="Arial"/>
                              <w:bCs/>
                              <w:color w:val="FF0000"/>
                              <w:sz w:val="24"/>
                              <w:lang w:val="en-US"/>
                            </w:rPr>
                            <w:t>OFFICIAL</w:t>
                          </w:r>
                          <w:r w:rsidRPr="00B770B1">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3B429D8" id="Text Box 451" o:spid="_x0000_s1039" type="#_x0000_t202" alt="&quot;&quot;" style="position:absolute;left:0;text-align:left;margin-left:0;margin-top:0;width:148.95pt;height:19.7pt;z-index:251658249;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" o:allowincell="f" filled="f" stroked="f" strokeweight=".5pt">
              <v:textbox style="mso-fit-shape-to-text:t">
                <w:txbxContent>
                  <w:p w14:paraId="61912151" w14:textId="108D383B" w:rsidR="00FC0BFF" w:rsidRPr="00B770B1" w:rsidRDefault="00FC0BFF" w:rsidP="00C03DF9">
                    <w:pPr>
                      <w:spacing w:before="0" w:after="0"/>
                      <w:jc w:val="center"/>
                      <w:rPr>
                        <w:rFonts w:ascii="Arial" w:hAnsi="Arial" w:cs="Arial"/>
                        <w:b/>
                        <w:color w:val="FF0000"/>
                        <w:sz w:val="24"/>
                      </w:rPr>
                    </w:pPr>
                    <w:r w:rsidRPr="00B770B1">
                      <w:rPr>
                        <w:rFonts w:ascii="Arial" w:hAnsi="Arial" w:cs="Arial"/>
                        <w:b/>
                        <w:color w:val="FF0000"/>
                        <w:sz w:val="24"/>
                      </w:rPr>
                      <w:fldChar w:fldCharType="begin"/>
                    </w:r>
                    <w:r w:rsidRPr="00B770B1">
                      <w:rPr>
                        <w:rFonts w:ascii="Arial" w:hAnsi="Arial" w:cs="Arial"/>
                        <w:b/>
                        <w:color w:val="FF0000"/>
                        <w:sz w:val="24"/>
                      </w:rPr>
                      <w:instrText xml:space="preserve"> DOCPROPERTY PM_ProtectiveMarkingValue_Footer \* MERGEFORMAT </w:instrText>
                    </w:r>
                    <w:r w:rsidRPr="00B770B1">
                      <w:rPr>
                        <w:rFonts w:ascii="Arial" w:hAnsi="Arial" w:cs="Arial"/>
                        <w:b/>
                        <w:color w:val="FF0000"/>
                        <w:sz w:val="24"/>
                      </w:rPr>
                      <w:fldChar w:fldCharType="separate"/>
                    </w:r>
                    <w:r w:rsidR="00AA27F8" w:rsidRPr="00AA27F8">
                      <w:rPr>
                        <w:rFonts w:ascii="Arial" w:hAnsi="Arial" w:cs="Arial"/>
                        <w:bCs/>
                        <w:color w:val="FF0000"/>
                        <w:sz w:val="24"/>
                        <w:lang w:val="en-US"/>
                      </w:rPr>
                      <w:t>OFFICIAL</w:t>
                    </w:r>
                    <w:r w:rsidRPr="00B770B1">
                      <w:rPr>
                        <w:rFonts w:ascii="Arial" w:hAnsi="Arial" w:cs="Arial"/>
                        <w:b/>
                        <w:color w:val="FF0000"/>
                        <w:sz w:val="24"/>
                      </w:rPr>
                      <w:fldChar w:fldCharType="end"/>
                    </w:r>
                  </w:p>
                </w:txbxContent>
              </v:textbox>
              <w10:wrap anchorx="margin" anchory="margin"/>
              <w10:anchorlock/>
            </v:shape>
          </w:pict>
        </mc:Fallback>
      </mc:AlternateContent>
    </w:r>
    <w:r>
      <w:rPr>
        <w:noProof/>
      </w:rPr>
      <mc:AlternateContent>
        <mc:Choice Requires="wps">
          <w:drawing>
            <wp:anchor distT="0" distB="0" distL="114300" distR="114300" simplePos="0" relativeHeight="251658247" behindDoc="0" locked="1" layoutInCell="0" allowOverlap="1" wp14:anchorId="2788983B" wp14:editId="3E44E035">
              <wp:simplePos x="0" y="0"/>
              <wp:positionH relativeFrom="margin">
                <wp:align>center</wp:align>
              </wp:positionH>
              <wp:positionV relativeFrom="bottomMargin">
                <wp:align>center</wp:align>
              </wp:positionV>
              <wp:extent cx="1891665" cy="250190"/>
              <wp:effectExtent l="0" t="0" r="0" b="0"/>
              <wp:wrapNone/>
              <wp:docPr id="34" name="Text Box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91665" cy="2501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0BB440" w14:textId="2DE2F461" w:rsidR="00FC0BFF" w:rsidRPr="00BF7D41" w:rsidRDefault="00FC0BFF" w:rsidP="00C03DF9">
                          <w:pPr>
                            <w:spacing w:before="0" w:after="0"/>
                            <w:jc w:val="center"/>
                            <w:rPr>
                              <w:rFonts w:ascii="Arial" w:hAnsi="Arial" w:cs="Arial"/>
                              <w:b/>
                              <w:color w:val="FF0000"/>
                              <w:sz w:val="24"/>
                            </w:rPr>
                          </w:pPr>
                          <w:r w:rsidRPr="00BF7D41">
                            <w:rPr>
                              <w:rFonts w:ascii="Arial" w:hAnsi="Arial" w:cs="Arial"/>
                              <w:b/>
                              <w:color w:val="FF0000"/>
                              <w:sz w:val="24"/>
                            </w:rPr>
                            <w:fldChar w:fldCharType="begin"/>
                          </w:r>
                          <w:r w:rsidRPr="00BF7D41">
                            <w:rPr>
                              <w:rFonts w:ascii="Arial" w:hAnsi="Arial" w:cs="Arial"/>
                              <w:b/>
                              <w:color w:val="FF0000"/>
                              <w:sz w:val="24"/>
                            </w:rPr>
                            <w:instrText xml:space="preserve"> DOCPROPERTY PM_ProtectiveMarkingValue_Footer \* MERGEFORMAT </w:instrText>
                          </w:r>
                          <w:r w:rsidRPr="00BF7D41">
                            <w:rPr>
                              <w:rFonts w:ascii="Arial" w:hAnsi="Arial" w:cs="Arial"/>
                              <w:b/>
                              <w:color w:val="FF0000"/>
                              <w:sz w:val="24"/>
                            </w:rPr>
                            <w:fldChar w:fldCharType="separate"/>
                          </w:r>
                          <w:r w:rsidR="00AA27F8" w:rsidRPr="00AA27F8">
                            <w:rPr>
                              <w:rFonts w:ascii="Arial" w:hAnsi="Arial" w:cs="Arial"/>
                              <w:bCs/>
                              <w:color w:val="FF0000"/>
                              <w:sz w:val="24"/>
                              <w:lang w:val="en-US"/>
                            </w:rPr>
                            <w:t>OFFICIAL</w:t>
                          </w:r>
                          <w:r w:rsidRPr="00BF7D41">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788983B" id="Text Box 34" o:spid="_x0000_s1040" type="#_x0000_t202" alt="&quot;&quot;" style="position:absolute;left:0;text-align:left;margin-left:0;margin-top:0;width:148.95pt;height:19.7pt;z-index:251658247;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" o:allowincell="f" filled="f" stroked="f" strokeweight=".5pt">
              <v:textbox style="mso-fit-shape-to-text:t">
                <w:txbxContent>
                  <w:p w14:paraId="080BB440" w14:textId="2DE2F461" w:rsidR="00FC0BFF" w:rsidRPr="00BF7D41" w:rsidRDefault="00FC0BFF" w:rsidP="00C03DF9">
                    <w:pPr>
                      <w:spacing w:before="0" w:after="0"/>
                      <w:jc w:val="center"/>
                      <w:rPr>
                        <w:rFonts w:ascii="Arial" w:hAnsi="Arial" w:cs="Arial"/>
                        <w:b/>
                        <w:color w:val="FF0000"/>
                        <w:sz w:val="24"/>
                      </w:rPr>
                    </w:pPr>
                    <w:r w:rsidRPr="00BF7D41">
                      <w:rPr>
                        <w:rFonts w:ascii="Arial" w:hAnsi="Arial" w:cs="Arial"/>
                        <w:b/>
                        <w:color w:val="FF0000"/>
                        <w:sz w:val="24"/>
                      </w:rPr>
                      <w:fldChar w:fldCharType="begin"/>
                    </w:r>
                    <w:r w:rsidRPr="00BF7D41">
                      <w:rPr>
                        <w:rFonts w:ascii="Arial" w:hAnsi="Arial" w:cs="Arial"/>
                        <w:b/>
                        <w:color w:val="FF0000"/>
                        <w:sz w:val="24"/>
                      </w:rPr>
                      <w:instrText xml:space="preserve"> DOCPROPERTY PM_ProtectiveMarkingValue_Footer \* MERGEFORMAT </w:instrText>
                    </w:r>
                    <w:r w:rsidRPr="00BF7D41">
                      <w:rPr>
                        <w:rFonts w:ascii="Arial" w:hAnsi="Arial" w:cs="Arial"/>
                        <w:b/>
                        <w:color w:val="FF0000"/>
                        <w:sz w:val="24"/>
                      </w:rPr>
                      <w:fldChar w:fldCharType="separate"/>
                    </w:r>
                    <w:r w:rsidR="00AA27F8" w:rsidRPr="00AA27F8">
                      <w:rPr>
                        <w:rFonts w:ascii="Arial" w:hAnsi="Arial" w:cs="Arial"/>
                        <w:bCs/>
                        <w:color w:val="FF0000"/>
                        <w:sz w:val="24"/>
                        <w:lang w:val="en-US"/>
                      </w:rPr>
                      <w:t>OFFICIAL</w:t>
                    </w:r>
                    <w:r w:rsidRPr="00BF7D41">
                      <w:rPr>
                        <w:rFonts w:ascii="Arial" w:hAnsi="Arial" w:cs="Arial"/>
                        <w:b/>
                        <w:color w:val="FF0000"/>
                        <w:sz w:val="24"/>
                      </w:rPr>
                      <w:fldChar w:fldCharType="end"/>
                    </w:r>
                  </w:p>
                </w:txbxContent>
              </v:textbox>
              <w10:wrap anchorx="margin" anchory="margin"/>
              <w10:anchorlock/>
            </v:shape>
          </w:pict>
        </mc:Fallback>
      </mc:AlternateContent>
    </w:r>
    <w:r>
      <w:rPr>
        <w:noProof/>
      </w:rPr>
      <mc:AlternateContent>
        <mc:Choice Requires="wps">
          <w:drawing>
            <wp:anchor distT="0" distB="0" distL="114300" distR="114300" simplePos="0" relativeHeight="251658241" behindDoc="0" locked="0" layoutInCell="1" allowOverlap="1" wp14:anchorId="735A23BF" wp14:editId="641A5610">
              <wp:simplePos x="0" y="0"/>
              <wp:positionH relativeFrom="leftMargin">
                <wp:posOffset>0</wp:posOffset>
              </wp:positionH>
              <wp:positionV relativeFrom="page">
                <wp:posOffset>1324708</wp:posOffset>
              </wp:positionV>
              <wp:extent cx="943200" cy="4865077"/>
              <wp:effectExtent l="0" t="0" r="9525" b="0"/>
              <wp:wrapNone/>
              <wp:docPr id="117" name="Text Box 117" descr="Landscape Classification 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200" cy="48650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A28F23" w14:textId="323BB68F" w:rsidR="00FC0BFF" w:rsidRDefault="00000000">
                          <w:pPr>
                            <w:pStyle w:val="Footer"/>
                            <w:tabs>
                              <w:tab w:val="right" w:pos="7711"/>
                            </w:tabs>
                          </w:pPr>
                          <w:fldSimple w:instr="FILENAME  \* MERGEFORMAT">
                            <w:r w:rsidR="00AA27F8">
                              <w:rPr>
                                <w:noProof/>
                              </w:rPr>
                              <w:t>06_Part 6.docx</w:t>
                            </w:r>
                          </w:fldSimple>
                          <w:r w:rsidR="00FC0BFF">
                            <w:tab/>
                            <w:t xml:space="preserve">Printed:  </w:t>
                          </w:r>
                          <w:r w:rsidR="00FC0BFF">
                            <w:fldChar w:fldCharType="begin"/>
                          </w:r>
                          <w:r w:rsidR="00FC0BFF">
                            <w:instrText xml:space="preserve"> PRINTDATE \@ "d/MM/yy HH:mm:ss" \* MERGEFORMAT </w:instrText>
                          </w:r>
                          <w:r w:rsidR="00FC0BFF">
                            <w:fldChar w:fldCharType="separate"/>
                          </w:r>
                          <w:r w:rsidR="00AA27F8">
                            <w:rPr>
                              <w:noProof/>
                            </w:rPr>
                            <w:t>16/12/24 10:12:00</w:t>
                          </w:r>
                          <w:r w:rsidR="00FC0BFF">
                            <w:rPr>
                              <w:noProof/>
                            </w:rPr>
                            <w:fldChar w:fldCharType="end"/>
                          </w:r>
                        </w:p>
                        <w:p w14:paraId="5459D395" w14:textId="77777777" w:rsidR="00FC0BFF" w:rsidRPr="00137C7E" w:rsidRDefault="00FC0BFF">
                          <w:pPr>
                            <w:rPr>
                              <w:rStyle w:val="EndnoteReference"/>
                              <w:i/>
                            </w:rPr>
                          </w:pPr>
                          <w:r>
                            <w:t xml:space="preserve">: </w:t>
                          </w:r>
                          <w:r>
                            <w:br/>
                            <w:t>Sensitive: Cabinet</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A23BF" id="Text Box 117" o:spid="_x0000_s1041" type="#_x0000_t202" alt="Landscape Classification Footer" style="position:absolute;left:0;text-align:left;margin-left:0;margin-top:104.3pt;width:74.25pt;height:383.1pt;z-index:251658241;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" stroked="f">
              <v:textbox style="layout-flow:vertical">
                <w:txbxContent>
                  <w:p w14:paraId="01A28F23" w14:textId="323BB68F" w:rsidR="00FC0BFF" w:rsidRDefault="00000000">
                    <w:pPr>
                      <w:pStyle w:val="Footer"/>
                      <w:tabs>
                        <w:tab w:val="right" w:pos="7711"/>
                      </w:tabs>
                    </w:pPr>
                    <w:fldSimple w:instr="FILENAME  \* MERGEFORMAT">
                      <w:r w:rsidR="00AA27F8">
                        <w:rPr>
                          <w:noProof/>
                        </w:rPr>
                        <w:t>06_Part 6.docx</w:t>
                      </w:r>
                    </w:fldSimple>
                    <w:r w:rsidR="00FC0BFF">
                      <w:tab/>
                      <w:t xml:space="preserve">Printed:  </w:t>
                    </w:r>
                    <w:r w:rsidR="00FC0BFF">
                      <w:fldChar w:fldCharType="begin"/>
                    </w:r>
                    <w:r w:rsidR="00FC0BFF">
                      <w:instrText xml:space="preserve"> PRINTDATE \@ "d/MM/yy HH:mm:ss" \* MERGEFORMAT </w:instrText>
                    </w:r>
                    <w:r w:rsidR="00FC0BFF">
                      <w:fldChar w:fldCharType="separate"/>
                    </w:r>
                    <w:r w:rsidR="00AA27F8">
                      <w:rPr>
                        <w:noProof/>
                      </w:rPr>
                      <w:t>16/12/24 10:12:00</w:t>
                    </w:r>
                    <w:r w:rsidR="00FC0BFF">
                      <w:rPr>
                        <w:noProof/>
                      </w:rPr>
                      <w:fldChar w:fldCharType="end"/>
                    </w:r>
                  </w:p>
                  <w:p w14:paraId="5459D395" w14:textId="77777777" w:rsidR="00FC0BFF" w:rsidRPr="00137C7E" w:rsidRDefault="00FC0BFF">
                    <w:pPr>
                      <w:rPr>
                        <w:rStyle w:val="EndnoteReference"/>
                        <w:i/>
                      </w:rPr>
                    </w:pPr>
                    <w:r>
                      <w:t xml:space="preserve">: </w:t>
                    </w:r>
                    <w:r>
                      <w:br/>
                      <w:t>Sensitive: Cabinet</w:t>
                    </w:r>
                  </w:p>
                </w:txbxContent>
              </v:textbox>
              <w10:wrap anchorx="margin"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008FC" w14:textId="71439BE7" w:rsidR="00FB5DDD" w:rsidRDefault="00FB5DDD" w:rsidP="00360947">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6</w:t>
    </w:r>
    <w:r w:rsidRPr="00B3705D">
      <w:rPr>
        <w:b/>
        <w:bCs/>
      </w:rPr>
      <w:fldChar w:fldCharType="end"/>
    </w:r>
    <w:r w:rsidRPr="00B3705D">
      <w:t xml:space="preserve">  |  </w:t>
    </w:r>
    <w:fldSimple w:instr=" SUBJECT   \* MERGEFORMAT ">
      <w:r w:rsidR="00AA27F8">
        <w:t>Part 6: Statement of Risks</w:t>
      </w:r>
    </w:fldSimple>
    <w:r w:rsidR="00C7658A">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C4869" w14:textId="056D3D05" w:rsidR="00FB5DDD" w:rsidRDefault="00000000" w:rsidP="002A6A16">
    <w:pPr>
      <w:pStyle w:val="FooterOdd"/>
    </w:pPr>
    <w:fldSimple w:instr="SUBJECT   \* MERGEFORMAT">
      <w:r w:rsidR="00AA27F8">
        <w:t>Part 6: Statement of Risks</w:t>
      </w:r>
    </w:fldSimple>
    <w:r w:rsidR="00FB5DDD" w:rsidRPr="00B3705D">
      <w:t xml:space="preserve">  |  </w:t>
    </w:r>
    <w:r w:rsidR="00FB5DDD" w:rsidRPr="00B3705D">
      <w:rPr>
        <w:b/>
        <w:bCs/>
      </w:rPr>
      <w:t xml:space="preserve">Page </w:t>
    </w:r>
    <w:r w:rsidR="00FB5DDD" w:rsidRPr="00B3705D">
      <w:rPr>
        <w:b/>
        <w:bCs/>
      </w:rPr>
      <w:fldChar w:fldCharType="begin"/>
    </w:r>
    <w:r w:rsidR="00FB5DDD" w:rsidRPr="00B3705D">
      <w:rPr>
        <w:b/>
        <w:bCs/>
      </w:rPr>
      <w:instrText xml:space="preserve"> PAGE  \* Arabic  \* MERGEFORMAT </w:instrText>
    </w:r>
    <w:r w:rsidR="00FB5DDD" w:rsidRPr="00B3705D">
      <w:rPr>
        <w:b/>
        <w:bCs/>
      </w:rPr>
      <w:fldChar w:fldCharType="separate"/>
    </w:r>
    <w:r w:rsidR="00FB5DDD">
      <w:rPr>
        <w:b/>
        <w:bCs/>
      </w:rPr>
      <w:t>1</w:t>
    </w:r>
    <w:r w:rsidR="00FB5DDD" w:rsidRPr="00B3705D">
      <w:rPr>
        <w:b/>
        <w:bCs/>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F1B7C" w14:textId="78CA22A1" w:rsidR="00FB5DDD" w:rsidRPr="00DB79DC" w:rsidRDefault="00DB79DC" w:rsidP="00DB79DC">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6</w:t>
    </w:r>
    <w:r w:rsidRPr="00B3705D">
      <w:rPr>
        <w:b/>
        <w:bCs/>
      </w:rPr>
      <w:fldChar w:fldCharType="end"/>
    </w:r>
    <w:r w:rsidRPr="00B3705D">
      <w:t xml:space="preserve">  |  </w:t>
    </w:r>
    <w:fldSimple w:instr=" SUBJECT   \* MERGEFORMAT ">
      <w:r w:rsidR="00AA27F8">
        <w:t>Part 6: Statement of Risks</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EE096" w14:textId="77777777" w:rsidR="009B3FCC" w:rsidRPr="003C1CA4" w:rsidRDefault="009B3FCC" w:rsidP="00EB6597">
      <w:pPr>
        <w:spacing w:after="0" w:line="240" w:lineRule="auto"/>
        <w:ind w:right="8277"/>
        <w:rPr>
          <w:rFonts w:asciiTheme="majorHAnsi" w:hAnsiTheme="majorHAnsi"/>
          <w:color w:val="E1E3E6" w:themeColor="background2" w:themeTint="33"/>
        </w:rPr>
      </w:pPr>
      <w:r w:rsidRPr="003C1CA4">
        <w:rPr>
          <w:rFonts w:asciiTheme="majorHAnsi" w:hAnsiTheme="majorHAnsi"/>
          <w:color w:val="E1E3E6" w:themeColor="background2" w:themeTint="33"/>
        </w:rPr>
        <w:t>—</w:t>
      </w:r>
    </w:p>
  </w:footnote>
  <w:footnote w:type="continuationSeparator" w:id="0">
    <w:p w14:paraId="648BF184" w14:textId="77777777" w:rsidR="009B3FCC" w:rsidRDefault="009B3FCC" w:rsidP="00E40261">
      <w:pPr>
        <w:spacing w:after="0" w:line="240" w:lineRule="auto"/>
      </w:pPr>
      <w:r>
        <w:continuationSeparator/>
      </w:r>
    </w:p>
  </w:footnote>
  <w:footnote w:type="continuationNotice" w:id="1">
    <w:p w14:paraId="607C6A9F" w14:textId="77777777" w:rsidR="009B3FCC" w:rsidRDefault="009B3FC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121C5" w14:textId="28AB72CC" w:rsidR="006D0062" w:rsidRDefault="00373C1F" w:rsidP="006B3175">
    <w:pPr>
      <w:pStyle w:val="HeaderEven"/>
    </w:pPr>
    <w:r w:rsidRPr="008C56E1">
      <w:rPr>
        <w:noProof/>
        <w:position w:val="-8"/>
      </w:rPr>
      <w:drawing>
        <wp:inline distT="0" distB="0" distL="0" distR="0" wp14:anchorId="6EE4241F" wp14:editId="7DBC8725">
          <wp:extent cx="874979" cy="198000"/>
          <wp:effectExtent l="0" t="0" r="1905" b="0"/>
          <wp:docPr id="567694165"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462876"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4979" cy="198000"/>
                  </a:xfrm>
                  <a:prstGeom prst="rect">
                    <a:avLst/>
                  </a:prstGeom>
                </pic:spPr>
              </pic:pic>
            </a:graphicData>
          </a:graphic>
        </wp:inline>
      </w:drawing>
    </w:r>
    <w:r w:rsidRPr="008C56E1">
      <w:t xml:space="preserve">  |  </w:t>
    </w:r>
    <w:fldSimple w:instr="TITLE   \* MERGEFORMAT">
      <w:r w:rsidR="00AA27F8">
        <w:t>Mid-Year Economic and Fiscal Outlook 2024–25</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8EBD6" w14:textId="774FCE9B" w:rsidR="004F2626" w:rsidRDefault="00000000" w:rsidP="00373C1F">
    <w:pPr>
      <w:pStyle w:val="HeaderOdd"/>
    </w:pPr>
    <w:fldSimple w:instr="TITLE   \* MERGEFORMAT">
      <w:r w:rsidR="00AA27F8">
        <w:t>Mid-Year Economic and Fiscal Outlook 2024–25</w:t>
      </w:r>
    </w:fldSimple>
    <w:r w:rsidR="00A262D1" w:rsidRPr="00D13BF9">
      <w:t xml:space="preserve">  |  </w:t>
    </w:r>
    <w:r w:rsidR="00A262D1" w:rsidRPr="00C9389A">
      <w:rPr>
        <w:noProof/>
        <w:position w:val="-8"/>
      </w:rPr>
      <w:drawing>
        <wp:inline distT="0" distB="0" distL="0" distR="0" wp14:anchorId="4BCD22A4" wp14:editId="3EC64D9F">
          <wp:extent cx="878400" cy="198000"/>
          <wp:effectExtent l="0" t="0" r="0" b="0"/>
          <wp:docPr id="1155602659"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88508"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A8482" w14:textId="6F9BACE2" w:rsidR="00FC0BFF" w:rsidRPr="00A240DA" w:rsidRDefault="00FC0BFF" w:rsidP="00C03DF9">
    <w:pPr>
      <w:pStyle w:val="Header"/>
    </w:pPr>
    <w:r w:rsidRPr="00FB5DDD">
      <w:rPr>
        <w:noProof/>
        <w:sz w:val="32"/>
        <w:szCs w:val="32"/>
      </w:rPr>
      <mc:AlternateContent>
        <mc:Choice Requires="wps">
          <w:drawing>
            <wp:anchor distT="0" distB="0" distL="114300" distR="114300" simplePos="0" relativeHeight="251658256" behindDoc="0" locked="0" layoutInCell="1" allowOverlap="1" wp14:anchorId="57BDF9B5" wp14:editId="2E216ED2">
              <wp:simplePos x="0" y="0"/>
              <wp:positionH relativeFrom="column">
                <wp:posOffset>7560945</wp:posOffset>
              </wp:positionH>
              <wp:positionV relativeFrom="margin">
                <wp:align>top</wp:align>
              </wp:positionV>
              <wp:extent cx="399600" cy="4896000"/>
              <wp:effectExtent l="0" t="0" r="635" b="0"/>
              <wp:wrapNone/>
              <wp:docPr id="1269975911"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3F906A" w14:textId="6835E103" w:rsidR="00373C1F" w:rsidRPr="008C56E1" w:rsidRDefault="00FC0BFF" w:rsidP="00373C1F">
                          <w:pPr>
                            <w:pStyle w:val="HeaderEven"/>
                          </w:pPr>
                          <w:r w:rsidRPr="005476BD">
                            <w:rPr>
                              <w:noProof/>
                              <w:position w:val="-8"/>
                            </w:rPr>
                            <w:drawing>
                              <wp:inline distT="0" distB="0" distL="0" distR="0" wp14:anchorId="62CEA35F" wp14:editId="64662C81">
                                <wp:extent cx="878400" cy="198000"/>
                                <wp:effectExtent l="0" t="2540" r="0" b="0"/>
                                <wp:docPr id="532100882"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104704"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878400" cy="198000"/>
                                        </a:xfrm>
                                        <a:prstGeom prst="rect">
                                          <a:avLst/>
                                        </a:prstGeom>
                                      </pic:spPr>
                                    </pic:pic>
                                  </a:graphicData>
                                </a:graphic>
                              </wp:inline>
                            </w:drawing>
                          </w:r>
                          <w:r>
                            <w:t xml:space="preserve">  |  </w:t>
                          </w:r>
                          <w:fldSimple w:instr="TITLE   \* MERGEFORMAT">
                            <w:r w:rsidR="00AA27F8">
                              <w:t>Mid-Year Economic and Fiscal Outlook 2024–25</w:t>
                            </w:r>
                          </w:fldSimple>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BDF9B5" id="_x0000_t202" coordsize="21600,21600" o:spt="202" path="m,l,21600r21600,l21600,xe">
              <v:stroke joinstyle="miter"/>
              <v:path gradientshapeok="t" o:connecttype="rect"/>
            </v:shapetype>
            <v:shape id="Text Box 6" o:spid="_x0000_s1026" type="#_x0000_t202" alt="Landscape Odd Header" style="position:absolute;margin-left:595.35pt;margin-top:0;width:31.45pt;height:385.5pt;z-index:251658256;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" stroked="f">
              <v:textbox style="layout-flow:vertical" inset="0,0,0,0">
                <w:txbxContent>
                  <w:p w14:paraId="103F906A" w14:textId="6835E103" w:rsidR="00373C1F" w:rsidRPr="008C56E1" w:rsidRDefault="00FC0BFF" w:rsidP="00373C1F">
                    <w:pPr>
                      <w:pStyle w:val="HeaderEven"/>
                    </w:pPr>
                    <w:r w:rsidRPr="005476BD">
                      <w:rPr>
                        <w:noProof/>
                        <w:position w:val="-8"/>
                      </w:rPr>
                      <w:drawing>
                        <wp:inline distT="0" distB="0" distL="0" distR="0" wp14:anchorId="62CEA35F" wp14:editId="64662C81">
                          <wp:extent cx="878400" cy="198000"/>
                          <wp:effectExtent l="0" t="2540" r="0" b="0"/>
                          <wp:docPr id="532100882"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104704"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878400" cy="198000"/>
                                  </a:xfrm>
                                  <a:prstGeom prst="rect">
                                    <a:avLst/>
                                  </a:prstGeom>
                                </pic:spPr>
                              </pic:pic>
                            </a:graphicData>
                          </a:graphic>
                        </wp:inline>
                      </w:drawing>
                    </w:r>
                    <w:r>
                      <w:t xml:space="preserve">  |  </w:t>
                    </w:r>
                    <w:fldSimple w:instr="TITLE   \* MERGEFORMAT">
                      <w:r w:rsidR="00AA27F8">
                        <w:t>Mid-Year Economic and Fiscal Outlook 2024–25</w:t>
                      </w:r>
                    </w:fldSimple>
                  </w:p>
                </w:txbxContent>
              </v:textbox>
              <w10:wrap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B842" w14:textId="3E807815" w:rsidR="00FC0BFF" w:rsidRPr="003F1E2D" w:rsidRDefault="00FC0BFF" w:rsidP="00C03DF9">
    <w:pPr>
      <w:pStyle w:val="Header"/>
    </w:pPr>
    <w:r w:rsidRPr="009A7DCC">
      <w:rPr>
        <w:noProof/>
        <w:sz w:val="32"/>
        <w:szCs w:val="32"/>
      </w:rPr>
      <mc:AlternateContent>
        <mc:Choice Requires="wps">
          <w:drawing>
            <wp:anchor distT="0" distB="0" distL="114300" distR="114300" simplePos="0" relativeHeight="251658257" behindDoc="0" locked="0" layoutInCell="1" allowOverlap="1" wp14:anchorId="53A52E80" wp14:editId="066AA436">
              <wp:simplePos x="0" y="0"/>
              <wp:positionH relativeFrom="column">
                <wp:posOffset>7560945</wp:posOffset>
              </wp:positionH>
              <wp:positionV relativeFrom="margin">
                <wp:align>bottom</wp:align>
              </wp:positionV>
              <wp:extent cx="399600" cy="4896000"/>
              <wp:effectExtent l="0" t="0" r="635" b="0"/>
              <wp:wrapNone/>
              <wp:docPr id="10"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15444" w14:textId="62D428D1" w:rsidR="000F65DA" w:rsidRPr="00137C7E" w:rsidRDefault="00000000" w:rsidP="00373C1F">
                          <w:pPr>
                            <w:pStyle w:val="HeaderOdd"/>
                          </w:pPr>
                          <w:fldSimple w:instr="TITLE   \* MERGEFORMAT">
                            <w:r w:rsidR="00AA27F8">
                              <w:t>Mid-Year Economic and Fiscal Outlook 2024–25</w:t>
                            </w:r>
                          </w:fldSimple>
                          <w:r w:rsidR="000F65DA">
                            <w:t xml:space="preserve">  |  </w:t>
                          </w:r>
                          <w:r w:rsidR="000F65DA" w:rsidRPr="005476BD">
                            <w:rPr>
                              <w:noProof/>
                              <w:position w:val="-8"/>
                            </w:rPr>
                            <w:drawing>
                              <wp:inline distT="0" distB="0" distL="0" distR="0" wp14:anchorId="171A90A5" wp14:editId="6C4D1687">
                                <wp:extent cx="878400" cy="198000"/>
                                <wp:effectExtent l="0" t="2540" r="0" b="0"/>
                                <wp:docPr id="1888051679"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225958"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878400" cy="198000"/>
                                        </a:xfrm>
                                        <a:prstGeom prst="rect">
                                          <a:avLst/>
                                        </a:prstGeom>
                                      </pic:spPr>
                                    </pic:pic>
                                  </a:graphicData>
                                </a:graphic>
                              </wp:inline>
                            </w:drawing>
                          </w:r>
                        </w:p>
                        <w:p w14:paraId="39CCFBBB" w14:textId="2F02D809" w:rsidR="00FC0BFF" w:rsidRPr="00137C7E" w:rsidRDefault="00FC0BFF" w:rsidP="001D33D6">
                          <w:pPr>
                            <w:pStyle w:val="HeaderOdd"/>
                          </w:pPr>
                        </w:p>
                      </w:txbxContent>
                    </wps:txbx>
                    <wps:bodyPr rot="0" vert="vert" wrap="square" lIns="0" tIns="0" rIns="0" bIns="7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A52E80" id="_x0000_t202" coordsize="21600,21600" o:spt="202" path="m,l,21600r21600,l21600,xe">
              <v:stroke joinstyle="miter"/>
              <v:path gradientshapeok="t" o:connecttype="rect"/>
            </v:shapetype>
            <v:shape id="_x0000_s1027" type="#_x0000_t202" alt="Landscape Odd Header" style="position:absolute;margin-left:595.35pt;margin-top:0;width:31.45pt;height:385.5pt;z-index:251658257;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" stroked="f">
              <v:textbox style="layout-flow:vertical" inset="0,0,0,.2mm">
                <w:txbxContent>
                  <w:p w14:paraId="3C515444" w14:textId="62D428D1" w:rsidR="000F65DA" w:rsidRPr="00137C7E" w:rsidRDefault="00000000" w:rsidP="00373C1F">
                    <w:pPr>
                      <w:pStyle w:val="HeaderOdd"/>
                    </w:pPr>
                    <w:fldSimple w:instr="TITLE   \* MERGEFORMAT">
                      <w:r w:rsidR="00AA27F8">
                        <w:t>Mid-Year Economic and Fiscal Outlook 2024–25</w:t>
                      </w:r>
                    </w:fldSimple>
                    <w:r w:rsidR="000F65DA">
                      <w:t xml:space="preserve">  |  </w:t>
                    </w:r>
                    <w:r w:rsidR="000F65DA" w:rsidRPr="005476BD">
                      <w:rPr>
                        <w:noProof/>
                        <w:position w:val="-8"/>
                      </w:rPr>
                      <w:drawing>
                        <wp:inline distT="0" distB="0" distL="0" distR="0" wp14:anchorId="171A90A5" wp14:editId="6C4D1687">
                          <wp:extent cx="878400" cy="198000"/>
                          <wp:effectExtent l="0" t="2540" r="0" b="0"/>
                          <wp:docPr id="1888051679"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225958"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878400" cy="198000"/>
                                  </a:xfrm>
                                  <a:prstGeom prst="rect">
                                    <a:avLst/>
                                  </a:prstGeom>
                                </pic:spPr>
                              </pic:pic>
                            </a:graphicData>
                          </a:graphic>
                        </wp:inline>
                      </w:drawing>
                    </w:r>
                  </w:p>
                  <w:p w14:paraId="39CCFBBB" w14:textId="2F02D809" w:rsidR="00FC0BFF" w:rsidRPr="00137C7E" w:rsidRDefault="00FC0BFF" w:rsidP="001D33D6">
                    <w:pPr>
                      <w:pStyle w:val="HeaderOdd"/>
                    </w:pPr>
                  </w:p>
                </w:txbxContent>
              </v:textbox>
              <w10:wrap anchory="margin"/>
            </v:shape>
          </w:pict>
        </mc:Fallback>
      </mc:AlternateContent>
    </w:r>
    <w:r w:rsidRPr="005E792C">
      <w:rPr>
        <w:noProof/>
        <w:sz w:val="2"/>
        <w:szCs w:val="2"/>
      </w:rPr>
      <mc:AlternateContent>
        <mc:Choice Requires="wps">
          <w:drawing>
            <wp:anchor distT="0" distB="0" distL="114300" distR="114300" simplePos="0" relativeHeight="251658245" behindDoc="0" locked="0" layoutInCell="1" allowOverlap="1" wp14:anchorId="2C68152E" wp14:editId="6125BFA0">
              <wp:simplePos x="0" y="0"/>
              <wp:positionH relativeFrom="column">
                <wp:posOffset>-540385</wp:posOffset>
              </wp:positionH>
              <wp:positionV relativeFrom="margin">
                <wp:align>top</wp:align>
              </wp:positionV>
              <wp:extent cx="399600" cy="4896000"/>
              <wp:effectExtent l="0" t="0" r="635" b="0"/>
              <wp:wrapNone/>
              <wp:docPr id="511" name="Text Box 5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w="9525">
                        <a:noFill/>
                        <a:miter lim="800000"/>
                        <a:headEnd/>
                        <a:tailEnd/>
                      </a:ln>
                    </wps:spPr>
                    <wps:txbx>
                      <w:txbxContent>
                        <w:p w14:paraId="12972EE9" w14:textId="340FDC45" w:rsidR="00FC0BFF" w:rsidRDefault="00202093" w:rsidP="00C03DF9">
                          <w:pPr>
                            <w:pStyle w:val="FooterOdd"/>
                          </w:pPr>
                          <w:r>
                            <w:t xml:space="preserve">Part 6 </w:t>
                          </w:r>
                          <w:r w:rsidR="00FC0BFF" w:rsidRPr="00A827CA">
                            <w:t>: Statement of Risks</w:t>
                          </w:r>
                          <w:r w:rsidR="00FC0BFF" w:rsidRPr="00B3705D">
                            <w:t xml:space="preserve">  |  </w:t>
                          </w:r>
                          <w:r w:rsidR="00FC0BFF" w:rsidRPr="00B3705D">
                            <w:rPr>
                              <w:b/>
                              <w:bCs/>
                            </w:rPr>
                            <w:t xml:space="preserve">Page </w:t>
                          </w:r>
                          <w:r w:rsidR="00FC0BFF" w:rsidRPr="00B3705D">
                            <w:rPr>
                              <w:b/>
                              <w:bCs/>
                            </w:rPr>
                            <w:fldChar w:fldCharType="begin"/>
                          </w:r>
                          <w:r w:rsidR="00FC0BFF" w:rsidRPr="00B3705D">
                            <w:rPr>
                              <w:b/>
                              <w:bCs/>
                            </w:rPr>
                            <w:instrText xml:space="preserve"> PAGE  \* Arabic  \* MERGEFORMAT </w:instrText>
                          </w:r>
                          <w:r w:rsidR="00FC0BFF" w:rsidRPr="00B3705D">
                            <w:rPr>
                              <w:b/>
                              <w:bCs/>
                            </w:rPr>
                            <w:fldChar w:fldCharType="separate"/>
                          </w:r>
                          <w:r w:rsidR="00FC0BFF">
                            <w:rPr>
                              <w:b/>
                              <w:bCs/>
                            </w:rPr>
                            <w:t>3</w:t>
                          </w:r>
                          <w:r w:rsidR="00FC0BFF" w:rsidRPr="00B3705D">
                            <w:rPr>
                              <w:b/>
                              <w:bCs/>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8152E" id="Text Box 511" o:spid="_x0000_s1028" type="#_x0000_t202" alt="&quot;&quot;" style="position:absolute;margin-left:-42.55pt;margin-top:0;width:31.45pt;height:385.5pt;z-index:251658245;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" stroked="f">
              <v:textbox style="layout-flow:vertical" inset="0,0,0,0">
                <w:txbxContent>
                  <w:p w14:paraId="12972EE9" w14:textId="340FDC45" w:rsidR="00FC0BFF" w:rsidRDefault="00202093" w:rsidP="00C03DF9">
                    <w:pPr>
                      <w:pStyle w:val="FooterOdd"/>
                    </w:pPr>
                    <w:r>
                      <w:t xml:space="preserve">Part 6 </w:t>
                    </w:r>
                    <w:r w:rsidR="00FC0BFF" w:rsidRPr="00A827CA">
                      <w:t>: Statement of Risks</w:t>
                    </w:r>
                    <w:r w:rsidR="00FC0BFF" w:rsidRPr="00B3705D">
                      <w:t xml:space="preserve">  |  </w:t>
                    </w:r>
                    <w:r w:rsidR="00FC0BFF" w:rsidRPr="00B3705D">
                      <w:rPr>
                        <w:b/>
                        <w:bCs/>
                      </w:rPr>
                      <w:t xml:space="preserve">Page </w:t>
                    </w:r>
                    <w:r w:rsidR="00FC0BFF" w:rsidRPr="00B3705D">
                      <w:rPr>
                        <w:b/>
                        <w:bCs/>
                      </w:rPr>
                      <w:fldChar w:fldCharType="begin"/>
                    </w:r>
                    <w:r w:rsidR="00FC0BFF" w:rsidRPr="00B3705D">
                      <w:rPr>
                        <w:b/>
                        <w:bCs/>
                      </w:rPr>
                      <w:instrText xml:space="preserve"> PAGE  \* Arabic  \* MERGEFORMAT </w:instrText>
                    </w:r>
                    <w:r w:rsidR="00FC0BFF" w:rsidRPr="00B3705D">
                      <w:rPr>
                        <w:b/>
                        <w:bCs/>
                      </w:rPr>
                      <w:fldChar w:fldCharType="separate"/>
                    </w:r>
                    <w:r w:rsidR="00FC0BFF">
                      <w:rPr>
                        <w:b/>
                        <w:bCs/>
                      </w:rPr>
                      <w:t>3</w:t>
                    </w:r>
                    <w:r w:rsidR="00FC0BFF" w:rsidRPr="00B3705D">
                      <w:rPr>
                        <w:b/>
                        <w:bCs/>
                      </w:rPr>
                      <w:fldChar w:fldCharType="end"/>
                    </w:r>
                  </w:p>
                </w:txbxContent>
              </v:textbox>
              <w10:wrap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A718E" w14:textId="7E6A2036" w:rsidR="00FC0BFF" w:rsidRPr="00B963B1" w:rsidRDefault="00FC0BFF" w:rsidP="00C03DF9">
    <w:pPr>
      <w:pStyle w:val="Header"/>
    </w:pPr>
    <w:r>
      <w:rPr>
        <w:noProof/>
      </w:rPr>
      <mc:AlternateContent>
        <mc:Choice Requires="wps">
          <w:drawing>
            <wp:anchor distT="0" distB="0" distL="114300" distR="114300" simplePos="0" relativeHeight="251658254" behindDoc="0" locked="1" layoutInCell="0" allowOverlap="1" wp14:anchorId="77194099" wp14:editId="1ED0367A">
              <wp:simplePos x="0" y="0"/>
              <wp:positionH relativeFrom="margin">
                <wp:align>center</wp:align>
              </wp:positionH>
              <wp:positionV relativeFrom="topMargin">
                <wp:align>center</wp:align>
              </wp:positionV>
              <wp:extent cx="1891665" cy="250190"/>
              <wp:effectExtent l="0" t="0" r="0" b="0"/>
              <wp:wrapNone/>
              <wp:docPr id="86" name="Text Box 8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91665" cy="2501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1F700E" w14:textId="6FB3BF8A" w:rsidR="00FC0BFF" w:rsidRPr="00BC29FE" w:rsidRDefault="00FC0BFF" w:rsidP="00C03DF9">
                          <w:pPr>
                            <w:spacing w:before="0" w:after="0"/>
                            <w:jc w:val="center"/>
                            <w:rPr>
                              <w:rFonts w:ascii="Arial" w:hAnsi="Arial" w:cs="Arial"/>
                              <w:b/>
                              <w:color w:val="FF0000"/>
                              <w:sz w:val="24"/>
                            </w:rPr>
                          </w:pPr>
                          <w:r w:rsidRPr="00BC29FE">
                            <w:rPr>
                              <w:rFonts w:ascii="Arial" w:hAnsi="Arial" w:cs="Arial"/>
                              <w:b/>
                              <w:color w:val="FF0000"/>
                              <w:sz w:val="24"/>
                            </w:rPr>
                            <w:fldChar w:fldCharType="begin"/>
                          </w:r>
                          <w:r w:rsidRPr="00BC29FE">
                            <w:rPr>
                              <w:rFonts w:ascii="Arial" w:hAnsi="Arial" w:cs="Arial"/>
                              <w:b/>
                              <w:color w:val="FF0000"/>
                              <w:sz w:val="24"/>
                            </w:rPr>
                            <w:instrText xml:space="preserve"> DOCPROPERTY PM_ProtectiveMarkingValue_Header \* MERGEFORMAT </w:instrText>
                          </w:r>
                          <w:r w:rsidRPr="00BC29FE">
                            <w:rPr>
                              <w:rFonts w:ascii="Arial" w:hAnsi="Arial" w:cs="Arial"/>
                              <w:b/>
                              <w:color w:val="FF0000"/>
                              <w:sz w:val="24"/>
                            </w:rPr>
                            <w:fldChar w:fldCharType="separate"/>
                          </w:r>
                          <w:r w:rsidR="00AA27F8" w:rsidRPr="00AA27F8">
                            <w:rPr>
                              <w:rFonts w:ascii="Arial" w:hAnsi="Arial" w:cs="Arial"/>
                              <w:bCs/>
                              <w:color w:val="FF0000"/>
                              <w:sz w:val="24"/>
                              <w:lang w:val="en-US"/>
                            </w:rPr>
                            <w:t>OFFICIAL</w:t>
                          </w:r>
                          <w:r w:rsidRPr="00BC29FE">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7194099" id="_x0000_t202" coordsize="21600,21600" o:spt="202" path="m,l,21600r21600,l21600,xe">
              <v:stroke joinstyle="miter"/>
              <v:path gradientshapeok="t" o:connecttype="rect"/>
            </v:shapetype>
            <v:shape id="Text Box 86" o:spid="_x0000_s1031" type="#_x0000_t202" alt="&quot;&quot;" style="position:absolute;margin-left:0;margin-top:0;width:148.95pt;height:19.7pt;z-index:25165825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" o:allowincell="f" filled="f" stroked="f" strokeweight=".5pt">
              <v:textbox style="mso-fit-shape-to-text:t">
                <w:txbxContent>
                  <w:p w14:paraId="211F700E" w14:textId="6FB3BF8A" w:rsidR="00FC0BFF" w:rsidRPr="00BC29FE" w:rsidRDefault="00FC0BFF" w:rsidP="00C03DF9">
                    <w:pPr>
                      <w:spacing w:before="0" w:after="0"/>
                      <w:jc w:val="center"/>
                      <w:rPr>
                        <w:rFonts w:ascii="Arial" w:hAnsi="Arial" w:cs="Arial"/>
                        <w:b/>
                        <w:color w:val="FF0000"/>
                        <w:sz w:val="24"/>
                      </w:rPr>
                    </w:pPr>
                    <w:r w:rsidRPr="00BC29FE">
                      <w:rPr>
                        <w:rFonts w:ascii="Arial" w:hAnsi="Arial" w:cs="Arial"/>
                        <w:b/>
                        <w:color w:val="FF0000"/>
                        <w:sz w:val="24"/>
                      </w:rPr>
                      <w:fldChar w:fldCharType="begin"/>
                    </w:r>
                    <w:r w:rsidRPr="00BC29FE">
                      <w:rPr>
                        <w:rFonts w:ascii="Arial" w:hAnsi="Arial" w:cs="Arial"/>
                        <w:b/>
                        <w:color w:val="FF0000"/>
                        <w:sz w:val="24"/>
                      </w:rPr>
                      <w:instrText xml:space="preserve"> DOCPROPERTY PM_ProtectiveMarkingValue_Header \* MERGEFORMAT </w:instrText>
                    </w:r>
                    <w:r w:rsidRPr="00BC29FE">
                      <w:rPr>
                        <w:rFonts w:ascii="Arial" w:hAnsi="Arial" w:cs="Arial"/>
                        <w:b/>
                        <w:color w:val="FF0000"/>
                        <w:sz w:val="24"/>
                      </w:rPr>
                      <w:fldChar w:fldCharType="separate"/>
                    </w:r>
                    <w:r w:rsidR="00AA27F8" w:rsidRPr="00AA27F8">
                      <w:rPr>
                        <w:rFonts w:ascii="Arial" w:hAnsi="Arial" w:cs="Arial"/>
                        <w:bCs/>
                        <w:color w:val="FF0000"/>
                        <w:sz w:val="24"/>
                        <w:lang w:val="en-US"/>
                      </w:rPr>
                      <w:t>OFFICIAL</w:t>
                    </w:r>
                    <w:r w:rsidRPr="00BC29FE">
                      <w:rPr>
                        <w:rFonts w:ascii="Arial" w:hAnsi="Arial" w:cs="Arial"/>
                        <w:b/>
                        <w:color w:val="FF0000"/>
                        <w:sz w:val="24"/>
                      </w:rPr>
                      <w:fldChar w:fldCharType="end"/>
                    </w:r>
                  </w:p>
                </w:txbxContent>
              </v:textbox>
              <w10:wrap anchorx="margin" anchory="margin"/>
              <w10:anchorlock/>
            </v:shape>
          </w:pict>
        </mc:Fallback>
      </mc:AlternateContent>
    </w:r>
    <w:r>
      <w:rPr>
        <w:noProof/>
      </w:rPr>
      <mc:AlternateContent>
        <mc:Choice Requires="wps">
          <w:drawing>
            <wp:anchor distT="0" distB="0" distL="114300" distR="114300" simplePos="0" relativeHeight="251658252" behindDoc="0" locked="1" layoutInCell="0" allowOverlap="1" wp14:anchorId="34C6BAC4" wp14:editId="46F7BFE1">
              <wp:simplePos x="0" y="0"/>
              <wp:positionH relativeFrom="margin">
                <wp:align>center</wp:align>
              </wp:positionH>
              <wp:positionV relativeFrom="topMargin">
                <wp:align>center</wp:align>
              </wp:positionV>
              <wp:extent cx="1891665" cy="250190"/>
              <wp:effectExtent l="0" t="0" r="0" b="0"/>
              <wp:wrapNone/>
              <wp:docPr id="503" name="Text Box 5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91665" cy="2501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7CA2B9" w14:textId="5F9E5E5E" w:rsidR="00FC0BFF" w:rsidRPr="00E22CA0" w:rsidRDefault="00FC0BFF" w:rsidP="00C03DF9">
                          <w:pPr>
                            <w:spacing w:before="0" w:after="0"/>
                            <w:jc w:val="center"/>
                            <w:rPr>
                              <w:rFonts w:ascii="Arial" w:hAnsi="Arial" w:cs="Arial"/>
                              <w:b/>
                              <w:color w:val="FF0000"/>
                              <w:sz w:val="24"/>
                            </w:rPr>
                          </w:pPr>
                          <w:r w:rsidRPr="00E22CA0">
                            <w:rPr>
                              <w:rFonts w:ascii="Arial" w:hAnsi="Arial" w:cs="Arial"/>
                              <w:b/>
                              <w:color w:val="FF0000"/>
                              <w:sz w:val="24"/>
                            </w:rPr>
                            <w:fldChar w:fldCharType="begin"/>
                          </w:r>
                          <w:r w:rsidRPr="00E22CA0">
                            <w:rPr>
                              <w:rFonts w:ascii="Arial" w:hAnsi="Arial" w:cs="Arial"/>
                              <w:b/>
                              <w:color w:val="FF0000"/>
                              <w:sz w:val="24"/>
                            </w:rPr>
                            <w:instrText xml:space="preserve"> DOCPROPERTY PM_ProtectiveMarkingValue_Header \* MERGEFORMAT </w:instrText>
                          </w:r>
                          <w:r w:rsidRPr="00E22CA0">
                            <w:rPr>
                              <w:rFonts w:ascii="Arial" w:hAnsi="Arial" w:cs="Arial"/>
                              <w:b/>
                              <w:color w:val="FF0000"/>
                              <w:sz w:val="24"/>
                            </w:rPr>
                            <w:fldChar w:fldCharType="separate"/>
                          </w:r>
                          <w:r w:rsidR="00AA27F8" w:rsidRPr="00AA27F8">
                            <w:rPr>
                              <w:rFonts w:ascii="Arial" w:hAnsi="Arial" w:cs="Arial"/>
                              <w:bCs/>
                              <w:color w:val="FF0000"/>
                              <w:sz w:val="24"/>
                              <w:lang w:val="en-US"/>
                            </w:rPr>
                            <w:t>OFFICIAL</w:t>
                          </w:r>
                          <w:r w:rsidRPr="00E22CA0">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4C6BAC4" id="Text Box 503" o:spid="_x0000_s1032" type="#_x0000_t202" alt="&quot;&quot;" style="position:absolute;margin-left:0;margin-top:0;width:148.95pt;height:19.7pt;z-index:25165825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" o:allowincell="f" filled="f" stroked="f" strokeweight=".5pt">
              <v:textbox style="mso-fit-shape-to-text:t">
                <w:txbxContent>
                  <w:p w14:paraId="6A7CA2B9" w14:textId="5F9E5E5E" w:rsidR="00FC0BFF" w:rsidRPr="00E22CA0" w:rsidRDefault="00FC0BFF" w:rsidP="00C03DF9">
                    <w:pPr>
                      <w:spacing w:before="0" w:after="0"/>
                      <w:jc w:val="center"/>
                      <w:rPr>
                        <w:rFonts w:ascii="Arial" w:hAnsi="Arial" w:cs="Arial"/>
                        <w:b/>
                        <w:color w:val="FF0000"/>
                        <w:sz w:val="24"/>
                      </w:rPr>
                    </w:pPr>
                    <w:r w:rsidRPr="00E22CA0">
                      <w:rPr>
                        <w:rFonts w:ascii="Arial" w:hAnsi="Arial" w:cs="Arial"/>
                        <w:b/>
                        <w:color w:val="FF0000"/>
                        <w:sz w:val="24"/>
                      </w:rPr>
                      <w:fldChar w:fldCharType="begin"/>
                    </w:r>
                    <w:r w:rsidRPr="00E22CA0">
                      <w:rPr>
                        <w:rFonts w:ascii="Arial" w:hAnsi="Arial" w:cs="Arial"/>
                        <w:b/>
                        <w:color w:val="FF0000"/>
                        <w:sz w:val="24"/>
                      </w:rPr>
                      <w:instrText xml:space="preserve"> DOCPROPERTY PM_ProtectiveMarkingValue_Header \* MERGEFORMAT </w:instrText>
                    </w:r>
                    <w:r w:rsidRPr="00E22CA0">
                      <w:rPr>
                        <w:rFonts w:ascii="Arial" w:hAnsi="Arial" w:cs="Arial"/>
                        <w:b/>
                        <w:color w:val="FF0000"/>
                        <w:sz w:val="24"/>
                      </w:rPr>
                      <w:fldChar w:fldCharType="separate"/>
                    </w:r>
                    <w:r w:rsidR="00AA27F8" w:rsidRPr="00AA27F8">
                      <w:rPr>
                        <w:rFonts w:ascii="Arial" w:hAnsi="Arial" w:cs="Arial"/>
                        <w:bCs/>
                        <w:color w:val="FF0000"/>
                        <w:sz w:val="24"/>
                        <w:lang w:val="en-US"/>
                      </w:rPr>
                      <w:t>OFFICIAL</w:t>
                    </w:r>
                    <w:r w:rsidRPr="00E22CA0">
                      <w:rPr>
                        <w:rFonts w:ascii="Arial" w:hAnsi="Arial" w:cs="Arial"/>
                        <w:b/>
                        <w:color w:val="FF0000"/>
                        <w:sz w:val="24"/>
                      </w:rPr>
                      <w:fldChar w:fldCharType="end"/>
                    </w:r>
                  </w:p>
                </w:txbxContent>
              </v:textbox>
              <w10:wrap anchorx="margin" anchory="margin"/>
              <w10:anchorlock/>
            </v:shape>
          </w:pict>
        </mc:Fallback>
      </mc:AlternateContent>
    </w:r>
    <w:r>
      <w:rPr>
        <w:noProof/>
      </w:rPr>
      <mc:AlternateContent>
        <mc:Choice Requires="wps">
          <w:drawing>
            <wp:anchor distT="0" distB="0" distL="114300" distR="114300" simplePos="0" relativeHeight="251658250" behindDoc="0" locked="1" layoutInCell="0" allowOverlap="1" wp14:anchorId="2988E9F0" wp14:editId="048375CE">
              <wp:simplePos x="0" y="0"/>
              <wp:positionH relativeFrom="margin">
                <wp:align>center</wp:align>
              </wp:positionH>
              <wp:positionV relativeFrom="topMargin">
                <wp:align>center</wp:align>
              </wp:positionV>
              <wp:extent cx="1891665" cy="250190"/>
              <wp:effectExtent l="0" t="0" r="0" b="0"/>
              <wp:wrapNone/>
              <wp:docPr id="474" name="Text Box 47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91665" cy="2501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DF2256" w14:textId="1521F1DA" w:rsidR="00FC0BFF" w:rsidRPr="00FF0E48" w:rsidRDefault="00FC0BFF" w:rsidP="00C03DF9">
                          <w:pPr>
                            <w:spacing w:before="0" w:after="0"/>
                            <w:jc w:val="center"/>
                            <w:rPr>
                              <w:rFonts w:ascii="Arial" w:hAnsi="Arial" w:cs="Arial"/>
                              <w:b/>
                              <w:color w:val="FF0000"/>
                              <w:sz w:val="24"/>
                            </w:rPr>
                          </w:pPr>
                          <w:r w:rsidRPr="00FF0E48">
                            <w:rPr>
                              <w:rFonts w:ascii="Arial" w:hAnsi="Arial" w:cs="Arial"/>
                              <w:b/>
                              <w:color w:val="FF0000"/>
                              <w:sz w:val="24"/>
                            </w:rPr>
                            <w:fldChar w:fldCharType="begin"/>
                          </w:r>
                          <w:r w:rsidRPr="00FF0E48">
                            <w:rPr>
                              <w:rFonts w:ascii="Arial" w:hAnsi="Arial" w:cs="Arial"/>
                              <w:b/>
                              <w:color w:val="FF0000"/>
                              <w:sz w:val="24"/>
                            </w:rPr>
                            <w:instrText xml:space="preserve"> DOCPROPERTY PM_ProtectiveMarkingValue_Header \* MERGEFORMAT </w:instrText>
                          </w:r>
                          <w:r w:rsidRPr="00FF0E48">
                            <w:rPr>
                              <w:rFonts w:ascii="Arial" w:hAnsi="Arial" w:cs="Arial"/>
                              <w:b/>
                              <w:color w:val="FF0000"/>
                              <w:sz w:val="24"/>
                            </w:rPr>
                            <w:fldChar w:fldCharType="separate"/>
                          </w:r>
                          <w:r w:rsidR="00AA27F8" w:rsidRPr="00AA27F8">
                            <w:rPr>
                              <w:rFonts w:ascii="Arial" w:hAnsi="Arial" w:cs="Arial"/>
                              <w:bCs/>
                              <w:color w:val="FF0000"/>
                              <w:sz w:val="24"/>
                              <w:lang w:val="en-US"/>
                            </w:rPr>
                            <w:t>OFFICIAL</w:t>
                          </w:r>
                          <w:r w:rsidRPr="00FF0E48">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988E9F0" id="Text Box 474" o:spid="_x0000_s1033" type="#_x0000_t202" alt="&quot;&quot;" style="position:absolute;margin-left:0;margin-top:0;width:148.95pt;height:19.7pt;z-index:25165825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" o:allowincell="f" filled="f" stroked="f" strokeweight=".5pt">
              <v:textbox style="mso-fit-shape-to-text:t">
                <w:txbxContent>
                  <w:p w14:paraId="7DDF2256" w14:textId="1521F1DA" w:rsidR="00FC0BFF" w:rsidRPr="00FF0E48" w:rsidRDefault="00FC0BFF" w:rsidP="00C03DF9">
                    <w:pPr>
                      <w:spacing w:before="0" w:after="0"/>
                      <w:jc w:val="center"/>
                      <w:rPr>
                        <w:rFonts w:ascii="Arial" w:hAnsi="Arial" w:cs="Arial"/>
                        <w:b/>
                        <w:color w:val="FF0000"/>
                        <w:sz w:val="24"/>
                      </w:rPr>
                    </w:pPr>
                    <w:r w:rsidRPr="00FF0E48">
                      <w:rPr>
                        <w:rFonts w:ascii="Arial" w:hAnsi="Arial" w:cs="Arial"/>
                        <w:b/>
                        <w:color w:val="FF0000"/>
                        <w:sz w:val="24"/>
                      </w:rPr>
                      <w:fldChar w:fldCharType="begin"/>
                    </w:r>
                    <w:r w:rsidRPr="00FF0E48">
                      <w:rPr>
                        <w:rFonts w:ascii="Arial" w:hAnsi="Arial" w:cs="Arial"/>
                        <w:b/>
                        <w:color w:val="FF0000"/>
                        <w:sz w:val="24"/>
                      </w:rPr>
                      <w:instrText xml:space="preserve"> DOCPROPERTY PM_ProtectiveMarkingValue_Header \* MERGEFORMAT </w:instrText>
                    </w:r>
                    <w:r w:rsidRPr="00FF0E48">
                      <w:rPr>
                        <w:rFonts w:ascii="Arial" w:hAnsi="Arial" w:cs="Arial"/>
                        <w:b/>
                        <w:color w:val="FF0000"/>
                        <w:sz w:val="24"/>
                      </w:rPr>
                      <w:fldChar w:fldCharType="separate"/>
                    </w:r>
                    <w:r w:rsidR="00AA27F8" w:rsidRPr="00AA27F8">
                      <w:rPr>
                        <w:rFonts w:ascii="Arial" w:hAnsi="Arial" w:cs="Arial"/>
                        <w:bCs/>
                        <w:color w:val="FF0000"/>
                        <w:sz w:val="24"/>
                        <w:lang w:val="en-US"/>
                      </w:rPr>
                      <w:t>OFFICIAL</w:t>
                    </w:r>
                    <w:r w:rsidRPr="00FF0E48">
                      <w:rPr>
                        <w:rFonts w:ascii="Arial" w:hAnsi="Arial" w:cs="Arial"/>
                        <w:b/>
                        <w:color w:val="FF0000"/>
                        <w:sz w:val="24"/>
                      </w:rPr>
                      <w:fldChar w:fldCharType="end"/>
                    </w:r>
                  </w:p>
                </w:txbxContent>
              </v:textbox>
              <w10:wrap anchorx="margin" anchory="margin"/>
              <w10:anchorlock/>
            </v:shape>
          </w:pict>
        </mc:Fallback>
      </mc:AlternateContent>
    </w:r>
    <w:r>
      <w:rPr>
        <w:noProof/>
      </w:rPr>
      <mc:AlternateContent>
        <mc:Choice Requires="wps">
          <w:drawing>
            <wp:anchor distT="0" distB="0" distL="114300" distR="114300" simplePos="0" relativeHeight="251658248" behindDoc="0" locked="1" layoutInCell="0" allowOverlap="1" wp14:anchorId="424B1C9A" wp14:editId="569525B2">
              <wp:simplePos x="0" y="0"/>
              <wp:positionH relativeFrom="margin">
                <wp:align>center</wp:align>
              </wp:positionH>
              <wp:positionV relativeFrom="topMargin">
                <wp:align>center</wp:align>
              </wp:positionV>
              <wp:extent cx="1891665" cy="250190"/>
              <wp:effectExtent l="0" t="0" r="0" b="0"/>
              <wp:wrapNone/>
              <wp:docPr id="62" name="Text Box 6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91665" cy="2501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5DDD5A" w14:textId="2C93525F" w:rsidR="00FC0BFF" w:rsidRPr="00B770B1" w:rsidRDefault="00FC0BFF" w:rsidP="00C03DF9">
                          <w:pPr>
                            <w:spacing w:before="0" w:after="0"/>
                            <w:jc w:val="center"/>
                            <w:rPr>
                              <w:rFonts w:ascii="Arial" w:hAnsi="Arial" w:cs="Arial"/>
                              <w:b/>
                              <w:color w:val="FF0000"/>
                              <w:sz w:val="24"/>
                            </w:rPr>
                          </w:pPr>
                          <w:r w:rsidRPr="00B770B1">
                            <w:rPr>
                              <w:rFonts w:ascii="Arial" w:hAnsi="Arial" w:cs="Arial"/>
                              <w:b/>
                              <w:color w:val="FF0000"/>
                              <w:sz w:val="24"/>
                            </w:rPr>
                            <w:fldChar w:fldCharType="begin"/>
                          </w:r>
                          <w:r w:rsidRPr="00B770B1">
                            <w:rPr>
                              <w:rFonts w:ascii="Arial" w:hAnsi="Arial" w:cs="Arial"/>
                              <w:b/>
                              <w:color w:val="FF0000"/>
                              <w:sz w:val="24"/>
                            </w:rPr>
                            <w:instrText xml:space="preserve"> DOCPROPERTY PM_ProtectiveMarkingValue_Header \* MERGEFORMAT </w:instrText>
                          </w:r>
                          <w:r w:rsidRPr="00B770B1">
                            <w:rPr>
                              <w:rFonts w:ascii="Arial" w:hAnsi="Arial" w:cs="Arial"/>
                              <w:b/>
                              <w:color w:val="FF0000"/>
                              <w:sz w:val="24"/>
                            </w:rPr>
                            <w:fldChar w:fldCharType="separate"/>
                          </w:r>
                          <w:r w:rsidR="00AA27F8" w:rsidRPr="00AA27F8">
                            <w:rPr>
                              <w:rFonts w:ascii="Arial" w:hAnsi="Arial" w:cs="Arial"/>
                              <w:bCs/>
                              <w:color w:val="FF0000"/>
                              <w:sz w:val="24"/>
                              <w:lang w:val="en-US"/>
                            </w:rPr>
                            <w:t>OFFICIAL</w:t>
                          </w:r>
                          <w:r w:rsidRPr="00B770B1">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24B1C9A" id="Text Box 62" o:spid="_x0000_s1034" type="#_x0000_t202" alt="&quot;&quot;" style="position:absolute;margin-left:0;margin-top:0;width:148.95pt;height:19.7pt;z-index:25165824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" o:allowincell="f" filled="f" stroked="f" strokeweight=".5pt">
              <v:textbox style="mso-fit-shape-to-text:t">
                <w:txbxContent>
                  <w:p w14:paraId="385DDD5A" w14:textId="2C93525F" w:rsidR="00FC0BFF" w:rsidRPr="00B770B1" w:rsidRDefault="00FC0BFF" w:rsidP="00C03DF9">
                    <w:pPr>
                      <w:spacing w:before="0" w:after="0"/>
                      <w:jc w:val="center"/>
                      <w:rPr>
                        <w:rFonts w:ascii="Arial" w:hAnsi="Arial" w:cs="Arial"/>
                        <w:b/>
                        <w:color w:val="FF0000"/>
                        <w:sz w:val="24"/>
                      </w:rPr>
                    </w:pPr>
                    <w:r w:rsidRPr="00B770B1">
                      <w:rPr>
                        <w:rFonts w:ascii="Arial" w:hAnsi="Arial" w:cs="Arial"/>
                        <w:b/>
                        <w:color w:val="FF0000"/>
                        <w:sz w:val="24"/>
                      </w:rPr>
                      <w:fldChar w:fldCharType="begin"/>
                    </w:r>
                    <w:r w:rsidRPr="00B770B1">
                      <w:rPr>
                        <w:rFonts w:ascii="Arial" w:hAnsi="Arial" w:cs="Arial"/>
                        <w:b/>
                        <w:color w:val="FF0000"/>
                        <w:sz w:val="24"/>
                      </w:rPr>
                      <w:instrText xml:space="preserve"> DOCPROPERTY PM_ProtectiveMarkingValue_Header \* MERGEFORMAT </w:instrText>
                    </w:r>
                    <w:r w:rsidRPr="00B770B1">
                      <w:rPr>
                        <w:rFonts w:ascii="Arial" w:hAnsi="Arial" w:cs="Arial"/>
                        <w:b/>
                        <w:color w:val="FF0000"/>
                        <w:sz w:val="24"/>
                      </w:rPr>
                      <w:fldChar w:fldCharType="separate"/>
                    </w:r>
                    <w:r w:rsidR="00AA27F8" w:rsidRPr="00AA27F8">
                      <w:rPr>
                        <w:rFonts w:ascii="Arial" w:hAnsi="Arial" w:cs="Arial"/>
                        <w:bCs/>
                        <w:color w:val="FF0000"/>
                        <w:sz w:val="24"/>
                        <w:lang w:val="en-US"/>
                      </w:rPr>
                      <w:t>OFFICIAL</w:t>
                    </w:r>
                    <w:r w:rsidRPr="00B770B1">
                      <w:rPr>
                        <w:rFonts w:ascii="Arial" w:hAnsi="Arial" w:cs="Arial"/>
                        <w:b/>
                        <w:color w:val="FF0000"/>
                        <w:sz w:val="24"/>
                      </w:rPr>
                      <w:fldChar w:fldCharType="end"/>
                    </w:r>
                  </w:p>
                </w:txbxContent>
              </v:textbox>
              <w10:wrap anchorx="margin" anchory="margin"/>
              <w10:anchorlock/>
            </v:shape>
          </w:pict>
        </mc:Fallback>
      </mc:AlternateContent>
    </w:r>
    <w:r>
      <w:rPr>
        <w:noProof/>
      </w:rPr>
      <mc:AlternateContent>
        <mc:Choice Requires="wps">
          <w:drawing>
            <wp:anchor distT="0" distB="0" distL="114300" distR="114300" simplePos="0" relativeHeight="251658246" behindDoc="0" locked="1" layoutInCell="0" allowOverlap="1" wp14:anchorId="32D41121" wp14:editId="0CA1F54F">
              <wp:simplePos x="0" y="0"/>
              <wp:positionH relativeFrom="margin">
                <wp:align>center</wp:align>
              </wp:positionH>
              <wp:positionV relativeFrom="topMargin">
                <wp:align>center</wp:align>
              </wp:positionV>
              <wp:extent cx="1891665" cy="250190"/>
              <wp:effectExtent l="0" t="0" r="0" b="0"/>
              <wp:wrapNone/>
              <wp:docPr id="31" name="Text Box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91665" cy="2501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0FD3E8" w14:textId="6A7ECD76" w:rsidR="00FC0BFF" w:rsidRPr="00BF7D41" w:rsidRDefault="00FC0BFF" w:rsidP="00C03DF9">
                          <w:pPr>
                            <w:spacing w:before="0" w:after="0"/>
                            <w:jc w:val="center"/>
                            <w:rPr>
                              <w:rFonts w:ascii="Arial" w:hAnsi="Arial" w:cs="Arial"/>
                              <w:b/>
                              <w:color w:val="FF0000"/>
                              <w:sz w:val="24"/>
                            </w:rPr>
                          </w:pPr>
                          <w:r w:rsidRPr="00BF7D41">
                            <w:rPr>
                              <w:rFonts w:ascii="Arial" w:hAnsi="Arial" w:cs="Arial"/>
                              <w:b/>
                              <w:color w:val="FF0000"/>
                              <w:sz w:val="24"/>
                            </w:rPr>
                            <w:fldChar w:fldCharType="begin"/>
                          </w:r>
                          <w:r w:rsidRPr="00BF7D41">
                            <w:rPr>
                              <w:rFonts w:ascii="Arial" w:hAnsi="Arial" w:cs="Arial"/>
                              <w:b/>
                              <w:color w:val="FF0000"/>
                              <w:sz w:val="24"/>
                            </w:rPr>
                            <w:instrText xml:space="preserve"> DOCPROPERTY PM_ProtectiveMarkingValue_Header \* MERGEFORMAT </w:instrText>
                          </w:r>
                          <w:r w:rsidRPr="00BF7D41">
                            <w:rPr>
                              <w:rFonts w:ascii="Arial" w:hAnsi="Arial" w:cs="Arial"/>
                              <w:b/>
                              <w:color w:val="FF0000"/>
                              <w:sz w:val="24"/>
                            </w:rPr>
                            <w:fldChar w:fldCharType="separate"/>
                          </w:r>
                          <w:r w:rsidR="00AA27F8" w:rsidRPr="00AA27F8">
                            <w:rPr>
                              <w:rFonts w:ascii="Arial" w:hAnsi="Arial" w:cs="Arial"/>
                              <w:bCs/>
                              <w:color w:val="FF0000"/>
                              <w:sz w:val="24"/>
                              <w:lang w:val="en-US"/>
                            </w:rPr>
                            <w:t>OFFICIAL</w:t>
                          </w:r>
                          <w:r w:rsidRPr="00BF7D41">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2D41121" id="Text Box 31" o:spid="_x0000_s1035" type="#_x0000_t202" alt="&quot;&quot;" style="position:absolute;margin-left:0;margin-top:0;width:148.95pt;height:19.7pt;z-index:251658246;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" o:allowincell="f" filled="f" stroked="f" strokeweight=".5pt">
              <v:textbox style="mso-fit-shape-to-text:t">
                <w:txbxContent>
                  <w:p w14:paraId="4E0FD3E8" w14:textId="6A7ECD76" w:rsidR="00FC0BFF" w:rsidRPr="00BF7D41" w:rsidRDefault="00FC0BFF" w:rsidP="00C03DF9">
                    <w:pPr>
                      <w:spacing w:before="0" w:after="0"/>
                      <w:jc w:val="center"/>
                      <w:rPr>
                        <w:rFonts w:ascii="Arial" w:hAnsi="Arial" w:cs="Arial"/>
                        <w:b/>
                        <w:color w:val="FF0000"/>
                        <w:sz w:val="24"/>
                      </w:rPr>
                    </w:pPr>
                    <w:r w:rsidRPr="00BF7D41">
                      <w:rPr>
                        <w:rFonts w:ascii="Arial" w:hAnsi="Arial" w:cs="Arial"/>
                        <w:b/>
                        <w:color w:val="FF0000"/>
                        <w:sz w:val="24"/>
                      </w:rPr>
                      <w:fldChar w:fldCharType="begin"/>
                    </w:r>
                    <w:r w:rsidRPr="00BF7D41">
                      <w:rPr>
                        <w:rFonts w:ascii="Arial" w:hAnsi="Arial" w:cs="Arial"/>
                        <w:b/>
                        <w:color w:val="FF0000"/>
                        <w:sz w:val="24"/>
                      </w:rPr>
                      <w:instrText xml:space="preserve"> DOCPROPERTY PM_ProtectiveMarkingValue_Header \* MERGEFORMAT </w:instrText>
                    </w:r>
                    <w:r w:rsidRPr="00BF7D41">
                      <w:rPr>
                        <w:rFonts w:ascii="Arial" w:hAnsi="Arial" w:cs="Arial"/>
                        <w:b/>
                        <w:color w:val="FF0000"/>
                        <w:sz w:val="24"/>
                      </w:rPr>
                      <w:fldChar w:fldCharType="separate"/>
                    </w:r>
                    <w:r w:rsidR="00AA27F8" w:rsidRPr="00AA27F8">
                      <w:rPr>
                        <w:rFonts w:ascii="Arial" w:hAnsi="Arial" w:cs="Arial"/>
                        <w:bCs/>
                        <w:color w:val="FF0000"/>
                        <w:sz w:val="24"/>
                        <w:lang w:val="en-US"/>
                      </w:rPr>
                      <w:t>OFFICIAL</w:t>
                    </w:r>
                    <w:r w:rsidRPr="00BF7D41">
                      <w:rPr>
                        <w:rFonts w:ascii="Arial" w:hAnsi="Arial" w:cs="Arial"/>
                        <w:b/>
                        <w:color w:val="FF0000"/>
                        <w:sz w:val="24"/>
                      </w:rPr>
                      <w:fldChar w:fldCharType="end"/>
                    </w:r>
                  </w:p>
                </w:txbxContent>
              </v:textbox>
              <w10:wrap anchorx="margin" anchory="margin"/>
              <w10:anchorlock/>
            </v:shape>
          </w:pict>
        </mc:Fallback>
      </mc:AlternateContent>
    </w:r>
    <w:r>
      <w:rPr>
        <w:noProof/>
      </w:rPr>
      <w:drawing>
        <wp:anchor distT="0" distB="0" distL="114300" distR="114300" simplePos="0" relativeHeight="251658244" behindDoc="1" locked="0" layoutInCell="1" allowOverlap="1" wp14:anchorId="3C4C94C4" wp14:editId="60F3FE77">
          <wp:simplePos x="0" y="0"/>
          <wp:positionH relativeFrom="page">
            <wp:posOffset>783772</wp:posOffset>
          </wp:positionH>
          <wp:positionV relativeFrom="page">
            <wp:posOffset>-167951</wp:posOffset>
          </wp:positionV>
          <wp:extent cx="7560000" cy="10692000"/>
          <wp:effectExtent l="0" t="0" r="3175" b="0"/>
          <wp:wrapNone/>
          <wp:docPr id="2005951557" name="Picture 20059515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89B62" w14:textId="413BB949" w:rsidR="00FB5DDD" w:rsidRPr="00AA5439" w:rsidRDefault="00FB5DDD" w:rsidP="00AA5439">
    <w:pPr>
      <w:pStyle w:val="HeaderEven"/>
      <w:rPr>
        <w:sz w:val="2"/>
        <w:szCs w:val="2"/>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FB5DDD" w14:paraId="474595E5" w14:textId="77777777" w:rsidTr="00C03DF9">
      <w:trPr>
        <w:trHeight w:hRule="exact" w:val="340"/>
      </w:trPr>
      <w:tc>
        <w:tcPr>
          <w:tcW w:w="7797" w:type="dxa"/>
        </w:tcPr>
        <w:p w14:paraId="71EDB4FF" w14:textId="3C07FDCC" w:rsidR="00FB5DDD" w:rsidRPr="008C56E1" w:rsidRDefault="00FB5DDD" w:rsidP="00F60EA1">
          <w:pPr>
            <w:pStyle w:val="HeaderEven"/>
          </w:pPr>
          <w:r w:rsidRPr="008C56E1">
            <w:rPr>
              <w:noProof/>
              <w:position w:val="-8"/>
            </w:rPr>
            <w:drawing>
              <wp:inline distT="0" distB="0" distL="0" distR="0" wp14:anchorId="7D645D82" wp14:editId="04AEAF9C">
                <wp:extent cx="874979" cy="198000"/>
                <wp:effectExtent l="0" t="0" r="1905" b="0"/>
                <wp:docPr id="664834787" name="Picture 6648347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834787" name="Picture 66483478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4979" cy="198000"/>
                        </a:xfrm>
                        <a:prstGeom prst="rect">
                          <a:avLst/>
                        </a:prstGeom>
                      </pic:spPr>
                    </pic:pic>
                  </a:graphicData>
                </a:graphic>
              </wp:inline>
            </w:drawing>
          </w:r>
          <w:r w:rsidRPr="008C56E1">
            <w:t xml:space="preserve">  |  </w:t>
          </w:r>
          <w:fldSimple w:instr="TITLE   \* MERGEFORMAT">
            <w:r w:rsidR="00AA27F8">
              <w:t>Mid-Year Economic and Fiscal Outlook 2024–25</w:t>
            </w:r>
          </w:fldSimple>
        </w:p>
      </w:tc>
    </w:tr>
  </w:tbl>
  <w:p w14:paraId="53944463" w14:textId="77777777" w:rsidR="00FB5DDD" w:rsidRPr="00AA5439" w:rsidRDefault="00FB5DDD" w:rsidP="00AA5439">
    <w:pPr>
      <w:pStyle w:val="HeaderEven"/>
      <w:rPr>
        <w:sz w:val="2"/>
        <w:szCs w:val="4"/>
      </w:rPr>
    </w:pPr>
  </w:p>
  <w:p w14:paraId="7A106DC4" w14:textId="77777777" w:rsidR="00FB5DDD" w:rsidRPr="007703C7" w:rsidRDefault="00FB5DDD" w:rsidP="007703C7">
    <w:pPr>
      <w:pStyle w:val="Header"/>
      <w:rPr>
        <w:sz w:val="2"/>
        <w:szCs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90327" w14:textId="32E4792D" w:rsidR="00FB5DDD" w:rsidRPr="000635BE" w:rsidRDefault="00FB5DDD" w:rsidP="000635BE">
    <w:pPr>
      <w:pStyle w:val="HeaderOdd"/>
      <w:rPr>
        <w:sz w:val="2"/>
        <w:szCs w:val="4"/>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85" w:type="dxa"/>
      </w:tblCellMar>
      <w:tblLook w:val="04A0" w:firstRow="1" w:lastRow="0" w:firstColumn="1" w:lastColumn="0" w:noHBand="0" w:noVBand="1"/>
    </w:tblPr>
    <w:tblGrid>
      <w:gridCol w:w="7797"/>
    </w:tblGrid>
    <w:tr w:rsidR="00FB5DDD" w14:paraId="7073F9D8" w14:textId="77777777" w:rsidTr="00C03DF9">
      <w:trPr>
        <w:trHeight w:hRule="exact" w:val="340"/>
      </w:trPr>
      <w:tc>
        <w:tcPr>
          <w:tcW w:w="7797" w:type="dxa"/>
        </w:tcPr>
        <w:p w14:paraId="27EAA977" w14:textId="351BD4A4" w:rsidR="00FB5DDD" w:rsidRPr="00D13BF9" w:rsidRDefault="00000000" w:rsidP="00D13BF9">
          <w:pPr>
            <w:pStyle w:val="HeaderOdd"/>
          </w:pPr>
          <w:fldSimple w:instr="TITLE   \* MERGEFORMAT">
            <w:r w:rsidR="00AA27F8">
              <w:t>Mid-Year Economic and Fiscal Outlook 2024–25</w:t>
            </w:r>
          </w:fldSimple>
          <w:r w:rsidR="00FB5DDD" w:rsidRPr="00D13BF9">
            <w:t xml:space="preserve">  |  </w:t>
          </w:r>
          <w:r w:rsidR="00FB5DDD" w:rsidRPr="00C9389A">
            <w:rPr>
              <w:noProof/>
              <w:position w:val="-8"/>
            </w:rPr>
            <w:drawing>
              <wp:inline distT="0" distB="0" distL="0" distR="0" wp14:anchorId="37F83DD4" wp14:editId="06AB780D">
                <wp:extent cx="878400" cy="198000"/>
                <wp:effectExtent l="0" t="0" r="0" b="0"/>
                <wp:docPr id="322743577" name="Picture 3227435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743577" name="Picture 32274357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tbl>
  <w:p w14:paraId="2C44B57A" w14:textId="77777777" w:rsidR="00FB5DDD" w:rsidRPr="00AA5439" w:rsidRDefault="00FB5DDD" w:rsidP="00AA5439">
    <w:pPr>
      <w:pStyle w:val="Header"/>
      <w:rPr>
        <w:sz w:val="2"/>
        <w:szCs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DB79DC" w14:paraId="44588C3C" w14:textId="77777777" w:rsidTr="0003382F">
      <w:trPr>
        <w:trHeight w:hRule="exact" w:val="340"/>
      </w:trPr>
      <w:tc>
        <w:tcPr>
          <w:tcW w:w="7797" w:type="dxa"/>
        </w:tcPr>
        <w:p w14:paraId="0FA19186" w14:textId="57487888" w:rsidR="00DB79DC" w:rsidRPr="008C56E1" w:rsidRDefault="00DB79DC" w:rsidP="00F60EA1">
          <w:pPr>
            <w:pStyle w:val="HeaderEven"/>
          </w:pPr>
          <w:r w:rsidRPr="008C56E1">
            <w:rPr>
              <w:noProof/>
              <w:position w:val="-8"/>
            </w:rPr>
            <w:drawing>
              <wp:inline distT="0" distB="0" distL="0" distR="0" wp14:anchorId="1408A960" wp14:editId="12C44B08">
                <wp:extent cx="874979" cy="198000"/>
                <wp:effectExtent l="0" t="0" r="1905" b="0"/>
                <wp:docPr id="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4979" cy="198000"/>
                        </a:xfrm>
                        <a:prstGeom prst="rect">
                          <a:avLst/>
                        </a:prstGeom>
                      </pic:spPr>
                    </pic:pic>
                  </a:graphicData>
                </a:graphic>
              </wp:inline>
            </w:drawing>
          </w:r>
          <w:r w:rsidRPr="008C56E1">
            <w:t xml:space="preserve">  |  </w:t>
          </w:r>
          <w:fldSimple w:instr=" TITLE   \* MERGEFORMAT ">
            <w:r w:rsidR="00AA27F8">
              <w:t>Mid-Year Economic and Fiscal Outlook 2024–25</w:t>
            </w:r>
          </w:fldSimple>
        </w:p>
      </w:tc>
    </w:tr>
  </w:tbl>
  <w:p w14:paraId="50586F7B" w14:textId="3884141C" w:rsidR="00FB5DDD" w:rsidRPr="00A27396" w:rsidRDefault="00FB5DDD" w:rsidP="00373C1F">
    <w:pPr>
      <w:pStyle w:val="HeaderEven"/>
    </w:pPr>
    <w:r w:rsidRPr="00A27396">
      <w:rPr>
        <w:noProof/>
      </w:rPr>
      <mc:AlternateContent>
        <mc:Choice Requires="wps">
          <w:drawing>
            <wp:anchor distT="0" distB="0" distL="114300" distR="114300" simplePos="0" relativeHeight="251658240" behindDoc="0" locked="0" layoutInCell="1" allowOverlap="1" wp14:anchorId="45D0C567" wp14:editId="7531DE86">
              <wp:simplePos x="0" y="0"/>
              <wp:positionH relativeFrom="column">
                <wp:posOffset>7560945</wp:posOffset>
              </wp:positionH>
              <wp:positionV relativeFrom="margin">
                <wp:align>bottom</wp:align>
              </wp:positionV>
              <wp:extent cx="399600" cy="4896000"/>
              <wp:effectExtent l="0" t="0" r="635" b="0"/>
              <wp:wrapNone/>
              <wp:docPr id="70"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0C8FCC" w14:textId="5C54D478" w:rsidR="00FB5DDD" w:rsidRPr="00137C7E" w:rsidRDefault="00000000" w:rsidP="001D33D6">
                          <w:pPr>
                            <w:pStyle w:val="HeaderOdd"/>
                          </w:pPr>
                          <w:fldSimple w:instr="TITLE   \* MERGEFORMAT">
                            <w:r w:rsidR="00AA27F8">
                              <w:t>Mid-Year Economic and Fiscal Outlook 2024–25</w:t>
                            </w:r>
                          </w:fldSimple>
                          <w:r w:rsidR="00FB5DDD">
                            <w:t xml:space="preserve">  |  </w:t>
                          </w:r>
                          <w:r w:rsidR="00FB5DDD" w:rsidRPr="000635BE">
                            <w:rPr>
                              <w:rFonts w:ascii="Arial Bold" w:hAnsi="Arial Bold"/>
                              <w:b/>
                              <w:bCs/>
                              <w:noProof/>
                              <w:position w:val="-10"/>
                            </w:rPr>
                            <w:drawing>
                              <wp:inline distT="0" distB="0" distL="0" distR="0" wp14:anchorId="00F56EEA" wp14:editId="3C93A19A">
                                <wp:extent cx="1000760" cy="228609"/>
                                <wp:effectExtent l="5080" t="0" r="0" b="0"/>
                                <wp:docPr id="796952762" name="Picture 7969527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941894" name="Picture 870941894">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rot="5400000">
                                          <a:off x="0" y="0"/>
                                          <a:ext cx="1000760" cy="228609"/>
                                        </a:xfrm>
                                        <a:prstGeom prst="rect">
                                          <a:avLst/>
                                        </a:prstGeom>
                                        <a:noFill/>
                                      </pic:spPr>
                                    </pic:pic>
                                  </a:graphicData>
                                </a:graphic>
                              </wp:inline>
                            </w:drawing>
                          </w:r>
                        </w:p>
                      </w:txbxContent>
                    </wps:txbx>
                    <wps:bodyPr rot="0" vert="vert" wrap="square" lIns="0" tIns="0" rIns="0" bIns="7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D0C567" id="_x0000_t202" coordsize="21600,21600" o:spt="202" path="m,l,21600r21600,l21600,xe">
              <v:stroke joinstyle="miter"/>
              <v:path gradientshapeok="t" o:connecttype="rect"/>
            </v:shapetype>
            <v:shape id="_x0000_s1042" type="#_x0000_t202" alt="Landscape Odd Header" style="position:absolute;margin-left:595.35pt;margin-top:0;width:31.45pt;height:385.5pt;z-index:251658240;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" stroked="f">
              <v:textbox style="layout-flow:vertical" inset="0,0,0,.2mm">
                <w:txbxContent>
                  <w:p w14:paraId="540C8FCC" w14:textId="5C54D478" w:rsidR="00FB5DDD" w:rsidRPr="00137C7E" w:rsidRDefault="00000000" w:rsidP="001D33D6">
                    <w:pPr>
                      <w:pStyle w:val="HeaderOdd"/>
                    </w:pPr>
                    <w:fldSimple w:instr="TITLE   \* MERGEFORMAT">
                      <w:r w:rsidR="00AA27F8">
                        <w:t>Mid-Year Economic and Fiscal Outlook 2024–25</w:t>
                      </w:r>
                    </w:fldSimple>
                    <w:r w:rsidR="00FB5DDD">
                      <w:t xml:space="preserve">  |  </w:t>
                    </w:r>
                    <w:r w:rsidR="00FB5DDD" w:rsidRPr="000635BE">
                      <w:rPr>
                        <w:rFonts w:ascii="Arial Bold" w:hAnsi="Arial Bold"/>
                        <w:b/>
                        <w:bCs/>
                        <w:noProof/>
                        <w:position w:val="-10"/>
                      </w:rPr>
                      <w:drawing>
                        <wp:inline distT="0" distB="0" distL="0" distR="0" wp14:anchorId="00F56EEA" wp14:editId="3C93A19A">
                          <wp:extent cx="1000760" cy="228609"/>
                          <wp:effectExtent l="5080" t="0" r="0" b="0"/>
                          <wp:docPr id="796952762" name="Picture 7969527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941894" name="Picture 870941894">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rot="5400000">
                                    <a:off x="0" y="0"/>
                                    <a:ext cx="1000760" cy="228609"/>
                                  </a:xfrm>
                                  <a:prstGeom prst="rect">
                                    <a:avLst/>
                                  </a:prstGeom>
                                  <a:noFill/>
                                </pic:spPr>
                              </pic:pic>
                            </a:graphicData>
                          </a:graphic>
                        </wp:inline>
                      </w:drawing>
                    </w:r>
                  </w:p>
                </w:txbxContent>
              </v:textbox>
              <w10:wrap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A4A8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4E7D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BC0E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74B4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821A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60DD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F2C7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4A2E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16B0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7C75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64F09"/>
    <w:multiLevelType w:val="hybridMultilevel"/>
    <w:tmpl w:val="97F4F1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0B43306C"/>
    <w:multiLevelType w:val="singleLevel"/>
    <w:tmpl w:val="0C090017"/>
    <w:lvl w:ilvl="0">
      <w:start w:val="1"/>
      <w:numFmt w:val="lowerLetter"/>
      <w:lvlText w:val="%1)"/>
      <w:lvlJc w:val="left"/>
      <w:pPr>
        <w:ind w:left="360" w:hanging="360"/>
      </w:pPr>
      <w:rPr>
        <w:rFonts w:hint="default"/>
        <w:b w:val="0"/>
        <w:i w:val="0"/>
        <w:color w:val="000000"/>
        <w:sz w:val="16"/>
      </w:rPr>
    </w:lvl>
  </w:abstractNum>
  <w:abstractNum w:abstractNumId="12" w15:restartNumberingAfterBreak="0">
    <w:nsid w:val="0DDC5989"/>
    <w:multiLevelType w:val="hybridMultilevel"/>
    <w:tmpl w:val="C6D68B6A"/>
    <w:lvl w:ilvl="0" w:tplc="01206908">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4"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15" w15:restartNumberingAfterBreak="0">
    <w:nsid w:val="13E27B2A"/>
    <w:multiLevelType w:val="hybridMultilevel"/>
    <w:tmpl w:val="6F7C4EEA"/>
    <w:lvl w:ilvl="0" w:tplc="78586B6C">
      <w:start w:val="1"/>
      <w:numFmt w:val="lowerLetter"/>
      <w:lvlText w:val="%1)"/>
      <w:lvlJc w:val="left"/>
      <w:pPr>
        <w:ind w:left="778" w:hanging="360"/>
      </w:pPr>
      <w:rPr>
        <w:rFonts w:hint="default"/>
      </w:rPr>
    </w:lvl>
    <w:lvl w:ilvl="1" w:tplc="0C090019" w:tentative="1">
      <w:start w:val="1"/>
      <w:numFmt w:val="lowerLetter"/>
      <w:lvlText w:val="%2."/>
      <w:lvlJc w:val="left"/>
      <w:pPr>
        <w:ind w:left="1498" w:hanging="360"/>
      </w:pPr>
    </w:lvl>
    <w:lvl w:ilvl="2" w:tplc="0C09001B" w:tentative="1">
      <w:start w:val="1"/>
      <w:numFmt w:val="lowerRoman"/>
      <w:lvlText w:val="%3."/>
      <w:lvlJc w:val="right"/>
      <w:pPr>
        <w:ind w:left="2218" w:hanging="180"/>
      </w:pPr>
    </w:lvl>
    <w:lvl w:ilvl="3" w:tplc="0C09000F" w:tentative="1">
      <w:start w:val="1"/>
      <w:numFmt w:val="decimal"/>
      <w:lvlText w:val="%4."/>
      <w:lvlJc w:val="left"/>
      <w:pPr>
        <w:ind w:left="2938" w:hanging="360"/>
      </w:pPr>
    </w:lvl>
    <w:lvl w:ilvl="4" w:tplc="0C090019" w:tentative="1">
      <w:start w:val="1"/>
      <w:numFmt w:val="lowerLetter"/>
      <w:lvlText w:val="%5."/>
      <w:lvlJc w:val="left"/>
      <w:pPr>
        <w:ind w:left="3658" w:hanging="360"/>
      </w:pPr>
    </w:lvl>
    <w:lvl w:ilvl="5" w:tplc="0C09001B" w:tentative="1">
      <w:start w:val="1"/>
      <w:numFmt w:val="lowerRoman"/>
      <w:lvlText w:val="%6."/>
      <w:lvlJc w:val="right"/>
      <w:pPr>
        <w:ind w:left="4378" w:hanging="180"/>
      </w:pPr>
    </w:lvl>
    <w:lvl w:ilvl="6" w:tplc="0C09000F" w:tentative="1">
      <w:start w:val="1"/>
      <w:numFmt w:val="decimal"/>
      <w:lvlText w:val="%7."/>
      <w:lvlJc w:val="left"/>
      <w:pPr>
        <w:ind w:left="5098" w:hanging="360"/>
      </w:pPr>
    </w:lvl>
    <w:lvl w:ilvl="7" w:tplc="0C090019" w:tentative="1">
      <w:start w:val="1"/>
      <w:numFmt w:val="lowerLetter"/>
      <w:lvlText w:val="%8."/>
      <w:lvlJc w:val="left"/>
      <w:pPr>
        <w:ind w:left="5818" w:hanging="360"/>
      </w:pPr>
    </w:lvl>
    <w:lvl w:ilvl="8" w:tplc="0C09001B" w:tentative="1">
      <w:start w:val="1"/>
      <w:numFmt w:val="lowerRoman"/>
      <w:lvlText w:val="%9."/>
      <w:lvlJc w:val="right"/>
      <w:pPr>
        <w:ind w:left="6538" w:hanging="180"/>
      </w:pPr>
    </w:lvl>
  </w:abstractNum>
  <w:abstractNum w:abstractNumId="16" w15:restartNumberingAfterBreak="0">
    <w:nsid w:val="1647577F"/>
    <w:multiLevelType w:val="multilevel"/>
    <w:tmpl w:val="794240C4"/>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19C960FD"/>
    <w:multiLevelType w:val="multilevel"/>
    <w:tmpl w:val="F9EA08CE"/>
    <w:name w:val="OneLevelNumberedParagraphList"/>
    <w:lvl w:ilvl="0">
      <w:start w:val="1"/>
      <w:numFmt w:val="decimal"/>
      <w:lvlRestart w:val="0"/>
      <w:pStyle w:val="OneLevelNumberedParagraph"/>
      <w:lvlText w:val="%1"/>
      <w:lvlJc w:val="left"/>
      <w:pPr>
        <w:tabs>
          <w:tab w:val="num" w:pos="567"/>
        </w:tabs>
        <w:ind w:left="567" w:hanging="567"/>
      </w:pPr>
      <w:rPr>
        <w:rFonts w:ascii="Times New Roman" w:hAnsi="Times New Roman" w:cs="Times New Roman"/>
        <w:b w:val="0"/>
        <w:i w:val="0"/>
        <w:color w:val="000000"/>
      </w:rPr>
    </w:lvl>
    <w:lvl w:ilvl="1">
      <w:start w:val="1"/>
      <w:numFmt w:val="decimal"/>
      <w:lvlText w:val="%2"/>
      <w:lvlJc w:val="left"/>
      <w:pPr>
        <w:tabs>
          <w:tab w:val="num" w:pos="1134"/>
        </w:tabs>
        <w:ind w:left="1134" w:hanging="567"/>
      </w:pPr>
      <w:rPr>
        <w:rFonts w:ascii="Times New Roman" w:hAnsi="Times New Roman" w:cs="Times New Roman"/>
        <w:b w:val="0"/>
        <w:i w:val="0"/>
        <w:color w:val="000000"/>
      </w:rPr>
    </w:lvl>
    <w:lvl w:ilvl="2">
      <w:start w:val="1"/>
      <w:numFmt w:val="decimal"/>
      <w:lvlText w:val="%3"/>
      <w:lvlJc w:val="left"/>
      <w:pPr>
        <w:tabs>
          <w:tab w:val="num" w:pos="1701"/>
        </w:tabs>
        <w:ind w:left="1701" w:hanging="567"/>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abstractNum w:abstractNumId="18" w15:restartNumberingAfterBreak="0">
    <w:nsid w:val="244237C5"/>
    <w:multiLevelType w:val="multilevel"/>
    <w:tmpl w:val="F0BE3518"/>
    <w:lvl w:ilvl="0">
      <w:start w:val="1"/>
      <w:numFmt w:val="decimal"/>
      <w:lvlRestart w:val="0"/>
      <w:pStyle w:val="OutlineNumbered1"/>
      <w:lvlText w:val="%1."/>
      <w:lvlJc w:val="left"/>
      <w:pPr>
        <w:tabs>
          <w:tab w:val="num" w:pos="567"/>
        </w:tabs>
        <w:ind w:left="567" w:hanging="567"/>
      </w:pPr>
      <w:rPr>
        <w:b w:val="0"/>
        <w:i w:val="0"/>
      </w:rPr>
    </w:lvl>
    <w:lvl w:ilvl="1">
      <w:start w:val="1"/>
      <w:numFmt w:val="decimal"/>
      <w:pStyle w:val="OutlineNumbered2"/>
      <w:lvlText w:val="%1.%2."/>
      <w:lvlJc w:val="left"/>
      <w:pPr>
        <w:tabs>
          <w:tab w:val="num" w:pos="1134"/>
        </w:tabs>
        <w:ind w:left="1134" w:hanging="567"/>
      </w:pPr>
      <w:rPr>
        <w:b w:val="0"/>
        <w:i w:val="0"/>
      </w:rPr>
    </w:lvl>
    <w:lvl w:ilvl="2">
      <w:start w:val="1"/>
      <w:numFmt w:val="decimal"/>
      <w:pStyle w:val="OutlineNumbered3"/>
      <w:lvlText w:val="%1.%2.%3."/>
      <w:lvlJc w:val="left"/>
      <w:pPr>
        <w:tabs>
          <w:tab w:val="num" w:pos="1701"/>
        </w:tabs>
        <w:ind w:left="1701" w:hanging="567"/>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9" w15:restartNumberingAfterBreak="0">
    <w:nsid w:val="2B286529"/>
    <w:multiLevelType w:val="hybridMultilevel"/>
    <w:tmpl w:val="5A8E834C"/>
    <w:lvl w:ilvl="0" w:tplc="0C090001">
      <w:start w:val="1"/>
      <w:numFmt w:val="bullet"/>
      <w:lvlText w:val=""/>
      <w:lvlJc w:val="left"/>
      <w:pPr>
        <w:ind w:left="1138" w:hanging="360"/>
      </w:pPr>
      <w:rPr>
        <w:rFonts w:ascii="Symbol" w:hAnsi="Symbol" w:hint="default"/>
      </w:rPr>
    </w:lvl>
    <w:lvl w:ilvl="1" w:tplc="0C090003" w:tentative="1">
      <w:start w:val="1"/>
      <w:numFmt w:val="bullet"/>
      <w:lvlText w:val="o"/>
      <w:lvlJc w:val="left"/>
      <w:pPr>
        <w:ind w:left="1858" w:hanging="360"/>
      </w:pPr>
      <w:rPr>
        <w:rFonts w:ascii="Courier New" w:hAnsi="Courier New" w:cs="Courier New" w:hint="default"/>
      </w:rPr>
    </w:lvl>
    <w:lvl w:ilvl="2" w:tplc="0C090005" w:tentative="1">
      <w:start w:val="1"/>
      <w:numFmt w:val="bullet"/>
      <w:lvlText w:val=""/>
      <w:lvlJc w:val="left"/>
      <w:pPr>
        <w:ind w:left="2578" w:hanging="360"/>
      </w:pPr>
      <w:rPr>
        <w:rFonts w:ascii="Wingdings" w:hAnsi="Wingdings" w:hint="default"/>
      </w:rPr>
    </w:lvl>
    <w:lvl w:ilvl="3" w:tplc="0C090001" w:tentative="1">
      <w:start w:val="1"/>
      <w:numFmt w:val="bullet"/>
      <w:lvlText w:val=""/>
      <w:lvlJc w:val="left"/>
      <w:pPr>
        <w:ind w:left="3298" w:hanging="360"/>
      </w:pPr>
      <w:rPr>
        <w:rFonts w:ascii="Symbol" w:hAnsi="Symbol" w:hint="default"/>
      </w:rPr>
    </w:lvl>
    <w:lvl w:ilvl="4" w:tplc="0C090003" w:tentative="1">
      <w:start w:val="1"/>
      <w:numFmt w:val="bullet"/>
      <w:lvlText w:val="o"/>
      <w:lvlJc w:val="left"/>
      <w:pPr>
        <w:ind w:left="4018" w:hanging="360"/>
      </w:pPr>
      <w:rPr>
        <w:rFonts w:ascii="Courier New" w:hAnsi="Courier New" w:cs="Courier New" w:hint="default"/>
      </w:rPr>
    </w:lvl>
    <w:lvl w:ilvl="5" w:tplc="0C090005" w:tentative="1">
      <w:start w:val="1"/>
      <w:numFmt w:val="bullet"/>
      <w:lvlText w:val=""/>
      <w:lvlJc w:val="left"/>
      <w:pPr>
        <w:ind w:left="4738" w:hanging="360"/>
      </w:pPr>
      <w:rPr>
        <w:rFonts w:ascii="Wingdings" w:hAnsi="Wingdings" w:hint="default"/>
      </w:rPr>
    </w:lvl>
    <w:lvl w:ilvl="6" w:tplc="0C090001" w:tentative="1">
      <w:start w:val="1"/>
      <w:numFmt w:val="bullet"/>
      <w:lvlText w:val=""/>
      <w:lvlJc w:val="left"/>
      <w:pPr>
        <w:ind w:left="5458" w:hanging="360"/>
      </w:pPr>
      <w:rPr>
        <w:rFonts w:ascii="Symbol" w:hAnsi="Symbol" w:hint="default"/>
      </w:rPr>
    </w:lvl>
    <w:lvl w:ilvl="7" w:tplc="0C090003" w:tentative="1">
      <w:start w:val="1"/>
      <w:numFmt w:val="bullet"/>
      <w:lvlText w:val="o"/>
      <w:lvlJc w:val="left"/>
      <w:pPr>
        <w:ind w:left="6178" w:hanging="360"/>
      </w:pPr>
      <w:rPr>
        <w:rFonts w:ascii="Courier New" w:hAnsi="Courier New" w:cs="Courier New" w:hint="default"/>
      </w:rPr>
    </w:lvl>
    <w:lvl w:ilvl="8" w:tplc="0C090005" w:tentative="1">
      <w:start w:val="1"/>
      <w:numFmt w:val="bullet"/>
      <w:lvlText w:val=""/>
      <w:lvlJc w:val="left"/>
      <w:pPr>
        <w:ind w:left="6898" w:hanging="360"/>
      </w:pPr>
      <w:rPr>
        <w:rFonts w:ascii="Wingdings" w:hAnsi="Wingdings" w:hint="default"/>
      </w:rPr>
    </w:lvl>
  </w:abstractNum>
  <w:abstractNum w:abstractNumId="20" w15:restartNumberingAfterBreak="0">
    <w:nsid w:val="3B2E19AC"/>
    <w:multiLevelType w:val="singleLevel"/>
    <w:tmpl w:val="85DA90FE"/>
    <w:lvl w:ilvl="0">
      <w:start w:val="1"/>
      <w:numFmt w:val="lowerLetter"/>
      <w:lvlRestart w:val="0"/>
      <w:lvlText w:val="(%1)"/>
      <w:lvlJc w:val="left"/>
      <w:pPr>
        <w:tabs>
          <w:tab w:val="num" w:pos="284"/>
        </w:tabs>
        <w:ind w:left="284" w:hanging="284"/>
      </w:pPr>
      <w:rPr>
        <w:rFonts w:ascii="Arial" w:hAnsi="Arial" w:cs="Arial" w:hint="default"/>
        <w:b w:val="0"/>
        <w:i w:val="0"/>
        <w:color w:val="000000"/>
        <w:sz w:val="16"/>
      </w:rPr>
    </w:lvl>
  </w:abstractNum>
  <w:abstractNum w:abstractNumId="21"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22" w15:restartNumberingAfterBreak="0">
    <w:nsid w:val="58101827"/>
    <w:multiLevelType w:val="multilevel"/>
    <w:tmpl w:val="C750BC58"/>
    <w:lvl w:ilvl="0">
      <w:start w:val="1"/>
      <w:numFmt w:val="bullet"/>
      <w:lvlRestart w:val="0"/>
      <w:lvlText w:val="•"/>
      <w:lvlJc w:val="left"/>
      <w:pPr>
        <w:tabs>
          <w:tab w:val="num" w:pos="283"/>
        </w:tabs>
        <w:ind w:left="283" w:hanging="283"/>
      </w:pPr>
      <w:rPr>
        <w:rFonts w:ascii="Book Antiqua" w:hAnsi="Book Antiqua" w:hint="default"/>
        <w:b w:val="0"/>
        <w:i w:val="0"/>
        <w:position w:val="0"/>
        <w:sz w:val="18"/>
      </w:rPr>
    </w:lvl>
    <w:lvl w:ilvl="1">
      <w:start w:val="1"/>
      <w:numFmt w:val="bullet"/>
      <w:pStyle w:val="BoxDash"/>
      <w:lvlText w:val="–"/>
      <w:lvlJc w:val="left"/>
      <w:pPr>
        <w:tabs>
          <w:tab w:val="num" w:pos="567"/>
        </w:tabs>
        <w:ind w:left="567" w:hanging="284"/>
      </w:pPr>
      <w:rPr>
        <w:rFonts w:ascii="Book Antiqua" w:hAnsi="Book Antiqua" w:hint="default"/>
        <w:b w:val="0"/>
        <w:i w:val="0"/>
        <w:position w:val="0"/>
        <w:sz w:val="18"/>
      </w:rPr>
    </w:lvl>
    <w:lvl w:ilvl="2">
      <w:start w:val="1"/>
      <w:numFmt w:val="bullet"/>
      <w:pStyle w:val="BoxDoubleDot"/>
      <w:lvlText w:val=":"/>
      <w:lvlJc w:val="left"/>
      <w:pPr>
        <w:tabs>
          <w:tab w:val="num" w:pos="850"/>
        </w:tabs>
        <w:ind w:left="850" w:hanging="283"/>
      </w:pPr>
      <w:rPr>
        <w:rFonts w:ascii="Book Antiqua" w:hAnsi="Book Antiqua" w:hint="default"/>
        <w:b w:val="0"/>
        <w:i w:val="0"/>
        <w:position w:val="0"/>
        <w:sz w:val="18"/>
        <w:szCs w:val="18"/>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3" w15:restartNumberingAfterBreak="0">
    <w:nsid w:val="62077B3E"/>
    <w:multiLevelType w:val="hybridMultilevel"/>
    <w:tmpl w:val="1DBE676A"/>
    <w:lvl w:ilvl="0" w:tplc="F942F2B8">
      <w:start w:val="1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8EA3959"/>
    <w:multiLevelType w:val="multilevel"/>
    <w:tmpl w:val="BA54A7CC"/>
    <w:lvl w:ilvl="0">
      <w:start w:val="1"/>
      <w:numFmt w:val="lowerLetter"/>
      <w:lvlRestart w:val="0"/>
      <w:lvlText w:val="(%1)"/>
      <w:lvlJc w:val="left"/>
      <w:pPr>
        <w:tabs>
          <w:tab w:val="num" w:pos="284"/>
        </w:tabs>
        <w:ind w:left="284" w:hanging="284"/>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5" w15:restartNumberingAfterBreak="0">
    <w:nsid w:val="6FD20A93"/>
    <w:multiLevelType w:val="singleLevel"/>
    <w:tmpl w:val="3B6E6640"/>
    <w:name w:val="AlphaChartTableFootnoteSmallList"/>
    <w:lvl w:ilvl="0">
      <w:start w:val="1"/>
      <w:numFmt w:val="lowerLetter"/>
      <w:lvlRestart w:val="0"/>
      <w:pStyle w:val="ChartandTableFootnoteAlphaSmall"/>
      <w:lvlText w:val="(%1)"/>
      <w:lvlJc w:val="left"/>
      <w:pPr>
        <w:tabs>
          <w:tab w:val="num" w:pos="283"/>
        </w:tabs>
        <w:ind w:left="283" w:hanging="283"/>
      </w:pPr>
      <w:rPr>
        <w:rFonts w:ascii="Arial" w:hAnsi="Arial" w:cs="Arial"/>
        <w:b w:val="0"/>
        <w:i w:val="0"/>
        <w:sz w:val="15"/>
      </w:rPr>
    </w:lvl>
  </w:abstractNum>
  <w:abstractNum w:abstractNumId="26" w15:restartNumberingAfterBreak="0">
    <w:nsid w:val="7AC76C9D"/>
    <w:multiLevelType w:val="multilevel"/>
    <w:tmpl w:val="52E48BFA"/>
    <w:name w:val="StandardNumberedList"/>
    <w:lvl w:ilvl="0">
      <w:start w:val="1"/>
      <w:numFmt w:val="decimal"/>
      <w:lvlText w:val="%1."/>
      <w:lvlJc w:val="left"/>
      <w:pPr>
        <w:tabs>
          <w:tab w:val="num" w:pos="472"/>
        </w:tabs>
        <w:ind w:left="472" w:hanging="472"/>
      </w:pPr>
    </w:lvl>
    <w:lvl w:ilvl="1">
      <w:start w:val="1"/>
      <w:numFmt w:val="decimal"/>
      <w:lvlText w:val="%1.%2."/>
      <w:lvlJc w:val="left"/>
      <w:pPr>
        <w:tabs>
          <w:tab w:val="num" w:pos="944"/>
        </w:tabs>
        <w:ind w:left="944" w:hanging="472"/>
      </w:pPr>
    </w:lvl>
    <w:lvl w:ilvl="2">
      <w:start w:val="1"/>
      <w:numFmt w:val="decimal"/>
      <w:lvlText w:val="%1.%2.%3."/>
      <w:lvlJc w:val="left"/>
      <w:pPr>
        <w:tabs>
          <w:tab w:val="num" w:pos="1416"/>
        </w:tabs>
        <w:ind w:left="1416" w:hanging="472"/>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03410866">
    <w:abstractNumId w:val="21"/>
  </w:num>
  <w:num w:numId="2" w16cid:durableId="70975900">
    <w:abstractNumId w:val="14"/>
  </w:num>
  <w:num w:numId="3" w16cid:durableId="1903564601">
    <w:abstractNumId w:val="13"/>
  </w:num>
  <w:num w:numId="4" w16cid:durableId="541596858">
    <w:abstractNumId w:val="13"/>
  </w:num>
  <w:num w:numId="5" w16cid:durableId="131681990">
    <w:abstractNumId w:val="16"/>
  </w:num>
  <w:num w:numId="6" w16cid:durableId="15844135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90346136">
    <w:abstractNumId w:val="25"/>
  </w:num>
  <w:num w:numId="8" w16cid:durableId="724060502">
    <w:abstractNumId w:val="22"/>
  </w:num>
  <w:num w:numId="9" w16cid:durableId="419646164">
    <w:abstractNumId w:val="17"/>
  </w:num>
  <w:num w:numId="10" w16cid:durableId="1400711856">
    <w:abstractNumId w:val="18"/>
  </w:num>
  <w:num w:numId="11" w16cid:durableId="10195072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683016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959685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529558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329034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41158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589718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808171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069959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062177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320073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42223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144778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871324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30092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13153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33864556">
    <w:abstractNumId w:val="20"/>
  </w:num>
  <w:num w:numId="28" w16cid:durableId="1790778001">
    <w:abstractNumId w:val="11"/>
  </w:num>
  <w:num w:numId="29" w16cid:durableId="48499080">
    <w:abstractNumId w:val="19"/>
  </w:num>
  <w:num w:numId="30" w16cid:durableId="499855936">
    <w:abstractNumId w:val="13"/>
  </w:num>
  <w:num w:numId="31" w16cid:durableId="635571865">
    <w:abstractNumId w:val="13"/>
  </w:num>
  <w:num w:numId="32" w16cid:durableId="1580560023">
    <w:abstractNumId w:val="23"/>
  </w:num>
  <w:num w:numId="33" w16cid:durableId="1348214628">
    <w:abstractNumId w:val="12"/>
  </w:num>
  <w:num w:numId="34" w16cid:durableId="255985954">
    <w:abstractNumId w:val="10"/>
  </w:num>
  <w:num w:numId="35" w16cid:durableId="1282297255">
    <w:abstractNumId w:val="15"/>
  </w:num>
  <w:num w:numId="36" w16cid:durableId="308556280">
    <w:abstractNumId w:val="24"/>
  </w:num>
  <w:num w:numId="37" w16cid:durableId="322590933">
    <w:abstractNumId w:val="9"/>
  </w:num>
  <w:num w:numId="38" w16cid:durableId="1723669811">
    <w:abstractNumId w:val="7"/>
  </w:num>
  <w:num w:numId="39" w16cid:durableId="235865475">
    <w:abstractNumId w:val="6"/>
  </w:num>
  <w:num w:numId="40" w16cid:durableId="1066297075">
    <w:abstractNumId w:val="5"/>
  </w:num>
  <w:num w:numId="41" w16cid:durableId="10422456">
    <w:abstractNumId w:val="4"/>
  </w:num>
  <w:num w:numId="42" w16cid:durableId="4594083">
    <w:abstractNumId w:val="8"/>
  </w:num>
  <w:num w:numId="43" w16cid:durableId="961616114">
    <w:abstractNumId w:val="3"/>
  </w:num>
  <w:num w:numId="44" w16cid:durableId="760225057">
    <w:abstractNumId w:val="2"/>
  </w:num>
  <w:num w:numId="45" w16cid:durableId="1531915683">
    <w:abstractNumId w:val="1"/>
  </w:num>
  <w:num w:numId="46" w16cid:durableId="288900107">
    <w:abstractNumId w:val="0"/>
  </w:num>
  <w:num w:numId="47" w16cid:durableId="7984541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472E41"/>
    <w:rsid w:val="000004EA"/>
    <w:rsid w:val="000010F7"/>
    <w:rsid w:val="00001FC7"/>
    <w:rsid w:val="00002410"/>
    <w:rsid w:val="00002BE4"/>
    <w:rsid w:val="00002F2B"/>
    <w:rsid w:val="000032CD"/>
    <w:rsid w:val="00003FBF"/>
    <w:rsid w:val="000060A9"/>
    <w:rsid w:val="00007869"/>
    <w:rsid w:val="000102C3"/>
    <w:rsid w:val="00010390"/>
    <w:rsid w:val="00010672"/>
    <w:rsid w:val="00010F87"/>
    <w:rsid w:val="000112A1"/>
    <w:rsid w:val="00011DBB"/>
    <w:rsid w:val="00013C02"/>
    <w:rsid w:val="00013EA8"/>
    <w:rsid w:val="00013EE5"/>
    <w:rsid w:val="000145CF"/>
    <w:rsid w:val="00015394"/>
    <w:rsid w:val="0001587D"/>
    <w:rsid w:val="00016F45"/>
    <w:rsid w:val="00021082"/>
    <w:rsid w:val="000225CE"/>
    <w:rsid w:val="00022875"/>
    <w:rsid w:val="00022FF9"/>
    <w:rsid w:val="00023773"/>
    <w:rsid w:val="00024884"/>
    <w:rsid w:val="00024BA4"/>
    <w:rsid w:val="00024F74"/>
    <w:rsid w:val="000274F2"/>
    <w:rsid w:val="00027972"/>
    <w:rsid w:val="00027C33"/>
    <w:rsid w:val="000311A7"/>
    <w:rsid w:val="00031864"/>
    <w:rsid w:val="00031D6A"/>
    <w:rsid w:val="0003233B"/>
    <w:rsid w:val="000323E4"/>
    <w:rsid w:val="00032B40"/>
    <w:rsid w:val="00033875"/>
    <w:rsid w:val="000348FA"/>
    <w:rsid w:val="00034CE6"/>
    <w:rsid w:val="00034CFE"/>
    <w:rsid w:val="00035160"/>
    <w:rsid w:val="000359CA"/>
    <w:rsid w:val="00035D8D"/>
    <w:rsid w:val="00035FD5"/>
    <w:rsid w:val="00037289"/>
    <w:rsid w:val="000406D0"/>
    <w:rsid w:val="00041DA1"/>
    <w:rsid w:val="00041FA4"/>
    <w:rsid w:val="000423A4"/>
    <w:rsid w:val="00043748"/>
    <w:rsid w:val="000451AD"/>
    <w:rsid w:val="0004740D"/>
    <w:rsid w:val="000477E8"/>
    <w:rsid w:val="00047879"/>
    <w:rsid w:val="000478B0"/>
    <w:rsid w:val="000517CE"/>
    <w:rsid w:val="00052569"/>
    <w:rsid w:val="000539D3"/>
    <w:rsid w:val="00053E4E"/>
    <w:rsid w:val="000546EB"/>
    <w:rsid w:val="00054CCC"/>
    <w:rsid w:val="00056158"/>
    <w:rsid w:val="00056B49"/>
    <w:rsid w:val="00057C56"/>
    <w:rsid w:val="000601BE"/>
    <w:rsid w:val="000622DA"/>
    <w:rsid w:val="000635BE"/>
    <w:rsid w:val="00063FFB"/>
    <w:rsid w:val="0006439D"/>
    <w:rsid w:val="000651EF"/>
    <w:rsid w:val="0006614F"/>
    <w:rsid w:val="00066844"/>
    <w:rsid w:val="00066B0A"/>
    <w:rsid w:val="00066B2C"/>
    <w:rsid w:val="000717D9"/>
    <w:rsid w:val="0007473D"/>
    <w:rsid w:val="000758DB"/>
    <w:rsid w:val="00075F7C"/>
    <w:rsid w:val="00076DEB"/>
    <w:rsid w:val="00076E3D"/>
    <w:rsid w:val="000771F2"/>
    <w:rsid w:val="00077881"/>
    <w:rsid w:val="00080D45"/>
    <w:rsid w:val="0008298F"/>
    <w:rsid w:val="000831EB"/>
    <w:rsid w:val="0008399A"/>
    <w:rsid w:val="00083EF8"/>
    <w:rsid w:val="000850DB"/>
    <w:rsid w:val="000851FB"/>
    <w:rsid w:val="0008597F"/>
    <w:rsid w:val="0008707D"/>
    <w:rsid w:val="00087570"/>
    <w:rsid w:val="000876D7"/>
    <w:rsid w:val="00092DA4"/>
    <w:rsid w:val="00094748"/>
    <w:rsid w:val="00095AC3"/>
    <w:rsid w:val="00095C4C"/>
    <w:rsid w:val="00096250"/>
    <w:rsid w:val="000A0C7C"/>
    <w:rsid w:val="000A1625"/>
    <w:rsid w:val="000A1BCE"/>
    <w:rsid w:val="000A29CA"/>
    <w:rsid w:val="000A3E9A"/>
    <w:rsid w:val="000A4484"/>
    <w:rsid w:val="000A7580"/>
    <w:rsid w:val="000B0974"/>
    <w:rsid w:val="000B0B79"/>
    <w:rsid w:val="000B1BC3"/>
    <w:rsid w:val="000B3232"/>
    <w:rsid w:val="000B362E"/>
    <w:rsid w:val="000B38A8"/>
    <w:rsid w:val="000B4D02"/>
    <w:rsid w:val="000B60D9"/>
    <w:rsid w:val="000B669F"/>
    <w:rsid w:val="000C0732"/>
    <w:rsid w:val="000C11C4"/>
    <w:rsid w:val="000C1CAC"/>
    <w:rsid w:val="000C3C01"/>
    <w:rsid w:val="000C4D1E"/>
    <w:rsid w:val="000C531C"/>
    <w:rsid w:val="000C63C1"/>
    <w:rsid w:val="000D03D1"/>
    <w:rsid w:val="000D0ED3"/>
    <w:rsid w:val="000D15BA"/>
    <w:rsid w:val="000D3884"/>
    <w:rsid w:val="000D43B1"/>
    <w:rsid w:val="000D4447"/>
    <w:rsid w:val="000D744B"/>
    <w:rsid w:val="000D78F4"/>
    <w:rsid w:val="000E011A"/>
    <w:rsid w:val="000E058D"/>
    <w:rsid w:val="000E059F"/>
    <w:rsid w:val="000E105B"/>
    <w:rsid w:val="000E149B"/>
    <w:rsid w:val="000E20BD"/>
    <w:rsid w:val="000E29B6"/>
    <w:rsid w:val="000E33EC"/>
    <w:rsid w:val="000E3E44"/>
    <w:rsid w:val="000E46DB"/>
    <w:rsid w:val="000E4F6B"/>
    <w:rsid w:val="000E53E1"/>
    <w:rsid w:val="000E5AC7"/>
    <w:rsid w:val="000E64E4"/>
    <w:rsid w:val="000E6585"/>
    <w:rsid w:val="000E79F5"/>
    <w:rsid w:val="000F116F"/>
    <w:rsid w:val="000F31B0"/>
    <w:rsid w:val="000F3D61"/>
    <w:rsid w:val="000F4599"/>
    <w:rsid w:val="000F4FD8"/>
    <w:rsid w:val="000F65DA"/>
    <w:rsid w:val="000F7176"/>
    <w:rsid w:val="000F71C9"/>
    <w:rsid w:val="000F73B2"/>
    <w:rsid w:val="000F75FD"/>
    <w:rsid w:val="00100095"/>
    <w:rsid w:val="0010055C"/>
    <w:rsid w:val="00101691"/>
    <w:rsid w:val="00103F65"/>
    <w:rsid w:val="001044CD"/>
    <w:rsid w:val="001047C5"/>
    <w:rsid w:val="001051B9"/>
    <w:rsid w:val="001055FA"/>
    <w:rsid w:val="00106955"/>
    <w:rsid w:val="00106C30"/>
    <w:rsid w:val="00107DE6"/>
    <w:rsid w:val="00110B75"/>
    <w:rsid w:val="00110CAC"/>
    <w:rsid w:val="00110DBA"/>
    <w:rsid w:val="0011175D"/>
    <w:rsid w:val="00112293"/>
    <w:rsid w:val="001129B5"/>
    <w:rsid w:val="001139EC"/>
    <w:rsid w:val="00114949"/>
    <w:rsid w:val="0011598D"/>
    <w:rsid w:val="00115B6B"/>
    <w:rsid w:val="001173C3"/>
    <w:rsid w:val="00117CD7"/>
    <w:rsid w:val="00123195"/>
    <w:rsid w:val="00126407"/>
    <w:rsid w:val="00126884"/>
    <w:rsid w:val="00127114"/>
    <w:rsid w:val="00132AF6"/>
    <w:rsid w:val="00132B07"/>
    <w:rsid w:val="00132D22"/>
    <w:rsid w:val="00135092"/>
    <w:rsid w:val="00135871"/>
    <w:rsid w:val="00135D33"/>
    <w:rsid w:val="00135D79"/>
    <w:rsid w:val="0013721E"/>
    <w:rsid w:val="0014040E"/>
    <w:rsid w:val="00140DA6"/>
    <w:rsid w:val="001420E9"/>
    <w:rsid w:val="0014235A"/>
    <w:rsid w:val="00143E42"/>
    <w:rsid w:val="00144E5E"/>
    <w:rsid w:val="00145D7C"/>
    <w:rsid w:val="001468F0"/>
    <w:rsid w:val="00146A30"/>
    <w:rsid w:val="00146F70"/>
    <w:rsid w:val="0014706D"/>
    <w:rsid w:val="001472CA"/>
    <w:rsid w:val="001477E7"/>
    <w:rsid w:val="001501D1"/>
    <w:rsid w:val="0015025B"/>
    <w:rsid w:val="00150A4D"/>
    <w:rsid w:val="00151837"/>
    <w:rsid w:val="00151D04"/>
    <w:rsid w:val="00153220"/>
    <w:rsid w:val="00154BC7"/>
    <w:rsid w:val="00155228"/>
    <w:rsid w:val="00155BDD"/>
    <w:rsid w:val="00157A08"/>
    <w:rsid w:val="001604FD"/>
    <w:rsid w:val="00160928"/>
    <w:rsid w:val="00161003"/>
    <w:rsid w:val="0016105A"/>
    <w:rsid w:val="001631F4"/>
    <w:rsid w:val="0016383F"/>
    <w:rsid w:val="00164751"/>
    <w:rsid w:val="00166B18"/>
    <w:rsid w:val="00166E97"/>
    <w:rsid w:val="001703CE"/>
    <w:rsid w:val="00171385"/>
    <w:rsid w:val="001725D5"/>
    <w:rsid w:val="00172CFE"/>
    <w:rsid w:val="00173B0B"/>
    <w:rsid w:val="00173F7E"/>
    <w:rsid w:val="00174393"/>
    <w:rsid w:val="001747D7"/>
    <w:rsid w:val="00174A5B"/>
    <w:rsid w:val="00175470"/>
    <w:rsid w:val="001768D6"/>
    <w:rsid w:val="00176B0D"/>
    <w:rsid w:val="00176B5F"/>
    <w:rsid w:val="00176CAE"/>
    <w:rsid w:val="00177ACE"/>
    <w:rsid w:val="00180437"/>
    <w:rsid w:val="00183E30"/>
    <w:rsid w:val="0018555F"/>
    <w:rsid w:val="001860DC"/>
    <w:rsid w:val="0018678D"/>
    <w:rsid w:val="001869D1"/>
    <w:rsid w:val="001872FC"/>
    <w:rsid w:val="00190DE7"/>
    <w:rsid w:val="0019115B"/>
    <w:rsid w:val="00191219"/>
    <w:rsid w:val="00191C51"/>
    <w:rsid w:val="0019217A"/>
    <w:rsid w:val="00192269"/>
    <w:rsid w:val="00192E59"/>
    <w:rsid w:val="00192EFB"/>
    <w:rsid w:val="00193A01"/>
    <w:rsid w:val="001947F2"/>
    <w:rsid w:val="001948E6"/>
    <w:rsid w:val="00195F95"/>
    <w:rsid w:val="00196315"/>
    <w:rsid w:val="001966C1"/>
    <w:rsid w:val="00196B1F"/>
    <w:rsid w:val="001970E6"/>
    <w:rsid w:val="001A06A6"/>
    <w:rsid w:val="001A1A6F"/>
    <w:rsid w:val="001A26B2"/>
    <w:rsid w:val="001A2E49"/>
    <w:rsid w:val="001A3668"/>
    <w:rsid w:val="001A53AE"/>
    <w:rsid w:val="001A5A92"/>
    <w:rsid w:val="001A5E4B"/>
    <w:rsid w:val="001A675E"/>
    <w:rsid w:val="001A7712"/>
    <w:rsid w:val="001A7F31"/>
    <w:rsid w:val="001B1A33"/>
    <w:rsid w:val="001B1DAE"/>
    <w:rsid w:val="001B1F0D"/>
    <w:rsid w:val="001B2BD1"/>
    <w:rsid w:val="001B4D8D"/>
    <w:rsid w:val="001B5331"/>
    <w:rsid w:val="001B643E"/>
    <w:rsid w:val="001B65D1"/>
    <w:rsid w:val="001B7232"/>
    <w:rsid w:val="001B75D3"/>
    <w:rsid w:val="001B784D"/>
    <w:rsid w:val="001C0424"/>
    <w:rsid w:val="001C09CC"/>
    <w:rsid w:val="001C29BA"/>
    <w:rsid w:val="001C3535"/>
    <w:rsid w:val="001C38DC"/>
    <w:rsid w:val="001C3DD5"/>
    <w:rsid w:val="001C4D2D"/>
    <w:rsid w:val="001C507A"/>
    <w:rsid w:val="001C5799"/>
    <w:rsid w:val="001C5E21"/>
    <w:rsid w:val="001C62E3"/>
    <w:rsid w:val="001C65D4"/>
    <w:rsid w:val="001C6FE4"/>
    <w:rsid w:val="001D0BEA"/>
    <w:rsid w:val="001D1B09"/>
    <w:rsid w:val="001D236E"/>
    <w:rsid w:val="001D2E9C"/>
    <w:rsid w:val="001D33D6"/>
    <w:rsid w:val="001D4B49"/>
    <w:rsid w:val="001D64F3"/>
    <w:rsid w:val="001D7246"/>
    <w:rsid w:val="001E0940"/>
    <w:rsid w:val="001E290B"/>
    <w:rsid w:val="001E399C"/>
    <w:rsid w:val="001E3A36"/>
    <w:rsid w:val="001E4188"/>
    <w:rsid w:val="001E51AB"/>
    <w:rsid w:val="001E5606"/>
    <w:rsid w:val="001E601B"/>
    <w:rsid w:val="001E6FD3"/>
    <w:rsid w:val="001E784E"/>
    <w:rsid w:val="001E7B0A"/>
    <w:rsid w:val="001E7C32"/>
    <w:rsid w:val="001F08E1"/>
    <w:rsid w:val="001F08F4"/>
    <w:rsid w:val="001F09D3"/>
    <w:rsid w:val="001F0B00"/>
    <w:rsid w:val="001F0C92"/>
    <w:rsid w:val="001F1A2B"/>
    <w:rsid w:val="001F533E"/>
    <w:rsid w:val="001F6BE5"/>
    <w:rsid w:val="001F70E2"/>
    <w:rsid w:val="00201526"/>
    <w:rsid w:val="0020156A"/>
    <w:rsid w:val="00201E1E"/>
    <w:rsid w:val="00202093"/>
    <w:rsid w:val="00202222"/>
    <w:rsid w:val="00202E7E"/>
    <w:rsid w:val="002034A0"/>
    <w:rsid w:val="0020358C"/>
    <w:rsid w:val="002049EE"/>
    <w:rsid w:val="00205535"/>
    <w:rsid w:val="002057E2"/>
    <w:rsid w:val="00205807"/>
    <w:rsid w:val="00206276"/>
    <w:rsid w:val="00206A05"/>
    <w:rsid w:val="002071FC"/>
    <w:rsid w:val="00213309"/>
    <w:rsid w:val="0021442E"/>
    <w:rsid w:val="0021446D"/>
    <w:rsid w:val="0021514D"/>
    <w:rsid w:val="00215548"/>
    <w:rsid w:val="00220F38"/>
    <w:rsid w:val="002213A4"/>
    <w:rsid w:val="0022222E"/>
    <w:rsid w:val="00222AE7"/>
    <w:rsid w:val="00223BAE"/>
    <w:rsid w:val="00223D79"/>
    <w:rsid w:val="00225191"/>
    <w:rsid w:val="00225C3F"/>
    <w:rsid w:val="00225E42"/>
    <w:rsid w:val="00226873"/>
    <w:rsid w:val="00226B24"/>
    <w:rsid w:val="002270B8"/>
    <w:rsid w:val="00227304"/>
    <w:rsid w:val="00227563"/>
    <w:rsid w:val="002275F8"/>
    <w:rsid w:val="00227B74"/>
    <w:rsid w:val="00227D28"/>
    <w:rsid w:val="00227E40"/>
    <w:rsid w:val="0023216C"/>
    <w:rsid w:val="00232ADE"/>
    <w:rsid w:val="00232EC8"/>
    <w:rsid w:val="00233755"/>
    <w:rsid w:val="00234900"/>
    <w:rsid w:val="00235195"/>
    <w:rsid w:val="002355E6"/>
    <w:rsid w:val="00236051"/>
    <w:rsid w:val="00237F04"/>
    <w:rsid w:val="0024022B"/>
    <w:rsid w:val="00240482"/>
    <w:rsid w:val="00240F53"/>
    <w:rsid w:val="00242462"/>
    <w:rsid w:val="00242479"/>
    <w:rsid w:val="0024289E"/>
    <w:rsid w:val="00242FE1"/>
    <w:rsid w:val="00243E86"/>
    <w:rsid w:val="002445ED"/>
    <w:rsid w:val="00244B6E"/>
    <w:rsid w:val="0024521A"/>
    <w:rsid w:val="00245592"/>
    <w:rsid w:val="002458BF"/>
    <w:rsid w:val="00250208"/>
    <w:rsid w:val="002519BF"/>
    <w:rsid w:val="0025290F"/>
    <w:rsid w:val="00253551"/>
    <w:rsid w:val="00255BF7"/>
    <w:rsid w:val="00256C71"/>
    <w:rsid w:val="00261859"/>
    <w:rsid w:val="00262BA8"/>
    <w:rsid w:val="00263466"/>
    <w:rsid w:val="00265342"/>
    <w:rsid w:val="002653AC"/>
    <w:rsid w:val="00265C24"/>
    <w:rsid w:val="00265D7E"/>
    <w:rsid w:val="0026642C"/>
    <w:rsid w:val="00267200"/>
    <w:rsid w:val="00271016"/>
    <w:rsid w:val="00271041"/>
    <w:rsid w:val="0027191B"/>
    <w:rsid w:val="00273538"/>
    <w:rsid w:val="002756A5"/>
    <w:rsid w:val="002760F7"/>
    <w:rsid w:val="002774FA"/>
    <w:rsid w:val="00277C44"/>
    <w:rsid w:val="002804D5"/>
    <w:rsid w:val="00280861"/>
    <w:rsid w:val="00281250"/>
    <w:rsid w:val="002815DD"/>
    <w:rsid w:val="0028160C"/>
    <w:rsid w:val="00281716"/>
    <w:rsid w:val="00283179"/>
    <w:rsid w:val="00283358"/>
    <w:rsid w:val="0028391C"/>
    <w:rsid w:val="00283AAC"/>
    <w:rsid w:val="00283FF7"/>
    <w:rsid w:val="002848A3"/>
    <w:rsid w:val="00284AD7"/>
    <w:rsid w:val="00285343"/>
    <w:rsid w:val="00286D4B"/>
    <w:rsid w:val="00287E80"/>
    <w:rsid w:val="00290773"/>
    <w:rsid w:val="00290EC5"/>
    <w:rsid w:val="00291AB8"/>
    <w:rsid w:val="0029255C"/>
    <w:rsid w:val="00293404"/>
    <w:rsid w:val="0029384B"/>
    <w:rsid w:val="00294733"/>
    <w:rsid w:val="0029479F"/>
    <w:rsid w:val="00295DB0"/>
    <w:rsid w:val="002961F8"/>
    <w:rsid w:val="00296211"/>
    <w:rsid w:val="0029665E"/>
    <w:rsid w:val="0029722B"/>
    <w:rsid w:val="00297F3F"/>
    <w:rsid w:val="002A0898"/>
    <w:rsid w:val="002A257E"/>
    <w:rsid w:val="002A2CA1"/>
    <w:rsid w:val="002A2D56"/>
    <w:rsid w:val="002A443B"/>
    <w:rsid w:val="002A56CF"/>
    <w:rsid w:val="002A6A16"/>
    <w:rsid w:val="002A7099"/>
    <w:rsid w:val="002A7F13"/>
    <w:rsid w:val="002B2581"/>
    <w:rsid w:val="002B4998"/>
    <w:rsid w:val="002B6106"/>
    <w:rsid w:val="002C06DD"/>
    <w:rsid w:val="002C1A6B"/>
    <w:rsid w:val="002C1B36"/>
    <w:rsid w:val="002C2097"/>
    <w:rsid w:val="002C23E9"/>
    <w:rsid w:val="002C356B"/>
    <w:rsid w:val="002C3DEB"/>
    <w:rsid w:val="002C442D"/>
    <w:rsid w:val="002C49CE"/>
    <w:rsid w:val="002C4E0A"/>
    <w:rsid w:val="002C4F07"/>
    <w:rsid w:val="002C5366"/>
    <w:rsid w:val="002C54B9"/>
    <w:rsid w:val="002C5691"/>
    <w:rsid w:val="002C596C"/>
    <w:rsid w:val="002C69AE"/>
    <w:rsid w:val="002C6C69"/>
    <w:rsid w:val="002C6E48"/>
    <w:rsid w:val="002D022F"/>
    <w:rsid w:val="002D1A72"/>
    <w:rsid w:val="002D23BA"/>
    <w:rsid w:val="002D292F"/>
    <w:rsid w:val="002D2B4E"/>
    <w:rsid w:val="002D2DEA"/>
    <w:rsid w:val="002D2F86"/>
    <w:rsid w:val="002D4A4F"/>
    <w:rsid w:val="002D5468"/>
    <w:rsid w:val="002D789E"/>
    <w:rsid w:val="002D7D94"/>
    <w:rsid w:val="002E1072"/>
    <w:rsid w:val="002E10A4"/>
    <w:rsid w:val="002E1E2E"/>
    <w:rsid w:val="002E2460"/>
    <w:rsid w:val="002E291B"/>
    <w:rsid w:val="002E43DC"/>
    <w:rsid w:val="002E5D6B"/>
    <w:rsid w:val="002E638A"/>
    <w:rsid w:val="002E6F0C"/>
    <w:rsid w:val="002E7B71"/>
    <w:rsid w:val="002F053B"/>
    <w:rsid w:val="002F062A"/>
    <w:rsid w:val="002F2F16"/>
    <w:rsid w:val="002F40F3"/>
    <w:rsid w:val="002F4536"/>
    <w:rsid w:val="002F5323"/>
    <w:rsid w:val="002F6780"/>
    <w:rsid w:val="002F702C"/>
    <w:rsid w:val="00300AAD"/>
    <w:rsid w:val="00301009"/>
    <w:rsid w:val="003016DF"/>
    <w:rsid w:val="00304C89"/>
    <w:rsid w:val="00305105"/>
    <w:rsid w:val="00306386"/>
    <w:rsid w:val="003066F5"/>
    <w:rsid w:val="00306BED"/>
    <w:rsid w:val="00310F31"/>
    <w:rsid w:val="00311584"/>
    <w:rsid w:val="00311DEF"/>
    <w:rsid w:val="0031206D"/>
    <w:rsid w:val="00312C95"/>
    <w:rsid w:val="00313D12"/>
    <w:rsid w:val="00313D3B"/>
    <w:rsid w:val="00313D42"/>
    <w:rsid w:val="003146BB"/>
    <w:rsid w:val="0031590F"/>
    <w:rsid w:val="00317196"/>
    <w:rsid w:val="0031779E"/>
    <w:rsid w:val="00317A59"/>
    <w:rsid w:val="0032007E"/>
    <w:rsid w:val="003200D8"/>
    <w:rsid w:val="00321976"/>
    <w:rsid w:val="00322EB4"/>
    <w:rsid w:val="00323E78"/>
    <w:rsid w:val="003243AB"/>
    <w:rsid w:val="003245B2"/>
    <w:rsid w:val="003248D9"/>
    <w:rsid w:val="003265A1"/>
    <w:rsid w:val="00326F7D"/>
    <w:rsid w:val="003303B0"/>
    <w:rsid w:val="00330D34"/>
    <w:rsid w:val="003323A7"/>
    <w:rsid w:val="003324E0"/>
    <w:rsid w:val="00333631"/>
    <w:rsid w:val="003343B8"/>
    <w:rsid w:val="00334F14"/>
    <w:rsid w:val="00335843"/>
    <w:rsid w:val="00335985"/>
    <w:rsid w:val="003363A5"/>
    <w:rsid w:val="003368A6"/>
    <w:rsid w:val="00337425"/>
    <w:rsid w:val="00340C68"/>
    <w:rsid w:val="00341788"/>
    <w:rsid w:val="00341974"/>
    <w:rsid w:val="003421CD"/>
    <w:rsid w:val="003451F5"/>
    <w:rsid w:val="003465B8"/>
    <w:rsid w:val="00346BA3"/>
    <w:rsid w:val="003478ED"/>
    <w:rsid w:val="003506C0"/>
    <w:rsid w:val="00350C19"/>
    <w:rsid w:val="00351B96"/>
    <w:rsid w:val="00353085"/>
    <w:rsid w:val="0035376E"/>
    <w:rsid w:val="00354800"/>
    <w:rsid w:val="00355D8A"/>
    <w:rsid w:val="00356DDF"/>
    <w:rsid w:val="00360881"/>
    <w:rsid w:val="00360947"/>
    <w:rsid w:val="0036283C"/>
    <w:rsid w:val="00362961"/>
    <w:rsid w:val="00362C9B"/>
    <w:rsid w:val="003639B1"/>
    <w:rsid w:val="00365E8C"/>
    <w:rsid w:val="00367DE8"/>
    <w:rsid w:val="003713B8"/>
    <w:rsid w:val="00373A1F"/>
    <w:rsid w:val="00373C1F"/>
    <w:rsid w:val="00374202"/>
    <w:rsid w:val="00376330"/>
    <w:rsid w:val="003774E5"/>
    <w:rsid w:val="00377653"/>
    <w:rsid w:val="00377813"/>
    <w:rsid w:val="00377927"/>
    <w:rsid w:val="0038082F"/>
    <w:rsid w:val="00380C4C"/>
    <w:rsid w:val="00381D29"/>
    <w:rsid w:val="00382E3D"/>
    <w:rsid w:val="003843CC"/>
    <w:rsid w:val="003848A0"/>
    <w:rsid w:val="003859E7"/>
    <w:rsid w:val="003860AF"/>
    <w:rsid w:val="0038792F"/>
    <w:rsid w:val="0039005F"/>
    <w:rsid w:val="003911EF"/>
    <w:rsid w:val="00393FBA"/>
    <w:rsid w:val="00394945"/>
    <w:rsid w:val="003952D5"/>
    <w:rsid w:val="00395B2C"/>
    <w:rsid w:val="00395B77"/>
    <w:rsid w:val="003965C3"/>
    <w:rsid w:val="003971E3"/>
    <w:rsid w:val="003971F4"/>
    <w:rsid w:val="00397F1E"/>
    <w:rsid w:val="003A3AC2"/>
    <w:rsid w:val="003A53A8"/>
    <w:rsid w:val="003A701A"/>
    <w:rsid w:val="003A70C8"/>
    <w:rsid w:val="003B1B72"/>
    <w:rsid w:val="003B2BDD"/>
    <w:rsid w:val="003B3175"/>
    <w:rsid w:val="003B3670"/>
    <w:rsid w:val="003B3711"/>
    <w:rsid w:val="003B3D7A"/>
    <w:rsid w:val="003B5641"/>
    <w:rsid w:val="003B697D"/>
    <w:rsid w:val="003B6E5C"/>
    <w:rsid w:val="003B745E"/>
    <w:rsid w:val="003B7B99"/>
    <w:rsid w:val="003C1580"/>
    <w:rsid w:val="003C1B58"/>
    <w:rsid w:val="003C1CA4"/>
    <w:rsid w:val="003C2BE7"/>
    <w:rsid w:val="003C39EA"/>
    <w:rsid w:val="003C3C83"/>
    <w:rsid w:val="003C458B"/>
    <w:rsid w:val="003C46FE"/>
    <w:rsid w:val="003C5E4A"/>
    <w:rsid w:val="003C6C64"/>
    <w:rsid w:val="003D1BE3"/>
    <w:rsid w:val="003D2218"/>
    <w:rsid w:val="003D28D7"/>
    <w:rsid w:val="003D538E"/>
    <w:rsid w:val="003D59A8"/>
    <w:rsid w:val="003D6D9A"/>
    <w:rsid w:val="003E04E1"/>
    <w:rsid w:val="003E21E0"/>
    <w:rsid w:val="003E2545"/>
    <w:rsid w:val="003E420C"/>
    <w:rsid w:val="003E69B6"/>
    <w:rsid w:val="003F0E2D"/>
    <w:rsid w:val="003F2317"/>
    <w:rsid w:val="003F37DF"/>
    <w:rsid w:val="003F42F4"/>
    <w:rsid w:val="003F4BA4"/>
    <w:rsid w:val="003F4CEE"/>
    <w:rsid w:val="003F5F65"/>
    <w:rsid w:val="003F6247"/>
    <w:rsid w:val="003F6727"/>
    <w:rsid w:val="00400006"/>
    <w:rsid w:val="00400162"/>
    <w:rsid w:val="004012C8"/>
    <w:rsid w:val="00402E65"/>
    <w:rsid w:val="00403284"/>
    <w:rsid w:val="00403961"/>
    <w:rsid w:val="00404290"/>
    <w:rsid w:val="00404564"/>
    <w:rsid w:val="00405841"/>
    <w:rsid w:val="00405F07"/>
    <w:rsid w:val="00407469"/>
    <w:rsid w:val="00407576"/>
    <w:rsid w:val="00410AC2"/>
    <w:rsid w:val="004149AC"/>
    <w:rsid w:val="00414D61"/>
    <w:rsid w:val="0041524B"/>
    <w:rsid w:val="00416696"/>
    <w:rsid w:val="004178DD"/>
    <w:rsid w:val="00417A16"/>
    <w:rsid w:val="00420474"/>
    <w:rsid w:val="004221FA"/>
    <w:rsid w:val="00422CA3"/>
    <w:rsid w:val="004230A4"/>
    <w:rsid w:val="004230A8"/>
    <w:rsid w:val="004233DE"/>
    <w:rsid w:val="00423473"/>
    <w:rsid w:val="00425FBF"/>
    <w:rsid w:val="004266F5"/>
    <w:rsid w:val="004268B5"/>
    <w:rsid w:val="004268E5"/>
    <w:rsid w:val="00426B83"/>
    <w:rsid w:val="00427E0B"/>
    <w:rsid w:val="0043036E"/>
    <w:rsid w:val="00430AF8"/>
    <w:rsid w:val="00434563"/>
    <w:rsid w:val="00434BEA"/>
    <w:rsid w:val="0043561B"/>
    <w:rsid w:val="00435AD8"/>
    <w:rsid w:val="004366C9"/>
    <w:rsid w:val="00437037"/>
    <w:rsid w:val="00437F4A"/>
    <w:rsid w:val="0044061D"/>
    <w:rsid w:val="004411EF"/>
    <w:rsid w:val="00441B30"/>
    <w:rsid w:val="0044225E"/>
    <w:rsid w:val="00442482"/>
    <w:rsid w:val="0044409A"/>
    <w:rsid w:val="00445363"/>
    <w:rsid w:val="00445CEB"/>
    <w:rsid w:val="00447B94"/>
    <w:rsid w:val="00447C29"/>
    <w:rsid w:val="00447E2C"/>
    <w:rsid w:val="00450650"/>
    <w:rsid w:val="00450E7A"/>
    <w:rsid w:val="004510EF"/>
    <w:rsid w:val="00453FA5"/>
    <w:rsid w:val="0045401A"/>
    <w:rsid w:val="00454093"/>
    <w:rsid w:val="0045575A"/>
    <w:rsid w:val="00457CF6"/>
    <w:rsid w:val="00460EC1"/>
    <w:rsid w:val="004617A6"/>
    <w:rsid w:val="004617DF"/>
    <w:rsid w:val="0046391C"/>
    <w:rsid w:val="0046470D"/>
    <w:rsid w:val="0046600D"/>
    <w:rsid w:val="00466765"/>
    <w:rsid w:val="0046741E"/>
    <w:rsid w:val="004700E7"/>
    <w:rsid w:val="00470FF5"/>
    <w:rsid w:val="00471D4F"/>
    <w:rsid w:val="00471E3F"/>
    <w:rsid w:val="00472E41"/>
    <w:rsid w:val="0047647C"/>
    <w:rsid w:val="00477F0D"/>
    <w:rsid w:val="00480515"/>
    <w:rsid w:val="00480A90"/>
    <w:rsid w:val="004813AF"/>
    <w:rsid w:val="00483FA1"/>
    <w:rsid w:val="004848FF"/>
    <w:rsid w:val="00485443"/>
    <w:rsid w:val="0048559B"/>
    <w:rsid w:val="0048563A"/>
    <w:rsid w:val="00486B52"/>
    <w:rsid w:val="0049075B"/>
    <w:rsid w:val="004908A2"/>
    <w:rsid w:val="00491A43"/>
    <w:rsid w:val="004930A0"/>
    <w:rsid w:val="0049376F"/>
    <w:rsid w:val="00493DC5"/>
    <w:rsid w:val="004948B9"/>
    <w:rsid w:val="00494BEA"/>
    <w:rsid w:val="0049714B"/>
    <w:rsid w:val="0049767A"/>
    <w:rsid w:val="004A22DF"/>
    <w:rsid w:val="004A317B"/>
    <w:rsid w:val="004A5BD5"/>
    <w:rsid w:val="004B03CA"/>
    <w:rsid w:val="004B0476"/>
    <w:rsid w:val="004B34D2"/>
    <w:rsid w:val="004B51D2"/>
    <w:rsid w:val="004B543D"/>
    <w:rsid w:val="004B5E68"/>
    <w:rsid w:val="004B63BB"/>
    <w:rsid w:val="004B666C"/>
    <w:rsid w:val="004B7019"/>
    <w:rsid w:val="004B79E0"/>
    <w:rsid w:val="004B7FFB"/>
    <w:rsid w:val="004C020F"/>
    <w:rsid w:val="004C033E"/>
    <w:rsid w:val="004C1F48"/>
    <w:rsid w:val="004C2CCD"/>
    <w:rsid w:val="004C3F27"/>
    <w:rsid w:val="004C417A"/>
    <w:rsid w:val="004C50AF"/>
    <w:rsid w:val="004D108F"/>
    <w:rsid w:val="004D12C1"/>
    <w:rsid w:val="004D1D3B"/>
    <w:rsid w:val="004D2888"/>
    <w:rsid w:val="004D38CF"/>
    <w:rsid w:val="004D3E30"/>
    <w:rsid w:val="004D5192"/>
    <w:rsid w:val="004D575D"/>
    <w:rsid w:val="004D6831"/>
    <w:rsid w:val="004D6F5F"/>
    <w:rsid w:val="004D7F6F"/>
    <w:rsid w:val="004E05C8"/>
    <w:rsid w:val="004E0874"/>
    <w:rsid w:val="004E09A8"/>
    <w:rsid w:val="004E0A99"/>
    <w:rsid w:val="004E0DBB"/>
    <w:rsid w:val="004E20C4"/>
    <w:rsid w:val="004E2F04"/>
    <w:rsid w:val="004E372E"/>
    <w:rsid w:val="004E3B81"/>
    <w:rsid w:val="004E433F"/>
    <w:rsid w:val="004E49E9"/>
    <w:rsid w:val="004E4F2A"/>
    <w:rsid w:val="004E54EF"/>
    <w:rsid w:val="004E57B7"/>
    <w:rsid w:val="004E686E"/>
    <w:rsid w:val="004E68B1"/>
    <w:rsid w:val="004F0458"/>
    <w:rsid w:val="004F0536"/>
    <w:rsid w:val="004F0ED4"/>
    <w:rsid w:val="004F2626"/>
    <w:rsid w:val="004F2B18"/>
    <w:rsid w:val="004F3A8C"/>
    <w:rsid w:val="004F3FD9"/>
    <w:rsid w:val="004F4C2A"/>
    <w:rsid w:val="004F6025"/>
    <w:rsid w:val="004F60DD"/>
    <w:rsid w:val="004F61DF"/>
    <w:rsid w:val="00500956"/>
    <w:rsid w:val="0050176C"/>
    <w:rsid w:val="00503930"/>
    <w:rsid w:val="00503999"/>
    <w:rsid w:val="00506CDA"/>
    <w:rsid w:val="00507633"/>
    <w:rsid w:val="00510D66"/>
    <w:rsid w:val="0051207E"/>
    <w:rsid w:val="00512098"/>
    <w:rsid w:val="00512C44"/>
    <w:rsid w:val="005131D5"/>
    <w:rsid w:val="00513A85"/>
    <w:rsid w:val="00513FCE"/>
    <w:rsid w:val="005151D9"/>
    <w:rsid w:val="0051617D"/>
    <w:rsid w:val="00517AF3"/>
    <w:rsid w:val="005215FC"/>
    <w:rsid w:val="005257CF"/>
    <w:rsid w:val="005262A0"/>
    <w:rsid w:val="00526CDA"/>
    <w:rsid w:val="005302B6"/>
    <w:rsid w:val="00530714"/>
    <w:rsid w:val="00530C0A"/>
    <w:rsid w:val="00530E71"/>
    <w:rsid w:val="005314B8"/>
    <w:rsid w:val="00532259"/>
    <w:rsid w:val="00532EE3"/>
    <w:rsid w:val="00533453"/>
    <w:rsid w:val="00533B23"/>
    <w:rsid w:val="005358B1"/>
    <w:rsid w:val="00535904"/>
    <w:rsid w:val="005378C9"/>
    <w:rsid w:val="005400B1"/>
    <w:rsid w:val="00540C9B"/>
    <w:rsid w:val="00541565"/>
    <w:rsid w:val="00541CB7"/>
    <w:rsid w:val="00541D11"/>
    <w:rsid w:val="00542114"/>
    <w:rsid w:val="00542262"/>
    <w:rsid w:val="005432BF"/>
    <w:rsid w:val="005433F7"/>
    <w:rsid w:val="00543B5A"/>
    <w:rsid w:val="005444BF"/>
    <w:rsid w:val="005451FD"/>
    <w:rsid w:val="005456B1"/>
    <w:rsid w:val="00545E1E"/>
    <w:rsid w:val="00546F73"/>
    <w:rsid w:val="005476BD"/>
    <w:rsid w:val="00551489"/>
    <w:rsid w:val="00551E91"/>
    <w:rsid w:val="00551FBB"/>
    <w:rsid w:val="00553652"/>
    <w:rsid w:val="00555F1F"/>
    <w:rsid w:val="00556B41"/>
    <w:rsid w:val="0056365D"/>
    <w:rsid w:val="005642C7"/>
    <w:rsid w:val="00565165"/>
    <w:rsid w:val="00565E79"/>
    <w:rsid w:val="00565FBD"/>
    <w:rsid w:val="00567460"/>
    <w:rsid w:val="00567F27"/>
    <w:rsid w:val="00570608"/>
    <w:rsid w:val="0057216B"/>
    <w:rsid w:val="00573568"/>
    <w:rsid w:val="00573EA3"/>
    <w:rsid w:val="00573F06"/>
    <w:rsid w:val="00574791"/>
    <w:rsid w:val="005771AC"/>
    <w:rsid w:val="005774F4"/>
    <w:rsid w:val="00580067"/>
    <w:rsid w:val="005805D7"/>
    <w:rsid w:val="005825B8"/>
    <w:rsid w:val="00582B2F"/>
    <w:rsid w:val="0058368C"/>
    <w:rsid w:val="005838D8"/>
    <w:rsid w:val="00585DF8"/>
    <w:rsid w:val="00586841"/>
    <w:rsid w:val="00587E36"/>
    <w:rsid w:val="00591459"/>
    <w:rsid w:val="00591927"/>
    <w:rsid w:val="00591FD0"/>
    <w:rsid w:val="0059319A"/>
    <w:rsid w:val="0059380F"/>
    <w:rsid w:val="00595FCB"/>
    <w:rsid w:val="005A0258"/>
    <w:rsid w:val="005A0967"/>
    <w:rsid w:val="005A2758"/>
    <w:rsid w:val="005A3AC8"/>
    <w:rsid w:val="005A43A4"/>
    <w:rsid w:val="005A4568"/>
    <w:rsid w:val="005A497D"/>
    <w:rsid w:val="005A54DD"/>
    <w:rsid w:val="005A60FE"/>
    <w:rsid w:val="005A6F5F"/>
    <w:rsid w:val="005B09A3"/>
    <w:rsid w:val="005B2F30"/>
    <w:rsid w:val="005B3010"/>
    <w:rsid w:val="005B3BB9"/>
    <w:rsid w:val="005B40FB"/>
    <w:rsid w:val="005B505E"/>
    <w:rsid w:val="005B57D2"/>
    <w:rsid w:val="005B5840"/>
    <w:rsid w:val="005B5930"/>
    <w:rsid w:val="005B66F2"/>
    <w:rsid w:val="005C105F"/>
    <w:rsid w:val="005C12CA"/>
    <w:rsid w:val="005C186F"/>
    <w:rsid w:val="005C4A9C"/>
    <w:rsid w:val="005C62C2"/>
    <w:rsid w:val="005C76D0"/>
    <w:rsid w:val="005C7C43"/>
    <w:rsid w:val="005D04E1"/>
    <w:rsid w:val="005D217B"/>
    <w:rsid w:val="005D23CB"/>
    <w:rsid w:val="005D498E"/>
    <w:rsid w:val="005D51F4"/>
    <w:rsid w:val="005D535D"/>
    <w:rsid w:val="005D66A3"/>
    <w:rsid w:val="005D67AE"/>
    <w:rsid w:val="005D6ADA"/>
    <w:rsid w:val="005D7B57"/>
    <w:rsid w:val="005D7BFC"/>
    <w:rsid w:val="005E064C"/>
    <w:rsid w:val="005E1D0C"/>
    <w:rsid w:val="005E31F7"/>
    <w:rsid w:val="005E3C46"/>
    <w:rsid w:val="005E449E"/>
    <w:rsid w:val="005E468B"/>
    <w:rsid w:val="005E4F85"/>
    <w:rsid w:val="005E528A"/>
    <w:rsid w:val="005E65DC"/>
    <w:rsid w:val="005E6A65"/>
    <w:rsid w:val="005E744F"/>
    <w:rsid w:val="005E792C"/>
    <w:rsid w:val="005F02B9"/>
    <w:rsid w:val="005F12BF"/>
    <w:rsid w:val="005F24CC"/>
    <w:rsid w:val="005F4D49"/>
    <w:rsid w:val="005F596C"/>
    <w:rsid w:val="005F66B6"/>
    <w:rsid w:val="005F6D17"/>
    <w:rsid w:val="005F7EAA"/>
    <w:rsid w:val="005F7F6F"/>
    <w:rsid w:val="00601A0A"/>
    <w:rsid w:val="00601AD4"/>
    <w:rsid w:val="006021B2"/>
    <w:rsid w:val="0060305C"/>
    <w:rsid w:val="006058DA"/>
    <w:rsid w:val="006071B4"/>
    <w:rsid w:val="00610DF5"/>
    <w:rsid w:val="00614554"/>
    <w:rsid w:val="00614FC4"/>
    <w:rsid w:val="0061561F"/>
    <w:rsid w:val="006167D7"/>
    <w:rsid w:val="0061769B"/>
    <w:rsid w:val="006179C6"/>
    <w:rsid w:val="00617D24"/>
    <w:rsid w:val="0062027A"/>
    <w:rsid w:val="00620594"/>
    <w:rsid w:val="006219A2"/>
    <w:rsid w:val="00622CDB"/>
    <w:rsid w:val="00622DD0"/>
    <w:rsid w:val="00623247"/>
    <w:rsid w:val="00623918"/>
    <w:rsid w:val="00623D2D"/>
    <w:rsid w:val="0062489E"/>
    <w:rsid w:val="00624E3D"/>
    <w:rsid w:val="0062523F"/>
    <w:rsid w:val="00625438"/>
    <w:rsid w:val="0062576D"/>
    <w:rsid w:val="00626714"/>
    <w:rsid w:val="006269BB"/>
    <w:rsid w:val="006300B7"/>
    <w:rsid w:val="00632106"/>
    <w:rsid w:val="00632F52"/>
    <w:rsid w:val="006330CA"/>
    <w:rsid w:val="0063652D"/>
    <w:rsid w:val="0063674C"/>
    <w:rsid w:val="00640B84"/>
    <w:rsid w:val="0064230A"/>
    <w:rsid w:val="00642E75"/>
    <w:rsid w:val="00643752"/>
    <w:rsid w:val="006453B2"/>
    <w:rsid w:val="0064551D"/>
    <w:rsid w:val="00645526"/>
    <w:rsid w:val="00645E5D"/>
    <w:rsid w:val="00645FCC"/>
    <w:rsid w:val="006467AB"/>
    <w:rsid w:val="00650381"/>
    <w:rsid w:val="00650676"/>
    <w:rsid w:val="006539DE"/>
    <w:rsid w:val="00653D2B"/>
    <w:rsid w:val="00654540"/>
    <w:rsid w:val="0065491A"/>
    <w:rsid w:val="00655AB9"/>
    <w:rsid w:val="00655C8D"/>
    <w:rsid w:val="00655D0D"/>
    <w:rsid w:val="00656182"/>
    <w:rsid w:val="006568AA"/>
    <w:rsid w:val="00661874"/>
    <w:rsid w:val="0066334D"/>
    <w:rsid w:val="0066383C"/>
    <w:rsid w:val="00663C88"/>
    <w:rsid w:val="00664F1B"/>
    <w:rsid w:val="00665D03"/>
    <w:rsid w:val="006670DE"/>
    <w:rsid w:val="00667977"/>
    <w:rsid w:val="00667E5E"/>
    <w:rsid w:val="006711C8"/>
    <w:rsid w:val="00671362"/>
    <w:rsid w:val="006719C7"/>
    <w:rsid w:val="006728D9"/>
    <w:rsid w:val="00673053"/>
    <w:rsid w:val="00673093"/>
    <w:rsid w:val="00674003"/>
    <w:rsid w:val="00674C10"/>
    <w:rsid w:val="006755A7"/>
    <w:rsid w:val="00677A8B"/>
    <w:rsid w:val="00677EBB"/>
    <w:rsid w:val="0068029D"/>
    <w:rsid w:val="00680768"/>
    <w:rsid w:val="006810D4"/>
    <w:rsid w:val="006815E0"/>
    <w:rsid w:val="00681EC6"/>
    <w:rsid w:val="006826DB"/>
    <w:rsid w:val="00682C32"/>
    <w:rsid w:val="00682D05"/>
    <w:rsid w:val="00683026"/>
    <w:rsid w:val="006843DC"/>
    <w:rsid w:val="00685E86"/>
    <w:rsid w:val="00686B79"/>
    <w:rsid w:val="00687628"/>
    <w:rsid w:val="0069016C"/>
    <w:rsid w:val="00691419"/>
    <w:rsid w:val="00691648"/>
    <w:rsid w:val="006917A1"/>
    <w:rsid w:val="00692105"/>
    <w:rsid w:val="00692BED"/>
    <w:rsid w:val="00692CAD"/>
    <w:rsid w:val="006961CD"/>
    <w:rsid w:val="0069744B"/>
    <w:rsid w:val="006A0437"/>
    <w:rsid w:val="006A0F77"/>
    <w:rsid w:val="006A1EC0"/>
    <w:rsid w:val="006A3476"/>
    <w:rsid w:val="006A4988"/>
    <w:rsid w:val="006A53BA"/>
    <w:rsid w:val="006A577F"/>
    <w:rsid w:val="006A6037"/>
    <w:rsid w:val="006A6836"/>
    <w:rsid w:val="006A6A14"/>
    <w:rsid w:val="006A71EE"/>
    <w:rsid w:val="006B1A43"/>
    <w:rsid w:val="006B1CC2"/>
    <w:rsid w:val="006B1E3F"/>
    <w:rsid w:val="006B2434"/>
    <w:rsid w:val="006B3175"/>
    <w:rsid w:val="006B3C97"/>
    <w:rsid w:val="006B4F8F"/>
    <w:rsid w:val="006B5E79"/>
    <w:rsid w:val="006B5F42"/>
    <w:rsid w:val="006C0D44"/>
    <w:rsid w:val="006C1494"/>
    <w:rsid w:val="006C261D"/>
    <w:rsid w:val="006C3E1F"/>
    <w:rsid w:val="006C4809"/>
    <w:rsid w:val="006C4A90"/>
    <w:rsid w:val="006C58B0"/>
    <w:rsid w:val="006C6668"/>
    <w:rsid w:val="006D0062"/>
    <w:rsid w:val="006D32DA"/>
    <w:rsid w:val="006D3457"/>
    <w:rsid w:val="006D44A1"/>
    <w:rsid w:val="006D4A4D"/>
    <w:rsid w:val="006D5664"/>
    <w:rsid w:val="006D6145"/>
    <w:rsid w:val="006E07D6"/>
    <w:rsid w:val="006E1062"/>
    <w:rsid w:val="006E115A"/>
    <w:rsid w:val="006E14F0"/>
    <w:rsid w:val="006E1911"/>
    <w:rsid w:val="006E19BD"/>
    <w:rsid w:val="006E2583"/>
    <w:rsid w:val="006E28CD"/>
    <w:rsid w:val="006E2CB1"/>
    <w:rsid w:val="006E3711"/>
    <w:rsid w:val="006E3F62"/>
    <w:rsid w:val="006E40DB"/>
    <w:rsid w:val="006E43B9"/>
    <w:rsid w:val="006E4DFC"/>
    <w:rsid w:val="006E5687"/>
    <w:rsid w:val="006E611F"/>
    <w:rsid w:val="006E6D44"/>
    <w:rsid w:val="006E7369"/>
    <w:rsid w:val="006E7EE9"/>
    <w:rsid w:val="006E7F46"/>
    <w:rsid w:val="006F0898"/>
    <w:rsid w:val="006F1F19"/>
    <w:rsid w:val="006F27FF"/>
    <w:rsid w:val="006F3E6F"/>
    <w:rsid w:val="006F4FF9"/>
    <w:rsid w:val="006F52B9"/>
    <w:rsid w:val="006F5351"/>
    <w:rsid w:val="006F61BF"/>
    <w:rsid w:val="006F7C9D"/>
    <w:rsid w:val="00701683"/>
    <w:rsid w:val="00702304"/>
    <w:rsid w:val="00703778"/>
    <w:rsid w:val="0070407E"/>
    <w:rsid w:val="0070490E"/>
    <w:rsid w:val="007063E2"/>
    <w:rsid w:val="00711964"/>
    <w:rsid w:val="00711F5B"/>
    <w:rsid w:val="00712005"/>
    <w:rsid w:val="007123F2"/>
    <w:rsid w:val="007128AF"/>
    <w:rsid w:val="00713276"/>
    <w:rsid w:val="00713F10"/>
    <w:rsid w:val="0071526F"/>
    <w:rsid w:val="0071543D"/>
    <w:rsid w:val="00715B2E"/>
    <w:rsid w:val="0071601A"/>
    <w:rsid w:val="007166FD"/>
    <w:rsid w:val="00716873"/>
    <w:rsid w:val="00720D62"/>
    <w:rsid w:val="00721FDA"/>
    <w:rsid w:val="00723964"/>
    <w:rsid w:val="0072415A"/>
    <w:rsid w:val="0072449F"/>
    <w:rsid w:val="007248B5"/>
    <w:rsid w:val="00725152"/>
    <w:rsid w:val="007253A5"/>
    <w:rsid w:val="007254B2"/>
    <w:rsid w:val="00725725"/>
    <w:rsid w:val="00730E36"/>
    <w:rsid w:val="0073224B"/>
    <w:rsid w:val="00732812"/>
    <w:rsid w:val="00733C35"/>
    <w:rsid w:val="00734377"/>
    <w:rsid w:val="007362FD"/>
    <w:rsid w:val="00736CCD"/>
    <w:rsid w:val="00736E55"/>
    <w:rsid w:val="00742135"/>
    <w:rsid w:val="00742846"/>
    <w:rsid w:val="00742A06"/>
    <w:rsid w:val="00742B5B"/>
    <w:rsid w:val="0074527D"/>
    <w:rsid w:val="00746892"/>
    <w:rsid w:val="0074756C"/>
    <w:rsid w:val="00747E1C"/>
    <w:rsid w:val="007500A7"/>
    <w:rsid w:val="00754CF2"/>
    <w:rsid w:val="00755F34"/>
    <w:rsid w:val="00756229"/>
    <w:rsid w:val="007632F8"/>
    <w:rsid w:val="0076448C"/>
    <w:rsid w:val="00765110"/>
    <w:rsid w:val="007661F6"/>
    <w:rsid w:val="00766539"/>
    <w:rsid w:val="007665B0"/>
    <w:rsid w:val="007703C7"/>
    <w:rsid w:val="00771E23"/>
    <w:rsid w:val="00771F3C"/>
    <w:rsid w:val="0077218E"/>
    <w:rsid w:val="0077267B"/>
    <w:rsid w:val="0077320A"/>
    <w:rsid w:val="007732FF"/>
    <w:rsid w:val="007739B9"/>
    <w:rsid w:val="00774849"/>
    <w:rsid w:val="00775E12"/>
    <w:rsid w:val="00776A4B"/>
    <w:rsid w:val="00777920"/>
    <w:rsid w:val="00777AC2"/>
    <w:rsid w:val="00781A57"/>
    <w:rsid w:val="007842F2"/>
    <w:rsid w:val="007845B5"/>
    <w:rsid w:val="00784A75"/>
    <w:rsid w:val="007853C3"/>
    <w:rsid w:val="007857E6"/>
    <w:rsid w:val="00785BFE"/>
    <w:rsid w:val="00785CDA"/>
    <w:rsid w:val="00785D6B"/>
    <w:rsid w:val="00787DEE"/>
    <w:rsid w:val="00790BD3"/>
    <w:rsid w:val="00791275"/>
    <w:rsid w:val="007913DD"/>
    <w:rsid w:val="00791727"/>
    <w:rsid w:val="00791783"/>
    <w:rsid w:val="00792956"/>
    <w:rsid w:val="00792CAB"/>
    <w:rsid w:val="00792F0C"/>
    <w:rsid w:val="00793176"/>
    <w:rsid w:val="007967CD"/>
    <w:rsid w:val="00796BEA"/>
    <w:rsid w:val="007A1859"/>
    <w:rsid w:val="007A213C"/>
    <w:rsid w:val="007A3442"/>
    <w:rsid w:val="007A36CA"/>
    <w:rsid w:val="007A40B1"/>
    <w:rsid w:val="007A45C4"/>
    <w:rsid w:val="007A5131"/>
    <w:rsid w:val="007A61B6"/>
    <w:rsid w:val="007A61CF"/>
    <w:rsid w:val="007A6771"/>
    <w:rsid w:val="007A692B"/>
    <w:rsid w:val="007A7CFE"/>
    <w:rsid w:val="007A7DBA"/>
    <w:rsid w:val="007B0E6F"/>
    <w:rsid w:val="007B15C3"/>
    <w:rsid w:val="007B2ED9"/>
    <w:rsid w:val="007B4213"/>
    <w:rsid w:val="007B691B"/>
    <w:rsid w:val="007B6F76"/>
    <w:rsid w:val="007B7F3D"/>
    <w:rsid w:val="007C072A"/>
    <w:rsid w:val="007C11E9"/>
    <w:rsid w:val="007C2754"/>
    <w:rsid w:val="007C2A2A"/>
    <w:rsid w:val="007C4A77"/>
    <w:rsid w:val="007C4AF5"/>
    <w:rsid w:val="007C5533"/>
    <w:rsid w:val="007C576B"/>
    <w:rsid w:val="007C737E"/>
    <w:rsid w:val="007D027E"/>
    <w:rsid w:val="007D0F51"/>
    <w:rsid w:val="007D27B5"/>
    <w:rsid w:val="007D2BE5"/>
    <w:rsid w:val="007D2BF4"/>
    <w:rsid w:val="007D4F01"/>
    <w:rsid w:val="007D5AEF"/>
    <w:rsid w:val="007D7125"/>
    <w:rsid w:val="007D7822"/>
    <w:rsid w:val="007D7AA1"/>
    <w:rsid w:val="007D7B67"/>
    <w:rsid w:val="007E0303"/>
    <w:rsid w:val="007E0FFE"/>
    <w:rsid w:val="007E10B4"/>
    <w:rsid w:val="007E2008"/>
    <w:rsid w:val="007E343E"/>
    <w:rsid w:val="007E3F5E"/>
    <w:rsid w:val="007E6643"/>
    <w:rsid w:val="007E6940"/>
    <w:rsid w:val="007E7AFA"/>
    <w:rsid w:val="007F0E00"/>
    <w:rsid w:val="007F10C2"/>
    <w:rsid w:val="007F3608"/>
    <w:rsid w:val="007F475F"/>
    <w:rsid w:val="007F4968"/>
    <w:rsid w:val="007F54B7"/>
    <w:rsid w:val="007F7452"/>
    <w:rsid w:val="007F7E9F"/>
    <w:rsid w:val="008000DE"/>
    <w:rsid w:val="00800F10"/>
    <w:rsid w:val="00801D89"/>
    <w:rsid w:val="00803360"/>
    <w:rsid w:val="00803D6C"/>
    <w:rsid w:val="00803F4A"/>
    <w:rsid w:val="00804556"/>
    <w:rsid w:val="0080496B"/>
    <w:rsid w:val="00805102"/>
    <w:rsid w:val="008055EA"/>
    <w:rsid w:val="0080681C"/>
    <w:rsid w:val="00807BE8"/>
    <w:rsid w:val="0081008F"/>
    <w:rsid w:val="0081072F"/>
    <w:rsid w:val="008116C2"/>
    <w:rsid w:val="0081354B"/>
    <w:rsid w:val="0081388E"/>
    <w:rsid w:val="008146F2"/>
    <w:rsid w:val="0081514E"/>
    <w:rsid w:val="00816BBF"/>
    <w:rsid w:val="00816F1B"/>
    <w:rsid w:val="00820371"/>
    <w:rsid w:val="008222EE"/>
    <w:rsid w:val="0082295A"/>
    <w:rsid w:val="00824942"/>
    <w:rsid w:val="008249AB"/>
    <w:rsid w:val="00824A75"/>
    <w:rsid w:val="00824D4B"/>
    <w:rsid w:val="00824E07"/>
    <w:rsid w:val="008253FB"/>
    <w:rsid w:val="008260C4"/>
    <w:rsid w:val="00826B23"/>
    <w:rsid w:val="00826F9D"/>
    <w:rsid w:val="0083009C"/>
    <w:rsid w:val="00830251"/>
    <w:rsid w:val="008312FE"/>
    <w:rsid w:val="0083190A"/>
    <w:rsid w:val="0083207F"/>
    <w:rsid w:val="00832E53"/>
    <w:rsid w:val="00833AC9"/>
    <w:rsid w:val="008340DA"/>
    <w:rsid w:val="0083632D"/>
    <w:rsid w:val="008366D4"/>
    <w:rsid w:val="008367FA"/>
    <w:rsid w:val="00837ABC"/>
    <w:rsid w:val="00840C20"/>
    <w:rsid w:val="0084224A"/>
    <w:rsid w:val="00842841"/>
    <w:rsid w:val="00843522"/>
    <w:rsid w:val="00844480"/>
    <w:rsid w:val="008446A0"/>
    <w:rsid w:val="00845CC2"/>
    <w:rsid w:val="00847FBA"/>
    <w:rsid w:val="008513BE"/>
    <w:rsid w:val="008529BD"/>
    <w:rsid w:val="00853181"/>
    <w:rsid w:val="00853735"/>
    <w:rsid w:val="00854009"/>
    <w:rsid w:val="00854C7D"/>
    <w:rsid w:val="0085598E"/>
    <w:rsid w:val="00855A62"/>
    <w:rsid w:val="00856033"/>
    <w:rsid w:val="0085657F"/>
    <w:rsid w:val="008575FA"/>
    <w:rsid w:val="00857FF6"/>
    <w:rsid w:val="008606A7"/>
    <w:rsid w:val="00860D64"/>
    <w:rsid w:val="00860E57"/>
    <w:rsid w:val="00864A11"/>
    <w:rsid w:val="00864B27"/>
    <w:rsid w:val="00865C28"/>
    <w:rsid w:val="00865C9F"/>
    <w:rsid w:val="00865E22"/>
    <w:rsid w:val="00867BE5"/>
    <w:rsid w:val="00870BD1"/>
    <w:rsid w:val="00870EA0"/>
    <w:rsid w:val="00871B81"/>
    <w:rsid w:val="00873A77"/>
    <w:rsid w:val="00873B7D"/>
    <w:rsid w:val="00873C2E"/>
    <w:rsid w:val="0087562F"/>
    <w:rsid w:val="00875D36"/>
    <w:rsid w:val="00876868"/>
    <w:rsid w:val="008768EC"/>
    <w:rsid w:val="00876DB9"/>
    <w:rsid w:val="00881647"/>
    <w:rsid w:val="00881CC4"/>
    <w:rsid w:val="00881D59"/>
    <w:rsid w:val="00882357"/>
    <w:rsid w:val="00883348"/>
    <w:rsid w:val="00884D76"/>
    <w:rsid w:val="0088559F"/>
    <w:rsid w:val="00885620"/>
    <w:rsid w:val="0088567A"/>
    <w:rsid w:val="00885B1E"/>
    <w:rsid w:val="00886A03"/>
    <w:rsid w:val="00890AE9"/>
    <w:rsid w:val="008917B0"/>
    <w:rsid w:val="0089191E"/>
    <w:rsid w:val="0089229C"/>
    <w:rsid w:val="00896910"/>
    <w:rsid w:val="00896BCB"/>
    <w:rsid w:val="00897610"/>
    <w:rsid w:val="008A1292"/>
    <w:rsid w:val="008A1DB2"/>
    <w:rsid w:val="008A3261"/>
    <w:rsid w:val="008A43C5"/>
    <w:rsid w:val="008A65B4"/>
    <w:rsid w:val="008B0627"/>
    <w:rsid w:val="008B14C2"/>
    <w:rsid w:val="008B19E4"/>
    <w:rsid w:val="008B1EEF"/>
    <w:rsid w:val="008B25B5"/>
    <w:rsid w:val="008B31FB"/>
    <w:rsid w:val="008B32D7"/>
    <w:rsid w:val="008B36B1"/>
    <w:rsid w:val="008B3CC9"/>
    <w:rsid w:val="008B400C"/>
    <w:rsid w:val="008B48B0"/>
    <w:rsid w:val="008B51E9"/>
    <w:rsid w:val="008B54D8"/>
    <w:rsid w:val="008B5E97"/>
    <w:rsid w:val="008B6489"/>
    <w:rsid w:val="008B6CFF"/>
    <w:rsid w:val="008B7A6A"/>
    <w:rsid w:val="008B7CA7"/>
    <w:rsid w:val="008B7F53"/>
    <w:rsid w:val="008C0428"/>
    <w:rsid w:val="008C1352"/>
    <w:rsid w:val="008C169E"/>
    <w:rsid w:val="008C1D1A"/>
    <w:rsid w:val="008C2AAD"/>
    <w:rsid w:val="008C2B0F"/>
    <w:rsid w:val="008C305E"/>
    <w:rsid w:val="008C306D"/>
    <w:rsid w:val="008C36CE"/>
    <w:rsid w:val="008C4C9C"/>
    <w:rsid w:val="008C4D43"/>
    <w:rsid w:val="008C56E1"/>
    <w:rsid w:val="008C5A92"/>
    <w:rsid w:val="008C7E99"/>
    <w:rsid w:val="008D2353"/>
    <w:rsid w:val="008D30AA"/>
    <w:rsid w:val="008D3CA1"/>
    <w:rsid w:val="008D3EF8"/>
    <w:rsid w:val="008D45DE"/>
    <w:rsid w:val="008D5909"/>
    <w:rsid w:val="008D70C6"/>
    <w:rsid w:val="008D71E5"/>
    <w:rsid w:val="008D74D0"/>
    <w:rsid w:val="008D7F93"/>
    <w:rsid w:val="008E0B4C"/>
    <w:rsid w:val="008E0E69"/>
    <w:rsid w:val="008E1232"/>
    <w:rsid w:val="008E1AE9"/>
    <w:rsid w:val="008E3715"/>
    <w:rsid w:val="008E3E1B"/>
    <w:rsid w:val="008E5296"/>
    <w:rsid w:val="008E6224"/>
    <w:rsid w:val="008E62D6"/>
    <w:rsid w:val="008E7225"/>
    <w:rsid w:val="008F42CC"/>
    <w:rsid w:val="008F450F"/>
    <w:rsid w:val="008F4784"/>
    <w:rsid w:val="008F4D3A"/>
    <w:rsid w:val="008F52C4"/>
    <w:rsid w:val="008F55F8"/>
    <w:rsid w:val="008F5A35"/>
    <w:rsid w:val="008F5D91"/>
    <w:rsid w:val="008F6E39"/>
    <w:rsid w:val="009015EA"/>
    <w:rsid w:val="0090393A"/>
    <w:rsid w:val="00903D22"/>
    <w:rsid w:val="00903F8D"/>
    <w:rsid w:val="009040E0"/>
    <w:rsid w:val="00904137"/>
    <w:rsid w:val="009044B3"/>
    <w:rsid w:val="00905118"/>
    <w:rsid w:val="00906089"/>
    <w:rsid w:val="00906190"/>
    <w:rsid w:val="00906E44"/>
    <w:rsid w:val="00910181"/>
    <w:rsid w:val="00911360"/>
    <w:rsid w:val="00911A7F"/>
    <w:rsid w:val="00911ACB"/>
    <w:rsid w:val="009139C9"/>
    <w:rsid w:val="00914FB7"/>
    <w:rsid w:val="00915FB1"/>
    <w:rsid w:val="0091611C"/>
    <w:rsid w:val="009162DB"/>
    <w:rsid w:val="00916DB4"/>
    <w:rsid w:val="009172D2"/>
    <w:rsid w:val="00922CDD"/>
    <w:rsid w:val="00923238"/>
    <w:rsid w:val="00924F1E"/>
    <w:rsid w:val="00926055"/>
    <w:rsid w:val="00926841"/>
    <w:rsid w:val="00926FD4"/>
    <w:rsid w:val="00927BDE"/>
    <w:rsid w:val="0093000B"/>
    <w:rsid w:val="00930A17"/>
    <w:rsid w:val="00930B84"/>
    <w:rsid w:val="00930F15"/>
    <w:rsid w:val="009335D8"/>
    <w:rsid w:val="0093363A"/>
    <w:rsid w:val="00933D29"/>
    <w:rsid w:val="00933D2A"/>
    <w:rsid w:val="009345C5"/>
    <w:rsid w:val="009359B2"/>
    <w:rsid w:val="0093602D"/>
    <w:rsid w:val="00936E4C"/>
    <w:rsid w:val="00940132"/>
    <w:rsid w:val="00941C11"/>
    <w:rsid w:val="0094345F"/>
    <w:rsid w:val="00943C8B"/>
    <w:rsid w:val="00945C29"/>
    <w:rsid w:val="00947F13"/>
    <w:rsid w:val="00951794"/>
    <w:rsid w:val="009518F7"/>
    <w:rsid w:val="00951AA3"/>
    <w:rsid w:val="00951CB9"/>
    <w:rsid w:val="00952551"/>
    <w:rsid w:val="0095269D"/>
    <w:rsid w:val="009526DA"/>
    <w:rsid w:val="00952CA0"/>
    <w:rsid w:val="009531BC"/>
    <w:rsid w:val="00953A6C"/>
    <w:rsid w:val="0095433A"/>
    <w:rsid w:val="0095478E"/>
    <w:rsid w:val="009561C8"/>
    <w:rsid w:val="00956A67"/>
    <w:rsid w:val="00956E01"/>
    <w:rsid w:val="009570B5"/>
    <w:rsid w:val="00957737"/>
    <w:rsid w:val="00957820"/>
    <w:rsid w:val="009606DE"/>
    <w:rsid w:val="00961B3E"/>
    <w:rsid w:val="00963140"/>
    <w:rsid w:val="009639B7"/>
    <w:rsid w:val="00964D91"/>
    <w:rsid w:val="00964FCA"/>
    <w:rsid w:val="009655DF"/>
    <w:rsid w:val="00965B23"/>
    <w:rsid w:val="00966105"/>
    <w:rsid w:val="00967E53"/>
    <w:rsid w:val="00970706"/>
    <w:rsid w:val="009707B0"/>
    <w:rsid w:val="00973342"/>
    <w:rsid w:val="00973E7D"/>
    <w:rsid w:val="0097448A"/>
    <w:rsid w:val="009744DB"/>
    <w:rsid w:val="00974A1F"/>
    <w:rsid w:val="00974E48"/>
    <w:rsid w:val="00975BE6"/>
    <w:rsid w:val="00975E50"/>
    <w:rsid w:val="00976219"/>
    <w:rsid w:val="009770DA"/>
    <w:rsid w:val="00977166"/>
    <w:rsid w:val="00977A3D"/>
    <w:rsid w:val="00980276"/>
    <w:rsid w:val="009804F5"/>
    <w:rsid w:val="00980969"/>
    <w:rsid w:val="00980D9B"/>
    <w:rsid w:val="0098160C"/>
    <w:rsid w:val="009816EC"/>
    <w:rsid w:val="00981852"/>
    <w:rsid w:val="00983903"/>
    <w:rsid w:val="00984BC2"/>
    <w:rsid w:val="0098545D"/>
    <w:rsid w:val="0098629D"/>
    <w:rsid w:val="00987E57"/>
    <w:rsid w:val="009900C5"/>
    <w:rsid w:val="00991005"/>
    <w:rsid w:val="009926B2"/>
    <w:rsid w:val="009930CF"/>
    <w:rsid w:val="00994025"/>
    <w:rsid w:val="00994527"/>
    <w:rsid w:val="00994DC2"/>
    <w:rsid w:val="00995BC2"/>
    <w:rsid w:val="00996C05"/>
    <w:rsid w:val="00997029"/>
    <w:rsid w:val="00997114"/>
    <w:rsid w:val="009974FC"/>
    <w:rsid w:val="00997F65"/>
    <w:rsid w:val="009A083F"/>
    <w:rsid w:val="009A1483"/>
    <w:rsid w:val="009A1959"/>
    <w:rsid w:val="009A252B"/>
    <w:rsid w:val="009A2C17"/>
    <w:rsid w:val="009A2F39"/>
    <w:rsid w:val="009A4D2A"/>
    <w:rsid w:val="009A553C"/>
    <w:rsid w:val="009A5A83"/>
    <w:rsid w:val="009A7AD9"/>
    <w:rsid w:val="009A7DCC"/>
    <w:rsid w:val="009B104B"/>
    <w:rsid w:val="009B19EC"/>
    <w:rsid w:val="009B21A8"/>
    <w:rsid w:val="009B2CFA"/>
    <w:rsid w:val="009B3973"/>
    <w:rsid w:val="009B3B64"/>
    <w:rsid w:val="009B3FCC"/>
    <w:rsid w:val="009B4BF1"/>
    <w:rsid w:val="009B738A"/>
    <w:rsid w:val="009C18B3"/>
    <w:rsid w:val="009C37E9"/>
    <w:rsid w:val="009C3A40"/>
    <w:rsid w:val="009C3C99"/>
    <w:rsid w:val="009C413F"/>
    <w:rsid w:val="009C4905"/>
    <w:rsid w:val="009C5A16"/>
    <w:rsid w:val="009C5F5B"/>
    <w:rsid w:val="009C7393"/>
    <w:rsid w:val="009C7B95"/>
    <w:rsid w:val="009D00DC"/>
    <w:rsid w:val="009D0A01"/>
    <w:rsid w:val="009D0CFB"/>
    <w:rsid w:val="009D0FD6"/>
    <w:rsid w:val="009D1523"/>
    <w:rsid w:val="009D36FA"/>
    <w:rsid w:val="009D44CF"/>
    <w:rsid w:val="009D47D1"/>
    <w:rsid w:val="009D4AC8"/>
    <w:rsid w:val="009D4B38"/>
    <w:rsid w:val="009D5663"/>
    <w:rsid w:val="009D72F3"/>
    <w:rsid w:val="009D7662"/>
    <w:rsid w:val="009E48F8"/>
    <w:rsid w:val="009E5F42"/>
    <w:rsid w:val="009E766A"/>
    <w:rsid w:val="009E7A36"/>
    <w:rsid w:val="009F078B"/>
    <w:rsid w:val="009F1390"/>
    <w:rsid w:val="009F184C"/>
    <w:rsid w:val="009F1C18"/>
    <w:rsid w:val="009F3085"/>
    <w:rsid w:val="009F3E6F"/>
    <w:rsid w:val="009F46D5"/>
    <w:rsid w:val="009F49E8"/>
    <w:rsid w:val="009F4D67"/>
    <w:rsid w:val="009F5A42"/>
    <w:rsid w:val="009F5B98"/>
    <w:rsid w:val="009F6D99"/>
    <w:rsid w:val="009F72B6"/>
    <w:rsid w:val="009F7BAC"/>
    <w:rsid w:val="00A021DF"/>
    <w:rsid w:val="00A034AE"/>
    <w:rsid w:val="00A04475"/>
    <w:rsid w:val="00A04E6B"/>
    <w:rsid w:val="00A05BDA"/>
    <w:rsid w:val="00A07870"/>
    <w:rsid w:val="00A07C7D"/>
    <w:rsid w:val="00A07E33"/>
    <w:rsid w:val="00A10488"/>
    <w:rsid w:val="00A10B70"/>
    <w:rsid w:val="00A10D25"/>
    <w:rsid w:val="00A110E0"/>
    <w:rsid w:val="00A11F5D"/>
    <w:rsid w:val="00A120D8"/>
    <w:rsid w:val="00A12537"/>
    <w:rsid w:val="00A12AA1"/>
    <w:rsid w:val="00A13774"/>
    <w:rsid w:val="00A13B8A"/>
    <w:rsid w:val="00A1425C"/>
    <w:rsid w:val="00A14292"/>
    <w:rsid w:val="00A14957"/>
    <w:rsid w:val="00A14B93"/>
    <w:rsid w:val="00A1660F"/>
    <w:rsid w:val="00A16D26"/>
    <w:rsid w:val="00A17E28"/>
    <w:rsid w:val="00A20D5D"/>
    <w:rsid w:val="00A21F8C"/>
    <w:rsid w:val="00A24416"/>
    <w:rsid w:val="00A24AC3"/>
    <w:rsid w:val="00A258CB"/>
    <w:rsid w:val="00A25C78"/>
    <w:rsid w:val="00A26245"/>
    <w:rsid w:val="00A262D1"/>
    <w:rsid w:val="00A267BA"/>
    <w:rsid w:val="00A268AC"/>
    <w:rsid w:val="00A27396"/>
    <w:rsid w:val="00A27919"/>
    <w:rsid w:val="00A27C13"/>
    <w:rsid w:val="00A30BC4"/>
    <w:rsid w:val="00A30F97"/>
    <w:rsid w:val="00A318FA"/>
    <w:rsid w:val="00A32BF5"/>
    <w:rsid w:val="00A32FE6"/>
    <w:rsid w:val="00A34403"/>
    <w:rsid w:val="00A366FE"/>
    <w:rsid w:val="00A36880"/>
    <w:rsid w:val="00A36970"/>
    <w:rsid w:val="00A36CD0"/>
    <w:rsid w:val="00A37732"/>
    <w:rsid w:val="00A404C8"/>
    <w:rsid w:val="00A4083A"/>
    <w:rsid w:val="00A40ACC"/>
    <w:rsid w:val="00A40CA0"/>
    <w:rsid w:val="00A41849"/>
    <w:rsid w:val="00A42CD1"/>
    <w:rsid w:val="00A43141"/>
    <w:rsid w:val="00A446BA"/>
    <w:rsid w:val="00A446E2"/>
    <w:rsid w:val="00A44995"/>
    <w:rsid w:val="00A45931"/>
    <w:rsid w:val="00A45ECE"/>
    <w:rsid w:val="00A47CD8"/>
    <w:rsid w:val="00A5014B"/>
    <w:rsid w:val="00A50E99"/>
    <w:rsid w:val="00A52101"/>
    <w:rsid w:val="00A527A5"/>
    <w:rsid w:val="00A52A38"/>
    <w:rsid w:val="00A52AFA"/>
    <w:rsid w:val="00A52C59"/>
    <w:rsid w:val="00A5301C"/>
    <w:rsid w:val="00A53955"/>
    <w:rsid w:val="00A53BAB"/>
    <w:rsid w:val="00A55238"/>
    <w:rsid w:val="00A56810"/>
    <w:rsid w:val="00A60BC0"/>
    <w:rsid w:val="00A60D84"/>
    <w:rsid w:val="00A612A8"/>
    <w:rsid w:val="00A6390C"/>
    <w:rsid w:val="00A6477B"/>
    <w:rsid w:val="00A64791"/>
    <w:rsid w:val="00A7008B"/>
    <w:rsid w:val="00A73A14"/>
    <w:rsid w:val="00A74DB3"/>
    <w:rsid w:val="00A75A6F"/>
    <w:rsid w:val="00A75B70"/>
    <w:rsid w:val="00A77740"/>
    <w:rsid w:val="00A77ED1"/>
    <w:rsid w:val="00A801A2"/>
    <w:rsid w:val="00A819BF"/>
    <w:rsid w:val="00A82F29"/>
    <w:rsid w:val="00A850C3"/>
    <w:rsid w:val="00A85845"/>
    <w:rsid w:val="00A85A7D"/>
    <w:rsid w:val="00A87063"/>
    <w:rsid w:val="00A901EA"/>
    <w:rsid w:val="00A9119E"/>
    <w:rsid w:val="00A91B64"/>
    <w:rsid w:val="00A91CA6"/>
    <w:rsid w:val="00A92A46"/>
    <w:rsid w:val="00A92C7B"/>
    <w:rsid w:val="00A9316D"/>
    <w:rsid w:val="00A93501"/>
    <w:rsid w:val="00A939EA"/>
    <w:rsid w:val="00A93C42"/>
    <w:rsid w:val="00A949EB"/>
    <w:rsid w:val="00A94A93"/>
    <w:rsid w:val="00A94E30"/>
    <w:rsid w:val="00A956F2"/>
    <w:rsid w:val="00A95793"/>
    <w:rsid w:val="00A979B9"/>
    <w:rsid w:val="00AA07D4"/>
    <w:rsid w:val="00AA0AC4"/>
    <w:rsid w:val="00AA1060"/>
    <w:rsid w:val="00AA25D9"/>
    <w:rsid w:val="00AA27F8"/>
    <w:rsid w:val="00AA2E6B"/>
    <w:rsid w:val="00AA3B25"/>
    <w:rsid w:val="00AA443B"/>
    <w:rsid w:val="00AA4EDD"/>
    <w:rsid w:val="00AA5439"/>
    <w:rsid w:val="00AA5EDE"/>
    <w:rsid w:val="00AA667C"/>
    <w:rsid w:val="00AA6972"/>
    <w:rsid w:val="00AA71F1"/>
    <w:rsid w:val="00AA7B3B"/>
    <w:rsid w:val="00AB054B"/>
    <w:rsid w:val="00AB1710"/>
    <w:rsid w:val="00AB23F9"/>
    <w:rsid w:val="00AB2E11"/>
    <w:rsid w:val="00AB2ECA"/>
    <w:rsid w:val="00AB3979"/>
    <w:rsid w:val="00AB4A26"/>
    <w:rsid w:val="00AB4CC3"/>
    <w:rsid w:val="00AB5A5E"/>
    <w:rsid w:val="00AB5E51"/>
    <w:rsid w:val="00AB63E5"/>
    <w:rsid w:val="00AB7985"/>
    <w:rsid w:val="00AC1A4B"/>
    <w:rsid w:val="00AC294F"/>
    <w:rsid w:val="00AC2FED"/>
    <w:rsid w:val="00AC33F0"/>
    <w:rsid w:val="00AC7525"/>
    <w:rsid w:val="00AD0343"/>
    <w:rsid w:val="00AD151F"/>
    <w:rsid w:val="00AD1833"/>
    <w:rsid w:val="00AD1E24"/>
    <w:rsid w:val="00AD36B8"/>
    <w:rsid w:val="00AD5DB2"/>
    <w:rsid w:val="00AD636F"/>
    <w:rsid w:val="00AD68DA"/>
    <w:rsid w:val="00AE137C"/>
    <w:rsid w:val="00AE1AD8"/>
    <w:rsid w:val="00AE3FFF"/>
    <w:rsid w:val="00AE5C6F"/>
    <w:rsid w:val="00AE6265"/>
    <w:rsid w:val="00AF066F"/>
    <w:rsid w:val="00AF1D8E"/>
    <w:rsid w:val="00AF2330"/>
    <w:rsid w:val="00AF35CC"/>
    <w:rsid w:val="00AF449D"/>
    <w:rsid w:val="00AF4606"/>
    <w:rsid w:val="00AF5DCB"/>
    <w:rsid w:val="00AF79A2"/>
    <w:rsid w:val="00B01A4D"/>
    <w:rsid w:val="00B0256F"/>
    <w:rsid w:val="00B02C89"/>
    <w:rsid w:val="00B033D3"/>
    <w:rsid w:val="00B04FA5"/>
    <w:rsid w:val="00B051A6"/>
    <w:rsid w:val="00B07046"/>
    <w:rsid w:val="00B07570"/>
    <w:rsid w:val="00B1024F"/>
    <w:rsid w:val="00B1223F"/>
    <w:rsid w:val="00B13ECC"/>
    <w:rsid w:val="00B145DC"/>
    <w:rsid w:val="00B14FEE"/>
    <w:rsid w:val="00B156D0"/>
    <w:rsid w:val="00B15D8F"/>
    <w:rsid w:val="00B17F15"/>
    <w:rsid w:val="00B212E8"/>
    <w:rsid w:val="00B2133A"/>
    <w:rsid w:val="00B213FF"/>
    <w:rsid w:val="00B22C35"/>
    <w:rsid w:val="00B248C8"/>
    <w:rsid w:val="00B254F1"/>
    <w:rsid w:val="00B26C0C"/>
    <w:rsid w:val="00B273F1"/>
    <w:rsid w:val="00B27849"/>
    <w:rsid w:val="00B306D1"/>
    <w:rsid w:val="00B30B07"/>
    <w:rsid w:val="00B30EB5"/>
    <w:rsid w:val="00B317B6"/>
    <w:rsid w:val="00B31E74"/>
    <w:rsid w:val="00B327BB"/>
    <w:rsid w:val="00B332D5"/>
    <w:rsid w:val="00B3369A"/>
    <w:rsid w:val="00B3428F"/>
    <w:rsid w:val="00B3525A"/>
    <w:rsid w:val="00B35786"/>
    <w:rsid w:val="00B35ACC"/>
    <w:rsid w:val="00B3712F"/>
    <w:rsid w:val="00B40122"/>
    <w:rsid w:val="00B401DD"/>
    <w:rsid w:val="00B41496"/>
    <w:rsid w:val="00B43DDB"/>
    <w:rsid w:val="00B44911"/>
    <w:rsid w:val="00B44BD7"/>
    <w:rsid w:val="00B44E27"/>
    <w:rsid w:val="00B44FAF"/>
    <w:rsid w:val="00B5088C"/>
    <w:rsid w:val="00B52C2D"/>
    <w:rsid w:val="00B54924"/>
    <w:rsid w:val="00B56C96"/>
    <w:rsid w:val="00B57A04"/>
    <w:rsid w:val="00B601D2"/>
    <w:rsid w:val="00B60641"/>
    <w:rsid w:val="00B62ED2"/>
    <w:rsid w:val="00B63155"/>
    <w:rsid w:val="00B63FC6"/>
    <w:rsid w:val="00B64117"/>
    <w:rsid w:val="00B66077"/>
    <w:rsid w:val="00B70049"/>
    <w:rsid w:val="00B70CE8"/>
    <w:rsid w:val="00B7314B"/>
    <w:rsid w:val="00B7344B"/>
    <w:rsid w:val="00B7374B"/>
    <w:rsid w:val="00B740B4"/>
    <w:rsid w:val="00B742E3"/>
    <w:rsid w:val="00B750E9"/>
    <w:rsid w:val="00B7514E"/>
    <w:rsid w:val="00B75873"/>
    <w:rsid w:val="00B759C8"/>
    <w:rsid w:val="00B76AAF"/>
    <w:rsid w:val="00B772D1"/>
    <w:rsid w:val="00B779F7"/>
    <w:rsid w:val="00B80DBD"/>
    <w:rsid w:val="00B8101B"/>
    <w:rsid w:val="00B81322"/>
    <w:rsid w:val="00B81C23"/>
    <w:rsid w:val="00B82BDB"/>
    <w:rsid w:val="00B82CD9"/>
    <w:rsid w:val="00B841D0"/>
    <w:rsid w:val="00B865EF"/>
    <w:rsid w:val="00B87CD6"/>
    <w:rsid w:val="00B90FAB"/>
    <w:rsid w:val="00B91104"/>
    <w:rsid w:val="00B91730"/>
    <w:rsid w:val="00B91AED"/>
    <w:rsid w:val="00B92BCB"/>
    <w:rsid w:val="00B94DDB"/>
    <w:rsid w:val="00B96A23"/>
    <w:rsid w:val="00B96C34"/>
    <w:rsid w:val="00B96C4C"/>
    <w:rsid w:val="00B96F68"/>
    <w:rsid w:val="00B976FC"/>
    <w:rsid w:val="00B97A44"/>
    <w:rsid w:val="00BA0F04"/>
    <w:rsid w:val="00BA1611"/>
    <w:rsid w:val="00BA26C0"/>
    <w:rsid w:val="00BA41CB"/>
    <w:rsid w:val="00BA4327"/>
    <w:rsid w:val="00BA470F"/>
    <w:rsid w:val="00BA4A20"/>
    <w:rsid w:val="00BA4F97"/>
    <w:rsid w:val="00BA6C80"/>
    <w:rsid w:val="00BA7246"/>
    <w:rsid w:val="00BA7D5D"/>
    <w:rsid w:val="00BB025C"/>
    <w:rsid w:val="00BB0AC2"/>
    <w:rsid w:val="00BB1670"/>
    <w:rsid w:val="00BB207D"/>
    <w:rsid w:val="00BB52EC"/>
    <w:rsid w:val="00BC0EDF"/>
    <w:rsid w:val="00BC0F74"/>
    <w:rsid w:val="00BC1160"/>
    <w:rsid w:val="00BC1946"/>
    <w:rsid w:val="00BC1AD1"/>
    <w:rsid w:val="00BC29FE"/>
    <w:rsid w:val="00BC3DCD"/>
    <w:rsid w:val="00BC3F9E"/>
    <w:rsid w:val="00BC4E72"/>
    <w:rsid w:val="00BC5764"/>
    <w:rsid w:val="00BC7DC5"/>
    <w:rsid w:val="00BD0221"/>
    <w:rsid w:val="00BD098C"/>
    <w:rsid w:val="00BD119C"/>
    <w:rsid w:val="00BD1E68"/>
    <w:rsid w:val="00BD67AF"/>
    <w:rsid w:val="00BD6D58"/>
    <w:rsid w:val="00BE11B3"/>
    <w:rsid w:val="00BE21D5"/>
    <w:rsid w:val="00BE2420"/>
    <w:rsid w:val="00BE2BBB"/>
    <w:rsid w:val="00BE2C92"/>
    <w:rsid w:val="00BE2E2A"/>
    <w:rsid w:val="00BE2F4C"/>
    <w:rsid w:val="00BE2FBC"/>
    <w:rsid w:val="00BE360B"/>
    <w:rsid w:val="00BE5469"/>
    <w:rsid w:val="00BE56C1"/>
    <w:rsid w:val="00BE6469"/>
    <w:rsid w:val="00BE65DB"/>
    <w:rsid w:val="00BE676C"/>
    <w:rsid w:val="00BE6C7C"/>
    <w:rsid w:val="00BE712B"/>
    <w:rsid w:val="00BF5E88"/>
    <w:rsid w:val="00BF6304"/>
    <w:rsid w:val="00C0055B"/>
    <w:rsid w:val="00C014DE"/>
    <w:rsid w:val="00C01D9E"/>
    <w:rsid w:val="00C02C3D"/>
    <w:rsid w:val="00C03DF9"/>
    <w:rsid w:val="00C04421"/>
    <w:rsid w:val="00C0475D"/>
    <w:rsid w:val="00C049A9"/>
    <w:rsid w:val="00C0512F"/>
    <w:rsid w:val="00C055BF"/>
    <w:rsid w:val="00C060D7"/>
    <w:rsid w:val="00C0611F"/>
    <w:rsid w:val="00C06139"/>
    <w:rsid w:val="00C067D9"/>
    <w:rsid w:val="00C07BA7"/>
    <w:rsid w:val="00C1140B"/>
    <w:rsid w:val="00C13EB8"/>
    <w:rsid w:val="00C147B8"/>
    <w:rsid w:val="00C159D3"/>
    <w:rsid w:val="00C17644"/>
    <w:rsid w:val="00C17951"/>
    <w:rsid w:val="00C21110"/>
    <w:rsid w:val="00C2142D"/>
    <w:rsid w:val="00C2326D"/>
    <w:rsid w:val="00C24AFB"/>
    <w:rsid w:val="00C25166"/>
    <w:rsid w:val="00C25330"/>
    <w:rsid w:val="00C258E5"/>
    <w:rsid w:val="00C262BD"/>
    <w:rsid w:val="00C2763C"/>
    <w:rsid w:val="00C27E6F"/>
    <w:rsid w:val="00C33129"/>
    <w:rsid w:val="00C34554"/>
    <w:rsid w:val="00C34988"/>
    <w:rsid w:val="00C35239"/>
    <w:rsid w:val="00C36682"/>
    <w:rsid w:val="00C3761C"/>
    <w:rsid w:val="00C37643"/>
    <w:rsid w:val="00C41E0E"/>
    <w:rsid w:val="00C41FBB"/>
    <w:rsid w:val="00C426FA"/>
    <w:rsid w:val="00C4293F"/>
    <w:rsid w:val="00C429B8"/>
    <w:rsid w:val="00C42BD2"/>
    <w:rsid w:val="00C43474"/>
    <w:rsid w:val="00C436A6"/>
    <w:rsid w:val="00C436BB"/>
    <w:rsid w:val="00C44195"/>
    <w:rsid w:val="00C450C3"/>
    <w:rsid w:val="00C452E3"/>
    <w:rsid w:val="00C45621"/>
    <w:rsid w:val="00C45B26"/>
    <w:rsid w:val="00C461BE"/>
    <w:rsid w:val="00C4783F"/>
    <w:rsid w:val="00C51E2C"/>
    <w:rsid w:val="00C535BE"/>
    <w:rsid w:val="00C552E8"/>
    <w:rsid w:val="00C56BC6"/>
    <w:rsid w:val="00C57EB2"/>
    <w:rsid w:val="00C601D0"/>
    <w:rsid w:val="00C60F95"/>
    <w:rsid w:val="00C61EBA"/>
    <w:rsid w:val="00C6354F"/>
    <w:rsid w:val="00C64CC1"/>
    <w:rsid w:val="00C70104"/>
    <w:rsid w:val="00C735AE"/>
    <w:rsid w:val="00C744F0"/>
    <w:rsid w:val="00C74508"/>
    <w:rsid w:val="00C747F5"/>
    <w:rsid w:val="00C75ABC"/>
    <w:rsid w:val="00C7658A"/>
    <w:rsid w:val="00C77D27"/>
    <w:rsid w:val="00C81D8E"/>
    <w:rsid w:val="00C81E9C"/>
    <w:rsid w:val="00C83AB1"/>
    <w:rsid w:val="00C8482C"/>
    <w:rsid w:val="00C84886"/>
    <w:rsid w:val="00C857EF"/>
    <w:rsid w:val="00C86182"/>
    <w:rsid w:val="00C86A0B"/>
    <w:rsid w:val="00C86CC8"/>
    <w:rsid w:val="00C93398"/>
    <w:rsid w:val="00C9389A"/>
    <w:rsid w:val="00C93AFD"/>
    <w:rsid w:val="00C93C7C"/>
    <w:rsid w:val="00C94107"/>
    <w:rsid w:val="00C94AB7"/>
    <w:rsid w:val="00C95563"/>
    <w:rsid w:val="00C95C3F"/>
    <w:rsid w:val="00C96784"/>
    <w:rsid w:val="00C96E41"/>
    <w:rsid w:val="00CA057D"/>
    <w:rsid w:val="00CA0A34"/>
    <w:rsid w:val="00CA288D"/>
    <w:rsid w:val="00CA2AF2"/>
    <w:rsid w:val="00CA334A"/>
    <w:rsid w:val="00CA3D19"/>
    <w:rsid w:val="00CA4235"/>
    <w:rsid w:val="00CA6A71"/>
    <w:rsid w:val="00CA6D88"/>
    <w:rsid w:val="00CA7DE0"/>
    <w:rsid w:val="00CA7FAB"/>
    <w:rsid w:val="00CB0240"/>
    <w:rsid w:val="00CB064C"/>
    <w:rsid w:val="00CB0E72"/>
    <w:rsid w:val="00CB3314"/>
    <w:rsid w:val="00CB44EA"/>
    <w:rsid w:val="00CB53B7"/>
    <w:rsid w:val="00CB6732"/>
    <w:rsid w:val="00CB6B1E"/>
    <w:rsid w:val="00CB7755"/>
    <w:rsid w:val="00CB7DA1"/>
    <w:rsid w:val="00CC06E8"/>
    <w:rsid w:val="00CC0710"/>
    <w:rsid w:val="00CC11CE"/>
    <w:rsid w:val="00CC29C9"/>
    <w:rsid w:val="00CC30FA"/>
    <w:rsid w:val="00CC3BE6"/>
    <w:rsid w:val="00CC6004"/>
    <w:rsid w:val="00CC635F"/>
    <w:rsid w:val="00CC67EF"/>
    <w:rsid w:val="00CC6848"/>
    <w:rsid w:val="00CC6C14"/>
    <w:rsid w:val="00CC6CBF"/>
    <w:rsid w:val="00CC6D41"/>
    <w:rsid w:val="00CC6F46"/>
    <w:rsid w:val="00CC6F84"/>
    <w:rsid w:val="00CC73EA"/>
    <w:rsid w:val="00CD0E74"/>
    <w:rsid w:val="00CD1831"/>
    <w:rsid w:val="00CD2247"/>
    <w:rsid w:val="00CD27E4"/>
    <w:rsid w:val="00CD3A46"/>
    <w:rsid w:val="00CD490A"/>
    <w:rsid w:val="00CD57AE"/>
    <w:rsid w:val="00CD5EBC"/>
    <w:rsid w:val="00CD6AE3"/>
    <w:rsid w:val="00CD7546"/>
    <w:rsid w:val="00CE17DC"/>
    <w:rsid w:val="00CE19A7"/>
    <w:rsid w:val="00CE2249"/>
    <w:rsid w:val="00CE23D6"/>
    <w:rsid w:val="00CE2E4D"/>
    <w:rsid w:val="00CE301C"/>
    <w:rsid w:val="00CE3B5A"/>
    <w:rsid w:val="00CE48E6"/>
    <w:rsid w:val="00CE6C97"/>
    <w:rsid w:val="00CE6CB4"/>
    <w:rsid w:val="00CF18CD"/>
    <w:rsid w:val="00CF4237"/>
    <w:rsid w:val="00CF5CAA"/>
    <w:rsid w:val="00CF5EFB"/>
    <w:rsid w:val="00D00633"/>
    <w:rsid w:val="00D00C60"/>
    <w:rsid w:val="00D00D11"/>
    <w:rsid w:val="00D0140B"/>
    <w:rsid w:val="00D01D1F"/>
    <w:rsid w:val="00D0229A"/>
    <w:rsid w:val="00D02417"/>
    <w:rsid w:val="00D02658"/>
    <w:rsid w:val="00D0284B"/>
    <w:rsid w:val="00D030D2"/>
    <w:rsid w:val="00D034DB"/>
    <w:rsid w:val="00D035F1"/>
    <w:rsid w:val="00D06C97"/>
    <w:rsid w:val="00D07B6D"/>
    <w:rsid w:val="00D10661"/>
    <w:rsid w:val="00D13BF9"/>
    <w:rsid w:val="00D146F0"/>
    <w:rsid w:val="00D15790"/>
    <w:rsid w:val="00D16370"/>
    <w:rsid w:val="00D1641B"/>
    <w:rsid w:val="00D1648A"/>
    <w:rsid w:val="00D1656D"/>
    <w:rsid w:val="00D1685E"/>
    <w:rsid w:val="00D17822"/>
    <w:rsid w:val="00D203D5"/>
    <w:rsid w:val="00D207A3"/>
    <w:rsid w:val="00D2119F"/>
    <w:rsid w:val="00D21DF1"/>
    <w:rsid w:val="00D21EC5"/>
    <w:rsid w:val="00D2242A"/>
    <w:rsid w:val="00D23A54"/>
    <w:rsid w:val="00D23BD5"/>
    <w:rsid w:val="00D245FC"/>
    <w:rsid w:val="00D25300"/>
    <w:rsid w:val="00D254EF"/>
    <w:rsid w:val="00D2571C"/>
    <w:rsid w:val="00D25876"/>
    <w:rsid w:val="00D261AB"/>
    <w:rsid w:val="00D26FC4"/>
    <w:rsid w:val="00D27078"/>
    <w:rsid w:val="00D270F4"/>
    <w:rsid w:val="00D301A6"/>
    <w:rsid w:val="00D30218"/>
    <w:rsid w:val="00D30C7B"/>
    <w:rsid w:val="00D3267A"/>
    <w:rsid w:val="00D32D48"/>
    <w:rsid w:val="00D348D3"/>
    <w:rsid w:val="00D36321"/>
    <w:rsid w:val="00D36536"/>
    <w:rsid w:val="00D4044D"/>
    <w:rsid w:val="00D4169C"/>
    <w:rsid w:val="00D42445"/>
    <w:rsid w:val="00D4426E"/>
    <w:rsid w:val="00D4426F"/>
    <w:rsid w:val="00D47C6E"/>
    <w:rsid w:val="00D50BF1"/>
    <w:rsid w:val="00D50FE9"/>
    <w:rsid w:val="00D51860"/>
    <w:rsid w:val="00D52CCA"/>
    <w:rsid w:val="00D54919"/>
    <w:rsid w:val="00D5569F"/>
    <w:rsid w:val="00D556C0"/>
    <w:rsid w:val="00D57732"/>
    <w:rsid w:val="00D57DE9"/>
    <w:rsid w:val="00D60D71"/>
    <w:rsid w:val="00D65236"/>
    <w:rsid w:val="00D65589"/>
    <w:rsid w:val="00D66E2F"/>
    <w:rsid w:val="00D67D0A"/>
    <w:rsid w:val="00D700FF"/>
    <w:rsid w:val="00D70E5B"/>
    <w:rsid w:val="00D7202E"/>
    <w:rsid w:val="00D724ED"/>
    <w:rsid w:val="00D75A74"/>
    <w:rsid w:val="00D76BEC"/>
    <w:rsid w:val="00D77614"/>
    <w:rsid w:val="00D77618"/>
    <w:rsid w:val="00D77883"/>
    <w:rsid w:val="00D77AC7"/>
    <w:rsid w:val="00D77C94"/>
    <w:rsid w:val="00D80050"/>
    <w:rsid w:val="00D8046E"/>
    <w:rsid w:val="00D80A4C"/>
    <w:rsid w:val="00D81A31"/>
    <w:rsid w:val="00D82B0F"/>
    <w:rsid w:val="00D83BF6"/>
    <w:rsid w:val="00D847F0"/>
    <w:rsid w:val="00D84D05"/>
    <w:rsid w:val="00D84EBF"/>
    <w:rsid w:val="00D90674"/>
    <w:rsid w:val="00D90A4F"/>
    <w:rsid w:val="00D91693"/>
    <w:rsid w:val="00D916C8"/>
    <w:rsid w:val="00D91AE4"/>
    <w:rsid w:val="00D92F7A"/>
    <w:rsid w:val="00D93796"/>
    <w:rsid w:val="00D944E0"/>
    <w:rsid w:val="00D94AE3"/>
    <w:rsid w:val="00D95014"/>
    <w:rsid w:val="00D96EE1"/>
    <w:rsid w:val="00D9729A"/>
    <w:rsid w:val="00D97F95"/>
    <w:rsid w:val="00DA008F"/>
    <w:rsid w:val="00DA12E0"/>
    <w:rsid w:val="00DA1DFB"/>
    <w:rsid w:val="00DA42A3"/>
    <w:rsid w:val="00DA58C6"/>
    <w:rsid w:val="00DA60D0"/>
    <w:rsid w:val="00DA700F"/>
    <w:rsid w:val="00DA7DDA"/>
    <w:rsid w:val="00DB175B"/>
    <w:rsid w:val="00DB2E7B"/>
    <w:rsid w:val="00DB3196"/>
    <w:rsid w:val="00DB3C88"/>
    <w:rsid w:val="00DB4893"/>
    <w:rsid w:val="00DB4BE3"/>
    <w:rsid w:val="00DB513A"/>
    <w:rsid w:val="00DB52B9"/>
    <w:rsid w:val="00DB6870"/>
    <w:rsid w:val="00DB79DC"/>
    <w:rsid w:val="00DC1A0C"/>
    <w:rsid w:val="00DC1A20"/>
    <w:rsid w:val="00DC1E0A"/>
    <w:rsid w:val="00DC2290"/>
    <w:rsid w:val="00DC3EA2"/>
    <w:rsid w:val="00DC46C7"/>
    <w:rsid w:val="00DC56AA"/>
    <w:rsid w:val="00DC5CE3"/>
    <w:rsid w:val="00DC68ED"/>
    <w:rsid w:val="00DC6C39"/>
    <w:rsid w:val="00DD1D57"/>
    <w:rsid w:val="00DD3D70"/>
    <w:rsid w:val="00DD41F8"/>
    <w:rsid w:val="00DD4715"/>
    <w:rsid w:val="00DD4F0A"/>
    <w:rsid w:val="00DD513D"/>
    <w:rsid w:val="00DD5247"/>
    <w:rsid w:val="00DD6392"/>
    <w:rsid w:val="00DD6593"/>
    <w:rsid w:val="00DE09CD"/>
    <w:rsid w:val="00DE1B9D"/>
    <w:rsid w:val="00DE4CC2"/>
    <w:rsid w:val="00DE4CEA"/>
    <w:rsid w:val="00DE4E14"/>
    <w:rsid w:val="00DE504B"/>
    <w:rsid w:val="00DE562E"/>
    <w:rsid w:val="00DE664B"/>
    <w:rsid w:val="00DE7032"/>
    <w:rsid w:val="00DE70B5"/>
    <w:rsid w:val="00DE71D2"/>
    <w:rsid w:val="00DE759A"/>
    <w:rsid w:val="00DF002A"/>
    <w:rsid w:val="00DF05C0"/>
    <w:rsid w:val="00DF1207"/>
    <w:rsid w:val="00DF1B91"/>
    <w:rsid w:val="00DF1F41"/>
    <w:rsid w:val="00DF267E"/>
    <w:rsid w:val="00DF27F9"/>
    <w:rsid w:val="00DF2B6B"/>
    <w:rsid w:val="00DF3930"/>
    <w:rsid w:val="00DF3F5C"/>
    <w:rsid w:val="00DF5A91"/>
    <w:rsid w:val="00DF6105"/>
    <w:rsid w:val="00DF7AEA"/>
    <w:rsid w:val="00E00EC7"/>
    <w:rsid w:val="00E015E8"/>
    <w:rsid w:val="00E0163A"/>
    <w:rsid w:val="00E04E90"/>
    <w:rsid w:val="00E05772"/>
    <w:rsid w:val="00E05A31"/>
    <w:rsid w:val="00E06A91"/>
    <w:rsid w:val="00E06C16"/>
    <w:rsid w:val="00E11BE1"/>
    <w:rsid w:val="00E11FAE"/>
    <w:rsid w:val="00E12324"/>
    <w:rsid w:val="00E13457"/>
    <w:rsid w:val="00E13498"/>
    <w:rsid w:val="00E13EB1"/>
    <w:rsid w:val="00E1466B"/>
    <w:rsid w:val="00E17C5E"/>
    <w:rsid w:val="00E204BA"/>
    <w:rsid w:val="00E21420"/>
    <w:rsid w:val="00E215B1"/>
    <w:rsid w:val="00E226B9"/>
    <w:rsid w:val="00E22E2D"/>
    <w:rsid w:val="00E24598"/>
    <w:rsid w:val="00E26360"/>
    <w:rsid w:val="00E26D67"/>
    <w:rsid w:val="00E2705B"/>
    <w:rsid w:val="00E27890"/>
    <w:rsid w:val="00E30504"/>
    <w:rsid w:val="00E31025"/>
    <w:rsid w:val="00E3466A"/>
    <w:rsid w:val="00E35590"/>
    <w:rsid w:val="00E40178"/>
    <w:rsid w:val="00E40261"/>
    <w:rsid w:val="00E404C5"/>
    <w:rsid w:val="00E40AEB"/>
    <w:rsid w:val="00E40CB1"/>
    <w:rsid w:val="00E40EAA"/>
    <w:rsid w:val="00E42DA8"/>
    <w:rsid w:val="00E42F92"/>
    <w:rsid w:val="00E43852"/>
    <w:rsid w:val="00E43B8B"/>
    <w:rsid w:val="00E43F8B"/>
    <w:rsid w:val="00E44F09"/>
    <w:rsid w:val="00E45349"/>
    <w:rsid w:val="00E4611F"/>
    <w:rsid w:val="00E4685E"/>
    <w:rsid w:val="00E47746"/>
    <w:rsid w:val="00E47844"/>
    <w:rsid w:val="00E47C78"/>
    <w:rsid w:val="00E500F3"/>
    <w:rsid w:val="00E52F09"/>
    <w:rsid w:val="00E546A2"/>
    <w:rsid w:val="00E55813"/>
    <w:rsid w:val="00E55FDD"/>
    <w:rsid w:val="00E566C9"/>
    <w:rsid w:val="00E57190"/>
    <w:rsid w:val="00E5733F"/>
    <w:rsid w:val="00E578D8"/>
    <w:rsid w:val="00E57C6D"/>
    <w:rsid w:val="00E6025F"/>
    <w:rsid w:val="00E60CC7"/>
    <w:rsid w:val="00E6173B"/>
    <w:rsid w:val="00E628B1"/>
    <w:rsid w:val="00E6297B"/>
    <w:rsid w:val="00E63915"/>
    <w:rsid w:val="00E639B7"/>
    <w:rsid w:val="00E64ECC"/>
    <w:rsid w:val="00E66821"/>
    <w:rsid w:val="00E66A11"/>
    <w:rsid w:val="00E67C62"/>
    <w:rsid w:val="00E70282"/>
    <w:rsid w:val="00E71045"/>
    <w:rsid w:val="00E716B4"/>
    <w:rsid w:val="00E717A0"/>
    <w:rsid w:val="00E723D5"/>
    <w:rsid w:val="00E72B05"/>
    <w:rsid w:val="00E7328E"/>
    <w:rsid w:val="00E747E9"/>
    <w:rsid w:val="00E7531C"/>
    <w:rsid w:val="00E75799"/>
    <w:rsid w:val="00E77262"/>
    <w:rsid w:val="00E80210"/>
    <w:rsid w:val="00E8076F"/>
    <w:rsid w:val="00E809B5"/>
    <w:rsid w:val="00E811E7"/>
    <w:rsid w:val="00E829F9"/>
    <w:rsid w:val="00E83907"/>
    <w:rsid w:val="00E83C17"/>
    <w:rsid w:val="00E84CB1"/>
    <w:rsid w:val="00E85029"/>
    <w:rsid w:val="00E878EF"/>
    <w:rsid w:val="00E90AAC"/>
    <w:rsid w:val="00E926D4"/>
    <w:rsid w:val="00E94DA0"/>
    <w:rsid w:val="00E9609F"/>
    <w:rsid w:val="00E9617D"/>
    <w:rsid w:val="00EA0406"/>
    <w:rsid w:val="00EA2397"/>
    <w:rsid w:val="00EA30FE"/>
    <w:rsid w:val="00EA4D27"/>
    <w:rsid w:val="00EA52E4"/>
    <w:rsid w:val="00EA7708"/>
    <w:rsid w:val="00EA791B"/>
    <w:rsid w:val="00EA7AE7"/>
    <w:rsid w:val="00EB1B7C"/>
    <w:rsid w:val="00EB2D5A"/>
    <w:rsid w:val="00EB3973"/>
    <w:rsid w:val="00EB5E77"/>
    <w:rsid w:val="00EB6597"/>
    <w:rsid w:val="00EC071A"/>
    <w:rsid w:val="00EC0A78"/>
    <w:rsid w:val="00EC0B72"/>
    <w:rsid w:val="00EC1E6A"/>
    <w:rsid w:val="00EC2788"/>
    <w:rsid w:val="00EC2C79"/>
    <w:rsid w:val="00EC342C"/>
    <w:rsid w:val="00EC3C6D"/>
    <w:rsid w:val="00EC4903"/>
    <w:rsid w:val="00EC5965"/>
    <w:rsid w:val="00EC6BCC"/>
    <w:rsid w:val="00ED051E"/>
    <w:rsid w:val="00ED0D15"/>
    <w:rsid w:val="00ED11DE"/>
    <w:rsid w:val="00ED2860"/>
    <w:rsid w:val="00ED2AB6"/>
    <w:rsid w:val="00ED3BFB"/>
    <w:rsid w:val="00ED3F4B"/>
    <w:rsid w:val="00ED443D"/>
    <w:rsid w:val="00ED55CF"/>
    <w:rsid w:val="00ED66A2"/>
    <w:rsid w:val="00ED66EA"/>
    <w:rsid w:val="00ED6F2C"/>
    <w:rsid w:val="00ED7307"/>
    <w:rsid w:val="00EE08F4"/>
    <w:rsid w:val="00EE20F8"/>
    <w:rsid w:val="00EE2148"/>
    <w:rsid w:val="00EE4527"/>
    <w:rsid w:val="00EE6316"/>
    <w:rsid w:val="00EE663A"/>
    <w:rsid w:val="00EE6B1B"/>
    <w:rsid w:val="00EE7FDD"/>
    <w:rsid w:val="00EF0087"/>
    <w:rsid w:val="00EF02F4"/>
    <w:rsid w:val="00EF15EA"/>
    <w:rsid w:val="00EF1B7E"/>
    <w:rsid w:val="00EF338C"/>
    <w:rsid w:val="00EF4C8A"/>
    <w:rsid w:val="00EF5BD2"/>
    <w:rsid w:val="00EF6A39"/>
    <w:rsid w:val="00F006A0"/>
    <w:rsid w:val="00F01102"/>
    <w:rsid w:val="00F02C2B"/>
    <w:rsid w:val="00F02C59"/>
    <w:rsid w:val="00F03D1A"/>
    <w:rsid w:val="00F042AF"/>
    <w:rsid w:val="00F04479"/>
    <w:rsid w:val="00F10B22"/>
    <w:rsid w:val="00F112E1"/>
    <w:rsid w:val="00F11365"/>
    <w:rsid w:val="00F116AF"/>
    <w:rsid w:val="00F116C4"/>
    <w:rsid w:val="00F1260D"/>
    <w:rsid w:val="00F1334D"/>
    <w:rsid w:val="00F13523"/>
    <w:rsid w:val="00F15A14"/>
    <w:rsid w:val="00F1745E"/>
    <w:rsid w:val="00F17AE5"/>
    <w:rsid w:val="00F21CB8"/>
    <w:rsid w:val="00F21D77"/>
    <w:rsid w:val="00F2218B"/>
    <w:rsid w:val="00F22ACC"/>
    <w:rsid w:val="00F22F70"/>
    <w:rsid w:val="00F231D6"/>
    <w:rsid w:val="00F24CE7"/>
    <w:rsid w:val="00F25647"/>
    <w:rsid w:val="00F2570C"/>
    <w:rsid w:val="00F27531"/>
    <w:rsid w:val="00F275E9"/>
    <w:rsid w:val="00F32227"/>
    <w:rsid w:val="00F3239D"/>
    <w:rsid w:val="00F332D6"/>
    <w:rsid w:val="00F34ECE"/>
    <w:rsid w:val="00F35DA9"/>
    <w:rsid w:val="00F35E8E"/>
    <w:rsid w:val="00F362DE"/>
    <w:rsid w:val="00F36D7F"/>
    <w:rsid w:val="00F37675"/>
    <w:rsid w:val="00F37B3A"/>
    <w:rsid w:val="00F413E4"/>
    <w:rsid w:val="00F4209F"/>
    <w:rsid w:val="00F420A2"/>
    <w:rsid w:val="00F422BC"/>
    <w:rsid w:val="00F42DFE"/>
    <w:rsid w:val="00F42F6A"/>
    <w:rsid w:val="00F438BA"/>
    <w:rsid w:val="00F4488F"/>
    <w:rsid w:val="00F4496B"/>
    <w:rsid w:val="00F4550C"/>
    <w:rsid w:val="00F45ACE"/>
    <w:rsid w:val="00F46EBC"/>
    <w:rsid w:val="00F506C3"/>
    <w:rsid w:val="00F508F4"/>
    <w:rsid w:val="00F50BBB"/>
    <w:rsid w:val="00F511CF"/>
    <w:rsid w:val="00F51619"/>
    <w:rsid w:val="00F51DA2"/>
    <w:rsid w:val="00F52947"/>
    <w:rsid w:val="00F544B3"/>
    <w:rsid w:val="00F54D0A"/>
    <w:rsid w:val="00F55CBB"/>
    <w:rsid w:val="00F55D89"/>
    <w:rsid w:val="00F56E7C"/>
    <w:rsid w:val="00F57E7B"/>
    <w:rsid w:val="00F60301"/>
    <w:rsid w:val="00F60EA1"/>
    <w:rsid w:val="00F612D8"/>
    <w:rsid w:val="00F6280F"/>
    <w:rsid w:val="00F628BA"/>
    <w:rsid w:val="00F636E9"/>
    <w:rsid w:val="00F649A5"/>
    <w:rsid w:val="00F64B8F"/>
    <w:rsid w:val="00F6548B"/>
    <w:rsid w:val="00F66229"/>
    <w:rsid w:val="00F66394"/>
    <w:rsid w:val="00F66824"/>
    <w:rsid w:val="00F67188"/>
    <w:rsid w:val="00F67773"/>
    <w:rsid w:val="00F72BB7"/>
    <w:rsid w:val="00F72C26"/>
    <w:rsid w:val="00F73195"/>
    <w:rsid w:val="00F7577B"/>
    <w:rsid w:val="00F76EA1"/>
    <w:rsid w:val="00F77C78"/>
    <w:rsid w:val="00F804C4"/>
    <w:rsid w:val="00F80987"/>
    <w:rsid w:val="00F83768"/>
    <w:rsid w:val="00F84411"/>
    <w:rsid w:val="00F84F40"/>
    <w:rsid w:val="00F85DCB"/>
    <w:rsid w:val="00F8701E"/>
    <w:rsid w:val="00F90503"/>
    <w:rsid w:val="00F905EF"/>
    <w:rsid w:val="00F90C79"/>
    <w:rsid w:val="00F938E4"/>
    <w:rsid w:val="00F93A10"/>
    <w:rsid w:val="00F93BE2"/>
    <w:rsid w:val="00F94115"/>
    <w:rsid w:val="00F954CB"/>
    <w:rsid w:val="00F95E05"/>
    <w:rsid w:val="00F96247"/>
    <w:rsid w:val="00F96E67"/>
    <w:rsid w:val="00F96FCA"/>
    <w:rsid w:val="00F97278"/>
    <w:rsid w:val="00F97D20"/>
    <w:rsid w:val="00F97DCA"/>
    <w:rsid w:val="00F97ED4"/>
    <w:rsid w:val="00FA1D07"/>
    <w:rsid w:val="00FA2DBD"/>
    <w:rsid w:val="00FA31D1"/>
    <w:rsid w:val="00FA38DF"/>
    <w:rsid w:val="00FA3C6D"/>
    <w:rsid w:val="00FA5DED"/>
    <w:rsid w:val="00FA6A19"/>
    <w:rsid w:val="00FA6C80"/>
    <w:rsid w:val="00FA70D5"/>
    <w:rsid w:val="00FA75B2"/>
    <w:rsid w:val="00FA7941"/>
    <w:rsid w:val="00FA7D31"/>
    <w:rsid w:val="00FB00E3"/>
    <w:rsid w:val="00FB0B1E"/>
    <w:rsid w:val="00FB0EEB"/>
    <w:rsid w:val="00FB1960"/>
    <w:rsid w:val="00FB29D2"/>
    <w:rsid w:val="00FB2F23"/>
    <w:rsid w:val="00FB3819"/>
    <w:rsid w:val="00FB41D0"/>
    <w:rsid w:val="00FB5DDD"/>
    <w:rsid w:val="00FB6FCD"/>
    <w:rsid w:val="00FB7059"/>
    <w:rsid w:val="00FB79BF"/>
    <w:rsid w:val="00FC0BFF"/>
    <w:rsid w:val="00FC0D1D"/>
    <w:rsid w:val="00FC16C6"/>
    <w:rsid w:val="00FC1B7E"/>
    <w:rsid w:val="00FC2155"/>
    <w:rsid w:val="00FC34D3"/>
    <w:rsid w:val="00FC369B"/>
    <w:rsid w:val="00FC558B"/>
    <w:rsid w:val="00FC572B"/>
    <w:rsid w:val="00FC7122"/>
    <w:rsid w:val="00FC7371"/>
    <w:rsid w:val="00FC746B"/>
    <w:rsid w:val="00FC7D3F"/>
    <w:rsid w:val="00FD0EA5"/>
    <w:rsid w:val="00FD1542"/>
    <w:rsid w:val="00FD178C"/>
    <w:rsid w:val="00FD183C"/>
    <w:rsid w:val="00FD196D"/>
    <w:rsid w:val="00FD2947"/>
    <w:rsid w:val="00FD2B51"/>
    <w:rsid w:val="00FD2D3F"/>
    <w:rsid w:val="00FD3B4B"/>
    <w:rsid w:val="00FD4A85"/>
    <w:rsid w:val="00FD59E4"/>
    <w:rsid w:val="00FD6CFC"/>
    <w:rsid w:val="00FD729A"/>
    <w:rsid w:val="00FD7CF0"/>
    <w:rsid w:val="00FE0164"/>
    <w:rsid w:val="00FE0B68"/>
    <w:rsid w:val="00FE0E0C"/>
    <w:rsid w:val="00FE177E"/>
    <w:rsid w:val="00FE209E"/>
    <w:rsid w:val="00FE3FE1"/>
    <w:rsid w:val="00FE4289"/>
    <w:rsid w:val="00FE47B7"/>
    <w:rsid w:val="00FE48A3"/>
    <w:rsid w:val="00FE5D08"/>
    <w:rsid w:val="00FE5E25"/>
    <w:rsid w:val="00FE6031"/>
    <w:rsid w:val="00FE72B7"/>
    <w:rsid w:val="00FE7F55"/>
    <w:rsid w:val="00FF0D59"/>
    <w:rsid w:val="00FF1053"/>
    <w:rsid w:val="00FF1246"/>
    <w:rsid w:val="00FF2A33"/>
    <w:rsid w:val="00FF448F"/>
    <w:rsid w:val="00FF49A3"/>
    <w:rsid w:val="00FF52FA"/>
    <w:rsid w:val="00FF67D4"/>
    <w:rsid w:val="00FF7415"/>
    <w:rsid w:val="2ECAD04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FDE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2" w:unhideWhenUsed="1"/>
    <w:lsdException w:name="toc 2" w:semiHidden="1" w:uiPriority="2"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6F2"/>
    <w:pPr>
      <w:spacing w:before="240" w:after="240" w:line="240" w:lineRule="exact"/>
    </w:pPr>
    <w:rPr>
      <w:rFonts w:ascii="Book Antiqua" w:eastAsia="Times New Roman" w:hAnsi="Book Antiqua" w:cs="Times New Roman"/>
      <w:sz w:val="19"/>
      <w:szCs w:val="20"/>
      <w:lang w:eastAsia="en-AU"/>
    </w:rPr>
  </w:style>
  <w:style w:type="paragraph" w:styleId="Heading1">
    <w:name w:val="heading 1"/>
    <w:basedOn w:val="HeadingBase"/>
    <w:next w:val="Normal"/>
    <w:link w:val="Heading1Char"/>
    <w:qFormat/>
    <w:rsid w:val="00A956F2"/>
    <w:pPr>
      <w:spacing w:after="240"/>
      <w:outlineLvl w:val="0"/>
    </w:pPr>
    <w:rPr>
      <w:rFonts w:ascii="Arial Bold" w:hAnsi="Arial Bold"/>
      <w:b/>
      <w:kern w:val="34"/>
      <w:sz w:val="36"/>
    </w:rPr>
  </w:style>
  <w:style w:type="paragraph" w:styleId="Heading2">
    <w:name w:val="heading 2"/>
    <w:basedOn w:val="HeadingBase"/>
    <w:next w:val="Normal"/>
    <w:link w:val="Heading2Char"/>
    <w:qFormat/>
    <w:rsid w:val="00A956F2"/>
    <w:pPr>
      <w:spacing w:before="240" w:after="240"/>
      <w:outlineLvl w:val="1"/>
    </w:pPr>
    <w:rPr>
      <w:rFonts w:ascii="Arial Bold" w:hAnsi="Arial Bold"/>
      <w:b/>
      <w:sz w:val="26"/>
    </w:rPr>
  </w:style>
  <w:style w:type="paragraph" w:styleId="Heading3">
    <w:name w:val="heading 3"/>
    <w:basedOn w:val="HeadingBase"/>
    <w:next w:val="Normal"/>
    <w:link w:val="Heading3Char"/>
    <w:qFormat/>
    <w:rsid w:val="00A956F2"/>
    <w:pPr>
      <w:spacing w:before="120" w:after="120"/>
      <w:outlineLvl w:val="2"/>
    </w:pPr>
    <w:rPr>
      <w:rFonts w:ascii="Arial Bold" w:hAnsi="Arial Bold"/>
      <w:b/>
      <w:sz w:val="22"/>
    </w:rPr>
  </w:style>
  <w:style w:type="paragraph" w:styleId="Heading4">
    <w:name w:val="heading 4"/>
    <w:basedOn w:val="HeadingBase"/>
    <w:next w:val="Normal"/>
    <w:link w:val="Heading4Char"/>
    <w:qFormat/>
    <w:rsid w:val="00A956F2"/>
    <w:pPr>
      <w:spacing w:after="120"/>
      <w:outlineLvl w:val="3"/>
    </w:pPr>
    <w:rPr>
      <w:rFonts w:ascii="Arial Bold" w:hAnsi="Arial Bold"/>
      <w:b/>
      <w:sz w:val="20"/>
    </w:rPr>
  </w:style>
  <w:style w:type="paragraph" w:styleId="Heading5">
    <w:name w:val="heading 5"/>
    <w:basedOn w:val="HeadingBase"/>
    <w:next w:val="Normal"/>
    <w:link w:val="Heading5Char"/>
    <w:qFormat/>
    <w:rsid w:val="00A956F2"/>
    <w:pPr>
      <w:spacing w:after="120"/>
      <w:outlineLvl w:val="4"/>
    </w:pPr>
    <w:rPr>
      <w:bCs/>
      <w:i/>
      <w:iCs/>
      <w:sz w:val="20"/>
      <w:szCs w:val="26"/>
    </w:rPr>
  </w:style>
  <w:style w:type="paragraph" w:styleId="Heading6">
    <w:name w:val="heading 6"/>
    <w:basedOn w:val="HeadingBase"/>
    <w:next w:val="Normal"/>
    <w:link w:val="Heading6Char"/>
    <w:rsid w:val="00A956F2"/>
    <w:pPr>
      <w:spacing w:after="120"/>
      <w:outlineLvl w:val="5"/>
    </w:pPr>
    <w:rPr>
      <w:bCs/>
      <w:sz w:val="20"/>
      <w:szCs w:val="22"/>
    </w:rPr>
  </w:style>
  <w:style w:type="paragraph" w:styleId="Heading7">
    <w:name w:val="heading 7"/>
    <w:basedOn w:val="HeadingBase"/>
    <w:next w:val="Normal"/>
    <w:link w:val="Heading7Char"/>
    <w:rsid w:val="00A956F2"/>
    <w:pPr>
      <w:spacing w:before="120"/>
      <w:outlineLvl w:val="6"/>
    </w:pPr>
    <w:rPr>
      <w:sz w:val="20"/>
      <w:szCs w:val="24"/>
    </w:rPr>
  </w:style>
  <w:style w:type="paragraph" w:styleId="Heading8">
    <w:name w:val="heading 8"/>
    <w:basedOn w:val="HeadingBase"/>
    <w:next w:val="Normal"/>
    <w:link w:val="Heading8Char"/>
    <w:rsid w:val="00A956F2"/>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rsid w:val="00A956F2"/>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Base"/>
    <w:link w:val="HeaderChar"/>
    <w:rsid w:val="00A956F2"/>
    <w:pPr>
      <w:tabs>
        <w:tab w:val="center" w:pos="4153"/>
        <w:tab w:val="right" w:pos="8306"/>
      </w:tabs>
    </w:pPr>
  </w:style>
  <w:style w:type="character" w:customStyle="1" w:styleId="HeaderChar">
    <w:name w:val="Header Char"/>
    <w:basedOn w:val="DefaultParagraphFont"/>
    <w:link w:val="Header"/>
    <w:rsid w:val="00A956F2"/>
    <w:rPr>
      <w:rFonts w:ascii="Arial" w:eastAsia="Times New Roman" w:hAnsi="Arial" w:cs="Times New Roman"/>
      <w:color w:val="002A54" w:themeColor="text2"/>
      <w:sz w:val="18"/>
      <w:szCs w:val="20"/>
      <w:lang w:eastAsia="en-AU"/>
    </w:rPr>
  </w:style>
  <w:style w:type="paragraph" w:styleId="Footer">
    <w:name w:val="footer"/>
    <w:basedOn w:val="FooterBase"/>
    <w:link w:val="FooterChar"/>
    <w:rsid w:val="00A956F2"/>
    <w:pPr>
      <w:tabs>
        <w:tab w:val="center" w:pos="4153"/>
        <w:tab w:val="right" w:pos="8306"/>
      </w:tabs>
    </w:pPr>
  </w:style>
  <w:style w:type="character" w:customStyle="1" w:styleId="FooterChar">
    <w:name w:val="Footer Char"/>
    <w:basedOn w:val="DefaultParagraphFont"/>
    <w:link w:val="Footer"/>
    <w:rsid w:val="00A956F2"/>
    <w:rPr>
      <w:rFonts w:ascii="Arial" w:eastAsia="Times New Roman" w:hAnsi="Arial" w:cs="Times New Roman"/>
      <w:color w:val="002A54" w:themeColor="text2"/>
      <w:sz w:val="20"/>
      <w:szCs w:val="20"/>
      <w:lang w:eastAsia="en-AU"/>
    </w:rPr>
  </w:style>
  <w:style w:type="paragraph" w:customStyle="1" w:styleId="SecurityClassificationHeader">
    <w:name w:val="Security Classification Header"/>
    <w:link w:val="SecurityClassificationHeaderChar"/>
    <w:rsid w:val="00A956F2"/>
    <w:pPr>
      <w:spacing w:before="240" w:after="60"/>
      <w:jc w:val="center"/>
    </w:pPr>
    <w:rPr>
      <w:rFonts w:ascii="Calibri" w:eastAsia="Times New Roman" w:hAnsi="Calibri" w:cs="Calibri"/>
      <w:b/>
      <w:caps/>
      <w:color w:val="002A54" w:themeColor="text2"/>
      <w:sz w:val="24"/>
      <w:szCs w:val="20"/>
      <w:lang w:eastAsia="en-AU"/>
    </w:rPr>
  </w:style>
  <w:style w:type="character" w:customStyle="1" w:styleId="SecurityClassificationHeaderChar">
    <w:name w:val="Security Classification Header Char"/>
    <w:basedOn w:val="HeaderChar"/>
    <w:link w:val="SecurityClassificationHeader"/>
    <w:rsid w:val="00A956F2"/>
    <w:rPr>
      <w:rFonts w:ascii="Calibri" w:eastAsia="Times New Roman" w:hAnsi="Calibri" w:cs="Calibri"/>
      <w:b/>
      <w:caps/>
      <w:color w:val="002A54" w:themeColor="text2"/>
      <w:sz w:val="24"/>
      <w:szCs w:val="20"/>
      <w:lang w:eastAsia="en-AU"/>
    </w:rPr>
  </w:style>
  <w:style w:type="paragraph" w:customStyle="1" w:styleId="SecurityClassificationFooter">
    <w:name w:val="Security Classification Footer"/>
    <w:link w:val="SecurityClassificationFooterChar"/>
    <w:rsid w:val="00A956F2"/>
    <w:pPr>
      <w:spacing w:before="60" w:after="240"/>
      <w:jc w:val="center"/>
    </w:pPr>
    <w:rPr>
      <w:rFonts w:ascii="Calibri" w:eastAsia="Times New Roman" w:hAnsi="Calibri" w:cs="Calibri"/>
      <w:b/>
      <w:caps/>
      <w:color w:val="002A54" w:themeColor="text2"/>
      <w:sz w:val="24"/>
      <w:szCs w:val="20"/>
      <w:lang w:eastAsia="en-AU"/>
    </w:rPr>
  </w:style>
  <w:style w:type="character" w:customStyle="1" w:styleId="SecurityClassificationFooterChar">
    <w:name w:val="Security Classification Footer Char"/>
    <w:basedOn w:val="HeaderChar"/>
    <w:link w:val="SecurityClassificationFooter"/>
    <w:rsid w:val="00A956F2"/>
    <w:rPr>
      <w:rFonts w:ascii="Calibri" w:eastAsia="Times New Roman" w:hAnsi="Calibri" w:cs="Calibri"/>
      <w:b/>
      <w:caps/>
      <w:color w:val="002A54" w:themeColor="text2"/>
      <w:sz w:val="24"/>
      <w:szCs w:val="20"/>
      <w:lang w:eastAsia="en-AU"/>
    </w:rPr>
  </w:style>
  <w:style w:type="paragraph" w:customStyle="1" w:styleId="DLMSecurityHeader">
    <w:name w:val="DLM Security Header"/>
    <w:link w:val="DLMSecurityHeaderChar"/>
    <w:rsid w:val="00A956F2"/>
    <w:pPr>
      <w:spacing w:before="60" w:after="240"/>
      <w:jc w:val="center"/>
    </w:pPr>
    <w:rPr>
      <w:rFonts w:ascii="Calibri" w:eastAsia="Times New Roman" w:hAnsi="Calibri" w:cs="Calibri"/>
      <w:b/>
      <w:caps/>
      <w:color w:val="002A54" w:themeColor="text2"/>
      <w:sz w:val="24"/>
      <w:szCs w:val="20"/>
      <w:lang w:eastAsia="en-AU"/>
    </w:rPr>
  </w:style>
  <w:style w:type="character" w:customStyle="1" w:styleId="DLMSecurityHeaderChar">
    <w:name w:val="DLM Security Header Char"/>
    <w:basedOn w:val="HeaderChar"/>
    <w:link w:val="DLMSecurityHeader"/>
    <w:rsid w:val="00A956F2"/>
    <w:rPr>
      <w:rFonts w:ascii="Calibri" w:eastAsia="Times New Roman" w:hAnsi="Calibri" w:cs="Calibri"/>
      <w:b/>
      <w:caps/>
      <w:color w:val="002A54" w:themeColor="text2"/>
      <w:sz w:val="24"/>
      <w:szCs w:val="20"/>
      <w:lang w:eastAsia="en-AU"/>
    </w:rPr>
  </w:style>
  <w:style w:type="paragraph" w:customStyle="1" w:styleId="DLMSecurityFooter">
    <w:name w:val="DLM Security Footer"/>
    <w:link w:val="DLMSecurityFooterChar"/>
    <w:rsid w:val="00A956F2"/>
    <w:pPr>
      <w:spacing w:before="240" w:after="60"/>
      <w:jc w:val="center"/>
    </w:pPr>
    <w:rPr>
      <w:rFonts w:ascii="Calibri" w:eastAsia="Times New Roman" w:hAnsi="Calibri" w:cs="Calibri"/>
      <w:b/>
      <w:caps/>
      <w:color w:val="002A54" w:themeColor="text2"/>
      <w:sz w:val="24"/>
      <w:szCs w:val="20"/>
      <w:lang w:eastAsia="en-AU"/>
    </w:rPr>
  </w:style>
  <w:style w:type="character" w:customStyle="1" w:styleId="DLMSecurityFooterChar">
    <w:name w:val="DLM Security Footer Char"/>
    <w:basedOn w:val="HeaderChar"/>
    <w:link w:val="DLMSecurityFooter"/>
    <w:rsid w:val="00A956F2"/>
    <w:rPr>
      <w:rFonts w:ascii="Calibri" w:eastAsia="Times New Roman" w:hAnsi="Calibri" w:cs="Calibri"/>
      <w:b/>
      <w:caps/>
      <w:color w:val="002A54" w:themeColor="text2"/>
      <w:sz w:val="24"/>
      <w:szCs w:val="20"/>
      <w:lang w:eastAsia="en-AU"/>
    </w:rPr>
  </w:style>
  <w:style w:type="paragraph" w:customStyle="1" w:styleId="Classification">
    <w:name w:val="Classification"/>
    <w:basedOn w:val="HeadingBase"/>
    <w:rsid w:val="00A956F2"/>
    <w:pPr>
      <w:jc w:val="center"/>
    </w:pPr>
    <w:rPr>
      <w:rFonts w:ascii="Arial Bold" w:hAnsi="Arial Bold"/>
      <w:b/>
      <w:caps/>
      <w:sz w:val="22"/>
    </w:rPr>
  </w:style>
  <w:style w:type="paragraph" w:customStyle="1" w:styleId="FileProperties">
    <w:name w:val="File Properties"/>
    <w:basedOn w:val="Normal"/>
    <w:rsid w:val="00A956F2"/>
    <w:pPr>
      <w:spacing w:before="0"/>
    </w:pPr>
    <w:rPr>
      <w:i/>
    </w:rPr>
  </w:style>
  <w:style w:type="paragraph" w:customStyle="1" w:styleId="AlphaParagraph">
    <w:name w:val="Alpha Paragraph"/>
    <w:basedOn w:val="Normal"/>
    <w:rsid w:val="00A956F2"/>
    <w:pPr>
      <w:numPr>
        <w:numId w:val="1"/>
      </w:numPr>
      <w:tabs>
        <w:tab w:val="clear" w:pos="567"/>
        <w:tab w:val="num" w:pos="360"/>
      </w:tabs>
      <w:ind w:left="0" w:firstLine="0"/>
    </w:pPr>
  </w:style>
  <w:style w:type="paragraph" w:customStyle="1" w:styleId="HeadingBase">
    <w:name w:val="Heading Base"/>
    <w:rsid w:val="00A956F2"/>
    <w:pPr>
      <w:keepNext/>
      <w:spacing w:after="0" w:line="240" w:lineRule="auto"/>
    </w:pPr>
    <w:rPr>
      <w:rFonts w:ascii="Arial" w:eastAsia="Times New Roman" w:hAnsi="Arial" w:cs="Times New Roman"/>
      <w:sz w:val="24"/>
      <w:szCs w:val="20"/>
      <w:lang w:eastAsia="en-AU"/>
    </w:rPr>
  </w:style>
  <w:style w:type="paragraph" w:customStyle="1" w:styleId="Heading1-Statement">
    <w:name w:val="Heading 1 - Statement"/>
    <w:basedOn w:val="Heading1"/>
    <w:next w:val="Normal"/>
    <w:autoRedefine/>
    <w:qFormat/>
    <w:rsid w:val="00A956F2"/>
    <w:rPr>
      <w:bCs/>
      <w:color w:val="002A54" w:themeColor="text2"/>
      <w:szCs w:val="52"/>
    </w:rPr>
  </w:style>
  <w:style w:type="paragraph" w:customStyle="1" w:styleId="BoxText">
    <w:name w:val="Box Text"/>
    <w:basedOn w:val="Normal"/>
    <w:link w:val="BoxTextChar"/>
    <w:qFormat/>
    <w:rsid w:val="00A956F2"/>
    <w:pPr>
      <w:spacing w:before="120" w:after="120" w:line="240" w:lineRule="auto"/>
    </w:pPr>
  </w:style>
  <w:style w:type="paragraph" w:customStyle="1" w:styleId="BoxBullet">
    <w:name w:val="Box Bullet"/>
    <w:basedOn w:val="BoxText"/>
    <w:rsid w:val="00A956F2"/>
    <w:pPr>
      <w:numPr>
        <w:numId w:val="2"/>
      </w:numPr>
    </w:pPr>
  </w:style>
  <w:style w:type="paragraph" w:customStyle="1" w:styleId="BoxHeading">
    <w:name w:val="Box Heading"/>
    <w:basedOn w:val="HeadingBase"/>
    <w:next w:val="BoxText"/>
    <w:rsid w:val="00A956F2"/>
    <w:pPr>
      <w:spacing w:before="120" w:after="120"/>
    </w:pPr>
    <w:rPr>
      <w:b/>
      <w:sz w:val="20"/>
    </w:rPr>
  </w:style>
  <w:style w:type="character" w:customStyle="1" w:styleId="Heading6Char">
    <w:name w:val="Heading 6 Char"/>
    <w:basedOn w:val="DefaultParagraphFont"/>
    <w:link w:val="Heading6"/>
    <w:rsid w:val="00A956F2"/>
    <w:rPr>
      <w:rFonts w:ascii="Arial" w:eastAsia="Times New Roman" w:hAnsi="Arial" w:cs="Times New Roman"/>
      <w:bCs/>
      <w:sz w:val="20"/>
      <w:lang w:eastAsia="en-AU"/>
    </w:rPr>
  </w:style>
  <w:style w:type="paragraph" w:customStyle="1" w:styleId="Bullet">
    <w:name w:val="Bullet"/>
    <w:basedOn w:val="Normal"/>
    <w:qFormat/>
    <w:rsid w:val="00A956F2"/>
    <w:pPr>
      <w:numPr>
        <w:numId w:val="4"/>
      </w:numPr>
      <w:spacing w:after="160"/>
      <w:ind w:left="284" w:hanging="284"/>
    </w:pPr>
  </w:style>
  <w:style w:type="paragraph" w:styleId="Caption">
    <w:name w:val="caption"/>
    <w:basedOn w:val="Normal"/>
    <w:next w:val="Normal"/>
    <w:rsid w:val="00A956F2"/>
    <w:rPr>
      <w:b/>
      <w:bCs/>
    </w:rPr>
  </w:style>
  <w:style w:type="paragraph" w:customStyle="1" w:styleId="ChartandTableFootnote">
    <w:name w:val="Chart and Table Footnote"/>
    <w:basedOn w:val="HeadingBase"/>
    <w:next w:val="Normal"/>
    <w:rsid w:val="00A956F2"/>
    <w:pPr>
      <w:keepNext w:val="0"/>
      <w:tabs>
        <w:tab w:val="left" w:pos="709"/>
      </w:tabs>
      <w:spacing w:before="30"/>
      <w:ind w:left="709" w:hanging="709"/>
    </w:pPr>
    <w:rPr>
      <w:color w:val="000000"/>
      <w:sz w:val="16"/>
    </w:rPr>
  </w:style>
  <w:style w:type="paragraph" w:customStyle="1" w:styleId="ChartandTableFootnoteAlpha">
    <w:name w:val="Chart and Table Footnote Alpha"/>
    <w:basedOn w:val="HeadingBase"/>
    <w:next w:val="Normal"/>
    <w:link w:val="ChartandTableFootnoteAlphaChar"/>
    <w:rsid w:val="00A956F2"/>
    <w:pPr>
      <w:keepNext w:val="0"/>
      <w:numPr>
        <w:numId w:val="6"/>
      </w:numPr>
      <w:spacing w:before="30"/>
    </w:pPr>
    <w:rPr>
      <w:color w:val="000000"/>
      <w:sz w:val="16"/>
    </w:rPr>
  </w:style>
  <w:style w:type="paragraph" w:customStyle="1" w:styleId="ChartandTableFootnoteSmall">
    <w:name w:val="Chart and Table Footnote Small"/>
    <w:basedOn w:val="HeadingBase"/>
    <w:next w:val="Normal"/>
    <w:rsid w:val="00A956F2"/>
    <w:pPr>
      <w:keepNext w:val="0"/>
      <w:tabs>
        <w:tab w:val="left" w:pos="284"/>
      </w:tabs>
      <w:jc w:val="both"/>
    </w:pPr>
    <w:rPr>
      <w:color w:val="000000"/>
      <w:sz w:val="15"/>
    </w:rPr>
  </w:style>
  <w:style w:type="paragraph" w:customStyle="1" w:styleId="ChartGraphic">
    <w:name w:val="Chart Graphic"/>
    <w:basedOn w:val="HeadingBase"/>
    <w:rsid w:val="00A956F2"/>
    <w:rPr>
      <w:sz w:val="20"/>
    </w:rPr>
  </w:style>
  <w:style w:type="paragraph" w:customStyle="1" w:styleId="TableLine">
    <w:name w:val="Table Line"/>
    <w:basedOn w:val="Normal"/>
    <w:next w:val="Normal"/>
    <w:autoRedefine/>
    <w:rsid w:val="00A956F2"/>
    <w:pPr>
      <w:pBdr>
        <w:bottom w:val="single" w:sz="4" w:space="2" w:color="626A77" w:themeColor="background2" w:themeShade="E6"/>
      </w:pBdr>
      <w:spacing w:before="0" w:line="240" w:lineRule="auto"/>
    </w:pPr>
    <w:rPr>
      <w:noProof/>
      <w:sz w:val="4"/>
      <w:szCs w:val="4"/>
    </w:rPr>
  </w:style>
  <w:style w:type="paragraph" w:customStyle="1" w:styleId="ChartSecondHeading">
    <w:name w:val="Chart Second Heading"/>
    <w:basedOn w:val="HeadingBase"/>
    <w:next w:val="ChartGraphic"/>
    <w:rsid w:val="00A956F2"/>
    <w:pPr>
      <w:spacing w:after="60"/>
    </w:pPr>
    <w:rPr>
      <w:sz w:val="19"/>
    </w:rPr>
  </w:style>
  <w:style w:type="character" w:styleId="CommentReference">
    <w:name w:val="annotation reference"/>
    <w:basedOn w:val="DefaultParagraphFont"/>
    <w:rsid w:val="00A956F2"/>
    <w:rPr>
      <w:sz w:val="16"/>
      <w:szCs w:val="16"/>
    </w:rPr>
  </w:style>
  <w:style w:type="paragraph" w:styleId="CommentText">
    <w:name w:val="annotation text"/>
    <w:basedOn w:val="Normal"/>
    <w:link w:val="CommentTextChar"/>
    <w:rsid w:val="00A956F2"/>
  </w:style>
  <w:style w:type="character" w:customStyle="1" w:styleId="CommentTextChar">
    <w:name w:val="Comment Text Char"/>
    <w:basedOn w:val="DefaultParagraphFont"/>
    <w:link w:val="CommentText"/>
    <w:rsid w:val="00A956F2"/>
    <w:rPr>
      <w:rFonts w:ascii="Book Antiqua" w:eastAsia="Times New Roman" w:hAnsi="Book Antiqua" w:cs="Times New Roman"/>
      <w:sz w:val="19"/>
      <w:szCs w:val="20"/>
      <w:lang w:eastAsia="en-AU"/>
    </w:rPr>
  </w:style>
  <w:style w:type="paragraph" w:styleId="CommentSubject">
    <w:name w:val="annotation subject"/>
    <w:basedOn w:val="CommentText"/>
    <w:next w:val="CommentText"/>
    <w:link w:val="CommentSubjectChar"/>
    <w:rsid w:val="00A956F2"/>
    <w:rPr>
      <w:b/>
      <w:bCs/>
    </w:rPr>
  </w:style>
  <w:style w:type="character" w:customStyle="1" w:styleId="CommentSubjectChar">
    <w:name w:val="Comment Subject Char"/>
    <w:basedOn w:val="CommentTextChar"/>
    <w:link w:val="CommentSubject"/>
    <w:rsid w:val="00A956F2"/>
    <w:rPr>
      <w:rFonts w:ascii="Book Antiqua" w:eastAsia="Times New Roman" w:hAnsi="Book Antiqua" w:cs="Times New Roman"/>
      <w:b/>
      <w:bCs/>
      <w:sz w:val="19"/>
      <w:szCs w:val="20"/>
      <w:lang w:eastAsia="en-AU"/>
    </w:rPr>
  </w:style>
  <w:style w:type="paragraph" w:customStyle="1" w:styleId="ContentsHeading">
    <w:name w:val="Contents Heading"/>
    <w:basedOn w:val="Heading1"/>
    <w:next w:val="Normal"/>
    <w:rsid w:val="00A956F2"/>
    <w:pPr>
      <w:spacing w:after="720"/>
      <w:outlineLvl w:val="9"/>
    </w:pPr>
  </w:style>
  <w:style w:type="character" w:styleId="Strong">
    <w:name w:val="Strong"/>
    <w:basedOn w:val="DefaultParagraphFont"/>
    <w:uiPriority w:val="22"/>
    <w:qFormat/>
    <w:rsid w:val="00A956F2"/>
    <w:rPr>
      <w:b/>
      <w:bCs/>
      <w:color w:val="auto"/>
    </w:rPr>
  </w:style>
  <w:style w:type="paragraph" w:customStyle="1" w:styleId="Dash">
    <w:name w:val="Dash"/>
    <w:basedOn w:val="Normal"/>
    <w:qFormat/>
    <w:rsid w:val="00A956F2"/>
    <w:pPr>
      <w:numPr>
        <w:ilvl w:val="1"/>
        <w:numId w:val="4"/>
      </w:numPr>
      <w:tabs>
        <w:tab w:val="left" w:pos="567"/>
      </w:tabs>
    </w:pPr>
  </w:style>
  <w:style w:type="paragraph" w:styleId="DocumentMap">
    <w:name w:val="Document Map"/>
    <w:basedOn w:val="Normal"/>
    <w:link w:val="DocumentMapChar"/>
    <w:rsid w:val="00A956F2"/>
    <w:pPr>
      <w:shd w:val="clear" w:color="auto" w:fill="000080"/>
    </w:pPr>
    <w:rPr>
      <w:rFonts w:ascii="Tahoma" w:hAnsi="Tahoma" w:cs="Tahoma"/>
    </w:rPr>
  </w:style>
  <w:style w:type="character" w:customStyle="1" w:styleId="DocumentMapChar">
    <w:name w:val="Document Map Char"/>
    <w:basedOn w:val="DefaultParagraphFont"/>
    <w:link w:val="DocumentMap"/>
    <w:rsid w:val="00A956F2"/>
    <w:rPr>
      <w:rFonts w:ascii="Tahoma" w:eastAsia="Times New Roman" w:hAnsi="Tahoma" w:cs="Tahoma"/>
      <w:sz w:val="19"/>
      <w:szCs w:val="20"/>
      <w:shd w:val="clear" w:color="auto" w:fill="000080"/>
      <w:lang w:eastAsia="en-AU"/>
    </w:rPr>
  </w:style>
  <w:style w:type="paragraph" w:customStyle="1" w:styleId="DoubleDot">
    <w:name w:val="Double Dot"/>
    <w:basedOn w:val="Normal"/>
    <w:rsid w:val="00A956F2"/>
    <w:pPr>
      <w:numPr>
        <w:ilvl w:val="2"/>
        <w:numId w:val="4"/>
      </w:numPr>
      <w:tabs>
        <w:tab w:val="clear" w:pos="850"/>
        <w:tab w:val="num" w:pos="360"/>
        <w:tab w:val="left" w:pos="851"/>
      </w:tabs>
    </w:pPr>
  </w:style>
  <w:style w:type="paragraph" w:customStyle="1" w:styleId="FigureHeading">
    <w:name w:val="Figure Heading"/>
    <w:basedOn w:val="HeadingBase"/>
    <w:next w:val="ChartGraphic"/>
    <w:rsid w:val="00A956F2"/>
    <w:pPr>
      <w:spacing w:before="120" w:after="20"/>
    </w:pPr>
    <w:rPr>
      <w:b/>
      <w:sz w:val="20"/>
    </w:rPr>
  </w:style>
  <w:style w:type="paragraph" w:customStyle="1" w:styleId="FooterBase">
    <w:name w:val="Footer Base"/>
    <w:rsid w:val="00A956F2"/>
    <w:pPr>
      <w:spacing w:after="0" w:line="240" w:lineRule="auto"/>
      <w:jc w:val="center"/>
    </w:pPr>
    <w:rPr>
      <w:rFonts w:ascii="Arial" w:eastAsia="Times New Roman" w:hAnsi="Arial" w:cs="Times New Roman"/>
      <w:color w:val="002A54" w:themeColor="text2"/>
      <w:sz w:val="20"/>
      <w:szCs w:val="20"/>
      <w:lang w:eastAsia="en-AU"/>
    </w:rPr>
  </w:style>
  <w:style w:type="paragraph" w:customStyle="1" w:styleId="FooterEven">
    <w:name w:val="Footer Even"/>
    <w:basedOn w:val="Footer"/>
    <w:rsid w:val="00A956F2"/>
    <w:pPr>
      <w:pBdr>
        <w:top w:val="single" w:sz="4" w:space="10" w:color="002A54" w:themeColor="text2"/>
      </w:pBdr>
      <w:jc w:val="left"/>
    </w:pPr>
    <w:rPr>
      <w:sz w:val="18"/>
    </w:rPr>
  </w:style>
  <w:style w:type="paragraph" w:customStyle="1" w:styleId="FooterOdd">
    <w:name w:val="Footer Odd"/>
    <w:basedOn w:val="Footer"/>
    <w:qFormat/>
    <w:rsid w:val="00A956F2"/>
    <w:pPr>
      <w:pBdr>
        <w:top w:val="single" w:sz="4" w:space="10" w:color="002A54" w:themeColor="text2"/>
      </w:pBdr>
      <w:jc w:val="right"/>
    </w:pPr>
    <w:rPr>
      <w:sz w:val="18"/>
    </w:rPr>
  </w:style>
  <w:style w:type="character" w:styleId="FootnoteReference">
    <w:name w:val="footnote reference"/>
    <w:basedOn w:val="DefaultParagraphFont"/>
    <w:rsid w:val="00A956F2"/>
    <w:rPr>
      <w:vertAlign w:val="superscript"/>
    </w:rPr>
  </w:style>
  <w:style w:type="paragraph" w:styleId="FootnoteText">
    <w:name w:val="footnote text"/>
    <w:basedOn w:val="Normal"/>
    <w:link w:val="FootnoteTextChar"/>
    <w:rsid w:val="00A956F2"/>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rsid w:val="00A956F2"/>
    <w:rPr>
      <w:rFonts w:ascii="Book Antiqua" w:eastAsia="Times New Roman" w:hAnsi="Book Antiqua" w:cs="Times New Roman"/>
      <w:sz w:val="18"/>
      <w:szCs w:val="20"/>
      <w:lang w:eastAsia="en-AU"/>
    </w:rPr>
  </w:style>
  <w:style w:type="character" w:customStyle="1" w:styleId="FramedHeader">
    <w:name w:val="Framed Header"/>
    <w:basedOn w:val="DefaultParagraphFont"/>
    <w:rsid w:val="00A956F2"/>
    <w:rPr>
      <w:rFonts w:ascii="Book Antiqua" w:hAnsi="Book Antiqua"/>
      <w:i/>
      <w:dstrike w:val="0"/>
      <w:color w:val="auto"/>
      <w:sz w:val="20"/>
      <w:vertAlign w:val="baseline"/>
    </w:rPr>
  </w:style>
  <w:style w:type="paragraph" w:customStyle="1" w:styleId="HeaderBase">
    <w:name w:val="Header Base"/>
    <w:rsid w:val="00A956F2"/>
    <w:pPr>
      <w:spacing w:after="0" w:line="240" w:lineRule="auto"/>
    </w:pPr>
    <w:rPr>
      <w:rFonts w:ascii="Arial" w:eastAsia="Times New Roman" w:hAnsi="Arial" w:cs="Times New Roman"/>
      <w:color w:val="002A54" w:themeColor="text2"/>
      <w:sz w:val="18"/>
      <w:szCs w:val="20"/>
      <w:lang w:eastAsia="en-AU"/>
    </w:rPr>
  </w:style>
  <w:style w:type="paragraph" w:customStyle="1" w:styleId="HeaderEven">
    <w:name w:val="Header Even"/>
    <w:basedOn w:val="HeaderBase"/>
    <w:rsid w:val="00A956F2"/>
  </w:style>
  <w:style w:type="paragraph" w:customStyle="1" w:styleId="HeaderOdd">
    <w:name w:val="Header Odd"/>
    <w:basedOn w:val="HeaderBase"/>
    <w:rsid w:val="00A956F2"/>
    <w:pPr>
      <w:jc w:val="right"/>
    </w:pPr>
  </w:style>
  <w:style w:type="character" w:customStyle="1" w:styleId="Heading1Char">
    <w:name w:val="Heading 1 Char"/>
    <w:basedOn w:val="DefaultParagraphFont"/>
    <w:link w:val="Heading1"/>
    <w:rsid w:val="00A956F2"/>
    <w:rPr>
      <w:rFonts w:ascii="Arial Bold" w:eastAsia="Times New Roman" w:hAnsi="Arial Bold" w:cs="Times New Roman"/>
      <w:b/>
      <w:kern w:val="34"/>
      <w:sz w:val="36"/>
      <w:szCs w:val="20"/>
      <w:lang w:eastAsia="en-AU"/>
    </w:rPr>
  </w:style>
  <w:style w:type="character" w:customStyle="1" w:styleId="Heading2Char">
    <w:name w:val="Heading 2 Char"/>
    <w:basedOn w:val="DefaultParagraphFont"/>
    <w:link w:val="Heading2"/>
    <w:rsid w:val="00A956F2"/>
    <w:rPr>
      <w:rFonts w:ascii="Arial Bold" w:eastAsia="Times New Roman" w:hAnsi="Arial Bold" w:cs="Times New Roman"/>
      <w:b/>
      <w:sz w:val="26"/>
      <w:szCs w:val="20"/>
      <w:lang w:eastAsia="en-AU"/>
    </w:rPr>
  </w:style>
  <w:style w:type="character" w:customStyle="1" w:styleId="Heading3Char">
    <w:name w:val="Heading 3 Char"/>
    <w:basedOn w:val="DefaultParagraphFont"/>
    <w:link w:val="Heading3"/>
    <w:rsid w:val="00A956F2"/>
    <w:rPr>
      <w:rFonts w:ascii="Arial Bold" w:eastAsia="Times New Roman" w:hAnsi="Arial Bold" w:cs="Times New Roman"/>
      <w:b/>
      <w:szCs w:val="20"/>
      <w:lang w:eastAsia="en-AU"/>
    </w:rPr>
  </w:style>
  <w:style w:type="paragraph" w:customStyle="1" w:styleId="Heading3noTOC">
    <w:name w:val="Heading 3 no TOC"/>
    <w:basedOn w:val="Heading3"/>
    <w:rsid w:val="00A956F2"/>
    <w:pPr>
      <w:outlineLvl w:val="9"/>
    </w:pPr>
  </w:style>
  <w:style w:type="character" w:customStyle="1" w:styleId="Heading4Char">
    <w:name w:val="Heading 4 Char"/>
    <w:basedOn w:val="DefaultParagraphFont"/>
    <w:link w:val="Heading4"/>
    <w:rsid w:val="00A956F2"/>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rsid w:val="00A956F2"/>
    <w:rPr>
      <w:rFonts w:ascii="Arial" w:eastAsia="Times New Roman" w:hAnsi="Arial" w:cs="Times New Roman"/>
      <w:bCs/>
      <w:i/>
      <w:iCs/>
      <w:sz w:val="20"/>
      <w:szCs w:val="26"/>
      <w:lang w:eastAsia="en-AU"/>
    </w:rPr>
  </w:style>
  <w:style w:type="character" w:customStyle="1" w:styleId="Heading7Char">
    <w:name w:val="Heading 7 Char"/>
    <w:basedOn w:val="DefaultParagraphFont"/>
    <w:link w:val="Heading7"/>
    <w:rsid w:val="00A956F2"/>
    <w:rPr>
      <w:rFonts w:ascii="Arial" w:eastAsia="Times New Roman" w:hAnsi="Arial" w:cs="Times New Roman"/>
      <w:sz w:val="20"/>
      <w:szCs w:val="24"/>
      <w:lang w:eastAsia="en-AU"/>
    </w:rPr>
  </w:style>
  <w:style w:type="character" w:customStyle="1" w:styleId="Heading8Char">
    <w:name w:val="Heading 8 Char"/>
    <w:basedOn w:val="DefaultParagraphFont"/>
    <w:link w:val="Heading8"/>
    <w:rsid w:val="00A956F2"/>
    <w:rPr>
      <w:rFonts w:ascii="Times New Roman" w:eastAsia="Times New Roman" w:hAnsi="Times New Roman" w:cs="Times New Roman"/>
      <w:i/>
      <w:iCs/>
      <w:sz w:val="16"/>
      <w:szCs w:val="24"/>
      <w:lang w:eastAsia="en-AU"/>
    </w:rPr>
  </w:style>
  <w:style w:type="character" w:customStyle="1" w:styleId="HiddenSequenceCode">
    <w:name w:val="Hidden Sequence Code"/>
    <w:basedOn w:val="DefaultParagraphFont"/>
    <w:rsid w:val="00A956F2"/>
    <w:rPr>
      <w:rFonts w:ascii="Times New Roman" w:hAnsi="Times New Roman"/>
      <w:vanish/>
      <w:sz w:val="16"/>
    </w:rPr>
  </w:style>
  <w:style w:type="character" w:styleId="Hyperlink">
    <w:name w:val="Hyperlink"/>
    <w:basedOn w:val="DefaultParagraphFont"/>
    <w:uiPriority w:val="99"/>
    <w:unhideWhenUsed/>
    <w:rsid w:val="00A956F2"/>
    <w:rPr>
      <w:color w:val="auto"/>
      <w:u w:val="single"/>
    </w:rPr>
  </w:style>
  <w:style w:type="paragraph" w:styleId="Index4">
    <w:name w:val="index 4"/>
    <w:basedOn w:val="Normal"/>
    <w:next w:val="Normal"/>
    <w:autoRedefine/>
    <w:rsid w:val="00A956F2"/>
    <w:pPr>
      <w:ind w:left="800" w:hanging="200"/>
    </w:pPr>
  </w:style>
  <w:style w:type="paragraph" w:styleId="Index5">
    <w:name w:val="index 5"/>
    <w:basedOn w:val="Normal"/>
    <w:next w:val="Normal"/>
    <w:autoRedefine/>
    <w:rsid w:val="00A956F2"/>
    <w:pPr>
      <w:ind w:left="1000" w:hanging="200"/>
    </w:pPr>
  </w:style>
  <w:style w:type="paragraph" w:styleId="Index6">
    <w:name w:val="index 6"/>
    <w:basedOn w:val="Normal"/>
    <w:next w:val="Normal"/>
    <w:autoRedefine/>
    <w:rsid w:val="00A956F2"/>
    <w:pPr>
      <w:ind w:left="1200" w:hanging="200"/>
    </w:pPr>
  </w:style>
  <w:style w:type="paragraph" w:styleId="Index7">
    <w:name w:val="index 7"/>
    <w:basedOn w:val="Normal"/>
    <w:next w:val="Normal"/>
    <w:autoRedefine/>
    <w:rsid w:val="00A956F2"/>
    <w:pPr>
      <w:ind w:left="1400" w:hanging="200"/>
    </w:pPr>
  </w:style>
  <w:style w:type="paragraph" w:styleId="Index8">
    <w:name w:val="index 8"/>
    <w:basedOn w:val="Normal"/>
    <w:next w:val="Normal"/>
    <w:autoRedefine/>
    <w:rsid w:val="00A956F2"/>
    <w:pPr>
      <w:ind w:left="1600" w:hanging="200"/>
    </w:pPr>
  </w:style>
  <w:style w:type="paragraph" w:styleId="Index9">
    <w:name w:val="index 9"/>
    <w:basedOn w:val="Normal"/>
    <w:next w:val="Normal"/>
    <w:autoRedefine/>
    <w:rsid w:val="00A956F2"/>
    <w:pPr>
      <w:ind w:left="1800" w:hanging="200"/>
    </w:pPr>
  </w:style>
  <w:style w:type="paragraph" w:styleId="MacroText">
    <w:name w:val="macro"/>
    <w:link w:val="MacroTextChar"/>
    <w:unhideWhenUsed/>
    <w:rsid w:val="00A956F2"/>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A956F2"/>
    <w:rPr>
      <w:rFonts w:ascii="Courier New" w:eastAsia="Times New Roman" w:hAnsi="Courier New" w:cs="Courier New"/>
      <w:sz w:val="20"/>
      <w:szCs w:val="20"/>
      <w:lang w:eastAsia="en-AU"/>
    </w:rPr>
  </w:style>
  <w:style w:type="paragraph" w:styleId="NormalIndent">
    <w:name w:val="Normal Indent"/>
    <w:basedOn w:val="Normal"/>
    <w:rsid w:val="00A956F2"/>
    <w:pPr>
      <w:ind w:left="567"/>
    </w:pPr>
  </w:style>
  <w:style w:type="paragraph" w:customStyle="1" w:styleId="NoteTableHeading">
    <w:name w:val="Note Table Heading"/>
    <w:basedOn w:val="HeadingBase"/>
    <w:next w:val="Normal"/>
    <w:rsid w:val="00A956F2"/>
    <w:pPr>
      <w:spacing w:before="240"/>
    </w:pPr>
    <w:rPr>
      <w:b/>
      <w:sz w:val="20"/>
    </w:rPr>
  </w:style>
  <w:style w:type="paragraph" w:customStyle="1" w:styleId="OverviewParagraph">
    <w:name w:val="Overview Paragraph"/>
    <w:basedOn w:val="Normal"/>
    <w:rsid w:val="00A956F2"/>
    <w:pPr>
      <w:spacing w:before="120" w:after="120" w:line="240" w:lineRule="auto"/>
    </w:pPr>
  </w:style>
  <w:style w:type="character" w:styleId="PageNumber">
    <w:name w:val="page number"/>
    <w:basedOn w:val="DefaultParagraphFont"/>
    <w:rsid w:val="00A956F2"/>
    <w:rPr>
      <w:rFonts w:ascii="Arial" w:hAnsi="Arial" w:cs="Arial"/>
    </w:rPr>
  </w:style>
  <w:style w:type="paragraph" w:customStyle="1" w:styleId="SingleParagraph">
    <w:name w:val="Single Paragraph"/>
    <w:basedOn w:val="Normal"/>
    <w:rsid w:val="00A956F2"/>
    <w:pPr>
      <w:spacing w:before="0" w:after="0"/>
    </w:pPr>
  </w:style>
  <w:style w:type="paragraph" w:customStyle="1" w:styleId="Source">
    <w:name w:val="Source"/>
    <w:basedOn w:val="Normal"/>
    <w:rsid w:val="00A956F2"/>
    <w:pPr>
      <w:tabs>
        <w:tab w:val="left" w:pos="709"/>
      </w:tabs>
      <w:spacing w:before="30" w:line="240" w:lineRule="auto"/>
      <w:ind w:left="709" w:hanging="709"/>
    </w:pPr>
    <w:rPr>
      <w:rFonts w:ascii="Arial" w:hAnsi="Arial"/>
      <w:sz w:val="16"/>
    </w:rPr>
  </w:style>
  <w:style w:type="paragraph" w:customStyle="1" w:styleId="TableColumnHeadingBase">
    <w:name w:val="Table Column Heading Base"/>
    <w:basedOn w:val="Normal"/>
    <w:rsid w:val="00A956F2"/>
    <w:pPr>
      <w:spacing w:before="40" w:after="40" w:line="240" w:lineRule="auto"/>
    </w:pPr>
    <w:rPr>
      <w:rFonts w:ascii="Arial Bold" w:hAnsi="Arial Bold"/>
      <w:b/>
      <w:sz w:val="16"/>
    </w:rPr>
  </w:style>
  <w:style w:type="paragraph" w:customStyle="1" w:styleId="TableColumnHeadingCentred">
    <w:name w:val="Table Column Heading Centred"/>
    <w:basedOn w:val="TableColumnHeadingBase"/>
    <w:next w:val="Normal"/>
    <w:rsid w:val="00A956F2"/>
    <w:pPr>
      <w:jc w:val="center"/>
    </w:pPr>
  </w:style>
  <w:style w:type="paragraph" w:customStyle="1" w:styleId="TableColumnHeadingLeft">
    <w:name w:val="Table Column Heading Left"/>
    <w:basedOn w:val="TableColumnHeadingBase"/>
    <w:next w:val="Normal"/>
    <w:rsid w:val="00A956F2"/>
  </w:style>
  <w:style w:type="paragraph" w:customStyle="1" w:styleId="TableColumnHeadingRight">
    <w:name w:val="Table Column Heading Right"/>
    <w:basedOn w:val="TableColumnHeadingBase"/>
    <w:next w:val="Normal"/>
    <w:rsid w:val="00A956F2"/>
    <w:pPr>
      <w:jc w:val="right"/>
    </w:pPr>
  </w:style>
  <w:style w:type="paragraph" w:customStyle="1" w:styleId="TableGraphic">
    <w:name w:val="Table Graphic"/>
    <w:basedOn w:val="Normal"/>
    <w:next w:val="Normal"/>
    <w:rsid w:val="00A956F2"/>
    <w:pPr>
      <w:spacing w:after="0" w:line="240" w:lineRule="auto"/>
      <w:ind w:right="-113"/>
    </w:pPr>
  </w:style>
  <w:style w:type="table" w:styleId="TableGrid">
    <w:name w:val="Table Grid"/>
    <w:basedOn w:val="TableNormal"/>
    <w:rsid w:val="00A956F2"/>
    <w:pPr>
      <w:spacing w:after="240" w:line="260" w:lineRule="exact"/>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ingBase"/>
    <w:next w:val="TableGraphic"/>
    <w:link w:val="TableHeadingChar"/>
    <w:qFormat/>
    <w:rsid w:val="00A956F2"/>
    <w:pPr>
      <w:spacing w:before="120" w:after="20"/>
    </w:pPr>
    <w:rPr>
      <w:b/>
      <w:sz w:val="20"/>
    </w:rPr>
  </w:style>
  <w:style w:type="paragraph" w:customStyle="1" w:styleId="TableHeadingcontinued">
    <w:name w:val="Table Heading continued"/>
    <w:basedOn w:val="HeadingBase"/>
    <w:next w:val="TableGraphic"/>
    <w:rsid w:val="00A956F2"/>
    <w:pPr>
      <w:spacing w:before="120" w:after="20"/>
    </w:pPr>
    <w:rPr>
      <w:rFonts w:ascii="Arial Bold" w:hAnsi="Arial Bold"/>
      <w:b/>
      <w:sz w:val="20"/>
    </w:rPr>
  </w:style>
  <w:style w:type="paragraph" w:styleId="TableofFigures">
    <w:name w:val="table of figures"/>
    <w:basedOn w:val="Normal"/>
    <w:next w:val="Normal"/>
    <w:rsid w:val="00A956F2"/>
  </w:style>
  <w:style w:type="paragraph" w:customStyle="1" w:styleId="TableTextBase">
    <w:name w:val="Table Text Base"/>
    <w:basedOn w:val="Normal"/>
    <w:rsid w:val="00A956F2"/>
    <w:pPr>
      <w:spacing w:before="20" w:after="20" w:line="240" w:lineRule="auto"/>
    </w:pPr>
    <w:rPr>
      <w:rFonts w:ascii="Arial" w:hAnsi="Arial"/>
      <w:sz w:val="16"/>
    </w:rPr>
  </w:style>
  <w:style w:type="paragraph" w:customStyle="1" w:styleId="TableTextCentred">
    <w:name w:val="Table Text Centred"/>
    <w:basedOn w:val="TableTextBase"/>
    <w:rsid w:val="00A956F2"/>
    <w:pPr>
      <w:jc w:val="center"/>
    </w:pPr>
  </w:style>
  <w:style w:type="paragraph" w:customStyle="1" w:styleId="TableTextIndented">
    <w:name w:val="Table Text Indented"/>
    <w:basedOn w:val="TableTextBase"/>
    <w:rsid w:val="00A956F2"/>
    <w:pPr>
      <w:ind w:left="284"/>
    </w:pPr>
  </w:style>
  <w:style w:type="paragraph" w:customStyle="1" w:styleId="TableTextLeft">
    <w:name w:val="Table Text Left"/>
    <w:basedOn w:val="TableTextBase"/>
    <w:rsid w:val="00A956F2"/>
  </w:style>
  <w:style w:type="paragraph" w:customStyle="1" w:styleId="TableTextRight">
    <w:name w:val="Table Text Right"/>
    <w:basedOn w:val="TableTextBase"/>
    <w:rsid w:val="00A956F2"/>
    <w:pPr>
      <w:jc w:val="right"/>
    </w:pPr>
  </w:style>
  <w:style w:type="paragraph" w:styleId="TOAHeading">
    <w:name w:val="toa heading"/>
    <w:basedOn w:val="Normal"/>
    <w:next w:val="Normal"/>
    <w:rsid w:val="00A956F2"/>
    <w:pPr>
      <w:spacing w:before="120"/>
    </w:pPr>
    <w:rPr>
      <w:rFonts w:ascii="Arial" w:hAnsi="Arial" w:cs="Arial"/>
      <w:b/>
      <w:bCs/>
      <w:sz w:val="24"/>
      <w:szCs w:val="24"/>
    </w:rPr>
  </w:style>
  <w:style w:type="paragraph" w:styleId="TOC1">
    <w:name w:val="toc 1"/>
    <w:basedOn w:val="HeaderBase"/>
    <w:next w:val="Normal"/>
    <w:uiPriority w:val="2"/>
    <w:rsid w:val="00A956F2"/>
    <w:pPr>
      <w:keepNext/>
      <w:tabs>
        <w:tab w:val="right" w:leader="dot" w:pos="7700"/>
      </w:tabs>
      <w:spacing w:before="240"/>
      <w:ind w:right="851"/>
    </w:pPr>
    <w:rPr>
      <w:rFonts w:ascii="Arial Bold" w:hAnsi="Arial Bold"/>
      <w:b/>
      <w:color w:val="auto"/>
      <w:sz w:val="20"/>
    </w:rPr>
  </w:style>
  <w:style w:type="paragraph" w:styleId="TOC2">
    <w:name w:val="toc 2"/>
    <w:basedOn w:val="HeadingBase"/>
    <w:next w:val="Normal"/>
    <w:uiPriority w:val="2"/>
    <w:rsid w:val="00A956F2"/>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A956F2"/>
    <w:pPr>
      <w:tabs>
        <w:tab w:val="right" w:leader="dot" w:pos="7700"/>
      </w:tabs>
      <w:spacing w:before="40"/>
      <w:ind w:right="851"/>
    </w:pPr>
    <w:rPr>
      <w:sz w:val="20"/>
    </w:rPr>
  </w:style>
  <w:style w:type="paragraph" w:styleId="TOC4">
    <w:name w:val="toc 4"/>
    <w:basedOn w:val="HeadingBase"/>
    <w:next w:val="Normal"/>
    <w:uiPriority w:val="2"/>
    <w:unhideWhenUsed/>
    <w:rsid w:val="00A956F2"/>
    <w:pPr>
      <w:tabs>
        <w:tab w:val="right" w:leader="dot" w:pos="7700"/>
      </w:tabs>
      <w:spacing w:before="40"/>
      <w:ind w:right="851"/>
    </w:pPr>
    <w:rPr>
      <w:sz w:val="20"/>
    </w:rPr>
  </w:style>
  <w:style w:type="paragraph" w:styleId="TOC5">
    <w:name w:val="toc 5"/>
    <w:basedOn w:val="Normal"/>
    <w:next w:val="Normal"/>
    <w:autoRedefine/>
    <w:uiPriority w:val="2"/>
    <w:semiHidden/>
    <w:rsid w:val="00A956F2"/>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semiHidden/>
    <w:rsid w:val="00A956F2"/>
    <w:pPr>
      <w:tabs>
        <w:tab w:val="left" w:pos="851"/>
      </w:tabs>
      <w:ind w:left="851" w:hanging="851"/>
    </w:pPr>
    <w:rPr>
      <w:color w:val="000000"/>
    </w:rPr>
  </w:style>
  <w:style w:type="paragraph" w:styleId="TOC7">
    <w:name w:val="toc 7"/>
    <w:basedOn w:val="Normal"/>
    <w:next w:val="Normal"/>
    <w:autoRedefine/>
    <w:uiPriority w:val="2"/>
    <w:semiHidden/>
    <w:rsid w:val="00A956F2"/>
    <w:pPr>
      <w:ind w:left="1200"/>
    </w:pPr>
  </w:style>
  <w:style w:type="paragraph" w:styleId="TOC8">
    <w:name w:val="toc 8"/>
    <w:basedOn w:val="Normal"/>
    <w:next w:val="Normal"/>
    <w:autoRedefine/>
    <w:uiPriority w:val="2"/>
    <w:semiHidden/>
    <w:rsid w:val="00A956F2"/>
    <w:pPr>
      <w:ind w:left="1400"/>
    </w:pPr>
  </w:style>
  <w:style w:type="paragraph" w:styleId="TOC9">
    <w:name w:val="toc 9"/>
    <w:basedOn w:val="Normal"/>
    <w:next w:val="Normal"/>
    <w:autoRedefine/>
    <w:uiPriority w:val="2"/>
    <w:rsid w:val="00A956F2"/>
    <w:pPr>
      <w:ind w:left="1600"/>
    </w:pPr>
  </w:style>
  <w:style w:type="paragraph" w:customStyle="1" w:styleId="TPHeading1">
    <w:name w:val="TP Heading 1"/>
    <w:basedOn w:val="HeadingBase"/>
    <w:semiHidden/>
    <w:rsid w:val="00A956F2"/>
    <w:pPr>
      <w:spacing w:before="60" w:after="60"/>
      <w:ind w:left="1134"/>
    </w:pPr>
    <w:rPr>
      <w:rFonts w:ascii="Arial Bold" w:hAnsi="Arial Bold"/>
      <w:b/>
      <w:caps/>
      <w:spacing w:val="-10"/>
      <w:sz w:val="28"/>
    </w:rPr>
  </w:style>
  <w:style w:type="paragraph" w:customStyle="1" w:styleId="TPHeading2">
    <w:name w:val="TP Heading 2"/>
    <w:basedOn w:val="HeadingBase"/>
    <w:semiHidden/>
    <w:rsid w:val="00A956F2"/>
    <w:pPr>
      <w:ind w:left="1134"/>
    </w:pPr>
    <w:rPr>
      <w:caps/>
      <w:spacing w:val="-10"/>
      <w:sz w:val="28"/>
    </w:rPr>
  </w:style>
  <w:style w:type="paragraph" w:customStyle="1" w:styleId="TPHeading3">
    <w:name w:val="TP Heading 3"/>
    <w:basedOn w:val="HeadingBase"/>
    <w:semiHidden/>
    <w:rsid w:val="00A956F2"/>
    <w:pPr>
      <w:ind w:left="1134"/>
    </w:pPr>
    <w:rPr>
      <w:caps/>
      <w:spacing w:val="-10"/>
    </w:rPr>
  </w:style>
  <w:style w:type="paragraph" w:customStyle="1" w:styleId="TPHeading3bold">
    <w:name w:val="TP Heading 3 bold"/>
    <w:basedOn w:val="TPHeading3"/>
    <w:semiHidden/>
    <w:rsid w:val="00A956F2"/>
    <w:rPr>
      <w:rFonts w:cs="Arial"/>
      <w:b/>
      <w:sz w:val="22"/>
      <w:szCs w:val="22"/>
    </w:rPr>
  </w:style>
  <w:style w:type="paragraph" w:customStyle="1" w:styleId="TPHEADING3boldspace">
    <w:name w:val="TP HEADING 3 bold space"/>
    <w:basedOn w:val="TPHeading3bold"/>
    <w:semiHidden/>
    <w:rsid w:val="00A956F2"/>
    <w:pPr>
      <w:spacing w:after="120"/>
    </w:pPr>
  </w:style>
  <w:style w:type="paragraph" w:customStyle="1" w:styleId="TPHEADING3space">
    <w:name w:val="TP HEADING 3 space"/>
    <w:basedOn w:val="TPHeading3"/>
    <w:semiHidden/>
    <w:rsid w:val="00A956F2"/>
    <w:pPr>
      <w:spacing w:before="120" w:after="120"/>
    </w:pPr>
    <w:rPr>
      <w:rFonts w:cs="Arial"/>
      <w:sz w:val="22"/>
      <w:szCs w:val="22"/>
    </w:rPr>
  </w:style>
  <w:style w:type="paragraph" w:customStyle="1" w:styleId="TPHeading4">
    <w:name w:val="TP Heading 4"/>
    <w:basedOn w:val="TPHeading3"/>
    <w:semiHidden/>
    <w:rsid w:val="00A956F2"/>
    <w:rPr>
      <w:sz w:val="20"/>
    </w:rPr>
  </w:style>
  <w:style w:type="paragraph" w:customStyle="1" w:styleId="TPHEADING4space">
    <w:name w:val="TP HEADING 4 space"/>
    <w:basedOn w:val="TPHEADING3space"/>
    <w:semiHidden/>
    <w:rsid w:val="00A956F2"/>
  </w:style>
  <w:style w:type="paragraph" w:customStyle="1" w:styleId="ChartLine">
    <w:name w:val="Chart Line"/>
    <w:basedOn w:val="Normal"/>
    <w:autoRedefine/>
    <w:qFormat/>
    <w:rsid w:val="00A956F2"/>
    <w:pPr>
      <w:pBdr>
        <w:bottom w:val="single" w:sz="4" w:space="2" w:color="626A77" w:themeColor="background2" w:themeShade="E6"/>
      </w:pBdr>
      <w:spacing w:before="0" w:line="240" w:lineRule="auto"/>
    </w:pPr>
    <w:rPr>
      <w:noProof/>
      <w:sz w:val="4"/>
      <w:szCs w:val="4"/>
    </w:rPr>
  </w:style>
  <w:style w:type="paragraph" w:customStyle="1" w:styleId="ChartMainHeading">
    <w:name w:val="Chart Main Heading"/>
    <w:basedOn w:val="Normal"/>
    <w:next w:val="ChartGraphic"/>
    <w:rsid w:val="00A956F2"/>
    <w:pPr>
      <w:keepNext/>
      <w:spacing w:before="120" w:after="20" w:line="240" w:lineRule="auto"/>
    </w:pPr>
    <w:rPr>
      <w:rFonts w:asciiTheme="majorHAnsi" w:hAnsiTheme="majorHAnsi"/>
      <w:b/>
      <w:sz w:val="20"/>
    </w:rPr>
  </w:style>
  <w:style w:type="character" w:customStyle="1" w:styleId="BoxHeading-Continued">
    <w:name w:val="Box Heading - Continued"/>
    <w:uiPriority w:val="1"/>
    <w:qFormat/>
    <w:rsid w:val="00A956F2"/>
    <w:rPr>
      <w:sz w:val="16"/>
    </w:rPr>
  </w:style>
  <w:style w:type="paragraph" w:customStyle="1" w:styleId="Box-continuedon">
    <w:name w:val="Box - continued on"/>
    <w:basedOn w:val="Normal"/>
    <w:qFormat/>
    <w:rsid w:val="00A956F2"/>
    <w:pPr>
      <w:jc w:val="right"/>
    </w:pPr>
    <w:rPr>
      <w:rFonts w:asciiTheme="majorHAnsi" w:hAnsiTheme="majorHAnsi" w:cstheme="majorHAnsi"/>
      <w:i/>
      <w:iCs/>
      <w:sz w:val="18"/>
      <w:szCs w:val="24"/>
    </w:rPr>
  </w:style>
  <w:style w:type="paragraph" w:customStyle="1" w:styleId="BoxHeading2">
    <w:name w:val="Box Heading 2"/>
    <w:basedOn w:val="BoxHeading"/>
    <w:autoRedefine/>
    <w:rsid w:val="00A956F2"/>
    <w:pPr>
      <w:spacing w:after="0"/>
    </w:pPr>
    <w:rPr>
      <w:b w:val="0"/>
      <w:bCs/>
      <w:szCs w:val="14"/>
    </w:rPr>
  </w:style>
  <w:style w:type="character" w:customStyle="1" w:styleId="Heading9Char">
    <w:name w:val="Heading 9 Char"/>
    <w:basedOn w:val="DefaultParagraphFont"/>
    <w:link w:val="Heading9"/>
    <w:uiPriority w:val="9"/>
    <w:rsid w:val="00A956F2"/>
    <w:rPr>
      <w:rFonts w:ascii="Cambria" w:eastAsia="Times New Roman" w:hAnsi="Cambria" w:cs="Times New Roman"/>
      <w:lang w:eastAsia="en-AU"/>
    </w:rPr>
  </w:style>
  <w:style w:type="paragraph" w:customStyle="1" w:styleId="GhostLine">
    <w:name w:val="Ghost Line"/>
    <w:basedOn w:val="NoSpacing"/>
    <w:qFormat/>
    <w:rsid w:val="00A956F2"/>
    <w:pPr>
      <w:jc w:val="both"/>
    </w:pPr>
    <w:rPr>
      <w:rFonts w:ascii="Book Antiqua" w:hAnsi="Book Antiqua"/>
      <w:sz w:val="2"/>
    </w:rPr>
  </w:style>
  <w:style w:type="paragraph" w:styleId="NoSpacing">
    <w:name w:val="No Spacing"/>
    <w:uiPriority w:val="1"/>
    <w:qFormat/>
    <w:rsid w:val="00A956F2"/>
    <w:pPr>
      <w:spacing w:after="0" w:line="240" w:lineRule="auto"/>
    </w:pPr>
    <w:rPr>
      <w:rFonts w:eastAsia="Times New Roman" w:cs="Times New Roman"/>
      <w:sz w:val="19"/>
      <w:szCs w:val="20"/>
      <w:lang w:eastAsia="en-AU"/>
    </w:rPr>
  </w:style>
  <w:style w:type="character" w:customStyle="1" w:styleId="BoxTextChar">
    <w:name w:val="Box Text Char"/>
    <w:basedOn w:val="DefaultParagraphFont"/>
    <w:link w:val="BoxText"/>
    <w:rsid w:val="00A956F2"/>
    <w:rPr>
      <w:rFonts w:ascii="Book Antiqua" w:eastAsia="Times New Roman" w:hAnsi="Book Antiqua" w:cs="Times New Roman"/>
      <w:sz w:val="19"/>
      <w:szCs w:val="20"/>
      <w:lang w:eastAsia="en-AU"/>
    </w:rPr>
  </w:style>
  <w:style w:type="paragraph" w:customStyle="1" w:styleId="AppendixHeading">
    <w:name w:val="Appendix Heading"/>
    <w:basedOn w:val="HeadingBase"/>
    <w:rsid w:val="00854009"/>
    <w:pPr>
      <w:spacing w:after="240"/>
      <w:jc w:val="center"/>
      <w:outlineLvl w:val="3"/>
    </w:pPr>
    <w:rPr>
      <w:b/>
      <w:smallCaps/>
      <w:sz w:val="30"/>
    </w:rPr>
  </w:style>
  <w:style w:type="paragraph" w:styleId="BalloonText">
    <w:name w:val="Balloon Text"/>
    <w:basedOn w:val="Normal"/>
    <w:link w:val="BalloonTextChar"/>
    <w:rsid w:val="00854009"/>
    <w:rPr>
      <w:rFonts w:ascii="Tahoma" w:hAnsi="Tahoma" w:cs="Tahoma"/>
      <w:sz w:val="16"/>
      <w:szCs w:val="16"/>
    </w:rPr>
  </w:style>
  <w:style w:type="character" w:customStyle="1" w:styleId="BalloonTextChar">
    <w:name w:val="Balloon Text Char"/>
    <w:basedOn w:val="DefaultParagraphFont"/>
    <w:link w:val="BalloonText"/>
    <w:rsid w:val="00854009"/>
    <w:rPr>
      <w:rFonts w:ascii="Tahoma" w:eastAsia="Times New Roman" w:hAnsi="Tahoma" w:cs="Tahoma"/>
      <w:sz w:val="16"/>
      <w:szCs w:val="16"/>
      <w:lang w:eastAsia="en-AU"/>
    </w:rPr>
  </w:style>
  <w:style w:type="paragraph" w:customStyle="1" w:styleId="BlockedQuotation">
    <w:name w:val="Blocked Quotation"/>
    <w:basedOn w:val="Normal"/>
    <w:rsid w:val="00854009"/>
    <w:pPr>
      <w:ind w:left="567"/>
    </w:pPr>
  </w:style>
  <w:style w:type="paragraph" w:customStyle="1" w:styleId="BoxSubHeading">
    <w:name w:val="Box Sub Heading"/>
    <w:basedOn w:val="Heading6"/>
    <w:rsid w:val="00854009"/>
    <w:pPr>
      <w:spacing w:before="120" w:after="40"/>
    </w:pPr>
  </w:style>
  <w:style w:type="paragraph" w:customStyle="1" w:styleId="ChartHeading">
    <w:name w:val="Chart Heading"/>
    <w:basedOn w:val="HeadingBase"/>
    <w:next w:val="ChartGraphic"/>
    <w:qFormat/>
    <w:rsid w:val="00854009"/>
    <w:pPr>
      <w:spacing w:before="120" w:after="20"/>
      <w:jc w:val="center"/>
    </w:pPr>
    <w:rPr>
      <w:b/>
      <w:sz w:val="20"/>
    </w:rPr>
  </w:style>
  <w:style w:type="paragraph" w:customStyle="1" w:styleId="ContentsnoToC">
    <w:name w:val="Contents no ToC"/>
    <w:basedOn w:val="ContentsHeading"/>
    <w:rsid w:val="00854009"/>
  </w:style>
  <w:style w:type="character" w:styleId="EndnoteReference">
    <w:name w:val="endnote reference"/>
    <w:basedOn w:val="DefaultParagraphFont"/>
    <w:unhideWhenUsed/>
    <w:rsid w:val="00854009"/>
    <w:rPr>
      <w:vertAlign w:val="superscript"/>
    </w:rPr>
  </w:style>
  <w:style w:type="paragraph" w:styleId="EndnoteText">
    <w:name w:val="endnote text"/>
    <w:basedOn w:val="Normal"/>
    <w:link w:val="EndnoteTextChar"/>
    <w:unhideWhenUsed/>
    <w:rsid w:val="00854009"/>
  </w:style>
  <w:style w:type="character" w:customStyle="1" w:styleId="EndnoteTextChar">
    <w:name w:val="Endnote Text Char"/>
    <w:basedOn w:val="DefaultParagraphFont"/>
    <w:link w:val="EndnoteText"/>
    <w:rsid w:val="00854009"/>
    <w:rPr>
      <w:rFonts w:ascii="Book Antiqua" w:eastAsia="Times New Roman" w:hAnsi="Book Antiqua" w:cs="Times New Roman"/>
      <w:sz w:val="19"/>
      <w:szCs w:val="20"/>
      <w:lang w:eastAsia="en-AU"/>
    </w:rPr>
  </w:style>
  <w:style w:type="paragraph" w:styleId="Index1">
    <w:name w:val="index 1"/>
    <w:basedOn w:val="Normal"/>
    <w:next w:val="Normal"/>
    <w:rsid w:val="00854009"/>
    <w:pPr>
      <w:ind w:left="200" w:hanging="200"/>
    </w:pPr>
  </w:style>
  <w:style w:type="paragraph" w:styleId="Index2">
    <w:name w:val="index 2"/>
    <w:basedOn w:val="Normal"/>
    <w:next w:val="Normal"/>
    <w:rsid w:val="00854009"/>
    <w:pPr>
      <w:ind w:left="400" w:hanging="200"/>
    </w:pPr>
  </w:style>
  <w:style w:type="paragraph" w:styleId="Index3">
    <w:name w:val="index 3"/>
    <w:basedOn w:val="Normal"/>
    <w:next w:val="Normal"/>
    <w:rsid w:val="00854009"/>
    <w:pPr>
      <w:ind w:left="600" w:hanging="200"/>
    </w:pPr>
  </w:style>
  <w:style w:type="paragraph" w:styleId="IndexHeading">
    <w:name w:val="index heading"/>
    <w:basedOn w:val="Normal"/>
    <w:next w:val="Index1"/>
    <w:rsid w:val="00854009"/>
    <w:rPr>
      <w:rFonts w:ascii="Arial Bold" w:hAnsi="Arial Bold" w:cs="Arial"/>
      <w:b/>
      <w:bCs/>
      <w:color w:val="002B54"/>
    </w:rPr>
  </w:style>
  <w:style w:type="paragraph" w:customStyle="1" w:styleId="SourceBox">
    <w:name w:val="Source Box"/>
    <w:basedOn w:val="Source"/>
    <w:rsid w:val="00854009"/>
    <w:pPr>
      <w:spacing w:after="120"/>
    </w:pPr>
  </w:style>
  <w:style w:type="paragraph" w:customStyle="1" w:styleId="TableColumnHeadingS118pt">
    <w:name w:val="Table Column Heading S11 8 pt"/>
    <w:basedOn w:val="TableColumnHeadingBase"/>
    <w:rsid w:val="00854009"/>
    <w:pPr>
      <w:spacing w:after="0"/>
    </w:pPr>
    <w:rPr>
      <w:rFonts w:ascii="Arial" w:hAnsi="Arial"/>
    </w:rPr>
  </w:style>
  <w:style w:type="paragraph" w:customStyle="1" w:styleId="TableColumnHeadingS119pt">
    <w:name w:val="Table Column Heading S11 9 pt"/>
    <w:basedOn w:val="TableColumnHeadingBase"/>
    <w:rsid w:val="00854009"/>
    <w:pPr>
      <w:spacing w:before="60" w:after="60"/>
    </w:pPr>
    <w:rPr>
      <w:rFonts w:ascii="Arial" w:hAnsi="Arial"/>
      <w:sz w:val="18"/>
    </w:rPr>
  </w:style>
  <w:style w:type="paragraph" w:styleId="TableofAuthorities">
    <w:name w:val="table of authorities"/>
    <w:basedOn w:val="Normal"/>
    <w:next w:val="Normal"/>
    <w:rsid w:val="00854009"/>
    <w:pPr>
      <w:ind w:left="200" w:hanging="200"/>
    </w:pPr>
  </w:style>
  <w:style w:type="paragraph" w:customStyle="1" w:styleId="Boxcontinuedover">
    <w:name w:val="Box continued over"/>
    <w:basedOn w:val="BoxText"/>
    <w:qFormat/>
    <w:rsid w:val="00854009"/>
    <w:pPr>
      <w:spacing w:before="240" w:after="0"/>
      <w:jc w:val="right"/>
    </w:pPr>
    <w:rPr>
      <w:rFonts w:ascii="Arial" w:hAnsi="Arial"/>
      <w:b/>
      <w:bCs/>
      <w:sz w:val="18"/>
      <w:szCs w:val="16"/>
    </w:rPr>
  </w:style>
  <w:style w:type="paragraph" w:customStyle="1" w:styleId="ContentsSecondHeading">
    <w:name w:val="Contents Second Heading"/>
    <w:basedOn w:val="HeadingBase"/>
    <w:next w:val="Normal"/>
    <w:rsid w:val="00854009"/>
    <w:pPr>
      <w:spacing w:after="360"/>
      <w:jc w:val="center"/>
    </w:pPr>
    <w:rPr>
      <w:color w:val="000000"/>
      <w:sz w:val="30"/>
    </w:rPr>
  </w:style>
  <w:style w:type="paragraph" w:styleId="ListBullet4">
    <w:name w:val="List Bullet 4"/>
    <w:basedOn w:val="Normal"/>
    <w:autoRedefine/>
    <w:rsid w:val="00854009"/>
    <w:pPr>
      <w:tabs>
        <w:tab w:val="num" w:pos="1209"/>
      </w:tabs>
      <w:ind w:left="1209" w:hanging="360"/>
    </w:pPr>
  </w:style>
  <w:style w:type="paragraph" w:customStyle="1" w:styleId="ChartandTableFootnoteAlphaSmall">
    <w:name w:val="Chart and Table Footnote Alpha Small"/>
    <w:basedOn w:val="ChartandTableFootnoteAlpha"/>
    <w:rsid w:val="00854009"/>
    <w:pPr>
      <w:numPr>
        <w:numId w:val="7"/>
      </w:numPr>
    </w:pPr>
    <w:rPr>
      <w:sz w:val="15"/>
    </w:rPr>
  </w:style>
  <w:style w:type="paragraph" w:customStyle="1" w:styleId="Exactly">
    <w:name w:val="Exactly"/>
    <w:basedOn w:val="Normal"/>
    <w:next w:val="Normal"/>
    <w:rsid w:val="00854009"/>
    <w:pPr>
      <w:spacing w:line="240" w:lineRule="auto"/>
    </w:pPr>
  </w:style>
  <w:style w:type="paragraph" w:customStyle="1" w:styleId="SingleParagraph0">
    <w:name w:val="SingleParagraph"/>
    <w:basedOn w:val="Normal"/>
    <w:next w:val="Normal"/>
    <w:rsid w:val="00854009"/>
    <w:pPr>
      <w:spacing w:after="0" w:line="240" w:lineRule="auto"/>
    </w:pPr>
    <w:rPr>
      <w:color w:val="000000"/>
    </w:rPr>
  </w:style>
  <w:style w:type="paragraph" w:customStyle="1" w:styleId="MeasureTableTextLeftAligned">
    <w:name w:val="Measure Table Text Left Aligned"/>
    <w:basedOn w:val="Normal"/>
    <w:rsid w:val="00854009"/>
    <w:pPr>
      <w:spacing w:before="60" w:after="60" w:line="240" w:lineRule="auto"/>
    </w:pPr>
    <w:rPr>
      <w:rFonts w:ascii="Arial" w:hAnsi="Arial"/>
      <w:color w:val="000000"/>
      <w:sz w:val="16"/>
    </w:rPr>
  </w:style>
  <w:style w:type="paragraph" w:customStyle="1" w:styleId="MeasureTableTextRightAligned">
    <w:name w:val="Measure Table Text Right Aligned"/>
    <w:basedOn w:val="Normal"/>
    <w:rsid w:val="00854009"/>
    <w:pPr>
      <w:spacing w:before="60" w:after="60" w:line="240" w:lineRule="auto"/>
      <w:jc w:val="right"/>
    </w:pPr>
    <w:rPr>
      <w:rFonts w:ascii="Arial" w:hAnsi="Arial"/>
      <w:sz w:val="16"/>
    </w:rPr>
  </w:style>
  <w:style w:type="paragraph" w:customStyle="1" w:styleId="Attachmentheading">
    <w:name w:val="Attachment heading"/>
    <w:basedOn w:val="Normal"/>
    <w:next w:val="Normal"/>
    <w:rsid w:val="00854009"/>
    <w:pPr>
      <w:spacing w:line="240" w:lineRule="auto"/>
      <w:jc w:val="right"/>
    </w:pPr>
    <w:rPr>
      <w:rFonts w:ascii="Arial Bold" w:hAnsi="Arial Bold"/>
      <w:b/>
      <w:sz w:val="22"/>
    </w:rPr>
  </w:style>
  <w:style w:type="paragraph" w:customStyle="1" w:styleId="st11summarytableheading1">
    <w:name w:val="st 11 summary table heading 1"/>
    <w:basedOn w:val="Heading5"/>
    <w:rsid w:val="00854009"/>
    <w:pPr>
      <w:spacing w:before="60" w:after="60"/>
    </w:pPr>
    <w:rPr>
      <w:rFonts w:ascii="Arial Bold" w:hAnsi="Arial Bold"/>
      <w:b/>
      <w:i w:val="0"/>
      <w:sz w:val="18"/>
      <w:szCs w:val="18"/>
    </w:rPr>
  </w:style>
  <w:style w:type="paragraph" w:customStyle="1" w:styleId="St11summarytableheading2">
    <w:name w:val="St 11 summary table heading 2"/>
    <w:basedOn w:val="Heading7"/>
    <w:rsid w:val="00854009"/>
    <w:pPr>
      <w:spacing w:before="40"/>
    </w:pPr>
    <w:rPr>
      <w:rFonts w:ascii="Arial Bold" w:hAnsi="Arial Bold"/>
      <w:b/>
      <w:sz w:val="16"/>
      <w:szCs w:val="16"/>
    </w:rPr>
  </w:style>
  <w:style w:type="paragraph" w:customStyle="1" w:styleId="MeasureTableHeading">
    <w:name w:val="Measure Table Heading"/>
    <w:basedOn w:val="Normal"/>
    <w:rsid w:val="00854009"/>
    <w:pPr>
      <w:keepNext/>
      <w:spacing w:after="0" w:line="240" w:lineRule="auto"/>
    </w:pPr>
    <w:rPr>
      <w:rFonts w:ascii="Arial" w:hAnsi="Arial"/>
      <w:sz w:val="16"/>
      <w:szCs w:val="3276"/>
    </w:rPr>
  </w:style>
  <w:style w:type="paragraph" w:customStyle="1" w:styleId="BoxDash">
    <w:name w:val="Box Dash"/>
    <w:basedOn w:val="Normal"/>
    <w:rsid w:val="00854009"/>
    <w:pPr>
      <w:numPr>
        <w:ilvl w:val="1"/>
        <w:numId w:val="8"/>
      </w:numPr>
      <w:tabs>
        <w:tab w:val="clear" w:pos="567"/>
        <w:tab w:val="num" w:pos="283"/>
      </w:tabs>
      <w:ind w:left="283" w:hanging="283"/>
    </w:pPr>
    <w:rPr>
      <w:color w:val="000000"/>
    </w:rPr>
  </w:style>
  <w:style w:type="paragraph" w:customStyle="1" w:styleId="BoxDoubleDot">
    <w:name w:val="Box Double Dot"/>
    <w:basedOn w:val="BoxTextBase"/>
    <w:rsid w:val="00854009"/>
    <w:pPr>
      <w:numPr>
        <w:ilvl w:val="2"/>
        <w:numId w:val="8"/>
      </w:numPr>
      <w:tabs>
        <w:tab w:val="clear" w:pos="850"/>
        <w:tab w:val="num" w:pos="283"/>
      </w:tabs>
      <w:spacing w:before="120" w:after="120"/>
      <w:ind w:left="283"/>
    </w:pPr>
  </w:style>
  <w:style w:type="paragraph" w:customStyle="1" w:styleId="BoxTextBase">
    <w:name w:val="Box Text Base"/>
    <w:basedOn w:val="Normal"/>
    <w:rsid w:val="00854009"/>
    <w:pPr>
      <w:spacing w:line="240" w:lineRule="auto"/>
    </w:pPr>
    <w:rPr>
      <w:color w:val="000000"/>
    </w:rPr>
  </w:style>
  <w:style w:type="paragraph" w:customStyle="1" w:styleId="AppendixBBoxHeading">
    <w:name w:val="Appendix_B_Box_Heading"/>
    <w:basedOn w:val="Heading5"/>
    <w:rsid w:val="00854009"/>
    <w:pPr>
      <w:spacing w:before="120" w:after="80"/>
    </w:pPr>
    <w:rPr>
      <w:b/>
      <w:i w:val="0"/>
    </w:rPr>
  </w:style>
  <w:style w:type="paragraph" w:customStyle="1" w:styleId="OneLevelNumberedParagraph">
    <w:name w:val="One Level Numbered Paragraph"/>
    <w:basedOn w:val="Normal"/>
    <w:rsid w:val="00854009"/>
    <w:pPr>
      <w:numPr>
        <w:numId w:val="9"/>
      </w:numPr>
      <w:tabs>
        <w:tab w:val="clear" w:pos="567"/>
        <w:tab w:val="num" w:pos="360"/>
      </w:tabs>
      <w:ind w:left="0" w:firstLine="0"/>
    </w:pPr>
    <w:rPr>
      <w:color w:val="000000"/>
    </w:rPr>
  </w:style>
  <w:style w:type="paragraph" w:customStyle="1" w:styleId="OutlineNumbered1">
    <w:name w:val="Outline Numbered 1"/>
    <w:basedOn w:val="Normal"/>
    <w:rsid w:val="00854009"/>
    <w:pPr>
      <w:numPr>
        <w:numId w:val="10"/>
      </w:numPr>
      <w:tabs>
        <w:tab w:val="clear" w:pos="567"/>
        <w:tab w:val="num" w:pos="360"/>
      </w:tabs>
      <w:ind w:left="0" w:firstLine="0"/>
    </w:pPr>
    <w:rPr>
      <w:color w:val="000000"/>
    </w:rPr>
  </w:style>
  <w:style w:type="paragraph" w:customStyle="1" w:styleId="OutlineNumbered2">
    <w:name w:val="Outline Numbered 2"/>
    <w:basedOn w:val="Normal"/>
    <w:rsid w:val="00854009"/>
    <w:pPr>
      <w:numPr>
        <w:ilvl w:val="1"/>
        <w:numId w:val="10"/>
      </w:numPr>
      <w:tabs>
        <w:tab w:val="clear" w:pos="1134"/>
        <w:tab w:val="num" w:pos="360"/>
      </w:tabs>
      <w:ind w:left="0" w:firstLine="0"/>
    </w:pPr>
    <w:rPr>
      <w:color w:val="000000"/>
    </w:rPr>
  </w:style>
  <w:style w:type="paragraph" w:customStyle="1" w:styleId="OutlineNumbered3">
    <w:name w:val="Outline Numbered 3"/>
    <w:basedOn w:val="Normal"/>
    <w:rsid w:val="00854009"/>
    <w:pPr>
      <w:numPr>
        <w:ilvl w:val="2"/>
        <w:numId w:val="10"/>
      </w:numPr>
      <w:tabs>
        <w:tab w:val="clear" w:pos="1701"/>
        <w:tab w:val="num" w:pos="360"/>
      </w:tabs>
      <w:ind w:left="0" w:firstLine="0"/>
    </w:pPr>
    <w:rPr>
      <w:color w:val="000000"/>
    </w:rPr>
  </w:style>
  <w:style w:type="paragraph" w:styleId="Title">
    <w:name w:val="Title"/>
    <w:basedOn w:val="Normal"/>
    <w:link w:val="TitleChar"/>
    <w:qFormat/>
    <w:rsid w:val="00854009"/>
    <w:pPr>
      <w:spacing w:after="0" w:line="240" w:lineRule="auto"/>
      <w:jc w:val="center"/>
      <w:outlineLvl w:val="0"/>
    </w:pPr>
    <w:rPr>
      <w:b/>
      <w:kern w:val="28"/>
      <w:sz w:val="52"/>
    </w:rPr>
  </w:style>
  <w:style w:type="character" w:customStyle="1" w:styleId="TitleChar">
    <w:name w:val="Title Char"/>
    <w:basedOn w:val="DefaultParagraphFont"/>
    <w:link w:val="Title"/>
    <w:rsid w:val="00854009"/>
    <w:rPr>
      <w:rFonts w:ascii="Book Antiqua" w:eastAsia="Times New Roman" w:hAnsi="Book Antiqua" w:cs="Times New Roman"/>
      <w:b/>
      <w:kern w:val="28"/>
      <w:sz w:val="52"/>
      <w:szCs w:val="20"/>
      <w:lang w:eastAsia="en-AU"/>
    </w:rPr>
  </w:style>
  <w:style w:type="paragraph" w:customStyle="1" w:styleId="Title2ndLevel">
    <w:name w:val="Title 2nd Level"/>
    <w:basedOn w:val="Normal"/>
    <w:rsid w:val="00854009"/>
    <w:pPr>
      <w:spacing w:after="0" w:line="240" w:lineRule="auto"/>
      <w:jc w:val="center"/>
    </w:pPr>
    <w:rPr>
      <w:sz w:val="24"/>
    </w:rPr>
  </w:style>
  <w:style w:type="paragraph" w:customStyle="1" w:styleId="AppendixBBoxSubHeading">
    <w:name w:val="Appendix_B_Box_SubHeading"/>
    <w:basedOn w:val="Heading6"/>
    <w:rsid w:val="00854009"/>
    <w:pPr>
      <w:spacing w:before="80" w:after="80"/>
    </w:pPr>
  </w:style>
  <w:style w:type="paragraph" w:customStyle="1" w:styleId="Heading2noTOC">
    <w:name w:val="Heading 2 no TOC"/>
    <w:basedOn w:val="Heading2"/>
    <w:qFormat/>
    <w:rsid w:val="00854009"/>
  </w:style>
  <w:style w:type="paragraph" w:customStyle="1" w:styleId="fbo">
    <w:name w:val="fbo"/>
    <w:rsid w:val="00854009"/>
    <w:pPr>
      <w:spacing w:after="240" w:line="260" w:lineRule="exact"/>
      <w:jc w:val="both"/>
    </w:pPr>
    <w:rPr>
      <w:rFonts w:ascii="Book Antiqua" w:eastAsia="Times New Roman" w:hAnsi="Book Antiqua" w:cs="Times New Roman"/>
      <w:sz w:val="20"/>
      <w:szCs w:val="24"/>
    </w:rPr>
  </w:style>
  <w:style w:type="character" w:customStyle="1" w:styleId="ChartandTableFootnoteAlphaChar">
    <w:name w:val="Chart and Table Footnote Alpha Char"/>
    <w:link w:val="ChartandTableFootnoteAlpha"/>
    <w:rsid w:val="00854009"/>
    <w:rPr>
      <w:rFonts w:ascii="Arial" w:eastAsia="Times New Roman" w:hAnsi="Arial" w:cs="Times New Roman"/>
      <w:color w:val="000000"/>
      <w:sz w:val="16"/>
      <w:szCs w:val="20"/>
      <w:lang w:eastAsia="en-AU"/>
    </w:rPr>
  </w:style>
  <w:style w:type="paragraph" w:customStyle="1" w:styleId="TableColumnHeading">
    <w:name w:val="Table Column Heading"/>
    <w:basedOn w:val="Normal"/>
    <w:rsid w:val="00854009"/>
    <w:pPr>
      <w:spacing w:before="40" w:after="40" w:line="240" w:lineRule="auto"/>
    </w:pPr>
    <w:rPr>
      <w:rFonts w:ascii="Arial" w:hAnsi="Arial"/>
      <w:b/>
      <w:color w:val="000000"/>
      <w:sz w:val="16"/>
    </w:rPr>
  </w:style>
  <w:style w:type="character" w:customStyle="1" w:styleId="TableHeadingChar">
    <w:name w:val="Table Heading Char"/>
    <w:link w:val="TableHeading"/>
    <w:rsid w:val="00854009"/>
    <w:rPr>
      <w:rFonts w:ascii="Arial" w:eastAsia="Times New Roman" w:hAnsi="Arial" w:cs="Times New Roman"/>
      <w:b/>
      <w:sz w:val="20"/>
      <w:szCs w:val="20"/>
      <w:lang w:eastAsia="en-AU"/>
    </w:rPr>
  </w:style>
  <w:style w:type="paragraph" w:customStyle="1" w:styleId="NoteHeading1">
    <w:name w:val="Note Heading1"/>
    <w:basedOn w:val="NoteTableHeading"/>
    <w:rsid w:val="00854009"/>
    <w:pPr>
      <w:spacing w:before="0" w:after="240"/>
    </w:pPr>
  </w:style>
  <w:style w:type="paragraph" w:customStyle="1" w:styleId="NoteTableHeadingnospaceabove">
    <w:name w:val="Note Table Heading no space above"/>
    <w:basedOn w:val="NoteTableHeading"/>
    <w:rsid w:val="00854009"/>
    <w:pPr>
      <w:spacing w:before="0"/>
    </w:pPr>
  </w:style>
  <w:style w:type="paragraph" w:styleId="Revision">
    <w:name w:val="Revision"/>
    <w:hidden/>
    <w:uiPriority w:val="99"/>
    <w:semiHidden/>
    <w:rsid w:val="00854009"/>
    <w:pPr>
      <w:spacing w:after="0" w:line="240" w:lineRule="auto"/>
    </w:pPr>
    <w:rPr>
      <w:rFonts w:ascii="Book Antiqua" w:eastAsia="Times New Roman" w:hAnsi="Book Antiqua" w:cs="Times New Roman"/>
      <w:sz w:val="20"/>
      <w:szCs w:val="24"/>
    </w:rPr>
  </w:style>
  <w:style w:type="character" w:styleId="LineNumber">
    <w:name w:val="line number"/>
    <w:basedOn w:val="DefaultParagraphFont"/>
    <w:rsid w:val="00854009"/>
  </w:style>
  <w:style w:type="paragraph" w:styleId="NormalWeb">
    <w:name w:val="Normal (Web)"/>
    <w:basedOn w:val="Normal"/>
    <w:rsid w:val="00854009"/>
    <w:rPr>
      <w:rFonts w:ascii="Times New Roman" w:hAnsi="Times New Roman"/>
      <w:sz w:val="24"/>
    </w:rPr>
  </w:style>
  <w:style w:type="paragraph" w:customStyle="1" w:styleId="Normal-Indent">
    <w:name w:val="Normal - Indent"/>
    <w:basedOn w:val="Normal"/>
    <w:rsid w:val="00854009"/>
    <w:pPr>
      <w:spacing w:after="120"/>
      <w:ind w:left="284"/>
    </w:pPr>
  </w:style>
  <w:style w:type="paragraph" w:customStyle="1" w:styleId="Normal-Indent-Italics">
    <w:name w:val="Normal - Indent - Italics"/>
    <w:basedOn w:val="Normal"/>
    <w:rsid w:val="00854009"/>
    <w:pPr>
      <w:spacing w:after="120"/>
      <w:ind w:left="284"/>
    </w:pPr>
    <w:rPr>
      <w:i/>
    </w:rPr>
  </w:style>
  <w:style w:type="paragraph" w:styleId="ListParagraph">
    <w:name w:val="List Paragraph"/>
    <w:basedOn w:val="Normal"/>
    <w:uiPriority w:val="34"/>
    <w:qFormat/>
    <w:rsid w:val="00854009"/>
    <w:pPr>
      <w:ind w:left="720"/>
      <w:contextualSpacing/>
    </w:pPr>
  </w:style>
  <w:style w:type="character" w:styleId="UnresolvedMention">
    <w:name w:val="Unresolved Mention"/>
    <w:basedOn w:val="DefaultParagraphFont"/>
    <w:uiPriority w:val="99"/>
    <w:semiHidden/>
    <w:unhideWhenUsed/>
    <w:rsid w:val="00854009"/>
    <w:rPr>
      <w:color w:val="605E5C"/>
      <w:shd w:val="clear" w:color="auto" w:fill="E1DFDD"/>
    </w:rPr>
  </w:style>
  <w:style w:type="character" w:styleId="FollowedHyperlink">
    <w:name w:val="FollowedHyperlink"/>
    <w:basedOn w:val="DefaultParagraphFont"/>
    <w:uiPriority w:val="99"/>
    <w:semiHidden/>
    <w:unhideWhenUsed/>
    <w:rsid w:val="00854009"/>
    <w:rPr>
      <w:color w:val="E61E26" w:themeColor="followedHyperlink"/>
      <w:u w:val="single"/>
    </w:rPr>
  </w:style>
  <w:style w:type="character" w:styleId="PlaceholderText">
    <w:name w:val="Placeholder Text"/>
    <w:basedOn w:val="DefaultParagraphFont"/>
    <w:uiPriority w:val="99"/>
    <w:semiHidden/>
    <w:rsid w:val="00854009"/>
    <w:rPr>
      <w:color w:val="808080"/>
    </w:rPr>
  </w:style>
  <w:style w:type="paragraph" w:customStyle="1" w:styleId="TableTextLeft-Indent">
    <w:name w:val="Table Text Left - Indent"/>
    <w:basedOn w:val="TableTextLeft"/>
    <w:rsid w:val="000E79F5"/>
    <w:pPr>
      <w:ind w:left="317" w:hanging="142"/>
    </w:pPr>
    <w:rPr>
      <w:rFonts w:eastAsia="Calibri"/>
    </w:rPr>
  </w:style>
  <w:style w:type="character" w:customStyle="1" w:styleId="null">
    <w:name w:val="null"/>
    <w:basedOn w:val="DefaultParagraphFont"/>
    <w:rsid w:val="00E6173B"/>
  </w:style>
  <w:style w:type="character" w:customStyle="1" w:styleId="ui-provider">
    <w:name w:val="ui-provider"/>
    <w:basedOn w:val="DefaultParagraphFont"/>
    <w:rsid w:val="00E6173B"/>
  </w:style>
  <w:style w:type="character" w:styleId="Mention">
    <w:name w:val="Mention"/>
    <w:basedOn w:val="DefaultParagraphFont"/>
    <w:uiPriority w:val="99"/>
    <w:unhideWhenUsed/>
    <w:rsid w:val="00445363"/>
    <w:rPr>
      <w:color w:val="2B579A"/>
      <w:shd w:val="clear" w:color="auto" w:fill="E1DFDD"/>
    </w:rPr>
  </w:style>
  <w:style w:type="character" w:styleId="Emphasis">
    <w:name w:val="Emphasis"/>
    <w:basedOn w:val="DefaultParagraphFont"/>
    <w:uiPriority w:val="20"/>
    <w:rsid w:val="006561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936085">
      <w:bodyDiv w:val="1"/>
      <w:marLeft w:val="0"/>
      <w:marRight w:val="0"/>
      <w:marTop w:val="0"/>
      <w:marBottom w:val="0"/>
      <w:divBdr>
        <w:top w:val="none" w:sz="0" w:space="0" w:color="auto"/>
        <w:left w:val="none" w:sz="0" w:space="0" w:color="auto"/>
        <w:bottom w:val="none" w:sz="0" w:space="0" w:color="auto"/>
        <w:right w:val="none" w:sz="0" w:space="0" w:color="auto"/>
      </w:divBdr>
    </w:div>
    <w:div w:id="547305590">
      <w:bodyDiv w:val="1"/>
      <w:marLeft w:val="0"/>
      <w:marRight w:val="0"/>
      <w:marTop w:val="0"/>
      <w:marBottom w:val="0"/>
      <w:divBdr>
        <w:top w:val="none" w:sz="0" w:space="0" w:color="auto"/>
        <w:left w:val="none" w:sz="0" w:space="0" w:color="auto"/>
        <w:bottom w:val="none" w:sz="0" w:space="0" w:color="auto"/>
        <w:right w:val="none" w:sz="0" w:space="0" w:color="auto"/>
      </w:divBdr>
    </w:div>
    <w:div w:id="625937221">
      <w:bodyDiv w:val="1"/>
      <w:marLeft w:val="0"/>
      <w:marRight w:val="0"/>
      <w:marTop w:val="0"/>
      <w:marBottom w:val="0"/>
      <w:divBdr>
        <w:top w:val="none" w:sz="0" w:space="0" w:color="auto"/>
        <w:left w:val="none" w:sz="0" w:space="0" w:color="auto"/>
        <w:bottom w:val="none" w:sz="0" w:space="0" w:color="auto"/>
        <w:right w:val="none" w:sz="0" w:space="0" w:color="auto"/>
      </w:divBdr>
    </w:div>
    <w:div w:id="946544535">
      <w:bodyDiv w:val="1"/>
      <w:marLeft w:val="0"/>
      <w:marRight w:val="0"/>
      <w:marTop w:val="0"/>
      <w:marBottom w:val="0"/>
      <w:divBdr>
        <w:top w:val="none" w:sz="0" w:space="0" w:color="auto"/>
        <w:left w:val="none" w:sz="0" w:space="0" w:color="auto"/>
        <w:bottom w:val="none" w:sz="0" w:space="0" w:color="auto"/>
        <w:right w:val="none" w:sz="0" w:space="0" w:color="auto"/>
      </w:divBdr>
    </w:div>
    <w:div w:id="983192773">
      <w:bodyDiv w:val="1"/>
      <w:marLeft w:val="0"/>
      <w:marRight w:val="0"/>
      <w:marTop w:val="0"/>
      <w:marBottom w:val="0"/>
      <w:divBdr>
        <w:top w:val="none" w:sz="0" w:space="0" w:color="auto"/>
        <w:left w:val="none" w:sz="0" w:space="0" w:color="auto"/>
        <w:bottom w:val="none" w:sz="0" w:space="0" w:color="auto"/>
        <w:right w:val="none" w:sz="0" w:space="0" w:color="auto"/>
      </w:divBdr>
    </w:div>
    <w:div w:id="1050569443">
      <w:bodyDiv w:val="1"/>
      <w:marLeft w:val="0"/>
      <w:marRight w:val="0"/>
      <w:marTop w:val="0"/>
      <w:marBottom w:val="0"/>
      <w:divBdr>
        <w:top w:val="none" w:sz="0" w:space="0" w:color="auto"/>
        <w:left w:val="none" w:sz="0" w:space="0" w:color="auto"/>
        <w:bottom w:val="none" w:sz="0" w:space="0" w:color="auto"/>
        <w:right w:val="none" w:sz="0" w:space="0" w:color="auto"/>
      </w:divBdr>
    </w:div>
    <w:div w:id="1212116329">
      <w:bodyDiv w:val="1"/>
      <w:marLeft w:val="0"/>
      <w:marRight w:val="0"/>
      <w:marTop w:val="0"/>
      <w:marBottom w:val="0"/>
      <w:divBdr>
        <w:top w:val="none" w:sz="0" w:space="0" w:color="auto"/>
        <w:left w:val="none" w:sz="0" w:space="0" w:color="auto"/>
        <w:bottom w:val="none" w:sz="0" w:space="0" w:color="auto"/>
        <w:right w:val="none" w:sz="0" w:space="0" w:color="auto"/>
      </w:divBdr>
    </w:div>
    <w:div w:id="1438712895">
      <w:bodyDiv w:val="1"/>
      <w:marLeft w:val="0"/>
      <w:marRight w:val="0"/>
      <w:marTop w:val="0"/>
      <w:marBottom w:val="0"/>
      <w:divBdr>
        <w:top w:val="none" w:sz="0" w:space="0" w:color="auto"/>
        <w:left w:val="none" w:sz="0" w:space="0" w:color="auto"/>
        <w:bottom w:val="none" w:sz="0" w:space="0" w:color="auto"/>
        <w:right w:val="none" w:sz="0" w:space="0" w:color="auto"/>
      </w:divBdr>
    </w:div>
    <w:div w:id="153055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udget">
      <a:dk1>
        <a:sysClr val="windowText" lastClr="000000"/>
      </a:dk1>
      <a:lt1>
        <a:sysClr val="window" lastClr="FFFFFF"/>
      </a:lt1>
      <a:dk2>
        <a:srgbClr val="002A54"/>
      </a:dk2>
      <a:lt2>
        <a:srgbClr val="6D7684"/>
      </a:lt2>
      <a:accent1>
        <a:srgbClr val="0364C3"/>
      </a:accent1>
      <a:accent2>
        <a:srgbClr val="BE5154"/>
      </a:accent2>
      <a:accent3>
        <a:srgbClr val="844D9E"/>
      </a:accent3>
      <a:accent4>
        <a:srgbClr val="00818F"/>
      </a:accent4>
      <a:accent5>
        <a:srgbClr val="213657"/>
      </a:accent5>
      <a:accent6>
        <a:srgbClr val="02843D"/>
      </a:accent6>
      <a:hlink>
        <a:srgbClr val="3A6FAF"/>
      </a:hlink>
      <a:folHlink>
        <a:srgbClr val="E61E26"/>
      </a:folHlink>
    </a:clrScheme>
    <a:fontScheme name="Budget">
      <a:majorFont>
        <a:latin typeface="Arial"/>
        <a:ea typeface=""/>
        <a:cs typeface=""/>
      </a:majorFont>
      <a:minorFont>
        <a:latin typeface="Book Antiqu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13889</Words>
  <Characters>79170</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Mid-Year Economic and Fiscal Outlook 2024–25</vt:lpstr>
    </vt:vector>
  </TitlesOfParts>
  <Company/>
  <LinksUpToDate>false</LinksUpToDate>
  <CharactersWithSpaces>92874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Mid-Year Economic and Fiscal Outlook 2024–25</dc:title>
  <dc:subject>Part 6: Statement of Risks</dc:subject>
  <dc:creator/>
  <cp:keywords/>
  <dc:description/>
  <cp:lastModifiedBy/>
  <cp:revision>1</cp:revision>
  <dcterms:created xsi:type="dcterms:W3CDTF">2024-12-16T23:36:00Z</dcterms:created>
  <dcterms:modified xsi:type="dcterms:W3CDTF">2024-12-16T23:36:00Z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2024-12-16T23:37:03Z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34e0cc83-ee7d-45d5-a2c3-527bfb1c34d7</vt:lpwstr>
  </property>
  <property fmtid="{D5CDD505-2E9C-101B-9397-08002B2CF9AE}" pid="8" name="MSIP_Label_4f932d64-9ab1-4d9b-81d2-a3a8b82dd47d_ContentBits">
    <vt:lpwstr>0</vt:lpwstr>
  </property>
</Properties>
</file>