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9786" w14:textId="436517F8" w:rsidR="002B5F78" w:rsidRPr="00BE2F4C" w:rsidRDefault="00334F14" w:rsidP="008E3BE2">
      <w:pPr>
        <w:pStyle w:val="Heading1"/>
      </w:pPr>
      <w:r w:rsidRPr="00BE2F4C">
        <w:t xml:space="preserve">Part </w:t>
      </w:r>
      <w:r w:rsidR="00335985" w:rsidRPr="00BE2F4C">
        <w:t>3</w:t>
      </w:r>
      <w:r w:rsidRPr="00BE2F4C">
        <w:t xml:space="preserve">: </w:t>
      </w:r>
      <w:r w:rsidR="00335985" w:rsidRPr="00BE2F4C">
        <w:t>Fiscal Strategy and Outlook</w:t>
      </w:r>
    </w:p>
    <w:p w14:paraId="307EC152" w14:textId="2DEC78C4" w:rsidR="00D63C70" w:rsidRPr="0058018F" w:rsidRDefault="00D63C70" w:rsidP="00D63C70">
      <w:pPr>
        <w:pStyle w:val="Heading2"/>
      </w:pPr>
      <w:bookmarkStart w:id="0" w:name="_Toc148428059"/>
      <w:r w:rsidRPr="0058018F">
        <w:t>Overview</w:t>
      </w:r>
      <w:bookmarkEnd w:id="0"/>
    </w:p>
    <w:p w14:paraId="5AFCF8E4" w14:textId="57C1126D" w:rsidR="00402AEA" w:rsidRPr="001D2F08" w:rsidRDefault="00B61764" w:rsidP="00B61764">
      <w:r w:rsidRPr="00205DD5">
        <w:t xml:space="preserve">The Government’s responsible economic and fiscal management has delivered </w:t>
      </w:r>
      <w:r w:rsidR="00111E62" w:rsidRPr="00205DD5">
        <w:t xml:space="preserve">the first </w:t>
      </w:r>
      <w:r w:rsidRPr="00205DD5">
        <w:t>back</w:t>
      </w:r>
      <w:r w:rsidR="00A175B9" w:rsidRPr="00205DD5">
        <w:noBreakHyphen/>
      </w:r>
      <w:r w:rsidRPr="00205DD5">
        <w:t>to</w:t>
      </w:r>
      <w:r w:rsidR="00A175B9" w:rsidRPr="00205DD5">
        <w:noBreakHyphen/>
      </w:r>
      <w:r w:rsidRPr="00205DD5">
        <w:t>back budget surpluses in nearly two decades</w:t>
      </w:r>
      <w:r w:rsidR="00AA20EB" w:rsidRPr="00205DD5">
        <w:t xml:space="preserve">, </w:t>
      </w:r>
      <w:r w:rsidR="00354C12" w:rsidRPr="00205DD5">
        <w:t>the largest nominal budget impro</w:t>
      </w:r>
      <w:r w:rsidR="003877BF" w:rsidRPr="00205DD5">
        <w:t>vement in a Parliamentary term</w:t>
      </w:r>
      <w:bookmarkStart w:id="1" w:name="_Hlk184725638"/>
      <w:r w:rsidR="00111E62">
        <w:t xml:space="preserve"> </w:t>
      </w:r>
      <w:r w:rsidR="00111E62" w:rsidRPr="00205DD5">
        <w:t>and has</w:t>
      </w:r>
      <w:r w:rsidR="00696C79" w:rsidRPr="00205DD5">
        <w:t xml:space="preserve"> </w:t>
      </w:r>
      <w:r w:rsidRPr="00205DD5">
        <w:t>helped return inflation to the target band for the first time since 2021</w:t>
      </w:r>
      <w:r w:rsidR="00111E62" w:rsidRPr="00205DD5">
        <w:t>.</w:t>
      </w:r>
      <w:r w:rsidR="005037B3" w:rsidRPr="001D2F08">
        <w:t xml:space="preserve"> </w:t>
      </w:r>
      <w:r w:rsidR="005B1035" w:rsidRPr="00205DD5">
        <w:t xml:space="preserve">Relative to the 2022 Pre-Election Economic and Fiscal Outlook (PEFO), the underlying cash balance </w:t>
      </w:r>
      <w:r w:rsidR="00C73509" w:rsidRPr="00205DD5">
        <w:t xml:space="preserve">is forecast to </w:t>
      </w:r>
      <w:r w:rsidR="005B1035" w:rsidRPr="00205DD5">
        <w:t xml:space="preserve">improve by </w:t>
      </w:r>
      <w:r w:rsidR="00E57760" w:rsidRPr="00205DD5">
        <w:t xml:space="preserve">around </w:t>
      </w:r>
      <w:r w:rsidR="005B1035" w:rsidRPr="00205DD5">
        <w:t>$200</w:t>
      </w:r>
      <w:r w:rsidR="00EF6B3F" w:rsidRPr="00205DD5">
        <w:t> </w:t>
      </w:r>
      <w:r w:rsidR="005B1035" w:rsidRPr="00205DD5">
        <w:t>billion over the six years to 2027</w:t>
      </w:r>
      <w:r w:rsidR="0040378C" w:rsidRPr="00205DD5">
        <w:t>–</w:t>
      </w:r>
      <w:r w:rsidR="005B1035" w:rsidRPr="00205DD5">
        <w:t>28 and gross debt is expected to be $</w:t>
      </w:r>
      <w:r w:rsidR="00C329B3" w:rsidRPr="00205DD5">
        <w:t>177 </w:t>
      </w:r>
      <w:r w:rsidR="005B1035" w:rsidRPr="00205DD5">
        <w:t xml:space="preserve">billion lower </w:t>
      </w:r>
      <w:r w:rsidR="005B1035" w:rsidRPr="00205DD5" w:rsidDel="00F00DD1">
        <w:t>in 2024</w:t>
      </w:r>
      <w:r w:rsidR="0040378C" w:rsidRPr="00205DD5">
        <w:t>–</w:t>
      </w:r>
      <w:r w:rsidR="005B1035" w:rsidRPr="00205DD5" w:rsidDel="00F00DD1">
        <w:t>25</w:t>
      </w:r>
      <w:r w:rsidR="005B1035" w:rsidRPr="00205DD5">
        <w:t>.</w:t>
      </w:r>
    </w:p>
    <w:p w14:paraId="404190C4" w14:textId="0642F6A3" w:rsidR="003A066D" w:rsidRPr="001D2F08" w:rsidRDefault="009E4264" w:rsidP="00870C17">
      <w:r w:rsidRPr="00205DD5">
        <w:t>This responsible approach has continued in the 2024</w:t>
      </w:r>
      <w:r w:rsidR="00A154F4" w:rsidRPr="00205DD5">
        <w:t>–</w:t>
      </w:r>
      <w:r w:rsidRPr="00205DD5">
        <w:t>25 Mid-Year Economic and Fiscal Outlook (MYEFO). A deficit of $26.9 billion is forecast for 2024–25 (Table 3.1), $20 billion lower than the deficit forecast at the PEFO and $1.3 billion lower than the Budget.</w:t>
      </w:r>
      <w:bookmarkEnd w:id="1"/>
    </w:p>
    <w:p w14:paraId="52559F73" w14:textId="5D4FCB2F" w:rsidR="00870C17" w:rsidRPr="001D2F08" w:rsidRDefault="00870C17" w:rsidP="00870C17">
      <w:r w:rsidRPr="00205DD5">
        <w:t>The</w:t>
      </w:r>
      <w:r w:rsidR="0095150C" w:rsidRPr="00205DD5">
        <w:t xml:space="preserve"> </w:t>
      </w:r>
      <w:r w:rsidR="0095150C" w:rsidRPr="00205DD5" w:rsidDel="00E0652D">
        <w:t>fiscal outlook</w:t>
      </w:r>
      <w:r w:rsidRPr="00205DD5" w:rsidDel="00E0652D">
        <w:t xml:space="preserve"> </w:t>
      </w:r>
      <w:r w:rsidR="00A131CA" w:rsidRPr="00205DD5">
        <w:t xml:space="preserve">for the </w:t>
      </w:r>
      <w:r w:rsidR="007C63A6" w:rsidRPr="00205DD5">
        <w:t>underlying cash balance</w:t>
      </w:r>
      <w:r w:rsidRPr="00205DD5">
        <w:t xml:space="preserve"> is better </w:t>
      </w:r>
      <w:r w:rsidR="001D180E" w:rsidRPr="00205DD5">
        <w:t xml:space="preserve">over the </w:t>
      </w:r>
      <w:r w:rsidR="003338AB" w:rsidRPr="00205DD5">
        <w:t xml:space="preserve">medium term </w:t>
      </w:r>
      <w:r w:rsidRPr="00205DD5">
        <w:t xml:space="preserve">than </w:t>
      </w:r>
      <w:r w:rsidR="00B04079" w:rsidRPr="00205DD5">
        <w:t xml:space="preserve">the </w:t>
      </w:r>
      <w:r w:rsidRPr="00205DD5">
        <w:t>PEFO and broadly unchanged since the 2024–25 Budget. The underlying cash</w:t>
      </w:r>
      <w:r w:rsidRPr="00205DD5" w:rsidDel="00EB23D3">
        <w:t xml:space="preserve"> </w:t>
      </w:r>
      <w:r w:rsidR="00EB23D3" w:rsidRPr="00205DD5">
        <w:t>balance</w:t>
      </w:r>
      <w:r w:rsidRPr="00205DD5">
        <w:t xml:space="preserve"> is projected to improve over the medium term</w:t>
      </w:r>
      <w:r w:rsidR="00845099" w:rsidRPr="00205DD5">
        <w:t>,</w:t>
      </w:r>
      <w:r w:rsidRPr="00205DD5">
        <w:t xml:space="preserve"> </w:t>
      </w:r>
      <w:r w:rsidR="00A73E74" w:rsidRPr="00205DD5">
        <w:t xml:space="preserve">returning </w:t>
      </w:r>
      <w:r w:rsidR="00901493" w:rsidRPr="00205DD5">
        <w:t>to</w:t>
      </w:r>
      <w:r w:rsidR="00901493" w:rsidRPr="00205DD5" w:rsidDel="00481F76">
        <w:t xml:space="preserve"> </w:t>
      </w:r>
      <w:r w:rsidR="008E0CDF" w:rsidRPr="00205DD5">
        <w:t>balance</w:t>
      </w:r>
      <w:r w:rsidRPr="00205DD5">
        <w:t xml:space="preserve"> </w:t>
      </w:r>
      <w:r w:rsidR="00395466" w:rsidRPr="00205DD5">
        <w:t xml:space="preserve">by </w:t>
      </w:r>
      <w:r w:rsidRPr="00205DD5">
        <w:t xml:space="preserve">2034–35. Gross debt is expected to stabilise at 36.7 per cent of GDP </w:t>
      </w:r>
      <w:r w:rsidR="00201606" w:rsidRPr="00205DD5">
        <w:t>from</w:t>
      </w:r>
      <w:r w:rsidRPr="00205DD5">
        <w:t xml:space="preserve"> 2026–27, broadly in line with the Budget </w:t>
      </w:r>
      <w:r w:rsidR="0076175C" w:rsidRPr="00205DD5">
        <w:t xml:space="preserve">and </w:t>
      </w:r>
      <w:r w:rsidR="00D92E3C" w:rsidRPr="00205DD5">
        <w:t>8</w:t>
      </w:r>
      <w:r w:rsidR="009F29FB" w:rsidRPr="00205DD5">
        <w:t>.2</w:t>
      </w:r>
      <w:r w:rsidR="00D92E3C" w:rsidRPr="00205DD5">
        <w:t xml:space="preserve"> </w:t>
      </w:r>
      <w:r w:rsidR="0076175C" w:rsidRPr="00205DD5">
        <w:t xml:space="preserve">percentage points lower than the peak in the PEFO, </w:t>
      </w:r>
      <w:r w:rsidRPr="00205DD5">
        <w:t>before declining to 31.4</w:t>
      </w:r>
      <w:r w:rsidR="00E74805" w:rsidRPr="00205DD5">
        <w:t> </w:t>
      </w:r>
      <w:r w:rsidRPr="00205DD5">
        <w:t>per cent of GDP by 2034–35.</w:t>
      </w:r>
      <w:r w:rsidRPr="001D2F08">
        <w:t xml:space="preserve"> </w:t>
      </w:r>
    </w:p>
    <w:p w14:paraId="62AFFE42" w14:textId="461A82AF" w:rsidR="00B61764" w:rsidRPr="001D2F08" w:rsidRDefault="00870C17" w:rsidP="00B61764">
      <w:r w:rsidRPr="00205DD5">
        <w:t xml:space="preserve">The </w:t>
      </w:r>
      <w:r w:rsidR="006E1144" w:rsidRPr="00205DD5">
        <w:t>budget</w:t>
      </w:r>
      <w:r w:rsidRPr="00205DD5">
        <w:t xml:space="preserve"> faces structural pressures in coming years, including the challenges posed by climate change, an ageing population, regional security, rising demand for care and support services,</w:t>
      </w:r>
      <w:r w:rsidRPr="00205DD5" w:rsidDel="007721FE">
        <w:t xml:space="preserve"> and interest on government </w:t>
      </w:r>
      <w:r w:rsidRPr="00205DD5">
        <w:t>debt.</w:t>
      </w:r>
      <w:r w:rsidRPr="001D2F08">
        <w:t xml:space="preserve"> </w:t>
      </w:r>
      <w:r w:rsidRPr="00205DD5">
        <w:t xml:space="preserve">The Government has made significant progress in addressing the largest structural spending pressures including interest costs on debt, the National Disability Insurance Scheme </w:t>
      </w:r>
      <w:r w:rsidR="00651D93" w:rsidRPr="00205DD5">
        <w:t>(NDIS)</w:t>
      </w:r>
      <w:r w:rsidRPr="00205DD5">
        <w:t xml:space="preserve"> and aged care.</w:t>
      </w:r>
    </w:p>
    <w:p w14:paraId="443900A9" w14:textId="1DBEE148" w:rsidR="00B61764" w:rsidRPr="001D2F08" w:rsidRDefault="00B61764" w:rsidP="00B61764">
      <w:r w:rsidRPr="00205DD5">
        <w:t>The Government is delivering on its Economic and Fiscal Strategy</w:t>
      </w:r>
      <w:r w:rsidRPr="001D2F08">
        <w:t xml:space="preserve"> </w:t>
      </w:r>
      <w:r w:rsidRPr="00205DD5">
        <w:t xml:space="preserve">and continues to </w:t>
      </w:r>
      <w:r w:rsidR="007A30EF" w:rsidRPr="00205DD5">
        <w:t>ensure fiscal policy is consistent with bringing inflation sustainably back to target.</w:t>
      </w:r>
      <w:r w:rsidR="007A30EF" w:rsidRPr="001D2F08">
        <w:t xml:space="preserve"> </w:t>
      </w:r>
      <w:r w:rsidRPr="00205DD5">
        <w:t xml:space="preserve">Average </w:t>
      </w:r>
      <w:r w:rsidR="00E926E9" w:rsidRPr="00205DD5">
        <w:t xml:space="preserve">annual </w:t>
      </w:r>
      <w:r w:rsidRPr="00205DD5">
        <w:t xml:space="preserve">real spending growth is limited to </w:t>
      </w:r>
      <w:r w:rsidR="005C4E3C" w:rsidRPr="00205DD5">
        <w:t>1.5</w:t>
      </w:r>
      <w:r w:rsidRPr="00205DD5">
        <w:t xml:space="preserve"> per cent over the six years to 2027</w:t>
      </w:r>
      <w:r w:rsidR="00DF205A" w:rsidRPr="00205DD5">
        <w:t>–</w:t>
      </w:r>
      <w:r w:rsidRPr="00205DD5">
        <w:t>28, around half of the 30-year average.</w:t>
      </w:r>
      <w:r w:rsidRPr="001D2F08">
        <w:t xml:space="preserve"> </w:t>
      </w:r>
      <w:r w:rsidR="004A408D" w:rsidRPr="00205DD5">
        <w:t xml:space="preserve">This </w:t>
      </w:r>
      <w:r w:rsidR="008B67CF" w:rsidRPr="00205DD5">
        <w:t>MYEFO includes $</w:t>
      </w:r>
      <w:r w:rsidR="004C7988" w:rsidRPr="00205DD5">
        <w:t>15.1</w:t>
      </w:r>
      <w:r w:rsidR="008B67CF" w:rsidRPr="00205DD5">
        <w:t xml:space="preserve"> billion in budget improvements, including </w:t>
      </w:r>
      <w:r w:rsidRPr="00205DD5">
        <w:t>$</w:t>
      </w:r>
      <w:r w:rsidR="00944BF8" w:rsidRPr="00205DD5">
        <w:t>14.6</w:t>
      </w:r>
      <w:r w:rsidR="00B16454" w:rsidRPr="00205DD5">
        <w:t> </w:t>
      </w:r>
      <w:r w:rsidRPr="00205DD5">
        <w:t>billion in savings and reprioritisations</w:t>
      </w:r>
      <w:r w:rsidR="00F656F9" w:rsidRPr="00205DD5">
        <w:t xml:space="preserve">. </w:t>
      </w:r>
      <w:r w:rsidR="002F71AB" w:rsidRPr="00205DD5">
        <w:t>This brings the total savings and reprioritisations delivered since</w:t>
      </w:r>
      <w:r w:rsidR="00B04079" w:rsidRPr="00205DD5">
        <w:t xml:space="preserve"> the</w:t>
      </w:r>
      <w:r w:rsidR="002F71AB" w:rsidRPr="00205DD5">
        <w:t xml:space="preserve"> PEFO to </w:t>
      </w:r>
      <w:r w:rsidRPr="00205DD5">
        <w:t>$</w:t>
      </w:r>
      <w:r w:rsidR="002A0BD3" w:rsidRPr="00205DD5">
        <w:t>92</w:t>
      </w:r>
      <w:r w:rsidR="00D4700C" w:rsidRPr="00205DD5">
        <w:t>.0</w:t>
      </w:r>
      <w:r w:rsidR="00CD6F97" w:rsidRPr="00205DD5">
        <w:t xml:space="preserve"> </w:t>
      </w:r>
      <w:r w:rsidRPr="00205DD5">
        <w:t>billion.</w:t>
      </w:r>
      <w:r w:rsidR="0067766D" w:rsidRPr="00205DD5">
        <w:t xml:space="preserve"> </w:t>
      </w:r>
      <w:r w:rsidR="00C553B0" w:rsidRPr="00205DD5">
        <w:t>7</w:t>
      </w:r>
      <w:r w:rsidR="00743283" w:rsidRPr="00205DD5">
        <w:t>8</w:t>
      </w:r>
      <w:r w:rsidRPr="00205DD5">
        <w:t xml:space="preserve"> per cent of tax upgrades to the end of the forward estimates period have been returned to the budget since the PEFO.</w:t>
      </w:r>
      <w:r w:rsidRPr="001D2F08">
        <w:t xml:space="preserve"> </w:t>
      </w:r>
    </w:p>
    <w:p w14:paraId="59DB27FD" w14:textId="775B2448" w:rsidR="00B61764" w:rsidRPr="001D2F08" w:rsidRDefault="00AB4D5A" w:rsidP="00B61764">
      <w:r w:rsidRPr="00205DD5">
        <w:t xml:space="preserve">By improving the budget </w:t>
      </w:r>
      <w:proofErr w:type="gramStart"/>
      <w:r w:rsidRPr="00205DD5">
        <w:t>position</w:t>
      </w:r>
      <w:proofErr w:type="gramEnd"/>
      <w:r w:rsidRPr="00205DD5">
        <w:t xml:space="preserve"> the Government has kept gross debt down and avoided </w:t>
      </w:r>
      <w:r w:rsidR="00A46F98" w:rsidRPr="00205DD5">
        <w:t xml:space="preserve">around </w:t>
      </w:r>
      <w:r w:rsidRPr="00205DD5">
        <w:t>$</w:t>
      </w:r>
      <w:r w:rsidR="00FF1FD2" w:rsidRPr="00205DD5">
        <w:t>70</w:t>
      </w:r>
      <w:r w:rsidRPr="00205DD5">
        <w:t xml:space="preserve"> billion in interest payments</w:t>
      </w:r>
      <w:r w:rsidR="004917EA" w:rsidRPr="00205DD5">
        <w:t xml:space="preserve"> over the </w:t>
      </w:r>
      <w:r w:rsidR="00114A33" w:rsidRPr="00205DD5">
        <w:t>11</w:t>
      </w:r>
      <w:r w:rsidR="00882C0F" w:rsidRPr="00205DD5">
        <w:t xml:space="preserve"> years to </w:t>
      </w:r>
      <w:r w:rsidR="00F9044E" w:rsidRPr="00205DD5">
        <w:t>2032</w:t>
      </w:r>
      <w:r w:rsidR="005C2613" w:rsidRPr="00205DD5">
        <w:t>–</w:t>
      </w:r>
      <w:r w:rsidR="005C2613" w:rsidRPr="00205DD5">
        <w:rPr>
          <w:rFonts w:ascii="Times New Roman" w:hAnsi="Times New Roman"/>
        </w:rPr>
        <w:t>‍</w:t>
      </w:r>
      <w:r w:rsidR="00114A33" w:rsidRPr="00205DD5">
        <w:t>3</w:t>
      </w:r>
      <w:r w:rsidR="0088249C" w:rsidRPr="00205DD5">
        <w:t>3</w:t>
      </w:r>
      <w:r w:rsidR="00EF174A" w:rsidRPr="00205DD5">
        <w:t xml:space="preserve"> compared to the PEFO</w:t>
      </w:r>
      <w:r w:rsidRPr="00205DD5">
        <w:t>.</w:t>
      </w:r>
      <w:r w:rsidRPr="001D2F08">
        <w:t xml:space="preserve"> </w:t>
      </w:r>
      <w:r w:rsidR="00B61764" w:rsidRPr="00205DD5">
        <w:t>The Government’s responsible approach is recognised by ratings agencies. Australia remains one of only nine countries with a AAA sovereign credit rating from all three major ratings agencies.</w:t>
      </w:r>
      <w:r w:rsidR="005962F1" w:rsidRPr="00205DD5">
        <w:t xml:space="preserve"> </w:t>
      </w:r>
      <w:r w:rsidR="00444830" w:rsidRPr="00205DD5">
        <w:t xml:space="preserve">This year, Australia is expected to have the third strongest budget balance in the G20. </w:t>
      </w:r>
      <w:r w:rsidR="00B61764" w:rsidRPr="00205DD5">
        <w:t xml:space="preserve">Australia’s gross debt </w:t>
      </w:r>
      <w:r w:rsidR="00166F86" w:rsidRPr="00205DD5">
        <w:t>to</w:t>
      </w:r>
      <w:r w:rsidR="00B61764" w:rsidRPr="00205DD5">
        <w:t xml:space="preserve"> GDP</w:t>
      </w:r>
      <w:r w:rsidR="00515BB2" w:rsidRPr="00205DD5">
        <w:t xml:space="preserve"> </w:t>
      </w:r>
      <w:r w:rsidR="00DD7006" w:rsidRPr="00205DD5">
        <w:t xml:space="preserve">(including all levels of government) </w:t>
      </w:r>
      <w:r w:rsidR="00166F86" w:rsidRPr="00205DD5">
        <w:t>is</w:t>
      </w:r>
      <w:r w:rsidR="00B61764" w:rsidRPr="00205DD5">
        <w:t xml:space="preserve"> also low internationally</w:t>
      </w:r>
      <w:r w:rsidR="003459AD" w:rsidRPr="00205DD5">
        <w:t xml:space="preserve">, at around half the advanced economy average and </w:t>
      </w:r>
      <w:r w:rsidR="00CF19C2" w:rsidRPr="00205DD5">
        <w:t>more than 70 percentage points below</w:t>
      </w:r>
      <w:r w:rsidR="003459AD" w:rsidRPr="00205DD5">
        <w:t xml:space="preserve"> the United States</w:t>
      </w:r>
      <w:r w:rsidR="00B61764" w:rsidRPr="00205DD5">
        <w:t>.</w:t>
      </w:r>
    </w:p>
    <w:p w14:paraId="7307F176" w14:textId="77777777" w:rsidR="00D43C31" w:rsidRPr="001D2F08" w:rsidRDefault="00D43C31">
      <w:pPr>
        <w:spacing w:before="0" w:after="160" w:line="259" w:lineRule="auto"/>
      </w:pPr>
      <w:r w:rsidRPr="001D2F08">
        <w:br w:type="page"/>
      </w:r>
    </w:p>
    <w:p w14:paraId="14C7F4E1" w14:textId="1956E658" w:rsidR="00B349F2" w:rsidRDefault="00E713D4" w:rsidP="00B61764">
      <w:r w:rsidRPr="00205DD5">
        <w:lastRenderedPageBreak/>
        <w:t>The Government continues to deliver responsible cost</w:t>
      </w:r>
      <w:r w:rsidR="00152427" w:rsidRPr="00205DD5">
        <w:t>-</w:t>
      </w:r>
      <w:r w:rsidRPr="00205DD5">
        <w:t>of</w:t>
      </w:r>
      <w:r w:rsidR="00152427" w:rsidRPr="00205DD5">
        <w:t>-</w:t>
      </w:r>
      <w:r w:rsidRPr="00205DD5">
        <w:t>living relief with energy bill relief and rent assistance directly reducing</w:t>
      </w:r>
      <w:r w:rsidR="00834352" w:rsidRPr="00205DD5">
        <w:t xml:space="preserve"> </w:t>
      </w:r>
      <w:r w:rsidRPr="00205DD5">
        <w:t>inflation by ½ of a percentage point in 2024</w:t>
      </w:r>
      <w:r w:rsidR="00F24EF1" w:rsidRPr="00205DD5">
        <w:t>–</w:t>
      </w:r>
      <w:r w:rsidRPr="00205DD5">
        <w:t>25.</w:t>
      </w:r>
      <w:r>
        <w:t xml:space="preserve"> </w:t>
      </w:r>
      <w:r w:rsidRPr="00205DD5">
        <w:t xml:space="preserve">The Government’s tax cuts are </w:t>
      </w:r>
      <w:r w:rsidR="00AF2577" w:rsidRPr="00205DD5">
        <w:t xml:space="preserve">delivering </w:t>
      </w:r>
      <w:r w:rsidRPr="00205DD5">
        <w:t xml:space="preserve">all 13.6 million Australian </w:t>
      </w:r>
      <w:proofErr w:type="gramStart"/>
      <w:r w:rsidRPr="00205DD5">
        <w:t>taxpayers</w:t>
      </w:r>
      <w:proofErr w:type="gramEnd"/>
      <w:r w:rsidRPr="00205DD5">
        <w:t xml:space="preserve"> cost</w:t>
      </w:r>
      <w:r w:rsidR="00856600" w:rsidRPr="00205DD5">
        <w:noBreakHyphen/>
      </w:r>
      <w:r w:rsidRPr="00205DD5">
        <w:t>of</w:t>
      </w:r>
      <w:r w:rsidR="00856600" w:rsidRPr="00205DD5">
        <w:noBreakHyphen/>
      </w:r>
      <w:r w:rsidRPr="00205DD5">
        <w:t>living relief</w:t>
      </w:r>
      <w:r w:rsidR="00AF2577" w:rsidRPr="00205DD5">
        <w:t xml:space="preserve"> from 1 July 2024</w:t>
      </w:r>
      <w:r w:rsidRPr="00205DD5">
        <w:t>.</w:t>
      </w:r>
    </w:p>
    <w:p w14:paraId="05F84A06" w14:textId="797E1E91" w:rsidR="000B1951" w:rsidRPr="004D1B29" w:rsidRDefault="00B61764" w:rsidP="00E75B3F">
      <w:r w:rsidRPr="00205DD5">
        <w:t xml:space="preserve">The Government has been able to deliver these improvements to the </w:t>
      </w:r>
      <w:r w:rsidR="00D540FC" w:rsidRPr="00205DD5">
        <w:t xml:space="preserve">budget </w:t>
      </w:r>
      <w:r w:rsidRPr="00205DD5">
        <w:t xml:space="preserve">despite challenging economic conditions and the need to fund </w:t>
      </w:r>
      <w:r w:rsidR="00B36AA0" w:rsidRPr="00205DD5">
        <w:t xml:space="preserve">payment variations and </w:t>
      </w:r>
      <w:r w:rsidRPr="00205DD5">
        <w:t>unavoidable spending</w:t>
      </w:r>
      <w:r w:rsidR="00C44456" w:rsidRPr="00205DD5">
        <w:t xml:space="preserve">, which </w:t>
      </w:r>
      <w:r w:rsidR="00AA6A00" w:rsidRPr="00205DD5">
        <w:t>are</w:t>
      </w:r>
      <w:r w:rsidR="00C44456" w:rsidRPr="00205DD5">
        <w:t xml:space="preserve"> th</w:t>
      </w:r>
      <w:r w:rsidR="00801C12" w:rsidRPr="00205DD5">
        <w:t>e primary driver</w:t>
      </w:r>
      <w:r w:rsidR="001131A3" w:rsidRPr="00205DD5">
        <w:t>s</w:t>
      </w:r>
      <w:r w:rsidR="00801C12" w:rsidRPr="00205DD5">
        <w:t xml:space="preserve"> of the deterioration in the underlying cash balance over the forward estimates relative to the </w:t>
      </w:r>
      <w:r w:rsidR="00243F8D" w:rsidRPr="00205DD5">
        <w:t>2024</w:t>
      </w:r>
      <w:r w:rsidR="00B15F64" w:rsidRPr="00205DD5">
        <w:t>–</w:t>
      </w:r>
      <w:r w:rsidR="00243F8D" w:rsidRPr="00205DD5">
        <w:t>25</w:t>
      </w:r>
      <w:r w:rsidR="00801C12" w:rsidRPr="00205DD5">
        <w:t xml:space="preserve"> Budget</w:t>
      </w:r>
      <w:r w:rsidR="00C44456" w:rsidRPr="00205DD5">
        <w:t xml:space="preserve">. This MYEFO </w:t>
      </w:r>
      <w:r w:rsidR="00072566" w:rsidRPr="00205DD5">
        <w:t>includes</w:t>
      </w:r>
      <w:r w:rsidR="00801C12" w:rsidRPr="00205DD5">
        <w:t xml:space="preserve"> </w:t>
      </w:r>
      <w:r w:rsidR="001372BE" w:rsidRPr="00205DD5">
        <w:t>$</w:t>
      </w:r>
      <w:r w:rsidR="00B76B27" w:rsidRPr="00205DD5">
        <w:t>8.8</w:t>
      </w:r>
      <w:r w:rsidR="00F0162D" w:rsidRPr="00205DD5">
        <w:t> </w:t>
      </w:r>
      <w:r w:rsidR="001372BE" w:rsidRPr="00205DD5">
        <w:t>billion in unavoidable policy decisions</w:t>
      </w:r>
      <w:r w:rsidR="00D37091" w:rsidRPr="00205DD5">
        <w:t xml:space="preserve">. </w:t>
      </w:r>
      <w:r w:rsidR="007262DE" w:rsidRPr="00205DD5">
        <w:t>Excluding goods and services tax (</w:t>
      </w:r>
      <w:r w:rsidR="003E5833" w:rsidRPr="00205DD5">
        <w:t>GST</w:t>
      </w:r>
      <w:r w:rsidR="007262DE" w:rsidRPr="00205DD5">
        <w:t>)</w:t>
      </w:r>
      <w:r w:rsidR="003E5833" w:rsidRPr="00205DD5">
        <w:t xml:space="preserve"> </w:t>
      </w:r>
      <w:r w:rsidR="007A7229" w:rsidRPr="00205DD5">
        <w:t>payments to the states</w:t>
      </w:r>
      <w:r w:rsidR="003E5833" w:rsidRPr="00205DD5">
        <w:t xml:space="preserve"> </w:t>
      </w:r>
      <w:r w:rsidR="007262DE" w:rsidRPr="00205DD5">
        <w:t xml:space="preserve">and territories, parameter and other variations </w:t>
      </w:r>
      <w:r w:rsidR="003E5833" w:rsidRPr="00205DD5">
        <w:t>have increased payments by $</w:t>
      </w:r>
      <w:r w:rsidR="00A86511" w:rsidRPr="00205DD5">
        <w:t>16.</w:t>
      </w:r>
      <w:r w:rsidR="00B631C0" w:rsidRPr="00205DD5">
        <w:t>3</w:t>
      </w:r>
      <w:r w:rsidR="00A86511" w:rsidRPr="00205DD5">
        <w:t xml:space="preserve"> </w:t>
      </w:r>
      <w:r w:rsidR="003E5833" w:rsidRPr="00205DD5">
        <w:t>billion</w:t>
      </w:r>
      <w:r w:rsidR="001372BE" w:rsidRPr="00205DD5">
        <w:t>, which</w:t>
      </w:r>
      <w:r w:rsidR="001372BE" w:rsidRPr="00205DD5">
        <w:rPr>
          <w:rFonts w:eastAsia="Book Antiqua" w:cs="Book Antiqua"/>
        </w:rPr>
        <w:t xml:space="preserve"> includes automatic adjustments to </w:t>
      </w:r>
      <w:r w:rsidR="00E75B3F" w:rsidRPr="00205DD5">
        <w:rPr>
          <w:rFonts w:eastAsia="Book Antiqua"/>
        </w:rPr>
        <w:t>indexation</w:t>
      </w:r>
      <w:r w:rsidR="00245102" w:rsidRPr="00205DD5">
        <w:rPr>
          <w:rFonts w:eastAsia="Book Antiqua"/>
        </w:rPr>
        <w:t>,</w:t>
      </w:r>
      <w:r w:rsidR="00E75B3F" w:rsidRPr="00205DD5">
        <w:rPr>
          <w:rFonts w:eastAsia="Book Antiqua"/>
        </w:rPr>
        <w:t xml:space="preserve"> </w:t>
      </w:r>
      <w:r w:rsidR="00347DC7" w:rsidRPr="00205DD5">
        <w:rPr>
          <w:rFonts w:eastAsia="Book Antiqua" w:cs="Book Antiqua"/>
        </w:rPr>
        <w:t xml:space="preserve">as well as </w:t>
      </w:r>
      <w:r w:rsidR="006F42CF" w:rsidRPr="00205DD5">
        <w:rPr>
          <w:rFonts w:eastAsia="Book Antiqua" w:cs="Book Antiqua"/>
        </w:rPr>
        <w:t>funding</w:t>
      </w:r>
      <w:r w:rsidR="001372BE" w:rsidRPr="00205DD5">
        <w:rPr>
          <w:rFonts w:eastAsia="Book Antiqua" w:cs="Book Antiqua"/>
        </w:rPr>
        <w:t xml:space="preserve"> increased demand for government</w:t>
      </w:r>
      <w:r w:rsidR="00E75B3F" w:rsidRPr="00205DD5">
        <w:rPr>
          <w:rFonts w:eastAsia="Book Antiqua"/>
        </w:rPr>
        <w:t xml:space="preserve"> payments</w:t>
      </w:r>
      <w:r w:rsidR="001372BE" w:rsidRPr="00205DD5">
        <w:rPr>
          <w:rFonts w:eastAsia="Book Antiqua" w:cs="Book Antiqua"/>
        </w:rPr>
        <w:t xml:space="preserve"> and services</w:t>
      </w:r>
      <w:r w:rsidR="00DB4986" w:rsidRPr="00205DD5">
        <w:t>.</w:t>
      </w:r>
    </w:p>
    <w:p w14:paraId="2145C9D9" w14:textId="61B64511" w:rsidR="00E75B3F" w:rsidRPr="00CF45C0" w:rsidRDefault="00134C2A" w:rsidP="00E75B3F">
      <w:r w:rsidRPr="00205DD5">
        <w:t>These variations provide funding to ensure</w:t>
      </w:r>
      <w:r w:rsidR="00E75B3F" w:rsidRPr="00205DD5">
        <w:t xml:space="preserve"> our veterans receive their entitlements</w:t>
      </w:r>
      <w:r w:rsidR="00B61764" w:rsidRPr="00205DD5">
        <w:t>,</w:t>
      </w:r>
      <w:r w:rsidR="00E75B3F" w:rsidRPr="00205DD5">
        <w:t xml:space="preserve"> </w:t>
      </w:r>
      <w:r w:rsidRPr="00205DD5">
        <w:t xml:space="preserve">index pensions, increase </w:t>
      </w:r>
      <w:r w:rsidR="00E75B3F" w:rsidRPr="00205DD5">
        <w:t xml:space="preserve">support to families to assist with the cost of </w:t>
      </w:r>
      <w:proofErr w:type="gramStart"/>
      <w:r w:rsidR="00E75B3F" w:rsidRPr="00205DD5">
        <w:t>child</w:t>
      </w:r>
      <w:r w:rsidR="00C22E3E" w:rsidRPr="00205DD5">
        <w:t xml:space="preserve"> </w:t>
      </w:r>
      <w:r w:rsidR="00E75B3F" w:rsidRPr="00205DD5">
        <w:t>care</w:t>
      </w:r>
      <w:proofErr w:type="gramEnd"/>
      <w:r w:rsidR="00E75B3F" w:rsidRPr="00205DD5">
        <w:t xml:space="preserve">, </w:t>
      </w:r>
      <w:r w:rsidRPr="00205DD5">
        <w:t xml:space="preserve">support </w:t>
      </w:r>
      <w:r w:rsidR="00E75B3F" w:rsidRPr="00205DD5">
        <w:t xml:space="preserve">disaster recovery, </w:t>
      </w:r>
      <w:r w:rsidRPr="00205DD5">
        <w:t xml:space="preserve">increase </w:t>
      </w:r>
      <w:r w:rsidR="00E75B3F" w:rsidRPr="00205DD5">
        <w:t xml:space="preserve">support for schools, pass on the recent Fair Work Commission decision on aged care worker wage rises, </w:t>
      </w:r>
      <w:r w:rsidRPr="00205DD5">
        <w:t xml:space="preserve">and support increased demand for </w:t>
      </w:r>
      <w:r w:rsidR="00E75B3F" w:rsidRPr="00205DD5">
        <w:t>Medicare and the Pharmaceutical Benefits Scheme</w:t>
      </w:r>
      <w:r w:rsidR="00CE2F58" w:rsidRPr="00205DD5">
        <w:t>.</w:t>
      </w:r>
    </w:p>
    <w:p w14:paraId="4799F185" w14:textId="4CF599B8" w:rsidR="00B61764" w:rsidRDefault="00E75B3F" w:rsidP="00B61764">
      <w:r w:rsidRPr="00205DD5">
        <w:t xml:space="preserve">Since </w:t>
      </w:r>
      <w:r w:rsidR="00A47EDE" w:rsidRPr="00205DD5">
        <w:t>the</w:t>
      </w:r>
      <w:r w:rsidRPr="00205DD5">
        <w:t xml:space="preserve"> PEFO, the Government has had to commit $</w:t>
      </w:r>
      <w:r w:rsidR="00A86511" w:rsidRPr="00205DD5">
        <w:t>4</w:t>
      </w:r>
      <w:r w:rsidR="005E6433" w:rsidRPr="00205DD5">
        <w:t>7.6</w:t>
      </w:r>
      <w:r w:rsidR="00A86511" w:rsidRPr="00205DD5">
        <w:t xml:space="preserve"> </w:t>
      </w:r>
      <w:r w:rsidRPr="00205DD5">
        <w:t xml:space="preserve">billion </w:t>
      </w:r>
      <w:r w:rsidR="00275860" w:rsidRPr="00205DD5">
        <w:t xml:space="preserve">in legacy and unavoidable spending </w:t>
      </w:r>
      <w:r w:rsidRPr="00205DD5">
        <w:t>to resolve issues inherited from the former Government</w:t>
      </w:r>
      <w:r w:rsidR="00AF07A5" w:rsidRPr="00205DD5">
        <w:t>,</w:t>
      </w:r>
      <w:r w:rsidRPr="00205DD5">
        <w:t xml:space="preserve"> extend terminating measures </w:t>
      </w:r>
      <w:r w:rsidR="008B1218" w:rsidRPr="00205DD5">
        <w:t>to</w:t>
      </w:r>
      <w:r w:rsidRPr="00205DD5">
        <w:t xml:space="preserve"> ensure Australians do</w:t>
      </w:r>
      <w:r w:rsidR="00063186" w:rsidRPr="00205DD5">
        <w:t xml:space="preserve"> not </w:t>
      </w:r>
      <w:r w:rsidRPr="00205DD5">
        <w:t xml:space="preserve">see </w:t>
      </w:r>
      <w:r w:rsidR="008B1218" w:rsidRPr="00205DD5">
        <w:t>cuts</w:t>
      </w:r>
      <w:r w:rsidRPr="00205DD5">
        <w:t xml:space="preserve"> to the essential services they rely on</w:t>
      </w:r>
      <w:r w:rsidR="008B1218" w:rsidRPr="00205DD5">
        <w:t>,</w:t>
      </w:r>
      <w:r w:rsidR="00AF07A5" w:rsidRPr="00205DD5">
        <w:t xml:space="preserve"> and respond to </w:t>
      </w:r>
      <w:r w:rsidR="007B7E7A" w:rsidRPr="00205DD5">
        <w:t>urgent and unforeseen issues</w:t>
      </w:r>
      <w:r w:rsidRPr="00205DD5" w:rsidDel="000A2387">
        <w:t>.</w:t>
      </w:r>
    </w:p>
    <w:p w14:paraId="44C6616F" w14:textId="6EE5A7E9" w:rsidR="00D02CE0" w:rsidRDefault="00B61764" w:rsidP="00B61764">
      <w:r w:rsidRPr="00205DD5">
        <w:t>Tax receipt</w:t>
      </w:r>
      <w:r w:rsidR="004D565C" w:rsidRPr="00205DD5">
        <w:t>s</w:t>
      </w:r>
      <w:r w:rsidRPr="00205DD5">
        <w:t xml:space="preserve"> upgrades are much smaller than the $80 billion upgrade on average across the last four budget updates. Excluding GST and policy decisions, tax receipts have been revised up by $</w:t>
      </w:r>
      <w:r w:rsidR="00174BB8" w:rsidRPr="00205DD5">
        <w:t>7</w:t>
      </w:r>
      <w:r w:rsidR="008B5FD0" w:rsidRPr="00205DD5">
        <w:t>.</w:t>
      </w:r>
      <w:r w:rsidR="00251A1C" w:rsidRPr="00205DD5">
        <w:t>3</w:t>
      </w:r>
      <w:r w:rsidRPr="00205DD5">
        <w:t xml:space="preserve"> billion</w:t>
      </w:r>
      <w:r w:rsidRPr="00205DD5" w:rsidDel="00405F7F">
        <w:t xml:space="preserve"> </w:t>
      </w:r>
      <w:r w:rsidRPr="00205DD5">
        <w:t>over the four years to 2027</w:t>
      </w:r>
      <w:r w:rsidR="00273A70" w:rsidRPr="00205DD5">
        <w:t>–</w:t>
      </w:r>
      <w:r w:rsidRPr="00205DD5">
        <w:t xml:space="preserve">28. For the first time since </w:t>
      </w:r>
      <w:r w:rsidR="0029026B" w:rsidRPr="00205DD5">
        <w:t xml:space="preserve">the </w:t>
      </w:r>
      <w:r w:rsidRPr="00205DD5">
        <w:t>2020</w:t>
      </w:r>
      <w:r w:rsidR="00EF6B3F" w:rsidRPr="00205DD5">
        <w:rPr>
          <w:rFonts w:ascii="Times New Roman" w:hAnsi="Times New Roman"/>
        </w:rPr>
        <w:t>‍</w:t>
      </w:r>
      <w:r w:rsidR="0060532E" w:rsidRPr="00205DD5">
        <w:t>–</w:t>
      </w:r>
      <w:r w:rsidR="0029026B" w:rsidRPr="00205DD5">
        <w:rPr>
          <w:rFonts w:ascii="Times New Roman" w:hAnsi="Times New Roman"/>
        </w:rPr>
        <w:t>‍</w:t>
      </w:r>
      <w:r w:rsidR="0029026B" w:rsidRPr="00205DD5">
        <w:t>21</w:t>
      </w:r>
      <w:r w:rsidR="00AA2F97" w:rsidRPr="00205DD5">
        <w:t> </w:t>
      </w:r>
      <w:r w:rsidR="0029026B" w:rsidRPr="00205DD5">
        <w:t>Budget</w:t>
      </w:r>
      <w:r w:rsidRPr="00205DD5">
        <w:t>, company tax receipts have been revised downwards</w:t>
      </w:r>
      <w:r w:rsidR="00B8168D" w:rsidRPr="00205DD5">
        <w:t>,</w:t>
      </w:r>
      <w:r w:rsidRPr="00205DD5">
        <w:t xml:space="preserve"> </w:t>
      </w:r>
      <w:r w:rsidR="00611887" w:rsidRPr="00205DD5">
        <w:t xml:space="preserve">reflecting weaker commodity volumes </w:t>
      </w:r>
      <w:r w:rsidR="007F2ADA" w:rsidRPr="00205DD5">
        <w:t xml:space="preserve">amid </w:t>
      </w:r>
      <w:r w:rsidR="00B8168D" w:rsidRPr="00205DD5">
        <w:t xml:space="preserve">emerging </w:t>
      </w:r>
      <w:r w:rsidR="00611887" w:rsidRPr="00205DD5">
        <w:t>challenges in the Chinese economy</w:t>
      </w:r>
      <w:r w:rsidR="00580921" w:rsidRPr="00205DD5">
        <w:t>.</w:t>
      </w:r>
      <w:r>
        <w:t xml:space="preserve"> </w:t>
      </w:r>
    </w:p>
    <w:p w14:paraId="5467EE6E" w14:textId="77777777" w:rsidR="00D02CE0" w:rsidRDefault="00D02CE0">
      <w:pPr>
        <w:spacing w:before="0" w:after="160" w:line="259" w:lineRule="auto"/>
      </w:pPr>
      <w:r>
        <w:br w:type="page"/>
      </w:r>
    </w:p>
    <w:p w14:paraId="381377C1" w14:textId="4E097780" w:rsidR="00DB263B" w:rsidRDefault="00D63C70" w:rsidP="00D86770">
      <w:pPr>
        <w:pStyle w:val="TableHeading"/>
        <w:rPr>
          <w:rFonts w:asciiTheme="minorHAnsi" w:eastAsiaTheme="minorHAnsi" w:hAnsiTheme="minorHAnsi" w:cstheme="minorBidi"/>
          <w:sz w:val="22"/>
          <w:szCs w:val="22"/>
          <w:lang w:eastAsia="en-US"/>
        </w:rPr>
      </w:pPr>
      <w:r w:rsidRPr="00205DD5">
        <w:lastRenderedPageBreak/>
        <w:t>Table 3.</w:t>
      </w:r>
      <w:r w:rsidR="006A77BF" w:rsidRPr="00205DD5">
        <w:t>1</w:t>
      </w:r>
      <w:r w:rsidRPr="00205DD5">
        <w:t xml:space="preserve">: </w:t>
      </w:r>
      <w:r w:rsidR="00E64792" w:rsidRPr="00205DD5">
        <w:t>Australian Government</w:t>
      </w:r>
      <w:r w:rsidRPr="00205DD5">
        <w:t xml:space="preserve"> general government sector budget aggregates</w:t>
      </w:r>
      <w:bookmarkStart w:id="2" w:name="_1795625987"/>
      <w:bookmarkEnd w:id="2"/>
    </w:p>
    <w:tbl>
      <w:tblPr>
        <w:tblW w:w="5000" w:type="pct"/>
        <w:tblCellMar>
          <w:left w:w="0" w:type="dxa"/>
          <w:right w:w="28" w:type="dxa"/>
        </w:tblCellMar>
        <w:tblLook w:val="04A0" w:firstRow="1" w:lastRow="0" w:firstColumn="1" w:lastColumn="0" w:noHBand="0" w:noVBand="1"/>
      </w:tblPr>
      <w:tblGrid>
        <w:gridCol w:w="2488"/>
        <w:gridCol w:w="517"/>
        <w:gridCol w:w="674"/>
        <w:gridCol w:w="672"/>
        <w:gridCol w:w="672"/>
        <w:gridCol w:w="672"/>
        <w:gridCol w:w="672"/>
        <w:gridCol w:w="672"/>
        <w:gridCol w:w="671"/>
      </w:tblGrid>
      <w:tr w:rsidR="00021A4C" w:rsidRPr="00DB263B" w14:paraId="6EC2D4FD" w14:textId="77777777" w:rsidTr="00F36233">
        <w:trPr>
          <w:trHeight w:hRule="exact" w:val="225"/>
        </w:trPr>
        <w:tc>
          <w:tcPr>
            <w:tcW w:w="1613" w:type="pct"/>
            <w:tcBorders>
              <w:top w:val="single" w:sz="4" w:space="0" w:color="293F5B"/>
              <w:left w:val="nil"/>
              <w:bottom w:val="nil"/>
              <w:right w:val="nil"/>
            </w:tcBorders>
            <w:shd w:val="clear" w:color="000000" w:fill="FFFFFF"/>
            <w:noWrap/>
            <w:vAlign w:val="center"/>
            <w:hideMark/>
          </w:tcPr>
          <w:p w14:paraId="438B0735" w14:textId="68664FE2" w:rsidR="00DB263B" w:rsidRPr="00DB263B" w:rsidRDefault="00DB263B" w:rsidP="00D86770">
            <w:pPr>
              <w:spacing w:before="0" w:after="0" w:line="240" w:lineRule="auto"/>
              <w:rPr>
                <w:rFonts w:ascii="Arial" w:hAnsi="Arial" w:cs="Arial"/>
                <w:color w:val="000000"/>
                <w:sz w:val="16"/>
                <w:szCs w:val="16"/>
              </w:rPr>
            </w:pPr>
            <w:r w:rsidRPr="00DB263B">
              <w:rPr>
                <w:rFonts w:ascii="Arial" w:hAnsi="Arial" w:cs="Arial"/>
                <w:color w:val="000000"/>
                <w:sz w:val="16"/>
                <w:szCs w:val="16"/>
              </w:rPr>
              <w:t> </w:t>
            </w:r>
          </w:p>
        </w:tc>
        <w:tc>
          <w:tcPr>
            <w:tcW w:w="3387" w:type="pct"/>
            <w:gridSpan w:val="8"/>
            <w:tcBorders>
              <w:top w:val="single" w:sz="4" w:space="0" w:color="293F5B"/>
              <w:left w:val="nil"/>
              <w:bottom w:val="single" w:sz="4" w:space="0" w:color="293F5B"/>
              <w:right w:val="nil"/>
            </w:tcBorders>
            <w:shd w:val="clear" w:color="000000" w:fill="FFFFFF"/>
            <w:vAlign w:val="center"/>
            <w:hideMark/>
          </w:tcPr>
          <w:p w14:paraId="47A06155" w14:textId="77777777" w:rsidR="00DB263B" w:rsidRPr="00D86770" w:rsidRDefault="00DB263B" w:rsidP="00D86770">
            <w:pPr>
              <w:spacing w:before="0" w:after="0" w:line="240" w:lineRule="auto"/>
              <w:jc w:val="center"/>
              <w:rPr>
                <w:rFonts w:ascii="Arial" w:hAnsi="Arial" w:cs="Arial"/>
                <w:color w:val="000000"/>
                <w:sz w:val="16"/>
                <w:szCs w:val="16"/>
              </w:rPr>
            </w:pPr>
            <w:r w:rsidRPr="00D86770">
              <w:rPr>
                <w:rFonts w:ascii="Arial" w:hAnsi="Arial" w:cs="Arial"/>
                <w:color w:val="000000"/>
                <w:sz w:val="16"/>
                <w:szCs w:val="16"/>
              </w:rPr>
              <w:t>Estimates</w:t>
            </w:r>
          </w:p>
        </w:tc>
      </w:tr>
      <w:tr w:rsidR="00177CC6" w:rsidRPr="00DB263B" w14:paraId="1A78CF36"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4371E951"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772" w:type="pct"/>
            <w:gridSpan w:val="2"/>
            <w:tcBorders>
              <w:top w:val="single" w:sz="4" w:space="0" w:color="293F5B"/>
              <w:left w:val="nil"/>
              <w:bottom w:val="nil"/>
              <w:right w:val="nil"/>
            </w:tcBorders>
            <w:shd w:val="clear" w:color="000000" w:fill="E6F2FF"/>
            <w:noWrap/>
            <w:vAlign w:val="center"/>
            <w:hideMark/>
          </w:tcPr>
          <w:p w14:paraId="0410A890" w14:textId="77777777" w:rsidR="00DB263B" w:rsidRPr="00D86770" w:rsidRDefault="00DB263B" w:rsidP="00D86770">
            <w:pPr>
              <w:spacing w:before="0" w:after="0" w:line="240" w:lineRule="auto"/>
              <w:jc w:val="center"/>
              <w:rPr>
                <w:rFonts w:ascii="Arial" w:hAnsi="Arial" w:cs="Arial"/>
                <w:color w:val="000000"/>
                <w:sz w:val="16"/>
                <w:szCs w:val="16"/>
              </w:rPr>
            </w:pPr>
            <w:r w:rsidRPr="00D86770">
              <w:rPr>
                <w:rFonts w:ascii="Arial" w:hAnsi="Arial" w:cs="Arial"/>
                <w:color w:val="000000"/>
                <w:sz w:val="16"/>
                <w:szCs w:val="16"/>
              </w:rPr>
              <w:t>2024–25</w:t>
            </w:r>
          </w:p>
        </w:tc>
        <w:tc>
          <w:tcPr>
            <w:tcW w:w="872" w:type="pct"/>
            <w:gridSpan w:val="2"/>
            <w:tcBorders>
              <w:top w:val="single" w:sz="4" w:space="0" w:color="293F5B"/>
              <w:left w:val="nil"/>
              <w:bottom w:val="nil"/>
              <w:right w:val="nil"/>
            </w:tcBorders>
            <w:shd w:val="clear" w:color="000000" w:fill="FFFFFF"/>
            <w:noWrap/>
            <w:vAlign w:val="center"/>
            <w:hideMark/>
          </w:tcPr>
          <w:p w14:paraId="0E1F5184" w14:textId="77777777" w:rsidR="00DB263B" w:rsidRPr="00D86770" w:rsidRDefault="00DB263B" w:rsidP="00D86770">
            <w:pPr>
              <w:spacing w:before="0" w:after="0" w:line="240" w:lineRule="auto"/>
              <w:jc w:val="center"/>
              <w:rPr>
                <w:rFonts w:ascii="Arial" w:hAnsi="Arial" w:cs="Arial"/>
                <w:color w:val="000000"/>
                <w:sz w:val="16"/>
                <w:szCs w:val="16"/>
              </w:rPr>
            </w:pPr>
            <w:r w:rsidRPr="00D86770">
              <w:rPr>
                <w:rFonts w:ascii="Arial" w:hAnsi="Arial" w:cs="Arial"/>
                <w:color w:val="000000"/>
                <w:sz w:val="16"/>
                <w:szCs w:val="16"/>
              </w:rPr>
              <w:t>2025–26</w:t>
            </w:r>
          </w:p>
        </w:tc>
        <w:tc>
          <w:tcPr>
            <w:tcW w:w="872" w:type="pct"/>
            <w:gridSpan w:val="2"/>
            <w:tcBorders>
              <w:top w:val="single" w:sz="4" w:space="0" w:color="293F5B"/>
              <w:left w:val="nil"/>
              <w:bottom w:val="nil"/>
              <w:right w:val="nil"/>
            </w:tcBorders>
            <w:shd w:val="clear" w:color="000000" w:fill="FFFFFF"/>
            <w:noWrap/>
            <w:vAlign w:val="center"/>
            <w:hideMark/>
          </w:tcPr>
          <w:p w14:paraId="6286E714" w14:textId="77777777" w:rsidR="00DB263B" w:rsidRPr="00D86770" w:rsidRDefault="00DB263B" w:rsidP="00D86770">
            <w:pPr>
              <w:spacing w:before="0" w:after="0" w:line="240" w:lineRule="auto"/>
              <w:jc w:val="center"/>
              <w:rPr>
                <w:rFonts w:ascii="Arial" w:hAnsi="Arial" w:cs="Arial"/>
                <w:color w:val="000000"/>
                <w:sz w:val="16"/>
                <w:szCs w:val="16"/>
              </w:rPr>
            </w:pPr>
            <w:r w:rsidRPr="00D86770">
              <w:rPr>
                <w:rFonts w:ascii="Arial" w:hAnsi="Arial" w:cs="Arial"/>
                <w:color w:val="000000"/>
                <w:sz w:val="16"/>
                <w:szCs w:val="16"/>
              </w:rPr>
              <w:t>2026–27</w:t>
            </w:r>
          </w:p>
        </w:tc>
        <w:tc>
          <w:tcPr>
            <w:tcW w:w="871" w:type="pct"/>
            <w:gridSpan w:val="2"/>
            <w:tcBorders>
              <w:top w:val="single" w:sz="4" w:space="0" w:color="293F5B"/>
              <w:left w:val="nil"/>
              <w:bottom w:val="nil"/>
              <w:right w:val="nil"/>
            </w:tcBorders>
            <w:shd w:val="clear" w:color="000000" w:fill="FFFFFF"/>
            <w:noWrap/>
            <w:vAlign w:val="center"/>
            <w:hideMark/>
          </w:tcPr>
          <w:p w14:paraId="6C5BD7F5" w14:textId="77777777" w:rsidR="00DB263B" w:rsidRPr="00D86770" w:rsidRDefault="00DB263B" w:rsidP="00D86770">
            <w:pPr>
              <w:spacing w:before="0" w:after="0" w:line="240" w:lineRule="auto"/>
              <w:jc w:val="center"/>
              <w:rPr>
                <w:rFonts w:ascii="Arial" w:hAnsi="Arial" w:cs="Arial"/>
                <w:color w:val="000000"/>
                <w:sz w:val="16"/>
                <w:szCs w:val="16"/>
              </w:rPr>
            </w:pPr>
            <w:r w:rsidRPr="00D86770">
              <w:rPr>
                <w:rFonts w:ascii="Arial" w:hAnsi="Arial" w:cs="Arial"/>
                <w:color w:val="000000"/>
                <w:sz w:val="16"/>
                <w:szCs w:val="16"/>
              </w:rPr>
              <w:t>2027–28</w:t>
            </w:r>
          </w:p>
        </w:tc>
      </w:tr>
      <w:tr w:rsidR="00425B73" w:rsidRPr="00DB263B" w14:paraId="191C75F6"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27B2122D"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335" w:type="pct"/>
            <w:tcBorders>
              <w:top w:val="single" w:sz="4" w:space="0" w:color="293F5B"/>
              <w:left w:val="nil"/>
              <w:bottom w:val="single" w:sz="4" w:space="0" w:color="293F5B"/>
              <w:right w:val="nil"/>
            </w:tcBorders>
            <w:shd w:val="clear" w:color="000000" w:fill="E6F2FF"/>
            <w:noWrap/>
            <w:vAlign w:val="center"/>
            <w:hideMark/>
          </w:tcPr>
          <w:p w14:paraId="75700DB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$b</w:t>
            </w:r>
          </w:p>
        </w:tc>
        <w:tc>
          <w:tcPr>
            <w:tcW w:w="437" w:type="pct"/>
            <w:tcBorders>
              <w:top w:val="single" w:sz="4" w:space="0" w:color="293F5B"/>
              <w:left w:val="nil"/>
              <w:bottom w:val="single" w:sz="4" w:space="0" w:color="293F5B"/>
              <w:right w:val="nil"/>
            </w:tcBorders>
            <w:shd w:val="clear" w:color="000000" w:fill="E6F2FF"/>
            <w:noWrap/>
            <w:vAlign w:val="center"/>
            <w:hideMark/>
          </w:tcPr>
          <w:p w14:paraId="66CBA06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GDP</w:t>
            </w:r>
          </w:p>
        </w:tc>
        <w:tc>
          <w:tcPr>
            <w:tcW w:w="436" w:type="pct"/>
            <w:tcBorders>
              <w:top w:val="single" w:sz="4" w:space="0" w:color="293F5B"/>
              <w:left w:val="nil"/>
              <w:bottom w:val="single" w:sz="4" w:space="0" w:color="293F5B"/>
              <w:right w:val="nil"/>
            </w:tcBorders>
            <w:shd w:val="clear" w:color="000000" w:fill="FFFFFF"/>
            <w:noWrap/>
            <w:vAlign w:val="center"/>
            <w:hideMark/>
          </w:tcPr>
          <w:p w14:paraId="2CD5E87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$b</w:t>
            </w:r>
          </w:p>
        </w:tc>
        <w:tc>
          <w:tcPr>
            <w:tcW w:w="436" w:type="pct"/>
            <w:tcBorders>
              <w:top w:val="single" w:sz="4" w:space="0" w:color="293F5B"/>
              <w:left w:val="nil"/>
              <w:bottom w:val="single" w:sz="4" w:space="0" w:color="293F5B"/>
              <w:right w:val="nil"/>
            </w:tcBorders>
            <w:shd w:val="clear" w:color="000000" w:fill="FFFFFF"/>
            <w:noWrap/>
            <w:vAlign w:val="center"/>
            <w:hideMark/>
          </w:tcPr>
          <w:p w14:paraId="2544BF0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GDP</w:t>
            </w:r>
          </w:p>
        </w:tc>
        <w:tc>
          <w:tcPr>
            <w:tcW w:w="436" w:type="pct"/>
            <w:tcBorders>
              <w:top w:val="single" w:sz="4" w:space="0" w:color="293F5B"/>
              <w:left w:val="nil"/>
              <w:bottom w:val="single" w:sz="4" w:space="0" w:color="293F5B"/>
              <w:right w:val="nil"/>
            </w:tcBorders>
            <w:shd w:val="clear" w:color="000000" w:fill="FFFFFF"/>
            <w:noWrap/>
            <w:vAlign w:val="center"/>
            <w:hideMark/>
          </w:tcPr>
          <w:p w14:paraId="5962460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$b</w:t>
            </w:r>
          </w:p>
        </w:tc>
        <w:tc>
          <w:tcPr>
            <w:tcW w:w="436" w:type="pct"/>
            <w:tcBorders>
              <w:top w:val="single" w:sz="4" w:space="0" w:color="293F5B"/>
              <w:left w:val="nil"/>
              <w:bottom w:val="single" w:sz="4" w:space="0" w:color="293F5B"/>
              <w:right w:val="nil"/>
            </w:tcBorders>
            <w:shd w:val="clear" w:color="000000" w:fill="FFFFFF"/>
            <w:noWrap/>
            <w:vAlign w:val="center"/>
            <w:hideMark/>
          </w:tcPr>
          <w:p w14:paraId="2A25D23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GDP</w:t>
            </w:r>
          </w:p>
        </w:tc>
        <w:tc>
          <w:tcPr>
            <w:tcW w:w="436" w:type="pct"/>
            <w:tcBorders>
              <w:top w:val="single" w:sz="4" w:space="0" w:color="293F5B"/>
              <w:left w:val="nil"/>
              <w:bottom w:val="single" w:sz="4" w:space="0" w:color="293F5B"/>
              <w:right w:val="nil"/>
            </w:tcBorders>
            <w:shd w:val="clear" w:color="000000" w:fill="FFFFFF"/>
            <w:noWrap/>
            <w:vAlign w:val="center"/>
            <w:hideMark/>
          </w:tcPr>
          <w:p w14:paraId="07FD4C2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$b</w:t>
            </w:r>
          </w:p>
        </w:tc>
        <w:tc>
          <w:tcPr>
            <w:tcW w:w="435" w:type="pct"/>
            <w:tcBorders>
              <w:top w:val="single" w:sz="4" w:space="0" w:color="293F5B"/>
              <w:left w:val="nil"/>
              <w:bottom w:val="single" w:sz="4" w:space="0" w:color="293F5B"/>
              <w:right w:val="nil"/>
            </w:tcBorders>
            <w:shd w:val="clear" w:color="000000" w:fill="FFFFFF"/>
            <w:noWrap/>
            <w:vAlign w:val="center"/>
            <w:hideMark/>
          </w:tcPr>
          <w:p w14:paraId="1B5EA63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GDP</w:t>
            </w:r>
          </w:p>
        </w:tc>
      </w:tr>
      <w:tr w:rsidR="00425B73" w:rsidRPr="00DB263B" w14:paraId="25490573"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73E6253F" w14:textId="77777777" w:rsidR="00DB263B" w:rsidRPr="00D86770" w:rsidRDefault="00DB263B" w:rsidP="00D86770">
            <w:pPr>
              <w:spacing w:before="0" w:after="0" w:line="240" w:lineRule="auto"/>
              <w:rPr>
                <w:rFonts w:ascii="Arial" w:hAnsi="Arial" w:cs="Arial"/>
                <w:b/>
                <w:bCs/>
                <w:color w:val="000000"/>
                <w:sz w:val="16"/>
                <w:szCs w:val="16"/>
              </w:rPr>
            </w:pPr>
            <w:r w:rsidRPr="00D86770">
              <w:rPr>
                <w:rFonts w:ascii="Arial" w:hAnsi="Arial" w:cs="Arial"/>
                <w:b/>
                <w:bCs/>
                <w:color w:val="000000"/>
                <w:sz w:val="16"/>
                <w:szCs w:val="16"/>
              </w:rPr>
              <w:t>Underlying cash balance</w:t>
            </w:r>
          </w:p>
        </w:tc>
        <w:tc>
          <w:tcPr>
            <w:tcW w:w="335" w:type="pct"/>
            <w:tcBorders>
              <w:top w:val="nil"/>
              <w:left w:val="nil"/>
              <w:bottom w:val="nil"/>
              <w:right w:val="nil"/>
            </w:tcBorders>
            <w:shd w:val="clear" w:color="000000" w:fill="E6F2FF"/>
            <w:noWrap/>
            <w:vAlign w:val="center"/>
            <w:hideMark/>
          </w:tcPr>
          <w:p w14:paraId="5F2FDBA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7" w:type="pct"/>
            <w:tcBorders>
              <w:top w:val="nil"/>
              <w:left w:val="nil"/>
              <w:bottom w:val="nil"/>
              <w:right w:val="nil"/>
            </w:tcBorders>
            <w:shd w:val="clear" w:color="000000" w:fill="E6F2FF"/>
            <w:noWrap/>
            <w:vAlign w:val="center"/>
            <w:hideMark/>
          </w:tcPr>
          <w:p w14:paraId="4A0A2939"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02DC5936"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5A571680"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5A071AF2"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5DA19CB7"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1C05FA6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5" w:type="pct"/>
            <w:tcBorders>
              <w:top w:val="nil"/>
              <w:left w:val="nil"/>
              <w:bottom w:val="nil"/>
              <w:right w:val="nil"/>
            </w:tcBorders>
            <w:shd w:val="clear" w:color="000000" w:fill="FFFFFF"/>
            <w:noWrap/>
            <w:vAlign w:val="center"/>
            <w:hideMark/>
          </w:tcPr>
          <w:p w14:paraId="2C64777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r>
      <w:tr w:rsidR="00425B73" w:rsidRPr="00DB263B" w14:paraId="2EABBC1D"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7D62DD19" w14:textId="77777777" w:rsidR="00DB263B" w:rsidRPr="00D86770" w:rsidRDefault="00DB263B" w:rsidP="00F36233">
            <w:pPr>
              <w:spacing w:before="0" w:after="0" w:line="240" w:lineRule="auto"/>
              <w:ind w:left="17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54C8FD7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-26.9</w:t>
            </w:r>
          </w:p>
        </w:tc>
        <w:tc>
          <w:tcPr>
            <w:tcW w:w="437" w:type="pct"/>
            <w:tcBorders>
              <w:top w:val="nil"/>
              <w:left w:val="nil"/>
              <w:bottom w:val="nil"/>
              <w:right w:val="nil"/>
            </w:tcBorders>
            <w:shd w:val="clear" w:color="000000" w:fill="E6F2FF"/>
            <w:noWrap/>
            <w:vAlign w:val="center"/>
            <w:hideMark/>
          </w:tcPr>
          <w:p w14:paraId="3DB1BCE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-1.0</w:t>
            </w:r>
          </w:p>
        </w:tc>
        <w:tc>
          <w:tcPr>
            <w:tcW w:w="436" w:type="pct"/>
            <w:tcBorders>
              <w:top w:val="nil"/>
              <w:left w:val="nil"/>
              <w:bottom w:val="nil"/>
              <w:right w:val="nil"/>
            </w:tcBorders>
            <w:shd w:val="clear" w:color="000000" w:fill="FFFFFF"/>
            <w:noWrap/>
            <w:vAlign w:val="center"/>
            <w:hideMark/>
          </w:tcPr>
          <w:p w14:paraId="66A842C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-46.9</w:t>
            </w:r>
          </w:p>
        </w:tc>
        <w:tc>
          <w:tcPr>
            <w:tcW w:w="436" w:type="pct"/>
            <w:tcBorders>
              <w:top w:val="nil"/>
              <w:left w:val="nil"/>
              <w:bottom w:val="nil"/>
              <w:right w:val="nil"/>
            </w:tcBorders>
            <w:shd w:val="clear" w:color="000000" w:fill="FFFFFF"/>
            <w:noWrap/>
            <w:vAlign w:val="center"/>
            <w:hideMark/>
          </w:tcPr>
          <w:p w14:paraId="6017B9B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-1.6</w:t>
            </w:r>
          </w:p>
        </w:tc>
        <w:tc>
          <w:tcPr>
            <w:tcW w:w="436" w:type="pct"/>
            <w:tcBorders>
              <w:top w:val="nil"/>
              <w:left w:val="nil"/>
              <w:bottom w:val="nil"/>
              <w:right w:val="nil"/>
            </w:tcBorders>
            <w:shd w:val="clear" w:color="000000" w:fill="FFFFFF"/>
            <w:noWrap/>
            <w:vAlign w:val="center"/>
            <w:hideMark/>
          </w:tcPr>
          <w:p w14:paraId="093C9C5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-38.4</w:t>
            </w:r>
          </w:p>
        </w:tc>
        <w:tc>
          <w:tcPr>
            <w:tcW w:w="436" w:type="pct"/>
            <w:tcBorders>
              <w:top w:val="nil"/>
              <w:left w:val="nil"/>
              <w:bottom w:val="nil"/>
              <w:right w:val="nil"/>
            </w:tcBorders>
            <w:shd w:val="clear" w:color="000000" w:fill="FFFFFF"/>
            <w:noWrap/>
            <w:vAlign w:val="center"/>
            <w:hideMark/>
          </w:tcPr>
          <w:p w14:paraId="7547716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-1.3</w:t>
            </w:r>
          </w:p>
        </w:tc>
        <w:tc>
          <w:tcPr>
            <w:tcW w:w="436" w:type="pct"/>
            <w:tcBorders>
              <w:top w:val="nil"/>
              <w:left w:val="nil"/>
              <w:bottom w:val="nil"/>
              <w:right w:val="nil"/>
            </w:tcBorders>
            <w:shd w:val="clear" w:color="000000" w:fill="FFFFFF"/>
            <w:noWrap/>
            <w:vAlign w:val="center"/>
            <w:hideMark/>
          </w:tcPr>
          <w:p w14:paraId="50D7540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-31.7</w:t>
            </w:r>
          </w:p>
        </w:tc>
        <w:tc>
          <w:tcPr>
            <w:tcW w:w="435" w:type="pct"/>
            <w:tcBorders>
              <w:top w:val="nil"/>
              <w:left w:val="nil"/>
              <w:bottom w:val="nil"/>
              <w:right w:val="nil"/>
            </w:tcBorders>
            <w:shd w:val="clear" w:color="000000" w:fill="FFFFFF"/>
            <w:noWrap/>
            <w:vAlign w:val="center"/>
            <w:hideMark/>
          </w:tcPr>
          <w:p w14:paraId="6FBFDDC5"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-1.0</w:t>
            </w:r>
          </w:p>
        </w:tc>
      </w:tr>
      <w:tr w:rsidR="00425B73" w:rsidRPr="00DB263B" w14:paraId="5BB6BF77"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0D5C6D98" w14:textId="77777777" w:rsidR="00DB263B" w:rsidRPr="00D86770" w:rsidRDefault="00DB263B" w:rsidP="00F36233">
            <w:pPr>
              <w:spacing w:before="0" w:after="0" w:line="240" w:lineRule="auto"/>
              <w:ind w:left="17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nil"/>
              <w:right w:val="nil"/>
            </w:tcBorders>
            <w:shd w:val="clear" w:color="000000" w:fill="E6F2FF"/>
            <w:noWrap/>
            <w:vAlign w:val="center"/>
            <w:hideMark/>
          </w:tcPr>
          <w:p w14:paraId="2DE51784"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-28.3</w:t>
            </w:r>
          </w:p>
        </w:tc>
        <w:tc>
          <w:tcPr>
            <w:tcW w:w="437" w:type="pct"/>
            <w:tcBorders>
              <w:top w:val="nil"/>
              <w:left w:val="nil"/>
              <w:bottom w:val="nil"/>
              <w:right w:val="nil"/>
            </w:tcBorders>
            <w:shd w:val="clear" w:color="000000" w:fill="E6F2FF"/>
            <w:noWrap/>
            <w:vAlign w:val="center"/>
            <w:hideMark/>
          </w:tcPr>
          <w:p w14:paraId="48C3FEB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-1.0</w:t>
            </w:r>
          </w:p>
        </w:tc>
        <w:tc>
          <w:tcPr>
            <w:tcW w:w="436" w:type="pct"/>
            <w:tcBorders>
              <w:top w:val="nil"/>
              <w:left w:val="nil"/>
              <w:bottom w:val="nil"/>
              <w:right w:val="nil"/>
            </w:tcBorders>
            <w:shd w:val="clear" w:color="000000" w:fill="FFFFFF"/>
            <w:noWrap/>
            <w:vAlign w:val="center"/>
            <w:hideMark/>
          </w:tcPr>
          <w:p w14:paraId="2210860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-42.8</w:t>
            </w:r>
          </w:p>
        </w:tc>
        <w:tc>
          <w:tcPr>
            <w:tcW w:w="436" w:type="pct"/>
            <w:tcBorders>
              <w:top w:val="nil"/>
              <w:left w:val="nil"/>
              <w:bottom w:val="nil"/>
              <w:right w:val="nil"/>
            </w:tcBorders>
            <w:shd w:val="clear" w:color="000000" w:fill="FFFFFF"/>
            <w:noWrap/>
            <w:vAlign w:val="center"/>
            <w:hideMark/>
          </w:tcPr>
          <w:p w14:paraId="6EF3A86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-1.5</w:t>
            </w:r>
          </w:p>
        </w:tc>
        <w:tc>
          <w:tcPr>
            <w:tcW w:w="436" w:type="pct"/>
            <w:tcBorders>
              <w:top w:val="nil"/>
              <w:left w:val="nil"/>
              <w:bottom w:val="nil"/>
              <w:right w:val="nil"/>
            </w:tcBorders>
            <w:shd w:val="clear" w:color="000000" w:fill="FFFFFF"/>
            <w:noWrap/>
            <w:vAlign w:val="center"/>
            <w:hideMark/>
          </w:tcPr>
          <w:p w14:paraId="1490E8D7"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-26.7</w:t>
            </w:r>
          </w:p>
        </w:tc>
        <w:tc>
          <w:tcPr>
            <w:tcW w:w="436" w:type="pct"/>
            <w:tcBorders>
              <w:top w:val="nil"/>
              <w:left w:val="nil"/>
              <w:bottom w:val="nil"/>
              <w:right w:val="nil"/>
            </w:tcBorders>
            <w:shd w:val="clear" w:color="000000" w:fill="FFFFFF"/>
            <w:noWrap/>
            <w:vAlign w:val="center"/>
            <w:hideMark/>
          </w:tcPr>
          <w:p w14:paraId="16413D2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-0.9</w:t>
            </w:r>
          </w:p>
        </w:tc>
        <w:tc>
          <w:tcPr>
            <w:tcW w:w="436" w:type="pct"/>
            <w:tcBorders>
              <w:top w:val="nil"/>
              <w:left w:val="nil"/>
              <w:bottom w:val="nil"/>
              <w:right w:val="nil"/>
            </w:tcBorders>
            <w:shd w:val="clear" w:color="000000" w:fill="FFFFFF"/>
            <w:noWrap/>
            <w:vAlign w:val="center"/>
            <w:hideMark/>
          </w:tcPr>
          <w:p w14:paraId="5FD49C3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-24.3</w:t>
            </w:r>
          </w:p>
        </w:tc>
        <w:tc>
          <w:tcPr>
            <w:tcW w:w="435" w:type="pct"/>
            <w:tcBorders>
              <w:top w:val="nil"/>
              <w:left w:val="nil"/>
              <w:bottom w:val="nil"/>
              <w:right w:val="nil"/>
            </w:tcBorders>
            <w:shd w:val="clear" w:color="000000" w:fill="FFFFFF"/>
            <w:noWrap/>
            <w:vAlign w:val="center"/>
            <w:hideMark/>
          </w:tcPr>
          <w:p w14:paraId="7A7AFFD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-0.8</w:t>
            </w:r>
          </w:p>
        </w:tc>
      </w:tr>
      <w:tr w:rsidR="00425B73" w:rsidRPr="00DB263B" w14:paraId="0A24AB19" w14:textId="77777777" w:rsidTr="00F36233">
        <w:trPr>
          <w:trHeight w:hRule="exact" w:val="60"/>
        </w:trPr>
        <w:tc>
          <w:tcPr>
            <w:tcW w:w="1613" w:type="pct"/>
            <w:tcBorders>
              <w:top w:val="nil"/>
              <w:left w:val="nil"/>
              <w:bottom w:val="nil"/>
              <w:right w:val="nil"/>
            </w:tcBorders>
            <w:shd w:val="clear" w:color="000000" w:fill="FFFFFF"/>
            <w:noWrap/>
            <w:vAlign w:val="center"/>
            <w:hideMark/>
          </w:tcPr>
          <w:p w14:paraId="0CDC0D94" w14:textId="77777777" w:rsidR="00DB263B" w:rsidRPr="00D86770" w:rsidRDefault="00DB263B" w:rsidP="00F36233">
            <w:pPr>
              <w:spacing w:before="0" w:after="0" w:line="240" w:lineRule="auto"/>
              <w:ind w:left="340"/>
              <w:rPr>
                <w:rFonts w:ascii="Arial" w:hAnsi="Arial" w:cs="Arial"/>
                <w:i/>
                <w:iCs/>
                <w:color w:val="000000"/>
                <w:sz w:val="16"/>
                <w:szCs w:val="16"/>
              </w:rPr>
            </w:pPr>
            <w:r w:rsidRPr="00D86770">
              <w:rPr>
                <w:rFonts w:ascii="Arial" w:hAnsi="Arial" w:cs="Arial"/>
                <w:i/>
                <w:iCs/>
                <w:color w:val="000000"/>
                <w:sz w:val="16"/>
                <w:szCs w:val="16"/>
              </w:rPr>
              <w:t> </w:t>
            </w:r>
          </w:p>
        </w:tc>
        <w:tc>
          <w:tcPr>
            <w:tcW w:w="335" w:type="pct"/>
            <w:tcBorders>
              <w:top w:val="nil"/>
              <w:left w:val="nil"/>
              <w:bottom w:val="nil"/>
              <w:right w:val="nil"/>
            </w:tcBorders>
            <w:shd w:val="clear" w:color="000000" w:fill="E6F2FF"/>
            <w:noWrap/>
            <w:vAlign w:val="center"/>
            <w:hideMark/>
          </w:tcPr>
          <w:p w14:paraId="710195F8"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7" w:type="pct"/>
            <w:tcBorders>
              <w:top w:val="nil"/>
              <w:left w:val="nil"/>
              <w:bottom w:val="nil"/>
              <w:right w:val="nil"/>
            </w:tcBorders>
            <w:shd w:val="clear" w:color="000000" w:fill="E6F2FF"/>
            <w:noWrap/>
            <w:vAlign w:val="center"/>
            <w:hideMark/>
          </w:tcPr>
          <w:p w14:paraId="64E33591"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7B8AD9DB"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18D4B320"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32E8A32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21C8B2F1"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2B8586DE"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5" w:type="pct"/>
            <w:tcBorders>
              <w:top w:val="nil"/>
              <w:left w:val="nil"/>
              <w:bottom w:val="nil"/>
              <w:right w:val="nil"/>
            </w:tcBorders>
            <w:shd w:val="clear" w:color="000000" w:fill="FFFFFF"/>
            <w:noWrap/>
            <w:vAlign w:val="center"/>
            <w:hideMark/>
          </w:tcPr>
          <w:p w14:paraId="3C93B8C8"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r>
      <w:tr w:rsidR="00425B73" w:rsidRPr="00DB263B" w14:paraId="56A48AA9"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3BC49AC6" w14:textId="77777777" w:rsidR="00DB263B" w:rsidRPr="00D86770" w:rsidRDefault="00DB263B" w:rsidP="00D86770">
            <w:pPr>
              <w:spacing w:before="0" w:after="0" w:line="240" w:lineRule="auto"/>
              <w:rPr>
                <w:rFonts w:ascii="Arial" w:hAnsi="Arial" w:cs="Arial"/>
                <w:b/>
                <w:bCs/>
                <w:color w:val="000000"/>
                <w:sz w:val="16"/>
                <w:szCs w:val="16"/>
              </w:rPr>
            </w:pPr>
            <w:r w:rsidRPr="00D86770">
              <w:rPr>
                <w:rFonts w:ascii="Arial" w:hAnsi="Arial" w:cs="Arial"/>
                <w:b/>
                <w:bCs/>
                <w:color w:val="000000"/>
                <w:sz w:val="16"/>
                <w:szCs w:val="16"/>
              </w:rPr>
              <w:t>Receipts</w:t>
            </w:r>
          </w:p>
        </w:tc>
        <w:tc>
          <w:tcPr>
            <w:tcW w:w="335" w:type="pct"/>
            <w:tcBorders>
              <w:top w:val="nil"/>
              <w:left w:val="nil"/>
              <w:bottom w:val="nil"/>
              <w:right w:val="nil"/>
            </w:tcBorders>
            <w:shd w:val="clear" w:color="000000" w:fill="E6F2FF"/>
            <w:noWrap/>
            <w:vAlign w:val="center"/>
            <w:hideMark/>
          </w:tcPr>
          <w:p w14:paraId="00727CB8"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7" w:type="pct"/>
            <w:tcBorders>
              <w:top w:val="nil"/>
              <w:left w:val="nil"/>
              <w:bottom w:val="nil"/>
              <w:right w:val="nil"/>
            </w:tcBorders>
            <w:shd w:val="clear" w:color="000000" w:fill="E6F2FF"/>
            <w:noWrap/>
            <w:vAlign w:val="center"/>
            <w:hideMark/>
          </w:tcPr>
          <w:p w14:paraId="432749B4"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55435455"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1307334C"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1647AC19"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56A20B7B"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219F43B4"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5" w:type="pct"/>
            <w:tcBorders>
              <w:top w:val="nil"/>
              <w:left w:val="nil"/>
              <w:bottom w:val="nil"/>
              <w:right w:val="nil"/>
            </w:tcBorders>
            <w:shd w:val="clear" w:color="000000" w:fill="FFFFFF"/>
            <w:noWrap/>
            <w:vAlign w:val="center"/>
            <w:hideMark/>
          </w:tcPr>
          <w:p w14:paraId="75F517F2"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r>
      <w:tr w:rsidR="00425B73" w:rsidRPr="00DB263B" w14:paraId="5F3959CF"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01685708" w14:textId="77777777" w:rsidR="00DB263B" w:rsidRPr="00D86770" w:rsidRDefault="00DB263B" w:rsidP="00F36233">
            <w:pPr>
              <w:spacing w:before="0" w:after="0" w:line="240" w:lineRule="auto"/>
              <w:ind w:left="17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1ADF7505"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704.2</w:t>
            </w:r>
          </w:p>
        </w:tc>
        <w:tc>
          <w:tcPr>
            <w:tcW w:w="437" w:type="pct"/>
            <w:tcBorders>
              <w:top w:val="nil"/>
              <w:left w:val="nil"/>
              <w:bottom w:val="nil"/>
              <w:right w:val="nil"/>
            </w:tcBorders>
            <w:shd w:val="clear" w:color="000000" w:fill="E6F2FF"/>
            <w:noWrap/>
            <w:vAlign w:val="center"/>
            <w:hideMark/>
          </w:tcPr>
          <w:p w14:paraId="0999139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25.5</w:t>
            </w:r>
          </w:p>
        </w:tc>
        <w:tc>
          <w:tcPr>
            <w:tcW w:w="436" w:type="pct"/>
            <w:tcBorders>
              <w:top w:val="nil"/>
              <w:left w:val="nil"/>
              <w:bottom w:val="nil"/>
              <w:right w:val="nil"/>
            </w:tcBorders>
            <w:shd w:val="clear" w:color="000000" w:fill="FFFFFF"/>
            <w:noWrap/>
            <w:vAlign w:val="center"/>
            <w:hideMark/>
          </w:tcPr>
          <w:p w14:paraId="5092485C"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728.4</w:t>
            </w:r>
          </w:p>
        </w:tc>
        <w:tc>
          <w:tcPr>
            <w:tcW w:w="436" w:type="pct"/>
            <w:tcBorders>
              <w:top w:val="nil"/>
              <w:left w:val="nil"/>
              <w:bottom w:val="nil"/>
              <w:right w:val="nil"/>
            </w:tcBorders>
            <w:shd w:val="clear" w:color="000000" w:fill="FFFFFF"/>
            <w:noWrap/>
            <w:vAlign w:val="center"/>
            <w:hideMark/>
          </w:tcPr>
          <w:p w14:paraId="16EEDD3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25.5</w:t>
            </w:r>
          </w:p>
        </w:tc>
        <w:tc>
          <w:tcPr>
            <w:tcW w:w="436" w:type="pct"/>
            <w:tcBorders>
              <w:top w:val="nil"/>
              <w:left w:val="nil"/>
              <w:bottom w:val="nil"/>
              <w:right w:val="nil"/>
            </w:tcBorders>
            <w:shd w:val="clear" w:color="000000" w:fill="FFFFFF"/>
            <w:noWrap/>
            <w:vAlign w:val="center"/>
            <w:hideMark/>
          </w:tcPr>
          <w:p w14:paraId="64A90C1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763.4</w:t>
            </w:r>
          </w:p>
        </w:tc>
        <w:tc>
          <w:tcPr>
            <w:tcW w:w="436" w:type="pct"/>
            <w:tcBorders>
              <w:top w:val="nil"/>
              <w:left w:val="nil"/>
              <w:bottom w:val="nil"/>
              <w:right w:val="nil"/>
            </w:tcBorders>
            <w:shd w:val="clear" w:color="000000" w:fill="FFFFFF"/>
            <w:noWrap/>
            <w:vAlign w:val="center"/>
            <w:hideMark/>
          </w:tcPr>
          <w:p w14:paraId="44411C3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25.4</w:t>
            </w:r>
          </w:p>
        </w:tc>
        <w:tc>
          <w:tcPr>
            <w:tcW w:w="436" w:type="pct"/>
            <w:tcBorders>
              <w:top w:val="nil"/>
              <w:left w:val="nil"/>
              <w:bottom w:val="nil"/>
              <w:right w:val="nil"/>
            </w:tcBorders>
            <w:shd w:val="clear" w:color="000000" w:fill="FFFFFF"/>
            <w:noWrap/>
            <w:vAlign w:val="center"/>
            <w:hideMark/>
          </w:tcPr>
          <w:p w14:paraId="10E4C96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804.1</w:t>
            </w:r>
          </w:p>
        </w:tc>
        <w:tc>
          <w:tcPr>
            <w:tcW w:w="435" w:type="pct"/>
            <w:tcBorders>
              <w:top w:val="nil"/>
              <w:left w:val="nil"/>
              <w:bottom w:val="nil"/>
              <w:right w:val="nil"/>
            </w:tcBorders>
            <w:shd w:val="clear" w:color="000000" w:fill="FFFFFF"/>
            <w:noWrap/>
            <w:vAlign w:val="center"/>
            <w:hideMark/>
          </w:tcPr>
          <w:p w14:paraId="340FDA6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25.4</w:t>
            </w:r>
          </w:p>
        </w:tc>
      </w:tr>
      <w:tr w:rsidR="00425B73" w:rsidRPr="00DB263B" w14:paraId="7D8124C4"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3637383C" w14:textId="77777777" w:rsidR="00DB263B" w:rsidRPr="00D86770" w:rsidRDefault="00DB263B" w:rsidP="00F36233">
            <w:pPr>
              <w:spacing w:before="0" w:after="0" w:line="240" w:lineRule="auto"/>
              <w:ind w:left="17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nil"/>
              <w:right w:val="nil"/>
            </w:tcBorders>
            <w:shd w:val="clear" w:color="000000" w:fill="E6F2FF"/>
            <w:noWrap/>
            <w:vAlign w:val="center"/>
            <w:hideMark/>
          </w:tcPr>
          <w:p w14:paraId="7F752E0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698.4</w:t>
            </w:r>
          </w:p>
        </w:tc>
        <w:tc>
          <w:tcPr>
            <w:tcW w:w="437" w:type="pct"/>
            <w:tcBorders>
              <w:top w:val="nil"/>
              <w:left w:val="nil"/>
              <w:bottom w:val="nil"/>
              <w:right w:val="nil"/>
            </w:tcBorders>
            <w:shd w:val="clear" w:color="000000" w:fill="E6F2FF"/>
            <w:noWrap/>
            <w:vAlign w:val="center"/>
            <w:hideMark/>
          </w:tcPr>
          <w:p w14:paraId="4D74F49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25.3</w:t>
            </w:r>
          </w:p>
        </w:tc>
        <w:tc>
          <w:tcPr>
            <w:tcW w:w="436" w:type="pct"/>
            <w:tcBorders>
              <w:top w:val="nil"/>
              <w:left w:val="nil"/>
              <w:bottom w:val="nil"/>
              <w:right w:val="nil"/>
            </w:tcBorders>
            <w:shd w:val="clear" w:color="000000" w:fill="FFFFFF"/>
            <w:noWrap/>
            <w:vAlign w:val="center"/>
            <w:hideMark/>
          </w:tcPr>
          <w:p w14:paraId="1AD89B3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719.4</w:t>
            </w:r>
          </w:p>
        </w:tc>
        <w:tc>
          <w:tcPr>
            <w:tcW w:w="436" w:type="pct"/>
            <w:tcBorders>
              <w:top w:val="nil"/>
              <w:left w:val="nil"/>
              <w:bottom w:val="nil"/>
              <w:right w:val="nil"/>
            </w:tcBorders>
            <w:shd w:val="clear" w:color="000000" w:fill="FFFFFF"/>
            <w:noWrap/>
            <w:vAlign w:val="center"/>
            <w:hideMark/>
          </w:tcPr>
          <w:p w14:paraId="02C7CD66"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25.1</w:t>
            </w:r>
          </w:p>
        </w:tc>
        <w:tc>
          <w:tcPr>
            <w:tcW w:w="436" w:type="pct"/>
            <w:tcBorders>
              <w:top w:val="nil"/>
              <w:left w:val="nil"/>
              <w:bottom w:val="nil"/>
              <w:right w:val="nil"/>
            </w:tcBorders>
            <w:shd w:val="clear" w:color="000000" w:fill="FFFFFF"/>
            <w:noWrap/>
            <w:vAlign w:val="center"/>
            <w:hideMark/>
          </w:tcPr>
          <w:p w14:paraId="461F86E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760.0</w:t>
            </w:r>
          </w:p>
        </w:tc>
        <w:tc>
          <w:tcPr>
            <w:tcW w:w="436" w:type="pct"/>
            <w:tcBorders>
              <w:top w:val="nil"/>
              <w:left w:val="nil"/>
              <w:bottom w:val="nil"/>
              <w:right w:val="nil"/>
            </w:tcBorders>
            <w:shd w:val="clear" w:color="000000" w:fill="FFFFFF"/>
            <w:noWrap/>
            <w:vAlign w:val="center"/>
            <w:hideMark/>
          </w:tcPr>
          <w:p w14:paraId="42879614"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25.1</w:t>
            </w:r>
          </w:p>
        </w:tc>
        <w:tc>
          <w:tcPr>
            <w:tcW w:w="436" w:type="pct"/>
            <w:tcBorders>
              <w:top w:val="nil"/>
              <w:left w:val="nil"/>
              <w:bottom w:val="nil"/>
              <w:right w:val="nil"/>
            </w:tcBorders>
            <w:shd w:val="clear" w:color="000000" w:fill="FFFFFF"/>
            <w:noWrap/>
            <w:vAlign w:val="center"/>
            <w:hideMark/>
          </w:tcPr>
          <w:p w14:paraId="66954A4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801.8</w:t>
            </w:r>
          </w:p>
        </w:tc>
        <w:tc>
          <w:tcPr>
            <w:tcW w:w="435" w:type="pct"/>
            <w:tcBorders>
              <w:top w:val="nil"/>
              <w:left w:val="nil"/>
              <w:bottom w:val="nil"/>
              <w:right w:val="nil"/>
            </w:tcBorders>
            <w:shd w:val="clear" w:color="000000" w:fill="FFFFFF"/>
            <w:noWrap/>
            <w:vAlign w:val="center"/>
            <w:hideMark/>
          </w:tcPr>
          <w:p w14:paraId="084FEE99"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25.2</w:t>
            </w:r>
          </w:p>
        </w:tc>
      </w:tr>
      <w:tr w:rsidR="00425B73" w:rsidRPr="00DB263B" w14:paraId="3A14BF43" w14:textId="77777777" w:rsidTr="00F36233">
        <w:trPr>
          <w:trHeight w:hRule="exact" w:val="60"/>
        </w:trPr>
        <w:tc>
          <w:tcPr>
            <w:tcW w:w="1613" w:type="pct"/>
            <w:tcBorders>
              <w:top w:val="nil"/>
              <w:left w:val="nil"/>
              <w:bottom w:val="nil"/>
              <w:right w:val="nil"/>
            </w:tcBorders>
            <w:shd w:val="clear" w:color="000000" w:fill="FFFFFF"/>
            <w:noWrap/>
            <w:vAlign w:val="center"/>
            <w:hideMark/>
          </w:tcPr>
          <w:p w14:paraId="5E6C7474"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335" w:type="pct"/>
            <w:tcBorders>
              <w:top w:val="nil"/>
              <w:left w:val="nil"/>
              <w:bottom w:val="nil"/>
              <w:right w:val="nil"/>
            </w:tcBorders>
            <w:shd w:val="clear" w:color="000000" w:fill="E6F2FF"/>
            <w:noWrap/>
            <w:vAlign w:val="center"/>
            <w:hideMark/>
          </w:tcPr>
          <w:p w14:paraId="01BC6CB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34A39BD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39F895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A658CF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44DE24A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9308EE8"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76E7204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1BCD9D35"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558E1CA0"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48FA5258" w14:textId="77777777" w:rsidR="00DB263B" w:rsidRPr="00D86770" w:rsidRDefault="00DB263B" w:rsidP="00F36233">
            <w:pPr>
              <w:spacing w:before="0" w:after="0" w:line="240" w:lineRule="auto"/>
              <w:ind w:left="170"/>
              <w:rPr>
                <w:rFonts w:ascii="Arial" w:hAnsi="Arial" w:cs="Arial"/>
                <w:b/>
                <w:bCs/>
                <w:color w:val="000000"/>
                <w:sz w:val="16"/>
                <w:szCs w:val="16"/>
              </w:rPr>
            </w:pPr>
            <w:r w:rsidRPr="00D86770">
              <w:rPr>
                <w:rFonts w:ascii="Arial" w:hAnsi="Arial" w:cs="Arial"/>
                <w:b/>
                <w:bCs/>
                <w:color w:val="000000"/>
                <w:sz w:val="16"/>
                <w:szCs w:val="16"/>
              </w:rPr>
              <w:t>Tax receipts</w:t>
            </w:r>
          </w:p>
        </w:tc>
        <w:tc>
          <w:tcPr>
            <w:tcW w:w="335" w:type="pct"/>
            <w:tcBorders>
              <w:top w:val="nil"/>
              <w:left w:val="nil"/>
              <w:bottom w:val="nil"/>
              <w:right w:val="nil"/>
            </w:tcBorders>
            <w:shd w:val="clear" w:color="000000" w:fill="E6F2FF"/>
            <w:noWrap/>
            <w:vAlign w:val="center"/>
            <w:hideMark/>
          </w:tcPr>
          <w:p w14:paraId="4635CE1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193107B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9013DB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FA9473C"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6C1E93A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6C1332C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378EDBD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7E95D80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4E616293"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47ECFF11" w14:textId="77777777" w:rsidR="00DB263B" w:rsidRPr="00D86770" w:rsidRDefault="00DB263B" w:rsidP="00F36233">
            <w:pPr>
              <w:spacing w:before="0" w:after="0" w:line="240" w:lineRule="auto"/>
              <w:ind w:left="34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6A01F9F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645.6</w:t>
            </w:r>
          </w:p>
        </w:tc>
        <w:tc>
          <w:tcPr>
            <w:tcW w:w="437" w:type="pct"/>
            <w:tcBorders>
              <w:top w:val="nil"/>
              <w:left w:val="nil"/>
              <w:bottom w:val="nil"/>
              <w:right w:val="nil"/>
            </w:tcBorders>
            <w:shd w:val="clear" w:color="000000" w:fill="E6F2FF"/>
            <w:noWrap/>
            <w:vAlign w:val="center"/>
            <w:hideMark/>
          </w:tcPr>
          <w:p w14:paraId="68DEEA1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23.4</w:t>
            </w:r>
          </w:p>
        </w:tc>
        <w:tc>
          <w:tcPr>
            <w:tcW w:w="436" w:type="pct"/>
            <w:tcBorders>
              <w:top w:val="nil"/>
              <w:left w:val="nil"/>
              <w:bottom w:val="nil"/>
              <w:right w:val="nil"/>
            </w:tcBorders>
            <w:shd w:val="clear" w:color="000000" w:fill="FFFFFF"/>
            <w:noWrap/>
            <w:vAlign w:val="center"/>
            <w:hideMark/>
          </w:tcPr>
          <w:p w14:paraId="4AC870F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669.7</w:t>
            </w:r>
          </w:p>
        </w:tc>
        <w:tc>
          <w:tcPr>
            <w:tcW w:w="436" w:type="pct"/>
            <w:tcBorders>
              <w:top w:val="nil"/>
              <w:left w:val="nil"/>
              <w:bottom w:val="nil"/>
              <w:right w:val="nil"/>
            </w:tcBorders>
            <w:shd w:val="clear" w:color="000000" w:fill="FFFFFF"/>
            <w:noWrap/>
            <w:vAlign w:val="center"/>
            <w:hideMark/>
          </w:tcPr>
          <w:p w14:paraId="06A38FE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23.5</w:t>
            </w:r>
          </w:p>
        </w:tc>
        <w:tc>
          <w:tcPr>
            <w:tcW w:w="436" w:type="pct"/>
            <w:tcBorders>
              <w:top w:val="nil"/>
              <w:left w:val="nil"/>
              <w:bottom w:val="nil"/>
              <w:right w:val="nil"/>
            </w:tcBorders>
            <w:shd w:val="clear" w:color="000000" w:fill="FFFFFF"/>
            <w:noWrap/>
            <w:vAlign w:val="center"/>
            <w:hideMark/>
          </w:tcPr>
          <w:p w14:paraId="4BD52DC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705.4</w:t>
            </w:r>
          </w:p>
        </w:tc>
        <w:tc>
          <w:tcPr>
            <w:tcW w:w="436" w:type="pct"/>
            <w:tcBorders>
              <w:top w:val="nil"/>
              <w:left w:val="nil"/>
              <w:bottom w:val="nil"/>
              <w:right w:val="nil"/>
            </w:tcBorders>
            <w:shd w:val="clear" w:color="000000" w:fill="FFFFFF"/>
            <w:noWrap/>
            <w:vAlign w:val="center"/>
            <w:hideMark/>
          </w:tcPr>
          <w:p w14:paraId="4C4AB58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23.5</w:t>
            </w:r>
          </w:p>
        </w:tc>
        <w:tc>
          <w:tcPr>
            <w:tcW w:w="436" w:type="pct"/>
            <w:tcBorders>
              <w:top w:val="nil"/>
              <w:left w:val="nil"/>
              <w:bottom w:val="nil"/>
              <w:right w:val="nil"/>
            </w:tcBorders>
            <w:shd w:val="clear" w:color="000000" w:fill="FFFFFF"/>
            <w:noWrap/>
            <w:vAlign w:val="center"/>
            <w:hideMark/>
          </w:tcPr>
          <w:p w14:paraId="69224A9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743.1</w:t>
            </w:r>
          </w:p>
        </w:tc>
        <w:tc>
          <w:tcPr>
            <w:tcW w:w="435" w:type="pct"/>
            <w:tcBorders>
              <w:top w:val="nil"/>
              <w:left w:val="nil"/>
              <w:bottom w:val="nil"/>
              <w:right w:val="nil"/>
            </w:tcBorders>
            <w:shd w:val="clear" w:color="000000" w:fill="FFFFFF"/>
            <w:noWrap/>
            <w:vAlign w:val="center"/>
            <w:hideMark/>
          </w:tcPr>
          <w:p w14:paraId="6394613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23.5</w:t>
            </w:r>
          </w:p>
        </w:tc>
      </w:tr>
      <w:tr w:rsidR="00425B73" w:rsidRPr="00DB263B" w14:paraId="44B45E30"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090F9013" w14:textId="77777777" w:rsidR="00DB263B" w:rsidRPr="00D86770" w:rsidRDefault="00DB263B" w:rsidP="00F36233">
            <w:pPr>
              <w:spacing w:before="0" w:after="0" w:line="240" w:lineRule="auto"/>
              <w:ind w:left="34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nil"/>
              <w:right w:val="nil"/>
            </w:tcBorders>
            <w:shd w:val="clear" w:color="000000" w:fill="E6F2FF"/>
            <w:noWrap/>
            <w:vAlign w:val="center"/>
            <w:hideMark/>
          </w:tcPr>
          <w:p w14:paraId="3516E73E"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642.5</w:t>
            </w:r>
          </w:p>
        </w:tc>
        <w:tc>
          <w:tcPr>
            <w:tcW w:w="437" w:type="pct"/>
            <w:tcBorders>
              <w:top w:val="nil"/>
              <w:left w:val="nil"/>
              <w:bottom w:val="nil"/>
              <w:right w:val="nil"/>
            </w:tcBorders>
            <w:shd w:val="clear" w:color="000000" w:fill="E6F2FF"/>
            <w:noWrap/>
            <w:vAlign w:val="center"/>
            <w:hideMark/>
          </w:tcPr>
          <w:p w14:paraId="4AB21428"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23.3</w:t>
            </w:r>
          </w:p>
        </w:tc>
        <w:tc>
          <w:tcPr>
            <w:tcW w:w="436" w:type="pct"/>
            <w:tcBorders>
              <w:top w:val="nil"/>
              <w:left w:val="nil"/>
              <w:bottom w:val="nil"/>
              <w:right w:val="nil"/>
            </w:tcBorders>
            <w:shd w:val="clear" w:color="000000" w:fill="FFFFFF"/>
            <w:noWrap/>
            <w:vAlign w:val="center"/>
            <w:hideMark/>
          </w:tcPr>
          <w:p w14:paraId="2CBC2C2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661.6</w:t>
            </w:r>
          </w:p>
        </w:tc>
        <w:tc>
          <w:tcPr>
            <w:tcW w:w="436" w:type="pct"/>
            <w:tcBorders>
              <w:top w:val="nil"/>
              <w:left w:val="nil"/>
              <w:bottom w:val="nil"/>
              <w:right w:val="nil"/>
            </w:tcBorders>
            <w:shd w:val="clear" w:color="000000" w:fill="FFFFFF"/>
            <w:noWrap/>
            <w:vAlign w:val="center"/>
            <w:hideMark/>
          </w:tcPr>
          <w:p w14:paraId="49F7BEE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23.1</w:t>
            </w:r>
          </w:p>
        </w:tc>
        <w:tc>
          <w:tcPr>
            <w:tcW w:w="436" w:type="pct"/>
            <w:tcBorders>
              <w:top w:val="nil"/>
              <w:left w:val="nil"/>
              <w:bottom w:val="nil"/>
              <w:right w:val="nil"/>
            </w:tcBorders>
            <w:shd w:val="clear" w:color="000000" w:fill="FFFFFF"/>
            <w:noWrap/>
            <w:vAlign w:val="center"/>
            <w:hideMark/>
          </w:tcPr>
          <w:p w14:paraId="40633D6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702.3</w:t>
            </w:r>
          </w:p>
        </w:tc>
        <w:tc>
          <w:tcPr>
            <w:tcW w:w="436" w:type="pct"/>
            <w:tcBorders>
              <w:top w:val="nil"/>
              <w:left w:val="nil"/>
              <w:bottom w:val="nil"/>
              <w:right w:val="nil"/>
            </w:tcBorders>
            <w:shd w:val="clear" w:color="000000" w:fill="FFFFFF"/>
            <w:noWrap/>
            <w:vAlign w:val="center"/>
            <w:hideMark/>
          </w:tcPr>
          <w:p w14:paraId="3A371C3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23.2</w:t>
            </w:r>
          </w:p>
        </w:tc>
        <w:tc>
          <w:tcPr>
            <w:tcW w:w="436" w:type="pct"/>
            <w:tcBorders>
              <w:top w:val="nil"/>
              <w:left w:val="nil"/>
              <w:bottom w:val="nil"/>
              <w:right w:val="nil"/>
            </w:tcBorders>
            <w:shd w:val="clear" w:color="000000" w:fill="FFFFFF"/>
            <w:noWrap/>
            <w:vAlign w:val="center"/>
            <w:hideMark/>
          </w:tcPr>
          <w:p w14:paraId="6F43341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742.3</w:t>
            </w:r>
          </w:p>
        </w:tc>
        <w:tc>
          <w:tcPr>
            <w:tcW w:w="435" w:type="pct"/>
            <w:tcBorders>
              <w:top w:val="nil"/>
              <w:left w:val="nil"/>
              <w:bottom w:val="nil"/>
              <w:right w:val="nil"/>
            </w:tcBorders>
            <w:shd w:val="clear" w:color="000000" w:fill="FFFFFF"/>
            <w:noWrap/>
            <w:vAlign w:val="center"/>
            <w:hideMark/>
          </w:tcPr>
          <w:p w14:paraId="00332238"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23.3</w:t>
            </w:r>
          </w:p>
        </w:tc>
      </w:tr>
      <w:tr w:rsidR="00425B73" w:rsidRPr="00DB263B" w14:paraId="632C3E57" w14:textId="77777777" w:rsidTr="00F36233">
        <w:trPr>
          <w:trHeight w:hRule="exact" w:val="60"/>
        </w:trPr>
        <w:tc>
          <w:tcPr>
            <w:tcW w:w="1613" w:type="pct"/>
            <w:tcBorders>
              <w:top w:val="nil"/>
              <w:left w:val="nil"/>
              <w:bottom w:val="nil"/>
              <w:right w:val="nil"/>
            </w:tcBorders>
            <w:shd w:val="clear" w:color="000000" w:fill="FFFFFF"/>
            <w:noWrap/>
            <w:vAlign w:val="center"/>
            <w:hideMark/>
          </w:tcPr>
          <w:p w14:paraId="568E38D8"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335" w:type="pct"/>
            <w:tcBorders>
              <w:top w:val="nil"/>
              <w:left w:val="nil"/>
              <w:bottom w:val="nil"/>
              <w:right w:val="nil"/>
            </w:tcBorders>
            <w:shd w:val="clear" w:color="000000" w:fill="E6F2FF"/>
            <w:noWrap/>
            <w:vAlign w:val="center"/>
            <w:hideMark/>
          </w:tcPr>
          <w:p w14:paraId="2927A3C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70C356B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0E3B97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B4F39F1"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796E840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FCAEFB5"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475AC86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00C6BC2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6BA1DEE6"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33606F37" w14:textId="77777777" w:rsidR="00DB263B" w:rsidRPr="00D86770" w:rsidRDefault="00DB263B" w:rsidP="00F36233">
            <w:pPr>
              <w:spacing w:before="0" w:after="0" w:line="240" w:lineRule="auto"/>
              <w:ind w:left="170"/>
              <w:rPr>
                <w:rFonts w:ascii="Arial" w:hAnsi="Arial" w:cs="Arial"/>
                <w:b/>
                <w:bCs/>
                <w:color w:val="000000"/>
                <w:sz w:val="16"/>
                <w:szCs w:val="16"/>
              </w:rPr>
            </w:pPr>
            <w:r w:rsidRPr="00D86770">
              <w:rPr>
                <w:rFonts w:ascii="Arial" w:hAnsi="Arial" w:cs="Arial"/>
                <w:b/>
                <w:bCs/>
                <w:color w:val="000000"/>
                <w:sz w:val="16"/>
                <w:szCs w:val="16"/>
              </w:rPr>
              <w:t>Non-tax receipts</w:t>
            </w:r>
          </w:p>
        </w:tc>
        <w:tc>
          <w:tcPr>
            <w:tcW w:w="335" w:type="pct"/>
            <w:tcBorders>
              <w:top w:val="nil"/>
              <w:left w:val="nil"/>
              <w:bottom w:val="nil"/>
              <w:right w:val="nil"/>
            </w:tcBorders>
            <w:shd w:val="clear" w:color="000000" w:fill="E6F2FF"/>
            <w:noWrap/>
            <w:vAlign w:val="center"/>
            <w:hideMark/>
          </w:tcPr>
          <w:p w14:paraId="15976D98"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7" w:type="pct"/>
            <w:tcBorders>
              <w:top w:val="nil"/>
              <w:left w:val="nil"/>
              <w:bottom w:val="nil"/>
              <w:right w:val="nil"/>
            </w:tcBorders>
            <w:shd w:val="clear" w:color="000000" w:fill="E6F2FF"/>
            <w:noWrap/>
            <w:vAlign w:val="center"/>
            <w:hideMark/>
          </w:tcPr>
          <w:p w14:paraId="6D54272C"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506FC3B6"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6AB3F95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1571E28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4D0C90B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6" w:type="pct"/>
            <w:tcBorders>
              <w:top w:val="nil"/>
              <w:left w:val="nil"/>
              <w:bottom w:val="nil"/>
              <w:right w:val="nil"/>
            </w:tcBorders>
            <w:shd w:val="clear" w:color="000000" w:fill="FFFFFF"/>
            <w:noWrap/>
            <w:vAlign w:val="center"/>
            <w:hideMark/>
          </w:tcPr>
          <w:p w14:paraId="76197CD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c>
          <w:tcPr>
            <w:tcW w:w="435" w:type="pct"/>
            <w:tcBorders>
              <w:top w:val="nil"/>
              <w:left w:val="nil"/>
              <w:bottom w:val="nil"/>
              <w:right w:val="nil"/>
            </w:tcBorders>
            <w:shd w:val="clear" w:color="000000" w:fill="FFFFFF"/>
            <w:noWrap/>
            <w:vAlign w:val="center"/>
            <w:hideMark/>
          </w:tcPr>
          <w:p w14:paraId="4AD86B86"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 </w:t>
            </w:r>
          </w:p>
        </w:tc>
      </w:tr>
      <w:tr w:rsidR="00425B73" w:rsidRPr="00DB263B" w14:paraId="1FFCF735"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3BF11AFC" w14:textId="77777777" w:rsidR="00DB263B" w:rsidRPr="00D86770" w:rsidRDefault="00DB263B" w:rsidP="00F36233">
            <w:pPr>
              <w:spacing w:before="0" w:after="0" w:line="240" w:lineRule="auto"/>
              <w:ind w:left="34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2BA5121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58.6</w:t>
            </w:r>
          </w:p>
        </w:tc>
        <w:tc>
          <w:tcPr>
            <w:tcW w:w="437" w:type="pct"/>
            <w:tcBorders>
              <w:top w:val="nil"/>
              <w:left w:val="nil"/>
              <w:bottom w:val="nil"/>
              <w:right w:val="nil"/>
            </w:tcBorders>
            <w:shd w:val="clear" w:color="000000" w:fill="E6F2FF"/>
            <w:noWrap/>
            <w:vAlign w:val="center"/>
            <w:hideMark/>
          </w:tcPr>
          <w:p w14:paraId="76B395F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2.1</w:t>
            </w:r>
          </w:p>
        </w:tc>
        <w:tc>
          <w:tcPr>
            <w:tcW w:w="436" w:type="pct"/>
            <w:tcBorders>
              <w:top w:val="nil"/>
              <w:left w:val="nil"/>
              <w:bottom w:val="nil"/>
              <w:right w:val="nil"/>
            </w:tcBorders>
            <w:shd w:val="clear" w:color="000000" w:fill="FFFFFF"/>
            <w:noWrap/>
            <w:vAlign w:val="center"/>
            <w:hideMark/>
          </w:tcPr>
          <w:p w14:paraId="628D9CA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58.8</w:t>
            </w:r>
          </w:p>
        </w:tc>
        <w:tc>
          <w:tcPr>
            <w:tcW w:w="436" w:type="pct"/>
            <w:tcBorders>
              <w:top w:val="nil"/>
              <w:left w:val="nil"/>
              <w:bottom w:val="nil"/>
              <w:right w:val="nil"/>
            </w:tcBorders>
            <w:shd w:val="clear" w:color="000000" w:fill="FFFFFF"/>
            <w:noWrap/>
            <w:vAlign w:val="center"/>
            <w:hideMark/>
          </w:tcPr>
          <w:p w14:paraId="6DC027E8"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2.1</w:t>
            </w:r>
          </w:p>
        </w:tc>
        <w:tc>
          <w:tcPr>
            <w:tcW w:w="436" w:type="pct"/>
            <w:tcBorders>
              <w:top w:val="nil"/>
              <w:left w:val="nil"/>
              <w:bottom w:val="nil"/>
              <w:right w:val="nil"/>
            </w:tcBorders>
            <w:shd w:val="clear" w:color="000000" w:fill="FFFFFF"/>
            <w:noWrap/>
            <w:vAlign w:val="center"/>
            <w:hideMark/>
          </w:tcPr>
          <w:p w14:paraId="7FC7DCAC"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58.0</w:t>
            </w:r>
          </w:p>
        </w:tc>
        <w:tc>
          <w:tcPr>
            <w:tcW w:w="436" w:type="pct"/>
            <w:tcBorders>
              <w:top w:val="nil"/>
              <w:left w:val="nil"/>
              <w:bottom w:val="nil"/>
              <w:right w:val="nil"/>
            </w:tcBorders>
            <w:shd w:val="clear" w:color="000000" w:fill="FFFFFF"/>
            <w:noWrap/>
            <w:vAlign w:val="center"/>
            <w:hideMark/>
          </w:tcPr>
          <w:p w14:paraId="3169BA2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1.9</w:t>
            </w:r>
          </w:p>
        </w:tc>
        <w:tc>
          <w:tcPr>
            <w:tcW w:w="436" w:type="pct"/>
            <w:tcBorders>
              <w:top w:val="nil"/>
              <w:left w:val="nil"/>
              <w:bottom w:val="nil"/>
              <w:right w:val="nil"/>
            </w:tcBorders>
            <w:shd w:val="clear" w:color="000000" w:fill="FFFFFF"/>
            <w:noWrap/>
            <w:vAlign w:val="center"/>
            <w:hideMark/>
          </w:tcPr>
          <w:p w14:paraId="40184EC1"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61.0</w:t>
            </w:r>
          </w:p>
        </w:tc>
        <w:tc>
          <w:tcPr>
            <w:tcW w:w="435" w:type="pct"/>
            <w:tcBorders>
              <w:top w:val="nil"/>
              <w:left w:val="nil"/>
              <w:bottom w:val="nil"/>
              <w:right w:val="nil"/>
            </w:tcBorders>
            <w:shd w:val="clear" w:color="000000" w:fill="FFFFFF"/>
            <w:noWrap/>
            <w:vAlign w:val="center"/>
            <w:hideMark/>
          </w:tcPr>
          <w:p w14:paraId="7F9205F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1.9</w:t>
            </w:r>
          </w:p>
        </w:tc>
      </w:tr>
      <w:tr w:rsidR="00425B73" w:rsidRPr="00DB263B" w14:paraId="27D93435"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46A47190" w14:textId="77777777" w:rsidR="00DB263B" w:rsidRPr="00D86770" w:rsidRDefault="00DB263B" w:rsidP="00F36233">
            <w:pPr>
              <w:spacing w:before="0" w:after="0" w:line="240" w:lineRule="auto"/>
              <w:ind w:left="34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nil"/>
              <w:right w:val="nil"/>
            </w:tcBorders>
            <w:shd w:val="clear" w:color="000000" w:fill="E6F2FF"/>
            <w:noWrap/>
            <w:vAlign w:val="center"/>
            <w:hideMark/>
          </w:tcPr>
          <w:p w14:paraId="2DA57BD4"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55.9</w:t>
            </w:r>
          </w:p>
        </w:tc>
        <w:tc>
          <w:tcPr>
            <w:tcW w:w="437" w:type="pct"/>
            <w:tcBorders>
              <w:top w:val="nil"/>
              <w:left w:val="nil"/>
              <w:bottom w:val="nil"/>
              <w:right w:val="nil"/>
            </w:tcBorders>
            <w:shd w:val="clear" w:color="000000" w:fill="E6F2FF"/>
            <w:noWrap/>
            <w:vAlign w:val="center"/>
            <w:hideMark/>
          </w:tcPr>
          <w:p w14:paraId="408C37A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2.0</w:t>
            </w:r>
          </w:p>
        </w:tc>
        <w:tc>
          <w:tcPr>
            <w:tcW w:w="436" w:type="pct"/>
            <w:tcBorders>
              <w:top w:val="nil"/>
              <w:left w:val="nil"/>
              <w:bottom w:val="nil"/>
              <w:right w:val="nil"/>
            </w:tcBorders>
            <w:shd w:val="clear" w:color="000000" w:fill="FFFFFF"/>
            <w:noWrap/>
            <w:vAlign w:val="center"/>
            <w:hideMark/>
          </w:tcPr>
          <w:p w14:paraId="5E40C282"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57.8</w:t>
            </w:r>
          </w:p>
        </w:tc>
        <w:tc>
          <w:tcPr>
            <w:tcW w:w="436" w:type="pct"/>
            <w:tcBorders>
              <w:top w:val="nil"/>
              <w:left w:val="nil"/>
              <w:bottom w:val="nil"/>
              <w:right w:val="nil"/>
            </w:tcBorders>
            <w:shd w:val="clear" w:color="000000" w:fill="FFFFFF"/>
            <w:noWrap/>
            <w:vAlign w:val="center"/>
            <w:hideMark/>
          </w:tcPr>
          <w:p w14:paraId="7572ED2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2.0</w:t>
            </w:r>
          </w:p>
        </w:tc>
        <w:tc>
          <w:tcPr>
            <w:tcW w:w="436" w:type="pct"/>
            <w:tcBorders>
              <w:top w:val="nil"/>
              <w:left w:val="nil"/>
              <w:bottom w:val="nil"/>
              <w:right w:val="nil"/>
            </w:tcBorders>
            <w:shd w:val="clear" w:color="000000" w:fill="FFFFFF"/>
            <w:noWrap/>
            <w:vAlign w:val="center"/>
            <w:hideMark/>
          </w:tcPr>
          <w:p w14:paraId="55021CDC"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57.7</w:t>
            </w:r>
          </w:p>
        </w:tc>
        <w:tc>
          <w:tcPr>
            <w:tcW w:w="436" w:type="pct"/>
            <w:tcBorders>
              <w:top w:val="nil"/>
              <w:left w:val="nil"/>
              <w:bottom w:val="nil"/>
              <w:right w:val="nil"/>
            </w:tcBorders>
            <w:shd w:val="clear" w:color="000000" w:fill="FFFFFF"/>
            <w:noWrap/>
            <w:vAlign w:val="center"/>
            <w:hideMark/>
          </w:tcPr>
          <w:p w14:paraId="4D19F64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1.9</w:t>
            </w:r>
          </w:p>
        </w:tc>
        <w:tc>
          <w:tcPr>
            <w:tcW w:w="436" w:type="pct"/>
            <w:tcBorders>
              <w:top w:val="nil"/>
              <w:left w:val="nil"/>
              <w:bottom w:val="nil"/>
              <w:right w:val="nil"/>
            </w:tcBorders>
            <w:shd w:val="clear" w:color="000000" w:fill="FFFFFF"/>
            <w:noWrap/>
            <w:vAlign w:val="center"/>
            <w:hideMark/>
          </w:tcPr>
          <w:p w14:paraId="78098071"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59.5</w:t>
            </w:r>
          </w:p>
        </w:tc>
        <w:tc>
          <w:tcPr>
            <w:tcW w:w="435" w:type="pct"/>
            <w:tcBorders>
              <w:top w:val="nil"/>
              <w:left w:val="nil"/>
              <w:bottom w:val="nil"/>
              <w:right w:val="nil"/>
            </w:tcBorders>
            <w:shd w:val="clear" w:color="000000" w:fill="FFFFFF"/>
            <w:noWrap/>
            <w:vAlign w:val="center"/>
            <w:hideMark/>
          </w:tcPr>
          <w:p w14:paraId="1F9164E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1.9</w:t>
            </w:r>
          </w:p>
        </w:tc>
      </w:tr>
      <w:tr w:rsidR="00425B73" w:rsidRPr="00DB263B" w14:paraId="61EB11AA" w14:textId="77777777" w:rsidTr="00F36233">
        <w:trPr>
          <w:trHeight w:hRule="exact" w:val="60"/>
        </w:trPr>
        <w:tc>
          <w:tcPr>
            <w:tcW w:w="1613" w:type="pct"/>
            <w:tcBorders>
              <w:top w:val="nil"/>
              <w:left w:val="nil"/>
              <w:bottom w:val="nil"/>
              <w:right w:val="nil"/>
            </w:tcBorders>
            <w:shd w:val="clear" w:color="000000" w:fill="FFFFFF"/>
            <w:noWrap/>
            <w:vAlign w:val="center"/>
            <w:hideMark/>
          </w:tcPr>
          <w:p w14:paraId="52B4AEDE"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335" w:type="pct"/>
            <w:tcBorders>
              <w:top w:val="nil"/>
              <w:left w:val="nil"/>
              <w:bottom w:val="nil"/>
              <w:right w:val="nil"/>
            </w:tcBorders>
            <w:shd w:val="clear" w:color="000000" w:fill="E6F2FF"/>
            <w:noWrap/>
            <w:vAlign w:val="center"/>
            <w:hideMark/>
          </w:tcPr>
          <w:p w14:paraId="78A55DC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7B0B810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362769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736D22F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3CE49928"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28D46B9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782FAA4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57A4A21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321227AA"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12118146" w14:textId="77777777" w:rsidR="00DB263B" w:rsidRPr="00D86770" w:rsidRDefault="00DB263B" w:rsidP="00D86770">
            <w:pPr>
              <w:spacing w:before="0" w:after="0" w:line="240" w:lineRule="auto"/>
              <w:rPr>
                <w:rFonts w:ascii="Arial" w:hAnsi="Arial" w:cs="Arial"/>
                <w:b/>
                <w:bCs/>
                <w:color w:val="000000"/>
                <w:sz w:val="16"/>
                <w:szCs w:val="16"/>
              </w:rPr>
            </w:pPr>
            <w:r w:rsidRPr="00D86770">
              <w:rPr>
                <w:rFonts w:ascii="Arial" w:hAnsi="Arial" w:cs="Arial"/>
                <w:b/>
                <w:bCs/>
                <w:color w:val="000000"/>
                <w:sz w:val="16"/>
                <w:szCs w:val="16"/>
              </w:rPr>
              <w:t>Payments(a)</w:t>
            </w:r>
          </w:p>
        </w:tc>
        <w:tc>
          <w:tcPr>
            <w:tcW w:w="335" w:type="pct"/>
            <w:tcBorders>
              <w:top w:val="nil"/>
              <w:left w:val="nil"/>
              <w:bottom w:val="nil"/>
              <w:right w:val="nil"/>
            </w:tcBorders>
            <w:shd w:val="clear" w:color="000000" w:fill="E6F2FF"/>
            <w:noWrap/>
            <w:vAlign w:val="center"/>
            <w:hideMark/>
          </w:tcPr>
          <w:p w14:paraId="44991E17"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7" w:type="pct"/>
            <w:tcBorders>
              <w:top w:val="nil"/>
              <w:left w:val="nil"/>
              <w:bottom w:val="nil"/>
              <w:right w:val="nil"/>
            </w:tcBorders>
            <w:shd w:val="clear" w:color="000000" w:fill="E6F2FF"/>
            <w:noWrap/>
            <w:vAlign w:val="center"/>
            <w:hideMark/>
          </w:tcPr>
          <w:p w14:paraId="41243305"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24C6186A"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5EA36CED"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3E96B8CF"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373CA894"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6" w:type="pct"/>
            <w:tcBorders>
              <w:top w:val="nil"/>
              <w:left w:val="nil"/>
              <w:bottom w:val="nil"/>
              <w:right w:val="nil"/>
            </w:tcBorders>
            <w:shd w:val="clear" w:color="000000" w:fill="FFFFFF"/>
            <w:noWrap/>
            <w:vAlign w:val="center"/>
            <w:hideMark/>
          </w:tcPr>
          <w:p w14:paraId="2D1C0544"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c>
          <w:tcPr>
            <w:tcW w:w="435" w:type="pct"/>
            <w:tcBorders>
              <w:top w:val="nil"/>
              <w:left w:val="nil"/>
              <w:bottom w:val="nil"/>
              <w:right w:val="nil"/>
            </w:tcBorders>
            <w:shd w:val="clear" w:color="000000" w:fill="FFFFFF"/>
            <w:noWrap/>
            <w:vAlign w:val="center"/>
            <w:hideMark/>
          </w:tcPr>
          <w:p w14:paraId="2702D0D4" w14:textId="77777777" w:rsidR="00DB263B" w:rsidRPr="00D86770" w:rsidRDefault="00DB263B" w:rsidP="00D86770">
            <w:pPr>
              <w:spacing w:before="0" w:after="0" w:line="240" w:lineRule="auto"/>
              <w:jc w:val="right"/>
              <w:rPr>
                <w:rFonts w:ascii="Arial" w:hAnsi="Arial" w:cs="Arial"/>
                <w:b/>
                <w:bCs/>
                <w:color w:val="000000"/>
                <w:sz w:val="16"/>
                <w:szCs w:val="16"/>
              </w:rPr>
            </w:pPr>
            <w:r w:rsidRPr="00D86770">
              <w:rPr>
                <w:rFonts w:ascii="Arial" w:hAnsi="Arial" w:cs="Arial"/>
                <w:b/>
                <w:bCs/>
                <w:color w:val="000000"/>
                <w:sz w:val="16"/>
                <w:szCs w:val="16"/>
              </w:rPr>
              <w:t> </w:t>
            </w:r>
          </w:p>
        </w:tc>
      </w:tr>
      <w:tr w:rsidR="00425B73" w:rsidRPr="00DB263B" w14:paraId="770D23CC"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7D8865A4" w14:textId="77777777" w:rsidR="00DB263B" w:rsidRPr="00D86770" w:rsidRDefault="00DB263B" w:rsidP="00F36233">
            <w:pPr>
              <w:spacing w:before="0" w:after="0" w:line="240" w:lineRule="auto"/>
              <w:ind w:left="17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74B05051"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731.1</w:t>
            </w:r>
          </w:p>
        </w:tc>
        <w:tc>
          <w:tcPr>
            <w:tcW w:w="437" w:type="pct"/>
            <w:tcBorders>
              <w:top w:val="nil"/>
              <w:left w:val="nil"/>
              <w:bottom w:val="nil"/>
              <w:right w:val="nil"/>
            </w:tcBorders>
            <w:shd w:val="clear" w:color="000000" w:fill="E6F2FF"/>
            <w:noWrap/>
            <w:vAlign w:val="center"/>
            <w:hideMark/>
          </w:tcPr>
          <w:p w14:paraId="2B062A7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26.5</w:t>
            </w:r>
          </w:p>
        </w:tc>
        <w:tc>
          <w:tcPr>
            <w:tcW w:w="436" w:type="pct"/>
            <w:tcBorders>
              <w:top w:val="nil"/>
              <w:left w:val="nil"/>
              <w:bottom w:val="nil"/>
              <w:right w:val="nil"/>
            </w:tcBorders>
            <w:shd w:val="clear" w:color="000000" w:fill="FFFFFF"/>
            <w:noWrap/>
            <w:vAlign w:val="center"/>
            <w:hideMark/>
          </w:tcPr>
          <w:p w14:paraId="2698C90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775.3</w:t>
            </w:r>
          </w:p>
        </w:tc>
        <w:tc>
          <w:tcPr>
            <w:tcW w:w="436" w:type="pct"/>
            <w:tcBorders>
              <w:top w:val="nil"/>
              <w:left w:val="nil"/>
              <w:bottom w:val="nil"/>
              <w:right w:val="nil"/>
            </w:tcBorders>
            <w:shd w:val="clear" w:color="000000" w:fill="FFFFFF"/>
            <w:noWrap/>
            <w:vAlign w:val="center"/>
            <w:hideMark/>
          </w:tcPr>
          <w:p w14:paraId="4E645C7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27.2</w:t>
            </w:r>
          </w:p>
        </w:tc>
        <w:tc>
          <w:tcPr>
            <w:tcW w:w="436" w:type="pct"/>
            <w:tcBorders>
              <w:top w:val="nil"/>
              <w:left w:val="nil"/>
              <w:bottom w:val="nil"/>
              <w:right w:val="nil"/>
            </w:tcBorders>
            <w:shd w:val="clear" w:color="000000" w:fill="FFFFFF"/>
            <w:noWrap/>
            <w:vAlign w:val="center"/>
            <w:hideMark/>
          </w:tcPr>
          <w:p w14:paraId="7B3D36E5"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801.7</w:t>
            </w:r>
          </w:p>
        </w:tc>
        <w:tc>
          <w:tcPr>
            <w:tcW w:w="436" w:type="pct"/>
            <w:tcBorders>
              <w:top w:val="nil"/>
              <w:left w:val="nil"/>
              <w:bottom w:val="nil"/>
              <w:right w:val="nil"/>
            </w:tcBorders>
            <w:shd w:val="clear" w:color="000000" w:fill="FFFFFF"/>
            <w:noWrap/>
            <w:vAlign w:val="center"/>
            <w:hideMark/>
          </w:tcPr>
          <w:p w14:paraId="766FE952"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26.7</w:t>
            </w:r>
          </w:p>
        </w:tc>
        <w:tc>
          <w:tcPr>
            <w:tcW w:w="436" w:type="pct"/>
            <w:tcBorders>
              <w:top w:val="nil"/>
              <w:left w:val="nil"/>
              <w:bottom w:val="nil"/>
              <w:right w:val="nil"/>
            </w:tcBorders>
            <w:shd w:val="clear" w:color="000000" w:fill="FFFFFF"/>
            <w:noWrap/>
            <w:vAlign w:val="center"/>
            <w:hideMark/>
          </w:tcPr>
          <w:p w14:paraId="3E56F1F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835.7</w:t>
            </w:r>
          </w:p>
        </w:tc>
        <w:tc>
          <w:tcPr>
            <w:tcW w:w="435" w:type="pct"/>
            <w:tcBorders>
              <w:top w:val="nil"/>
              <w:left w:val="nil"/>
              <w:bottom w:val="nil"/>
              <w:right w:val="nil"/>
            </w:tcBorders>
            <w:shd w:val="clear" w:color="000000" w:fill="FFFFFF"/>
            <w:noWrap/>
            <w:vAlign w:val="center"/>
            <w:hideMark/>
          </w:tcPr>
          <w:p w14:paraId="288E52D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26.4</w:t>
            </w:r>
          </w:p>
        </w:tc>
      </w:tr>
      <w:tr w:rsidR="00425B73" w:rsidRPr="00DB263B" w14:paraId="6D1789C8"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4E234890" w14:textId="77777777" w:rsidR="00DB263B" w:rsidRPr="00D86770" w:rsidRDefault="00DB263B" w:rsidP="00F36233">
            <w:pPr>
              <w:spacing w:before="0" w:after="0" w:line="240" w:lineRule="auto"/>
              <w:ind w:left="17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nil"/>
              <w:right w:val="nil"/>
            </w:tcBorders>
            <w:shd w:val="clear" w:color="000000" w:fill="E6F2FF"/>
            <w:noWrap/>
            <w:vAlign w:val="center"/>
            <w:hideMark/>
          </w:tcPr>
          <w:p w14:paraId="3AA3951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726.7</w:t>
            </w:r>
          </w:p>
        </w:tc>
        <w:tc>
          <w:tcPr>
            <w:tcW w:w="437" w:type="pct"/>
            <w:tcBorders>
              <w:top w:val="nil"/>
              <w:left w:val="nil"/>
              <w:bottom w:val="nil"/>
              <w:right w:val="nil"/>
            </w:tcBorders>
            <w:shd w:val="clear" w:color="000000" w:fill="E6F2FF"/>
            <w:noWrap/>
            <w:vAlign w:val="center"/>
            <w:hideMark/>
          </w:tcPr>
          <w:p w14:paraId="309BE9A7"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26.4</w:t>
            </w:r>
          </w:p>
        </w:tc>
        <w:tc>
          <w:tcPr>
            <w:tcW w:w="436" w:type="pct"/>
            <w:tcBorders>
              <w:top w:val="nil"/>
              <w:left w:val="nil"/>
              <w:bottom w:val="nil"/>
              <w:right w:val="nil"/>
            </w:tcBorders>
            <w:shd w:val="clear" w:color="000000" w:fill="FFFFFF"/>
            <w:noWrap/>
            <w:vAlign w:val="center"/>
            <w:hideMark/>
          </w:tcPr>
          <w:p w14:paraId="685F7206"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762.2</w:t>
            </w:r>
          </w:p>
        </w:tc>
        <w:tc>
          <w:tcPr>
            <w:tcW w:w="436" w:type="pct"/>
            <w:tcBorders>
              <w:top w:val="nil"/>
              <w:left w:val="nil"/>
              <w:bottom w:val="nil"/>
              <w:right w:val="nil"/>
            </w:tcBorders>
            <w:shd w:val="clear" w:color="000000" w:fill="FFFFFF"/>
            <w:noWrap/>
            <w:vAlign w:val="center"/>
            <w:hideMark/>
          </w:tcPr>
          <w:p w14:paraId="30A63F86"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26.6</w:t>
            </w:r>
          </w:p>
        </w:tc>
        <w:tc>
          <w:tcPr>
            <w:tcW w:w="436" w:type="pct"/>
            <w:tcBorders>
              <w:top w:val="nil"/>
              <w:left w:val="nil"/>
              <w:bottom w:val="nil"/>
              <w:right w:val="nil"/>
            </w:tcBorders>
            <w:shd w:val="clear" w:color="000000" w:fill="FFFFFF"/>
            <w:noWrap/>
            <w:vAlign w:val="center"/>
            <w:hideMark/>
          </w:tcPr>
          <w:p w14:paraId="74DFCE5E"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786.7</w:t>
            </w:r>
          </w:p>
        </w:tc>
        <w:tc>
          <w:tcPr>
            <w:tcW w:w="436" w:type="pct"/>
            <w:tcBorders>
              <w:top w:val="nil"/>
              <w:left w:val="nil"/>
              <w:bottom w:val="nil"/>
              <w:right w:val="nil"/>
            </w:tcBorders>
            <w:shd w:val="clear" w:color="000000" w:fill="FFFFFF"/>
            <w:noWrap/>
            <w:vAlign w:val="center"/>
            <w:hideMark/>
          </w:tcPr>
          <w:p w14:paraId="48FCF26B"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26.0</w:t>
            </w:r>
          </w:p>
        </w:tc>
        <w:tc>
          <w:tcPr>
            <w:tcW w:w="436" w:type="pct"/>
            <w:tcBorders>
              <w:top w:val="nil"/>
              <w:left w:val="nil"/>
              <w:bottom w:val="nil"/>
              <w:right w:val="nil"/>
            </w:tcBorders>
            <w:shd w:val="clear" w:color="000000" w:fill="FFFFFF"/>
            <w:noWrap/>
            <w:vAlign w:val="center"/>
            <w:hideMark/>
          </w:tcPr>
          <w:p w14:paraId="2AECDFE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826.2</w:t>
            </w:r>
          </w:p>
        </w:tc>
        <w:tc>
          <w:tcPr>
            <w:tcW w:w="435" w:type="pct"/>
            <w:tcBorders>
              <w:top w:val="nil"/>
              <w:left w:val="nil"/>
              <w:bottom w:val="nil"/>
              <w:right w:val="nil"/>
            </w:tcBorders>
            <w:shd w:val="clear" w:color="000000" w:fill="FFFFFF"/>
            <w:noWrap/>
            <w:vAlign w:val="center"/>
            <w:hideMark/>
          </w:tcPr>
          <w:p w14:paraId="5C5612AE"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26.0</w:t>
            </w:r>
          </w:p>
        </w:tc>
      </w:tr>
      <w:tr w:rsidR="00425B73" w:rsidRPr="00DB263B" w14:paraId="62925E23" w14:textId="77777777" w:rsidTr="00F36233">
        <w:trPr>
          <w:trHeight w:hRule="exact" w:val="60"/>
        </w:trPr>
        <w:tc>
          <w:tcPr>
            <w:tcW w:w="1613" w:type="pct"/>
            <w:tcBorders>
              <w:top w:val="nil"/>
              <w:left w:val="nil"/>
              <w:bottom w:val="nil"/>
              <w:right w:val="nil"/>
            </w:tcBorders>
            <w:shd w:val="clear" w:color="000000" w:fill="FFFFFF"/>
            <w:noWrap/>
            <w:vAlign w:val="center"/>
            <w:hideMark/>
          </w:tcPr>
          <w:p w14:paraId="3B0D9F10"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335" w:type="pct"/>
            <w:tcBorders>
              <w:top w:val="nil"/>
              <w:left w:val="nil"/>
              <w:bottom w:val="nil"/>
              <w:right w:val="nil"/>
            </w:tcBorders>
            <w:shd w:val="clear" w:color="000000" w:fill="E6F2FF"/>
            <w:noWrap/>
            <w:vAlign w:val="center"/>
            <w:hideMark/>
          </w:tcPr>
          <w:p w14:paraId="149C07C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40E2098C"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3A950D9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3360EA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4BDCDF21"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7368D33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77D1C1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35AA552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5777E3AD"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243246CC" w14:textId="77777777" w:rsidR="00DB263B" w:rsidRPr="00D86770" w:rsidRDefault="00DB263B" w:rsidP="00D86770">
            <w:pPr>
              <w:spacing w:before="0" w:after="0" w:line="240" w:lineRule="auto"/>
              <w:rPr>
                <w:rFonts w:ascii="Arial" w:hAnsi="Arial" w:cs="Arial"/>
                <w:b/>
                <w:bCs/>
                <w:color w:val="000000"/>
                <w:sz w:val="16"/>
                <w:szCs w:val="16"/>
              </w:rPr>
            </w:pPr>
            <w:r w:rsidRPr="00D86770">
              <w:rPr>
                <w:rFonts w:ascii="Arial" w:hAnsi="Arial" w:cs="Arial"/>
                <w:b/>
                <w:bCs/>
                <w:color w:val="000000"/>
                <w:sz w:val="16"/>
                <w:szCs w:val="16"/>
              </w:rPr>
              <w:t>Gross debt(b)</w:t>
            </w:r>
          </w:p>
        </w:tc>
        <w:tc>
          <w:tcPr>
            <w:tcW w:w="335" w:type="pct"/>
            <w:tcBorders>
              <w:top w:val="nil"/>
              <w:left w:val="nil"/>
              <w:bottom w:val="nil"/>
              <w:right w:val="nil"/>
            </w:tcBorders>
            <w:shd w:val="clear" w:color="000000" w:fill="E6F2FF"/>
            <w:noWrap/>
            <w:vAlign w:val="center"/>
            <w:hideMark/>
          </w:tcPr>
          <w:p w14:paraId="37D2D108"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2DAA005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6DDBDAA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26610D38"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7444E63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241F4FA"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75FD87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0300F9B2"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31CBE9BA"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2D663EAA" w14:textId="77777777" w:rsidR="00DB263B" w:rsidRPr="00D86770" w:rsidRDefault="00DB263B" w:rsidP="00F36233">
            <w:pPr>
              <w:spacing w:before="0" w:after="0" w:line="240" w:lineRule="auto"/>
              <w:ind w:left="17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467ECFE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940.0</w:t>
            </w:r>
          </w:p>
        </w:tc>
        <w:tc>
          <w:tcPr>
            <w:tcW w:w="437" w:type="pct"/>
            <w:tcBorders>
              <w:top w:val="nil"/>
              <w:left w:val="nil"/>
              <w:bottom w:val="nil"/>
              <w:right w:val="nil"/>
            </w:tcBorders>
            <w:shd w:val="clear" w:color="000000" w:fill="E6F2FF"/>
            <w:noWrap/>
            <w:vAlign w:val="center"/>
            <w:hideMark/>
          </w:tcPr>
          <w:p w14:paraId="09FBC4F1"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34.0</w:t>
            </w:r>
          </w:p>
        </w:tc>
        <w:tc>
          <w:tcPr>
            <w:tcW w:w="436" w:type="pct"/>
            <w:tcBorders>
              <w:top w:val="nil"/>
              <w:left w:val="nil"/>
              <w:bottom w:val="nil"/>
              <w:right w:val="nil"/>
            </w:tcBorders>
            <w:shd w:val="clear" w:color="000000" w:fill="FFFFFF"/>
            <w:noWrap/>
            <w:vAlign w:val="center"/>
            <w:hideMark/>
          </w:tcPr>
          <w:p w14:paraId="1ABEFF1C"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1,028.0</w:t>
            </w:r>
          </w:p>
        </w:tc>
        <w:tc>
          <w:tcPr>
            <w:tcW w:w="436" w:type="pct"/>
            <w:tcBorders>
              <w:top w:val="nil"/>
              <w:left w:val="nil"/>
              <w:bottom w:val="nil"/>
              <w:right w:val="nil"/>
            </w:tcBorders>
            <w:shd w:val="clear" w:color="000000" w:fill="FFFFFF"/>
            <w:noWrap/>
            <w:vAlign w:val="center"/>
            <w:hideMark/>
          </w:tcPr>
          <w:p w14:paraId="2C4D996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36.0</w:t>
            </w:r>
          </w:p>
        </w:tc>
        <w:tc>
          <w:tcPr>
            <w:tcW w:w="436" w:type="pct"/>
            <w:tcBorders>
              <w:top w:val="nil"/>
              <w:left w:val="nil"/>
              <w:bottom w:val="nil"/>
              <w:right w:val="nil"/>
            </w:tcBorders>
            <w:shd w:val="clear" w:color="000000" w:fill="FFFFFF"/>
            <w:noWrap/>
            <w:vAlign w:val="center"/>
            <w:hideMark/>
          </w:tcPr>
          <w:p w14:paraId="3803FD02"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1,100.0</w:t>
            </w:r>
          </w:p>
        </w:tc>
        <w:tc>
          <w:tcPr>
            <w:tcW w:w="436" w:type="pct"/>
            <w:tcBorders>
              <w:top w:val="nil"/>
              <w:left w:val="nil"/>
              <w:bottom w:val="nil"/>
              <w:right w:val="nil"/>
            </w:tcBorders>
            <w:shd w:val="clear" w:color="000000" w:fill="FFFFFF"/>
            <w:noWrap/>
            <w:vAlign w:val="center"/>
            <w:hideMark/>
          </w:tcPr>
          <w:p w14:paraId="0C0E0CB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36.7</w:t>
            </w:r>
          </w:p>
        </w:tc>
        <w:tc>
          <w:tcPr>
            <w:tcW w:w="436" w:type="pct"/>
            <w:tcBorders>
              <w:top w:val="nil"/>
              <w:left w:val="nil"/>
              <w:bottom w:val="nil"/>
              <w:right w:val="nil"/>
            </w:tcBorders>
            <w:shd w:val="clear" w:color="000000" w:fill="FFFFFF"/>
            <w:noWrap/>
            <w:vAlign w:val="center"/>
            <w:hideMark/>
          </w:tcPr>
          <w:p w14:paraId="120AC44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1,161.0</w:t>
            </w:r>
          </w:p>
        </w:tc>
        <w:tc>
          <w:tcPr>
            <w:tcW w:w="435" w:type="pct"/>
            <w:tcBorders>
              <w:top w:val="nil"/>
              <w:left w:val="nil"/>
              <w:bottom w:val="nil"/>
              <w:right w:val="nil"/>
            </w:tcBorders>
            <w:shd w:val="clear" w:color="000000" w:fill="FFFFFF"/>
            <w:noWrap/>
            <w:vAlign w:val="center"/>
            <w:hideMark/>
          </w:tcPr>
          <w:p w14:paraId="42181AE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36.7</w:t>
            </w:r>
          </w:p>
        </w:tc>
      </w:tr>
      <w:tr w:rsidR="00425B73" w:rsidRPr="00DB263B" w14:paraId="551B3933"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76D2630D" w14:textId="77777777" w:rsidR="00DB263B" w:rsidRPr="00D86770" w:rsidRDefault="00DB263B" w:rsidP="00F36233">
            <w:pPr>
              <w:spacing w:before="0" w:after="0" w:line="240" w:lineRule="auto"/>
              <w:ind w:left="17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nil"/>
              <w:right w:val="nil"/>
            </w:tcBorders>
            <w:shd w:val="clear" w:color="000000" w:fill="E6F2FF"/>
            <w:noWrap/>
            <w:vAlign w:val="center"/>
            <w:hideMark/>
          </w:tcPr>
          <w:p w14:paraId="002EEBC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934.0</w:t>
            </w:r>
          </w:p>
        </w:tc>
        <w:tc>
          <w:tcPr>
            <w:tcW w:w="437" w:type="pct"/>
            <w:tcBorders>
              <w:top w:val="nil"/>
              <w:left w:val="nil"/>
              <w:bottom w:val="nil"/>
              <w:right w:val="nil"/>
            </w:tcBorders>
            <w:shd w:val="clear" w:color="000000" w:fill="E6F2FF"/>
            <w:noWrap/>
            <w:vAlign w:val="center"/>
            <w:hideMark/>
          </w:tcPr>
          <w:p w14:paraId="2318D78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33.9</w:t>
            </w:r>
          </w:p>
        </w:tc>
        <w:tc>
          <w:tcPr>
            <w:tcW w:w="436" w:type="pct"/>
            <w:tcBorders>
              <w:top w:val="nil"/>
              <w:left w:val="nil"/>
              <w:bottom w:val="nil"/>
              <w:right w:val="nil"/>
            </w:tcBorders>
            <w:shd w:val="clear" w:color="000000" w:fill="FFFFFF"/>
            <w:noWrap/>
            <w:vAlign w:val="center"/>
            <w:hideMark/>
          </w:tcPr>
          <w:p w14:paraId="0B11883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1,007.0</w:t>
            </w:r>
          </w:p>
        </w:tc>
        <w:tc>
          <w:tcPr>
            <w:tcW w:w="436" w:type="pct"/>
            <w:tcBorders>
              <w:top w:val="nil"/>
              <w:left w:val="nil"/>
              <w:bottom w:val="nil"/>
              <w:right w:val="nil"/>
            </w:tcBorders>
            <w:shd w:val="clear" w:color="000000" w:fill="FFFFFF"/>
            <w:noWrap/>
            <w:vAlign w:val="center"/>
            <w:hideMark/>
          </w:tcPr>
          <w:p w14:paraId="3AA3D8A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35.1</w:t>
            </w:r>
          </w:p>
        </w:tc>
        <w:tc>
          <w:tcPr>
            <w:tcW w:w="436" w:type="pct"/>
            <w:tcBorders>
              <w:top w:val="nil"/>
              <w:left w:val="nil"/>
              <w:bottom w:val="nil"/>
              <w:right w:val="nil"/>
            </w:tcBorders>
            <w:shd w:val="clear" w:color="000000" w:fill="FFFFFF"/>
            <w:noWrap/>
            <w:vAlign w:val="center"/>
            <w:hideMark/>
          </w:tcPr>
          <w:p w14:paraId="3ABC939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1,064.0</w:t>
            </w:r>
          </w:p>
        </w:tc>
        <w:tc>
          <w:tcPr>
            <w:tcW w:w="436" w:type="pct"/>
            <w:tcBorders>
              <w:top w:val="nil"/>
              <w:left w:val="nil"/>
              <w:bottom w:val="nil"/>
              <w:right w:val="nil"/>
            </w:tcBorders>
            <w:shd w:val="clear" w:color="000000" w:fill="FFFFFF"/>
            <w:noWrap/>
            <w:vAlign w:val="center"/>
            <w:hideMark/>
          </w:tcPr>
          <w:p w14:paraId="6F76851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35.2</w:t>
            </w:r>
          </w:p>
        </w:tc>
        <w:tc>
          <w:tcPr>
            <w:tcW w:w="436" w:type="pct"/>
            <w:tcBorders>
              <w:top w:val="nil"/>
              <w:left w:val="nil"/>
              <w:bottom w:val="nil"/>
              <w:right w:val="nil"/>
            </w:tcBorders>
            <w:shd w:val="clear" w:color="000000" w:fill="FFFFFF"/>
            <w:noWrap/>
            <w:vAlign w:val="center"/>
            <w:hideMark/>
          </w:tcPr>
          <w:p w14:paraId="30DC5B2F"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1,112.0</w:t>
            </w:r>
          </w:p>
        </w:tc>
        <w:tc>
          <w:tcPr>
            <w:tcW w:w="435" w:type="pct"/>
            <w:tcBorders>
              <w:top w:val="nil"/>
              <w:left w:val="nil"/>
              <w:bottom w:val="nil"/>
              <w:right w:val="nil"/>
            </w:tcBorders>
            <w:shd w:val="clear" w:color="000000" w:fill="FFFFFF"/>
            <w:noWrap/>
            <w:vAlign w:val="center"/>
            <w:hideMark/>
          </w:tcPr>
          <w:p w14:paraId="10A2EAE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34.9</w:t>
            </w:r>
          </w:p>
        </w:tc>
      </w:tr>
      <w:tr w:rsidR="00425B73" w:rsidRPr="00DB263B" w14:paraId="17D07442" w14:textId="77777777" w:rsidTr="00F36233">
        <w:trPr>
          <w:trHeight w:hRule="exact" w:val="60"/>
        </w:trPr>
        <w:tc>
          <w:tcPr>
            <w:tcW w:w="1613" w:type="pct"/>
            <w:tcBorders>
              <w:top w:val="nil"/>
              <w:left w:val="nil"/>
              <w:bottom w:val="nil"/>
              <w:right w:val="nil"/>
            </w:tcBorders>
            <w:shd w:val="clear" w:color="000000" w:fill="FFFFFF"/>
            <w:noWrap/>
            <w:vAlign w:val="center"/>
            <w:hideMark/>
          </w:tcPr>
          <w:p w14:paraId="106E2EB9"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335" w:type="pct"/>
            <w:tcBorders>
              <w:top w:val="nil"/>
              <w:left w:val="nil"/>
              <w:bottom w:val="nil"/>
              <w:right w:val="nil"/>
            </w:tcBorders>
            <w:shd w:val="clear" w:color="000000" w:fill="E6F2FF"/>
            <w:noWrap/>
            <w:vAlign w:val="center"/>
            <w:hideMark/>
          </w:tcPr>
          <w:p w14:paraId="6E0336D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0C5BA27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32743FF1"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30C5C76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2E80C0B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C6E330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4AA95C41"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5E44FDF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5728D98A"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3308B4EF" w14:textId="77777777" w:rsidR="00DB263B" w:rsidRPr="00D86770" w:rsidRDefault="00DB263B" w:rsidP="00D86770">
            <w:pPr>
              <w:spacing w:before="0" w:after="0" w:line="240" w:lineRule="auto"/>
              <w:rPr>
                <w:rFonts w:ascii="Arial" w:hAnsi="Arial" w:cs="Arial"/>
                <w:b/>
                <w:bCs/>
                <w:color w:val="000000"/>
                <w:sz w:val="16"/>
                <w:szCs w:val="16"/>
              </w:rPr>
            </w:pPr>
            <w:r w:rsidRPr="00D86770">
              <w:rPr>
                <w:rFonts w:ascii="Arial" w:hAnsi="Arial" w:cs="Arial"/>
                <w:b/>
                <w:bCs/>
                <w:color w:val="000000"/>
                <w:sz w:val="16"/>
                <w:szCs w:val="16"/>
              </w:rPr>
              <w:t>Net debt(c)</w:t>
            </w:r>
          </w:p>
        </w:tc>
        <w:tc>
          <w:tcPr>
            <w:tcW w:w="335" w:type="pct"/>
            <w:tcBorders>
              <w:top w:val="nil"/>
              <w:left w:val="nil"/>
              <w:bottom w:val="nil"/>
              <w:right w:val="nil"/>
            </w:tcBorders>
            <w:shd w:val="clear" w:color="000000" w:fill="E6F2FF"/>
            <w:noWrap/>
            <w:vAlign w:val="center"/>
            <w:hideMark/>
          </w:tcPr>
          <w:p w14:paraId="70120E1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7FB2627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7978435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5BD931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24C1A64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3414334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600FE72"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6F2E1D5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4C5F94F3"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552E66DD" w14:textId="77777777" w:rsidR="00DB263B" w:rsidRPr="00D86770" w:rsidRDefault="00DB263B" w:rsidP="00F36233">
            <w:pPr>
              <w:spacing w:before="0" w:after="0" w:line="240" w:lineRule="auto"/>
              <w:ind w:left="17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702CFD0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540.0</w:t>
            </w:r>
          </w:p>
        </w:tc>
        <w:tc>
          <w:tcPr>
            <w:tcW w:w="437" w:type="pct"/>
            <w:tcBorders>
              <w:top w:val="nil"/>
              <w:left w:val="nil"/>
              <w:bottom w:val="nil"/>
              <w:right w:val="nil"/>
            </w:tcBorders>
            <w:shd w:val="clear" w:color="000000" w:fill="E6F2FF"/>
            <w:noWrap/>
            <w:vAlign w:val="center"/>
            <w:hideMark/>
          </w:tcPr>
          <w:p w14:paraId="08F4FAF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19.6</w:t>
            </w:r>
          </w:p>
        </w:tc>
        <w:tc>
          <w:tcPr>
            <w:tcW w:w="436" w:type="pct"/>
            <w:tcBorders>
              <w:top w:val="nil"/>
              <w:left w:val="nil"/>
              <w:bottom w:val="nil"/>
              <w:right w:val="nil"/>
            </w:tcBorders>
            <w:shd w:val="clear" w:color="000000" w:fill="FFFFFF"/>
            <w:noWrap/>
            <w:vAlign w:val="center"/>
            <w:hideMark/>
          </w:tcPr>
          <w:p w14:paraId="394BEF4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609.3</w:t>
            </w:r>
          </w:p>
        </w:tc>
        <w:tc>
          <w:tcPr>
            <w:tcW w:w="436" w:type="pct"/>
            <w:tcBorders>
              <w:top w:val="nil"/>
              <w:left w:val="nil"/>
              <w:bottom w:val="nil"/>
              <w:right w:val="nil"/>
            </w:tcBorders>
            <w:shd w:val="clear" w:color="000000" w:fill="FFFFFF"/>
            <w:noWrap/>
            <w:vAlign w:val="center"/>
            <w:hideMark/>
          </w:tcPr>
          <w:p w14:paraId="3128519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21.3</w:t>
            </w:r>
          </w:p>
        </w:tc>
        <w:tc>
          <w:tcPr>
            <w:tcW w:w="436" w:type="pct"/>
            <w:tcBorders>
              <w:top w:val="nil"/>
              <w:left w:val="nil"/>
              <w:bottom w:val="nil"/>
              <w:right w:val="nil"/>
            </w:tcBorders>
            <w:shd w:val="clear" w:color="000000" w:fill="FFFFFF"/>
            <w:noWrap/>
            <w:vAlign w:val="center"/>
            <w:hideMark/>
          </w:tcPr>
          <w:p w14:paraId="72CDCD1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669.2</w:t>
            </w:r>
          </w:p>
        </w:tc>
        <w:tc>
          <w:tcPr>
            <w:tcW w:w="436" w:type="pct"/>
            <w:tcBorders>
              <w:top w:val="nil"/>
              <w:left w:val="nil"/>
              <w:bottom w:val="nil"/>
              <w:right w:val="nil"/>
            </w:tcBorders>
            <w:shd w:val="clear" w:color="000000" w:fill="FFFFFF"/>
            <w:noWrap/>
            <w:vAlign w:val="center"/>
            <w:hideMark/>
          </w:tcPr>
          <w:p w14:paraId="5C40D12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22.3</w:t>
            </w:r>
          </w:p>
        </w:tc>
        <w:tc>
          <w:tcPr>
            <w:tcW w:w="436" w:type="pct"/>
            <w:tcBorders>
              <w:top w:val="nil"/>
              <w:left w:val="nil"/>
              <w:bottom w:val="nil"/>
              <w:right w:val="nil"/>
            </w:tcBorders>
            <w:shd w:val="clear" w:color="000000" w:fill="FFFFFF"/>
            <w:noWrap/>
            <w:vAlign w:val="center"/>
            <w:hideMark/>
          </w:tcPr>
          <w:p w14:paraId="3DA4A63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708.6</w:t>
            </w:r>
          </w:p>
        </w:tc>
        <w:tc>
          <w:tcPr>
            <w:tcW w:w="435" w:type="pct"/>
            <w:tcBorders>
              <w:top w:val="nil"/>
              <w:left w:val="nil"/>
              <w:bottom w:val="nil"/>
              <w:right w:val="nil"/>
            </w:tcBorders>
            <w:shd w:val="clear" w:color="000000" w:fill="FFFFFF"/>
            <w:noWrap/>
            <w:vAlign w:val="center"/>
            <w:hideMark/>
          </w:tcPr>
          <w:p w14:paraId="7088D4FB"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22.4</w:t>
            </w:r>
          </w:p>
        </w:tc>
      </w:tr>
      <w:tr w:rsidR="00425B73" w:rsidRPr="00DB263B" w14:paraId="573210B6"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09E1FA2F" w14:textId="77777777" w:rsidR="00DB263B" w:rsidRPr="00D86770" w:rsidRDefault="00DB263B" w:rsidP="00F36233">
            <w:pPr>
              <w:spacing w:before="0" w:after="0" w:line="240" w:lineRule="auto"/>
              <w:ind w:left="17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nil"/>
              <w:right w:val="nil"/>
            </w:tcBorders>
            <w:shd w:val="clear" w:color="000000" w:fill="E6F2FF"/>
            <w:noWrap/>
            <w:vAlign w:val="center"/>
            <w:hideMark/>
          </w:tcPr>
          <w:p w14:paraId="3D4790A0"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552.5</w:t>
            </w:r>
          </w:p>
        </w:tc>
        <w:tc>
          <w:tcPr>
            <w:tcW w:w="437" w:type="pct"/>
            <w:tcBorders>
              <w:top w:val="nil"/>
              <w:left w:val="nil"/>
              <w:bottom w:val="nil"/>
              <w:right w:val="nil"/>
            </w:tcBorders>
            <w:shd w:val="clear" w:color="000000" w:fill="E6F2FF"/>
            <w:noWrap/>
            <w:vAlign w:val="center"/>
            <w:hideMark/>
          </w:tcPr>
          <w:p w14:paraId="7D8422C3"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20.0</w:t>
            </w:r>
          </w:p>
        </w:tc>
        <w:tc>
          <w:tcPr>
            <w:tcW w:w="436" w:type="pct"/>
            <w:tcBorders>
              <w:top w:val="nil"/>
              <w:left w:val="nil"/>
              <w:bottom w:val="nil"/>
              <w:right w:val="nil"/>
            </w:tcBorders>
            <w:shd w:val="clear" w:color="000000" w:fill="FFFFFF"/>
            <w:noWrap/>
            <w:vAlign w:val="center"/>
            <w:hideMark/>
          </w:tcPr>
          <w:p w14:paraId="51368E79"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615.5</w:t>
            </w:r>
          </w:p>
        </w:tc>
        <w:tc>
          <w:tcPr>
            <w:tcW w:w="436" w:type="pct"/>
            <w:tcBorders>
              <w:top w:val="nil"/>
              <w:left w:val="nil"/>
              <w:bottom w:val="nil"/>
              <w:right w:val="nil"/>
            </w:tcBorders>
            <w:shd w:val="clear" w:color="000000" w:fill="FFFFFF"/>
            <w:noWrap/>
            <w:vAlign w:val="center"/>
            <w:hideMark/>
          </w:tcPr>
          <w:p w14:paraId="350486B5"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21.5</w:t>
            </w:r>
          </w:p>
        </w:tc>
        <w:tc>
          <w:tcPr>
            <w:tcW w:w="436" w:type="pct"/>
            <w:tcBorders>
              <w:top w:val="nil"/>
              <w:left w:val="nil"/>
              <w:bottom w:val="nil"/>
              <w:right w:val="nil"/>
            </w:tcBorders>
            <w:shd w:val="clear" w:color="000000" w:fill="FFFFFF"/>
            <w:noWrap/>
            <w:vAlign w:val="center"/>
            <w:hideMark/>
          </w:tcPr>
          <w:p w14:paraId="09B0A3E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660.0</w:t>
            </w:r>
          </w:p>
        </w:tc>
        <w:tc>
          <w:tcPr>
            <w:tcW w:w="436" w:type="pct"/>
            <w:tcBorders>
              <w:top w:val="nil"/>
              <w:left w:val="nil"/>
              <w:bottom w:val="nil"/>
              <w:right w:val="nil"/>
            </w:tcBorders>
            <w:shd w:val="clear" w:color="000000" w:fill="FFFFFF"/>
            <w:noWrap/>
            <w:vAlign w:val="center"/>
            <w:hideMark/>
          </w:tcPr>
          <w:p w14:paraId="588D6A3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21.8</w:t>
            </w:r>
          </w:p>
        </w:tc>
        <w:tc>
          <w:tcPr>
            <w:tcW w:w="436" w:type="pct"/>
            <w:tcBorders>
              <w:top w:val="nil"/>
              <w:left w:val="nil"/>
              <w:bottom w:val="nil"/>
              <w:right w:val="nil"/>
            </w:tcBorders>
            <w:shd w:val="clear" w:color="000000" w:fill="FFFFFF"/>
            <w:noWrap/>
            <w:vAlign w:val="center"/>
            <w:hideMark/>
          </w:tcPr>
          <w:p w14:paraId="44311693"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697.5</w:t>
            </w:r>
          </w:p>
        </w:tc>
        <w:tc>
          <w:tcPr>
            <w:tcW w:w="435" w:type="pct"/>
            <w:tcBorders>
              <w:top w:val="nil"/>
              <w:left w:val="nil"/>
              <w:bottom w:val="nil"/>
              <w:right w:val="nil"/>
            </w:tcBorders>
            <w:shd w:val="clear" w:color="000000" w:fill="FFFFFF"/>
            <w:noWrap/>
            <w:vAlign w:val="center"/>
            <w:hideMark/>
          </w:tcPr>
          <w:p w14:paraId="2A3BE7A3"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21.9</w:t>
            </w:r>
          </w:p>
        </w:tc>
      </w:tr>
      <w:tr w:rsidR="00425B73" w:rsidRPr="00DB263B" w14:paraId="6C97EAA8" w14:textId="77777777" w:rsidTr="00F36233">
        <w:trPr>
          <w:trHeight w:hRule="exact" w:val="60"/>
        </w:trPr>
        <w:tc>
          <w:tcPr>
            <w:tcW w:w="1613" w:type="pct"/>
            <w:tcBorders>
              <w:top w:val="nil"/>
              <w:left w:val="nil"/>
              <w:bottom w:val="nil"/>
              <w:right w:val="nil"/>
            </w:tcBorders>
            <w:shd w:val="clear" w:color="000000" w:fill="FFFFFF"/>
            <w:noWrap/>
            <w:vAlign w:val="center"/>
            <w:hideMark/>
          </w:tcPr>
          <w:p w14:paraId="36B7EE4F"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335" w:type="pct"/>
            <w:tcBorders>
              <w:top w:val="nil"/>
              <w:left w:val="nil"/>
              <w:bottom w:val="nil"/>
              <w:right w:val="nil"/>
            </w:tcBorders>
            <w:shd w:val="clear" w:color="000000" w:fill="E6F2FF"/>
            <w:noWrap/>
            <w:vAlign w:val="center"/>
            <w:hideMark/>
          </w:tcPr>
          <w:p w14:paraId="493E1E85"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6F25BBA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159C6EED"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2D5846C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2E9F069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25CDD78E"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64D33B9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16A254B2"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791471D6"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1B121F80" w14:textId="77777777" w:rsidR="00DB263B" w:rsidRPr="00D86770" w:rsidRDefault="00DB263B" w:rsidP="00D86770">
            <w:pPr>
              <w:spacing w:before="0" w:after="0" w:line="240" w:lineRule="auto"/>
              <w:rPr>
                <w:rFonts w:ascii="Arial" w:hAnsi="Arial" w:cs="Arial"/>
                <w:b/>
                <w:bCs/>
                <w:color w:val="000000"/>
                <w:sz w:val="16"/>
                <w:szCs w:val="16"/>
              </w:rPr>
            </w:pPr>
            <w:r w:rsidRPr="00D86770">
              <w:rPr>
                <w:rFonts w:ascii="Arial" w:hAnsi="Arial" w:cs="Arial"/>
                <w:b/>
                <w:bCs/>
                <w:color w:val="000000"/>
                <w:sz w:val="16"/>
                <w:szCs w:val="16"/>
              </w:rPr>
              <w:t>Net interest payments(d)</w:t>
            </w:r>
          </w:p>
        </w:tc>
        <w:tc>
          <w:tcPr>
            <w:tcW w:w="335" w:type="pct"/>
            <w:tcBorders>
              <w:top w:val="nil"/>
              <w:left w:val="nil"/>
              <w:bottom w:val="nil"/>
              <w:right w:val="nil"/>
            </w:tcBorders>
            <w:shd w:val="clear" w:color="000000" w:fill="E6F2FF"/>
            <w:noWrap/>
            <w:vAlign w:val="center"/>
            <w:hideMark/>
          </w:tcPr>
          <w:p w14:paraId="214F3DB4"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77FEF1D0"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0A8FA716"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4409A77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416A9470"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30CD7178"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c>
          <w:tcPr>
            <w:tcW w:w="436" w:type="pct"/>
            <w:tcBorders>
              <w:top w:val="nil"/>
              <w:left w:val="nil"/>
              <w:bottom w:val="nil"/>
              <w:right w:val="nil"/>
            </w:tcBorders>
            <w:shd w:val="clear" w:color="000000" w:fill="FFFFFF"/>
            <w:noWrap/>
            <w:vAlign w:val="center"/>
            <w:hideMark/>
          </w:tcPr>
          <w:p w14:paraId="5486C7D5" w14:textId="77777777" w:rsidR="00DB263B" w:rsidRPr="00D86770" w:rsidRDefault="00DB263B" w:rsidP="00D86770">
            <w:pPr>
              <w:spacing w:before="0" w:after="0" w:line="240" w:lineRule="auto"/>
              <w:rPr>
                <w:rFonts w:ascii="Arial" w:hAnsi="Arial" w:cs="Arial"/>
                <w:color w:val="000000"/>
                <w:sz w:val="16"/>
                <w:szCs w:val="16"/>
              </w:rPr>
            </w:pPr>
            <w:r w:rsidRPr="00D86770">
              <w:rPr>
                <w:rFonts w:ascii="Arial" w:hAnsi="Arial" w:cs="Arial"/>
                <w:color w:val="000000"/>
                <w:sz w:val="16"/>
                <w:szCs w:val="16"/>
              </w:rPr>
              <w:t> </w:t>
            </w:r>
          </w:p>
        </w:tc>
        <w:tc>
          <w:tcPr>
            <w:tcW w:w="435" w:type="pct"/>
            <w:tcBorders>
              <w:top w:val="nil"/>
              <w:left w:val="nil"/>
              <w:bottom w:val="nil"/>
              <w:right w:val="nil"/>
            </w:tcBorders>
            <w:shd w:val="clear" w:color="000000" w:fill="FFFFFF"/>
            <w:noWrap/>
            <w:vAlign w:val="center"/>
            <w:hideMark/>
          </w:tcPr>
          <w:p w14:paraId="51AD1BE8"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 </w:t>
            </w:r>
          </w:p>
        </w:tc>
      </w:tr>
      <w:tr w:rsidR="00425B73" w:rsidRPr="00DB263B" w14:paraId="1B0046E3" w14:textId="77777777" w:rsidTr="00F36233">
        <w:trPr>
          <w:trHeight w:hRule="exact" w:val="225"/>
        </w:trPr>
        <w:tc>
          <w:tcPr>
            <w:tcW w:w="1613" w:type="pct"/>
            <w:tcBorders>
              <w:top w:val="nil"/>
              <w:left w:val="nil"/>
              <w:bottom w:val="nil"/>
              <w:right w:val="nil"/>
            </w:tcBorders>
            <w:shd w:val="clear" w:color="000000" w:fill="FFFFFF"/>
            <w:noWrap/>
            <w:vAlign w:val="center"/>
            <w:hideMark/>
          </w:tcPr>
          <w:p w14:paraId="206027CA" w14:textId="77777777" w:rsidR="00DB263B" w:rsidRPr="00D86770" w:rsidRDefault="00DB263B" w:rsidP="00F36233">
            <w:pPr>
              <w:spacing w:before="0" w:after="0" w:line="240" w:lineRule="auto"/>
              <w:ind w:left="170"/>
              <w:rPr>
                <w:rFonts w:ascii="Arial" w:hAnsi="Arial" w:cs="Arial"/>
                <w:color w:val="000000"/>
                <w:sz w:val="16"/>
                <w:szCs w:val="16"/>
              </w:rPr>
            </w:pPr>
            <w:r w:rsidRPr="00D86770">
              <w:rPr>
                <w:rFonts w:ascii="Arial" w:hAnsi="Arial" w:cs="Arial"/>
                <w:color w:val="000000"/>
                <w:sz w:val="16"/>
                <w:szCs w:val="16"/>
              </w:rPr>
              <w:t>MYEFO</w:t>
            </w:r>
          </w:p>
        </w:tc>
        <w:tc>
          <w:tcPr>
            <w:tcW w:w="335" w:type="pct"/>
            <w:tcBorders>
              <w:top w:val="nil"/>
              <w:left w:val="nil"/>
              <w:bottom w:val="nil"/>
              <w:right w:val="nil"/>
            </w:tcBorders>
            <w:shd w:val="clear" w:color="000000" w:fill="E6F2FF"/>
            <w:noWrap/>
            <w:vAlign w:val="center"/>
            <w:hideMark/>
          </w:tcPr>
          <w:p w14:paraId="23E32C67"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14.6</w:t>
            </w:r>
          </w:p>
        </w:tc>
        <w:tc>
          <w:tcPr>
            <w:tcW w:w="437" w:type="pct"/>
            <w:tcBorders>
              <w:top w:val="nil"/>
              <w:left w:val="nil"/>
              <w:bottom w:val="nil"/>
              <w:right w:val="nil"/>
            </w:tcBorders>
            <w:shd w:val="clear" w:color="000000" w:fill="E6F2FF"/>
            <w:noWrap/>
            <w:vAlign w:val="center"/>
            <w:hideMark/>
          </w:tcPr>
          <w:p w14:paraId="5D2B31D9"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0.5</w:t>
            </w:r>
          </w:p>
        </w:tc>
        <w:tc>
          <w:tcPr>
            <w:tcW w:w="436" w:type="pct"/>
            <w:tcBorders>
              <w:top w:val="nil"/>
              <w:left w:val="nil"/>
              <w:bottom w:val="nil"/>
              <w:right w:val="nil"/>
            </w:tcBorders>
            <w:shd w:val="clear" w:color="000000" w:fill="FFFFFF"/>
            <w:noWrap/>
            <w:vAlign w:val="center"/>
            <w:hideMark/>
          </w:tcPr>
          <w:p w14:paraId="5D244824"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18.5</w:t>
            </w:r>
          </w:p>
        </w:tc>
        <w:tc>
          <w:tcPr>
            <w:tcW w:w="436" w:type="pct"/>
            <w:tcBorders>
              <w:top w:val="nil"/>
              <w:left w:val="nil"/>
              <w:bottom w:val="nil"/>
              <w:right w:val="nil"/>
            </w:tcBorders>
            <w:shd w:val="clear" w:color="000000" w:fill="FFFFFF"/>
            <w:noWrap/>
            <w:vAlign w:val="center"/>
            <w:hideMark/>
          </w:tcPr>
          <w:p w14:paraId="53F08603"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0.6</w:t>
            </w:r>
          </w:p>
        </w:tc>
        <w:tc>
          <w:tcPr>
            <w:tcW w:w="436" w:type="pct"/>
            <w:tcBorders>
              <w:top w:val="nil"/>
              <w:left w:val="nil"/>
              <w:bottom w:val="nil"/>
              <w:right w:val="nil"/>
            </w:tcBorders>
            <w:shd w:val="clear" w:color="000000" w:fill="FFFFFF"/>
            <w:noWrap/>
            <w:vAlign w:val="center"/>
            <w:hideMark/>
          </w:tcPr>
          <w:p w14:paraId="4D52015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21.6</w:t>
            </w:r>
          </w:p>
        </w:tc>
        <w:tc>
          <w:tcPr>
            <w:tcW w:w="436" w:type="pct"/>
            <w:tcBorders>
              <w:top w:val="nil"/>
              <w:left w:val="nil"/>
              <w:bottom w:val="nil"/>
              <w:right w:val="nil"/>
            </w:tcBorders>
            <w:shd w:val="clear" w:color="000000" w:fill="FFFFFF"/>
            <w:noWrap/>
            <w:vAlign w:val="center"/>
            <w:hideMark/>
          </w:tcPr>
          <w:p w14:paraId="5E0B8302"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0.7</w:t>
            </w:r>
          </w:p>
        </w:tc>
        <w:tc>
          <w:tcPr>
            <w:tcW w:w="436" w:type="pct"/>
            <w:tcBorders>
              <w:top w:val="nil"/>
              <w:left w:val="nil"/>
              <w:bottom w:val="nil"/>
              <w:right w:val="nil"/>
            </w:tcBorders>
            <w:shd w:val="clear" w:color="000000" w:fill="FFFFFF"/>
            <w:noWrap/>
            <w:vAlign w:val="center"/>
            <w:hideMark/>
          </w:tcPr>
          <w:p w14:paraId="7AADDA56"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27.5</w:t>
            </w:r>
          </w:p>
        </w:tc>
        <w:tc>
          <w:tcPr>
            <w:tcW w:w="435" w:type="pct"/>
            <w:tcBorders>
              <w:top w:val="nil"/>
              <w:left w:val="nil"/>
              <w:bottom w:val="nil"/>
              <w:right w:val="nil"/>
            </w:tcBorders>
            <w:shd w:val="clear" w:color="000000" w:fill="FFFFFF"/>
            <w:noWrap/>
            <w:vAlign w:val="center"/>
            <w:hideMark/>
          </w:tcPr>
          <w:p w14:paraId="7A9E03AF" w14:textId="77777777" w:rsidR="00DB263B" w:rsidRPr="00D86770" w:rsidRDefault="00DB263B" w:rsidP="00D86770">
            <w:pPr>
              <w:spacing w:before="0" w:after="0" w:line="240" w:lineRule="auto"/>
              <w:jc w:val="right"/>
              <w:rPr>
                <w:rFonts w:ascii="Arial" w:hAnsi="Arial" w:cs="Arial"/>
                <w:color w:val="000000"/>
                <w:sz w:val="16"/>
                <w:szCs w:val="16"/>
              </w:rPr>
            </w:pPr>
            <w:r w:rsidRPr="00D86770">
              <w:rPr>
                <w:rFonts w:ascii="Arial" w:hAnsi="Arial" w:cs="Arial"/>
                <w:color w:val="000000"/>
                <w:sz w:val="16"/>
                <w:szCs w:val="16"/>
              </w:rPr>
              <w:t>0.9</w:t>
            </w:r>
          </w:p>
        </w:tc>
      </w:tr>
      <w:tr w:rsidR="00425B73" w:rsidRPr="00DB263B" w14:paraId="6560FCDB" w14:textId="77777777" w:rsidTr="00F36233">
        <w:trPr>
          <w:trHeight w:hRule="exact" w:val="225"/>
        </w:trPr>
        <w:tc>
          <w:tcPr>
            <w:tcW w:w="1613" w:type="pct"/>
            <w:tcBorders>
              <w:top w:val="nil"/>
              <w:left w:val="nil"/>
              <w:bottom w:val="single" w:sz="4" w:space="0" w:color="293F5B"/>
              <w:right w:val="nil"/>
            </w:tcBorders>
            <w:shd w:val="clear" w:color="000000" w:fill="FFFFFF"/>
            <w:noWrap/>
            <w:vAlign w:val="center"/>
            <w:hideMark/>
          </w:tcPr>
          <w:p w14:paraId="74AC451C" w14:textId="77777777" w:rsidR="00DB263B" w:rsidRPr="00D86770" w:rsidRDefault="00DB263B" w:rsidP="00F36233">
            <w:pPr>
              <w:spacing w:before="0" w:after="0" w:line="240" w:lineRule="auto"/>
              <w:ind w:left="170"/>
              <w:rPr>
                <w:rFonts w:ascii="Arial" w:hAnsi="Arial" w:cs="Arial"/>
                <w:i/>
                <w:iCs/>
                <w:color w:val="000000"/>
                <w:sz w:val="16"/>
                <w:szCs w:val="16"/>
              </w:rPr>
            </w:pPr>
            <w:r w:rsidRPr="00D86770">
              <w:rPr>
                <w:rFonts w:ascii="Arial" w:hAnsi="Arial" w:cs="Arial"/>
                <w:i/>
                <w:iCs/>
                <w:color w:val="000000"/>
                <w:sz w:val="16"/>
                <w:szCs w:val="16"/>
              </w:rPr>
              <w:t>Budget</w:t>
            </w:r>
          </w:p>
        </w:tc>
        <w:tc>
          <w:tcPr>
            <w:tcW w:w="335" w:type="pct"/>
            <w:tcBorders>
              <w:top w:val="nil"/>
              <w:left w:val="nil"/>
              <w:bottom w:val="single" w:sz="4" w:space="0" w:color="293F5B"/>
              <w:right w:val="nil"/>
            </w:tcBorders>
            <w:shd w:val="clear" w:color="000000" w:fill="E6F2FF"/>
            <w:noWrap/>
            <w:vAlign w:val="center"/>
            <w:hideMark/>
          </w:tcPr>
          <w:p w14:paraId="0FE42A6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14.5</w:t>
            </w:r>
          </w:p>
        </w:tc>
        <w:tc>
          <w:tcPr>
            <w:tcW w:w="437" w:type="pct"/>
            <w:tcBorders>
              <w:top w:val="nil"/>
              <w:left w:val="nil"/>
              <w:bottom w:val="single" w:sz="4" w:space="0" w:color="293F5B"/>
              <w:right w:val="nil"/>
            </w:tcBorders>
            <w:shd w:val="clear" w:color="000000" w:fill="E6F2FF"/>
            <w:noWrap/>
            <w:vAlign w:val="center"/>
            <w:hideMark/>
          </w:tcPr>
          <w:p w14:paraId="3F3C56C3"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0.5</w:t>
            </w:r>
          </w:p>
        </w:tc>
        <w:tc>
          <w:tcPr>
            <w:tcW w:w="436" w:type="pct"/>
            <w:tcBorders>
              <w:top w:val="nil"/>
              <w:left w:val="nil"/>
              <w:bottom w:val="single" w:sz="4" w:space="0" w:color="293F5B"/>
              <w:right w:val="nil"/>
            </w:tcBorders>
            <w:shd w:val="clear" w:color="000000" w:fill="FFFFFF"/>
            <w:noWrap/>
            <w:vAlign w:val="center"/>
            <w:hideMark/>
          </w:tcPr>
          <w:p w14:paraId="08D95567"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18.8</w:t>
            </w:r>
          </w:p>
        </w:tc>
        <w:tc>
          <w:tcPr>
            <w:tcW w:w="436" w:type="pct"/>
            <w:tcBorders>
              <w:top w:val="nil"/>
              <w:left w:val="nil"/>
              <w:bottom w:val="single" w:sz="4" w:space="0" w:color="293F5B"/>
              <w:right w:val="nil"/>
            </w:tcBorders>
            <w:shd w:val="clear" w:color="000000" w:fill="FFFFFF"/>
            <w:noWrap/>
            <w:vAlign w:val="center"/>
            <w:hideMark/>
          </w:tcPr>
          <w:p w14:paraId="14AE0CBD"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0.7</w:t>
            </w:r>
          </w:p>
        </w:tc>
        <w:tc>
          <w:tcPr>
            <w:tcW w:w="436" w:type="pct"/>
            <w:tcBorders>
              <w:top w:val="nil"/>
              <w:left w:val="nil"/>
              <w:bottom w:val="single" w:sz="4" w:space="0" w:color="293F5B"/>
              <w:right w:val="nil"/>
            </w:tcBorders>
            <w:shd w:val="clear" w:color="000000" w:fill="FFFFFF"/>
            <w:noWrap/>
            <w:vAlign w:val="center"/>
            <w:hideMark/>
          </w:tcPr>
          <w:p w14:paraId="742B6A9A"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20.8</w:t>
            </w:r>
          </w:p>
        </w:tc>
        <w:tc>
          <w:tcPr>
            <w:tcW w:w="436" w:type="pct"/>
            <w:tcBorders>
              <w:top w:val="nil"/>
              <w:left w:val="nil"/>
              <w:bottom w:val="single" w:sz="4" w:space="0" w:color="293F5B"/>
              <w:right w:val="nil"/>
            </w:tcBorders>
            <w:shd w:val="clear" w:color="000000" w:fill="FFFFFF"/>
            <w:noWrap/>
            <w:vAlign w:val="center"/>
            <w:hideMark/>
          </w:tcPr>
          <w:p w14:paraId="40A57BC6"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0.7</w:t>
            </w:r>
          </w:p>
        </w:tc>
        <w:tc>
          <w:tcPr>
            <w:tcW w:w="436" w:type="pct"/>
            <w:tcBorders>
              <w:top w:val="nil"/>
              <w:left w:val="nil"/>
              <w:bottom w:val="single" w:sz="4" w:space="0" w:color="293F5B"/>
              <w:right w:val="nil"/>
            </w:tcBorders>
            <w:shd w:val="clear" w:color="000000" w:fill="FFFFFF"/>
            <w:noWrap/>
            <w:vAlign w:val="center"/>
            <w:hideMark/>
          </w:tcPr>
          <w:p w14:paraId="278A2F13"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26.0</w:t>
            </w:r>
          </w:p>
        </w:tc>
        <w:tc>
          <w:tcPr>
            <w:tcW w:w="435" w:type="pct"/>
            <w:tcBorders>
              <w:top w:val="nil"/>
              <w:left w:val="nil"/>
              <w:bottom w:val="single" w:sz="4" w:space="0" w:color="293F5B"/>
              <w:right w:val="nil"/>
            </w:tcBorders>
            <w:shd w:val="clear" w:color="000000" w:fill="FFFFFF"/>
            <w:noWrap/>
            <w:vAlign w:val="center"/>
            <w:hideMark/>
          </w:tcPr>
          <w:p w14:paraId="7B3CC510" w14:textId="77777777" w:rsidR="00DB263B" w:rsidRPr="00D86770" w:rsidRDefault="00DB263B" w:rsidP="00D86770">
            <w:pPr>
              <w:spacing w:before="0" w:after="0" w:line="240" w:lineRule="auto"/>
              <w:jc w:val="right"/>
              <w:rPr>
                <w:rFonts w:ascii="Arial" w:hAnsi="Arial" w:cs="Arial"/>
                <w:i/>
                <w:iCs/>
                <w:color w:val="000000"/>
                <w:sz w:val="16"/>
                <w:szCs w:val="16"/>
              </w:rPr>
            </w:pPr>
            <w:r w:rsidRPr="00D86770">
              <w:rPr>
                <w:rFonts w:ascii="Arial" w:hAnsi="Arial" w:cs="Arial"/>
                <w:i/>
                <w:iCs/>
                <w:color w:val="000000"/>
                <w:sz w:val="16"/>
                <w:szCs w:val="16"/>
              </w:rPr>
              <w:t>0.8</w:t>
            </w:r>
          </w:p>
        </w:tc>
      </w:tr>
    </w:tbl>
    <w:p w14:paraId="602664F6" w14:textId="7A529ACC" w:rsidR="00AE455F" w:rsidRDefault="00AE455F" w:rsidP="00030CBE">
      <w:pPr>
        <w:pStyle w:val="ChartandTableFootnoteAlpha"/>
        <w:rPr>
          <w:rFonts w:eastAsiaTheme="minorHAnsi"/>
          <w:color w:val="auto"/>
        </w:rPr>
      </w:pPr>
      <w:r w:rsidRPr="00205DD5">
        <w:rPr>
          <w:rFonts w:eastAsiaTheme="minorHAnsi"/>
          <w:color w:val="auto"/>
        </w:rPr>
        <w:t>Equivalent to cash payments for operating activities, purchases of non</w:t>
      </w:r>
      <w:r w:rsidR="00331BDE" w:rsidRPr="00205DD5">
        <w:rPr>
          <w:rFonts w:eastAsiaTheme="minorHAnsi"/>
          <w:color w:val="auto"/>
        </w:rPr>
        <w:noBreakHyphen/>
      </w:r>
      <w:r w:rsidRPr="00205DD5">
        <w:rPr>
          <w:rFonts w:eastAsiaTheme="minorHAnsi"/>
          <w:color w:val="auto"/>
        </w:rPr>
        <w:t>financial assets and principal payments of lease liabilities.</w:t>
      </w:r>
    </w:p>
    <w:p w14:paraId="3BFC1D6A" w14:textId="532FE969" w:rsidR="00AE455F" w:rsidRPr="001D7A0A" w:rsidRDefault="00AE455F" w:rsidP="00AE455F">
      <w:pPr>
        <w:pStyle w:val="ChartandTableFootnoteAlpha"/>
        <w:rPr>
          <w:rFonts w:eastAsiaTheme="minorHAnsi"/>
        </w:rPr>
      </w:pPr>
      <w:r w:rsidRPr="00205DD5">
        <w:rPr>
          <w:rFonts w:eastAsiaTheme="minorHAnsi"/>
          <w:color w:val="auto"/>
        </w:rPr>
        <w:t xml:space="preserve">Gross debt measures the face value of </w:t>
      </w:r>
      <w:r w:rsidR="00E64792" w:rsidRPr="00205DD5">
        <w:rPr>
          <w:rFonts w:eastAsiaTheme="minorHAnsi"/>
          <w:color w:val="auto"/>
        </w:rPr>
        <w:t>Australian Government</w:t>
      </w:r>
      <w:r w:rsidRPr="00205DD5">
        <w:rPr>
          <w:rFonts w:eastAsiaTheme="minorHAnsi"/>
          <w:color w:val="auto"/>
        </w:rPr>
        <w:t xml:space="preserve"> Securities (AGS) on issue.</w:t>
      </w:r>
    </w:p>
    <w:p w14:paraId="43E82B36" w14:textId="6EADDDED" w:rsidR="00CD281F" w:rsidRPr="004D1B29" w:rsidRDefault="00944541" w:rsidP="008E0232">
      <w:pPr>
        <w:pStyle w:val="ChartandTableFootnoteAlpha"/>
        <w:rPr>
          <w:rFonts w:eastAsiaTheme="minorHAnsi"/>
          <w:color w:val="auto"/>
        </w:rPr>
      </w:pPr>
      <w:r w:rsidRPr="00205DD5">
        <w:rPr>
          <w:rFonts w:eastAsiaTheme="minorHAnsi"/>
          <w:color w:val="auto"/>
        </w:rPr>
        <w:t xml:space="preserve">Net debt is the sum of </w:t>
      </w:r>
      <w:proofErr w:type="gramStart"/>
      <w:r w:rsidRPr="00205DD5">
        <w:rPr>
          <w:rFonts w:eastAsiaTheme="minorHAnsi"/>
          <w:color w:val="auto"/>
        </w:rPr>
        <w:t>interest bearing</w:t>
      </w:r>
      <w:proofErr w:type="gramEnd"/>
      <w:r w:rsidRPr="00205DD5">
        <w:rPr>
          <w:rFonts w:eastAsiaTheme="minorHAnsi"/>
          <w:color w:val="auto"/>
        </w:rPr>
        <w:t xml:space="preserve"> liabilities (which includes AGS on issue measured at market value) less the sum of selected financial assets (cash and deposits, advances paid and investments, loans and placements).</w:t>
      </w:r>
    </w:p>
    <w:p w14:paraId="52014280" w14:textId="38EA744F" w:rsidR="000F260E" w:rsidRPr="0054660A" w:rsidRDefault="00BE5CFF" w:rsidP="008E0232">
      <w:pPr>
        <w:pStyle w:val="ChartandTableFootnoteAlpha"/>
        <w:rPr>
          <w:rFonts w:eastAsiaTheme="minorHAnsi"/>
        </w:rPr>
      </w:pPr>
      <w:r w:rsidRPr="00205DD5">
        <w:rPr>
          <w:rFonts w:eastAsiaTheme="minorHAnsi"/>
          <w:color w:val="auto"/>
        </w:rPr>
        <w:t>Net interest payments are equal to the difference between interest payments and interest receipts.</w:t>
      </w:r>
    </w:p>
    <w:p w14:paraId="4F142CEE" w14:textId="77777777" w:rsidR="00D63C70" w:rsidRPr="00DF3DF1" w:rsidRDefault="00D63C70" w:rsidP="00B15F64">
      <w:pPr>
        <w:pStyle w:val="TableLine"/>
        <w:rPr>
          <w:lang w:eastAsia="en-US"/>
        </w:rPr>
      </w:pPr>
    </w:p>
    <w:p w14:paraId="540C8A7D" w14:textId="77777777" w:rsidR="00D63C70" w:rsidRPr="001D7A0A" w:rsidRDefault="00D63C70" w:rsidP="008E3BE2">
      <w:pPr>
        <w:pStyle w:val="SingleParagraph"/>
      </w:pPr>
      <w:r w:rsidRPr="00DF3DF1">
        <w:rPr>
          <w:lang w:eastAsia="en-US"/>
        </w:rPr>
        <w:br w:type="page"/>
      </w:r>
    </w:p>
    <w:p w14:paraId="0029CA0F" w14:textId="56B3BEC1" w:rsidR="00D63C70" w:rsidRPr="00205DD5" w:rsidRDefault="00D63C70" w:rsidP="00481F39">
      <w:pPr>
        <w:pStyle w:val="Heading2"/>
        <w:keepLines/>
      </w:pPr>
      <w:bookmarkStart w:id="3" w:name="_Toc134093756"/>
      <w:bookmarkStart w:id="4" w:name="_Toc148428060"/>
      <w:r w:rsidRPr="00205DD5">
        <w:lastRenderedPageBreak/>
        <w:t>Economic and Fiscal Strategy</w:t>
      </w:r>
      <w:bookmarkEnd w:id="3"/>
      <w:bookmarkEnd w:id="4"/>
    </w:p>
    <w:p w14:paraId="5E396376" w14:textId="13279B9F" w:rsidR="00D63C70" w:rsidRPr="00205DD5" w:rsidRDefault="00D63C70" w:rsidP="00481F39">
      <w:pPr>
        <w:keepNext/>
        <w:keepLines/>
        <w:rPr>
          <w:rFonts w:ascii="Arial" w:hAnsi="Arial"/>
          <w:b/>
          <w:sz w:val="20"/>
        </w:rPr>
      </w:pPr>
      <w:r w:rsidRPr="00205DD5">
        <w:t xml:space="preserve">The Government’s Economic and Fiscal Strategy is making the economy and budget stronger, more </w:t>
      </w:r>
      <w:proofErr w:type="gramStart"/>
      <w:r w:rsidRPr="00205DD5">
        <w:t>resilient</w:t>
      </w:r>
      <w:proofErr w:type="gramEnd"/>
      <w:r w:rsidRPr="00205DD5">
        <w:t xml:space="preserve"> and more sustainable over the medium term (Box 3.1). The Strategy is consistent with the requirements of the </w:t>
      </w:r>
      <w:r w:rsidRPr="00205DD5">
        <w:rPr>
          <w:rStyle w:val="Emphasis"/>
          <w:rFonts w:eastAsia="Calibri"/>
        </w:rPr>
        <w:t>Charter of Budget Honesty Act 1998</w:t>
      </w:r>
      <w:r w:rsidRPr="00205DD5">
        <w:t xml:space="preserve">, with </w:t>
      </w:r>
      <w:r w:rsidRPr="00205DD5">
        <w:rPr>
          <w:rStyle w:val="BoxTextChar"/>
          <w:rFonts w:eastAsia="Calibri"/>
        </w:rPr>
        <w:t>progress reviewed at each budget update</w:t>
      </w:r>
      <w:r w:rsidRPr="00205DD5">
        <w:rPr>
          <w:rFonts w:eastAsia="Calibri"/>
        </w:rPr>
        <w:t>.</w:t>
      </w:r>
      <w:r w:rsidRPr="00205DD5">
        <w:t xml:space="preserve"> The Strategy is unchanged since the </w:t>
      </w:r>
      <w:r w:rsidR="00423631" w:rsidRPr="00205DD5">
        <w:t>2024</w:t>
      </w:r>
      <w:r w:rsidR="002801A4" w:rsidRPr="00205DD5">
        <w:t>–</w:t>
      </w:r>
      <w:r w:rsidR="00423631" w:rsidRPr="00205DD5">
        <w:t>25</w:t>
      </w:r>
      <w:r w:rsidRPr="00205DD5">
        <w:t xml:space="preserve"> Budget.</w:t>
      </w:r>
      <w:r w:rsidR="00CF7BCF" w:rsidRPr="00205DD5">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D63C70" w:rsidRPr="0058018F" w14:paraId="5CC69E69" w14:textId="77777777" w:rsidTr="009019DE">
        <w:trPr>
          <w:cantSplit/>
        </w:trPr>
        <w:tc>
          <w:tcPr>
            <w:tcW w:w="5000" w:type="pct"/>
            <w:shd w:val="clear" w:color="auto" w:fill="E6F2FF"/>
          </w:tcPr>
          <w:p w14:paraId="5AA980AE" w14:textId="7FE0308E" w:rsidR="00D63C70" w:rsidRPr="00FC7170" w:rsidRDefault="00D63C70" w:rsidP="00FC7170">
            <w:pPr>
              <w:pStyle w:val="BoxHeading"/>
            </w:pPr>
            <w:r w:rsidRPr="00FC7170">
              <w:t>Box 3.1: The Government’s Economic and Fiscal Strategy</w:t>
            </w:r>
          </w:p>
          <w:p w14:paraId="33BA8122" w14:textId="47227D83" w:rsidR="00D63C70" w:rsidRPr="00205DD5" w:rsidRDefault="00D63C70" w:rsidP="00481F39">
            <w:pPr>
              <w:pStyle w:val="BoxText"/>
              <w:keepNext/>
              <w:keepLines/>
              <w:rPr>
                <w:rFonts w:eastAsia="Calibri"/>
              </w:rPr>
            </w:pPr>
            <w:r w:rsidRPr="00205DD5">
              <w:rPr>
                <w:rFonts w:eastAsia="Calibri"/>
              </w:rPr>
              <w:t xml:space="preserve">The Government’s Economic and Fiscal Strategy will make the economy more resilient and put the budget on a more sustainable footing over time. </w:t>
            </w:r>
          </w:p>
          <w:p w14:paraId="14F8BABD" w14:textId="5AE26922" w:rsidR="00D63C70" w:rsidRPr="00205DD5" w:rsidRDefault="00D63C70" w:rsidP="00481F39">
            <w:pPr>
              <w:pStyle w:val="BoxText"/>
              <w:keepNext/>
              <w:keepLines/>
              <w:rPr>
                <w:rFonts w:eastAsia="Calibri"/>
              </w:rPr>
            </w:pPr>
            <w:r w:rsidRPr="00205DD5">
              <w:rPr>
                <w:rFonts w:eastAsia="Calibri"/>
              </w:rPr>
              <w:t xml:space="preserve">The Strategy is focused on the objectives of strong, </w:t>
            </w:r>
            <w:proofErr w:type="gramStart"/>
            <w:r w:rsidRPr="00205DD5">
              <w:rPr>
                <w:rFonts w:eastAsia="Calibri"/>
              </w:rPr>
              <w:t>inclusive</w:t>
            </w:r>
            <w:proofErr w:type="gramEnd"/>
            <w:r w:rsidRPr="00205DD5">
              <w:rPr>
                <w:rFonts w:eastAsia="Calibri"/>
              </w:rPr>
              <w:t xml:space="preserve"> and sustainable economic growth, full employment, growing real wages, ensuring women’s economic participation and equality, and improving living standards for all Australians. </w:t>
            </w:r>
          </w:p>
          <w:p w14:paraId="25209FC8" w14:textId="77777777" w:rsidR="00D63C70" w:rsidRPr="00205DD5" w:rsidRDefault="00D63C70" w:rsidP="00481F39">
            <w:pPr>
              <w:pStyle w:val="BoxText"/>
              <w:keepNext/>
              <w:keepLines/>
              <w:rPr>
                <w:rFonts w:eastAsia="Calibri"/>
              </w:rPr>
            </w:pPr>
            <w:r w:rsidRPr="00205DD5">
              <w:rPr>
                <w:rFonts w:eastAsia="Calibri"/>
              </w:rPr>
              <w:t>The Government will improve the budget position in a measured way, consistent with the overarching goal of reducing gross debt as a share of the economy over time. This approach enables fiscal policy to respond to changes in economic conditions to support macroeconomic stability, including in times of high inflation.</w:t>
            </w:r>
          </w:p>
          <w:p w14:paraId="6F9E7B31" w14:textId="77777777" w:rsidR="00D63C70" w:rsidRPr="00205DD5" w:rsidRDefault="00D63C70" w:rsidP="00481F39">
            <w:pPr>
              <w:pStyle w:val="BoxText"/>
              <w:keepNext/>
              <w:keepLines/>
              <w:rPr>
                <w:rFonts w:eastAsia="Calibri"/>
              </w:rPr>
            </w:pPr>
            <w:r w:rsidRPr="00205DD5">
              <w:rPr>
                <w:rFonts w:eastAsia="Calibri"/>
              </w:rPr>
              <w:t xml:space="preserve">These objectives will be achieved by investments that grow the economy and expand productive capacity, and budget discipline that restrains spending growth and enhances the quality of spending. The budget will be improved in a manner consistent with the objective of maintaining full employment, while continuing to deliver essential services. </w:t>
            </w:r>
          </w:p>
          <w:p w14:paraId="2DE90834" w14:textId="77777777" w:rsidR="00D63C70" w:rsidRPr="00205DD5" w:rsidRDefault="00D63C70" w:rsidP="00481F39">
            <w:pPr>
              <w:pStyle w:val="BoxText"/>
              <w:keepNext/>
              <w:keepLines/>
              <w:rPr>
                <w:rFonts w:eastAsia="Calibri"/>
              </w:rPr>
            </w:pPr>
            <w:r w:rsidRPr="00205DD5">
              <w:rPr>
                <w:rFonts w:eastAsia="Calibri"/>
              </w:rPr>
              <w:t xml:space="preserve">Putting the budget on a more sustainable footing will ensure the Government has the fiscal buffers to withstand economic shocks and better manage the fiscal pressures from an ageing population and climate change. </w:t>
            </w:r>
          </w:p>
          <w:p w14:paraId="5FEC810A" w14:textId="77777777" w:rsidR="00D63C70" w:rsidRPr="00205DD5" w:rsidRDefault="00D63C70" w:rsidP="00481F39">
            <w:pPr>
              <w:pStyle w:val="BoxText"/>
              <w:keepNext/>
              <w:keepLines/>
              <w:rPr>
                <w:rFonts w:eastAsia="Calibri"/>
              </w:rPr>
            </w:pPr>
            <w:r w:rsidRPr="00205DD5">
              <w:rPr>
                <w:rFonts w:eastAsia="Calibri"/>
              </w:rPr>
              <w:t>These commitments will be underpinned by the following elements:</w:t>
            </w:r>
          </w:p>
          <w:p w14:paraId="0F1F47C9" w14:textId="77777777" w:rsidR="00D63C70" w:rsidRPr="00205DD5" w:rsidRDefault="00D63C70" w:rsidP="00481F39">
            <w:pPr>
              <w:pStyle w:val="BoxBullet"/>
              <w:keepNext/>
              <w:keepLines/>
              <w:rPr>
                <w:rFonts w:eastAsia="Calibri"/>
              </w:rPr>
            </w:pPr>
            <w:r w:rsidRPr="00205DD5">
              <w:rPr>
                <w:rFonts w:eastAsia="Calibri"/>
              </w:rPr>
              <w:t xml:space="preserve">Allowing tax receipts and income support to respond in line with changes in the economy and directing </w:t>
            </w:r>
            <w:proofErr w:type="gramStart"/>
            <w:r w:rsidRPr="00205DD5">
              <w:rPr>
                <w:rFonts w:eastAsia="Calibri"/>
              </w:rPr>
              <w:t>the majority of</w:t>
            </w:r>
            <w:proofErr w:type="gramEnd"/>
            <w:r w:rsidRPr="00205DD5">
              <w:rPr>
                <w:rFonts w:eastAsia="Calibri"/>
              </w:rPr>
              <w:t xml:space="preserve"> improvements in tax receipts to budget repair. </w:t>
            </w:r>
          </w:p>
          <w:p w14:paraId="3E1193C1" w14:textId="77777777" w:rsidR="00D63C70" w:rsidRPr="00205DD5" w:rsidRDefault="00D63C70" w:rsidP="00481F39">
            <w:pPr>
              <w:pStyle w:val="BoxBullet"/>
              <w:keepNext/>
              <w:keepLines/>
              <w:rPr>
                <w:rFonts w:eastAsia="Calibri"/>
              </w:rPr>
            </w:pPr>
            <w:r w:rsidRPr="00205DD5">
              <w:rPr>
                <w:rFonts w:eastAsia="Calibri"/>
              </w:rPr>
              <w:t xml:space="preserve">Limiting growth in spending until gross debt as a share of GDP is on a downwards trajectory, while growth prospects are </w:t>
            </w:r>
            <w:proofErr w:type="gramStart"/>
            <w:r w:rsidRPr="00205DD5">
              <w:rPr>
                <w:rFonts w:eastAsia="Calibri"/>
              </w:rPr>
              <w:t>sound</w:t>
            </w:r>
            <w:proofErr w:type="gramEnd"/>
            <w:r w:rsidRPr="00205DD5">
              <w:rPr>
                <w:rFonts w:eastAsia="Calibri"/>
              </w:rPr>
              <w:t xml:space="preserve"> and unemployment is low.</w:t>
            </w:r>
          </w:p>
          <w:p w14:paraId="435E339F" w14:textId="77777777" w:rsidR="00D63C70" w:rsidRPr="00205DD5" w:rsidRDefault="00D63C70" w:rsidP="00481F39">
            <w:pPr>
              <w:pStyle w:val="BoxBullet"/>
              <w:keepNext/>
              <w:keepLines/>
              <w:rPr>
                <w:rFonts w:eastAsia="Calibri"/>
              </w:rPr>
            </w:pPr>
            <w:r w:rsidRPr="00205DD5">
              <w:rPr>
                <w:rFonts w:eastAsia="Calibri"/>
              </w:rPr>
              <w:t xml:space="preserve">Improving the efficiency, </w:t>
            </w:r>
            <w:proofErr w:type="gramStart"/>
            <w:r w:rsidRPr="00205DD5">
              <w:rPr>
                <w:rFonts w:eastAsia="Calibri"/>
              </w:rPr>
              <w:t>quality</w:t>
            </w:r>
            <w:proofErr w:type="gramEnd"/>
            <w:r w:rsidRPr="00205DD5">
              <w:rPr>
                <w:rFonts w:eastAsia="Calibri"/>
              </w:rPr>
              <w:t xml:space="preserve"> and sustainability of spending.</w:t>
            </w:r>
          </w:p>
          <w:p w14:paraId="0FEF32CE" w14:textId="77777777" w:rsidR="00D63C70" w:rsidRPr="00205DD5" w:rsidRDefault="00D63C70" w:rsidP="00481F39">
            <w:pPr>
              <w:pStyle w:val="BoxBullet"/>
              <w:keepNext/>
              <w:keepLines/>
              <w:rPr>
                <w:rFonts w:eastAsia="Calibri"/>
              </w:rPr>
            </w:pPr>
            <w:r w:rsidRPr="00205DD5">
              <w:rPr>
                <w:rFonts w:eastAsia="Calibri"/>
              </w:rPr>
              <w:t>Focusing new spending on investments and reforms that build the capability of our people, expand the productive capacity of our economy, and support action on climate change.</w:t>
            </w:r>
          </w:p>
          <w:p w14:paraId="667CCCB8" w14:textId="639CBC41" w:rsidR="00D63C70" w:rsidRPr="002E795C" w:rsidRDefault="00D63C70" w:rsidP="00481F39">
            <w:pPr>
              <w:pStyle w:val="BoxBullet"/>
              <w:keepNext/>
              <w:keepLines/>
            </w:pPr>
            <w:r w:rsidRPr="00205DD5">
              <w:rPr>
                <w:rFonts w:eastAsia="Calibri"/>
              </w:rPr>
              <w:t xml:space="preserve">Delivering a tax system that funds government services in an efficient, </w:t>
            </w:r>
            <w:proofErr w:type="gramStart"/>
            <w:r w:rsidRPr="00205DD5">
              <w:rPr>
                <w:rFonts w:eastAsia="Calibri"/>
              </w:rPr>
              <w:t>fair</w:t>
            </w:r>
            <w:proofErr w:type="gramEnd"/>
            <w:r w:rsidRPr="00205DD5">
              <w:rPr>
                <w:rFonts w:eastAsia="Calibri"/>
              </w:rPr>
              <w:t xml:space="preserve"> and sustainable way.</w:t>
            </w:r>
          </w:p>
        </w:tc>
      </w:tr>
    </w:tbl>
    <w:p w14:paraId="11F40592" w14:textId="6070D4B3" w:rsidR="00D63C70" w:rsidRPr="00205DD5" w:rsidRDefault="00D63C70" w:rsidP="00075D76">
      <w:pPr>
        <w:pStyle w:val="Heading3"/>
      </w:pPr>
      <w:bookmarkStart w:id="5" w:name="_Toc148428061"/>
      <w:r w:rsidRPr="00205DD5">
        <w:lastRenderedPageBreak/>
        <w:t>Delivering on the Economic and Fiscal Strategy</w:t>
      </w:r>
      <w:bookmarkEnd w:id="5"/>
      <w:r w:rsidR="005F12C6" w:rsidRPr="00205DD5">
        <w:t xml:space="preserve"> </w:t>
      </w:r>
    </w:p>
    <w:p w14:paraId="42D92455" w14:textId="615DA431" w:rsidR="000616D3" w:rsidRDefault="006D4A98" w:rsidP="000616D3">
      <w:r w:rsidRPr="00205DD5">
        <w:t>T</w:t>
      </w:r>
      <w:r w:rsidR="000616D3" w:rsidRPr="00205DD5">
        <w:t>he Government</w:t>
      </w:r>
      <w:r w:rsidRPr="00205DD5">
        <w:t xml:space="preserve"> continues to deliver on it</w:t>
      </w:r>
      <w:r w:rsidR="000616D3" w:rsidRPr="00205DD5">
        <w:t>s Economic and Fiscal Strategy by:</w:t>
      </w:r>
    </w:p>
    <w:p w14:paraId="489B14A6" w14:textId="25E51B86" w:rsidR="00CC5745" w:rsidRPr="00205DD5" w:rsidRDefault="004A00D3" w:rsidP="00106F62">
      <w:pPr>
        <w:pStyle w:val="Bullet"/>
      </w:pPr>
      <w:r w:rsidRPr="00205DD5">
        <w:t xml:space="preserve">Improving the budget balance. </w:t>
      </w:r>
    </w:p>
    <w:p w14:paraId="26659ACD" w14:textId="03B7E0BB" w:rsidR="00106F62" w:rsidRPr="00205DD5" w:rsidRDefault="00106F62" w:rsidP="008C0BAD">
      <w:pPr>
        <w:pStyle w:val="Dash"/>
      </w:pPr>
      <w:r w:rsidRPr="00205DD5">
        <w:t xml:space="preserve">The underlying cash balance in 2024–25 </w:t>
      </w:r>
      <w:r w:rsidR="0089056D" w:rsidRPr="00205DD5">
        <w:t xml:space="preserve">has improved </w:t>
      </w:r>
      <w:r w:rsidR="001C2E82" w:rsidRPr="00205DD5">
        <w:t>by $1.3 billion</w:t>
      </w:r>
      <w:r w:rsidR="00790D73" w:rsidRPr="00205DD5">
        <w:t xml:space="preserve"> </w:t>
      </w:r>
      <w:r w:rsidR="0089056D" w:rsidRPr="00205DD5">
        <w:t>since the 2024</w:t>
      </w:r>
      <w:r w:rsidR="00051CF4" w:rsidRPr="00205DD5">
        <w:rPr>
          <w:rFonts w:ascii="Times New Roman" w:hAnsi="Times New Roman"/>
        </w:rPr>
        <w:t>‍</w:t>
      </w:r>
      <w:r w:rsidR="00A154F4" w:rsidRPr="00205DD5">
        <w:t>–</w:t>
      </w:r>
      <w:r w:rsidR="00051CF4" w:rsidRPr="00205DD5">
        <w:rPr>
          <w:rFonts w:ascii="Times New Roman" w:hAnsi="Times New Roman"/>
        </w:rPr>
        <w:t>‍</w:t>
      </w:r>
      <w:r w:rsidR="0089056D" w:rsidRPr="00205DD5">
        <w:t>25</w:t>
      </w:r>
      <w:r w:rsidR="00051CF4" w:rsidRPr="00205DD5">
        <w:t> </w:t>
      </w:r>
      <w:r w:rsidR="0089056D" w:rsidRPr="00205DD5">
        <w:t xml:space="preserve">Budget with a </w:t>
      </w:r>
      <w:r w:rsidRPr="00205DD5">
        <w:t>forecast deficit of $26.9 billion</w:t>
      </w:r>
      <w:r w:rsidR="00CE7A1A" w:rsidRPr="00205DD5">
        <w:t xml:space="preserve">. This is </w:t>
      </w:r>
      <w:r w:rsidRPr="00205DD5">
        <w:t>an improvement of $20</w:t>
      </w:r>
      <w:r w:rsidR="00051CF4" w:rsidRPr="00205DD5">
        <w:t> </w:t>
      </w:r>
      <w:r w:rsidRPr="00205DD5">
        <w:t xml:space="preserve">billion </w:t>
      </w:r>
      <w:r w:rsidR="00D51674" w:rsidRPr="00205DD5">
        <w:t xml:space="preserve">compared to </w:t>
      </w:r>
      <w:r w:rsidR="0089056D" w:rsidRPr="00205DD5">
        <w:t xml:space="preserve">the </w:t>
      </w:r>
      <w:r w:rsidR="00D51674" w:rsidRPr="00205DD5">
        <w:t>forecast at</w:t>
      </w:r>
      <w:r w:rsidR="001D1BD6" w:rsidRPr="00205DD5">
        <w:t xml:space="preserve"> the </w:t>
      </w:r>
      <w:r w:rsidRPr="00205DD5">
        <w:t>PEFO.</w:t>
      </w:r>
    </w:p>
    <w:p w14:paraId="68A90A70" w14:textId="50EC4E4F" w:rsidR="009C32F4" w:rsidRPr="00205DD5" w:rsidRDefault="009C32F4" w:rsidP="00A929A3">
      <w:pPr>
        <w:pStyle w:val="Dash"/>
      </w:pPr>
      <w:r w:rsidRPr="00205DD5">
        <w:t>The underlying cash balance has improved</w:t>
      </w:r>
      <w:r w:rsidR="004F3AD9" w:rsidRPr="00205DD5">
        <w:t xml:space="preserve"> by a cumulative </w:t>
      </w:r>
      <w:r w:rsidR="005D3B87" w:rsidRPr="00205DD5">
        <w:t>$199</w:t>
      </w:r>
      <w:r w:rsidR="00051CF4" w:rsidRPr="00205DD5">
        <w:t> </w:t>
      </w:r>
      <w:r w:rsidR="004F3AD9" w:rsidRPr="00205DD5">
        <w:t>billion over the six</w:t>
      </w:r>
      <w:r w:rsidR="00B20C92" w:rsidRPr="00205DD5">
        <w:t> </w:t>
      </w:r>
      <w:r w:rsidR="004F3AD9" w:rsidRPr="00205DD5">
        <w:t xml:space="preserve">years to 2027–28 compared to </w:t>
      </w:r>
      <w:r w:rsidR="003517CD" w:rsidRPr="00205DD5">
        <w:t>projections at</w:t>
      </w:r>
      <w:r w:rsidR="00C32C62" w:rsidRPr="00205DD5">
        <w:t xml:space="preserve"> </w:t>
      </w:r>
      <w:r w:rsidR="00D51674" w:rsidRPr="00205DD5">
        <w:t xml:space="preserve">the </w:t>
      </w:r>
      <w:r w:rsidR="004F3AD9" w:rsidRPr="00205DD5">
        <w:t>PEFO.</w:t>
      </w:r>
    </w:p>
    <w:p w14:paraId="2B13385A" w14:textId="14F569B6" w:rsidR="00FC1A97" w:rsidRPr="00CF45C0" w:rsidRDefault="00077BDB" w:rsidP="00077BDB">
      <w:pPr>
        <w:pStyle w:val="Bullet"/>
      </w:pPr>
      <w:r w:rsidRPr="00205DD5">
        <w:t>Reducing debt as a share of the economy over time.</w:t>
      </w:r>
      <w:r w:rsidRPr="00CF45C0">
        <w:t xml:space="preserve"> </w:t>
      </w:r>
    </w:p>
    <w:p w14:paraId="25A27B74" w14:textId="330654F1" w:rsidR="00077BDB" w:rsidRPr="00205DD5" w:rsidRDefault="00077BDB" w:rsidP="008C0BAD">
      <w:pPr>
        <w:pStyle w:val="Dash"/>
      </w:pPr>
      <w:r w:rsidRPr="00205DD5">
        <w:t xml:space="preserve">Gross debt-to-GDP is expected to stabilise at 36.7 per cent </w:t>
      </w:r>
      <w:r w:rsidR="0030328D" w:rsidRPr="00205DD5">
        <w:t xml:space="preserve">from </w:t>
      </w:r>
      <w:r w:rsidRPr="00205DD5">
        <w:t xml:space="preserve">30 June 2027 and then fall to 31.4 per cent </w:t>
      </w:r>
      <w:proofErr w:type="gramStart"/>
      <w:r w:rsidR="00057794" w:rsidRPr="00205DD5">
        <w:t>at</w:t>
      </w:r>
      <w:proofErr w:type="gramEnd"/>
      <w:r w:rsidRPr="00205DD5">
        <w:t xml:space="preserve"> 30</w:t>
      </w:r>
      <w:r w:rsidR="0023452A" w:rsidRPr="00205DD5">
        <w:t> </w:t>
      </w:r>
      <w:r w:rsidRPr="00205DD5">
        <w:t>June 2035.</w:t>
      </w:r>
    </w:p>
    <w:p w14:paraId="6566C6CA" w14:textId="52358151" w:rsidR="00077BDB" w:rsidRPr="00205DD5" w:rsidRDefault="00077BDB" w:rsidP="00077BDB">
      <w:pPr>
        <w:pStyle w:val="Dash"/>
      </w:pPr>
      <w:r w:rsidRPr="00205DD5">
        <w:t xml:space="preserve">Gross debt is lower in every year of the projection period than expected at </w:t>
      </w:r>
      <w:r w:rsidR="000D5132" w:rsidRPr="00205DD5">
        <w:t xml:space="preserve">the </w:t>
      </w:r>
      <w:r w:rsidRPr="00205DD5">
        <w:t>PEFO. In nominal terms, gross debt is forecast to be $177</w:t>
      </w:r>
      <w:r w:rsidR="00051CF4" w:rsidRPr="00205DD5">
        <w:t> </w:t>
      </w:r>
      <w:r w:rsidRPr="00205DD5">
        <w:t xml:space="preserve">billion lower </w:t>
      </w:r>
      <w:proofErr w:type="gramStart"/>
      <w:r w:rsidRPr="00205DD5">
        <w:t>at</w:t>
      </w:r>
      <w:proofErr w:type="gramEnd"/>
      <w:r w:rsidRPr="00205DD5">
        <w:t xml:space="preserve"> 30 June 2025. </w:t>
      </w:r>
    </w:p>
    <w:p w14:paraId="32E50F52" w14:textId="7D95C08F" w:rsidR="00077BDB" w:rsidRPr="00205DD5" w:rsidRDefault="00077BDB" w:rsidP="00077BDB">
      <w:pPr>
        <w:pStyle w:val="Dash"/>
      </w:pPr>
      <w:r w:rsidRPr="00205DD5">
        <w:t xml:space="preserve">Gross debt is expected to stabilise 8.2 percentage points lower than the forecast peak at </w:t>
      </w:r>
      <w:r w:rsidR="000D5132" w:rsidRPr="00205DD5">
        <w:t xml:space="preserve">the </w:t>
      </w:r>
      <w:r w:rsidRPr="00205DD5">
        <w:t>PEFO. By 30 June 2033, gross debt is projected to be $</w:t>
      </w:r>
      <w:r w:rsidR="004126C7" w:rsidRPr="00205DD5">
        <w:t>113 </w:t>
      </w:r>
      <w:r w:rsidRPr="00205DD5">
        <w:t>billion (6.1</w:t>
      </w:r>
      <w:r w:rsidR="006D46B0" w:rsidRPr="00205DD5">
        <w:t> p</w:t>
      </w:r>
      <w:r w:rsidRPr="00205DD5">
        <w:t>ercentage points of GDP) lower than at the PEFO.</w:t>
      </w:r>
    </w:p>
    <w:p w14:paraId="62558098" w14:textId="7F13BB53" w:rsidR="00F54B93" w:rsidRPr="002E795C" w:rsidRDefault="00CB224C" w:rsidP="008C0BAD">
      <w:pPr>
        <w:pStyle w:val="Dash"/>
      </w:pPr>
      <w:r w:rsidRPr="00205DD5">
        <w:t>Improvements</w:t>
      </w:r>
      <w:r w:rsidR="00F54B93" w:rsidRPr="00205DD5">
        <w:t xml:space="preserve"> to the </w:t>
      </w:r>
      <w:r w:rsidR="00471B4A" w:rsidRPr="00205DD5">
        <w:t xml:space="preserve">budget </w:t>
      </w:r>
      <w:r w:rsidR="00F54B93" w:rsidRPr="00205DD5">
        <w:t>position, compared to the PEFO, over the 11 years to 2032–33</w:t>
      </w:r>
      <w:r w:rsidR="002F2780" w:rsidRPr="00205DD5">
        <w:t>,</w:t>
      </w:r>
      <w:r w:rsidR="00F54B93" w:rsidRPr="00205DD5">
        <w:t xml:space="preserve"> are expected to save around $70 billion in interest payments over this period.</w:t>
      </w:r>
      <w:r w:rsidR="00F54B93" w:rsidRPr="002E795C">
        <w:t xml:space="preserve"> </w:t>
      </w:r>
    </w:p>
    <w:p w14:paraId="275123EB" w14:textId="423179A0" w:rsidR="00FC1A97" w:rsidRPr="00205DD5" w:rsidRDefault="00521D77" w:rsidP="00265FF3">
      <w:pPr>
        <w:pStyle w:val="Bullet"/>
      </w:pPr>
      <w:r w:rsidRPr="00205DD5">
        <w:t xml:space="preserve">Returning </w:t>
      </w:r>
      <w:proofErr w:type="gramStart"/>
      <w:r w:rsidR="00147056" w:rsidRPr="00205DD5">
        <w:t>the majority of</w:t>
      </w:r>
      <w:proofErr w:type="gramEnd"/>
      <w:r w:rsidR="00147056" w:rsidRPr="00205DD5">
        <w:t xml:space="preserve"> tax receipt upgrades to the </w:t>
      </w:r>
      <w:r w:rsidR="002E1E93" w:rsidRPr="00205DD5">
        <w:t>budget</w:t>
      </w:r>
      <w:r w:rsidR="00A54C5A" w:rsidRPr="00205DD5">
        <w:t>.</w:t>
      </w:r>
    </w:p>
    <w:p w14:paraId="55D69159" w14:textId="12D52B8E" w:rsidR="00AD3567" w:rsidRPr="00205DD5" w:rsidRDefault="00AD3567" w:rsidP="00AD3567">
      <w:pPr>
        <w:pStyle w:val="Dash"/>
      </w:pPr>
      <w:r w:rsidRPr="00205DD5">
        <w:t>The Government has returned 78 per cent of tax receipt upgrades to the budget since coming to government in the six years to the end of the forward estimates period.</w:t>
      </w:r>
    </w:p>
    <w:p w14:paraId="6A24CB5B" w14:textId="27B0BC38" w:rsidR="000616D3" w:rsidRDefault="000616D3" w:rsidP="00265FF3">
      <w:pPr>
        <w:pStyle w:val="Dash"/>
      </w:pPr>
      <w:r w:rsidRPr="00205DD5">
        <w:t>The</w:t>
      </w:r>
      <w:r w:rsidR="00AD3567" w:rsidRPr="00205DD5">
        <w:t xml:space="preserve"> </w:t>
      </w:r>
      <w:r w:rsidRPr="00205DD5">
        <w:t xml:space="preserve">upgrades returned since </w:t>
      </w:r>
      <w:r w:rsidR="00EA7EAA" w:rsidRPr="00205DD5">
        <w:t>the</w:t>
      </w:r>
      <w:r w:rsidRPr="00205DD5">
        <w:t xml:space="preserve"> PEFO have </w:t>
      </w:r>
      <w:r w:rsidR="00AD3567" w:rsidRPr="00205DD5">
        <w:t xml:space="preserve">improved the underlying cash balance </w:t>
      </w:r>
      <w:r w:rsidR="00635E83" w:rsidRPr="00205DD5">
        <w:t>by a cumulative $275 billion over the forward estimates</w:t>
      </w:r>
      <w:r w:rsidR="00AD3567" w:rsidRPr="00205DD5">
        <w:t>,</w:t>
      </w:r>
      <w:r w:rsidR="00635E83" w:rsidRPr="00205DD5">
        <w:t xml:space="preserve"> avoiding around </w:t>
      </w:r>
      <w:r w:rsidR="00AD3567" w:rsidRPr="00205DD5">
        <w:t>$</w:t>
      </w:r>
      <w:r w:rsidR="00C06F11" w:rsidRPr="00205DD5">
        <w:t>120</w:t>
      </w:r>
      <w:r w:rsidR="00CD31B9" w:rsidRPr="00205DD5">
        <w:t> </w:t>
      </w:r>
      <w:r w:rsidRPr="00205DD5">
        <w:t xml:space="preserve">billion in interest payments over the </w:t>
      </w:r>
      <w:r w:rsidR="00AD3567" w:rsidRPr="00205DD5">
        <w:t>11</w:t>
      </w:r>
      <w:r w:rsidR="00617F50" w:rsidRPr="00205DD5">
        <w:t> </w:t>
      </w:r>
      <w:r w:rsidR="00AD3567" w:rsidRPr="00205DD5">
        <w:t>years to 2032</w:t>
      </w:r>
      <w:r w:rsidR="00F9197C" w:rsidRPr="00205DD5">
        <w:t>–</w:t>
      </w:r>
      <w:r w:rsidR="00AD3567" w:rsidRPr="00205DD5">
        <w:t>33</w:t>
      </w:r>
      <w:r w:rsidRPr="00205DD5">
        <w:t>.</w:t>
      </w:r>
      <w:r>
        <w:t xml:space="preserve"> </w:t>
      </w:r>
    </w:p>
    <w:p w14:paraId="3F502221" w14:textId="6DA53AF1" w:rsidR="00A76039" w:rsidRPr="00CF45C0" w:rsidRDefault="00A76039" w:rsidP="00037F69">
      <w:pPr>
        <w:pStyle w:val="Bullet"/>
      </w:pPr>
      <w:r w:rsidRPr="00205DD5">
        <w:t>Repairing the budget through $</w:t>
      </w:r>
      <w:r w:rsidR="007345B7" w:rsidRPr="00205DD5">
        <w:t>14.6</w:t>
      </w:r>
      <w:r w:rsidR="00BF3632" w:rsidRPr="00205DD5">
        <w:t xml:space="preserve"> </w:t>
      </w:r>
      <w:r w:rsidRPr="00205DD5">
        <w:t>billion in</w:t>
      </w:r>
      <w:r w:rsidR="007202BD" w:rsidRPr="00205DD5">
        <w:t xml:space="preserve"> </w:t>
      </w:r>
      <w:r w:rsidRPr="00205DD5">
        <w:t>savings and reprioritisations</w:t>
      </w:r>
      <w:r w:rsidR="00E42C4E">
        <w:t xml:space="preserve"> </w:t>
      </w:r>
      <w:r w:rsidRPr="00205DD5">
        <w:t>and $</w:t>
      </w:r>
      <w:r w:rsidR="002D5954" w:rsidRPr="00205DD5">
        <w:t>0.4</w:t>
      </w:r>
      <w:r w:rsidR="008865B3" w:rsidRPr="00205DD5">
        <w:t> </w:t>
      </w:r>
      <w:r w:rsidRPr="00205DD5">
        <w:t xml:space="preserve">billion in </w:t>
      </w:r>
      <w:r w:rsidR="00C355E0" w:rsidRPr="00205DD5">
        <w:t>improvements to the tax system</w:t>
      </w:r>
      <w:r w:rsidRPr="00205DD5">
        <w:t>.</w:t>
      </w:r>
    </w:p>
    <w:p w14:paraId="003A1CC4" w14:textId="62B13839" w:rsidR="00A76039" w:rsidRDefault="00A76039" w:rsidP="00AD3E6B">
      <w:pPr>
        <w:pStyle w:val="Dash"/>
      </w:pPr>
      <w:r w:rsidRPr="00205DD5">
        <w:t>This brings total savings and spending reprioritisations to $</w:t>
      </w:r>
      <w:r w:rsidR="00B73C16" w:rsidRPr="00205DD5">
        <w:t>92</w:t>
      </w:r>
      <w:r w:rsidR="007F2DBD" w:rsidRPr="00205DD5">
        <w:t>.0</w:t>
      </w:r>
      <w:r w:rsidRPr="00205DD5">
        <w:t xml:space="preserve"> billion</w:t>
      </w:r>
      <w:r w:rsidR="009B57C8" w:rsidRPr="00205DD5">
        <w:t>,</w:t>
      </w:r>
      <w:r w:rsidRPr="00205DD5">
        <w:t xml:space="preserve"> and total budget improvements to $</w:t>
      </w:r>
      <w:r w:rsidR="00B73C16" w:rsidRPr="00205DD5">
        <w:t>119.9</w:t>
      </w:r>
      <w:r w:rsidRPr="00205DD5">
        <w:t xml:space="preserve"> billion</w:t>
      </w:r>
      <w:r w:rsidR="000A0B2A" w:rsidRPr="00205DD5">
        <w:t>,</w:t>
      </w:r>
      <w:r w:rsidRPr="00205DD5">
        <w:t xml:space="preserve"> since the PEFO</w:t>
      </w:r>
      <w:r w:rsidR="00BA13E1" w:rsidRPr="00205DD5">
        <w:t>.</w:t>
      </w:r>
    </w:p>
    <w:p w14:paraId="506E3756" w14:textId="25BE580B" w:rsidR="00A76039" w:rsidRPr="00205DD5" w:rsidRDefault="00A76039" w:rsidP="00A76039">
      <w:pPr>
        <w:pStyle w:val="Bullet"/>
      </w:pPr>
      <w:r w:rsidRPr="00205DD5">
        <w:t>Limiting spending, with real payments growth over the six years to 2027</w:t>
      </w:r>
      <w:r w:rsidR="00C40DB0" w:rsidRPr="00205DD5">
        <w:t>–</w:t>
      </w:r>
      <w:r w:rsidRPr="00205DD5">
        <w:t xml:space="preserve">28 </w:t>
      </w:r>
      <w:r w:rsidR="001740EF" w:rsidRPr="00205DD5">
        <w:t xml:space="preserve">forecast </w:t>
      </w:r>
      <w:r w:rsidRPr="00205DD5">
        <w:t xml:space="preserve">to average </w:t>
      </w:r>
      <w:r w:rsidR="005C4E3C" w:rsidRPr="00205DD5">
        <w:t>1.5</w:t>
      </w:r>
      <w:r w:rsidRPr="00205DD5">
        <w:t xml:space="preserve"> per cent</w:t>
      </w:r>
      <w:r w:rsidR="00FF34A2" w:rsidRPr="00205DD5">
        <w:t xml:space="preserve"> per year</w:t>
      </w:r>
      <w:r w:rsidRPr="00205DD5">
        <w:t>.</w:t>
      </w:r>
    </w:p>
    <w:p w14:paraId="2F4DB78F" w14:textId="5024903D" w:rsidR="00A76039" w:rsidRDefault="00A76039" w:rsidP="00A76039">
      <w:pPr>
        <w:pStyle w:val="Dash"/>
      </w:pPr>
      <w:r w:rsidRPr="00205DD5">
        <w:t xml:space="preserve">This compares to the 3.2 per cent average over the past 30 years. </w:t>
      </w:r>
    </w:p>
    <w:p w14:paraId="3EFD9DCE" w14:textId="0A9D5077" w:rsidR="00891CD0" w:rsidRPr="00205DD5" w:rsidRDefault="00AE4626" w:rsidP="00B66289">
      <w:pPr>
        <w:pStyle w:val="Bullet"/>
        <w:numPr>
          <w:ilvl w:val="0"/>
          <w:numId w:val="0"/>
        </w:numPr>
      </w:pPr>
      <w:r w:rsidRPr="00205DD5">
        <w:lastRenderedPageBreak/>
        <w:t>The Government’s responsible economic and fiscal management strikes a balance between fighting inflation, easing pressures on households and supporting growth and employment. It has</w:t>
      </w:r>
      <w:r w:rsidR="0092067B" w:rsidRPr="00205DD5">
        <w:t xml:space="preserve"> strengthened the fiscal position, helped rebuild fiscal buffers, and </w:t>
      </w:r>
      <w:r w:rsidRPr="00205DD5">
        <w:t>seen</w:t>
      </w:r>
      <w:r w:rsidR="0092067B" w:rsidRPr="00205DD5">
        <w:t xml:space="preserve"> fiscal policy </w:t>
      </w:r>
      <w:r w:rsidRPr="00205DD5">
        <w:t>work</w:t>
      </w:r>
      <w:r w:rsidR="0092067B" w:rsidRPr="00205DD5">
        <w:t xml:space="preserve"> alongside monetary policy to</w:t>
      </w:r>
      <w:r w:rsidR="00A5394D" w:rsidRPr="00205DD5">
        <w:t xml:space="preserve"> return</w:t>
      </w:r>
      <w:r w:rsidR="009E148F" w:rsidRPr="00205DD5">
        <w:t xml:space="preserve"> </w:t>
      </w:r>
      <w:r w:rsidR="00A5394D" w:rsidRPr="00205DD5">
        <w:t>inflation to the target band for the first time since 2021.</w:t>
      </w:r>
      <w:r w:rsidRPr="00205DD5">
        <w:t xml:space="preserve"> </w:t>
      </w:r>
    </w:p>
    <w:p w14:paraId="60735C22" w14:textId="405F19B0" w:rsidR="008B7916" w:rsidRPr="00205DD5" w:rsidRDefault="008B7916" w:rsidP="008B7916">
      <w:pPr>
        <w:pStyle w:val="Bullet"/>
        <w:keepNext/>
        <w:numPr>
          <w:ilvl w:val="0"/>
          <w:numId w:val="0"/>
        </w:numPr>
      </w:pPr>
      <w:r w:rsidRPr="00205DD5" w:rsidDel="008B7916">
        <w:t>The Government is continuing to ensure its fiscal policy settings are consistent with sustainably returning inflation to target</w:t>
      </w:r>
      <w:r w:rsidR="008B7C32" w:rsidRPr="00205DD5">
        <w:t>.</w:t>
      </w:r>
      <w:r w:rsidR="00A11FAC" w:rsidRPr="00205DD5" w:rsidDel="00A11FAC">
        <w:t xml:space="preserve"> </w:t>
      </w:r>
    </w:p>
    <w:p w14:paraId="0AA6D338" w14:textId="3DC0056F" w:rsidR="001C242C" w:rsidRPr="00205DD5" w:rsidRDefault="001C242C" w:rsidP="008B7916">
      <w:pPr>
        <w:pStyle w:val="Bullet"/>
        <w:keepNext/>
        <w:numPr>
          <w:ilvl w:val="0"/>
          <w:numId w:val="0"/>
        </w:numPr>
      </w:pPr>
      <w:r w:rsidRPr="00205DD5">
        <w:t>The Government’s responsible fiscal approach includes:</w:t>
      </w:r>
      <w:r w:rsidR="00C67816" w:rsidRPr="0010344C">
        <w:t xml:space="preserve"> </w:t>
      </w:r>
    </w:p>
    <w:p w14:paraId="5CAE70C9" w14:textId="18CA5C7C" w:rsidR="00A76039" w:rsidRPr="00205DD5" w:rsidRDefault="00A76039" w:rsidP="00A76039">
      <w:pPr>
        <w:pStyle w:val="Bullet"/>
      </w:pPr>
      <w:r w:rsidRPr="00205DD5">
        <w:t>Improving the budget position in 2024</w:t>
      </w:r>
      <w:r w:rsidR="00352835" w:rsidRPr="00205DD5">
        <w:t>–</w:t>
      </w:r>
      <w:r w:rsidRPr="00205DD5">
        <w:t>25</w:t>
      </w:r>
      <w:r w:rsidR="006576CE" w:rsidRPr="00205DD5">
        <w:t>,</w:t>
      </w:r>
      <w:r w:rsidR="00534F19" w:rsidRPr="00205DD5">
        <w:t xml:space="preserve"> </w:t>
      </w:r>
      <w:r w:rsidR="008F0C31" w:rsidRPr="00205DD5">
        <w:t>relative to the 2024</w:t>
      </w:r>
      <w:r w:rsidR="00534F19" w:rsidRPr="00205DD5">
        <w:t>–</w:t>
      </w:r>
      <w:r w:rsidR="008F0C31" w:rsidRPr="00205DD5">
        <w:t>25 Budget</w:t>
      </w:r>
      <w:r w:rsidRPr="00205DD5">
        <w:t>.</w:t>
      </w:r>
    </w:p>
    <w:p w14:paraId="77EF5536" w14:textId="0E58C681" w:rsidR="00A76039" w:rsidRPr="0010344C" w:rsidRDefault="00A76039" w:rsidP="00A76039">
      <w:pPr>
        <w:pStyle w:val="Bullet"/>
      </w:pPr>
      <w:r w:rsidRPr="00205DD5">
        <w:t xml:space="preserve">Banking </w:t>
      </w:r>
      <w:proofErr w:type="gramStart"/>
      <w:r w:rsidRPr="00205DD5">
        <w:t>the majority of</w:t>
      </w:r>
      <w:proofErr w:type="gramEnd"/>
      <w:r w:rsidRPr="00205DD5">
        <w:t xml:space="preserve"> </w:t>
      </w:r>
      <w:r w:rsidR="00AC43F4" w:rsidRPr="00205DD5">
        <w:t>tax receipt</w:t>
      </w:r>
      <w:r w:rsidRPr="00205DD5">
        <w:t xml:space="preserve"> upgrades in 2024</w:t>
      </w:r>
      <w:r w:rsidR="00C6012A" w:rsidRPr="00205DD5">
        <w:t>–</w:t>
      </w:r>
      <w:r w:rsidRPr="00205DD5">
        <w:t xml:space="preserve">25 since </w:t>
      </w:r>
      <w:r w:rsidR="00C753BA" w:rsidRPr="00205DD5">
        <w:t>the</w:t>
      </w:r>
      <w:r w:rsidRPr="00205DD5">
        <w:t xml:space="preserve"> PEFO.</w:t>
      </w:r>
    </w:p>
    <w:p w14:paraId="6F7341D5" w14:textId="3DF580BE" w:rsidR="00DA275F" w:rsidRPr="0010344C" w:rsidRDefault="00A76039" w:rsidP="000B4520">
      <w:pPr>
        <w:pStyle w:val="Bullet"/>
      </w:pPr>
      <w:r w:rsidRPr="00205DD5">
        <w:t>Directly reducing</w:t>
      </w:r>
      <w:r w:rsidR="000B4282" w:rsidRPr="00205DD5">
        <w:t xml:space="preserve"> </w:t>
      </w:r>
      <w:r w:rsidRPr="00205DD5">
        <w:t xml:space="preserve">inflation by ½ of a percentage point </w:t>
      </w:r>
      <w:r w:rsidR="006C2AB5" w:rsidRPr="00205DD5">
        <w:t>in 2024</w:t>
      </w:r>
      <w:r w:rsidR="00A154F4" w:rsidRPr="00205DD5">
        <w:t>–</w:t>
      </w:r>
      <w:r w:rsidR="006C2AB5" w:rsidRPr="00205DD5">
        <w:t xml:space="preserve">25 </w:t>
      </w:r>
      <w:r w:rsidRPr="00205DD5">
        <w:t>through responsible cost</w:t>
      </w:r>
      <w:r w:rsidR="00856600" w:rsidRPr="00205DD5">
        <w:t>-</w:t>
      </w:r>
      <w:r w:rsidRPr="00205DD5">
        <w:t>of</w:t>
      </w:r>
      <w:r w:rsidR="00856600" w:rsidRPr="00205DD5">
        <w:t>-</w:t>
      </w:r>
      <w:r w:rsidRPr="00205DD5">
        <w:t>living measures</w:t>
      </w:r>
      <w:r w:rsidR="006C2AB5" w:rsidRPr="00205DD5">
        <w:t xml:space="preserve"> announced in the 2024</w:t>
      </w:r>
      <w:r w:rsidR="00A154F4" w:rsidRPr="00205DD5">
        <w:t>–</w:t>
      </w:r>
      <w:r w:rsidR="006C2AB5" w:rsidRPr="00205DD5">
        <w:t>25 Budget</w:t>
      </w:r>
      <w:r w:rsidRPr="00205DD5">
        <w:t>.</w:t>
      </w:r>
      <w:r w:rsidR="00FD2922" w:rsidRPr="0010344C">
        <w:t xml:space="preserve"> </w:t>
      </w:r>
    </w:p>
    <w:p w14:paraId="32527F8A" w14:textId="7B0C654F" w:rsidR="00FD2922" w:rsidRPr="00205DD5" w:rsidRDefault="00B3058E" w:rsidP="00FD2922">
      <w:pPr>
        <w:pStyle w:val="Heading3"/>
      </w:pPr>
      <w:r w:rsidRPr="00205DD5">
        <w:t>I</w:t>
      </w:r>
      <w:r w:rsidR="00655280" w:rsidRPr="00205DD5">
        <w:t xml:space="preserve">nternational </w:t>
      </w:r>
      <w:r w:rsidRPr="00205DD5">
        <w:t>comparisons of</w:t>
      </w:r>
      <w:r w:rsidR="00655280" w:rsidRPr="00205DD5">
        <w:t xml:space="preserve"> </w:t>
      </w:r>
      <w:r w:rsidR="00FD2922" w:rsidRPr="00205DD5">
        <w:t xml:space="preserve">fiscal performance </w:t>
      </w:r>
    </w:p>
    <w:p w14:paraId="4A6CFC1F" w14:textId="73C6C6CD" w:rsidR="008C08C5" w:rsidRPr="00205DD5" w:rsidRDefault="008C08C5" w:rsidP="008C08C5">
      <w:r w:rsidRPr="00205DD5">
        <w:t xml:space="preserve">Australia’s fiscal improvement, led by the Commonwealth, puts the nation’s </w:t>
      </w:r>
      <w:r w:rsidR="00934FFD" w:rsidRPr="00205DD5">
        <w:t>finances</w:t>
      </w:r>
      <w:r w:rsidRPr="00205DD5">
        <w:t xml:space="preserve"> in a strong position internationally. </w:t>
      </w:r>
      <w:r w:rsidR="00B45032" w:rsidRPr="00205DD5">
        <w:t>Australia’s budget balance improvement, as a share of the economy, has exceeded that of most other comparable economies over the past three years. As a result, Australia is expected to have the third highest budget balance as a share of GDP among G20 countries in 2024, up from 14th in 2021.</w:t>
      </w:r>
    </w:p>
    <w:p w14:paraId="3E4B0F65" w14:textId="3C00E3C3" w:rsidR="001E6966" w:rsidRPr="00205DD5" w:rsidRDefault="001E6966" w:rsidP="001E6966">
      <w:r w:rsidRPr="00205DD5">
        <w:t xml:space="preserve">Australia is </w:t>
      </w:r>
      <w:r w:rsidR="00EF6E6C" w:rsidRPr="00205DD5">
        <w:t xml:space="preserve">one of </w:t>
      </w:r>
      <w:r w:rsidRPr="00205DD5">
        <w:t xml:space="preserve">only nine countries with a AAA sovereign credit rating from all three major ratings agencies. </w:t>
      </w:r>
    </w:p>
    <w:p w14:paraId="18B9E940" w14:textId="64F69AAE" w:rsidR="00FD2922" w:rsidRPr="00205DD5" w:rsidRDefault="00FD2922" w:rsidP="00FD2922">
      <w:r w:rsidRPr="00205DD5">
        <w:t>Australia’s general government gross debt as a share of GDP has remained low</w:t>
      </w:r>
      <w:r w:rsidR="008C08C5" w:rsidRPr="00205DD5">
        <w:t xml:space="preserve"> internationally.</w:t>
      </w:r>
      <w:r w:rsidRPr="00205DD5">
        <w:t xml:space="preserve"> The I</w:t>
      </w:r>
      <w:r w:rsidR="001921E4" w:rsidRPr="00205DD5">
        <w:t xml:space="preserve">nternational </w:t>
      </w:r>
      <w:r w:rsidRPr="00205DD5">
        <w:t>M</w:t>
      </w:r>
      <w:r w:rsidR="001921E4" w:rsidRPr="00205DD5">
        <w:t xml:space="preserve">onetary </w:t>
      </w:r>
      <w:r w:rsidRPr="00205DD5">
        <w:t>F</w:t>
      </w:r>
      <w:r w:rsidR="001921E4" w:rsidRPr="00205DD5">
        <w:t>und</w:t>
      </w:r>
      <w:r w:rsidRPr="00205DD5">
        <w:t xml:space="preserve"> projects Australia’s general government gross debt to GDP </w:t>
      </w:r>
      <w:r w:rsidR="006C6447" w:rsidRPr="00205DD5">
        <w:t xml:space="preserve">(including all levels of government) </w:t>
      </w:r>
      <w:r w:rsidRPr="00205DD5">
        <w:t xml:space="preserve">to be </w:t>
      </w:r>
      <w:r w:rsidR="008C08C5" w:rsidRPr="00205DD5">
        <w:t>around</w:t>
      </w:r>
      <w:r w:rsidRPr="00205DD5">
        <w:t xml:space="preserve"> half the advanced economy average</w:t>
      </w:r>
      <w:r w:rsidR="000A4A87" w:rsidRPr="00205DD5">
        <w:t>, more than 50</w:t>
      </w:r>
      <w:r w:rsidR="00C835DF" w:rsidRPr="00205DD5">
        <w:t> </w:t>
      </w:r>
      <w:r w:rsidR="000A4A87" w:rsidRPr="00205DD5">
        <w:t xml:space="preserve">percentage points below the United Kingdom, </w:t>
      </w:r>
      <w:r w:rsidR="0033390B" w:rsidRPr="00205DD5">
        <w:t xml:space="preserve">and </w:t>
      </w:r>
      <w:r w:rsidR="000A4A87" w:rsidRPr="00205DD5">
        <w:t>Canada</w:t>
      </w:r>
      <w:r w:rsidR="00DF5557" w:rsidRPr="00205DD5">
        <w:t>, and more than 70 percentage points below the United States</w:t>
      </w:r>
      <w:r w:rsidR="000A4A87" w:rsidRPr="00205DD5">
        <w:t xml:space="preserve"> </w:t>
      </w:r>
      <w:r w:rsidRPr="00205DD5">
        <w:t xml:space="preserve">(Chart </w:t>
      </w:r>
      <w:r w:rsidR="00527D80" w:rsidRPr="00205DD5">
        <w:t>3.</w:t>
      </w:r>
      <w:r w:rsidR="00CA416E" w:rsidRPr="00205DD5">
        <w:t>1</w:t>
      </w:r>
      <w:r w:rsidRPr="00205DD5">
        <w:t xml:space="preserve">). </w:t>
      </w:r>
      <w:r w:rsidR="00751805" w:rsidRPr="00205DD5">
        <w:t xml:space="preserve">Australia </w:t>
      </w:r>
      <w:r w:rsidR="002E1DBE" w:rsidRPr="00205DD5">
        <w:t>is estimated to have</w:t>
      </w:r>
      <w:r w:rsidR="00751805" w:rsidRPr="00205DD5">
        <w:t xml:space="preserve"> the fifth lowest gross debt</w:t>
      </w:r>
      <w:r w:rsidR="002035E1" w:rsidRPr="00205DD5">
        <w:t xml:space="preserve"> </w:t>
      </w:r>
      <w:r w:rsidR="00751805" w:rsidRPr="00205DD5">
        <w:t>to</w:t>
      </w:r>
      <w:r w:rsidR="002035E1" w:rsidRPr="00205DD5">
        <w:t xml:space="preserve"> </w:t>
      </w:r>
      <w:r w:rsidR="00751805" w:rsidRPr="00205DD5">
        <w:t>GDP ratio in the G20 in 2024.</w:t>
      </w:r>
      <w:r w:rsidRPr="00205DD5">
        <w:t xml:space="preserve"> </w:t>
      </w:r>
      <w:r w:rsidR="00140304" w:rsidRPr="00205DD5">
        <w:t>Low government debt levels ensure Australia retains low borrowing costs, and the capacity to respond to future economic downturns</w:t>
      </w:r>
      <w:r w:rsidR="008C08C5" w:rsidRPr="00205DD5">
        <w:t xml:space="preserve"> while sustaining</w:t>
      </w:r>
      <w:r w:rsidR="00140304" w:rsidRPr="00205DD5">
        <w:t xml:space="preserve"> essential services</w:t>
      </w:r>
      <w:r w:rsidRPr="00205DD5">
        <w:t xml:space="preserve">. </w:t>
      </w:r>
    </w:p>
    <w:p w14:paraId="1E02FC29" w14:textId="0658FA3A" w:rsidR="00601774" w:rsidRPr="00205DD5" w:rsidRDefault="007414B9" w:rsidP="004D2D9A">
      <w:pPr>
        <w:pStyle w:val="ChartMainHeading"/>
      </w:pPr>
      <w:r w:rsidRPr="00205DD5">
        <w:lastRenderedPageBreak/>
        <w:t xml:space="preserve">Chart </w:t>
      </w:r>
      <w:r w:rsidR="00527D80" w:rsidRPr="00205DD5">
        <w:t>3.</w:t>
      </w:r>
      <w:r w:rsidR="00CA416E" w:rsidRPr="00205DD5">
        <w:t>1</w:t>
      </w:r>
      <w:r w:rsidRPr="00205DD5">
        <w:t>: General government gross debt in 2024</w:t>
      </w:r>
    </w:p>
    <w:p w14:paraId="014D56D2" w14:textId="7E9B636F" w:rsidR="007414B9" w:rsidRDefault="00297A33" w:rsidP="00035B7B">
      <w:pPr>
        <w:pStyle w:val="ChartGraphic"/>
      </w:pPr>
      <w:bookmarkStart w:id="6" w:name="_1795240515"/>
      <w:bookmarkStart w:id="7" w:name="_1795413747"/>
      <w:bookmarkStart w:id="8" w:name="_1795417375"/>
      <w:bookmarkStart w:id="9" w:name="_1795519287"/>
      <w:bookmarkStart w:id="10" w:name="_1795592145"/>
      <w:bookmarkEnd w:id="6"/>
      <w:bookmarkEnd w:id="7"/>
      <w:bookmarkEnd w:id="8"/>
      <w:bookmarkEnd w:id="9"/>
      <w:bookmarkEnd w:id="10"/>
      <w:r>
        <w:rPr>
          <w:noProof/>
        </w:rPr>
        <w:pict w14:anchorId="41525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hart shows 2024 levels of general government gross debt as a per cent of GDP for Australia, New Zealand, Euro Area, United Kingdom, Canada, United States and the Advanced Economy average. The 2023-24 financial year gross debt as a per cent of GDP outcome for the Commonwealth is shown as a black dot. " style="width:364.15pt;height:224.25pt">
            <v:imagedata r:id="rId7" o:title=""/>
          </v:shape>
        </w:pict>
      </w:r>
    </w:p>
    <w:p w14:paraId="53202B9B" w14:textId="47DB3047" w:rsidR="00934FFD" w:rsidRPr="00205DD5" w:rsidRDefault="00934FFD" w:rsidP="000450B4">
      <w:pPr>
        <w:pStyle w:val="ChartandTableFootnote"/>
        <w:keepNext/>
        <w:rPr>
          <w:color w:val="auto"/>
        </w:rPr>
      </w:pPr>
      <w:r w:rsidRPr="00205DD5">
        <w:rPr>
          <w:color w:val="auto"/>
        </w:rPr>
        <w:t xml:space="preserve">Source: </w:t>
      </w:r>
      <w:r w:rsidR="004D2D9A" w:rsidRPr="00205DD5">
        <w:rPr>
          <w:color w:val="auto"/>
        </w:rPr>
        <w:tab/>
      </w:r>
      <w:r w:rsidRPr="00205DD5">
        <w:rPr>
          <w:color w:val="auto"/>
        </w:rPr>
        <w:t>2023</w:t>
      </w:r>
      <w:r w:rsidR="004D2D9A" w:rsidRPr="00205DD5">
        <w:rPr>
          <w:color w:val="auto"/>
        </w:rPr>
        <w:t>–</w:t>
      </w:r>
      <w:r w:rsidRPr="00205DD5">
        <w:rPr>
          <w:color w:val="auto"/>
        </w:rPr>
        <w:t>24 Final Budget Outcome, International Monetary Fund.</w:t>
      </w:r>
    </w:p>
    <w:p w14:paraId="2F168C5D" w14:textId="3F52001D" w:rsidR="00127266" w:rsidRDefault="00FA563D" w:rsidP="000450B4">
      <w:pPr>
        <w:pStyle w:val="ChartandTableFootnote"/>
        <w:keepNext/>
      </w:pPr>
      <w:r w:rsidRPr="00205DD5">
        <w:rPr>
          <w:color w:val="auto"/>
        </w:rPr>
        <w:t>Note:</w:t>
      </w:r>
      <w:r w:rsidR="003C2270" w:rsidRPr="00205DD5">
        <w:rPr>
          <w:color w:val="auto"/>
        </w:rPr>
        <w:t xml:space="preserve"> </w:t>
      </w:r>
      <w:r w:rsidR="00127266" w:rsidRPr="00205DD5">
        <w:rPr>
          <w:color w:val="auto"/>
        </w:rPr>
        <w:tab/>
      </w:r>
      <w:r w:rsidR="003C2270" w:rsidRPr="00205DD5">
        <w:rPr>
          <w:color w:val="auto"/>
        </w:rPr>
        <w:t>International Monetary Fund fiscal data are produced on a consistent basis across countries</w:t>
      </w:r>
      <w:r w:rsidR="00934FFD" w:rsidRPr="00205DD5">
        <w:rPr>
          <w:color w:val="auto"/>
        </w:rPr>
        <w:t xml:space="preserve">. </w:t>
      </w:r>
      <w:r w:rsidR="003C2270" w:rsidRPr="00205DD5">
        <w:rPr>
          <w:color w:val="auto"/>
        </w:rPr>
        <w:t>They are produced for calendar years and on a general government basis</w:t>
      </w:r>
      <w:r w:rsidR="00387B09" w:rsidRPr="00205DD5">
        <w:rPr>
          <w:color w:val="auto"/>
        </w:rPr>
        <w:t xml:space="preserve">. </w:t>
      </w:r>
      <w:r w:rsidR="003C2270" w:rsidRPr="00205DD5">
        <w:rPr>
          <w:color w:val="auto"/>
        </w:rPr>
        <w:t xml:space="preserve">They are not directly comparable with fiscal aggregates reported elsewhere in </w:t>
      </w:r>
      <w:r w:rsidR="00342B2D" w:rsidRPr="00205DD5">
        <w:rPr>
          <w:color w:val="auto"/>
        </w:rPr>
        <w:t xml:space="preserve">the </w:t>
      </w:r>
      <w:r w:rsidR="001F376B" w:rsidRPr="00205DD5">
        <w:rPr>
          <w:color w:val="auto"/>
        </w:rPr>
        <w:t>MYEFO.</w:t>
      </w:r>
    </w:p>
    <w:p w14:paraId="7CF9FCFF" w14:textId="77777777" w:rsidR="00127266" w:rsidRDefault="00127266" w:rsidP="000450B4">
      <w:pPr>
        <w:pStyle w:val="ChartLine"/>
        <w:keepNext/>
      </w:pPr>
    </w:p>
    <w:p w14:paraId="59A6F874" w14:textId="2C88CD0B" w:rsidR="00D63C70" w:rsidRPr="001D7A0A" w:rsidRDefault="00073680" w:rsidP="00C870DF">
      <w:pPr>
        <w:pStyle w:val="SingleParagraph"/>
      </w:pPr>
      <w:r w:rsidRPr="0058018F">
        <w:t xml:space="preserve"> </w:t>
      </w:r>
      <w:r w:rsidR="00D63C70" w:rsidRPr="00DF3DF1">
        <w:rPr>
          <w:lang w:eastAsia="en-US"/>
        </w:rPr>
        <w:br w:type="page"/>
      </w:r>
    </w:p>
    <w:p w14:paraId="759660B7" w14:textId="5E034A9B" w:rsidR="00D63C70" w:rsidRPr="00205DD5" w:rsidRDefault="00D63C70" w:rsidP="00D63C70">
      <w:pPr>
        <w:pStyle w:val="Heading2"/>
        <w:rPr>
          <w:lang w:eastAsia="en-US"/>
        </w:rPr>
      </w:pPr>
      <w:bookmarkStart w:id="11" w:name="_Toc148428062"/>
      <w:r w:rsidRPr="00205DD5">
        <w:rPr>
          <w:lang w:eastAsia="en-US"/>
        </w:rPr>
        <w:lastRenderedPageBreak/>
        <w:t>Fiscal Outlook</w:t>
      </w:r>
      <w:bookmarkEnd w:id="11"/>
    </w:p>
    <w:p w14:paraId="25093FDF" w14:textId="28E30E34" w:rsidR="00D63C70" w:rsidRPr="00205DD5" w:rsidRDefault="00D63C70" w:rsidP="00D63C70">
      <w:pPr>
        <w:pStyle w:val="Heading3"/>
      </w:pPr>
      <w:bookmarkStart w:id="12" w:name="_Toc148428063"/>
      <w:r w:rsidRPr="00205DD5">
        <w:t>Underlying cash balance estimates</w:t>
      </w:r>
      <w:bookmarkEnd w:id="12"/>
      <w:r w:rsidR="009F1F01" w:rsidRPr="00205DD5">
        <w:t xml:space="preserve"> </w:t>
      </w:r>
    </w:p>
    <w:p w14:paraId="5FB2793D" w14:textId="3B1CE17D" w:rsidR="006052F9" w:rsidRDefault="006052F9" w:rsidP="006052F9">
      <w:r w:rsidRPr="00205DD5">
        <w:t>An underlying cash deficit of $</w:t>
      </w:r>
      <w:r w:rsidR="007E5303" w:rsidRPr="00205DD5">
        <w:t>26</w:t>
      </w:r>
      <w:r w:rsidRPr="00205DD5">
        <w:t>.</w:t>
      </w:r>
      <w:r w:rsidR="007E5303" w:rsidRPr="00205DD5">
        <w:t>9</w:t>
      </w:r>
      <w:r w:rsidRPr="00205DD5">
        <w:t xml:space="preserve"> billion is forecast for 2024–25 (</w:t>
      </w:r>
      <w:r w:rsidR="000C04E6" w:rsidRPr="00205DD5">
        <w:t>1.0</w:t>
      </w:r>
      <w:r w:rsidRPr="00205DD5">
        <w:t xml:space="preserve"> per cent of GDP), an improvement on the 2024–25 Budget. The deficit is expected to reach $</w:t>
      </w:r>
      <w:r w:rsidR="003A6DC2" w:rsidRPr="00205DD5">
        <w:t>46.9</w:t>
      </w:r>
      <w:r w:rsidRPr="00205DD5">
        <w:t xml:space="preserve"> billion (</w:t>
      </w:r>
      <w:r w:rsidR="003A6DC2" w:rsidRPr="00205DD5">
        <w:t>1.</w:t>
      </w:r>
      <w:r w:rsidR="00AC0C16" w:rsidRPr="00205DD5">
        <w:t>6 per </w:t>
      </w:r>
      <w:r w:rsidRPr="00205DD5">
        <w:t>cent of GDP) in 2025–26 before improving to $</w:t>
      </w:r>
      <w:r w:rsidR="003A6DC2" w:rsidRPr="00205DD5">
        <w:t>31.7</w:t>
      </w:r>
      <w:r w:rsidRPr="00205DD5">
        <w:t xml:space="preserve"> billion (</w:t>
      </w:r>
      <w:r w:rsidR="0086305C" w:rsidRPr="00205DD5">
        <w:t>1.0</w:t>
      </w:r>
      <w:r w:rsidRPr="00205DD5">
        <w:t xml:space="preserve"> per cent of GDP) in </w:t>
      </w:r>
      <w:r w:rsidR="00B23212" w:rsidRPr="00205DD5">
        <w:t>2027–28.</w:t>
      </w:r>
      <w:r>
        <w:t xml:space="preserve"> </w:t>
      </w:r>
    </w:p>
    <w:p w14:paraId="0CF34B2D" w14:textId="06FD3668" w:rsidR="00595AC3" w:rsidRPr="00205DD5" w:rsidRDefault="006052F9" w:rsidP="000B4520">
      <w:pPr>
        <w:spacing w:before="0" w:after="0" w:line="240" w:lineRule="auto"/>
      </w:pPr>
      <w:r w:rsidRPr="00205DD5">
        <w:t xml:space="preserve">This MYEFO continues </w:t>
      </w:r>
      <w:r w:rsidR="003E176B" w:rsidRPr="00205DD5">
        <w:t xml:space="preserve">the Government’s record of </w:t>
      </w:r>
      <w:r w:rsidR="00896B6A" w:rsidRPr="00896B6A">
        <w:t>responsible economic and fiscal management</w:t>
      </w:r>
      <w:r w:rsidR="00601133" w:rsidRPr="00205DD5">
        <w:t>, which has been achieved</w:t>
      </w:r>
      <w:r w:rsidRPr="00205DD5">
        <w:t xml:space="preserve"> in the </w:t>
      </w:r>
      <w:r w:rsidR="00601133" w:rsidRPr="00205DD5">
        <w:t>context of challenging economic and fiscal pressures</w:t>
      </w:r>
      <w:r w:rsidRPr="00205DD5">
        <w:t xml:space="preserve">. </w:t>
      </w:r>
      <w:r w:rsidR="001F074F" w:rsidRPr="00205DD5">
        <w:t>Payment variations and unavoidable policy decisions</w:t>
      </w:r>
      <w:r w:rsidR="00C86DE4" w:rsidRPr="00205DD5">
        <w:t xml:space="preserve"> </w:t>
      </w:r>
      <w:r w:rsidR="00343104" w:rsidRPr="00205DD5">
        <w:t xml:space="preserve">are </w:t>
      </w:r>
      <w:r w:rsidRPr="00205DD5">
        <w:t>the primary driver</w:t>
      </w:r>
      <w:r w:rsidR="00343104" w:rsidRPr="00205DD5">
        <w:t>s</w:t>
      </w:r>
      <w:r w:rsidRPr="00205DD5">
        <w:t xml:space="preserve"> of higher underlying cash deficits since the 2024</w:t>
      </w:r>
      <w:r w:rsidR="00C65E80" w:rsidRPr="00205DD5">
        <w:t>–</w:t>
      </w:r>
      <w:r w:rsidRPr="00205DD5">
        <w:t>25 Budget over the forward estimates</w:t>
      </w:r>
      <w:r w:rsidR="00966D84" w:rsidRPr="00205DD5">
        <w:t xml:space="preserve"> period</w:t>
      </w:r>
      <w:r w:rsidRPr="00205DD5">
        <w:t xml:space="preserve">. While the net impact of policy decisions also contributes to </w:t>
      </w:r>
      <w:r w:rsidR="00CB7828" w:rsidRPr="00205DD5">
        <w:t xml:space="preserve">a </w:t>
      </w:r>
      <w:r w:rsidRPr="00205DD5">
        <w:t>higher underlying cash deficit, $</w:t>
      </w:r>
      <w:r w:rsidR="00B65F8B" w:rsidRPr="00205DD5">
        <w:t>4.7</w:t>
      </w:r>
      <w:r w:rsidR="00F94D74" w:rsidRPr="00205DD5">
        <w:t> </w:t>
      </w:r>
      <w:r w:rsidRPr="00205DD5">
        <w:t>billion of these policy decisions have been funded by provisions from previous budget updates</w:t>
      </w:r>
      <w:r w:rsidR="00834AD0" w:rsidRPr="00205DD5">
        <w:t>.</w:t>
      </w:r>
    </w:p>
    <w:p w14:paraId="27E38D30" w14:textId="3CBF03AF" w:rsidR="0005732C" w:rsidRPr="0058018F" w:rsidRDefault="007961D3" w:rsidP="00063E36">
      <w:r w:rsidRPr="00205DD5">
        <w:t>The Government has had to provide</w:t>
      </w:r>
      <w:r w:rsidR="000F314C" w:rsidRPr="00205DD5">
        <w:t xml:space="preserve"> </w:t>
      </w:r>
      <w:r w:rsidR="00996FB9" w:rsidRPr="00205DD5">
        <w:t>$</w:t>
      </w:r>
      <w:r w:rsidR="000408E2" w:rsidRPr="00205DD5">
        <w:t>8.8</w:t>
      </w:r>
      <w:r w:rsidR="00996FB9" w:rsidRPr="00205DD5">
        <w:t xml:space="preserve"> billion </w:t>
      </w:r>
      <w:r w:rsidR="00DD71E7" w:rsidRPr="00205DD5">
        <w:t>over four years to 2027</w:t>
      </w:r>
      <w:r w:rsidR="004149D9" w:rsidRPr="00205DD5">
        <w:t>–</w:t>
      </w:r>
      <w:r w:rsidR="00996FB9" w:rsidRPr="00205DD5">
        <w:t xml:space="preserve">28 </w:t>
      </w:r>
      <w:r w:rsidR="004C160C" w:rsidRPr="00205DD5">
        <w:t xml:space="preserve">in this MYEFO </w:t>
      </w:r>
      <w:r w:rsidRPr="00205DD5">
        <w:t>for unavoidable spending pressures</w:t>
      </w:r>
      <w:r w:rsidR="00996FB9" w:rsidRPr="00205DD5">
        <w:t>, including extending</w:t>
      </w:r>
      <w:r w:rsidR="00CC6045" w:rsidRPr="00205DD5">
        <w:t xml:space="preserve"> </w:t>
      </w:r>
      <w:r w:rsidR="009B27D2" w:rsidRPr="00205DD5">
        <w:t xml:space="preserve">terminating programs to prevent cuts to the services Australians rely on. </w:t>
      </w:r>
      <w:r w:rsidR="00996FB9" w:rsidRPr="00205DD5">
        <w:t>Unavoidable</w:t>
      </w:r>
      <w:r w:rsidR="00723C38" w:rsidRPr="00205DD5">
        <w:t xml:space="preserve"> policy</w:t>
      </w:r>
      <w:r w:rsidR="0005732C" w:rsidRPr="00205DD5">
        <w:t xml:space="preserve"> decisions </w:t>
      </w:r>
      <w:r w:rsidR="00217DE5" w:rsidRPr="00205DD5">
        <w:t xml:space="preserve">taken </w:t>
      </w:r>
      <w:r w:rsidR="0005732C" w:rsidRPr="00205DD5">
        <w:t>in this MYEFO include:</w:t>
      </w:r>
      <w:r w:rsidR="00E66A2F" w:rsidRPr="00205DD5">
        <w:t xml:space="preserve"> </w:t>
      </w:r>
    </w:p>
    <w:p w14:paraId="59ECA5CC" w14:textId="4F8BAED5" w:rsidR="009B27D2" w:rsidRPr="0058018F" w:rsidRDefault="00CC3051" w:rsidP="0005732C">
      <w:pPr>
        <w:pStyle w:val="Bullet"/>
      </w:pPr>
      <w:r w:rsidRPr="00205DD5">
        <w:t>S</w:t>
      </w:r>
      <w:r w:rsidR="009B27D2" w:rsidRPr="00205DD5">
        <w:t xml:space="preserve">upport </w:t>
      </w:r>
      <w:r w:rsidRPr="00205DD5">
        <w:t>for</w:t>
      </w:r>
      <w:r w:rsidR="009B27D2" w:rsidRPr="00205DD5">
        <w:t xml:space="preserve"> frontline legal assistance services through a new National Access to Justice Partnership, which replaces the National Legal Assistance Partnership. The previous government did not provision any funding for the National Legal Assistance Partnership beyond 2024–25.</w:t>
      </w:r>
    </w:p>
    <w:p w14:paraId="66A169E9" w14:textId="48F70094" w:rsidR="00FC0771" w:rsidRPr="00205DD5" w:rsidRDefault="00EF58E5" w:rsidP="00FC0771">
      <w:pPr>
        <w:pStyle w:val="Bullet"/>
      </w:pPr>
      <w:r w:rsidRPr="00205DD5">
        <w:t>N</w:t>
      </w:r>
      <w:r w:rsidR="00FC0771" w:rsidRPr="00205DD5">
        <w:t xml:space="preserve">ew and amended listings on the Pharmaceutical Benefits Scheme, including the listing of </w:t>
      </w:r>
      <w:proofErr w:type="spellStart"/>
      <w:r w:rsidR="003710CC" w:rsidRPr="00205DD5">
        <w:t>belzutifan</w:t>
      </w:r>
      <w:proofErr w:type="spellEnd"/>
      <w:r w:rsidR="003710CC" w:rsidRPr="00205DD5">
        <w:t xml:space="preserve"> </w:t>
      </w:r>
      <w:r w:rsidR="00FC0771" w:rsidRPr="00205DD5">
        <w:t>(</w:t>
      </w:r>
      <w:proofErr w:type="spellStart"/>
      <w:r w:rsidR="00FC0771" w:rsidRPr="00205DD5">
        <w:t>Welireg</w:t>
      </w:r>
      <w:proofErr w:type="spellEnd"/>
      <w:r w:rsidR="00FC0771" w:rsidRPr="00205DD5">
        <w:t xml:space="preserve">®) for the treatment of patients with </w:t>
      </w:r>
      <w:r w:rsidR="003710CC" w:rsidRPr="00205DD5">
        <w:t xml:space="preserve">von </w:t>
      </w:r>
      <w:r w:rsidR="00FC0771" w:rsidRPr="00205DD5">
        <w:t xml:space="preserve">Hippel-Lindau </w:t>
      </w:r>
      <w:r w:rsidR="003710CC" w:rsidRPr="00205DD5">
        <w:t>disease</w:t>
      </w:r>
      <w:r w:rsidR="00FC0771" w:rsidRPr="00205DD5">
        <w:t xml:space="preserve">, and retaining the listing of </w:t>
      </w:r>
      <w:r w:rsidR="003710CC" w:rsidRPr="00205DD5">
        <w:t xml:space="preserve">dupilumab </w:t>
      </w:r>
      <w:r w:rsidR="00FC0771" w:rsidRPr="00205DD5">
        <w:t>(Dupixent®) for the treatment of severe atopic dermatitis.</w:t>
      </w:r>
      <w:r w:rsidR="004F0F3B" w:rsidRPr="00205DD5">
        <w:rPr>
          <w:rStyle w:val="CommentReference"/>
        </w:rPr>
        <w:t xml:space="preserve"> </w:t>
      </w:r>
    </w:p>
    <w:p w14:paraId="211EBE3A" w14:textId="07D31C72" w:rsidR="00F25969" w:rsidRDefault="00F25969" w:rsidP="00F25969">
      <w:pPr>
        <w:pStyle w:val="Bullet"/>
      </w:pPr>
      <w:r w:rsidRPr="00205DD5">
        <w:t>Extending terminating funding for the National Disability Insurance Agency and the NDIS Quality and Safeguards Commission to ensure they’re appropriately resourced to continue to support NDIS participants.</w:t>
      </w:r>
    </w:p>
    <w:p w14:paraId="33747231" w14:textId="7BD725D3" w:rsidR="00F25969" w:rsidRDefault="00F25969" w:rsidP="00F25969">
      <w:pPr>
        <w:pStyle w:val="Bullet"/>
      </w:pPr>
      <w:r w:rsidRPr="00205DD5">
        <w:t>Funding to further prepare and protect the nation against High Pathogenicity Avian Influenza.</w:t>
      </w:r>
    </w:p>
    <w:p w14:paraId="154D8158" w14:textId="569EB782" w:rsidR="00F25969" w:rsidRPr="00446479" w:rsidRDefault="00F25969" w:rsidP="00F25969">
      <w:pPr>
        <w:pStyle w:val="Bullet"/>
      </w:pPr>
      <w:r w:rsidRPr="00205DD5">
        <w:t>Addressing unavoidable cost pressures from projects in the Infrastructure Investment Program.</w:t>
      </w:r>
    </w:p>
    <w:p w14:paraId="5967C1A4" w14:textId="2DB267CB" w:rsidR="00F25969" w:rsidRDefault="00F25969" w:rsidP="00F25969">
      <w:pPr>
        <w:pStyle w:val="Bullet"/>
      </w:pPr>
      <w:r w:rsidRPr="00205DD5">
        <w:t>Funding for the Australian Energy Market Operator to uplift core digital systems to enhance energy security and reliability. </w:t>
      </w:r>
    </w:p>
    <w:p w14:paraId="7E8AA7BD" w14:textId="28D1A84A" w:rsidR="00AB3A59" w:rsidRDefault="00AB3A59" w:rsidP="00AB3A59">
      <w:pPr>
        <w:pStyle w:val="Bullet"/>
      </w:pPr>
      <w:r w:rsidRPr="00205DD5">
        <w:lastRenderedPageBreak/>
        <w:t>Funding to support environmental and rehabilitation objectives in the resources sector, including rehabilitation of the former Rum Jungle mine site</w:t>
      </w:r>
      <w:r w:rsidR="000A3BD0" w:rsidRPr="00205DD5">
        <w:t xml:space="preserve"> </w:t>
      </w:r>
      <w:r w:rsidRPr="00205DD5">
        <w:t>and decommissioning of the Northern Endeavour facility.</w:t>
      </w:r>
    </w:p>
    <w:p w14:paraId="2851E955" w14:textId="632B5423" w:rsidR="00AB3A59" w:rsidRDefault="00AB3A59" w:rsidP="00AB3A59">
      <w:pPr>
        <w:pStyle w:val="Bullet"/>
      </w:pPr>
      <w:r w:rsidRPr="00205DD5">
        <w:t>Providing funding for sustainable operations at the Department of Veterans</w:t>
      </w:r>
      <w:r w:rsidR="006B6261" w:rsidRPr="00205DD5">
        <w:t>’</w:t>
      </w:r>
      <w:r w:rsidRPr="00205DD5">
        <w:t xml:space="preserve"> Affairs and the Australian War Memorial,</w:t>
      </w:r>
      <w:r w:rsidR="001C2FC8">
        <w:t xml:space="preserve"> </w:t>
      </w:r>
      <w:r w:rsidRPr="00205DD5">
        <w:t>and a new Macquarie Wharf 6 in the Port of Hobart to support Australian Antarctic Program operations.</w:t>
      </w:r>
      <w:r w:rsidR="00B61922" w:rsidRPr="00205DD5">
        <w:rPr>
          <w:rStyle w:val="CommentReference"/>
        </w:rPr>
        <w:t xml:space="preserve"> </w:t>
      </w:r>
    </w:p>
    <w:p w14:paraId="27E1DF44" w14:textId="6A2DF97C" w:rsidR="00FC0771" w:rsidRPr="0058018F" w:rsidRDefault="00AB3A59" w:rsidP="00446479">
      <w:pPr>
        <w:pStyle w:val="Bullet"/>
      </w:pPr>
      <w:r w:rsidRPr="00205DD5">
        <w:t>Extending</w:t>
      </w:r>
      <w:r w:rsidR="00A04481" w:rsidRPr="00205DD5">
        <w:t xml:space="preserve"> terminating programs in the Health and Aged Care portfolio, including c</w:t>
      </w:r>
      <w:r w:rsidR="00FC0771" w:rsidRPr="00205DD5">
        <w:t>ontinuing COVID support for people in aged care</w:t>
      </w:r>
      <w:r w:rsidRPr="00205DD5">
        <w:t xml:space="preserve"> and Commonwealth psychosocial supports</w:t>
      </w:r>
      <w:r w:rsidR="00FC0771" w:rsidRPr="00205DD5">
        <w:t>.</w:t>
      </w:r>
    </w:p>
    <w:p w14:paraId="12248528" w14:textId="6857DF80" w:rsidR="00C55D9F" w:rsidRDefault="00C55D9F" w:rsidP="00C55D9F">
      <w:bookmarkStart w:id="13" w:name="_Toc134093761"/>
      <w:bookmarkStart w:id="14" w:name="_Toc148428065"/>
      <w:r w:rsidRPr="00205DD5">
        <w:t xml:space="preserve">Since </w:t>
      </w:r>
      <w:r w:rsidR="00690F02" w:rsidRPr="00205DD5">
        <w:t>the</w:t>
      </w:r>
      <w:r w:rsidRPr="00205DD5">
        <w:t xml:space="preserve"> PEFO, the Government has had to commit $</w:t>
      </w:r>
      <w:r w:rsidR="00836CDE" w:rsidRPr="00205DD5">
        <w:t>4</w:t>
      </w:r>
      <w:r w:rsidR="005E6433" w:rsidRPr="00205DD5">
        <w:t>7.6</w:t>
      </w:r>
      <w:r w:rsidRPr="00205DD5">
        <w:t xml:space="preserve"> billion </w:t>
      </w:r>
      <w:r w:rsidR="00A47EDE" w:rsidRPr="00205DD5">
        <w:t>in legacy and unavoidabl</w:t>
      </w:r>
      <w:r w:rsidR="00661D3C" w:rsidRPr="00205DD5">
        <w:t>e</w:t>
      </w:r>
      <w:r w:rsidR="00A47EDE" w:rsidRPr="00205DD5">
        <w:t xml:space="preserve"> spending </w:t>
      </w:r>
      <w:r w:rsidRPr="00205DD5">
        <w:t>to resolve issues inherited from the former Government</w:t>
      </w:r>
      <w:r w:rsidR="00A47EDE" w:rsidRPr="00205DD5">
        <w:t xml:space="preserve">, extend terminating measures </w:t>
      </w:r>
      <w:r w:rsidR="00880B1B" w:rsidRPr="00205DD5">
        <w:t>to</w:t>
      </w:r>
      <w:r w:rsidR="00A47EDE" w:rsidRPr="00205DD5">
        <w:t xml:space="preserve"> ensure Australians </w:t>
      </w:r>
      <w:r w:rsidR="00D91CA6" w:rsidRPr="00205DD5">
        <w:t xml:space="preserve">do not </w:t>
      </w:r>
      <w:r w:rsidR="00A47EDE" w:rsidRPr="00205DD5">
        <w:t>see a cut to the essential services they rely on</w:t>
      </w:r>
      <w:r w:rsidR="00C54E6E" w:rsidRPr="00205DD5">
        <w:t>,</w:t>
      </w:r>
      <w:r w:rsidRPr="00205DD5">
        <w:t xml:space="preserve"> and respond to </w:t>
      </w:r>
      <w:r w:rsidR="00A47EDE" w:rsidRPr="00205DD5">
        <w:t>urgent and unforeseen issues</w:t>
      </w:r>
      <w:r w:rsidRPr="00205DD5">
        <w:t>.</w:t>
      </w:r>
    </w:p>
    <w:p w14:paraId="44D2CE7D" w14:textId="706E1BAB" w:rsidR="00390C0E" w:rsidRDefault="00390C0E" w:rsidP="00446479">
      <w:pPr>
        <w:rPr>
          <w:rFonts w:ascii="Arial" w:hAnsi="Arial"/>
          <w:b/>
          <w:sz w:val="20"/>
        </w:rPr>
      </w:pPr>
      <w:r w:rsidRPr="00205DD5">
        <w:t>Parameter and other variations have increased receipts by $</w:t>
      </w:r>
      <w:r w:rsidR="00883647" w:rsidRPr="00205DD5">
        <w:t>18.</w:t>
      </w:r>
      <w:r w:rsidR="00B8261F" w:rsidRPr="00205DD5">
        <w:t>8</w:t>
      </w:r>
      <w:r w:rsidRPr="00205DD5">
        <w:t> billion and payments by $</w:t>
      </w:r>
      <w:r w:rsidR="00A85756" w:rsidRPr="00205DD5">
        <w:t>23.0</w:t>
      </w:r>
      <w:r w:rsidR="00D9022D" w:rsidRPr="00205DD5">
        <w:t> </w:t>
      </w:r>
      <w:r w:rsidRPr="00205DD5">
        <w:t>billion over the four years to 2027–28</w:t>
      </w:r>
      <w:r w:rsidR="00330226" w:rsidRPr="00205DD5">
        <w:t xml:space="preserve"> (Table 3.</w:t>
      </w:r>
      <w:r w:rsidR="001645FC" w:rsidRPr="00205DD5">
        <w:t>2</w:t>
      </w:r>
      <w:r w:rsidR="00330226" w:rsidRPr="00205DD5">
        <w:t>)</w:t>
      </w:r>
      <w:r w:rsidR="005A2F52" w:rsidRPr="00205DD5">
        <w:t>.</w:t>
      </w:r>
    </w:p>
    <w:p w14:paraId="3A74D8DE" w14:textId="77777777" w:rsidR="00D9022D" w:rsidRDefault="00D9022D">
      <w:pPr>
        <w:spacing w:before="0" w:after="160" w:line="259" w:lineRule="auto"/>
        <w:rPr>
          <w:rFonts w:ascii="Arial" w:hAnsi="Arial"/>
          <w:b/>
          <w:sz w:val="20"/>
        </w:rPr>
      </w:pPr>
      <w:r>
        <w:br w:type="page"/>
      </w:r>
    </w:p>
    <w:p w14:paraId="30342F61" w14:textId="2B53E523" w:rsidR="00276896" w:rsidRPr="00205DD5" w:rsidRDefault="00D63C70" w:rsidP="00F33C0B">
      <w:pPr>
        <w:pStyle w:val="TableHeading"/>
        <w:rPr>
          <w:rFonts w:asciiTheme="minorHAnsi" w:eastAsiaTheme="minorHAnsi" w:hAnsiTheme="minorHAnsi" w:cstheme="minorBidi"/>
          <w:b w:val="0"/>
          <w:sz w:val="22"/>
          <w:szCs w:val="22"/>
          <w:lang w:eastAsia="en-US"/>
        </w:rPr>
      </w:pPr>
      <w:r w:rsidRPr="00205DD5">
        <w:lastRenderedPageBreak/>
        <w:t>Table 3.</w:t>
      </w:r>
      <w:r w:rsidR="001645FC" w:rsidRPr="00205DD5">
        <w:t>2</w:t>
      </w:r>
      <w:r w:rsidRPr="00205DD5">
        <w:t>: Reconciliation of general government sector underlying cash balance estimates</w:t>
      </w:r>
    </w:p>
    <w:tbl>
      <w:tblPr>
        <w:tblW w:w="5000" w:type="pct"/>
        <w:tblCellMar>
          <w:left w:w="0" w:type="dxa"/>
          <w:right w:w="28" w:type="dxa"/>
        </w:tblCellMar>
        <w:tblLook w:val="04A0" w:firstRow="1" w:lastRow="0" w:firstColumn="1" w:lastColumn="0" w:noHBand="0" w:noVBand="1"/>
      </w:tblPr>
      <w:tblGrid>
        <w:gridCol w:w="3350"/>
        <w:gridCol w:w="866"/>
        <w:gridCol w:w="867"/>
        <w:gridCol w:w="867"/>
        <w:gridCol w:w="867"/>
        <w:gridCol w:w="108"/>
        <w:gridCol w:w="785"/>
      </w:tblGrid>
      <w:tr w:rsidR="00276896" w:rsidRPr="00FF1D21" w14:paraId="465B9950" w14:textId="77777777" w:rsidTr="00276896">
        <w:trPr>
          <w:trHeight w:hRule="exact" w:val="226"/>
        </w:trPr>
        <w:tc>
          <w:tcPr>
            <w:tcW w:w="2173" w:type="pct"/>
            <w:tcBorders>
              <w:top w:val="single" w:sz="4" w:space="0" w:color="293F5B"/>
              <w:left w:val="nil"/>
              <w:bottom w:val="nil"/>
              <w:right w:val="nil"/>
            </w:tcBorders>
            <w:shd w:val="clear" w:color="000000" w:fill="FFFFFF"/>
            <w:noWrap/>
            <w:vAlign w:val="bottom"/>
            <w:hideMark/>
          </w:tcPr>
          <w:p w14:paraId="4014FD31" w14:textId="410CC2FA"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2246" w:type="pct"/>
            <w:gridSpan w:val="4"/>
            <w:tcBorders>
              <w:top w:val="single" w:sz="4" w:space="0" w:color="293F5B"/>
              <w:left w:val="nil"/>
              <w:bottom w:val="nil"/>
              <w:right w:val="nil"/>
            </w:tcBorders>
            <w:shd w:val="clear" w:color="000000" w:fill="FFFFFF"/>
            <w:noWrap/>
            <w:vAlign w:val="center"/>
            <w:hideMark/>
          </w:tcPr>
          <w:p w14:paraId="00421E64" w14:textId="77777777" w:rsidR="00276896" w:rsidRPr="00FF1D21" w:rsidRDefault="00276896" w:rsidP="00276896">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Estimates</w:t>
            </w:r>
          </w:p>
        </w:tc>
        <w:tc>
          <w:tcPr>
            <w:tcW w:w="70" w:type="pct"/>
            <w:tcBorders>
              <w:top w:val="single" w:sz="4" w:space="0" w:color="293F5B"/>
              <w:left w:val="nil"/>
              <w:bottom w:val="nil"/>
              <w:right w:val="nil"/>
            </w:tcBorders>
            <w:shd w:val="clear" w:color="000000" w:fill="FFFFFF"/>
            <w:noWrap/>
            <w:vAlign w:val="center"/>
            <w:hideMark/>
          </w:tcPr>
          <w:p w14:paraId="039490CA"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single" w:sz="4" w:space="0" w:color="293F5B"/>
              <w:left w:val="nil"/>
              <w:bottom w:val="nil"/>
              <w:right w:val="nil"/>
            </w:tcBorders>
            <w:shd w:val="clear" w:color="000000" w:fill="FFFFFF"/>
            <w:noWrap/>
            <w:vAlign w:val="center"/>
            <w:hideMark/>
          </w:tcPr>
          <w:p w14:paraId="75833A2C" w14:textId="77777777" w:rsidR="00276896" w:rsidRPr="00205DD5" w:rsidRDefault="00276896" w:rsidP="00276896">
            <w:pPr>
              <w:spacing w:before="0" w:after="0" w:line="240" w:lineRule="auto"/>
              <w:rPr>
                <w:rFonts w:ascii="Arial" w:hAnsi="Arial" w:cs="Arial"/>
                <w:sz w:val="16"/>
                <w:szCs w:val="16"/>
              </w:rPr>
            </w:pPr>
            <w:r w:rsidRPr="00205DD5">
              <w:rPr>
                <w:rFonts w:ascii="Arial" w:hAnsi="Arial" w:cs="Arial"/>
                <w:sz w:val="16"/>
                <w:szCs w:val="16"/>
              </w:rPr>
              <w:t> </w:t>
            </w:r>
          </w:p>
        </w:tc>
      </w:tr>
      <w:tr w:rsidR="00276896" w:rsidRPr="00FF1D21" w14:paraId="15A87198" w14:textId="77777777" w:rsidTr="00276896">
        <w:trPr>
          <w:trHeight w:hRule="exact" w:val="226"/>
        </w:trPr>
        <w:tc>
          <w:tcPr>
            <w:tcW w:w="2173" w:type="pct"/>
            <w:tcBorders>
              <w:top w:val="nil"/>
              <w:left w:val="nil"/>
              <w:bottom w:val="nil"/>
              <w:right w:val="nil"/>
            </w:tcBorders>
            <w:shd w:val="clear" w:color="000000" w:fill="FFFFFF"/>
            <w:noWrap/>
            <w:vAlign w:val="bottom"/>
            <w:hideMark/>
          </w:tcPr>
          <w:p w14:paraId="43157857"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single" w:sz="4" w:space="0" w:color="293F5B"/>
              <w:left w:val="nil"/>
              <w:bottom w:val="nil"/>
              <w:right w:val="nil"/>
            </w:tcBorders>
            <w:shd w:val="clear" w:color="000000" w:fill="E6F2FF"/>
            <w:noWrap/>
            <w:vAlign w:val="center"/>
            <w:hideMark/>
          </w:tcPr>
          <w:p w14:paraId="29B67920"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2024–25</w:t>
            </w:r>
          </w:p>
        </w:tc>
        <w:tc>
          <w:tcPr>
            <w:tcW w:w="562" w:type="pct"/>
            <w:tcBorders>
              <w:top w:val="single" w:sz="4" w:space="0" w:color="293F5B"/>
              <w:left w:val="nil"/>
              <w:bottom w:val="nil"/>
              <w:right w:val="nil"/>
            </w:tcBorders>
            <w:shd w:val="clear" w:color="000000" w:fill="FFFFFF"/>
            <w:noWrap/>
            <w:vAlign w:val="center"/>
            <w:hideMark/>
          </w:tcPr>
          <w:p w14:paraId="58517A1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2025–26</w:t>
            </w:r>
          </w:p>
        </w:tc>
        <w:tc>
          <w:tcPr>
            <w:tcW w:w="562" w:type="pct"/>
            <w:tcBorders>
              <w:top w:val="single" w:sz="4" w:space="0" w:color="293F5B"/>
              <w:left w:val="nil"/>
              <w:bottom w:val="nil"/>
              <w:right w:val="nil"/>
            </w:tcBorders>
            <w:shd w:val="clear" w:color="000000" w:fill="FFFFFF"/>
            <w:noWrap/>
            <w:vAlign w:val="center"/>
            <w:hideMark/>
          </w:tcPr>
          <w:p w14:paraId="48C5D0C5"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2026–27</w:t>
            </w:r>
          </w:p>
        </w:tc>
        <w:tc>
          <w:tcPr>
            <w:tcW w:w="562" w:type="pct"/>
            <w:tcBorders>
              <w:top w:val="single" w:sz="4" w:space="0" w:color="293F5B"/>
              <w:left w:val="nil"/>
              <w:bottom w:val="nil"/>
              <w:right w:val="nil"/>
            </w:tcBorders>
            <w:shd w:val="clear" w:color="000000" w:fill="FFFFFF"/>
            <w:noWrap/>
            <w:vAlign w:val="center"/>
            <w:hideMark/>
          </w:tcPr>
          <w:p w14:paraId="67E6FE8A"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2027–28</w:t>
            </w:r>
          </w:p>
        </w:tc>
        <w:tc>
          <w:tcPr>
            <w:tcW w:w="70" w:type="pct"/>
            <w:tcBorders>
              <w:top w:val="nil"/>
              <w:left w:val="nil"/>
              <w:bottom w:val="nil"/>
              <w:right w:val="nil"/>
            </w:tcBorders>
            <w:shd w:val="clear" w:color="000000" w:fill="FFFFFF"/>
            <w:noWrap/>
            <w:vAlign w:val="center"/>
            <w:hideMark/>
          </w:tcPr>
          <w:p w14:paraId="23BFE055"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single" w:sz="4" w:space="0" w:color="293F5B"/>
              <w:left w:val="nil"/>
              <w:bottom w:val="nil"/>
              <w:right w:val="nil"/>
            </w:tcBorders>
            <w:shd w:val="clear" w:color="000000" w:fill="FFFFFF"/>
            <w:noWrap/>
            <w:vAlign w:val="center"/>
            <w:hideMark/>
          </w:tcPr>
          <w:p w14:paraId="130DDB72" w14:textId="77777777" w:rsidR="00276896" w:rsidRPr="00205DD5" w:rsidRDefault="00276896" w:rsidP="00276896">
            <w:pPr>
              <w:spacing w:before="0" w:after="0" w:line="240" w:lineRule="auto"/>
              <w:jc w:val="right"/>
              <w:rPr>
                <w:rFonts w:ascii="Arial" w:hAnsi="Arial" w:cs="Arial"/>
                <w:sz w:val="16"/>
                <w:szCs w:val="16"/>
              </w:rPr>
            </w:pPr>
            <w:r w:rsidRPr="00205DD5">
              <w:rPr>
                <w:rFonts w:ascii="Arial" w:hAnsi="Arial" w:cs="Arial"/>
                <w:sz w:val="16"/>
                <w:szCs w:val="16"/>
              </w:rPr>
              <w:t>Total</w:t>
            </w:r>
          </w:p>
        </w:tc>
      </w:tr>
      <w:tr w:rsidR="00276896" w:rsidRPr="00FF1D21" w14:paraId="65CE4F78"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7A1A8B23"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single" w:sz="4" w:space="0" w:color="293F5B"/>
              <w:right w:val="nil"/>
            </w:tcBorders>
            <w:shd w:val="clear" w:color="000000" w:fill="E6F2FF"/>
            <w:noWrap/>
            <w:vAlign w:val="center"/>
            <w:hideMark/>
          </w:tcPr>
          <w:p w14:paraId="6758C363"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62" w:type="pct"/>
            <w:tcBorders>
              <w:top w:val="nil"/>
              <w:left w:val="nil"/>
              <w:bottom w:val="single" w:sz="4" w:space="0" w:color="293F5B"/>
              <w:right w:val="nil"/>
            </w:tcBorders>
            <w:shd w:val="clear" w:color="000000" w:fill="FFFFFF"/>
            <w:noWrap/>
            <w:vAlign w:val="center"/>
            <w:hideMark/>
          </w:tcPr>
          <w:p w14:paraId="534C889A"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62" w:type="pct"/>
            <w:tcBorders>
              <w:top w:val="nil"/>
              <w:left w:val="nil"/>
              <w:bottom w:val="single" w:sz="4" w:space="0" w:color="293F5B"/>
              <w:right w:val="nil"/>
            </w:tcBorders>
            <w:shd w:val="clear" w:color="000000" w:fill="FFFFFF"/>
            <w:noWrap/>
            <w:vAlign w:val="center"/>
            <w:hideMark/>
          </w:tcPr>
          <w:p w14:paraId="3A215B6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62" w:type="pct"/>
            <w:tcBorders>
              <w:top w:val="nil"/>
              <w:left w:val="nil"/>
              <w:bottom w:val="single" w:sz="4" w:space="0" w:color="293F5B"/>
              <w:right w:val="nil"/>
            </w:tcBorders>
            <w:shd w:val="clear" w:color="000000" w:fill="FFFFFF"/>
            <w:noWrap/>
            <w:vAlign w:val="center"/>
            <w:hideMark/>
          </w:tcPr>
          <w:p w14:paraId="2CBC67FE"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70" w:type="pct"/>
            <w:tcBorders>
              <w:top w:val="nil"/>
              <w:left w:val="nil"/>
              <w:bottom w:val="nil"/>
              <w:right w:val="nil"/>
            </w:tcBorders>
            <w:shd w:val="clear" w:color="000000" w:fill="FFFFFF"/>
            <w:noWrap/>
            <w:vAlign w:val="center"/>
            <w:hideMark/>
          </w:tcPr>
          <w:p w14:paraId="52EE527D"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single" w:sz="4" w:space="0" w:color="293F5B"/>
              <w:right w:val="nil"/>
            </w:tcBorders>
            <w:shd w:val="clear" w:color="000000" w:fill="FFFFFF"/>
            <w:noWrap/>
            <w:vAlign w:val="center"/>
            <w:hideMark/>
          </w:tcPr>
          <w:p w14:paraId="1BDF6FBC" w14:textId="77777777" w:rsidR="00276896" w:rsidRPr="00205DD5" w:rsidRDefault="00276896" w:rsidP="00276896">
            <w:pPr>
              <w:spacing w:before="0" w:after="0" w:line="240" w:lineRule="auto"/>
              <w:jc w:val="right"/>
              <w:rPr>
                <w:rFonts w:ascii="Arial" w:hAnsi="Arial" w:cs="Arial"/>
                <w:sz w:val="16"/>
                <w:szCs w:val="16"/>
              </w:rPr>
            </w:pPr>
            <w:r w:rsidRPr="00205DD5">
              <w:rPr>
                <w:rFonts w:ascii="Arial" w:hAnsi="Arial" w:cs="Arial"/>
                <w:sz w:val="16"/>
                <w:szCs w:val="16"/>
              </w:rPr>
              <w:t>$m</w:t>
            </w:r>
          </w:p>
        </w:tc>
      </w:tr>
      <w:tr w:rsidR="00276896" w:rsidRPr="00FF1D21" w14:paraId="09FA3000"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36CB9612"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Budget underlying cash balance</w:t>
            </w:r>
          </w:p>
        </w:tc>
        <w:tc>
          <w:tcPr>
            <w:tcW w:w="562" w:type="pct"/>
            <w:tcBorders>
              <w:top w:val="nil"/>
              <w:left w:val="nil"/>
              <w:bottom w:val="nil"/>
              <w:right w:val="nil"/>
            </w:tcBorders>
            <w:shd w:val="clear" w:color="000000" w:fill="E6F2FF"/>
            <w:noWrap/>
            <w:vAlign w:val="bottom"/>
            <w:hideMark/>
          </w:tcPr>
          <w:p w14:paraId="3B490476"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-28,286</w:t>
            </w:r>
          </w:p>
        </w:tc>
        <w:tc>
          <w:tcPr>
            <w:tcW w:w="562" w:type="pct"/>
            <w:tcBorders>
              <w:top w:val="nil"/>
              <w:left w:val="nil"/>
              <w:bottom w:val="nil"/>
              <w:right w:val="nil"/>
            </w:tcBorders>
            <w:shd w:val="clear" w:color="000000" w:fill="FFFFFF"/>
            <w:noWrap/>
            <w:vAlign w:val="bottom"/>
            <w:hideMark/>
          </w:tcPr>
          <w:p w14:paraId="7B3CE720"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-42,838</w:t>
            </w:r>
          </w:p>
        </w:tc>
        <w:tc>
          <w:tcPr>
            <w:tcW w:w="562" w:type="pct"/>
            <w:tcBorders>
              <w:top w:val="nil"/>
              <w:left w:val="nil"/>
              <w:bottom w:val="nil"/>
              <w:right w:val="nil"/>
            </w:tcBorders>
            <w:shd w:val="clear" w:color="000000" w:fill="FFFFFF"/>
            <w:noWrap/>
            <w:vAlign w:val="bottom"/>
            <w:hideMark/>
          </w:tcPr>
          <w:p w14:paraId="6A7BA2AB"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-26,713</w:t>
            </w:r>
          </w:p>
        </w:tc>
        <w:tc>
          <w:tcPr>
            <w:tcW w:w="562" w:type="pct"/>
            <w:tcBorders>
              <w:top w:val="nil"/>
              <w:left w:val="nil"/>
              <w:bottom w:val="nil"/>
              <w:right w:val="nil"/>
            </w:tcBorders>
            <w:shd w:val="clear" w:color="000000" w:fill="FFFFFF"/>
            <w:noWrap/>
            <w:vAlign w:val="bottom"/>
            <w:hideMark/>
          </w:tcPr>
          <w:p w14:paraId="241C77A1"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-24,345</w:t>
            </w:r>
          </w:p>
        </w:tc>
        <w:tc>
          <w:tcPr>
            <w:tcW w:w="70" w:type="pct"/>
            <w:tcBorders>
              <w:top w:val="nil"/>
              <w:left w:val="nil"/>
              <w:bottom w:val="nil"/>
              <w:right w:val="nil"/>
            </w:tcBorders>
            <w:shd w:val="clear" w:color="000000" w:fill="FFFFFF"/>
            <w:noWrap/>
            <w:vAlign w:val="center"/>
            <w:hideMark/>
          </w:tcPr>
          <w:p w14:paraId="7326187A"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noWrap/>
            <w:vAlign w:val="center"/>
            <w:hideMark/>
          </w:tcPr>
          <w:p w14:paraId="1785FAFB" w14:textId="77777777" w:rsidR="00276896" w:rsidRPr="00205DD5" w:rsidRDefault="00276896" w:rsidP="00276896">
            <w:pPr>
              <w:spacing w:before="0" w:after="0" w:line="240" w:lineRule="auto"/>
              <w:jc w:val="right"/>
              <w:rPr>
                <w:rFonts w:ascii="Arial" w:hAnsi="Arial" w:cs="Arial"/>
                <w:b/>
                <w:sz w:val="16"/>
                <w:szCs w:val="16"/>
              </w:rPr>
            </w:pPr>
            <w:r w:rsidRPr="00205DD5">
              <w:rPr>
                <w:rFonts w:ascii="Arial" w:hAnsi="Arial" w:cs="Arial"/>
                <w:b/>
                <w:sz w:val="16"/>
                <w:szCs w:val="16"/>
              </w:rPr>
              <w:t>-122,183</w:t>
            </w:r>
          </w:p>
        </w:tc>
      </w:tr>
      <w:tr w:rsidR="00276896" w:rsidRPr="00FF1D21" w14:paraId="35F1F0B9"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5E10280B"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Per cent of GDP</w:t>
            </w:r>
          </w:p>
        </w:tc>
        <w:tc>
          <w:tcPr>
            <w:tcW w:w="562" w:type="pct"/>
            <w:tcBorders>
              <w:top w:val="nil"/>
              <w:left w:val="nil"/>
              <w:bottom w:val="nil"/>
              <w:right w:val="nil"/>
            </w:tcBorders>
            <w:shd w:val="clear" w:color="000000" w:fill="E6F2FF"/>
            <w:noWrap/>
            <w:vAlign w:val="center"/>
            <w:hideMark/>
          </w:tcPr>
          <w:p w14:paraId="2CDD291B"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w:t>
            </w:r>
          </w:p>
        </w:tc>
        <w:tc>
          <w:tcPr>
            <w:tcW w:w="562" w:type="pct"/>
            <w:tcBorders>
              <w:top w:val="nil"/>
              <w:left w:val="nil"/>
              <w:bottom w:val="nil"/>
              <w:right w:val="nil"/>
            </w:tcBorders>
            <w:shd w:val="clear" w:color="000000" w:fill="FFFFFF"/>
            <w:noWrap/>
            <w:vAlign w:val="center"/>
            <w:hideMark/>
          </w:tcPr>
          <w:p w14:paraId="3B7EB4FE"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w:t>
            </w:r>
          </w:p>
        </w:tc>
        <w:tc>
          <w:tcPr>
            <w:tcW w:w="562" w:type="pct"/>
            <w:tcBorders>
              <w:top w:val="nil"/>
              <w:left w:val="nil"/>
              <w:bottom w:val="nil"/>
              <w:right w:val="nil"/>
            </w:tcBorders>
            <w:shd w:val="clear" w:color="000000" w:fill="FFFFFF"/>
            <w:noWrap/>
            <w:vAlign w:val="center"/>
            <w:hideMark/>
          </w:tcPr>
          <w:p w14:paraId="06F2595B"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-0.9</w:t>
            </w:r>
          </w:p>
        </w:tc>
        <w:tc>
          <w:tcPr>
            <w:tcW w:w="562" w:type="pct"/>
            <w:tcBorders>
              <w:top w:val="nil"/>
              <w:left w:val="nil"/>
              <w:bottom w:val="nil"/>
              <w:right w:val="nil"/>
            </w:tcBorders>
            <w:shd w:val="clear" w:color="000000" w:fill="FFFFFF"/>
            <w:noWrap/>
            <w:vAlign w:val="center"/>
            <w:hideMark/>
          </w:tcPr>
          <w:p w14:paraId="1A5AACD0"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-0.8</w:t>
            </w:r>
          </w:p>
        </w:tc>
        <w:tc>
          <w:tcPr>
            <w:tcW w:w="70" w:type="pct"/>
            <w:tcBorders>
              <w:top w:val="nil"/>
              <w:left w:val="nil"/>
              <w:bottom w:val="nil"/>
              <w:right w:val="nil"/>
            </w:tcBorders>
            <w:shd w:val="clear" w:color="000000" w:fill="FFFFFF"/>
            <w:noWrap/>
            <w:vAlign w:val="center"/>
            <w:hideMark/>
          </w:tcPr>
          <w:p w14:paraId="23A4563F"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noWrap/>
            <w:vAlign w:val="center"/>
            <w:hideMark/>
          </w:tcPr>
          <w:p w14:paraId="728D6894" w14:textId="77777777" w:rsidR="00276896" w:rsidRPr="00205DD5" w:rsidRDefault="00276896" w:rsidP="00276896">
            <w:pPr>
              <w:spacing w:before="0" w:after="0" w:line="240" w:lineRule="auto"/>
              <w:rPr>
                <w:rFonts w:ascii="Arial" w:hAnsi="Arial" w:cs="Arial"/>
                <w:sz w:val="16"/>
                <w:szCs w:val="16"/>
              </w:rPr>
            </w:pPr>
            <w:r w:rsidRPr="00205DD5">
              <w:rPr>
                <w:rFonts w:ascii="Arial" w:hAnsi="Arial" w:cs="Arial"/>
                <w:sz w:val="16"/>
                <w:szCs w:val="16"/>
              </w:rPr>
              <w:t> </w:t>
            </w:r>
          </w:p>
        </w:tc>
      </w:tr>
      <w:tr w:rsidR="00276896" w:rsidRPr="00FF1D21" w14:paraId="2FA08C78" w14:textId="77777777" w:rsidTr="00276896">
        <w:trPr>
          <w:trHeight w:hRule="exact" w:val="60"/>
        </w:trPr>
        <w:tc>
          <w:tcPr>
            <w:tcW w:w="2173" w:type="pct"/>
            <w:tcBorders>
              <w:top w:val="nil"/>
              <w:left w:val="nil"/>
              <w:bottom w:val="nil"/>
              <w:right w:val="nil"/>
            </w:tcBorders>
            <w:shd w:val="clear" w:color="000000" w:fill="FFFFFF"/>
            <w:noWrap/>
            <w:vAlign w:val="center"/>
            <w:hideMark/>
          </w:tcPr>
          <w:p w14:paraId="1DACC5E5"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E6F2FF"/>
            <w:noWrap/>
            <w:vAlign w:val="center"/>
            <w:hideMark/>
          </w:tcPr>
          <w:p w14:paraId="0830B01F"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4EE14524"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3326528A"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60395784"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70" w:type="pct"/>
            <w:tcBorders>
              <w:top w:val="nil"/>
              <w:left w:val="nil"/>
              <w:bottom w:val="nil"/>
              <w:right w:val="nil"/>
            </w:tcBorders>
            <w:shd w:val="clear" w:color="000000" w:fill="FFFFFF"/>
            <w:noWrap/>
            <w:vAlign w:val="center"/>
            <w:hideMark/>
          </w:tcPr>
          <w:p w14:paraId="12DF4590"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10" w:type="pct"/>
            <w:tcBorders>
              <w:top w:val="nil"/>
              <w:left w:val="nil"/>
              <w:bottom w:val="nil"/>
              <w:right w:val="nil"/>
            </w:tcBorders>
            <w:shd w:val="clear" w:color="000000" w:fill="FFFFFF"/>
            <w:noWrap/>
            <w:vAlign w:val="center"/>
            <w:hideMark/>
          </w:tcPr>
          <w:p w14:paraId="1A7C5A4A" w14:textId="77777777" w:rsidR="00276896" w:rsidRPr="00205DD5" w:rsidRDefault="00276896" w:rsidP="00276896">
            <w:pPr>
              <w:spacing w:before="0" w:after="0" w:line="240" w:lineRule="auto"/>
              <w:jc w:val="right"/>
              <w:rPr>
                <w:rFonts w:ascii="Arial" w:hAnsi="Arial" w:cs="Arial"/>
                <w:b/>
                <w:sz w:val="16"/>
                <w:szCs w:val="16"/>
              </w:rPr>
            </w:pPr>
            <w:r w:rsidRPr="00205DD5">
              <w:rPr>
                <w:rFonts w:ascii="Arial" w:hAnsi="Arial" w:cs="Arial"/>
                <w:b/>
                <w:sz w:val="16"/>
                <w:szCs w:val="16"/>
              </w:rPr>
              <w:t> </w:t>
            </w:r>
          </w:p>
        </w:tc>
      </w:tr>
      <w:tr w:rsidR="00276896" w:rsidRPr="00FF1D21" w14:paraId="0F2E0E36"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3D39AB4A"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Changes from 2024–25 Budget to</w:t>
            </w:r>
          </w:p>
        </w:tc>
        <w:tc>
          <w:tcPr>
            <w:tcW w:w="562" w:type="pct"/>
            <w:tcBorders>
              <w:top w:val="nil"/>
              <w:left w:val="nil"/>
              <w:bottom w:val="nil"/>
              <w:right w:val="nil"/>
            </w:tcBorders>
            <w:shd w:val="clear" w:color="000000" w:fill="E6F2FF"/>
            <w:noWrap/>
            <w:vAlign w:val="center"/>
            <w:hideMark/>
          </w:tcPr>
          <w:p w14:paraId="686D0B99"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3A62E4FE"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7EF7BA23"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00ACD711"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70" w:type="pct"/>
            <w:tcBorders>
              <w:top w:val="nil"/>
              <w:left w:val="nil"/>
              <w:bottom w:val="nil"/>
              <w:right w:val="nil"/>
            </w:tcBorders>
            <w:shd w:val="clear" w:color="000000" w:fill="FFFFFF"/>
            <w:noWrap/>
            <w:vAlign w:val="center"/>
            <w:hideMark/>
          </w:tcPr>
          <w:p w14:paraId="01C34E84"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10" w:type="pct"/>
            <w:tcBorders>
              <w:top w:val="nil"/>
              <w:left w:val="nil"/>
              <w:bottom w:val="nil"/>
              <w:right w:val="nil"/>
            </w:tcBorders>
            <w:shd w:val="clear" w:color="000000" w:fill="FFFFFF"/>
            <w:noWrap/>
            <w:vAlign w:val="center"/>
            <w:hideMark/>
          </w:tcPr>
          <w:p w14:paraId="3CA7DF4B" w14:textId="77777777" w:rsidR="00276896" w:rsidRPr="00205DD5" w:rsidRDefault="00276896" w:rsidP="00276896">
            <w:pPr>
              <w:spacing w:before="0" w:after="0" w:line="240" w:lineRule="auto"/>
              <w:rPr>
                <w:rFonts w:ascii="Arial" w:hAnsi="Arial" w:cs="Arial"/>
                <w:sz w:val="16"/>
                <w:szCs w:val="16"/>
              </w:rPr>
            </w:pPr>
            <w:r w:rsidRPr="00205DD5">
              <w:rPr>
                <w:rFonts w:ascii="Arial" w:hAnsi="Arial" w:cs="Arial"/>
                <w:sz w:val="16"/>
                <w:szCs w:val="16"/>
              </w:rPr>
              <w:t> </w:t>
            </w:r>
          </w:p>
        </w:tc>
      </w:tr>
      <w:tr w:rsidR="00276896" w:rsidRPr="00FF1D21" w14:paraId="78B5722F"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74E3DD32" w14:textId="77777777" w:rsidR="00276896" w:rsidRPr="00FF1D21" w:rsidRDefault="00276896" w:rsidP="00276896">
            <w:pPr>
              <w:spacing w:before="0" w:after="0" w:line="240" w:lineRule="auto"/>
              <w:ind w:left="170"/>
              <w:rPr>
                <w:rFonts w:ascii="Arial" w:hAnsi="Arial" w:cs="Arial"/>
                <w:b/>
                <w:color w:val="00FFFF"/>
                <w:sz w:val="16"/>
                <w:szCs w:val="16"/>
                <w:highlight w:val="darkCyan"/>
              </w:rPr>
            </w:pPr>
            <w:r w:rsidRPr="00205DD5">
              <w:rPr>
                <w:rFonts w:ascii="Arial" w:hAnsi="Arial" w:cs="Arial"/>
                <w:b/>
                <w:sz w:val="16"/>
                <w:szCs w:val="16"/>
              </w:rPr>
              <w:t>2024–25 MYEFO</w:t>
            </w:r>
          </w:p>
        </w:tc>
        <w:tc>
          <w:tcPr>
            <w:tcW w:w="562" w:type="pct"/>
            <w:tcBorders>
              <w:top w:val="nil"/>
              <w:left w:val="nil"/>
              <w:bottom w:val="nil"/>
              <w:right w:val="nil"/>
            </w:tcBorders>
            <w:shd w:val="clear" w:color="000000" w:fill="E6F2FF"/>
            <w:noWrap/>
            <w:vAlign w:val="center"/>
            <w:hideMark/>
          </w:tcPr>
          <w:p w14:paraId="64A9AE1D"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5C897E8D"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21C8D645"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62" w:type="pct"/>
            <w:tcBorders>
              <w:top w:val="nil"/>
              <w:left w:val="nil"/>
              <w:bottom w:val="nil"/>
              <w:right w:val="nil"/>
            </w:tcBorders>
            <w:shd w:val="clear" w:color="000000" w:fill="FFFFFF"/>
            <w:noWrap/>
            <w:vAlign w:val="center"/>
            <w:hideMark/>
          </w:tcPr>
          <w:p w14:paraId="30D0CFE3"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70" w:type="pct"/>
            <w:tcBorders>
              <w:top w:val="nil"/>
              <w:left w:val="nil"/>
              <w:bottom w:val="nil"/>
              <w:right w:val="nil"/>
            </w:tcBorders>
            <w:shd w:val="clear" w:color="000000" w:fill="FFFFFF"/>
            <w:noWrap/>
            <w:vAlign w:val="center"/>
            <w:hideMark/>
          </w:tcPr>
          <w:p w14:paraId="55C4017E"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10" w:type="pct"/>
            <w:tcBorders>
              <w:top w:val="nil"/>
              <w:left w:val="nil"/>
              <w:bottom w:val="nil"/>
              <w:right w:val="nil"/>
            </w:tcBorders>
            <w:shd w:val="clear" w:color="000000" w:fill="FFFFFF"/>
            <w:noWrap/>
            <w:vAlign w:val="center"/>
            <w:hideMark/>
          </w:tcPr>
          <w:p w14:paraId="5B7A2A4B" w14:textId="77777777" w:rsidR="00276896" w:rsidRPr="00205DD5" w:rsidRDefault="00276896" w:rsidP="00276896">
            <w:pPr>
              <w:spacing w:before="0" w:after="0" w:line="240" w:lineRule="auto"/>
              <w:rPr>
                <w:rFonts w:ascii="Arial" w:hAnsi="Arial" w:cs="Arial"/>
                <w:sz w:val="16"/>
                <w:szCs w:val="16"/>
              </w:rPr>
            </w:pPr>
            <w:r w:rsidRPr="00205DD5">
              <w:rPr>
                <w:rFonts w:ascii="Arial" w:hAnsi="Arial" w:cs="Arial"/>
                <w:sz w:val="16"/>
                <w:szCs w:val="16"/>
              </w:rPr>
              <w:t> </w:t>
            </w:r>
          </w:p>
        </w:tc>
      </w:tr>
      <w:tr w:rsidR="00276896" w:rsidRPr="00FF1D21" w14:paraId="371AA578"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63EA6757"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policy decisions(a)(b)</w:t>
            </w:r>
          </w:p>
        </w:tc>
        <w:tc>
          <w:tcPr>
            <w:tcW w:w="562" w:type="pct"/>
            <w:tcBorders>
              <w:top w:val="nil"/>
              <w:left w:val="nil"/>
              <w:bottom w:val="nil"/>
              <w:right w:val="nil"/>
            </w:tcBorders>
            <w:shd w:val="clear" w:color="000000" w:fill="E6F2FF"/>
            <w:noWrap/>
            <w:vAlign w:val="center"/>
            <w:hideMark/>
          </w:tcPr>
          <w:p w14:paraId="328B4E9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2552FCD4"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7BBA2229"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2EBD743C"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520E6A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noWrap/>
            <w:vAlign w:val="center"/>
            <w:hideMark/>
          </w:tcPr>
          <w:p w14:paraId="4A3D9219" w14:textId="77777777" w:rsidR="00276896" w:rsidRPr="00205DD5" w:rsidRDefault="00276896" w:rsidP="00276896">
            <w:pPr>
              <w:spacing w:before="0" w:after="0" w:line="240" w:lineRule="auto"/>
              <w:rPr>
                <w:rFonts w:ascii="Arial" w:hAnsi="Arial" w:cs="Arial"/>
                <w:sz w:val="16"/>
                <w:szCs w:val="16"/>
              </w:rPr>
            </w:pPr>
            <w:r w:rsidRPr="00205DD5">
              <w:rPr>
                <w:rFonts w:ascii="Arial" w:hAnsi="Arial" w:cs="Arial"/>
                <w:sz w:val="16"/>
                <w:szCs w:val="16"/>
              </w:rPr>
              <w:t> </w:t>
            </w:r>
          </w:p>
        </w:tc>
      </w:tr>
      <w:tr w:rsidR="00276896" w:rsidRPr="00FF1D21" w14:paraId="22DECE20"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144AC503" w14:textId="77777777" w:rsidR="00276896" w:rsidRPr="00FF1D21" w:rsidRDefault="00276896" w:rsidP="00276896">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Receipts</w:t>
            </w:r>
          </w:p>
        </w:tc>
        <w:tc>
          <w:tcPr>
            <w:tcW w:w="562" w:type="pct"/>
            <w:tcBorders>
              <w:top w:val="nil"/>
              <w:left w:val="nil"/>
              <w:bottom w:val="nil"/>
              <w:right w:val="nil"/>
            </w:tcBorders>
            <w:shd w:val="clear" w:color="000000" w:fill="E6F2FF"/>
            <w:noWrap/>
            <w:vAlign w:val="center"/>
            <w:hideMark/>
          </w:tcPr>
          <w:p w14:paraId="1374C475"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402</w:t>
            </w:r>
          </w:p>
        </w:tc>
        <w:tc>
          <w:tcPr>
            <w:tcW w:w="562" w:type="pct"/>
            <w:tcBorders>
              <w:top w:val="nil"/>
              <w:left w:val="nil"/>
              <w:bottom w:val="nil"/>
              <w:right w:val="nil"/>
            </w:tcBorders>
            <w:shd w:val="clear" w:color="000000" w:fill="FFFFFF"/>
            <w:noWrap/>
            <w:vAlign w:val="center"/>
            <w:hideMark/>
          </w:tcPr>
          <w:p w14:paraId="01A1711C"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312</w:t>
            </w:r>
          </w:p>
        </w:tc>
        <w:tc>
          <w:tcPr>
            <w:tcW w:w="562" w:type="pct"/>
            <w:tcBorders>
              <w:top w:val="nil"/>
              <w:left w:val="nil"/>
              <w:bottom w:val="nil"/>
              <w:right w:val="nil"/>
            </w:tcBorders>
            <w:shd w:val="clear" w:color="000000" w:fill="FFFFFF"/>
            <w:noWrap/>
            <w:vAlign w:val="center"/>
            <w:hideMark/>
          </w:tcPr>
          <w:p w14:paraId="297CDFEB"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399</w:t>
            </w:r>
          </w:p>
        </w:tc>
        <w:tc>
          <w:tcPr>
            <w:tcW w:w="562" w:type="pct"/>
            <w:tcBorders>
              <w:top w:val="nil"/>
              <w:left w:val="nil"/>
              <w:bottom w:val="nil"/>
              <w:right w:val="nil"/>
            </w:tcBorders>
            <w:shd w:val="clear" w:color="000000" w:fill="FFFFFF"/>
            <w:noWrap/>
            <w:vAlign w:val="center"/>
            <w:hideMark/>
          </w:tcPr>
          <w:p w14:paraId="36A6FC4F"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540</w:t>
            </w:r>
          </w:p>
        </w:tc>
        <w:tc>
          <w:tcPr>
            <w:tcW w:w="70" w:type="pct"/>
            <w:tcBorders>
              <w:top w:val="nil"/>
              <w:left w:val="nil"/>
              <w:bottom w:val="nil"/>
              <w:right w:val="nil"/>
            </w:tcBorders>
            <w:shd w:val="clear" w:color="000000" w:fill="FFFFFF"/>
            <w:noWrap/>
            <w:vAlign w:val="center"/>
            <w:hideMark/>
          </w:tcPr>
          <w:p w14:paraId="3F2A420C"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10" w:type="pct"/>
            <w:tcBorders>
              <w:top w:val="nil"/>
              <w:left w:val="nil"/>
              <w:bottom w:val="nil"/>
              <w:right w:val="nil"/>
            </w:tcBorders>
            <w:shd w:val="clear" w:color="000000" w:fill="FFFFFF"/>
            <w:noWrap/>
            <w:vAlign w:val="center"/>
            <w:hideMark/>
          </w:tcPr>
          <w:p w14:paraId="53349256" w14:textId="77777777" w:rsidR="00276896" w:rsidRPr="00205DD5" w:rsidRDefault="00276896" w:rsidP="00276896">
            <w:pPr>
              <w:spacing w:before="0" w:after="0" w:line="240" w:lineRule="auto"/>
              <w:jc w:val="right"/>
              <w:rPr>
                <w:rFonts w:ascii="Arial" w:hAnsi="Arial" w:cs="Arial"/>
                <w:i/>
                <w:sz w:val="16"/>
                <w:szCs w:val="16"/>
              </w:rPr>
            </w:pPr>
            <w:r w:rsidRPr="00205DD5">
              <w:rPr>
                <w:rFonts w:ascii="Arial" w:hAnsi="Arial" w:cs="Arial"/>
                <w:i/>
                <w:sz w:val="16"/>
                <w:szCs w:val="16"/>
              </w:rPr>
              <w:t>1,653</w:t>
            </w:r>
          </w:p>
        </w:tc>
      </w:tr>
      <w:tr w:rsidR="00276896" w:rsidRPr="00FF1D21" w14:paraId="078BF194"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58967625" w14:textId="77777777" w:rsidR="00276896" w:rsidRPr="00FF1D21" w:rsidRDefault="00276896" w:rsidP="00276896">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Payments</w:t>
            </w:r>
          </w:p>
        </w:tc>
        <w:tc>
          <w:tcPr>
            <w:tcW w:w="562" w:type="pct"/>
            <w:tcBorders>
              <w:top w:val="nil"/>
              <w:left w:val="nil"/>
              <w:bottom w:val="nil"/>
              <w:right w:val="nil"/>
            </w:tcBorders>
            <w:shd w:val="clear" w:color="000000" w:fill="E6F2FF"/>
            <w:noWrap/>
            <w:vAlign w:val="center"/>
            <w:hideMark/>
          </w:tcPr>
          <w:p w14:paraId="1F3F3F16"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2,466</w:t>
            </w:r>
          </w:p>
        </w:tc>
        <w:tc>
          <w:tcPr>
            <w:tcW w:w="562" w:type="pct"/>
            <w:tcBorders>
              <w:top w:val="nil"/>
              <w:left w:val="nil"/>
              <w:bottom w:val="nil"/>
              <w:right w:val="nil"/>
            </w:tcBorders>
            <w:shd w:val="clear" w:color="000000" w:fill="FFFFFF"/>
            <w:noWrap/>
            <w:vAlign w:val="center"/>
            <w:hideMark/>
          </w:tcPr>
          <w:p w14:paraId="5863FA12"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8,557</w:t>
            </w:r>
          </w:p>
        </w:tc>
        <w:tc>
          <w:tcPr>
            <w:tcW w:w="562" w:type="pct"/>
            <w:tcBorders>
              <w:top w:val="nil"/>
              <w:left w:val="nil"/>
              <w:bottom w:val="nil"/>
              <w:right w:val="nil"/>
            </w:tcBorders>
            <w:shd w:val="clear" w:color="000000" w:fill="FFFFFF"/>
            <w:noWrap/>
            <w:vAlign w:val="center"/>
            <w:hideMark/>
          </w:tcPr>
          <w:p w14:paraId="0E7D5E88"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5,175</w:t>
            </w:r>
          </w:p>
        </w:tc>
        <w:tc>
          <w:tcPr>
            <w:tcW w:w="562" w:type="pct"/>
            <w:tcBorders>
              <w:top w:val="nil"/>
              <w:left w:val="nil"/>
              <w:bottom w:val="nil"/>
              <w:right w:val="nil"/>
            </w:tcBorders>
            <w:shd w:val="clear" w:color="000000" w:fill="FFFFFF"/>
            <w:noWrap/>
            <w:vAlign w:val="center"/>
            <w:hideMark/>
          </w:tcPr>
          <w:p w14:paraId="7AA040A6"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2,920</w:t>
            </w:r>
          </w:p>
        </w:tc>
        <w:tc>
          <w:tcPr>
            <w:tcW w:w="70" w:type="pct"/>
            <w:tcBorders>
              <w:top w:val="nil"/>
              <w:left w:val="nil"/>
              <w:bottom w:val="nil"/>
              <w:right w:val="nil"/>
            </w:tcBorders>
            <w:shd w:val="clear" w:color="000000" w:fill="FFFFFF"/>
            <w:noWrap/>
            <w:vAlign w:val="center"/>
            <w:hideMark/>
          </w:tcPr>
          <w:p w14:paraId="70DD17D0"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10" w:type="pct"/>
            <w:tcBorders>
              <w:top w:val="nil"/>
              <w:left w:val="nil"/>
              <w:bottom w:val="single" w:sz="4" w:space="0" w:color="293F5B"/>
              <w:right w:val="nil"/>
            </w:tcBorders>
            <w:shd w:val="clear" w:color="000000" w:fill="FFFFFF"/>
            <w:noWrap/>
            <w:vAlign w:val="center"/>
            <w:hideMark/>
          </w:tcPr>
          <w:p w14:paraId="6CE77BF9" w14:textId="77777777" w:rsidR="00276896" w:rsidRPr="00205DD5" w:rsidRDefault="00276896" w:rsidP="00276896">
            <w:pPr>
              <w:spacing w:before="0" w:after="0" w:line="240" w:lineRule="auto"/>
              <w:jc w:val="right"/>
              <w:rPr>
                <w:rFonts w:ascii="Arial" w:hAnsi="Arial" w:cs="Arial"/>
                <w:i/>
                <w:sz w:val="16"/>
                <w:szCs w:val="16"/>
              </w:rPr>
            </w:pPr>
            <w:r w:rsidRPr="00205DD5">
              <w:rPr>
                <w:rFonts w:ascii="Arial" w:hAnsi="Arial" w:cs="Arial"/>
                <w:i/>
                <w:sz w:val="16"/>
                <w:szCs w:val="16"/>
              </w:rPr>
              <w:t>19,118</w:t>
            </w:r>
          </w:p>
        </w:tc>
      </w:tr>
      <w:tr w:rsidR="00276896" w:rsidRPr="00FF1D21" w14:paraId="4AD60D13"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1EBF6075"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 xml:space="preserve">Total policy decisions impact on </w:t>
            </w:r>
          </w:p>
        </w:tc>
        <w:tc>
          <w:tcPr>
            <w:tcW w:w="562" w:type="pct"/>
            <w:tcBorders>
              <w:top w:val="single" w:sz="4" w:space="0" w:color="293F5B"/>
              <w:left w:val="nil"/>
              <w:bottom w:val="nil"/>
              <w:right w:val="nil"/>
            </w:tcBorders>
            <w:shd w:val="clear" w:color="000000" w:fill="E6F2FF"/>
            <w:noWrap/>
            <w:vAlign w:val="center"/>
            <w:hideMark/>
          </w:tcPr>
          <w:p w14:paraId="2EE429FE"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62" w:type="pct"/>
            <w:tcBorders>
              <w:top w:val="single" w:sz="4" w:space="0" w:color="293F5B"/>
              <w:left w:val="nil"/>
              <w:bottom w:val="nil"/>
              <w:right w:val="nil"/>
            </w:tcBorders>
            <w:shd w:val="clear" w:color="000000" w:fill="FFFFFF"/>
            <w:noWrap/>
            <w:vAlign w:val="center"/>
            <w:hideMark/>
          </w:tcPr>
          <w:p w14:paraId="022BC5AD"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62" w:type="pct"/>
            <w:tcBorders>
              <w:top w:val="single" w:sz="4" w:space="0" w:color="293F5B"/>
              <w:left w:val="nil"/>
              <w:bottom w:val="nil"/>
              <w:right w:val="nil"/>
            </w:tcBorders>
            <w:shd w:val="clear" w:color="000000" w:fill="FFFFFF"/>
            <w:noWrap/>
            <w:vAlign w:val="center"/>
            <w:hideMark/>
          </w:tcPr>
          <w:p w14:paraId="644B2D80"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62" w:type="pct"/>
            <w:tcBorders>
              <w:top w:val="single" w:sz="4" w:space="0" w:color="293F5B"/>
              <w:left w:val="nil"/>
              <w:bottom w:val="nil"/>
              <w:right w:val="nil"/>
            </w:tcBorders>
            <w:shd w:val="clear" w:color="000000" w:fill="FFFFFF"/>
            <w:noWrap/>
            <w:vAlign w:val="center"/>
            <w:hideMark/>
          </w:tcPr>
          <w:p w14:paraId="331D756C"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70" w:type="pct"/>
            <w:tcBorders>
              <w:top w:val="nil"/>
              <w:left w:val="nil"/>
              <w:bottom w:val="nil"/>
              <w:right w:val="nil"/>
            </w:tcBorders>
            <w:shd w:val="clear" w:color="000000" w:fill="FFFFFF"/>
            <w:noWrap/>
            <w:vAlign w:val="center"/>
            <w:hideMark/>
          </w:tcPr>
          <w:p w14:paraId="0C2E8CA0"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10" w:type="pct"/>
            <w:tcBorders>
              <w:top w:val="nil"/>
              <w:left w:val="nil"/>
              <w:bottom w:val="nil"/>
              <w:right w:val="nil"/>
            </w:tcBorders>
            <w:shd w:val="clear" w:color="000000" w:fill="FFFFFF"/>
            <w:noWrap/>
            <w:vAlign w:val="center"/>
            <w:hideMark/>
          </w:tcPr>
          <w:p w14:paraId="70D5882D" w14:textId="77777777" w:rsidR="00276896" w:rsidRPr="00205DD5" w:rsidRDefault="00276896" w:rsidP="00276896">
            <w:pPr>
              <w:spacing w:before="0" w:after="0" w:line="240" w:lineRule="auto"/>
              <w:jc w:val="right"/>
              <w:rPr>
                <w:rFonts w:ascii="Arial" w:hAnsi="Arial" w:cs="Arial"/>
                <w:i/>
                <w:sz w:val="16"/>
                <w:szCs w:val="16"/>
              </w:rPr>
            </w:pPr>
            <w:r w:rsidRPr="00205DD5">
              <w:rPr>
                <w:rFonts w:ascii="Arial" w:hAnsi="Arial" w:cs="Arial"/>
                <w:i/>
                <w:sz w:val="16"/>
                <w:szCs w:val="16"/>
              </w:rPr>
              <w:t> </w:t>
            </w:r>
          </w:p>
        </w:tc>
      </w:tr>
      <w:tr w:rsidR="00276896" w:rsidRPr="00FF1D21" w14:paraId="18F374C4"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10C06CF2" w14:textId="77777777" w:rsidR="00276896" w:rsidRPr="00FF1D21" w:rsidRDefault="00276896" w:rsidP="00276896">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underlying cash balance</w:t>
            </w:r>
          </w:p>
        </w:tc>
        <w:tc>
          <w:tcPr>
            <w:tcW w:w="562" w:type="pct"/>
            <w:tcBorders>
              <w:top w:val="nil"/>
              <w:left w:val="nil"/>
              <w:bottom w:val="nil"/>
              <w:right w:val="nil"/>
            </w:tcBorders>
            <w:shd w:val="clear" w:color="000000" w:fill="E6F2FF"/>
            <w:vAlign w:val="center"/>
            <w:hideMark/>
          </w:tcPr>
          <w:p w14:paraId="412027A0"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-2,064</w:t>
            </w:r>
          </w:p>
        </w:tc>
        <w:tc>
          <w:tcPr>
            <w:tcW w:w="562" w:type="pct"/>
            <w:tcBorders>
              <w:top w:val="nil"/>
              <w:left w:val="nil"/>
              <w:bottom w:val="nil"/>
              <w:right w:val="nil"/>
            </w:tcBorders>
            <w:shd w:val="clear" w:color="000000" w:fill="FFFFFF"/>
            <w:vAlign w:val="center"/>
            <w:hideMark/>
          </w:tcPr>
          <w:p w14:paraId="099D094F"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-8,245</w:t>
            </w:r>
          </w:p>
        </w:tc>
        <w:tc>
          <w:tcPr>
            <w:tcW w:w="562" w:type="pct"/>
            <w:tcBorders>
              <w:top w:val="nil"/>
              <w:left w:val="nil"/>
              <w:bottom w:val="nil"/>
              <w:right w:val="nil"/>
            </w:tcBorders>
            <w:shd w:val="clear" w:color="000000" w:fill="FFFFFF"/>
            <w:vAlign w:val="center"/>
            <w:hideMark/>
          </w:tcPr>
          <w:p w14:paraId="687AC98E"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-4,777</w:t>
            </w:r>
          </w:p>
        </w:tc>
        <w:tc>
          <w:tcPr>
            <w:tcW w:w="562" w:type="pct"/>
            <w:tcBorders>
              <w:top w:val="nil"/>
              <w:left w:val="nil"/>
              <w:bottom w:val="nil"/>
              <w:right w:val="nil"/>
            </w:tcBorders>
            <w:shd w:val="clear" w:color="000000" w:fill="FFFFFF"/>
            <w:vAlign w:val="center"/>
            <w:hideMark/>
          </w:tcPr>
          <w:p w14:paraId="49932CB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-2,380</w:t>
            </w:r>
          </w:p>
        </w:tc>
        <w:tc>
          <w:tcPr>
            <w:tcW w:w="70" w:type="pct"/>
            <w:tcBorders>
              <w:top w:val="nil"/>
              <w:left w:val="nil"/>
              <w:bottom w:val="nil"/>
              <w:right w:val="nil"/>
            </w:tcBorders>
            <w:shd w:val="clear" w:color="000000" w:fill="FFFFFF"/>
            <w:vAlign w:val="center"/>
            <w:hideMark/>
          </w:tcPr>
          <w:p w14:paraId="2E276A68"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vAlign w:val="center"/>
            <w:hideMark/>
          </w:tcPr>
          <w:p w14:paraId="3929F046" w14:textId="77777777" w:rsidR="00276896" w:rsidRPr="00205DD5" w:rsidRDefault="00276896" w:rsidP="00276896">
            <w:pPr>
              <w:spacing w:before="0" w:after="0" w:line="240" w:lineRule="auto"/>
              <w:jc w:val="right"/>
              <w:rPr>
                <w:rFonts w:ascii="Arial" w:hAnsi="Arial" w:cs="Arial"/>
                <w:sz w:val="16"/>
                <w:szCs w:val="16"/>
              </w:rPr>
            </w:pPr>
            <w:r w:rsidRPr="00205DD5">
              <w:rPr>
                <w:rFonts w:ascii="Arial" w:hAnsi="Arial" w:cs="Arial"/>
                <w:sz w:val="16"/>
                <w:szCs w:val="16"/>
              </w:rPr>
              <w:t>-17,465</w:t>
            </w:r>
          </w:p>
        </w:tc>
      </w:tr>
      <w:tr w:rsidR="00276896" w:rsidRPr="00FF1D21" w14:paraId="79B056D4" w14:textId="77777777" w:rsidTr="00276896">
        <w:trPr>
          <w:trHeight w:hRule="exact" w:val="60"/>
        </w:trPr>
        <w:tc>
          <w:tcPr>
            <w:tcW w:w="2173" w:type="pct"/>
            <w:tcBorders>
              <w:top w:val="nil"/>
              <w:left w:val="nil"/>
              <w:bottom w:val="nil"/>
              <w:right w:val="nil"/>
            </w:tcBorders>
            <w:shd w:val="clear" w:color="000000" w:fill="FFFFFF"/>
            <w:noWrap/>
            <w:vAlign w:val="center"/>
            <w:hideMark/>
          </w:tcPr>
          <w:p w14:paraId="4ED333AE" w14:textId="77777777" w:rsidR="00276896" w:rsidRPr="00FF1D21" w:rsidRDefault="00276896" w:rsidP="00276896">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 </w:t>
            </w:r>
          </w:p>
        </w:tc>
        <w:tc>
          <w:tcPr>
            <w:tcW w:w="562" w:type="pct"/>
            <w:tcBorders>
              <w:top w:val="single" w:sz="4" w:space="0" w:color="293F5B"/>
              <w:left w:val="nil"/>
              <w:bottom w:val="nil"/>
              <w:right w:val="nil"/>
            </w:tcBorders>
            <w:shd w:val="clear" w:color="000000" w:fill="E6F2FF"/>
            <w:noWrap/>
            <w:vAlign w:val="center"/>
            <w:hideMark/>
          </w:tcPr>
          <w:p w14:paraId="1772880F"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62" w:type="pct"/>
            <w:tcBorders>
              <w:top w:val="single" w:sz="4" w:space="0" w:color="293F5B"/>
              <w:left w:val="nil"/>
              <w:bottom w:val="nil"/>
              <w:right w:val="nil"/>
            </w:tcBorders>
            <w:shd w:val="clear" w:color="000000" w:fill="FFFFFF"/>
            <w:noWrap/>
            <w:vAlign w:val="center"/>
            <w:hideMark/>
          </w:tcPr>
          <w:p w14:paraId="1FDA65DE"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62" w:type="pct"/>
            <w:tcBorders>
              <w:top w:val="single" w:sz="4" w:space="0" w:color="293F5B"/>
              <w:left w:val="nil"/>
              <w:bottom w:val="nil"/>
              <w:right w:val="nil"/>
            </w:tcBorders>
            <w:shd w:val="clear" w:color="000000" w:fill="FFFFFF"/>
            <w:noWrap/>
            <w:vAlign w:val="center"/>
            <w:hideMark/>
          </w:tcPr>
          <w:p w14:paraId="1882B4E4"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62" w:type="pct"/>
            <w:tcBorders>
              <w:top w:val="single" w:sz="4" w:space="0" w:color="293F5B"/>
              <w:left w:val="nil"/>
              <w:bottom w:val="nil"/>
              <w:right w:val="nil"/>
            </w:tcBorders>
            <w:shd w:val="clear" w:color="000000" w:fill="FFFFFF"/>
            <w:noWrap/>
            <w:vAlign w:val="center"/>
            <w:hideMark/>
          </w:tcPr>
          <w:p w14:paraId="69624DFE"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70" w:type="pct"/>
            <w:tcBorders>
              <w:top w:val="nil"/>
              <w:left w:val="nil"/>
              <w:bottom w:val="nil"/>
              <w:right w:val="nil"/>
            </w:tcBorders>
            <w:shd w:val="clear" w:color="000000" w:fill="FFFFFF"/>
            <w:noWrap/>
            <w:vAlign w:val="center"/>
            <w:hideMark/>
          </w:tcPr>
          <w:p w14:paraId="7B56E7D4"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10" w:type="pct"/>
            <w:tcBorders>
              <w:top w:val="single" w:sz="4" w:space="0" w:color="293F5B"/>
              <w:left w:val="nil"/>
              <w:bottom w:val="nil"/>
              <w:right w:val="nil"/>
            </w:tcBorders>
            <w:shd w:val="clear" w:color="000000" w:fill="FFFFFF"/>
            <w:noWrap/>
            <w:vAlign w:val="center"/>
            <w:hideMark/>
          </w:tcPr>
          <w:p w14:paraId="5008B90F" w14:textId="77777777" w:rsidR="00276896" w:rsidRPr="00205DD5" w:rsidRDefault="00276896" w:rsidP="00276896">
            <w:pPr>
              <w:spacing w:before="0" w:after="0" w:line="240" w:lineRule="auto"/>
              <w:rPr>
                <w:rFonts w:ascii="Arial" w:hAnsi="Arial" w:cs="Arial"/>
                <w:sz w:val="16"/>
                <w:szCs w:val="16"/>
              </w:rPr>
            </w:pPr>
            <w:r w:rsidRPr="00205DD5">
              <w:rPr>
                <w:rFonts w:ascii="Arial" w:hAnsi="Arial" w:cs="Arial"/>
                <w:sz w:val="16"/>
                <w:szCs w:val="16"/>
              </w:rPr>
              <w:t> </w:t>
            </w:r>
          </w:p>
        </w:tc>
      </w:tr>
      <w:tr w:rsidR="00276896" w:rsidRPr="00FF1D21" w14:paraId="0014F7DA" w14:textId="77777777" w:rsidTr="00276896">
        <w:trPr>
          <w:trHeight w:hRule="exact" w:val="226"/>
        </w:trPr>
        <w:tc>
          <w:tcPr>
            <w:tcW w:w="2173" w:type="pct"/>
            <w:tcBorders>
              <w:top w:val="nil"/>
              <w:left w:val="nil"/>
              <w:bottom w:val="nil"/>
              <w:right w:val="nil"/>
            </w:tcBorders>
            <w:shd w:val="clear" w:color="000000" w:fill="FFFFFF"/>
            <w:noWrap/>
            <w:vAlign w:val="bottom"/>
            <w:hideMark/>
          </w:tcPr>
          <w:p w14:paraId="7CFFEFCF"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parameter and other variations(b)</w:t>
            </w:r>
          </w:p>
        </w:tc>
        <w:tc>
          <w:tcPr>
            <w:tcW w:w="562" w:type="pct"/>
            <w:tcBorders>
              <w:top w:val="nil"/>
              <w:left w:val="nil"/>
              <w:bottom w:val="nil"/>
              <w:right w:val="nil"/>
            </w:tcBorders>
            <w:shd w:val="clear" w:color="000000" w:fill="E6F2FF"/>
            <w:noWrap/>
            <w:vAlign w:val="center"/>
            <w:hideMark/>
          </w:tcPr>
          <w:p w14:paraId="019FCE84"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6AC24A3C"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3AA6C70D"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2B2F0834"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465A7B7F"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noWrap/>
            <w:vAlign w:val="center"/>
            <w:hideMark/>
          </w:tcPr>
          <w:p w14:paraId="1840915A" w14:textId="77777777" w:rsidR="00276896" w:rsidRPr="00205DD5" w:rsidRDefault="00276896" w:rsidP="00276896">
            <w:pPr>
              <w:spacing w:before="0" w:after="0" w:line="240" w:lineRule="auto"/>
              <w:rPr>
                <w:rFonts w:ascii="Arial" w:hAnsi="Arial" w:cs="Arial"/>
                <w:sz w:val="16"/>
                <w:szCs w:val="16"/>
              </w:rPr>
            </w:pPr>
            <w:r w:rsidRPr="00205DD5">
              <w:rPr>
                <w:rFonts w:ascii="Arial" w:hAnsi="Arial" w:cs="Arial"/>
                <w:sz w:val="16"/>
                <w:szCs w:val="16"/>
              </w:rPr>
              <w:t> </w:t>
            </w:r>
          </w:p>
        </w:tc>
      </w:tr>
      <w:tr w:rsidR="00276896" w:rsidRPr="00FF1D21" w14:paraId="27F61E19"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3F75049E" w14:textId="77777777" w:rsidR="00276896" w:rsidRPr="00FF1D21" w:rsidRDefault="00276896" w:rsidP="00276896">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Receipts</w:t>
            </w:r>
          </w:p>
        </w:tc>
        <w:tc>
          <w:tcPr>
            <w:tcW w:w="562" w:type="pct"/>
            <w:tcBorders>
              <w:top w:val="nil"/>
              <w:left w:val="nil"/>
              <w:bottom w:val="nil"/>
              <w:right w:val="nil"/>
            </w:tcBorders>
            <w:shd w:val="clear" w:color="000000" w:fill="E6F2FF"/>
            <w:noWrap/>
            <w:vAlign w:val="center"/>
            <w:hideMark/>
          </w:tcPr>
          <w:p w14:paraId="073EF181"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5,336</w:t>
            </w:r>
          </w:p>
        </w:tc>
        <w:tc>
          <w:tcPr>
            <w:tcW w:w="562" w:type="pct"/>
            <w:tcBorders>
              <w:top w:val="nil"/>
              <w:left w:val="nil"/>
              <w:bottom w:val="nil"/>
              <w:right w:val="nil"/>
            </w:tcBorders>
            <w:shd w:val="clear" w:color="000000" w:fill="FFFFFF"/>
            <w:noWrap/>
            <w:vAlign w:val="center"/>
            <w:hideMark/>
          </w:tcPr>
          <w:p w14:paraId="14C38349"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8,755</w:t>
            </w:r>
          </w:p>
        </w:tc>
        <w:tc>
          <w:tcPr>
            <w:tcW w:w="562" w:type="pct"/>
            <w:tcBorders>
              <w:top w:val="nil"/>
              <w:left w:val="nil"/>
              <w:bottom w:val="nil"/>
              <w:right w:val="nil"/>
            </w:tcBorders>
            <w:shd w:val="clear" w:color="000000" w:fill="FFFFFF"/>
            <w:noWrap/>
            <w:vAlign w:val="center"/>
            <w:hideMark/>
          </w:tcPr>
          <w:p w14:paraId="2B903B72"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2,977</w:t>
            </w:r>
          </w:p>
        </w:tc>
        <w:tc>
          <w:tcPr>
            <w:tcW w:w="562" w:type="pct"/>
            <w:tcBorders>
              <w:top w:val="nil"/>
              <w:left w:val="nil"/>
              <w:bottom w:val="nil"/>
              <w:right w:val="nil"/>
            </w:tcBorders>
            <w:shd w:val="clear" w:color="000000" w:fill="FFFFFF"/>
            <w:noWrap/>
            <w:vAlign w:val="center"/>
            <w:hideMark/>
          </w:tcPr>
          <w:p w14:paraId="57455988"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1,727</w:t>
            </w:r>
          </w:p>
        </w:tc>
        <w:tc>
          <w:tcPr>
            <w:tcW w:w="70" w:type="pct"/>
            <w:tcBorders>
              <w:top w:val="nil"/>
              <w:left w:val="nil"/>
              <w:bottom w:val="nil"/>
              <w:right w:val="nil"/>
            </w:tcBorders>
            <w:shd w:val="clear" w:color="000000" w:fill="FFFFFF"/>
            <w:noWrap/>
            <w:vAlign w:val="center"/>
            <w:hideMark/>
          </w:tcPr>
          <w:p w14:paraId="1A889D6F"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10" w:type="pct"/>
            <w:tcBorders>
              <w:top w:val="nil"/>
              <w:left w:val="nil"/>
              <w:bottom w:val="nil"/>
              <w:right w:val="nil"/>
            </w:tcBorders>
            <w:shd w:val="clear" w:color="000000" w:fill="FFFFFF"/>
            <w:noWrap/>
            <w:vAlign w:val="center"/>
            <w:hideMark/>
          </w:tcPr>
          <w:p w14:paraId="060C7BCD" w14:textId="77777777" w:rsidR="00276896" w:rsidRPr="00205DD5" w:rsidRDefault="00276896" w:rsidP="00276896">
            <w:pPr>
              <w:spacing w:before="0" w:after="0" w:line="240" w:lineRule="auto"/>
              <w:jc w:val="right"/>
              <w:rPr>
                <w:rFonts w:ascii="Arial" w:hAnsi="Arial" w:cs="Arial"/>
                <w:i/>
                <w:sz w:val="16"/>
                <w:szCs w:val="16"/>
              </w:rPr>
            </w:pPr>
            <w:r w:rsidRPr="00205DD5">
              <w:rPr>
                <w:rFonts w:ascii="Arial" w:hAnsi="Arial" w:cs="Arial"/>
                <w:i/>
                <w:sz w:val="16"/>
                <w:szCs w:val="16"/>
              </w:rPr>
              <w:t>18,796</w:t>
            </w:r>
          </w:p>
        </w:tc>
      </w:tr>
      <w:tr w:rsidR="00276896" w:rsidRPr="00FF1D21" w14:paraId="014A52A2"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27ED6885" w14:textId="77777777" w:rsidR="00276896" w:rsidRPr="00FF1D21" w:rsidRDefault="00276896" w:rsidP="00276896">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Payments</w:t>
            </w:r>
          </w:p>
        </w:tc>
        <w:tc>
          <w:tcPr>
            <w:tcW w:w="562" w:type="pct"/>
            <w:tcBorders>
              <w:top w:val="nil"/>
              <w:left w:val="nil"/>
              <w:bottom w:val="single" w:sz="4" w:space="0" w:color="293F5B"/>
              <w:right w:val="nil"/>
            </w:tcBorders>
            <w:shd w:val="clear" w:color="000000" w:fill="E6F2FF"/>
            <w:noWrap/>
            <w:vAlign w:val="center"/>
            <w:hideMark/>
          </w:tcPr>
          <w:p w14:paraId="59CF7C13"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1,935</w:t>
            </w:r>
          </w:p>
        </w:tc>
        <w:tc>
          <w:tcPr>
            <w:tcW w:w="562" w:type="pct"/>
            <w:tcBorders>
              <w:top w:val="nil"/>
              <w:left w:val="nil"/>
              <w:bottom w:val="single" w:sz="4" w:space="0" w:color="293F5B"/>
              <w:right w:val="nil"/>
            </w:tcBorders>
            <w:shd w:val="clear" w:color="000000" w:fill="FFFFFF"/>
            <w:noWrap/>
            <w:vAlign w:val="center"/>
            <w:hideMark/>
          </w:tcPr>
          <w:p w14:paraId="07D7C2DE"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4,587</w:t>
            </w:r>
          </w:p>
        </w:tc>
        <w:tc>
          <w:tcPr>
            <w:tcW w:w="562" w:type="pct"/>
            <w:tcBorders>
              <w:top w:val="nil"/>
              <w:left w:val="nil"/>
              <w:bottom w:val="single" w:sz="4" w:space="0" w:color="293F5B"/>
              <w:right w:val="nil"/>
            </w:tcBorders>
            <w:shd w:val="clear" w:color="000000" w:fill="FFFFFF"/>
            <w:noWrap/>
            <w:vAlign w:val="center"/>
            <w:hideMark/>
          </w:tcPr>
          <w:p w14:paraId="7B5B6994"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9,841</w:t>
            </w:r>
          </w:p>
        </w:tc>
        <w:tc>
          <w:tcPr>
            <w:tcW w:w="562" w:type="pct"/>
            <w:tcBorders>
              <w:top w:val="nil"/>
              <w:left w:val="nil"/>
              <w:bottom w:val="single" w:sz="4" w:space="0" w:color="293F5B"/>
              <w:right w:val="nil"/>
            </w:tcBorders>
            <w:shd w:val="clear" w:color="000000" w:fill="FFFFFF"/>
            <w:noWrap/>
            <w:vAlign w:val="center"/>
            <w:hideMark/>
          </w:tcPr>
          <w:p w14:paraId="7CEE5609"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6,673</w:t>
            </w:r>
          </w:p>
        </w:tc>
        <w:tc>
          <w:tcPr>
            <w:tcW w:w="70" w:type="pct"/>
            <w:tcBorders>
              <w:top w:val="nil"/>
              <w:left w:val="nil"/>
              <w:bottom w:val="nil"/>
              <w:right w:val="nil"/>
            </w:tcBorders>
            <w:shd w:val="clear" w:color="000000" w:fill="FFFFFF"/>
            <w:noWrap/>
            <w:vAlign w:val="center"/>
            <w:hideMark/>
          </w:tcPr>
          <w:p w14:paraId="5E67A076" w14:textId="77777777" w:rsidR="00276896" w:rsidRPr="00FF1D21" w:rsidRDefault="00276896" w:rsidP="00276896">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10" w:type="pct"/>
            <w:tcBorders>
              <w:top w:val="nil"/>
              <w:left w:val="nil"/>
              <w:bottom w:val="single" w:sz="4" w:space="0" w:color="293F5B"/>
              <w:right w:val="nil"/>
            </w:tcBorders>
            <w:shd w:val="clear" w:color="000000" w:fill="FFFFFF"/>
            <w:noWrap/>
            <w:vAlign w:val="center"/>
            <w:hideMark/>
          </w:tcPr>
          <w:p w14:paraId="4883BF2F" w14:textId="77777777" w:rsidR="00276896" w:rsidRPr="00205DD5" w:rsidRDefault="00276896" w:rsidP="00276896">
            <w:pPr>
              <w:spacing w:before="0" w:after="0" w:line="240" w:lineRule="auto"/>
              <w:jc w:val="right"/>
              <w:rPr>
                <w:rFonts w:ascii="Arial" w:hAnsi="Arial" w:cs="Arial"/>
                <w:i/>
                <w:sz w:val="16"/>
                <w:szCs w:val="16"/>
              </w:rPr>
            </w:pPr>
            <w:r w:rsidRPr="00205DD5">
              <w:rPr>
                <w:rFonts w:ascii="Arial" w:hAnsi="Arial" w:cs="Arial"/>
                <w:i/>
                <w:sz w:val="16"/>
                <w:szCs w:val="16"/>
              </w:rPr>
              <w:t>23,036</w:t>
            </w:r>
          </w:p>
        </w:tc>
      </w:tr>
      <w:tr w:rsidR="00276896" w:rsidRPr="00FF1D21" w14:paraId="7F7B502F"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1B50BB30"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Total parameter and other variations impact on</w:t>
            </w:r>
          </w:p>
        </w:tc>
        <w:tc>
          <w:tcPr>
            <w:tcW w:w="562" w:type="pct"/>
            <w:tcBorders>
              <w:top w:val="nil"/>
              <w:left w:val="nil"/>
              <w:bottom w:val="nil"/>
              <w:right w:val="nil"/>
            </w:tcBorders>
            <w:shd w:val="clear" w:color="000000" w:fill="E6F2FF"/>
            <w:noWrap/>
            <w:vAlign w:val="center"/>
            <w:hideMark/>
          </w:tcPr>
          <w:p w14:paraId="0329EBF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7A4E4BAA"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28B9B4A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77545596"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79646369"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noWrap/>
            <w:vAlign w:val="center"/>
            <w:hideMark/>
          </w:tcPr>
          <w:p w14:paraId="1B46A02B" w14:textId="77777777" w:rsidR="00276896" w:rsidRPr="00205DD5" w:rsidRDefault="00276896" w:rsidP="00276896">
            <w:pPr>
              <w:spacing w:before="0" w:after="0" w:line="240" w:lineRule="auto"/>
              <w:jc w:val="right"/>
              <w:rPr>
                <w:rFonts w:ascii="Arial" w:hAnsi="Arial" w:cs="Arial"/>
                <w:sz w:val="16"/>
                <w:szCs w:val="16"/>
              </w:rPr>
            </w:pPr>
            <w:r w:rsidRPr="00205DD5">
              <w:rPr>
                <w:rFonts w:ascii="Arial" w:hAnsi="Arial" w:cs="Arial"/>
                <w:sz w:val="16"/>
                <w:szCs w:val="16"/>
              </w:rPr>
              <w:t> </w:t>
            </w:r>
          </w:p>
        </w:tc>
      </w:tr>
      <w:tr w:rsidR="00276896" w:rsidRPr="00FF1D21" w14:paraId="356DAB89"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38C00E9D" w14:textId="77777777" w:rsidR="00276896" w:rsidRPr="00FF1D21" w:rsidRDefault="00276896" w:rsidP="00276896">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underlying cash balance</w:t>
            </w:r>
          </w:p>
        </w:tc>
        <w:tc>
          <w:tcPr>
            <w:tcW w:w="562" w:type="pct"/>
            <w:tcBorders>
              <w:top w:val="nil"/>
              <w:left w:val="nil"/>
              <w:bottom w:val="nil"/>
              <w:right w:val="nil"/>
            </w:tcBorders>
            <w:shd w:val="clear" w:color="000000" w:fill="E6F2FF"/>
            <w:noWrap/>
            <w:vAlign w:val="center"/>
            <w:hideMark/>
          </w:tcPr>
          <w:p w14:paraId="3AFD7A79"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3,401</w:t>
            </w:r>
          </w:p>
        </w:tc>
        <w:tc>
          <w:tcPr>
            <w:tcW w:w="562" w:type="pct"/>
            <w:tcBorders>
              <w:top w:val="nil"/>
              <w:left w:val="nil"/>
              <w:bottom w:val="nil"/>
              <w:right w:val="nil"/>
            </w:tcBorders>
            <w:shd w:val="clear" w:color="000000" w:fill="FFFFFF"/>
            <w:noWrap/>
            <w:vAlign w:val="center"/>
            <w:hideMark/>
          </w:tcPr>
          <w:p w14:paraId="29503AD7"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4,168</w:t>
            </w:r>
          </w:p>
        </w:tc>
        <w:tc>
          <w:tcPr>
            <w:tcW w:w="562" w:type="pct"/>
            <w:tcBorders>
              <w:top w:val="nil"/>
              <w:left w:val="nil"/>
              <w:bottom w:val="nil"/>
              <w:right w:val="nil"/>
            </w:tcBorders>
            <w:shd w:val="clear" w:color="000000" w:fill="FFFFFF"/>
            <w:noWrap/>
            <w:vAlign w:val="center"/>
            <w:hideMark/>
          </w:tcPr>
          <w:p w14:paraId="05EE1D81"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-6,864</w:t>
            </w:r>
          </w:p>
        </w:tc>
        <w:tc>
          <w:tcPr>
            <w:tcW w:w="562" w:type="pct"/>
            <w:tcBorders>
              <w:top w:val="nil"/>
              <w:left w:val="nil"/>
              <w:bottom w:val="nil"/>
              <w:right w:val="nil"/>
            </w:tcBorders>
            <w:shd w:val="clear" w:color="000000" w:fill="FFFFFF"/>
            <w:noWrap/>
            <w:vAlign w:val="center"/>
            <w:hideMark/>
          </w:tcPr>
          <w:p w14:paraId="1AEE97B6"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-4,945</w:t>
            </w:r>
          </w:p>
        </w:tc>
        <w:tc>
          <w:tcPr>
            <w:tcW w:w="70" w:type="pct"/>
            <w:tcBorders>
              <w:top w:val="nil"/>
              <w:left w:val="nil"/>
              <w:bottom w:val="nil"/>
              <w:right w:val="nil"/>
            </w:tcBorders>
            <w:shd w:val="clear" w:color="000000" w:fill="FFFFFF"/>
            <w:noWrap/>
            <w:vAlign w:val="center"/>
            <w:hideMark/>
          </w:tcPr>
          <w:p w14:paraId="4E3EDD49"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noWrap/>
            <w:vAlign w:val="center"/>
            <w:hideMark/>
          </w:tcPr>
          <w:p w14:paraId="5CBC0DE3" w14:textId="77777777" w:rsidR="00276896" w:rsidRPr="00205DD5" w:rsidRDefault="00276896" w:rsidP="00276896">
            <w:pPr>
              <w:spacing w:before="0" w:after="0" w:line="240" w:lineRule="auto"/>
              <w:jc w:val="right"/>
              <w:rPr>
                <w:rFonts w:ascii="Arial" w:hAnsi="Arial" w:cs="Arial"/>
                <w:sz w:val="16"/>
                <w:szCs w:val="16"/>
              </w:rPr>
            </w:pPr>
            <w:r w:rsidRPr="00205DD5">
              <w:rPr>
                <w:rFonts w:ascii="Arial" w:hAnsi="Arial" w:cs="Arial"/>
                <w:sz w:val="16"/>
                <w:szCs w:val="16"/>
              </w:rPr>
              <w:t>-4,241</w:t>
            </w:r>
          </w:p>
        </w:tc>
      </w:tr>
      <w:tr w:rsidR="00276896" w:rsidRPr="00FF1D21" w14:paraId="3DB919E5" w14:textId="77777777" w:rsidTr="00276896">
        <w:trPr>
          <w:trHeight w:hRule="exact" w:val="60"/>
        </w:trPr>
        <w:tc>
          <w:tcPr>
            <w:tcW w:w="2173" w:type="pct"/>
            <w:tcBorders>
              <w:top w:val="nil"/>
              <w:left w:val="nil"/>
              <w:bottom w:val="nil"/>
              <w:right w:val="nil"/>
            </w:tcBorders>
            <w:shd w:val="clear" w:color="000000" w:fill="FFFFFF"/>
            <w:noWrap/>
            <w:vAlign w:val="center"/>
            <w:hideMark/>
          </w:tcPr>
          <w:p w14:paraId="4B5A7A17"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E6F2FF"/>
            <w:noWrap/>
            <w:vAlign w:val="center"/>
            <w:hideMark/>
          </w:tcPr>
          <w:p w14:paraId="690A9D9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574CB6DF"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35105D02"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62" w:type="pct"/>
            <w:tcBorders>
              <w:top w:val="nil"/>
              <w:left w:val="nil"/>
              <w:bottom w:val="nil"/>
              <w:right w:val="nil"/>
            </w:tcBorders>
            <w:shd w:val="clear" w:color="000000" w:fill="FFFFFF"/>
            <w:noWrap/>
            <w:vAlign w:val="center"/>
            <w:hideMark/>
          </w:tcPr>
          <w:p w14:paraId="4FCCE0F4"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01DED892"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nil"/>
              <w:right w:val="nil"/>
            </w:tcBorders>
            <w:shd w:val="clear" w:color="000000" w:fill="FFFFFF"/>
            <w:noWrap/>
            <w:vAlign w:val="center"/>
            <w:hideMark/>
          </w:tcPr>
          <w:p w14:paraId="5D270A0A" w14:textId="77777777" w:rsidR="00276896" w:rsidRPr="00205DD5" w:rsidRDefault="00276896" w:rsidP="00276896">
            <w:pPr>
              <w:spacing w:before="0" w:after="0" w:line="240" w:lineRule="auto"/>
              <w:jc w:val="right"/>
              <w:rPr>
                <w:rFonts w:ascii="Arial" w:hAnsi="Arial" w:cs="Arial"/>
                <w:sz w:val="16"/>
                <w:szCs w:val="16"/>
              </w:rPr>
            </w:pPr>
            <w:r w:rsidRPr="00205DD5">
              <w:rPr>
                <w:rFonts w:ascii="Arial" w:hAnsi="Arial" w:cs="Arial"/>
                <w:sz w:val="16"/>
                <w:szCs w:val="16"/>
              </w:rPr>
              <w:t> </w:t>
            </w:r>
          </w:p>
        </w:tc>
      </w:tr>
      <w:tr w:rsidR="00276896" w:rsidRPr="00FF1D21" w14:paraId="76744661" w14:textId="77777777" w:rsidTr="00276896">
        <w:trPr>
          <w:trHeight w:hRule="exact" w:val="226"/>
        </w:trPr>
        <w:tc>
          <w:tcPr>
            <w:tcW w:w="2173" w:type="pct"/>
            <w:tcBorders>
              <w:top w:val="nil"/>
              <w:left w:val="nil"/>
              <w:bottom w:val="nil"/>
              <w:right w:val="nil"/>
            </w:tcBorders>
            <w:shd w:val="clear" w:color="000000" w:fill="FFFFFF"/>
            <w:noWrap/>
            <w:vAlign w:val="center"/>
            <w:hideMark/>
          </w:tcPr>
          <w:p w14:paraId="01234521" w14:textId="77777777" w:rsidR="00276896" w:rsidRPr="00FF1D21" w:rsidRDefault="00276896" w:rsidP="00276896">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MYEFO underlying cash balance</w:t>
            </w:r>
          </w:p>
        </w:tc>
        <w:tc>
          <w:tcPr>
            <w:tcW w:w="562" w:type="pct"/>
            <w:tcBorders>
              <w:top w:val="single" w:sz="4" w:space="0" w:color="293F5B"/>
              <w:left w:val="nil"/>
              <w:bottom w:val="nil"/>
              <w:right w:val="nil"/>
            </w:tcBorders>
            <w:shd w:val="clear" w:color="000000" w:fill="E6F2FF"/>
            <w:noWrap/>
            <w:vAlign w:val="center"/>
            <w:hideMark/>
          </w:tcPr>
          <w:p w14:paraId="411FBBC9"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-26,949</w:t>
            </w:r>
          </w:p>
        </w:tc>
        <w:tc>
          <w:tcPr>
            <w:tcW w:w="562" w:type="pct"/>
            <w:tcBorders>
              <w:top w:val="single" w:sz="4" w:space="0" w:color="293F5B"/>
              <w:left w:val="nil"/>
              <w:bottom w:val="nil"/>
              <w:right w:val="nil"/>
            </w:tcBorders>
            <w:shd w:val="clear" w:color="000000" w:fill="FFFFFF"/>
            <w:noWrap/>
            <w:vAlign w:val="center"/>
            <w:hideMark/>
          </w:tcPr>
          <w:p w14:paraId="7973DBB8"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-46,915</w:t>
            </w:r>
          </w:p>
        </w:tc>
        <w:tc>
          <w:tcPr>
            <w:tcW w:w="562" w:type="pct"/>
            <w:tcBorders>
              <w:top w:val="single" w:sz="4" w:space="0" w:color="293F5B"/>
              <w:left w:val="nil"/>
              <w:bottom w:val="nil"/>
              <w:right w:val="nil"/>
            </w:tcBorders>
            <w:shd w:val="clear" w:color="000000" w:fill="FFFFFF"/>
            <w:noWrap/>
            <w:vAlign w:val="center"/>
            <w:hideMark/>
          </w:tcPr>
          <w:p w14:paraId="6CC11502"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-38,353</w:t>
            </w:r>
          </w:p>
        </w:tc>
        <w:tc>
          <w:tcPr>
            <w:tcW w:w="562" w:type="pct"/>
            <w:tcBorders>
              <w:top w:val="single" w:sz="4" w:space="0" w:color="293F5B"/>
              <w:left w:val="nil"/>
              <w:bottom w:val="nil"/>
              <w:right w:val="nil"/>
            </w:tcBorders>
            <w:shd w:val="clear" w:color="000000" w:fill="FFFFFF"/>
            <w:noWrap/>
            <w:vAlign w:val="center"/>
            <w:hideMark/>
          </w:tcPr>
          <w:p w14:paraId="464FCE9C"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-31,671</w:t>
            </w:r>
          </w:p>
        </w:tc>
        <w:tc>
          <w:tcPr>
            <w:tcW w:w="70" w:type="pct"/>
            <w:tcBorders>
              <w:top w:val="nil"/>
              <w:left w:val="nil"/>
              <w:bottom w:val="nil"/>
              <w:right w:val="nil"/>
            </w:tcBorders>
            <w:shd w:val="clear" w:color="000000" w:fill="FFFFFF"/>
            <w:noWrap/>
            <w:vAlign w:val="center"/>
            <w:hideMark/>
          </w:tcPr>
          <w:p w14:paraId="7EB60B43" w14:textId="77777777" w:rsidR="00276896" w:rsidRPr="00FF1D21" w:rsidRDefault="00276896" w:rsidP="00276896">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10" w:type="pct"/>
            <w:tcBorders>
              <w:top w:val="single" w:sz="4" w:space="0" w:color="293F5B"/>
              <w:left w:val="nil"/>
              <w:bottom w:val="nil"/>
              <w:right w:val="nil"/>
            </w:tcBorders>
            <w:shd w:val="clear" w:color="000000" w:fill="FFFFFF"/>
            <w:noWrap/>
            <w:vAlign w:val="center"/>
            <w:hideMark/>
          </w:tcPr>
          <w:p w14:paraId="28DB0C51" w14:textId="77777777" w:rsidR="00276896" w:rsidRPr="00205DD5" w:rsidRDefault="00276896" w:rsidP="00276896">
            <w:pPr>
              <w:spacing w:before="0" w:after="0" w:line="240" w:lineRule="auto"/>
              <w:jc w:val="right"/>
              <w:rPr>
                <w:rFonts w:ascii="Arial" w:hAnsi="Arial" w:cs="Arial"/>
                <w:b/>
                <w:sz w:val="16"/>
                <w:szCs w:val="16"/>
              </w:rPr>
            </w:pPr>
            <w:r w:rsidRPr="00205DD5">
              <w:rPr>
                <w:rFonts w:ascii="Arial" w:hAnsi="Arial" w:cs="Arial"/>
                <w:b/>
                <w:sz w:val="16"/>
                <w:szCs w:val="16"/>
              </w:rPr>
              <w:t>-143,888</w:t>
            </w:r>
          </w:p>
        </w:tc>
      </w:tr>
      <w:tr w:rsidR="00276896" w:rsidRPr="00FF1D21" w14:paraId="57E39372" w14:textId="77777777" w:rsidTr="00276896">
        <w:trPr>
          <w:trHeight w:hRule="exact" w:val="226"/>
        </w:trPr>
        <w:tc>
          <w:tcPr>
            <w:tcW w:w="2173" w:type="pct"/>
            <w:tcBorders>
              <w:top w:val="nil"/>
              <w:left w:val="nil"/>
              <w:bottom w:val="single" w:sz="4" w:space="0" w:color="293F5B"/>
              <w:right w:val="nil"/>
            </w:tcBorders>
            <w:shd w:val="clear" w:color="000000" w:fill="FFFFFF"/>
            <w:noWrap/>
            <w:vAlign w:val="center"/>
            <w:hideMark/>
          </w:tcPr>
          <w:p w14:paraId="65BCF7F7" w14:textId="77777777" w:rsidR="00276896" w:rsidRPr="00FF1D21" w:rsidRDefault="00276896" w:rsidP="00276896">
            <w:pPr>
              <w:spacing w:before="0" w:after="0" w:line="240" w:lineRule="auto"/>
              <w:rPr>
                <w:rFonts w:ascii="Arial" w:hAnsi="Arial" w:cs="Arial"/>
                <w:color w:val="00FFFF"/>
                <w:sz w:val="16"/>
                <w:szCs w:val="16"/>
                <w:highlight w:val="darkCyan"/>
              </w:rPr>
            </w:pPr>
            <w:r w:rsidRPr="00205DD5">
              <w:rPr>
                <w:rFonts w:ascii="Arial" w:hAnsi="Arial" w:cs="Arial"/>
                <w:sz w:val="16"/>
                <w:szCs w:val="16"/>
              </w:rPr>
              <w:t>Per cent of GDP</w:t>
            </w:r>
          </w:p>
        </w:tc>
        <w:tc>
          <w:tcPr>
            <w:tcW w:w="562" w:type="pct"/>
            <w:tcBorders>
              <w:top w:val="nil"/>
              <w:left w:val="nil"/>
              <w:bottom w:val="single" w:sz="4" w:space="0" w:color="293F5B"/>
              <w:right w:val="nil"/>
            </w:tcBorders>
            <w:shd w:val="clear" w:color="000000" w:fill="E6F2FF"/>
            <w:noWrap/>
            <w:vAlign w:val="center"/>
            <w:hideMark/>
          </w:tcPr>
          <w:p w14:paraId="1D819AF8"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w:t>
            </w:r>
          </w:p>
        </w:tc>
        <w:tc>
          <w:tcPr>
            <w:tcW w:w="562" w:type="pct"/>
            <w:tcBorders>
              <w:top w:val="nil"/>
              <w:left w:val="nil"/>
              <w:bottom w:val="single" w:sz="4" w:space="0" w:color="293F5B"/>
              <w:right w:val="nil"/>
            </w:tcBorders>
            <w:shd w:val="clear" w:color="000000" w:fill="FFFFFF"/>
            <w:noWrap/>
            <w:vAlign w:val="center"/>
            <w:hideMark/>
          </w:tcPr>
          <w:p w14:paraId="1022E693"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-1.6</w:t>
            </w:r>
          </w:p>
        </w:tc>
        <w:tc>
          <w:tcPr>
            <w:tcW w:w="562" w:type="pct"/>
            <w:tcBorders>
              <w:top w:val="nil"/>
              <w:left w:val="nil"/>
              <w:bottom w:val="single" w:sz="4" w:space="0" w:color="293F5B"/>
              <w:right w:val="nil"/>
            </w:tcBorders>
            <w:shd w:val="clear" w:color="000000" w:fill="FFFFFF"/>
            <w:noWrap/>
            <w:vAlign w:val="center"/>
            <w:hideMark/>
          </w:tcPr>
          <w:p w14:paraId="25F45E03"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-1.3</w:t>
            </w:r>
          </w:p>
        </w:tc>
        <w:tc>
          <w:tcPr>
            <w:tcW w:w="562" w:type="pct"/>
            <w:tcBorders>
              <w:top w:val="nil"/>
              <w:left w:val="nil"/>
              <w:bottom w:val="single" w:sz="4" w:space="0" w:color="293F5B"/>
              <w:right w:val="nil"/>
            </w:tcBorders>
            <w:shd w:val="clear" w:color="000000" w:fill="FFFFFF"/>
            <w:noWrap/>
            <w:vAlign w:val="center"/>
            <w:hideMark/>
          </w:tcPr>
          <w:p w14:paraId="2AC74CF1"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w:t>
            </w:r>
          </w:p>
        </w:tc>
        <w:tc>
          <w:tcPr>
            <w:tcW w:w="70" w:type="pct"/>
            <w:tcBorders>
              <w:top w:val="nil"/>
              <w:left w:val="nil"/>
              <w:bottom w:val="single" w:sz="4" w:space="0" w:color="293F5B"/>
              <w:right w:val="nil"/>
            </w:tcBorders>
            <w:shd w:val="clear" w:color="000000" w:fill="FFFFFF"/>
            <w:noWrap/>
            <w:vAlign w:val="center"/>
            <w:hideMark/>
          </w:tcPr>
          <w:p w14:paraId="3ADF87B4" w14:textId="77777777" w:rsidR="00276896" w:rsidRPr="00FF1D21" w:rsidRDefault="00276896" w:rsidP="00276896">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10" w:type="pct"/>
            <w:tcBorders>
              <w:top w:val="nil"/>
              <w:left w:val="nil"/>
              <w:bottom w:val="single" w:sz="4" w:space="0" w:color="293F5B"/>
              <w:right w:val="nil"/>
            </w:tcBorders>
            <w:shd w:val="clear" w:color="000000" w:fill="FFFFFF"/>
            <w:noWrap/>
            <w:vAlign w:val="center"/>
            <w:hideMark/>
          </w:tcPr>
          <w:p w14:paraId="2C65C92D" w14:textId="77777777" w:rsidR="00276896" w:rsidRPr="00205DD5" w:rsidRDefault="00276896" w:rsidP="00276896">
            <w:pPr>
              <w:spacing w:before="0" w:after="0" w:line="240" w:lineRule="auto"/>
              <w:jc w:val="right"/>
              <w:rPr>
                <w:rFonts w:ascii="Arial" w:hAnsi="Arial" w:cs="Arial"/>
                <w:sz w:val="16"/>
                <w:szCs w:val="16"/>
              </w:rPr>
            </w:pPr>
            <w:r w:rsidRPr="00205DD5">
              <w:rPr>
                <w:rFonts w:ascii="Arial" w:hAnsi="Arial" w:cs="Arial"/>
                <w:sz w:val="16"/>
                <w:szCs w:val="16"/>
              </w:rPr>
              <w:t> </w:t>
            </w:r>
          </w:p>
        </w:tc>
      </w:tr>
    </w:tbl>
    <w:p w14:paraId="029C6924" w14:textId="6C58F24A" w:rsidR="0025306B" w:rsidRPr="00205DD5" w:rsidRDefault="0025306B" w:rsidP="00B862B7">
      <w:pPr>
        <w:pStyle w:val="ChartandTableFootnoteAlpha"/>
        <w:numPr>
          <w:ilvl w:val="0"/>
          <w:numId w:val="9"/>
        </w:numPr>
        <w:rPr>
          <w:rFonts w:eastAsiaTheme="minorHAnsi"/>
          <w:color w:val="auto"/>
        </w:rPr>
      </w:pPr>
      <w:r w:rsidRPr="00205DD5">
        <w:rPr>
          <w:rFonts w:eastAsiaTheme="minorHAnsi"/>
          <w:color w:val="auto"/>
        </w:rPr>
        <w:t>Excludes secondary impacts on public debt interest of policy decisions and offsets from the Contingency Reserve for decisions taken.</w:t>
      </w:r>
    </w:p>
    <w:p w14:paraId="312CD0DE" w14:textId="672A1CE3" w:rsidR="00FF4BDD" w:rsidRPr="00DA2FB5" w:rsidRDefault="0025306B" w:rsidP="00B862B7">
      <w:pPr>
        <w:pStyle w:val="ChartandTableFootnoteAlpha"/>
        <w:numPr>
          <w:ilvl w:val="0"/>
          <w:numId w:val="9"/>
        </w:numPr>
        <w:rPr>
          <w:rFonts w:eastAsiaTheme="minorHAnsi"/>
        </w:rPr>
      </w:pPr>
      <w:r w:rsidRPr="00205DD5">
        <w:rPr>
          <w:rFonts w:eastAsiaTheme="minorHAnsi"/>
          <w:color w:val="auto"/>
        </w:rPr>
        <w:t>A positive number for receipts improves the underlying cash balance, while a positive number for payments worsens the underlying cash balance.</w:t>
      </w:r>
    </w:p>
    <w:bookmarkEnd w:id="13"/>
    <w:bookmarkEnd w:id="14"/>
    <w:p w14:paraId="2E564977" w14:textId="77777777" w:rsidR="00D63C70" w:rsidRPr="00DF3DF1" w:rsidRDefault="00D63C70" w:rsidP="0052771A">
      <w:pPr>
        <w:pStyle w:val="TableLine"/>
        <w:rPr>
          <w:rFonts w:eastAsiaTheme="minorHAnsi"/>
        </w:rPr>
      </w:pPr>
    </w:p>
    <w:p w14:paraId="3F4D315F" w14:textId="36BC0C21" w:rsidR="00D63C70" w:rsidRPr="00205DD5" w:rsidRDefault="00D63C70" w:rsidP="00D63C70">
      <w:pPr>
        <w:pStyle w:val="Heading3"/>
      </w:pPr>
      <w:r w:rsidRPr="00205DD5">
        <w:t>Primary balance estimates</w:t>
      </w:r>
    </w:p>
    <w:p w14:paraId="0F6BECDF" w14:textId="2276DF3B" w:rsidR="00D63C70" w:rsidRPr="00205DD5" w:rsidRDefault="00D63C70" w:rsidP="00D63C70">
      <w:r w:rsidRPr="00205DD5">
        <w:t xml:space="preserve">The primary cash balance adjusts the underlying cash balance to exclude interest payments and interest receipts (as these are largely outside government control in the short term). </w:t>
      </w:r>
    </w:p>
    <w:p w14:paraId="3A6AD4F2" w14:textId="590F3047" w:rsidR="00D63C70" w:rsidRPr="0058018F" w:rsidRDefault="00D63C70" w:rsidP="00FF7DB6">
      <w:r w:rsidRPr="00205DD5">
        <w:t xml:space="preserve">The primary balance is expected to be a </w:t>
      </w:r>
      <w:r w:rsidR="00860DF0" w:rsidRPr="00205DD5">
        <w:t>deficit</w:t>
      </w:r>
      <w:r w:rsidRPr="00205DD5">
        <w:t xml:space="preserve"> of $</w:t>
      </w:r>
      <w:r w:rsidR="008E7EDD" w:rsidRPr="00205DD5">
        <w:t>12.3</w:t>
      </w:r>
      <w:r w:rsidRPr="00205DD5">
        <w:t> billion (</w:t>
      </w:r>
      <w:r w:rsidR="00D27FF9" w:rsidRPr="00205DD5">
        <w:t>0.4</w:t>
      </w:r>
      <w:r w:rsidRPr="00205DD5">
        <w:t> per cent of GDP) in 202</w:t>
      </w:r>
      <w:r w:rsidR="00BF3836" w:rsidRPr="00205DD5">
        <w:t>4</w:t>
      </w:r>
      <w:r w:rsidR="002B0849" w:rsidRPr="00205DD5">
        <w:rPr>
          <w:rFonts w:ascii="Times New Roman" w:hAnsi="Times New Roman"/>
        </w:rPr>
        <w:t>‍</w:t>
      </w:r>
      <w:r w:rsidR="004A67C8" w:rsidRPr="00205DD5">
        <w:t>–</w:t>
      </w:r>
      <w:r w:rsidR="002B0849" w:rsidRPr="00205DD5">
        <w:rPr>
          <w:rFonts w:ascii="Times New Roman" w:hAnsi="Times New Roman"/>
        </w:rPr>
        <w:t>‍</w:t>
      </w:r>
      <w:r w:rsidRPr="00205DD5">
        <w:t>2</w:t>
      </w:r>
      <w:r w:rsidR="00BF3836" w:rsidRPr="00205DD5">
        <w:t>5</w:t>
      </w:r>
      <w:r w:rsidRPr="00205DD5">
        <w:t xml:space="preserve">. Since the Budget, the primary balance has </w:t>
      </w:r>
      <w:r w:rsidR="000137FD" w:rsidRPr="00205DD5">
        <w:t>improved</w:t>
      </w:r>
      <w:r w:rsidRPr="00205DD5">
        <w:t xml:space="preserve"> by $</w:t>
      </w:r>
      <w:r w:rsidR="009F3FEE" w:rsidRPr="00205DD5">
        <w:t>1.4</w:t>
      </w:r>
      <w:r w:rsidR="00BF3836" w:rsidRPr="00205DD5">
        <w:t> </w:t>
      </w:r>
      <w:r w:rsidRPr="00205DD5">
        <w:t>billion in 202</w:t>
      </w:r>
      <w:r w:rsidR="00BF3836" w:rsidRPr="00205DD5">
        <w:t>4</w:t>
      </w:r>
      <w:r w:rsidRPr="00205DD5">
        <w:t>–2</w:t>
      </w:r>
      <w:r w:rsidR="00BF3836" w:rsidRPr="00205DD5">
        <w:t>5</w:t>
      </w:r>
      <w:r w:rsidRPr="00205DD5">
        <w:t xml:space="preserve"> and </w:t>
      </w:r>
      <w:r w:rsidR="00677B17" w:rsidRPr="00205DD5">
        <w:t xml:space="preserve">deteriorated by </w:t>
      </w:r>
      <w:r w:rsidRPr="00205DD5">
        <w:t>$</w:t>
      </w:r>
      <w:r w:rsidR="00A04430" w:rsidRPr="00205DD5">
        <w:t>19.7</w:t>
      </w:r>
      <w:r w:rsidRPr="00205DD5">
        <w:t> billion over</w:t>
      </w:r>
      <w:r w:rsidR="00337E77" w:rsidRPr="00205DD5">
        <w:t xml:space="preserve"> </w:t>
      </w:r>
      <w:r w:rsidRPr="00205DD5">
        <w:t>four years to 202</w:t>
      </w:r>
      <w:r w:rsidR="00BF3836" w:rsidRPr="00205DD5">
        <w:t>7</w:t>
      </w:r>
      <w:r w:rsidRPr="00205DD5">
        <w:t>–2</w:t>
      </w:r>
      <w:r w:rsidR="00BF3836" w:rsidRPr="00205DD5">
        <w:t>8</w:t>
      </w:r>
      <w:r w:rsidRPr="00205DD5">
        <w:t>.</w:t>
      </w:r>
      <w:r w:rsidRPr="00CA5B40">
        <w:t xml:space="preserve"> </w:t>
      </w:r>
    </w:p>
    <w:p w14:paraId="45741F44" w14:textId="77777777" w:rsidR="00D63C70" w:rsidRDefault="00D63C70" w:rsidP="00D63C70">
      <w:pPr>
        <w:spacing w:before="0" w:after="160" w:line="259" w:lineRule="auto"/>
      </w:pPr>
      <w:bookmarkStart w:id="15" w:name="_Toc148428066"/>
      <w:r>
        <w:br w:type="page"/>
      </w:r>
    </w:p>
    <w:p w14:paraId="2AF0C61C" w14:textId="05D50AE2" w:rsidR="00D63C70" w:rsidRPr="00205DD5" w:rsidRDefault="00D63C70" w:rsidP="00D63C70">
      <w:pPr>
        <w:pStyle w:val="Heading3"/>
      </w:pPr>
      <w:r w:rsidRPr="00205DD5">
        <w:lastRenderedPageBreak/>
        <w:t>Medium</w:t>
      </w:r>
      <w:r w:rsidR="00571025">
        <w:t>-</w:t>
      </w:r>
      <w:r w:rsidRPr="00205DD5">
        <w:t>term projections</w:t>
      </w:r>
      <w:bookmarkEnd w:id="15"/>
    </w:p>
    <w:p w14:paraId="71ECF909" w14:textId="47FB52E7" w:rsidR="00D63C70" w:rsidRPr="00205DD5" w:rsidRDefault="00D63C70" w:rsidP="00D63C70">
      <w:r w:rsidRPr="00205DD5">
        <w:t>The medium</w:t>
      </w:r>
      <w:r w:rsidRPr="00205DD5">
        <w:noBreakHyphen/>
        <w:t xml:space="preserve">term fiscal outlook is </w:t>
      </w:r>
      <w:r w:rsidRPr="00205DD5" w:rsidDel="00CD42D8">
        <w:t>broadly unchanged</w:t>
      </w:r>
      <w:r w:rsidRPr="00205DD5">
        <w:t xml:space="preserve"> since the 202</w:t>
      </w:r>
      <w:r w:rsidR="00B852DE" w:rsidRPr="00205DD5">
        <w:t>4</w:t>
      </w:r>
      <w:r w:rsidRPr="00205DD5">
        <w:t>–2</w:t>
      </w:r>
      <w:r w:rsidR="00B852DE" w:rsidRPr="00205DD5">
        <w:t>5</w:t>
      </w:r>
      <w:r w:rsidRPr="00205DD5">
        <w:t xml:space="preserve"> Budget</w:t>
      </w:r>
      <w:r w:rsidR="007B6E75" w:rsidRPr="00205DD5">
        <w:t xml:space="preserve"> with</w:t>
      </w:r>
      <w:r w:rsidRPr="00205DD5">
        <w:t xml:space="preserve"> spending pressures and higher borrowing costs </w:t>
      </w:r>
      <w:r w:rsidR="007B6E75" w:rsidRPr="00205DD5">
        <w:t>offsetting</w:t>
      </w:r>
      <w:r w:rsidRPr="00205DD5">
        <w:t xml:space="preserve"> improvement</w:t>
      </w:r>
      <w:r w:rsidR="007B6E75" w:rsidRPr="00205DD5">
        <w:t>s in receipts</w:t>
      </w:r>
      <w:r w:rsidRPr="00205DD5">
        <w:t xml:space="preserve">. </w:t>
      </w:r>
    </w:p>
    <w:p w14:paraId="2B1AB872" w14:textId="348F108B" w:rsidR="00D63C70" w:rsidRPr="00205DD5" w:rsidRDefault="00D63C70" w:rsidP="00D63C70">
      <w:pPr>
        <w:pStyle w:val="Bullet"/>
        <w:numPr>
          <w:ilvl w:val="0"/>
          <w:numId w:val="3"/>
        </w:numPr>
        <w:tabs>
          <w:tab w:val="clear" w:pos="283"/>
          <w:tab w:val="num" w:pos="2976"/>
        </w:tabs>
        <w:ind w:left="284" w:hanging="284"/>
      </w:pPr>
      <w:r w:rsidRPr="00205DD5">
        <w:t>The </w:t>
      </w:r>
      <w:r w:rsidR="000564C2" w:rsidRPr="00205DD5">
        <w:t>underlying cash balance</w:t>
      </w:r>
      <w:r w:rsidR="009505F2" w:rsidRPr="00205DD5">
        <w:t xml:space="preserve"> </w:t>
      </w:r>
      <w:r w:rsidR="00743C86" w:rsidRPr="00205DD5">
        <w:t xml:space="preserve">returns to balance </w:t>
      </w:r>
      <w:r w:rsidR="00805EB6" w:rsidRPr="00205DD5">
        <w:t>(0.1</w:t>
      </w:r>
      <w:r w:rsidR="0029069E" w:rsidRPr="00205DD5">
        <w:t xml:space="preserve"> percentage point of GDP surplus) </w:t>
      </w:r>
      <w:r w:rsidR="00743C86" w:rsidRPr="00205DD5">
        <w:t xml:space="preserve">by </w:t>
      </w:r>
      <w:r w:rsidRPr="00205DD5">
        <w:t>203</w:t>
      </w:r>
      <w:r w:rsidR="00B852DE" w:rsidRPr="00205DD5">
        <w:t>4</w:t>
      </w:r>
      <w:r w:rsidRPr="00205DD5" w:rsidDel="001E062C">
        <w:t>–</w:t>
      </w:r>
      <w:r w:rsidRPr="00205DD5">
        <w:t>3</w:t>
      </w:r>
      <w:r w:rsidR="00B852DE" w:rsidRPr="00205DD5">
        <w:t>5</w:t>
      </w:r>
      <w:r w:rsidRPr="00205DD5">
        <w:t xml:space="preserve">, </w:t>
      </w:r>
      <w:r w:rsidR="004E0745" w:rsidRPr="00205DD5">
        <w:t xml:space="preserve">a </w:t>
      </w:r>
      <w:r w:rsidR="00D868DE" w:rsidRPr="00205DD5">
        <w:t>0.1</w:t>
      </w:r>
      <w:r w:rsidRPr="00205DD5">
        <w:t xml:space="preserve"> percentage point</w:t>
      </w:r>
      <w:r w:rsidR="004E0745" w:rsidRPr="00205DD5">
        <w:t xml:space="preserve"> of GDP improvement compared to</w:t>
      </w:r>
      <w:r w:rsidRPr="00205DD5">
        <w:t xml:space="preserve"> Budget (Chart</w:t>
      </w:r>
      <w:r w:rsidR="0052771A" w:rsidRPr="00205DD5">
        <w:t> </w:t>
      </w:r>
      <w:r w:rsidRPr="00205DD5">
        <w:t>3.</w:t>
      </w:r>
      <w:r w:rsidR="00380E89" w:rsidRPr="00205DD5">
        <w:t>2</w:t>
      </w:r>
      <w:r w:rsidRPr="00205DD5">
        <w:t>).</w:t>
      </w:r>
      <w:r w:rsidR="005B1D27" w:rsidRPr="00205DD5">
        <w:t xml:space="preserve"> Compared to</w:t>
      </w:r>
      <w:r w:rsidR="00E2528C" w:rsidRPr="00205DD5">
        <w:t xml:space="preserve"> the</w:t>
      </w:r>
      <w:r w:rsidR="00C302B7" w:rsidRPr="00205DD5">
        <w:t xml:space="preserve"> PEFO, the underlying cash balance has improved by a cumulative </w:t>
      </w:r>
      <w:r w:rsidR="00F50411" w:rsidRPr="00205DD5">
        <w:t>$</w:t>
      </w:r>
      <w:r w:rsidR="00F866F4" w:rsidRPr="00205DD5">
        <w:t>231</w:t>
      </w:r>
      <w:r w:rsidR="00C302B7" w:rsidRPr="00205DD5">
        <w:t xml:space="preserve"> billion over the </w:t>
      </w:r>
      <w:r w:rsidR="00811614" w:rsidRPr="00205DD5">
        <w:t xml:space="preserve">11 </w:t>
      </w:r>
      <w:r w:rsidR="00C302B7" w:rsidRPr="00205DD5">
        <w:t xml:space="preserve">years to </w:t>
      </w:r>
      <w:r w:rsidR="00430740" w:rsidRPr="00205DD5">
        <w:t>2032</w:t>
      </w:r>
      <w:r w:rsidR="00C302B7" w:rsidRPr="00205DD5">
        <w:t>–</w:t>
      </w:r>
      <w:r w:rsidR="00430740" w:rsidRPr="00205DD5">
        <w:t>33</w:t>
      </w:r>
      <w:r w:rsidR="00C302B7" w:rsidRPr="00205DD5">
        <w:t>.</w:t>
      </w:r>
    </w:p>
    <w:p w14:paraId="3B22AFBA" w14:textId="7A40280C" w:rsidR="00D63C70" w:rsidRPr="00205DD5" w:rsidRDefault="00D63C70" w:rsidP="00D63C70">
      <w:pPr>
        <w:pStyle w:val="Bullet"/>
        <w:numPr>
          <w:ilvl w:val="0"/>
          <w:numId w:val="3"/>
        </w:numPr>
        <w:tabs>
          <w:tab w:val="clear" w:pos="283"/>
          <w:tab w:val="num" w:pos="2976"/>
        </w:tabs>
        <w:ind w:left="284" w:hanging="284"/>
      </w:pPr>
      <w:r w:rsidRPr="00205DD5">
        <w:t xml:space="preserve">The primary </w:t>
      </w:r>
      <w:r w:rsidR="003A62CF" w:rsidRPr="00205DD5">
        <w:t xml:space="preserve">cash </w:t>
      </w:r>
      <w:r w:rsidRPr="00205DD5">
        <w:t xml:space="preserve">balance is projected to reach a surplus of </w:t>
      </w:r>
      <w:r w:rsidR="00263E43" w:rsidRPr="00205DD5">
        <w:t>1.2</w:t>
      </w:r>
      <w:r w:rsidRPr="00205DD5">
        <w:t xml:space="preserve"> per cent of GDP in </w:t>
      </w:r>
      <w:r w:rsidR="003521A6" w:rsidRPr="00205DD5">
        <w:br/>
      </w:r>
      <w:r w:rsidRPr="00205DD5">
        <w:t>203</w:t>
      </w:r>
      <w:r w:rsidR="00E04B90" w:rsidRPr="00205DD5">
        <w:t>4</w:t>
      </w:r>
      <w:r w:rsidRPr="00205DD5">
        <w:t>–3</w:t>
      </w:r>
      <w:r w:rsidR="00E04B90" w:rsidRPr="00205DD5">
        <w:t>5</w:t>
      </w:r>
      <w:r w:rsidRPr="00205DD5">
        <w:t xml:space="preserve">, </w:t>
      </w:r>
      <w:r w:rsidR="00141A21" w:rsidRPr="00205DD5">
        <w:t>0.2</w:t>
      </w:r>
      <w:r w:rsidRPr="00205DD5">
        <w:t xml:space="preserve"> percentage points </w:t>
      </w:r>
      <w:r w:rsidR="00141A21" w:rsidRPr="00205DD5">
        <w:t>l</w:t>
      </w:r>
      <w:r w:rsidRPr="00205DD5">
        <w:t>arger than projected at the 202</w:t>
      </w:r>
      <w:r w:rsidR="00E04B90" w:rsidRPr="00205DD5">
        <w:t>4</w:t>
      </w:r>
      <w:r w:rsidRPr="00205DD5">
        <w:t>–2</w:t>
      </w:r>
      <w:r w:rsidR="00E04B90" w:rsidRPr="00205DD5">
        <w:t>5</w:t>
      </w:r>
      <w:r w:rsidRPr="00205DD5">
        <w:t xml:space="preserve"> Budget (Chart 3.</w:t>
      </w:r>
      <w:r w:rsidR="006F0F20" w:rsidRPr="00205DD5">
        <w:t>3</w:t>
      </w:r>
      <w:r w:rsidRPr="00205DD5">
        <w:t>).</w:t>
      </w:r>
    </w:p>
    <w:p w14:paraId="3CBC42E5" w14:textId="495CBD40" w:rsidR="00D63C70" w:rsidRPr="00CC68BC" w:rsidRDefault="00D63C70" w:rsidP="00D63C70">
      <w:pPr>
        <w:pStyle w:val="Bullet"/>
        <w:numPr>
          <w:ilvl w:val="0"/>
          <w:numId w:val="3"/>
        </w:numPr>
        <w:ind w:left="284" w:hanging="284"/>
      </w:pPr>
      <w:r w:rsidRPr="00205DD5">
        <w:t>Gross debt</w:t>
      </w:r>
      <w:r w:rsidRPr="00205DD5">
        <w:noBreakHyphen/>
        <w:t>to</w:t>
      </w:r>
      <w:r w:rsidRPr="00205DD5">
        <w:noBreakHyphen/>
        <w:t xml:space="preserve">GDP is </w:t>
      </w:r>
      <w:r w:rsidR="00EE4017" w:rsidRPr="00205DD5">
        <w:t>higher</w:t>
      </w:r>
      <w:r w:rsidRPr="00205DD5">
        <w:t xml:space="preserve"> across the projection period compared to the 202</w:t>
      </w:r>
      <w:r w:rsidR="00F07896" w:rsidRPr="00205DD5">
        <w:t>4</w:t>
      </w:r>
      <w:r w:rsidRPr="00205DD5">
        <w:t>–</w:t>
      </w:r>
      <w:r w:rsidR="00797BE1">
        <w:t>‍</w:t>
      </w:r>
      <w:r w:rsidRPr="00205DD5">
        <w:t>2</w:t>
      </w:r>
      <w:r w:rsidR="00F07896" w:rsidRPr="00205DD5">
        <w:t>5</w:t>
      </w:r>
      <w:r w:rsidR="000336EB">
        <w:t> </w:t>
      </w:r>
      <w:r w:rsidRPr="00205DD5">
        <w:t>Budget. By </w:t>
      </w:r>
      <w:r w:rsidR="00452B90" w:rsidRPr="00205DD5">
        <w:t>30 June 20</w:t>
      </w:r>
      <w:r w:rsidRPr="00205DD5">
        <w:t>3</w:t>
      </w:r>
      <w:r w:rsidR="00F07896" w:rsidRPr="00205DD5">
        <w:t>5</w:t>
      </w:r>
      <w:r w:rsidRPr="00205DD5">
        <w:t xml:space="preserve">, gross debt is </w:t>
      </w:r>
      <w:r w:rsidR="005B4ECB" w:rsidRPr="00205DD5">
        <w:t>31.4</w:t>
      </w:r>
      <w:r w:rsidR="00D35AB9" w:rsidRPr="00205DD5">
        <w:t> </w:t>
      </w:r>
      <w:r w:rsidRPr="00205DD5">
        <w:t>per</w:t>
      </w:r>
      <w:r w:rsidR="00D35AB9" w:rsidRPr="00205DD5">
        <w:t> </w:t>
      </w:r>
      <w:r w:rsidRPr="00205DD5">
        <w:t xml:space="preserve">cent of GDP, </w:t>
      </w:r>
      <w:r w:rsidR="00D35A04" w:rsidRPr="00205DD5">
        <w:t>1.2</w:t>
      </w:r>
      <w:r w:rsidRPr="00205DD5">
        <w:t xml:space="preserve"> percentage points </w:t>
      </w:r>
      <w:r w:rsidR="00EE4017" w:rsidRPr="00205DD5">
        <w:t>higher</w:t>
      </w:r>
      <w:r w:rsidRPr="00205DD5">
        <w:t xml:space="preserve"> than projected at the 202</w:t>
      </w:r>
      <w:r w:rsidR="00F07896" w:rsidRPr="00205DD5">
        <w:t>4</w:t>
      </w:r>
      <w:r w:rsidRPr="00205DD5">
        <w:t>–</w:t>
      </w:r>
      <w:r w:rsidRPr="00205DD5">
        <w:rPr>
          <w:rFonts w:ascii="Times New Roman" w:hAnsi="Times New Roman" w:hint="eastAsia"/>
        </w:rPr>
        <w:t>‍</w:t>
      </w:r>
      <w:r w:rsidRPr="00205DD5">
        <w:rPr>
          <w:rFonts w:ascii="Times New Roman" w:hAnsi="Times New Roman"/>
        </w:rPr>
        <w:t>‍</w:t>
      </w:r>
      <w:r w:rsidRPr="00205DD5">
        <w:t>2</w:t>
      </w:r>
      <w:r w:rsidR="00F07896" w:rsidRPr="00205DD5">
        <w:t>5</w:t>
      </w:r>
      <w:r w:rsidRPr="00205DD5">
        <w:t xml:space="preserve"> Budget</w:t>
      </w:r>
      <w:r w:rsidR="00A63C0E" w:rsidRPr="00205DD5">
        <w:t xml:space="preserve"> (Chart 3.4)</w:t>
      </w:r>
      <w:r w:rsidRPr="00205DD5">
        <w:t>.</w:t>
      </w:r>
      <w:r w:rsidR="009E4D4E" w:rsidRPr="00205DD5">
        <w:t xml:space="preserve"> Compared to</w:t>
      </w:r>
      <w:r w:rsidR="00E2528C" w:rsidRPr="00205DD5">
        <w:t xml:space="preserve"> the</w:t>
      </w:r>
      <w:r w:rsidR="009E4D4E" w:rsidRPr="00205DD5">
        <w:t xml:space="preserve"> PEFO, </w:t>
      </w:r>
      <w:r w:rsidR="00E304C8" w:rsidRPr="00205DD5">
        <w:t xml:space="preserve">gross </w:t>
      </w:r>
      <w:r w:rsidR="009E4D4E" w:rsidRPr="00205DD5">
        <w:t xml:space="preserve">debt is lower every year of the projection period. </w:t>
      </w:r>
      <w:proofErr w:type="gramStart"/>
      <w:r w:rsidR="009E4D4E" w:rsidRPr="00205DD5">
        <w:t>At</w:t>
      </w:r>
      <w:proofErr w:type="gramEnd"/>
      <w:r w:rsidR="009E4D4E" w:rsidRPr="00205DD5">
        <w:t xml:space="preserve"> 30 June</w:t>
      </w:r>
      <w:r w:rsidR="00DA39BC" w:rsidRPr="00205DD5">
        <w:t> </w:t>
      </w:r>
      <w:r w:rsidR="009E4D4E" w:rsidRPr="00205DD5">
        <w:t>20</w:t>
      </w:r>
      <w:r w:rsidR="005C53B8" w:rsidRPr="00205DD5">
        <w:t>33</w:t>
      </w:r>
      <w:r w:rsidR="009E4D4E" w:rsidRPr="00205DD5">
        <w:t>, gross debt is projected to be $</w:t>
      </w:r>
      <w:r w:rsidR="007B3CA9" w:rsidRPr="00205DD5">
        <w:t>113</w:t>
      </w:r>
      <w:r w:rsidR="009E4D4E" w:rsidRPr="00205DD5">
        <w:t> billion (</w:t>
      </w:r>
      <w:r w:rsidR="008E2C01" w:rsidRPr="00205DD5">
        <w:t>6.1</w:t>
      </w:r>
      <w:r w:rsidR="009E4D4E" w:rsidRPr="00205DD5">
        <w:t xml:space="preserve"> percentage points of GDP) lower than at </w:t>
      </w:r>
      <w:r w:rsidR="00E2528C" w:rsidRPr="00205DD5">
        <w:t>the</w:t>
      </w:r>
      <w:r w:rsidR="009E4D4E" w:rsidRPr="00205DD5">
        <w:t xml:space="preserve"> PEFO.</w:t>
      </w:r>
      <w:r w:rsidR="009E4D4E" w:rsidRPr="00CC68BC">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55"/>
        <w:gridCol w:w="3855"/>
      </w:tblGrid>
      <w:tr w:rsidR="00D63C70" w:rsidRPr="001D7A0A" w14:paraId="48A2178F" w14:textId="77777777" w:rsidTr="6BEA39A4">
        <w:tc>
          <w:tcPr>
            <w:tcW w:w="3855" w:type="dxa"/>
          </w:tcPr>
          <w:p w14:paraId="1D5F1A3E" w14:textId="4AA8D0BD" w:rsidR="00D63C70" w:rsidRPr="00CC68BC" w:rsidRDefault="00D63C70" w:rsidP="009019DE">
            <w:pPr>
              <w:pStyle w:val="ChartMainHeading"/>
            </w:pPr>
            <w:r w:rsidRPr="00205DD5">
              <w:t>Chart 3.</w:t>
            </w:r>
            <w:r w:rsidR="00380E89" w:rsidRPr="00205DD5">
              <w:t>2</w:t>
            </w:r>
            <w:r w:rsidRPr="00205DD5">
              <w:t>: Underlying cash balance</w:t>
            </w:r>
            <w:r w:rsidRPr="00CC68BC">
              <w:t xml:space="preserve"> </w:t>
            </w:r>
          </w:p>
        </w:tc>
        <w:tc>
          <w:tcPr>
            <w:tcW w:w="3855" w:type="dxa"/>
          </w:tcPr>
          <w:p w14:paraId="647E8833" w14:textId="361C6F34" w:rsidR="00D63C70" w:rsidRPr="00CC68BC" w:rsidRDefault="00D63C70" w:rsidP="009019DE">
            <w:pPr>
              <w:pStyle w:val="ChartMainHeading"/>
            </w:pPr>
            <w:r w:rsidRPr="00205DD5">
              <w:t>Chart 3.</w:t>
            </w:r>
            <w:r w:rsidR="00380E89" w:rsidRPr="00205DD5">
              <w:t>3</w:t>
            </w:r>
            <w:r w:rsidRPr="00205DD5">
              <w:t>: Primary cash balance</w:t>
            </w:r>
            <w:r w:rsidRPr="00CC68BC" w:rsidDel="00316E2D">
              <w:t xml:space="preserve"> </w:t>
            </w:r>
          </w:p>
          <w:p w14:paraId="653BF7E6" w14:textId="5FFA9F3F" w:rsidR="00D63C70" w:rsidRPr="00CC68BC" w:rsidRDefault="00D63C70" w:rsidP="009019DE">
            <w:pPr>
              <w:pStyle w:val="ChartGraphic"/>
            </w:pPr>
          </w:p>
        </w:tc>
      </w:tr>
      <w:tr w:rsidR="00D63C70" w:rsidRPr="001D7A0A" w14:paraId="39B00FC9" w14:textId="77777777" w:rsidTr="6BEA39A4">
        <w:tblPrEx>
          <w:tblCellMar>
            <w:left w:w="108" w:type="dxa"/>
          </w:tblCellMar>
        </w:tblPrEx>
        <w:tc>
          <w:tcPr>
            <w:tcW w:w="3855" w:type="dxa"/>
          </w:tcPr>
          <w:p w14:paraId="0D6E9D19" w14:textId="7BE36722" w:rsidR="00D63C70" w:rsidRPr="001D7A0A" w:rsidRDefault="00D63C70" w:rsidP="009019DE">
            <w:pPr>
              <w:pStyle w:val="ChartGraphic"/>
            </w:pPr>
            <w:r>
              <w:t xml:space="preserve"> </w:t>
            </w:r>
            <w:bookmarkStart w:id="16" w:name="_1795519289"/>
            <w:bookmarkEnd w:id="16"/>
            <w:r w:rsidR="00576EF9">
              <w:rPr>
                <w:noProof/>
              </w:rPr>
              <w:drawing>
                <wp:inline distT="0" distB="0" distL="0" distR="0" wp14:anchorId="788CDB21" wp14:editId="36086A51">
                  <wp:extent cx="2143760" cy="2280285"/>
                  <wp:effectExtent l="0" t="0" r="0" b="0"/>
                  <wp:docPr id="799924744" name="Picture 1" descr="This line chart shows the underlying cash balance as at the 2024-25 MYEFO and the 2024-25 Budget. The underlying cash balance is expected to be in deficit for most of the projection period, before returning to balance (0.1 percentage point of GDP surplus) by 2034–35. Compared to the 2024-25 Budget, the underlying cash balance as a share of GDP is lower between 2025-26 and 2030-31. It is broadly unchanged over the rest of the medium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line chart shows the underlying cash balance as at the 2024-25 MYEFO and the 2024-25 Budget. The underlying cash balance is expected to be in deficit for most of the projection period, before returning to balance (0.1 percentage point of GDP surplus) by 2034–35. Compared to the 2024-25 Budget, the underlying cash balance as a share of GDP is lower between 2025-26 and 2030-31. It is broadly unchanged over the rest of the medium te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2280285"/>
                          </a:xfrm>
                          <a:prstGeom prst="rect">
                            <a:avLst/>
                          </a:prstGeom>
                          <a:noFill/>
                          <a:ln>
                            <a:noFill/>
                          </a:ln>
                        </pic:spPr>
                      </pic:pic>
                    </a:graphicData>
                  </a:graphic>
                </wp:inline>
              </w:drawing>
            </w:r>
          </w:p>
        </w:tc>
        <w:tc>
          <w:tcPr>
            <w:tcW w:w="3855" w:type="dxa"/>
          </w:tcPr>
          <w:p w14:paraId="678D7AE2" w14:textId="73E06801" w:rsidR="00D63C70" w:rsidRPr="001D7A0A" w:rsidRDefault="00D63C70" w:rsidP="009019DE">
            <w:pPr>
              <w:pStyle w:val="ChartGraphic"/>
            </w:pPr>
            <w:r>
              <w:t xml:space="preserve"> </w:t>
            </w:r>
            <w:bookmarkStart w:id="17" w:name="_1795519291"/>
            <w:bookmarkEnd w:id="17"/>
            <w:r w:rsidR="00576EF9">
              <w:rPr>
                <w:noProof/>
              </w:rPr>
              <w:drawing>
                <wp:inline distT="0" distB="0" distL="0" distR="0" wp14:anchorId="6174AC65" wp14:editId="12EEF2AC">
                  <wp:extent cx="2185035" cy="2280285"/>
                  <wp:effectExtent l="0" t="0" r="0" b="0"/>
                  <wp:docPr id="1073098245" name="Picture 2" descr="This line chart shows the primary cash balance as at the 2024-25 MYEFO and the 2024-25 Budget. The primary cash balance is projected to be a deficit of 0.4 per cent of GDP in 2024-25 before progressively improving to a surplus of 1.2 per cent of GDP in 2034-35. The primary cash balance is higher than Budget from 20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is line chart shows the primary cash balance as at the 2024-25 MYEFO and the 2024-25 Budget. The primary cash balance is projected to be a deficit of 0.4 per cent of GDP in 2024-25 before progressively improving to a surplus of 1.2 per cent of GDP in 2034-35. The primary cash balance is higher than Budget from 2030-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5035" cy="2280285"/>
                          </a:xfrm>
                          <a:prstGeom prst="rect">
                            <a:avLst/>
                          </a:prstGeom>
                          <a:noFill/>
                          <a:ln>
                            <a:noFill/>
                          </a:ln>
                        </pic:spPr>
                      </pic:pic>
                    </a:graphicData>
                  </a:graphic>
                </wp:inline>
              </w:drawing>
            </w:r>
          </w:p>
        </w:tc>
      </w:tr>
      <w:tr w:rsidR="00D63C70" w:rsidRPr="001D7A0A" w14:paraId="7D45251F" w14:textId="77777777" w:rsidTr="6BEA39A4">
        <w:tc>
          <w:tcPr>
            <w:tcW w:w="3855" w:type="dxa"/>
          </w:tcPr>
          <w:p w14:paraId="325A6A23" w14:textId="20D24FAE" w:rsidR="00D63C70" w:rsidRPr="001D7A0A" w:rsidRDefault="00D63C70" w:rsidP="009019DE">
            <w:pPr>
              <w:pStyle w:val="ChartandTableFootnote"/>
              <w:rPr>
                <w:color w:val="auto"/>
              </w:rPr>
            </w:pPr>
            <w:r w:rsidRPr="00205DD5">
              <w:rPr>
                <w:color w:val="auto"/>
              </w:rPr>
              <w:t xml:space="preserve">Source: </w:t>
            </w:r>
            <w:r w:rsidRPr="00205DD5">
              <w:rPr>
                <w:color w:val="auto"/>
              </w:rPr>
              <w:tab/>
              <w:t>Treasury.</w:t>
            </w:r>
            <w:r w:rsidR="00447F2A" w:rsidRPr="00205DD5">
              <w:rPr>
                <w:color w:val="auto"/>
              </w:rPr>
              <w:t xml:space="preserve"> </w:t>
            </w:r>
          </w:p>
        </w:tc>
        <w:tc>
          <w:tcPr>
            <w:tcW w:w="3855" w:type="dxa"/>
          </w:tcPr>
          <w:p w14:paraId="51A68B91" w14:textId="0801BA15" w:rsidR="00D63C70" w:rsidRPr="001D7A0A" w:rsidRDefault="00D63C70" w:rsidP="009019DE">
            <w:pPr>
              <w:pStyle w:val="ChartandTableFootnote"/>
              <w:rPr>
                <w:color w:val="auto"/>
              </w:rPr>
            </w:pPr>
            <w:r w:rsidRPr="00205DD5">
              <w:rPr>
                <w:color w:val="auto"/>
              </w:rPr>
              <w:t xml:space="preserve">Source: </w:t>
            </w:r>
            <w:r w:rsidRPr="00205DD5">
              <w:rPr>
                <w:color w:val="auto"/>
              </w:rPr>
              <w:tab/>
              <w:t>Treasury.</w:t>
            </w:r>
            <w:r w:rsidR="00447F2A" w:rsidRPr="00205DD5">
              <w:rPr>
                <w:color w:val="auto"/>
              </w:rPr>
              <w:t xml:space="preserve"> </w:t>
            </w:r>
          </w:p>
        </w:tc>
      </w:tr>
    </w:tbl>
    <w:p w14:paraId="60AE023B" w14:textId="77777777" w:rsidR="00D63C70" w:rsidRPr="001D7A0A" w:rsidRDefault="00D63C70" w:rsidP="00D63C70">
      <w:pPr>
        <w:pStyle w:val="ChartLine"/>
      </w:pPr>
    </w:p>
    <w:p w14:paraId="3800ABD3" w14:textId="6FEAB7F4" w:rsidR="009E07B6" w:rsidRPr="0058018F" w:rsidRDefault="009E07B6" w:rsidP="009E07B6">
      <w:pPr>
        <w:pStyle w:val="ChartMainHeading"/>
      </w:pPr>
      <w:r w:rsidRPr="00205DD5">
        <w:lastRenderedPageBreak/>
        <w:t>Chart 3.</w:t>
      </w:r>
      <w:r w:rsidR="00B82FEF" w:rsidRPr="00205DD5">
        <w:t>4</w:t>
      </w:r>
      <w:r w:rsidRPr="00205DD5">
        <w:t>: Gross debt</w:t>
      </w:r>
    </w:p>
    <w:p w14:paraId="0CCCA1FC" w14:textId="351EB9D7" w:rsidR="009E07B6" w:rsidRPr="00E05F41" w:rsidRDefault="00297A33" w:rsidP="009E07B6">
      <w:pPr>
        <w:pStyle w:val="ChartGraphic"/>
      </w:pPr>
      <w:bookmarkStart w:id="18" w:name="_1795509534"/>
      <w:bookmarkStart w:id="19" w:name="_1795519293"/>
      <w:bookmarkEnd w:id="18"/>
      <w:bookmarkEnd w:id="19"/>
      <w:r>
        <w:pict w14:anchorId="711E5E90">
          <v:shape id="_x0000_i1026" type="#_x0000_t75" alt="This line chart compares projections of gross debt as a share of GDP at the 2024-25 MYEFO and the 2024-25 Budget. In the 2024-25 MYEFO, gross debt is expected to be 34.0 per cent of GDP in 2024-25 before stabilising at 36.7 per cent of GDP in 2026-27 and reducing to 31.4 per cent of GDP by the end of the medium term. At Budget, gross debt was expected to peak at 35.2 per cent of GDP in 2026-27 and decrease to 30.2 per cent by 2034-35. Gross debt as a share of GDP is projected to be higher over the entire forward estimates and medium term." style="width:368.65pt;height:198pt">
            <v:imagedata r:id="rId10" o:title=""/>
          </v:shape>
        </w:pict>
      </w:r>
      <w:r w:rsidR="009E07B6" w:rsidRPr="001C509F">
        <w:fldChar w:fldCharType="begin"/>
      </w:r>
      <w:r w:rsidR="00000000">
        <w:fldChar w:fldCharType="separate"/>
      </w:r>
      <w:r w:rsidR="009E07B6" w:rsidRPr="001C509F">
        <w:fldChar w:fldCharType="end"/>
      </w:r>
      <w:r w:rsidR="009E07B6" w:rsidRPr="001C509F">
        <w:fldChar w:fldCharType="begin"/>
      </w:r>
      <w:r w:rsidR="00000000">
        <w:fldChar w:fldCharType="separate"/>
      </w:r>
      <w:r w:rsidR="009E07B6" w:rsidRPr="001C509F">
        <w:fldChar w:fldCharType="end"/>
      </w:r>
    </w:p>
    <w:p w14:paraId="216EFC58" w14:textId="3AEFF4B8" w:rsidR="009E07B6" w:rsidRPr="00E05F41" w:rsidRDefault="009E07B6" w:rsidP="009E07B6">
      <w:pPr>
        <w:pStyle w:val="ChartandTableFootnote"/>
        <w:rPr>
          <w:color w:val="auto"/>
        </w:rPr>
      </w:pPr>
      <w:r w:rsidRPr="00205DD5">
        <w:rPr>
          <w:color w:val="auto"/>
        </w:rPr>
        <w:t xml:space="preserve">Source: </w:t>
      </w:r>
      <w:r w:rsidRPr="00205DD5">
        <w:rPr>
          <w:color w:val="auto"/>
        </w:rPr>
        <w:tab/>
        <w:t>Australian Office of Financial Management, Treasury.</w:t>
      </w:r>
      <w:r w:rsidR="00447F2A" w:rsidRPr="00205DD5">
        <w:rPr>
          <w:color w:val="auto"/>
        </w:rPr>
        <w:t xml:space="preserve"> </w:t>
      </w:r>
      <w:r w:rsidRPr="00E05F41">
        <w:rPr>
          <w:color w:val="auto"/>
        </w:rPr>
        <w:t xml:space="preserve"> </w:t>
      </w:r>
    </w:p>
    <w:p w14:paraId="39D36D7F" w14:textId="77777777" w:rsidR="009E07B6" w:rsidRPr="00E05F41" w:rsidRDefault="009E07B6" w:rsidP="009E07B6">
      <w:pPr>
        <w:pStyle w:val="ChartLine"/>
      </w:pPr>
    </w:p>
    <w:p w14:paraId="3B29D819" w14:textId="1F912F27" w:rsidR="0049257A" w:rsidRPr="00205DD5" w:rsidRDefault="0049257A" w:rsidP="0049257A">
      <w:r w:rsidRPr="00205DD5">
        <w:t>Total receipts as a share of GDP have been revised modestly upwards over the medium term compared to the 2024–</w:t>
      </w:r>
      <w:r w:rsidRPr="00205DD5">
        <w:rPr>
          <w:rFonts w:ascii="Times New Roman" w:hAnsi="Times New Roman"/>
        </w:rPr>
        <w:t>‍</w:t>
      </w:r>
      <w:r w:rsidRPr="00205DD5">
        <w:t xml:space="preserve">25 Budget projections. Total receipts are projected to be </w:t>
      </w:r>
      <w:r w:rsidR="00693758" w:rsidRPr="00205DD5">
        <w:t>25.</w:t>
      </w:r>
      <w:r w:rsidR="00F15379" w:rsidRPr="00205DD5">
        <w:t>4</w:t>
      </w:r>
      <w:r w:rsidRPr="00205DD5">
        <w:t xml:space="preserve"> per cent of GDP in 2027–28 and then </w:t>
      </w:r>
      <w:r w:rsidR="00604721" w:rsidRPr="00205DD5">
        <w:t>26.</w:t>
      </w:r>
      <w:r w:rsidR="003E4778" w:rsidRPr="00205DD5">
        <w:t>8</w:t>
      </w:r>
      <w:r w:rsidRPr="00205DD5">
        <w:t xml:space="preserve"> per cent of GDP by 2034–35. </w:t>
      </w:r>
    </w:p>
    <w:p w14:paraId="46FF7711" w14:textId="54A6D6F4" w:rsidR="00D63C70" w:rsidRPr="00A93A32" w:rsidRDefault="00D63C70" w:rsidP="00D63C70">
      <w:pPr>
        <w:rPr>
          <w:color w:val="BFBFBF" w:themeColor="background1" w:themeShade="BF"/>
        </w:rPr>
      </w:pPr>
      <w:r w:rsidRPr="00205DD5">
        <w:t xml:space="preserve">Payments are projected to grow from </w:t>
      </w:r>
      <w:r w:rsidR="003A51BE" w:rsidRPr="00205DD5">
        <w:t>26.4</w:t>
      </w:r>
      <w:r w:rsidR="00C6637B" w:rsidRPr="00205DD5">
        <w:t xml:space="preserve"> </w:t>
      </w:r>
      <w:r w:rsidRPr="00205DD5">
        <w:t>per cent of GDP in 202</w:t>
      </w:r>
      <w:r w:rsidR="00C6637B" w:rsidRPr="00205DD5">
        <w:t>7</w:t>
      </w:r>
      <w:r w:rsidRPr="00205DD5">
        <w:t>–2</w:t>
      </w:r>
      <w:r w:rsidR="00C6637B" w:rsidRPr="00205DD5">
        <w:t>8</w:t>
      </w:r>
      <w:r w:rsidRPr="00205DD5">
        <w:t xml:space="preserve"> to </w:t>
      </w:r>
      <w:r w:rsidR="00D40137" w:rsidRPr="00205DD5">
        <w:t>26.7</w:t>
      </w:r>
      <w:r w:rsidRPr="00205DD5">
        <w:t> per cent of GDP in 203</w:t>
      </w:r>
      <w:r w:rsidR="00C6637B" w:rsidRPr="00205DD5">
        <w:t>4</w:t>
      </w:r>
      <w:r w:rsidRPr="00205DD5">
        <w:t>–3</w:t>
      </w:r>
      <w:r w:rsidR="00C6637B" w:rsidRPr="00205DD5">
        <w:t>5</w:t>
      </w:r>
      <w:r w:rsidR="00CB6015" w:rsidRPr="00205DD5">
        <w:t xml:space="preserve"> (Chart 3.</w:t>
      </w:r>
      <w:r w:rsidR="00B82FEF" w:rsidRPr="00205DD5">
        <w:t>5</w:t>
      </w:r>
      <w:r w:rsidR="00CB6015" w:rsidRPr="00205DD5">
        <w:t>)</w:t>
      </w:r>
      <w:r w:rsidR="00180474" w:rsidRPr="00205DD5">
        <w:t xml:space="preserve">. This is higher than the </w:t>
      </w:r>
      <w:r w:rsidRPr="00205DD5">
        <w:t>202</w:t>
      </w:r>
      <w:r w:rsidR="00C6637B" w:rsidRPr="00205DD5">
        <w:t>4</w:t>
      </w:r>
      <w:r w:rsidRPr="00205DD5">
        <w:t>–2</w:t>
      </w:r>
      <w:r w:rsidR="00C6637B" w:rsidRPr="00205DD5">
        <w:t>5</w:t>
      </w:r>
      <w:r w:rsidRPr="00205DD5">
        <w:t xml:space="preserve"> Budget </w:t>
      </w:r>
      <w:r w:rsidR="00CB6015" w:rsidRPr="00205DD5">
        <w:t>projection of 26.3</w:t>
      </w:r>
      <w:r w:rsidR="00566527" w:rsidRPr="00205DD5">
        <w:t> </w:t>
      </w:r>
      <w:r w:rsidR="00CB6015" w:rsidRPr="00205DD5">
        <w:t>per</w:t>
      </w:r>
      <w:r w:rsidR="00566527" w:rsidRPr="00205DD5">
        <w:t> </w:t>
      </w:r>
      <w:r w:rsidR="00CB6015" w:rsidRPr="00205DD5">
        <w:t>cent of GDP in 2034</w:t>
      </w:r>
      <w:r w:rsidR="004A67C8" w:rsidRPr="00205DD5">
        <w:t>–</w:t>
      </w:r>
      <w:r w:rsidR="00CB6015" w:rsidRPr="00205DD5">
        <w:t>35</w:t>
      </w:r>
      <w:r w:rsidRPr="00205DD5">
        <w:t>.</w:t>
      </w:r>
      <w:r w:rsidRPr="00CC68BC">
        <w:t xml:space="preserve"> </w:t>
      </w:r>
    </w:p>
    <w:p w14:paraId="5187B16C" w14:textId="1FCE9E97" w:rsidR="00D63C70" w:rsidRPr="0058018F" w:rsidRDefault="00D63C70" w:rsidP="00D63C70">
      <w:pPr>
        <w:pStyle w:val="ChartMainHeading"/>
      </w:pPr>
      <w:r w:rsidRPr="00205DD5">
        <w:t>Chart 3.</w:t>
      </w:r>
      <w:r w:rsidR="00B82FEF" w:rsidRPr="00205DD5">
        <w:t>5</w:t>
      </w:r>
      <w:r w:rsidRPr="00205DD5">
        <w:t>: Payments and receipts</w:t>
      </w:r>
    </w:p>
    <w:p w14:paraId="1501FA75" w14:textId="3F17FEC9" w:rsidR="00A2567C" w:rsidRPr="00A2567C" w:rsidRDefault="00297A33" w:rsidP="00861740">
      <w:pPr>
        <w:pStyle w:val="ChartGraphic"/>
      </w:pPr>
      <w:bookmarkStart w:id="20" w:name="_1795370876"/>
      <w:bookmarkStart w:id="21" w:name="_1795515727"/>
      <w:bookmarkStart w:id="22" w:name="_1795519295"/>
      <w:bookmarkEnd w:id="20"/>
      <w:bookmarkEnd w:id="21"/>
      <w:bookmarkEnd w:id="22"/>
      <w:r>
        <w:pict w14:anchorId="3D8554EE">
          <v:shape id="_x0000_i1027" type="#_x0000_t75" alt="This line chart shows projections for total payments and receipts as a share of GDP. Historically receipts and payments have typically varied between 22 and 26 per cent of GDP, with spikes in payments-to-GDP and falls in receipts to GDP following economic downturns. Total payments are projected to remain elevated above historic levels in the projection period - increasing from 26.5 per cent of GDP in 2024-25 to 26.7 per cent of GDP in 2034-35. Total receipts are projected to increase from 25.5 per cent of GDP in 2024-25 to 26.8 per cent of GDP in 2034-35." style="width:369.4pt;height:198pt">
            <v:imagedata r:id="rId11" o:title=""/>
          </v:shape>
        </w:pict>
      </w:r>
    </w:p>
    <w:p w14:paraId="076A8313" w14:textId="56725694" w:rsidR="00D63C70" w:rsidRPr="001D7A0A" w:rsidRDefault="00D63C70" w:rsidP="00D63C70">
      <w:pPr>
        <w:pStyle w:val="ChartandTableFootnote"/>
        <w:rPr>
          <w:color w:val="auto"/>
        </w:rPr>
      </w:pPr>
      <w:r w:rsidRPr="00205DD5">
        <w:rPr>
          <w:color w:val="auto"/>
        </w:rPr>
        <w:t xml:space="preserve">Source: </w:t>
      </w:r>
      <w:r w:rsidRPr="00205DD5">
        <w:rPr>
          <w:color w:val="auto"/>
        </w:rPr>
        <w:tab/>
        <w:t>Treasury.</w:t>
      </w:r>
      <w:r w:rsidR="00D90284" w:rsidRPr="00205DD5">
        <w:rPr>
          <w:color w:val="auto"/>
        </w:rPr>
        <w:t xml:space="preserve"> </w:t>
      </w:r>
    </w:p>
    <w:p w14:paraId="1C331D16" w14:textId="77777777" w:rsidR="00D63C70" w:rsidRPr="001D7A0A" w:rsidRDefault="00D63C70" w:rsidP="00D63C70">
      <w:pPr>
        <w:pStyle w:val="ChartLine"/>
      </w:pPr>
    </w:p>
    <w:p w14:paraId="7F692A2D" w14:textId="5077C834" w:rsidR="000450B4" w:rsidRPr="001D7A0A" w:rsidRDefault="000450B4" w:rsidP="000450B4">
      <w:pPr>
        <w:pStyle w:val="ChartMainHeading"/>
      </w:pPr>
      <w:bookmarkStart w:id="23" w:name="_Hlk134115082"/>
      <w:r w:rsidRPr="00205DD5">
        <w:lastRenderedPageBreak/>
        <w:t>Chart 3.6: Average annual growth in major payments 2024–25 to 2034–35</w:t>
      </w:r>
    </w:p>
    <w:p w14:paraId="0084087F" w14:textId="02AF1AA6" w:rsidR="000450B4" w:rsidRDefault="00297A33" w:rsidP="000450B4">
      <w:pPr>
        <w:pStyle w:val="ChartGraphic"/>
      </w:pPr>
      <w:bookmarkStart w:id="24" w:name="_1795519297"/>
      <w:bookmarkEnd w:id="24"/>
      <w:r>
        <w:pict w14:anchorId="07DEA00F">
          <v:shape id="_x0000_i1028" type="#_x0000_t75" alt="The chart shows the growth of the fastest growing major payment categories over the projections period (2024–25 to 2034–35) compared to Budget 2024–25. Growth rates are calculated as annual average growth. Interest is the fastest growing payment at 10.9% compared to 9.9% at Budget. The National Disability Insurance Scheme is the second fastest growing payment at 8.2% compared to 9.2% at Budget. Defence is the third fastest growing payment at 6.6%, unchanged from Budget. Hospitals is projected to grow at 6.5%, unchanged from Budget. Medical Benefits is projected to grow at 5.5% compared to 5.7% at Budget. Child Care subsidy is projected to grow at 5.5%, compared to 4.4% at Budget and Aged Care is projected to grow at 5.2%, compared to 5.7% at Budget." style="width:385.15pt;height:248.25pt">
            <v:imagedata r:id="rId12" o:title=""/>
          </v:shape>
        </w:pict>
      </w:r>
    </w:p>
    <w:p w14:paraId="6446A542" w14:textId="57B56BAB" w:rsidR="000450B4" w:rsidRPr="00205DD5" w:rsidRDefault="000450B4" w:rsidP="000450B4">
      <w:pPr>
        <w:pStyle w:val="ChartandTableFootnote"/>
        <w:rPr>
          <w:color w:val="auto"/>
        </w:rPr>
      </w:pPr>
      <w:r w:rsidRPr="00205DD5">
        <w:rPr>
          <w:color w:val="auto"/>
        </w:rPr>
        <w:t xml:space="preserve">Source: </w:t>
      </w:r>
      <w:r w:rsidRPr="00205DD5">
        <w:rPr>
          <w:color w:val="auto"/>
        </w:rPr>
        <w:tab/>
        <w:t>Treasury.</w:t>
      </w:r>
    </w:p>
    <w:p w14:paraId="053ECCDE" w14:textId="36EDB13E" w:rsidR="000450B4" w:rsidRPr="001D7A0A" w:rsidRDefault="000450B4" w:rsidP="000450B4">
      <w:pPr>
        <w:pStyle w:val="ChartandTableFootnote"/>
        <w:rPr>
          <w:color w:val="auto"/>
        </w:rPr>
      </w:pPr>
      <w:r w:rsidRPr="00205DD5">
        <w:rPr>
          <w:color w:val="auto"/>
        </w:rPr>
        <w:t xml:space="preserve">Note: </w:t>
      </w:r>
      <w:r w:rsidRPr="00205DD5">
        <w:rPr>
          <w:color w:val="auto"/>
        </w:rPr>
        <w:tab/>
        <w:t>Interest refers to interest payments on Australian Government Securities. NDIS refers to the Commonwealth’s contribution to payments for NDIS participant supports. Changes to NDIS payments reflect increased state and territory contribution escalation rates commencing 1 July 2028 that are now incorporated in the payment line; as well as updated NDIS growth projections contained in the 2023</w:t>
      </w:r>
      <w:r w:rsidR="004A67C8" w:rsidRPr="00205DD5">
        <w:rPr>
          <w:rStyle w:val="ui-provider"/>
          <w:color w:val="auto"/>
        </w:rPr>
        <w:t>–</w:t>
      </w:r>
      <w:r w:rsidRPr="00205DD5">
        <w:rPr>
          <w:rStyle w:val="ui-provider"/>
          <w:color w:val="auto"/>
        </w:rPr>
        <w:t xml:space="preserve">24 Annual Financial Sustainability Report published by the NDIS Scheme Actuary. Changes to state and territory contributions were previously included in the medium-term estimates </w:t>
      </w:r>
      <w:proofErr w:type="gramStart"/>
      <w:r w:rsidRPr="00205DD5">
        <w:rPr>
          <w:rStyle w:val="ui-provider"/>
          <w:color w:val="auto"/>
        </w:rPr>
        <w:t>at</w:t>
      </w:r>
      <w:proofErr w:type="gramEnd"/>
      <w:r w:rsidRPr="00205DD5">
        <w:rPr>
          <w:rStyle w:val="ui-provider"/>
          <w:color w:val="auto"/>
        </w:rPr>
        <w:t xml:space="preserve"> 2024</w:t>
      </w:r>
      <w:r w:rsidR="004A67C8" w:rsidRPr="00205DD5">
        <w:rPr>
          <w:rStyle w:val="ui-provider"/>
          <w:color w:val="auto"/>
        </w:rPr>
        <w:t>–</w:t>
      </w:r>
      <w:r w:rsidRPr="00205DD5">
        <w:rPr>
          <w:rStyle w:val="ui-provider"/>
          <w:color w:val="auto"/>
        </w:rPr>
        <w:t>25 Budget as a technical modelling assumption and were not specifically attributed to NDIS payments.</w:t>
      </w:r>
      <w:r w:rsidR="0019693E" w:rsidRPr="00205DD5">
        <w:rPr>
          <w:color w:val="auto"/>
        </w:rPr>
        <w:t xml:space="preserve"> </w:t>
      </w:r>
    </w:p>
    <w:p w14:paraId="55461133" w14:textId="77777777" w:rsidR="000450B4" w:rsidRPr="001D7A0A" w:rsidRDefault="000450B4" w:rsidP="000450B4">
      <w:pPr>
        <w:pStyle w:val="ChartLine"/>
      </w:pPr>
    </w:p>
    <w:p w14:paraId="40EAE418" w14:textId="07111F62" w:rsidR="0098497F" w:rsidRPr="00205DD5" w:rsidRDefault="0098497F" w:rsidP="0098497F">
      <w:r w:rsidRPr="00205DD5">
        <w:t>The fastest</w:t>
      </w:r>
      <w:r w:rsidRPr="00205DD5">
        <w:noBreakHyphen/>
        <w:t xml:space="preserve">growing major payments are interest on government debt, the NDIS, defence, hospitals payments, medical benefits payments, the </w:t>
      </w:r>
      <w:proofErr w:type="gramStart"/>
      <w:r w:rsidRPr="00205DD5">
        <w:t>Child Care</w:t>
      </w:r>
      <w:proofErr w:type="gramEnd"/>
      <w:r w:rsidRPr="00205DD5">
        <w:t xml:space="preserve"> Subsidy and aged care payments</w:t>
      </w:r>
      <w:r w:rsidR="00AA774F" w:rsidRPr="00205DD5">
        <w:t xml:space="preserve"> (Chart 3.6)</w:t>
      </w:r>
      <w:r w:rsidRPr="00205DD5">
        <w:t>.</w:t>
      </w:r>
    </w:p>
    <w:p w14:paraId="5DBB5407" w14:textId="14B04D76" w:rsidR="00353B34" w:rsidRPr="00205DD5" w:rsidRDefault="00353B34" w:rsidP="00961C62">
      <w:pPr>
        <w:pStyle w:val="Bullet"/>
      </w:pPr>
      <w:r w:rsidRPr="00205DD5">
        <w:t xml:space="preserve">Interest payments growth is expected to average </w:t>
      </w:r>
      <w:r w:rsidR="006169B3" w:rsidRPr="00205DD5">
        <w:t>10.</w:t>
      </w:r>
      <w:r w:rsidR="00A06494" w:rsidRPr="00205DD5">
        <w:t>9</w:t>
      </w:r>
      <w:r w:rsidRPr="00205DD5">
        <w:t> per cent over the projection period compared to 9.9 per cent at the Budget. This reflects higher yields</w:t>
      </w:r>
      <w:r w:rsidR="002B0B9A" w:rsidRPr="00205DD5">
        <w:t xml:space="preserve"> and gross debt</w:t>
      </w:r>
      <w:r w:rsidRPr="00205DD5">
        <w:t>.</w:t>
      </w:r>
    </w:p>
    <w:p w14:paraId="54B8AA8D" w14:textId="1C8D3EAA" w:rsidR="006D7411" w:rsidRDefault="00CE25C0" w:rsidP="006D7411">
      <w:pPr>
        <w:pStyle w:val="Bullet"/>
      </w:pPr>
      <w:r w:rsidRPr="00205DD5">
        <w:t xml:space="preserve">NDIS Commonwealth funded participant payments growth is expected to average </w:t>
      </w:r>
      <w:r w:rsidR="009D017B" w:rsidRPr="00205DD5">
        <w:t>8.2</w:t>
      </w:r>
      <w:r w:rsidRPr="00205DD5">
        <w:t> per cent over the projection period from 202</w:t>
      </w:r>
      <w:r w:rsidR="001212E7" w:rsidRPr="00205DD5">
        <w:t>4</w:t>
      </w:r>
      <w:r w:rsidRPr="00205DD5">
        <w:t>–2</w:t>
      </w:r>
      <w:r w:rsidR="001212E7" w:rsidRPr="00205DD5">
        <w:t>5</w:t>
      </w:r>
      <w:r w:rsidRPr="00205DD5">
        <w:t xml:space="preserve"> to 203</w:t>
      </w:r>
      <w:r w:rsidR="001212E7" w:rsidRPr="00205DD5">
        <w:t>4</w:t>
      </w:r>
      <w:r w:rsidRPr="00205DD5">
        <w:t>–3</w:t>
      </w:r>
      <w:r w:rsidR="001212E7" w:rsidRPr="00205DD5">
        <w:t>5</w:t>
      </w:r>
      <w:r w:rsidRPr="00205DD5">
        <w:t xml:space="preserve">, </w:t>
      </w:r>
      <w:r w:rsidR="00A617E1" w:rsidRPr="00205DD5">
        <w:t>compared to</w:t>
      </w:r>
      <w:r w:rsidR="00A84DAD" w:rsidRPr="00205DD5">
        <w:t xml:space="preserve"> </w:t>
      </w:r>
      <w:r w:rsidR="00C97B61" w:rsidRPr="00205DD5">
        <w:t>9.2</w:t>
      </w:r>
      <w:r w:rsidRPr="00205DD5">
        <w:t xml:space="preserve"> per cent at the </w:t>
      </w:r>
      <w:r w:rsidR="00076EF9" w:rsidRPr="00205DD5">
        <w:t xml:space="preserve">2024–25 Budget. </w:t>
      </w:r>
      <w:r w:rsidR="00D32026" w:rsidRPr="00205DD5">
        <w:t xml:space="preserve">This reflects </w:t>
      </w:r>
      <w:r w:rsidR="002F3E8D" w:rsidRPr="00205DD5">
        <w:t xml:space="preserve">state and territory </w:t>
      </w:r>
      <w:r w:rsidR="00234ED7" w:rsidRPr="00205DD5">
        <w:t xml:space="preserve">NDIS </w:t>
      </w:r>
      <w:r w:rsidR="002F3E8D" w:rsidRPr="00205DD5">
        <w:t xml:space="preserve">contribution </w:t>
      </w:r>
      <w:r w:rsidR="00510598" w:rsidRPr="00205DD5">
        <w:t>escalation</w:t>
      </w:r>
      <w:r w:rsidR="002F3E8D" w:rsidRPr="00205DD5">
        <w:t xml:space="preserve"> rates </w:t>
      </w:r>
      <w:r w:rsidR="009A09F3" w:rsidRPr="00205DD5">
        <w:t>increasing</w:t>
      </w:r>
      <w:r w:rsidR="002F3E8D" w:rsidRPr="00205DD5">
        <w:t xml:space="preserve"> </w:t>
      </w:r>
      <w:r w:rsidR="00D40CCF" w:rsidRPr="00205DD5">
        <w:t>from 4 per cent to be in line with Scheme growth</w:t>
      </w:r>
      <w:r w:rsidR="00294892" w:rsidRPr="00205DD5">
        <w:t>,</w:t>
      </w:r>
      <w:r w:rsidR="00D40CCF" w:rsidRPr="00205DD5">
        <w:t xml:space="preserve"> </w:t>
      </w:r>
      <w:r w:rsidR="00106F0D" w:rsidRPr="00205DD5">
        <w:t>capped at 8</w:t>
      </w:r>
      <w:r w:rsidR="00916699" w:rsidRPr="00205DD5">
        <w:t> </w:t>
      </w:r>
      <w:r w:rsidR="00106F0D" w:rsidRPr="00205DD5">
        <w:t>per cent</w:t>
      </w:r>
      <w:r w:rsidR="00382DA7" w:rsidRPr="00205DD5">
        <w:t>,</w:t>
      </w:r>
      <w:r w:rsidR="002F3E8D" w:rsidRPr="00205DD5">
        <w:t xml:space="preserve"> </w:t>
      </w:r>
      <w:r w:rsidR="00CB444F" w:rsidRPr="00205DD5">
        <w:t>commencing 1</w:t>
      </w:r>
      <w:r w:rsidR="00E826A1" w:rsidRPr="00205DD5">
        <w:t> </w:t>
      </w:r>
      <w:r w:rsidR="00CB444F" w:rsidRPr="00205DD5">
        <w:t>July</w:t>
      </w:r>
      <w:r w:rsidR="00E826A1" w:rsidRPr="00205DD5">
        <w:t> </w:t>
      </w:r>
      <w:r w:rsidR="00CB444F" w:rsidRPr="00205DD5">
        <w:t>2028</w:t>
      </w:r>
      <w:r w:rsidR="00680DCC" w:rsidRPr="00205DD5">
        <w:t xml:space="preserve">. It also </w:t>
      </w:r>
      <w:r w:rsidR="001517BF" w:rsidRPr="00205DD5">
        <w:t>incorporates</w:t>
      </w:r>
      <w:r w:rsidR="00D32026" w:rsidRPr="00205DD5">
        <w:t xml:space="preserve"> the expected</w:t>
      </w:r>
      <w:r w:rsidR="00A84DAD" w:rsidRPr="00205DD5">
        <w:t xml:space="preserve"> </w:t>
      </w:r>
      <w:r w:rsidR="00A60B80" w:rsidRPr="00205DD5">
        <w:t>moderation</w:t>
      </w:r>
      <w:r w:rsidR="00293DE1" w:rsidRPr="00205DD5">
        <w:t xml:space="preserve"> in</w:t>
      </w:r>
      <w:r w:rsidR="00AF417C" w:rsidRPr="00205DD5">
        <w:t xml:space="preserve"> scheme growth under the NDIS Financial Sustainability Framework</w:t>
      </w:r>
      <w:r w:rsidR="00A7325D" w:rsidRPr="00205DD5">
        <w:t xml:space="preserve"> </w:t>
      </w:r>
      <w:r w:rsidR="000E2258" w:rsidRPr="00205DD5">
        <w:t>reflected in the NDIS Scheme Actuary’s latest projections</w:t>
      </w:r>
      <w:r w:rsidR="00AF417C" w:rsidRPr="00205DD5">
        <w:t>.</w:t>
      </w:r>
      <w:r w:rsidR="0096461E" w:rsidRPr="00205DD5">
        <w:t xml:space="preserve"> </w:t>
      </w:r>
      <w:r w:rsidR="006D7411">
        <w:br w:type="page"/>
      </w:r>
    </w:p>
    <w:p w14:paraId="7913FF07" w14:textId="34CED7AB" w:rsidR="00CE25C0" w:rsidRPr="00205DD5" w:rsidRDefault="00000F4C" w:rsidP="00961C62">
      <w:pPr>
        <w:pStyle w:val="Bullet"/>
      </w:pPr>
      <w:proofErr w:type="gramStart"/>
      <w:r w:rsidRPr="00205DD5">
        <w:lastRenderedPageBreak/>
        <w:t>C</w:t>
      </w:r>
      <w:r w:rsidR="00A41D7F" w:rsidRPr="00205DD5">
        <w:t>hild Care</w:t>
      </w:r>
      <w:proofErr w:type="gramEnd"/>
      <w:r w:rsidR="00A41D7F" w:rsidRPr="00205DD5">
        <w:t xml:space="preserve"> Subsidy</w:t>
      </w:r>
      <w:r w:rsidR="00B86CAC" w:rsidRPr="00205DD5">
        <w:t xml:space="preserve"> payments growth is expected to average </w:t>
      </w:r>
      <w:r w:rsidR="00ED47A1" w:rsidRPr="00205DD5">
        <w:t>5</w:t>
      </w:r>
      <w:r w:rsidR="0091167A" w:rsidRPr="00205DD5">
        <w:t>.</w:t>
      </w:r>
      <w:r w:rsidR="00ED47A1" w:rsidRPr="00205DD5">
        <w:t>5</w:t>
      </w:r>
      <w:r w:rsidR="003A2D52" w:rsidRPr="00205DD5">
        <w:t xml:space="preserve"> per</w:t>
      </w:r>
      <w:r w:rsidR="000F71CF" w:rsidRPr="00205DD5">
        <w:t xml:space="preserve"> </w:t>
      </w:r>
      <w:r w:rsidR="003A2D52" w:rsidRPr="00205DD5">
        <w:t xml:space="preserve">cent over the projection period compared to </w:t>
      </w:r>
      <w:r w:rsidR="005F575E" w:rsidRPr="00205DD5">
        <w:t>4.4</w:t>
      </w:r>
      <w:r w:rsidR="003A2D52" w:rsidRPr="00205DD5">
        <w:t> per cent at the 2024–25 Budget</w:t>
      </w:r>
      <w:r w:rsidR="005F575E" w:rsidRPr="00205DD5">
        <w:t xml:space="preserve">. </w:t>
      </w:r>
      <w:r w:rsidR="008B402A" w:rsidRPr="00205DD5">
        <w:t>This</w:t>
      </w:r>
      <w:r w:rsidR="00114D8F" w:rsidRPr="00205DD5">
        <w:t xml:space="preserve"> largely</w:t>
      </w:r>
      <w:r w:rsidR="008B402A" w:rsidRPr="00205DD5">
        <w:t xml:space="preserve"> reflects</w:t>
      </w:r>
      <w:r w:rsidR="00B80DB1" w:rsidRPr="00205DD5">
        <w:t xml:space="preserve"> </w:t>
      </w:r>
      <w:r w:rsidR="004C53F4" w:rsidRPr="00205DD5">
        <w:t xml:space="preserve">additional support flowing to families through </w:t>
      </w:r>
      <w:proofErr w:type="gramStart"/>
      <w:r w:rsidR="004C53F4" w:rsidRPr="00205DD5">
        <w:t>Child Care</w:t>
      </w:r>
      <w:proofErr w:type="gramEnd"/>
      <w:r w:rsidR="004C53F4" w:rsidRPr="00205DD5">
        <w:t xml:space="preserve"> Subsidy payments to assist with the cost of child care</w:t>
      </w:r>
      <w:r w:rsidR="005E38FD" w:rsidRPr="00205DD5">
        <w:t xml:space="preserve">, including </w:t>
      </w:r>
      <w:r w:rsidR="004C53F4" w:rsidRPr="00205DD5">
        <w:t>an estimated extra 200,00</w:t>
      </w:r>
      <w:r w:rsidR="005A76D8" w:rsidRPr="00205DD5">
        <w:t>0</w:t>
      </w:r>
      <w:r w:rsidR="004C53F4" w:rsidRPr="00205DD5">
        <w:t xml:space="preserve"> children </w:t>
      </w:r>
      <w:r w:rsidR="000A601A" w:rsidRPr="00205DD5">
        <w:t>in</w:t>
      </w:r>
      <w:r w:rsidR="004C53F4" w:rsidRPr="00205DD5">
        <w:t xml:space="preserve"> early education by </w:t>
      </w:r>
      <w:r w:rsidR="003E0036" w:rsidRPr="00205DD5">
        <w:t>the end of the forward estimates</w:t>
      </w:r>
      <w:r w:rsidR="002A25D4" w:rsidRPr="00205DD5">
        <w:t xml:space="preserve"> in</w:t>
      </w:r>
      <w:r w:rsidR="004C53F4" w:rsidRPr="00205DD5">
        <w:t xml:space="preserve"> 2027</w:t>
      </w:r>
      <w:r w:rsidR="000A7090" w:rsidRPr="00205DD5">
        <w:t>–</w:t>
      </w:r>
      <w:r w:rsidR="004C53F4" w:rsidRPr="00205DD5">
        <w:t>28</w:t>
      </w:r>
      <w:r w:rsidR="00710822" w:rsidRPr="00205DD5">
        <w:t>.</w:t>
      </w:r>
    </w:p>
    <w:p w14:paraId="40073670" w14:textId="5CAD7FEA" w:rsidR="00DB3488" w:rsidRPr="000111AB" w:rsidRDefault="00DB3488" w:rsidP="00961C62">
      <w:pPr>
        <w:pStyle w:val="Bullet"/>
      </w:pPr>
      <w:r w:rsidRPr="00205DD5">
        <w:t>Aged care payments growth is expected to average 5.</w:t>
      </w:r>
      <w:r w:rsidR="001C54F4" w:rsidRPr="00205DD5">
        <w:t>2</w:t>
      </w:r>
      <w:r w:rsidRPr="00205DD5">
        <w:t> per cent over the projection period compared to 5.7 per cent at the 2024–25 Budget. Reforms</w:t>
      </w:r>
      <w:r w:rsidR="000600F1" w:rsidRPr="00205DD5">
        <w:t xml:space="preserve"> announced in September 2024</w:t>
      </w:r>
      <w:r w:rsidRPr="00205DD5">
        <w:t xml:space="preserve"> </w:t>
      </w:r>
      <w:r w:rsidR="00A22C4A" w:rsidRPr="00205DD5">
        <w:t xml:space="preserve">are projected to </w:t>
      </w:r>
      <w:r w:rsidR="00C6434C" w:rsidRPr="00205DD5">
        <w:t>reduce payments relative to the 2024</w:t>
      </w:r>
      <w:r w:rsidR="004A67C8" w:rsidRPr="00205DD5">
        <w:t>–</w:t>
      </w:r>
      <w:r w:rsidR="00C6434C" w:rsidRPr="00205DD5">
        <w:t>25 Budget</w:t>
      </w:r>
      <w:r w:rsidRPr="00205DD5">
        <w:t>,</w:t>
      </w:r>
      <w:r w:rsidR="00D13C44" w:rsidRPr="00205DD5">
        <w:t xml:space="preserve"> offset by </w:t>
      </w:r>
      <w:r w:rsidR="00623749" w:rsidRPr="00205DD5">
        <w:t>increased funding</w:t>
      </w:r>
      <w:r w:rsidR="001B5D6E" w:rsidRPr="00205DD5">
        <w:t xml:space="preserve"> for aged care workers</w:t>
      </w:r>
      <w:r w:rsidR="0046420F" w:rsidRPr="00205DD5">
        <w:t>.</w:t>
      </w:r>
      <w:r w:rsidR="00330657" w:rsidRPr="00205DD5">
        <w:t xml:space="preserve"> </w:t>
      </w:r>
      <w:r w:rsidR="007D7690" w:rsidRPr="000111AB">
        <w:t xml:space="preserve"> </w:t>
      </w:r>
    </w:p>
    <w:p w14:paraId="3F005907" w14:textId="3B022761" w:rsidR="00D63C70" w:rsidRPr="00205DD5" w:rsidRDefault="00D63C70" w:rsidP="00D63C70">
      <w:pPr>
        <w:pStyle w:val="Heading3"/>
      </w:pPr>
      <w:bookmarkStart w:id="25" w:name="_1763626548"/>
      <w:bookmarkStart w:id="26" w:name="_1795358721"/>
      <w:bookmarkStart w:id="27" w:name="_1795413755"/>
      <w:bookmarkStart w:id="28" w:name="_Toc134093763"/>
      <w:bookmarkStart w:id="29" w:name="_Toc148428067"/>
      <w:bookmarkEnd w:id="23"/>
      <w:bookmarkEnd w:id="25"/>
      <w:bookmarkEnd w:id="26"/>
      <w:bookmarkEnd w:id="27"/>
      <w:r w:rsidRPr="00205DD5">
        <w:t xml:space="preserve">Receipts estimates and </w:t>
      </w:r>
      <w:proofErr w:type="gramStart"/>
      <w:r w:rsidRPr="00205DD5">
        <w:t>projections</w:t>
      </w:r>
      <w:bookmarkEnd w:id="28"/>
      <w:bookmarkEnd w:id="29"/>
      <w:proofErr w:type="gramEnd"/>
    </w:p>
    <w:p w14:paraId="33555C96" w14:textId="40E20C64" w:rsidR="00CC5C41" w:rsidRPr="0096195D" w:rsidRDefault="00D63C70" w:rsidP="00D63C70">
      <w:pPr>
        <w:rPr>
          <w:rFonts w:eastAsia="Calibri"/>
        </w:rPr>
      </w:pPr>
      <w:r w:rsidRPr="00205DD5">
        <w:rPr>
          <w:rFonts w:eastAsia="Calibri"/>
        </w:rPr>
        <w:t xml:space="preserve">Total receipts </w:t>
      </w:r>
      <w:r w:rsidR="002A1DD0" w:rsidRPr="00205DD5">
        <w:rPr>
          <w:rFonts w:eastAsia="Calibri"/>
        </w:rPr>
        <w:t xml:space="preserve">over the forward estimates </w:t>
      </w:r>
      <w:r w:rsidRPr="00205DD5">
        <w:rPr>
          <w:rFonts w:eastAsia="Calibri"/>
        </w:rPr>
        <w:t>have increased</w:t>
      </w:r>
      <w:r w:rsidR="00F55A7E" w:rsidRPr="00205DD5">
        <w:rPr>
          <w:rFonts w:eastAsia="Calibri"/>
        </w:rPr>
        <w:t xml:space="preserve"> by $</w:t>
      </w:r>
      <w:r w:rsidR="00E37F10" w:rsidRPr="00205DD5">
        <w:rPr>
          <w:rFonts w:eastAsia="Calibri"/>
        </w:rPr>
        <w:t>20.4</w:t>
      </w:r>
      <w:r w:rsidR="00D9022D" w:rsidRPr="00205DD5">
        <w:rPr>
          <w:rFonts w:eastAsia="Calibri"/>
        </w:rPr>
        <w:t> </w:t>
      </w:r>
      <w:r w:rsidR="0036479C" w:rsidRPr="00205DD5">
        <w:rPr>
          <w:rFonts w:eastAsia="Calibri"/>
        </w:rPr>
        <w:t>billion</w:t>
      </w:r>
      <w:r w:rsidRPr="00205DD5">
        <w:rPr>
          <w:rFonts w:eastAsia="Calibri"/>
        </w:rPr>
        <w:t xml:space="preserve"> since the 202</w:t>
      </w:r>
      <w:r w:rsidR="00490169" w:rsidRPr="00205DD5">
        <w:rPr>
          <w:rFonts w:eastAsia="Calibri"/>
        </w:rPr>
        <w:t>4</w:t>
      </w:r>
      <w:r w:rsidR="00051CF4" w:rsidRPr="00205DD5">
        <w:rPr>
          <w:rFonts w:ascii="Times New Roman" w:hAnsi="Times New Roman"/>
        </w:rPr>
        <w:t>‍</w:t>
      </w:r>
      <w:r w:rsidRPr="00205DD5">
        <w:rPr>
          <w:rFonts w:eastAsia="Calibri"/>
        </w:rPr>
        <w:t>–</w:t>
      </w:r>
      <w:r w:rsidR="00051CF4" w:rsidRPr="00205DD5">
        <w:rPr>
          <w:rFonts w:ascii="Times New Roman" w:hAnsi="Times New Roman"/>
        </w:rPr>
        <w:t>‍</w:t>
      </w:r>
      <w:r w:rsidRPr="00205DD5">
        <w:t>2</w:t>
      </w:r>
      <w:r w:rsidR="00490169" w:rsidRPr="00205DD5">
        <w:t>5</w:t>
      </w:r>
      <w:r w:rsidR="00051CF4" w:rsidRPr="00205DD5">
        <w:rPr>
          <w:rFonts w:eastAsia="Calibri"/>
        </w:rPr>
        <w:t> </w:t>
      </w:r>
      <w:r w:rsidRPr="00205DD5">
        <w:rPr>
          <w:rFonts w:eastAsia="Calibri"/>
        </w:rPr>
        <w:t xml:space="preserve">Budget, driven by higher tax </w:t>
      </w:r>
      <w:r w:rsidRPr="00205DD5">
        <w:t>receipts</w:t>
      </w:r>
      <w:r w:rsidRPr="00205DD5">
        <w:rPr>
          <w:rFonts w:eastAsia="Calibri"/>
        </w:rPr>
        <w:t>.</w:t>
      </w:r>
      <w:r w:rsidRPr="0096195D">
        <w:rPr>
          <w:rFonts w:eastAsia="Calibri"/>
        </w:rPr>
        <w:t xml:space="preserve"> </w:t>
      </w:r>
    </w:p>
    <w:p w14:paraId="0B644A85" w14:textId="17DE2945" w:rsidR="00D63C70" w:rsidRPr="0096195D" w:rsidRDefault="005A60BE" w:rsidP="00D63C70">
      <w:r w:rsidRPr="00205DD5">
        <w:rPr>
          <w:rFonts w:eastAsia="Calibri"/>
        </w:rPr>
        <w:t>The</w:t>
      </w:r>
      <w:r w:rsidR="004D565C" w:rsidRPr="00205DD5">
        <w:rPr>
          <w:rFonts w:eastAsia="Calibri"/>
        </w:rPr>
        <w:t xml:space="preserve"> tax receipts</w:t>
      </w:r>
      <w:r w:rsidR="00CC5C41" w:rsidRPr="00205DD5">
        <w:rPr>
          <w:rFonts w:eastAsia="Calibri"/>
        </w:rPr>
        <w:t xml:space="preserve"> upgrade in this MYEFO is much smaller than the $80</w:t>
      </w:r>
      <w:r w:rsidR="00D9022D" w:rsidRPr="00205DD5">
        <w:rPr>
          <w:rFonts w:eastAsia="Calibri"/>
        </w:rPr>
        <w:t> </w:t>
      </w:r>
      <w:r w:rsidR="00CC5C41" w:rsidRPr="00205DD5">
        <w:rPr>
          <w:rFonts w:eastAsia="Calibri"/>
        </w:rPr>
        <w:t>billion upgrade on average across the last four budget updates.</w:t>
      </w:r>
      <w:r w:rsidR="00292330" w:rsidRPr="00205DD5">
        <w:rPr>
          <w:rFonts w:eastAsia="Calibri"/>
        </w:rPr>
        <w:t xml:space="preserve"> </w:t>
      </w:r>
      <w:r w:rsidR="009920DB" w:rsidRPr="00205DD5">
        <w:t>Excluding GST and policy decisions, tax receipts have been revised up by $7.3 billion</w:t>
      </w:r>
      <w:r w:rsidR="009920DB" w:rsidRPr="00205DD5" w:rsidDel="00405F7F">
        <w:t xml:space="preserve"> </w:t>
      </w:r>
      <w:r w:rsidR="009920DB" w:rsidRPr="00205DD5">
        <w:t xml:space="preserve">over the four years to 2027–28. </w:t>
      </w:r>
      <w:r w:rsidR="00292330" w:rsidRPr="00205DD5">
        <w:rPr>
          <w:rFonts w:eastAsia="Calibri"/>
        </w:rPr>
        <w:t xml:space="preserve">The upgrade to tax receipts since </w:t>
      </w:r>
      <w:r w:rsidR="00CB5EF8" w:rsidRPr="00205DD5">
        <w:rPr>
          <w:rFonts w:eastAsia="Calibri"/>
        </w:rPr>
        <w:t xml:space="preserve">the </w:t>
      </w:r>
      <w:r w:rsidR="00292330" w:rsidRPr="00205DD5">
        <w:rPr>
          <w:rFonts w:eastAsia="Calibri"/>
        </w:rPr>
        <w:t xml:space="preserve">Budget is driven by an improved outlook for personal </w:t>
      </w:r>
      <w:r w:rsidR="000E22AD" w:rsidRPr="00205DD5">
        <w:rPr>
          <w:rFonts w:eastAsia="Calibri"/>
        </w:rPr>
        <w:t xml:space="preserve">income </w:t>
      </w:r>
      <w:r w:rsidR="00292330" w:rsidRPr="00205DD5">
        <w:rPr>
          <w:rFonts w:eastAsia="Calibri"/>
        </w:rPr>
        <w:t xml:space="preserve">and superannuation </w:t>
      </w:r>
      <w:r w:rsidR="000E22AD" w:rsidRPr="00205DD5">
        <w:rPr>
          <w:rFonts w:eastAsia="Calibri"/>
        </w:rPr>
        <w:t>fund</w:t>
      </w:r>
      <w:r w:rsidR="00292330" w:rsidRPr="00205DD5">
        <w:rPr>
          <w:rFonts w:eastAsia="Calibri"/>
        </w:rPr>
        <w:t xml:space="preserve"> taxes, reflecting higher compensation of employees </w:t>
      </w:r>
      <w:r w:rsidR="00292330" w:rsidRPr="00363410">
        <w:rPr>
          <w:rFonts w:eastAsia="Calibri"/>
        </w:rPr>
        <w:t xml:space="preserve">and </w:t>
      </w:r>
      <w:r w:rsidR="004E5BB9" w:rsidRPr="00363410">
        <w:rPr>
          <w:rFonts w:eastAsia="Calibri"/>
        </w:rPr>
        <w:t xml:space="preserve">tax </w:t>
      </w:r>
      <w:r w:rsidR="00363410" w:rsidRPr="00363410">
        <w:rPr>
          <w:rFonts w:eastAsia="Calibri"/>
        </w:rPr>
        <w:t>from earnings on investments</w:t>
      </w:r>
      <w:r w:rsidR="00292330" w:rsidRPr="00205DD5">
        <w:rPr>
          <w:rFonts w:eastAsia="Calibri"/>
        </w:rPr>
        <w:t>. These have been partly offset by downgrades to company tax and tobacco excise.</w:t>
      </w:r>
      <w:r w:rsidR="00292330" w:rsidRPr="0096195D">
        <w:rPr>
          <w:rFonts w:eastAsia="Calibri"/>
        </w:rPr>
        <w:t xml:space="preserve"> </w:t>
      </w:r>
    </w:p>
    <w:p w14:paraId="030C14BD" w14:textId="22DD80AC" w:rsidR="00D63C70" w:rsidRPr="0058018F" w:rsidRDefault="00801D73" w:rsidP="00D63C70">
      <w:r w:rsidRPr="00205DD5">
        <w:rPr>
          <w:rFonts w:cs="Calibri"/>
        </w:rPr>
        <w:t>Since the 2024–25 Budget, non-tax receipts are expected to increase by $2.7 billion in 2024</w:t>
      </w:r>
      <w:r w:rsidR="00051CF4" w:rsidRPr="00205DD5">
        <w:rPr>
          <w:rFonts w:ascii="Times New Roman" w:hAnsi="Times New Roman"/>
        </w:rPr>
        <w:t>‍</w:t>
      </w:r>
      <w:r w:rsidRPr="00205DD5">
        <w:rPr>
          <w:rFonts w:cs="Calibri"/>
        </w:rPr>
        <w:t>–</w:t>
      </w:r>
      <w:r w:rsidR="00051CF4" w:rsidRPr="00205DD5">
        <w:rPr>
          <w:rFonts w:ascii="Times New Roman" w:hAnsi="Times New Roman"/>
        </w:rPr>
        <w:t>‍</w:t>
      </w:r>
      <w:r w:rsidRPr="00205DD5">
        <w:rPr>
          <w:rFonts w:cs="Calibri"/>
        </w:rPr>
        <w:t xml:space="preserve">25 </w:t>
      </w:r>
      <w:r w:rsidR="009C78E8" w:rsidRPr="00205DD5">
        <w:rPr>
          <w:rFonts w:cs="Calibri"/>
        </w:rPr>
        <w:t xml:space="preserve">(Table 3.3) </w:t>
      </w:r>
      <w:r w:rsidRPr="00205DD5">
        <w:rPr>
          <w:rFonts w:cs="Calibri"/>
        </w:rPr>
        <w:t>and by $5.4 billion over the four years to 2027–28</w:t>
      </w:r>
      <w:r w:rsidR="00D63C70" w:rsidRPr="00205DD5">
        <w:t>.</w:t>
      </w:r>
    </w:p>
    <w:p w14:paraId="14446CE4" w14:textId="365E6825" w:rsidR="00D83113" w:rsidRDefault="00D63C70" w:rsidP="00D42E81">
      <w:pPr>
        <w:spacing w:before="0" w:after="160" w:line="259" w:lineRule="auto"/>
        <w:rPr>
          <w:rFonts w:ascii="Arial" w:hAnsi="Arial"/>
          <w:b/>
          <w:sz w:val="20"/>
        </w:rPr>
      </w:pPr>
      <w:r w:rsidRPr="00205DD5">
        <w:t xml:space="preserve">Total receipts as a proportion of GDP are expected to </w:t>
      </w:r>
      <w:r w:rsidR="00D54B1E" w:rsidRPr="00205DD5">
        <w:t xml:space="preserve">remain </w:t>
      </w:r>
      <w:r w:rsidR="00A64CF3" w:rsidRPr="00205DD5">
        <w:t xml:space="preserve">broadly </w:t>
      </w:r>
      <w:r w:rsidR="00D54B1E" w:rsidRPr="00205DD5">
        <w:t xml:space="preserve">stable </w:t>
      </w:r>
      <w:r w:rsidRPr="00205DD5">
        <w:t>over the forward estimates, from</w:t>
      </w:r>
      <w:r w:rsidR="005A1BEF" w:rsidRPr="00205DD5">
        <w:t xml:space="preserve"> </w:t>
      </w:r>
      <w:r w:rsidR="00D401BA" w:rsidRPr="00205DD5">
        <w:t>25.</w:t>
      </w:r>
      <w:r w:rsidR="00B52521" w:rsidRPr="00205DD5">
        <w:t>5</w:t>
      </w:r>
      <w:r w:rsidR="00D35AB9" w:rsidRPr="00205DD5">
        <w:t> </w:t>
      </w:r>
      <w:r w:rsidRPr="00205DD5">
        <w:t xml:space="preserve">per cent of GDP in </w:t>
      </w:r>
      <w:r w:rsidR="00D54B1E" w:rsidRPr="00205DD5">
        <w:t>202</w:t>
      </w:r>
      <w:r w:rsidR="00E02918" w:rsidRPr="00205DD5">
        <w:t>4</w:t>
      </w:r>
      <w:r w:rsidRPr="00205DD5">
        <w:t>–</w:t>
      </w:r>
      <w:r w:rsidR="00D54B1E" w:rsidRPr="00205DD5">
        <w:t xml:space="preserve">25 </w:t>
      </w:r>
      <w:r w:rsidRPr="00205DD5">
        <w:t>to</w:t>
      </w:r>
      <w:r w:rsidR="00FF796A" w:rsidRPr="00205DD5">
        <w:t xml:space="preserve"> </w:t>
      </w:r>
      <w:r w:rsidR="00B52521" w:rsidRPr="00205DD5">
        <w:t>25.4</w:t>
      </w:r>
      <w:r w:rsidR="00D35AB9" w:rsidRPr="00205DD5">
        <w:t> </w:t>
      </w:r>
      <w:r w:rsidRPr="00205DD5">
        <w:t xml:space="preserve">per cent of GDP in </w:t>
      </w:r>
      <w:r w:rsidR="00D54B1E" w:rsidRPr="00205DD5">
        <w:t>2027</w:t>
      </w:r>
      <w:r w:rsidRPr="00205DD5">
        <w:t>–</w:t>
      </w:r>
      <w:r w:rsidR="00D54B1E" w:rsidRPr="00205DD5">
        <w:t>28</w:t>
      </w:r>
      <w:r w:rsidRPr="00205DD5">
        <w:t>.</w:t>
      </w:r>
      <w:r w:rsidRPr="0066472C">
        <w:t xml:space="preserve"> </w:t>
      </w:r>
      <w:r w:rsidRPr="00205DD5">
        <w:t xml:space="preserve">This is driven by tax receipts, which are expected to </w:t>
      </w:r>
      <w:r w:rsidR="003319CE" w:rsidRPr="00205DD5">
        <w:t>be 2</w:t>
      </w:r>
      <w:r w:rsidR="00B21440" w:rsidRPr="00205DD5">
        <w:t>3.4</w:t>
      </w:r>
      <w:r w:rsidR="00D35AB9" w:rsidRPr="00205DD5">
        <w:t> </w:t>
      </w:r>
      <w:r w:rsidRPr="00205DD5">
        <w:t xml:space="preserve">per cent of GDP in </w:t>
      </w:r>
      <w:r w:rsidR="00F0144D" w:rsidRPr="00205DD5">
        <w:t>2024</w:t>
      </w:r>
      <w:r w:rsidRPr="00205DD5">
        <w:t>–</w:t>
      </w:r>
      <w:r w:rsidR="00F0144D" w:rsidRPr="00205DD5">
        <w:t xml:space="preserve">25 </w:t>
      </w:r>
      <w:r w:rsidR="004E3664" w:rsidRPr="00205DD5">
        <w:t xml:space="preserve">and </w:t>
      </w:r>
      <w:r w:rsidR="0043192F" w:rsidRPr="00205DD5">
        <w:t>23.5</w:t>
      </w:r>
      <w:r w:rsidR="00D35AB9" w:rsidRPr="00205DD5">
        <w:t> </w:t>
      </w:r>
      <w:r w:rsidRPr="00205DD5">
        <w:t>per</w:t>
      </w:r>
      <w:r w:rsidR="00D35AB9" w:rsidRPr="00205DD5">
        <w:t> </w:t>
      </w:r>
      <w:r w:rsidRPr="00205DD5">
        <w:t xml:space="preserve">cent in </w:t>
      </w:r>
      <w:r w:rsidR="00F0144D" w:rsidRPr="00205DD5">
        <w:t>2027</w:t>
      </w:r>
      <w:r w:rsidRPr="00205DD5">
        <w:t>–</w:t>
      </w:r>
      <w:r w:rsidR="00F0144D" w:rsidRPr="00205DD5">
        <w:t>28</w:t>
      </w:r>
      <w:r w:rsidRPr="00205DD5">
        <w:t>.</w:t>
      </w:r>
      <w:r w:rsidR="00D83113">
        <w:br w:type="page"/>
      </w:r>
    </w:p>
    <w:p w14:paraId="5D056A01" w14:textId="6515D083" w:rsidR="00E86835" w:rsidRPr="00205DD5" w:rsidRDefault="00D63C70" w:rsidP="004D1F1E">
      <w:pPr>
        <w:pStyle w:val="TableHeading"/>
        <w:rPr>
          <w:rFonts w:asciiTheme="minorHAnsi" w:eastAsiaTheme="minorHAnsi" w:hAnsiTheme="minorHAnsi" w:cstheme="minorBidi"/>
          <w:b w:val="0"/>
          <w:sz w:val="22"/>
          <w:szCs w:val="22"/>
          <w:lang w:eastAsia="en-US"/>
        </w:rPr>
      </w:pPr>
      <w:r w:rsidRPr="00205DD5">
        <w:lastRenderedPageBreak/>
        <w:t>Table 3.</w:t>
      </w:r>
      <w:r w:rsidR="001645FC" w:rsidRPr="00205DD5">
        <w:t>3</w:t>
      </w:r>
      <w:r w:rsidRPr="00205DD5">
        <w:t xml:space="preserve">: Reconciliation of </w:t>
      </w:r>
      <w:r w:rsidR="00BA1607" w:rsidRPr="00205DD5">
        <w:t>2024</w:t>
      </w:r>
      <w:r w:rsidR="002B5336" w:rsidRPr="00205DD5">
        <w:t>–</w:t>
      </w:r>
      <w:r w:rsidR="00BA1607" w:rsidRPr="00205DD5">
        <w:t>25</w:t>
      </w:r>
      <w:r w:rsidRPr="00205DD5">
        <w:t xml:space="preserve"> general government (cash) receipts</w:t>
      </w:r>
    </w:p>
    <w:tbl>
      <w:tblPr>
        <w:tblW w:w="5000" w:type="pct"/>
        <w:tblCellMar>
          <w:left w:w="0" w:type="dxa"/>
          <w:right w:w="28" w:type="dxa"/>
        </w:tblCellMar>
        <w:tblLook w:val="04A0" w:firstRow="1" w:lastRow="0" w:firstColumn="1" w:lastColumn="0" w:noHBand="0" w:noVBand="1"/>
      </w:tblPr>
      <w:tblGrid>
        <w:gridCol w:w="2997"/>
        <w:gridCol w:w="1203"/>
        <w:gridCol w:w="1265"/>
        <w:gridCol w:w="73"/>
        <w:gridCol w:w="1086"/>
        <w:gridCol w:w="1086"/>
      </w:tblGrid>
      <w:tr w:rsidR="00E86835" w:rsidRPr="00FF1D21" w14:paraId="222EA2C4" w14:textId="77777777" w:rsidTr="00E86835">
        <w:trPr>
          <w:trHeight w:hRule="exact" w:val="226"/>
        </w:trPr>
        <w:tc>
          <w:tcPr>
            <w:tcW w:w="2180" w:type="pct"/>
            <w:tcBorders>
              <w:top w:val="single" w:sz="4" w:space="0" w:color="293F5B"/>
              <w:left w:val="nil"/>
              <w:bottom w:val="nil"/>
              <w:right w:val="nil"/>
            </w:tcBorders>
            <w:shd w:val="clear" w:color="auto" w:fill="auto"/>
            <w:noWrap/>
            <w:vAlign w:val="center"/>
            <w:hideMark/>
          </w:tcPr>
          <w:p w14:paraId="129C8C29" w14:textId="43180619"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1452" w:type="pct"/>
            <w:gridSpan w:val="2"/>
            <w:tcBorders>
              <w:top w:val="single" w:sz="4" w:space="0" w:color="293F5B"/>
              <w:left w:val="nil"/>
              <w:bottom w:val="nil"/>
              <w:right w:val="nil"/>
            </w:tcBorders>
            <w:shd w:val="clear" w:color="auto" w:fill="auto"/>
            <w:noWrap/>
            <w:vAlign w:val="center"/>
            <w:hideMark/>
          </w:tcPr>
          <w:p w14:paraId="1AB9B1E6" w14:textId="77777777" w:rsidR="00E86835" w:rsidRPr="00FF1D21" w:rsidRDefault="00E86835" w:rsidP="00E86835">
            <w:pPr>
              <w:spacing w:before="0" w:after="0" w:line="240" w:lineRule="auto"/>
              <w:jc w:val="center"/>
              <w:rPr>
                <w:rFonts w:ascii="Arial" w:hAnsi="Arial" w:cs="Arial"/>
                <w:sz w:val="16"/>
                <w:szCs w:val="16"/>
                <w:highlight w:val="red"/>
              </w:rPr>
            </w:pPr>
            <w:r w:rsidRPr="00205DD5">
              <w:rPr>
                <w:rFonts w:ascii="Arial" w:hAnsi="Arial" w:cs="Arial"/>
                <w:sz w:val="16"/>
                <w:szCs w:val="16"/>
              </w:rPr>
              <w:t>Estimates</w:t>
            </w:r>
          </w:p>
        </w:tc>
        <w:tc>
          <w:tcPr>
            <w:tcW w:w="49" w:type="pct"/>
            <w:tcBorders>
              <w:top w:val="single" w:sz="4" w:space="0" w:color="293F5B"/>
              <w:left w:val="nil"/>
              <w:bottom w:val="nil"/>
              <w:right w:val="nil"/>
            </w:tcBorders>
            <w:shd w:val="clear" w:color="auto" w:fill="auto"/>
            <w:noWrap/>
            <w:vAlign w:val="center"/>
            <w:hideMark/>
          </w:tcPr>
          <w:p w14:paraId="60EA967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1319" w:type="pct"/>
            <w:gridSpan w:val="2"/>
            <w:tcBorders>
              <w:top w:val="single" w:sz="4" w:space="0" w:color="293F5B"/>
              <w:left w:val="nil"/>
              <w:bottom w:val="nil"/>
              <w:right w:val="nil"/>
            </w:tcBorders>
            <w:shd w:val="clear" w:color="auto" w:fill="auto"/>
            <w:noWrap/>
            <w:vAlign w:val="center"/>
            <w:hideMark/>
          </w:tcPr>
          <w:p w14:paraId="229AA813" w14:textId="77777777" w:rsidR="00E86835" w:rsidRPr="00205DD5" w:rsidRDefault="00E86835" w:rsidP="00E86835">
            <w:pPr>
              <w:spacing w:before="0" w:after="0" w:line="240" w:lineRule="auto"/>
              <w:jc w:val="center"/>
              <w:rPr>
                <w:rFonts w:ascii="Arial" w:hAnsi="Arial" w:cs="Arial"/>
                <w:sz w:val="16"/>
                <w:szCs w:val="16"/>
              </w:rPr>
            </w:pPr>
            <w:r w:rsidRPr="00205DD5">
              <w:rPr>
                <w:rFonts w:ascii="Arial" w:hAnsi="Arial" w:cs="Arial"/>
                <w:sz w:val="16"/>
                <w:szCs w:val="16"/>
              </w:rPr>
              <w:t>Change from 2024–25 Budget</w:t>
            </w:r>
          </w:p>
        </w:tc>
      </w:tr>
      <w:tr w:rsidR="00E86835" w:rsidRPr="00FF1D21" w14:paraId="136ED11F" w14:textId="77777777" w:rsidTr="00E86835">
        <w:trPr>
          <w:trHeight w:hRule="exact" w:val="226"/>
        </w:trPr>
        <w:tc>
          <w:tcPr>
            <w:tcW w:w="2180" w:type="pct"/>
            <w:tcBorders>
              <w:top w:val="nil"/>
              <w:left w:val="nil"/>
              <w:bottom w:val="nil"/>
              <w:right w:val="nil"/>
            </w:tcBorders>
            <w:shd w:val="clear" w:color="auto" w:fill="auto"/>
            <w:noWrap/>
            <w:vAlign w:val="center"/>
            <w:hideMark/>
          </w:tcPr>
          <w:p w14:paraId="72270614" w14:textId="77777777" w:rsidR="00E86835" w:rsidRPr="00FF1D21" w:rsidRDefault="00E86835" w:rsidP="00E86835">
            <w:pPr>
              <w:spacing w:before="0" w:after="0" w:line="240" w:lineRule="auto"/>
              <w:jc w:val="center"/>
              <w:rPr>
                <w:rFonts w:ascii="Arial" w:hAnsi="Arial" w:cs="Arial"/>
                <w:sz w:val="16"/>
                <w:szCs w:val="16"/>
                <w:highlight w:val="red"/>
              </w:rPr>
            </w:pPr>
          </w:p>
        </w:tc>
        <w:tc>
          <w:tcPr>
            <w:tcW w:w="726" w:type="pct"/>
            <w:tcBorders>
              <w:top w:val="single" w:sz="4" w:space="0" w:color="293F5B"/>
              <w:left w:val="nil"/>
              <w:bottom w:val="nil"/>
              <w:right w:val="nil"/>
            </w:tcBorders>
            <w:shd w:val="clear" w:color="000000" w:fill="FFFFFF"/>
            <w:noWrap/>
            <w:vAlign w:val="center"/>
            <w:hideMark/>
          </w:tcPr>
          <w:p w14:paraId="5E21150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2024–25 Budget</w:t>
            </w:r>
          </w:p>
        </w:tc>
        <w:tc>
          <w:tcPr>
            <w:tcW w:w="726" w:type="pct"/>
            <w:tcBorders>
              <w:top w:val="single" w:sz="4" w:space="0" w:color="293F5B"/>
              <w:left w:val="nil"/>
              <w:bottom w:val="nil"/>
              <w:right w:val="nil"/>
            </w:tcBorders>
            <w:shd w:val="clear" w:color="000000" w:fill="E6F2FF"/>
            <w:noWrap/>
            <w:vAlign w:val="center"/>
            <w:hideMark/>
          </w:tcPr>
          <w:p w14:paraId="3631108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2024–25 MYEFO</w:t>
            </w:r>
          </w:p>
        </w:tc>
        <w:tc>
          <w:tcPr>
            <w:tcW w:w="49" w:type="pct"/>
            <w:tcBorders>
              <w:top w:val="nil"/>
              <w:left w:val="nil"/>
              <w:bottom w:val="nil"/>
              <w:right w:val="nil"/>
            </w:tcBorders>
            <w:shd w:val="clear" w:color="auto" w:fill="auto"/>
            <w:noWrap/>
            <w:vAlign w:val="center"/>
            <w:hideMark/>
          </w:tcPr>
          <w:p w14:paraId="1352DF9C"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single" w:sz="4" w:space="0" w:color="293F5B"/>
              <w:left w:val="nil"/>
              <w:bottom w:val="nil"/>
              <w:right w:val="nil"/>
            </w:tcBorders>
            <w:shd w:val="clear" w:color="auto" w:fill="auto"/>
            <w:noWrap/>
            <w:vAlign w:val="center"/>
            <w:hideMark/>
          </w:tcPr>
          <w:p w14:paraId="6D5926BB"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659" w:type="pct"/>
            <w:tcBorders>
              <w:top w:val="single" w:sz="4" w:space="0" w:color="293F5B"/>
              <w:left w:val="nil"/>
              <w:bottom w:val="nil"/>
              <w:right w:val="nil"/>
            </w:tcBorders>
            <w:shd w:val="clear" w:color="auto" w:fill="auto"/>
            <w:noWrap/>
            <w:vAlign w:val="center"/>
            <w:hideMark/>
          </w:tcPr>
          <w:p w14:paraId="102FC394"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 </w:t>
            </w:r>
          </w:p>
        </w:tc>
      </w:tr>
      <w:tr w:rsidR="00E86835" w:rsidRPr="00FF1D21" w14:paraId="0234AEF7" w14:textId="77777777" w:rsidTr="00E86835">
        <w:trPr>
          <w:trHeight w:hRule="exact" w:val="226"/>
        </w:trPr>
        <w:tc>
          <w:tcPr>
            <w:tcW w:w="2180" w:type="pct"/>
            <w:tcBorders>
              <w:top w:val="nil"/>
              <w:left w:val="nil"/>
              <w:bottom w:val="nil"/>
              <w:right w:val="nil"/>
            </w:tcBorders>
            <w:shd w:val="clear" w:color="auto" w:fill="auto"/>
            <w:vAlign w:val="center"/>
            <w:hideMark/>
          </w:tcPr>
          <w:p w14:paraId="1D594943" w14:textId="77777777" w:rsidR="00E86835" w:rsidRPr="00FF1D21" w:rsidRDefault="00E86835" w:rsidP="00E86835">
            <w:pPr>
              <w:spacing w:before="0" w:after="0" w:line="240" w:lineRule="auto"/>
              <w:jc w:val="right"/>
              <w:rPr>
                <w:rFonts w:ascii="Arial" w:hAnsi="Arial" w:cs="Arial"/>
                <w:sz w:val="16"/>
                <w:szCs w:val="16"/>
                <w:highlight w:val="red"/>
              </w:rPr>
            </w:pPr>
          </w:p>
        </w:tc>
        <w:tc>
          <w:tcPr>
            <w:tcW w:w="726" w:type="pct"/>
            <w:tcBorders>
              <w:top w:val="nil"/>
              <w:left w:val="nil"/>
              <w:bottom w:val="nil"/>
              <w:right w:val="nil"/>
            </w:tcBorders>
            <w:shd w:val="clear" w:color="auto" w:fill="auto"/>
            <w:vAlign w:val="center"/>
            <w:hideMark/>
          </w:tcPr>
          <w:p w14:paraId="055C4F42"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$m</w:t>
            </w:r>
          </w:p>
        </w:tc>
        <w:tc>
          <w:tcPr>
            <w:tcW w:w="726" w:type="pct"/>
            <w:tcBorders>
              <w:top w:val="nil"/>
              <w:left w:val="nil"/>
              <w:bottom w:val="nil"/>
              <w:right w:val="nil"/>
            </w:tcBorders>
            <w:shd w:val="clear" w:color="000000" w:fill="E6F2FF"/>
            <w:noWrap/>
            <w:vAlign w:val="center"/>
            <w:hideMark/>
          </w:tcPr>
          <w:p w14:paraId="41594821"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$m</w:t>
            </w:r>
          </w:p>
        </w:tc>
        <w:tc>
          <w:tcPr>
            <w:tcW w:w="49" w:type="pct"/>
            <w:tcBorders>
              <w:top w:val="nil"/>
              <w:left w:val="nil"/>
              <w:bottom w:val="nil"/>
              <w:right w:val="nil"/>
            </w:tcBorders>
            <w:shd w:val="clear" w:color="auto" w:fill="auto"/>
            <w:vAlign w:val="center"/>
            <w:hideMark/>
          </w:tcPr>
          <w:p w14:paraId="1930F9D3"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vAlign w:val="center"/>
            <w:hideMark/>
          </w:tcPr>
          <w:p w14:paraId="06ECD358"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$m</w:t>
            </w:r>
          </w:p>
        </w:tc>
        <w:tc>
          <w:tcPr>
            <w:tcW w:w="659" w:type="pct"/>
            <w:tcBorders>
              <w:top w:val="nil"/>
              <w:left w:val="nil"/>
              <w:bottom w:val="nil"/>
              <w:right w:val="nil"/>
            </w:tcBorders>
            <w:shd w:val="clear" w:color="auto" w:fill="auto"/>
            <w:vAlign w:val="center"/>
            <w:hideMark/>
          </w:tcPr>
          <w:p w14:paraId="46749994"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w:t>
            </w:r>
          </w:p>
        </w:tc>
      </w:tr>
      <w:tr w:rsidR="00E86835" w:rsidRPr="00FF1D21" w14:paraId="1C3E0975" w14:textId="77777777" w:rsidTr="00E86835">
        <w:trPr>
          <w:trHeight w:hRule="exact" w:val="226"/>
        </w:trPr>
        <w:tc>
          <w:tcPr>
            <w:tcW w:w="2180" w:type="pct"/>
            <w:tcBorders>
              <w:top w:val="nil"/>
              <w:left w:val="nil"/>
              <w:bottom w:val="nil"/>
              <w:right w:val="nil"/>
            </w:tcBorders>
            <w:shd w:val="clear" w:color="auto" w:fill="auto"/>
            <w:noWrap/>
            <w:vAlign w:val="center"/>
            <w:hideMark/>
          </w:tcPr>
          <w:p w14:paraId="3A28F84C"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Individuals and other withholding taxes</w:t>
            </w:r>
          </w:p>
        </w:tc>
        <w:tc>
          <w:tcPr>
            <w:tcW w:w="726" w:type="pct"/>
            <w:tcBorders>
              <w:top w:val="single" w:sz="4" w:space="0" w:color="293F5B"/>
              <w:left w:val="nil"/>
              <w:bottom w:val="nil"/>
              <w:right w:val="nil"/>
            </w:tcBorders>
            <w:shd w:val="clear" w:color="auto" w:fill="auto"/>
            <w:noWrap/>
            <w:vAlign w:val="center"/>
            <w:hideMark/>
          </w:tcPr>
          <w:p w14:paraId="50CA48C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726" w:type="pct"/>
            <w:tcBorders>
              <w:top w:val="single" w:sz="4" w:space="0" w:color="293F5B"/>
              <w:left w:val="nil"/>
              <w:bottom w:val="nil"/>
              <w:right w:val="nil"/>
            </w:tcBorders>
            <w:shd w:val="clear" w:color="000000" w:fill="E6F2FF"/>
            <w:noWrap/>
            <w:vAlign w:val="center"/>
            <w:hideMark/>
          </w:tcPr>
          <w:p w14:paraId="7B573B4E"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49" w:type="pct"/>
            <w:tcBorders>
              <w:top w:val="nil"/>
              <w:left w:val="nil"/>
              <w:bottom w:val="nil"/>
              <w:right w:val="nil"/>
            </w:tcBorders>
            <w:shd w:val="clear" w:color="auto" w:fill="auto"/>
            <w:noWrap/>
            <w:vAlign w:val="center"/>
            <w:hideMark/>
          </w:tcPr>
          <w:p w14:paraId="5C8B1BF1" w14:textId="77777777" w:rsidR="00E86835" w:rsidRPr="00FF1D21" w:rsidRDefault="00E86835" w:rsidP="00E86835">
            <w:pPr>
              <w:spacing w:before="0" w:after="0" w:line="240" w:lineRule="auto"/>
              <w:rPr>
                <w:rFonts w:ascii="Arial" w:hAnsi="Arial" w:cs="Arial"/>
                <w:sz w:val="16"/>
                <w:szCs w:val="16"/>
                <w:highlight w:val="red"/>
              </w:rPr>
            </w:pPr>
          </w:p>
        </w:tc>
        <w:tc>
          <w:tcPr>
            <w:tcW w:w="659" w:type="pct"/>
            <w:tcBorders>
              <w:top w:val="single" w:sz="4" w:space="0" w:color="293F5B"/>
              <w:left w:val="nil"/>
              <w:bottom w:val="nil"/>
              <w:right w:val="nil"/>
            </w:tcBorders>
            <w:shd w:val="clear" w:color="auto" w:fill="auto"/>
            <w:noWrap/>
            <w:vAlign w:val="center"/>
            <w:hideMark/>
          </w:tcPr>
          <w:p w14:paraId="5FBBC916"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 </w:t>
            </w:r>
          </w:p>
        </w:tc>
        <w:tc>
          <w:tcPr>
            <w:tcW w:w="659" w:type="pct"/>
            <w:tcBorders>
              <w:top w:val="single" w:sz="4" w:space="0" w:color="293F5B"/>
              <w:left w:val="nil"/>
              <w:bottom w:val="nil"/>
              <w:right w:val="nil"/>
            </w:tcBorders>
            <w:shd w:val="clear" w:color="auto" w:fill="auto"/>
            <w:noWrap/>
            <w:vAlign w:val="center"/>
            <w:hideMark/>
          </w:tcPr>
          <w:p w14:paraId="421E3758" w14:textId="77777777" w:rsidR="00E86835" w:rsidRPr="00205DD5" w:rsidRDefault="00E86835" w:rsidP="00E86835">
            <w:pPr>
              <w:spacing w:before="0" w:after="0" w:line="240" w:lineRule="auto"/>
              <w:rPr>
                <w:rFonts w:ascii="Arial" w:hAnsi="Arial" w:cs="Arial"/>
                <w:b/>
                <w:sz w:val="16"/>
                <w:szCs w:val="16"/>
              </w:rPr>
            </w:pPr>
            <w:r w:rsidRPr="00205DD5">
              <w:rPr>
                <w:rFonts w:ascii="Arial" w:hAnsi="Arial" w:cs="Arial"/>
                <w:b/>
                <w:sz w:val="16"/>
                <w:szCs w:val="16"/>
              </w:rPr>
              <w:t> </w:t>
            </w:r>
          </w:p>
        </w:tc>
      </w:tr>
      <w:tr w:rsidR="00E86835" w:rsidRPr="00FF1D21" w14:paraId="0ACE54B2" w14:textId="77777777" w:rsidTr="00E86835">
        <w:trPr>
          <w:trHeight w:hRule="exact" w:val="226"/>
        </w:trPr>
        <w:tc>
          <w:tcPr>
            <w:tcW w:w="2180" w:type="pct"/>
            <w:tcBorders>
              <w:top w:val="nil"/>
              <w:left w:val="nil"/>
              <w:bottom w:val="nil"/>
              <w:right w:val="nil"/>
            </w:tcBorders>
            <w:shd w:val="clear" w:color="auto" w:fill="auto"/>
            <w:noWrap/>
            <w:vAlign w:val="center"/>
            <w:hideMark/>
          </w:tcPr>
          <w:p w14:paraId="12FD82DB"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Gross income tax withholding</w:t>
            </w:r>
          </w:p>
        </w:tc>
        <w:tc>
          <w:tcPr>
            <w:tcW w:w="726" w:type="pct"/>
            <w:tcBorders>
              <w:top w:val="nil"/>
              <w:left w:val="nil"/>
              <w:bottom w:val="nil"/>
              <w:right w:val="nil"/>
            </w:tcBorders>
            <w:shd w:val="clear" w:color="auto" w:fill="auto"/>
            <w:noWrap/>
            <w:vAlign w:val="center"/>
            <w:hideMark/>
          </w:tcPr>
          <w:p w14:paraId="2291CBA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290,300</w:t>
            </w:r>
          </w:p>
        </w:tc>
        <w:tc>
          <w:tcPr>
            <w:tcW w:w="726" w:type="pct"/>
            <w:tcBorders>
              <w:top w:val="nil"/>
              <w:left w:val="nil"/>
              <w:bottom w:val="nil"/>
              <w:right w:val="nil"/>
            </w:tcBorders>
            <w:shd w:val="clear" w:color="000000" w:fill="E6F2FF"/>
            <w:noWrap/>
            <w:vAlign w:val="center"/>
            <w:hideMark/>
          </w:tcPr>
          <w:p w14:paraId="4E3D783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293,600</w:t>
            </w:r>
          </w:p>
        </w:tc>
        <w:tc>
          <w:tcPr>
            <w:tcW w:w="49" w:type="pct"/>
            <w:tcBorders>
              <w:top w:val="nil"/>
              <w:left w:val="nil"/>
              <w:bottom w:val="nil"/>
              <w:right w:val="nil"/>
            </w:tcBorders>
            <w:shd w:val="clear" w:color="auto" w:fill="auto"/>
            <w:noWrap/>
            <w:vAlign w:val="center"/>
            <w:hideMark/>
          </w:tcPr>
          <w:p w14:paraId="2739AD93"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6AC4A0D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3,300</w:t>
            </w:r>
          </w:p>
        </w:tc>
        <w:tc>
          <w:tcPr>
            <w:tcW w:w="659" w:type="pct"/>
            <w:tcBorders>
              <w:top w:val="nil"/>
              <w:left w:val="nil"/>
              <w:bottom w:val="nil"/>
              <w:right w:val="nil"/>
            </w:tcBorders>
            <w:shd w:val="clear" w:color="auto" w:fill="auto"/>
            <w:noWrap/>
            <w:vAlign w:val="center"/>
            <w:hideMark/>
          </w:tcPr>
          <w:p w14:paraId="145B3A0A"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1.1</w:t>
            </w:r>
          </w:p>
        </w:tc>
      </w:tr>
      <w:tr w:rsidR="00E86835" w:rsidRPr="00FF1D21" w14:paraId="6AEBFCB5"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893F9F2"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Gross other individuals</w:t>
            </w:r>
          </w:p>
        </w:tc>
        <w:tc>
          <w:tcPr>
            <w:tcW w:w="726" w:type="pct"/>
            <w:tcBorders>
              <w:top w:val="nil"/>
              <w:left w:val="nil"/>
              <w:bottom w:val="nil"/>
              <w:right w:val="nil"/>
            </w:tcBorders>
            <w:shd w:val="clear" w:color="auto" w:fill="auto"/>
            <w:noWrap/>
            <w:vAlign w:val="center"/>
            <w:hideMark/>
          </w:tcPr>
          <w:p w14:paraId="4FE8851E"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76,800</w:t>
            </w:r>
          </w:p>
        </w:tc>
        <w:tc>
          <w:tcPr>
            <w:tcW w:w="726" w:type="pct"/>
            <w:tcBorders>
              <w:top w:val="nil"/>
              <w:left w:val="nil"/>
              <w:bottom w:val="nil"/>
              <w:right w:val="nil"/>
            </w:tcBorders>
            <w:shd w:val="clear" w:color="000000" w:fill="E6F2FF"/>
            <w:noWrap/>
            <w:vAlign w:val="center"/>
            <w:hideMark/>
          </w:tcPr>
          <w:p w14:paraId="26479F5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81,700</w:t>
            </w:r>
          </w:p>
        </w:tc>
        <w:tc>
          <w:tcPr>
            <w:tcW w:w="49" w:type="pct"/>
            <w:tcBorders>
              <w:top w:val="nil"/>
              <w:left w:val="nil"/>
              <w:bottom w:val="nil"/>
              <w:right w:val="nil"/>
            </w:tcBorders>
            <w:shd w:val="clear" w:color="auto" w:fill="auto"/>
            <w:noWrap/>
            <w:vAlign w:val="center"/>
            <w:hideMark/>
          </w:tcPr>
          <w:p w14:paraId="24B7FB4F"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4130DC7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4,900</w:t>
            </w:r>
          </w:p>
        </w:tc>
        <w:tc>
          <w:tcPr>
            <w:tcW w:w="659" w:type="pct"/>
            <w:tcBorders>
              <w:top w:val="nil"/>
              <w:left w:val="nil"/>
              <w:bottom w:val="nil"/>
              <w:right w:val="nil"/>
            </w:tcBorders>
            <w:shd w:val="clear" w:color="auto" w:fill="auto"/>
            <w:noWrap/>
            <w:vAlign w:val="center"/>
            <w:hideMark/>
          </w:tcPr>
          <w:p w14:paraId="0A86A81C"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6.4</w:t>
            </w:r>
          </w:p>
        </w:tc>
      </w:tr>
      <w:tr w:rsidR="00E86835" w:rsidRPr="00FF1D21" w14:paraId="7183999F" w14:textId="77777777" w:rsidTr="00E86835">
        <w:trPr>
          <w:trHeight w:hRule="exact" w:val="226"/>
        </w:trPr>
        <w:tc>
          <w:tcPr>
            <w:tcW w:w="2180" w:type="pct"/>
            <w:tcBorders>
              <w:top w:val="nil"/>
              <w:left w:val="nil"/>
              <w:bottom w:val="nil"/>
              <w:right w:val="nil"/>
            </w:tcBorders>
            <w:shd w:val="clear" w:color="auto" w:fill="auto"/>
            <w:noWrap/>
            <w:vAlign w:val="center"/>
            <w:hideMark/>
          </w:tcPr>
          <w:p w14:paraId="7A4A90FB" w14:textId="77777777" w:rsidR="00E86835" w:rsidRPr="00FF1D21" w:rsidRDefault="00E86835" w:rsidP="00E86835">
            <w:pPr>
              <w:spacing w:before="0" w:after="0" w:line="240" w:lineRule="auto"/>
              <w:ind w:left="170"/>
              <w:rPr>
                <w:rFonts w:ascii="Arial" w:hAnsi="Arial" w:cs="Arial"/>
                <w:i/>
                <w:sz w:val="16"/>
                <w:szCs w:val="16"/>
                <w:highlight w:val="red"/>
              </w:rPr>
            </w:pPr>
            <w:r w:rsidRPr="00205DD5">
              <w:rPr>
                <w:rFonts w:ascii="Arial" w:hAnsi="Arial" w:cs="Arial"/>
                <w:i/>
                <w:sz w:val="16"/>
                <w:szCs w:val="16"/>
              </w:rPr>
              <w:t>less:</w:t>
            </w:r>
            <w:r w:rsidRPr="00205DD5">
              <w:rPr>
                <w:rFonts w:ascii="Arial" w:hAnsi="Arial" w:cs="Arial"/>
                <w:sz w:val="16"/>
                <w:szCs w:val="16"/>
              </w:rPr>
              <w:t xml:space="preserve"> Refunds</w:t>
            </w:r>
          </w:p>
        </w:tc>
        <w:tc>
          <w:tcPr>
            <w:tcW w:w="726" w:type="pct"/>
            <w:tcBorders>
              <w:top w:val="nil"/>
              <w:left w:val="nil"/>
              <w:bottom w:val="single" w:sz="4" w:space="0" w:color="293F5B"/>
              <w:right w:val="nil"/>
            </w:tcBorders>
            <w:shd w:val="clear" w:color="auto" w:fill="auto"/>
            <w:noWrap/>
            <w:vAlign w:val="center"/>
            <w:hideMark/>
          </w:tcPr>
          <w:p w14:paraId="19A8D65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40,600</w:t>
            </w:r>
          </w:p>
        </w:tc>
        <w:tc>
          <w:tcPr>
            <w:tcW w:w="726" w:type="pct"/>
            <w:tcBorders>
              <w:top w:val="nil"/>
              <w:left w:val="nil"/>
              <w:bottom w:val="single" w:sz="4" w:space="0" w:color="293F5B"/>
              <w:right w:val="nil"/>
            </w:tcBorders>
            <w:shd w:val="clear" w:color="000000" w:fill="E6F2FF"/>
            <w:noWrap/>
            <w:vAlign w:val="center"/>
            <w:hideMark/>
          </w:tcPr>
          <w:p w14:paraId="7D32688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39,900</w:t>
            </w:r>
          </w:p>
        </w:tc>
        <w:tc>
          <w:tcPr>
            <w:tcW w:w="49" w:type="pct"/>
            <w:tcBorders>
              <w:top w:val="nil"/>
              <w:left w:val="nil"/>
              <w:bottom w:val="nil"/>
              <w:right w:val="nil"/>
            </w:tcBorders>
            <w:shd w:val="clear" w:color="auto" w:fill="auto"/>
            <w:noWrap/>
            <w:vAlign w:val="center"/>
            <w:hideMark/>
          </w:tcPr>
          <w:p w14:paraId="11E18027"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single" w:sz="4" w:space="0" w:color="293F5B"/>
              <w:right w:val="nil"/>
            </w:tcBorders>
            <w:shd w:val="clear" w:color="auto" w:fill="auto"/>
            <w:noWrap/>
            <w:vAlign w:val="center"/>
            <w:hideMark/>
          </w:tcPr>
          <w:p w14:paraId="12FE222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-700</w:t>
            </w:r>
          </w:p>
        </w:tc>
        <w:tc>
          <w:tcPr>
            <w:tcW w:w="659" w:type="pct"/>
            <w:tcBorders>
              <w:top w:val="nil"/>
              <w:left w:val="nil"/>
              <w:bottom w:val="single" w:sz="4" w:space="0" w:color="293F5B"/>
              <w:right w:val="nil"/>
            </w:tcBorders>
            <w:shd w:val="clear" w:color="auto" w:fill="auto"/>
            <w:noWrap/>
            <w:vAlign w:val="center"/>
            <w:hideMark/>
          </w:tcPr>
          <w:p w14:paraId="3A6FE3D1"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-1.7</w:t>
            </w:r>
          </w:p>
        </w:tc>
      </w:tr>
      <w:tr w:rsidR="00E86835" w:rsidRPr="00FF1D21" w14:paraId="497E9ADD"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0A95AA7"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Total individuals and other withholding tax</w:t>
            </w:r>
          </w:p>
        </w:tc>
        <w:tc>
          <w:tcPr>
            <w:tcW w:w="726" w:type="pct"/>
            <w:tcBorders>
              <w:top w:val="nil"/>
              <w:left w:val="nil"/>
              <w:bottom w:val="nil"/>
              <w:right w:val="nil"/>
            </w:tcBorders>
            <w:shd w:val="clear" w:color="auto" w:fill="auto"/>
            <w:noWrap/>
            <w:vAlign w:val="center"/>
            <w:hideMark/>
          </w:tcPr>
          <w:p w14:paraId="5C07961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326,500</w:t>
            </w:r>
          </w:p>
        </w:tc>
        <w:tc>
          <w:tcPr>
            <w:tcW w:w="726" w:type="pct"/>
            <w:tcBorders>
              <w:top w:val="nil"/>
              <w:left w:val="nil"/>
              <w:bottom w:val="nil"/>
              <w:right w:val="nil"/>
            </w:tcBorders>
            <w:shd w:val="clear" w:color="000000" w:fill="E6F2FF"/>
            <w:noWrap/>
            <w:vAlign w:val="center"/>
            <w:hideMark/>
          </w:tcPr>
          <w:p w14:paraId="2A1650B1"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335,400</w:t>
            </w:r>
          </w:p>
        </w:tc>
        <w:tc>
          <w:tcPr>
            <w:tcW w:w="49" w:type="pct"/>
            <w:tcBorders>
              <w:top w:val="nil"/>
              <w:left w:val="nil"/>
              <w:bottom w:val="nil"/>
              <w:right w:val="nil"/>
            </w:tcBorders>
            <w:shd w:val="clear" w:color="auto" w:fill="auto"/>
            <w:noWrap/>
            <w:vAlign w:val="center"/>
            <w:hideMark/>
          </w:tcPr>
          <w:p w14:paraId="352269B2"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043DB1E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8,900</w:t>
            </w:r>
          </w:p>
        </w:tc>
        <w:tc>
          <w:tcPr>
            <w:tcW w:w="659" w:type="pct"/>
            <w:tcBorders>
              <w:top w:val="nil"/>
              <w:left w:val="nil"/>
              <w:bottom w:val="nil"/>
              <w:right w:val="nil"/>
            </w:tcBorders>
            <w:shd w:val="clear" w:color="auto" w:fill="auto"/>
            <w:noWrap/>
            <w:vAlign w:val="center"/>
            <w:hideMark/>
          </w:tcPr>
          <w:p w14:paraId="4DDD9A8B"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2.7</w:t>
            </w:r>
          </w:p>
        </w:tc>
      </w:tr>
      <w:tr w:rsidR="00E86835" w:rsidRPr="00FF1D21" w14:paraId="5AE542BA" w14:textId="77777777" w:rsidTr="00E86835">
        <w:trPr>
          <w:trHeight w:hRule="exact" w:val="226"/>
        </w:trPr>
        <w:tc>
          <w:tcPr>
            <w:tcW w:w="2180" w:type="pct"/>
            <w:tcBorders>
              <w:top w:val="nil"/>
              <w:left w:val="nil"/>
              <w:bottom w:val="nil"/>
              <w:right w:val="nil"/>
            </w:tcBorders>
            <w:shd w:val="clear" w:color="auto" w:fill="auto"/>
            <w:noWrap/>
            <w:vAlign w:val="center"/>
            <w:hideMark/>
          </w:tcPr>
          <w:p w14:paraId="1907FE5C"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Fringe benefits tax</w:t>
            </w:r>
          </w:p>
        </w:tc>
        <w:tc>
          <w:tcPr>
            <w:tcW w:w="726" w:type="pct"/>
            <w:tcBorders>
              <w:top w:val="nil"/>
              <w:left w:val="nil"/>
              <w:bottom w:val="nil"/>
              <w:right w:val="nil"/>
            </w:tcBorders>
            <w:shd w:val="clear" w:color="auto" w:fill="auto"/>
            <w:noWrap/>
            <w:vAlign w:val="center"/>
            <w:hideMark/>
          </w:tcPr>
          <w:p w14:paraId="62B5BC61"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4,210</w:t>
            </w:r>
          </w:p>
        </w:tc>
        <w:tc>
          <w:tcPr>
            <w:tcW w:w="726" w:type="pct"/>
            <w:tcBorders>
              <w:top w:val="nil"/>
              <w:left w:val="nil"/>
              <w:bottom w:val="nil"/>
              <w:right w:val="nil"/>
            </w:tcBorders>
            <w:shd w:val="clear" w:color="000000" w:fill="E6F2FF"/>
            <w:noWrap/>
            <w:vAlign w:val="center"/>
            <w:hideMark/>
          </w:tcPr>
          <w:p w14:paraId="7108AE7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4,910</w:t>
            </w:r>
          </w:p>
        </w:tc>
        <w:tc>
          <w:tcPr>
            <w:tcW w:w="49" w:type="pct"/>
            <w:tcBorders>
              <w:top w:val="nil"/>
              <w:left w:val="nil"/>
              <w:bottom w:val="nil"/>
              <w:right w:val="nil"/>
            </w:tcBorders>
            <w:shd w:val="clear" w:color="auto" w:fill="auto"/>
            <w:noWrap/>
            <w:vAlign w:val="center"/>
            <w:hideMark/>
          </w:tcPr>
          <w:p w14:paraId="751A64F8"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10A0789B"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700</w:t>
            </w:r>
          </w:p>
        </w:tc>
        <w:tc>
          <w:tcPr>
            <w:tcW w:w="659" w:type="pct"/>
            <w:tcBorders>
              <w:top w:val="nil"/>
              <w:left w:val="nil"/>
              <w:bottom w:val="nil"/>
              <w:right w:val="nil"/>
            </w:tcBorders>
            <w:shd w:val="clear" w:color="auto" w:fill="auto"/>
            <w:noWrap/>
            <w:vAlign w:val="center"/>
            <w:hideMark/>
          </w:tcPr>
          <w:p w14:paraId="773F852F"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16.6</w:t>
            </w:r>
          </w:p>
        </w:tc>
      </w:tr>
      <w:tr w:rsidR="00E86835" w:rsidRPr="00FF1D21" w14:paraId="1302D1C4"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83DADB7"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Company tax</w:t>
            </w:r>
          </w:p>
        </w:tc>
        <w:tc>
          <w:tcPr>
            <w:tcW w:w="726" w:type="pct"/>
            <w:tcBorders>
              <w:top w:val="nil"/>
              <w:left w:val="nil"/>
              <w:bottom w:val="nil"/>
              <w:right w:val="nil"/>
            </w:tcBorders>
            <w:shd w:val="clear" w:color="auto" w:fill="auto"/>
            <w:noWrap/>
            <w:vAlign w:val="center"/>
            <w:hideMark/>
          </w:tcPr>
          <w:p w14:paraId="613E1EA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139,100</w:t>
            </w:r>
          </w:p>
        </w:tc>
        <w:tc>
          <w:tcPr>
            <w:tcW w:w="726" w:type="pct"/>
            <w:tcBorders>
              <w:top w:val="nil"/>
              <w:left w:val="nil"/>
              <w:bottom w:val="nil"/>
              <w:right w:val="nil"/>
            </w:tcBorders>
            <w:shd w:val="clear" w:color="000000" w:fill="E6F2FF"/>
            <w:noWrap/>
            <w:vAlign w:val="center"/>
            <w:hideMark/>
          </w:tcPr>
          <w:p w14:paraId="272A7FA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132,500</w:t>
            </w:r>
          </w:p>
        </w:tc>
        <w:tc>
          <w:tcPr>
            <w:tcW w:w="49" w:type="pct"/>
            <w:tcBorders>
              <w:top w:val="nil"/>
              <w:left w:val="nil"/>
              <w:bottom w:val="nil"/>
              <w:right w:val="nil"/>
            </w:tcBorders>
            <w:shd w:val="clear" w:color="auto" w:fill="auto"/>
            <w:noWrap/>
            <w:vAlign w:val="center"/>
            <w:hideMark/>
          </w:tcPr>
          <w:p w14:paraId="246EF53E"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4FC3166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-6,600</w:t>
            </w:r>
          </w:p>
        </w:tc>
        <w:tc>
          <w:tcPr>
            <w:tcW w:w="659" w:type="pct"/>
            <w:tcBorders>
              <w:top w:val="nil"/>
              <w:left w:val="nil"/>
              <w:bottom w:val="nil"/>
              <w:right w:val="nil"/>
            </w:tcBorders>
            <w:shd w:val="clear" w:color="auto" w:fill="auto"/>
            <w:noWrap/>
            <w:vAlign w:val="center"/>
            <w:hideMark/>
          </w:tcPr>
          <w:p w14:paraId="0A3E4C53"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-4.7</w:t>
            </w:r>
          </w:p>
        </w:tc>
      </w:tr>
      <w:tr w:rsidR="00E86835" w:rsidRPr="00FF1D21" w14:paraId="33CBB74E"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E35F5DC"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Superannuation fund taxes</w:t>
            </w:r>
          </w:p>
        </w:tc>
        <w:tc>
          <w:tcPr>
            <w:tcW w:w="726" w:type="pct"/>
            <w:tcBorders>
              <w:top w:val="nil"/>
              <w:left w:val="nil"/>
              <w:bottom w:val="nil"/>
              <w:right w:val="nil"/>
            </w:tcBorders>
            <w:shd w:val="clear" w:color="auto" w:fill="auto"/>
            <w:noWrap/>
            <w:vAlign w:val="center"/>
            <w:hideMark/>
          </w:tcPr>
          <w:p w14:paraId="2725F8D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19,810</w:t>
            </w:r>
          </w:p>
        </w:tc>
        <w:tc>
          <w:tcPr>
            <w:tcW w:w="726" w:type="pct"/>
            <w:tcBorders>
              <w:top w:val="nil"/>
              <w:left w:val="nil"/>
              <w:bottom w:val="nil"/>
              <w:right w:val="nil"/>
            </w:tcBorders>
            <w:shd w:val="clear" w:color="000000" w:fill="E6F2FF"/>
            <w:noWrap/>
            <w:vAlign w:val="center"/>
            <w:hideMark/>
          </w:tcPr>
          <w:p w14:paraId="76C792E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21,910</w:t>
            </w:r>
          </w:p>
        </w:tc>
        <w:tc>
          <w:tcPr>
            <w:tcW w:w="49" w:type="pct"/>
            <w:tcBorders>
              <w:top w:val="nil"/>
              <w:left w:val="nil"/>
              <w:bottom w:val="nil"/>
              <w:right w:val="nil"/>
            </w:tcBorders>
            <w:shd w:val="clear" w:color="auto" w:fill="auto"/>
            <w:noWrap/>
            <w:vAlign w:val="center"/>
            <w:hideMark/>
          </w:tcPr>
          <w:p w14:paraId="615AFF4E"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7B01427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2,100</w:t>
            </w:r>
          </w:p>
        </w:tc>
        <w:tc>
          <w:tcPr>
            <w:tcW w:w="659" w:type="pct"/>
            <w:tcBorders>
              <w:top w:val="nil"/>
              <w:left w:val="nil"/>
              <w:bottom w:val="nil"/>
              <w:right w:val="nil"/>
            </w:tcBorders>
            <w:shd w:val="clear" w:color="auto" w:fill="auto"/>
            <w:noWrap/>
            <w:vAlign w:val="center"/>
            <w:hideMark/>
          </w:tcPr>
          <w:p w14:paraId="7A5F444A"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10.6</w:t>
            </w:r>
          </w:p>
        </w:tc>
      </w:tr>
      <w:tr w:rsidR="00E86835" w:rsidRPr="00FF1D21" w14:paraId="24B0850A"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943FEE2"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Petroleum resource rent tax</w:t>
            </w:r>
          </w:p>
        </w:tc>
        <w:tc>
          <w:tcPr>
            <w:tcW w:w="726" w:type="pct"/>
            <w:tcBorders>
              <w:top w:val="nil"/>
              <w:left w:val="nil"/>
              <w:bottom w:val="nil"/>
              <w:right w:val="nil"/>
            </w:tcBorders>
            <w:shd w:val="clear" w:color="auto" w:fill="auto"/>
            <w:noWrap/>
            <w:vAlign w:val="center"/>
            <w:hideMark/>
          </w:tcPr>
          <w:p w14:paraId="3095EBE2"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2,650</w:t>
            </w:r>
          </w:p>
        </w:tc>
        <w:tc>
          <w:tcPr>
            <w:tcW w:w="726" w:type="pct"/>
            <w:tcBorders>
              <w:top w:val="nil"/>
              <w:left w:val="nil"/>
              <w:bottom w:val="nil"/>
              <w:right w:val="nil"/>
            </w:tcBorders>
            <w:shd w:val="clear" w:color="000000" w:fill="E6F2FF"/>
            <w:noWrap/>
            <w:vAlign w:val="center"/>
            <w:hideMark/>
          </w:tcPr>
          <w:p w14:paraId="0287176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1,350</w:t>
            </w:r>
          </w:p>
        </w:tc>
        <w:tc>
          <w:tcPr>
            <w:tcW w:w="49" w:type="pct"/>
            <w:tcBorders>
              <w:top w:val="nil"/>
              <w:left w:val="nil"/>
              <w:bottom w:val="nil"/>
              <w:right w:val="nil"/>
            </w:tcBorders>
            <w:shd w:val="clear" w:color="auto" w:fill="auto"/>
            <w:noWrap/>
            <w:vAlign w:val="center"/>
            <w:hideMark/>
          </w:tcPr>
          <w:p w14:paraId="13992C73"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764AF871"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-1,300</w:t>
            </w:r>
          </w:p>
        </w:tc>
        <w:tc>
          <w:tcPr>
            <w:tcW w:w="659" w:type="pct"/>
            <w:tcBorders>
              <w:top w:val="nil"/>
              <w:left w:val="nil"/>
              <w:bottom w:val="nil"/>
              <w:right w:val="nil"/>
            </w:tcBorders>
            <w:shd w:val="clear" w:color="auto" w:fill="auto"/>
            <w:noWrap/>
            <w:vAlign w:val="center"/>
            <w:hideMark/>
          </w:tcPr>
          <w:p w14:paraId="3529EE87"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-49.1</w:t>
            </w:r>
          </w:p>
        </w:tc>
      </w:tr>
      <w:tr w:rsidR="00E86835" w:rsidRPr="00FF1D21" w14:paraId="1B809FF2"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2EC9BDD"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Income taxation receipts</w:t>
            </w:r>
          </w:p>
        </w:tc>
        <w:tc>
          <w:tcPr>
            <w:tcW w:w="726" w:type="pct"/>
            <w:tcBorders>
              <w:top w:val="single" w:sz="4" w:space="0" w:color="293F5B"/>
              <w:left w:val="nil"/>
              <w:bottom w:val="single" w:sz="4" w:space="0" w:color="293F5B"/>
              <w:right w:val="nil"/>
            </w:tcBorders>
            <w:shd w:val="clear" w:color="auto" w:fill="auto"/>
            <w:noWrap/>
            <w:vAlign w:val="center"/>
            <w:hideMark/>
          </w:tcPr>
          <w:p w14:paraId="6A242ED8"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492,270</w:t>
            </w:r>
          </w:p>
        </w:tc>
        <w:tc>
          <w:tcPr>
            <w:tcW w:w="726" w:type="pct"/>
            <w:tcBorders>
              <w:top w:val="single" w:sz="4" w:space="0" w:color="293F5B"/>
              <w:left w:val="nil"/>
              <w:bottom w:val="single" w:sz="4" w:space="0" w:color="293F5B"/>
              <w:right w:val="nil"/>
            </w:tcBorders>
            <w:shd w:val="clear" w:color="000000" w:fill="E6F2FF"/>
            <w:noWrap/>
            <w:vAlign w:val="center"/>
            <w:hideMark/>
          </w:tcPr>
          <w:p w14:paraId="09261234"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496,070</w:t>
            </w:r>
          </w:p>
        </w:tc>
        <w:tc>
          <w:tcPr>
            <w:tcW w:w="49" w:type="pct"/>
            <w:tcBorders>
              <w:top w:val="nil"/>
              <w:left w:val="nil"/>
              <w:bottom w:val="nil"/>
              <w:right w:val="nil"/>
            </w:tcBorders>
            <w:shd w:val="clear" w:color="auto" w:fill="auto"/>
            <w:noWrap/>
            <w:vAlign w:val="center"/>
            <w:hideMark/>
          </w:tcPr>
          <w:p w14:paraId="1495006D"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659" w:type="pct"/>
            <w:tcBorders>
              <w:top w:val="single" w:sz="4" w:space="0" w:color="293F5B"/>
              <w:left w:val="nil"/>
              <w:bottom w:val="single" w:sz="4" w:space="0" w:color="293F5B"/>
              <w:right w:val="nil"/>
            </w:tcBorders>
            <w:shd w:val="clear" w:color="auto" w:fill="auto"/>
            <w:noWrap/>
            <w:vAlign w:val="center"/>
            <w:hideMark/>
          </w:tcPr>
          <w:p w14:paraId="333E1D88"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3,800</w:t>
            </w:r>
          </w:p>
        </w:tc>
        <w:tc>
          <w:tcPr>
            <w:tcW w:w="659" w:type="pct"/>
            <w:tcBorders>
              <w:top w:val="single" w:sz="4" w:space="0" w:color="293F5B"/>
              <w:left w:val="nil"/>
              <w:bottom w:val="single" w:sz="4" w:space="0" w:color="293F5B"/>
              <w:right w:val="nil"/>
            </w:tcBorders>
            <w:shd w:val="clear" w:color="auto" w:fill="auto"/>
            <w:noWrap/>
            <w:vAlign w:val="center"/>
            <w:hideMark/>
          </w:tcPr>
          <w:p w14:paraId="70FFAC44" w14:textId="77777777" w:rsidR="00E86835" w:rsidRPr="00205DD5" w:rsidRDefault="00E86835" w:rsidP="00E86835">
            <w:pPr>
              <w:spacing w:before="0" w:after="0" w:line="240" w:lineRule="auto"/>
              <w:jc w:val="right"/>
              <w:rPr>
                <w:rFonts w:ascii="Arial" w:hAnsi="Arial" w:cs="Arial"/>
                <w:b/>
                <w:sz w:val="16"/>
                <w:szCs w:val="16"/>
              </w:rPr>
            </w:pPr>
            <w:r w:rsidRPr="00205DD5">
              <w:rPr>
                <w:rFonts w:ascii="Arial" w:hAnsi="Arial" w:cs="Arial"/>
                <w:b/>
                <w:sz w:val="16"/>
                <w:szCs w:val="16"/>
              </w:rPr>
              <w:t>0.8</w:t>
            </w:r>
          </w:p>
        </w:tc>
      </w:tr>
      <w:tr w:rsidR="00E86835" w:rsidRPr="00FF1D21" w14:paraId="1AFE5325" w14:textId="77777777" w:rsidTr="00E86835">
        <w:trPr>
          <w:trHeight w:hRule="exact" w:val="60"/>
        </w:trPr>
        <w:tc>
          <w:tcPr>
            <w:tcW w:w="2180" w:type="pct"/>
            <w:tcBorders>
              <w:top w:val="nil"/>
              <w:left w:val="nil"/>
              <w:bottom w:val="nil"/>
              <w:right w:val="nil"/>
            </w:tcBorders>
            <w:shd w:val="clear" w:color="auto" w:fill="auto"/>
            <w:noWrap/>
            <w:vAlign w:val="center"/>
            <w:hideMark/>
          </w:tcPr>
          <w:p w14:paraId="3084C87A"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726" w:type="pct"/>
            <w:tcBorders>
              <w:top w:val="nil"/>
              <w:left w:val="nil"/>
              <w:bottom w:val="nil"/>
              <w:right w:val="nil"/>
            </w:tcBorders>
            <w:shd w:val="clear" w:color="auto" w:fill="auto"/>
            <w:noWrap/>
            <w:vAlign w:val="center"/>
            <w:hideMark/>
          </w:tcPr>
          <w:p w14:paraId="710BC7AF" w14:textId="77777777" w:rsidR="00E86835" w:rsidRPr="00FF1D21" w:rsidRDefault="00E86835" w:rsidP="00E86835">
            <w:pPr>
              <w:spacing w:before="0" w:after="0" w:line="240" w:lineRule="auto"/>
              <w:rPr>
                <w:rFonts w:ascii="Times New Roman" w:hAnsi="Times New Roman"/>
                <w:sz w:val="20"/>
                <w:highlight w:val="red"/>
              </w:rPr>
            </w:pPr>
          </w:p>
        </w:tc>
        <w:tc>
          <w:tcPr>
            <w:tcW w:w="726" w:type="pct"/>
            <w:tcBorders>
              <w:top w:val="nil"/>
              <w:left w:val="nil"/>
              <w:bottom w:val="nil"/>
              <w:right w:val="nil"/>
            </w:tcBorders>
            <w:shd w:val="clear" w:color="000000" w:fill="E6F2FF"/>
            <w:noWrap/>
            <w:vAlign w:val="center"/>
            <w:hideMark/>
          </w:tcPr>
          <w:p w14:paraId="6BF87CD5"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9" w:type="pct"/>
            <w:tcBorders>
              <w:top w:val="nil"/>
              <w:left w:val="nil"/>
              <w:bottom w:val="nil"/>
              <w:right w:val="nil"/>
            </w:tcBorders>
            <w:shd w:val="clear" w:color="auto" w:fill="auto"/>
            <w:noWrap/>
            <w:vAlign w:val="center"/>
            <w:hideMark/>
          </w:tcPr>
          <w:p w14:paraId="36D9E5C0"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659" w:type="pct"/>
            <w:tcBorders>
              <w:top w:val="nil"/>
              <w:left w:val="nil"/>
              <w:bottom w:val="nil"/>
              <w:right w:val="nil"/>
            </w:tcBorders>
            <w:shd w:val="clear" w:color="auto" w:fill="auto"/>
            <w:noWrap/>
            <w:vAlign w:val="center"/>
            <w:hideMark/>
          </w:tcPr>
          <w:p w14:paraId="604FBFA7" w14:textId="77777777" w:rsidR="00E86835" w:rsidRPr="00FF1D21" w:rsidRDefault="00E86835" w:rsidP="00E86835">
            <w:pPr>
              <w:spacing w:before="0" w:after="0" w:line="240" w:lineRule="auto"/>
              <w:jc w:val="right"/>
              <w:rPr>
                <w:rFonts w:ascii="Times New Roman" w:hAnsi="Times New Roman"/>
                <w:sz w:val="20"/>
                <w:highlight w:val="red"/>
              </w:rPr>
            </w:pPr>
          </w:p>
        </w:tc>
        <w:tc>
          <w:tcPr>
            <w:tcW w:w="659" w:type="pct"/>
            <w:tcBorders>
              <w:top w:val="nil"/>
              <w:left w:val="nil"/>
              <w:bottom w:val="nil"/>
              <w:right w:val="nil"/>
            </w:tcBorders>
            <w:shd w:val="clear" w:color="auto" w:fill="auto"/>
            <w:noWrap/>
            <w:vAlign w:val="center"/>
            <w:hideMark/>
          </w:tcPr>
          <w:p w14:paraId="6E785FC1" w14:textId="77777777" w:rsidR="00E86835" w:rsidRPr="00205DD5" w:rsidRDefault="00E86835" w:rsidP="00E86835">
            <w:pPr>
              <w:spacing w:before="0" w:after="0" w:line="240" w:lineRule="auto"/>
              <w:jc w:val="right"/>
              <w:rPr>
                <w:rFonts w:ascii="Times New Roman" w:hAnsi="Times New Roman"/>
                <w:sz w:val="20"/>
              </w:rPr>
            </w:pPr>
          </w:p>
        </w:tc>
      </w:tr>
      <w:tr w:rsidR="00E86835" w:rsidRPr="00FF1D21" w14:paraId="72BAF2FC"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9C878CD"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Goods and services tax</w:t>
            </w:r>
          </w:p>
        </w:tc>
        <w:tc>
          <w:tcPr>
            <w:tcW w:w="726" w:type="pct"/>
            <w:tcBorders>
              <w:top w:val="nil"/>
              <w:left w:val="nil"/>
              <w:bottom w:val="nil"/>
              <w:right w:val="nil"/>
            </w:tcBorders>
            <w:shd w:val="clear" w:color="auto" w:fill="auto"/>
            <w:noWrap/>
            <w:vAlign w:val="center"/>
            <w:hideMark/>
          </w:tcPr>
          <w:p w14:paraId="0ACF197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87,673</w:t>
            </w:r>
          </w:p>
        </w:tc>
        <w:tc>
          <w:tcPr>
            <w:tcW w:w="726" w:type="pct"/>
            <w:tcBorders>
              <w:top w:val="nil"/>
              <w:left w:val="nil"/>
              <w:bottom w:val="nil"/>
              <w:right w:val="nil"/>
            </w:tcBorders>
            <w:shd w:val="clear" w:color="000000" w:fill="E6F2FF"/>
            <w:noWrap/>
            <w:vAlign w:val="center"/>
            <w:hideMark/>
          </w:tcPr>
          <w:p w14:paraId="46104DD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89,753</w:t>
            </w:r>
          </w:p>
        </w:tc>
        <w:tc>
          <w:tcPr>
            <w:tcW w:w="49" w:type="pct"/>
            <w:tcBorders>
              <w:top w:val="nil"/>
              <w:left w:val="nil"/>
              <w:bottom w:val="nil"/>
              <w:right w:val="nil"/>
            </w:tcBorders>
            <w:shd w:val="clear" w:color="auto" w:fill="auto"/>
            <w:noWrap/>
            <w:vAlign w:val="center"/>
            <w:hideMark/>
          </w:tcPr>
          <w:p w14:paraId="7A86C449"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1F25118B"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2,080</w:t>
            </w:r>
          </w:p>
        </w:tc>
        <w:tc>
          <w:tcPr>
            <w:tcW w:w="659" w:type="pct"/>
            <w:tcBorders>
              <w:top w:val="nil"/>
              <w:left w:val="nil"/>
              <w:bottom w:val="nil"/>
              <w:right w:val="nil"/>
            </w:tcBorders>
            <w:shd w:val="clear" w:color="auto" w:fill="auto"/>
            <w:noWrap/>
            <w:vAlign w:val="center"/>
            <w:hideMark/>
          </w:tcPr>
          <w:p w14:paraId="6C1EC00F"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2.4</w:t>
            </w:r>
          </w:p>
        </w:tc>
      </w:tr>
      <w:tr w:rsidR="00E86835" w:rsidRPr="00FF1D21" w14:paraId="3BE24A51" w14:textId="77777777" w:rsidTr="00E86835">
        <w:trPr>
          <w:trHeight w:hRule="exact" w:val="226"/>
        </w:trPr>
        <w:tc>
          <w:tcPr>
            <w:tcW w:w="2180" w:type="pct"/>
            <w:tcBorders>
              <w:top w:val="nil"/>
              <w:left w:val="nil"/>
              <w:bottom w:val="nil"/>
              <w:right w:val="nil"/>
            </w:tcBorders>
            <w:shd w:val="clear" w:color="auto" w:fill="auto"/>
            <w:noWrap/>
            <w:vAlign w:val="center"/>
            <w:hideMark/>
          </w:tcPr>
          <w:p w14:paraId="0908B159"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Wine equalisation tax</w:t>
            </w:r>
          </w:p>
        </w:tc>
        <w:tc>
          <w:tcPr>
            <w:tcW w:w="726" w:type="pct"/>
            <w:tcBorders>
              <w:top w:val="nil"/>
              <w:left w:val="nil"/>
              <w:bottom w:val="nil"/>
              <w:right w:val="nil"/>
            </w:tcBorders>
            <w:shd w:val="clear" w:color="auto" w:fill="auto"/>
            <w:noWrap/>
            <w:vAlign w:val="center"/>
            <w:hideMark/>
          </w:tcPr>
          <w:p w14:paraId="2D886A4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1,150</w:t>
            </w:r>
          </w:p>
        </w:tc>
        <w:tc>
          <w:tcPr>
            <w:tcW w:w="726" w:type="pct"/>
            <w:tcBorders>
              <w:top w:val="nil"/>
              <w:left w:val="nil"/>
              <w:bottom w:val="nil"/>
              <w:right w:val="nil"/>
            </w:tcBorders>
            <w:shd w:val="clear" w:color="000000" w:fill="E6F2FF"/>
            <w:noWrap/>
            <w:vAlign w:val="center"/>
            <w:hideMark/>
          </w:tcPr>
          <w:p w14:paraId="6562733F"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1,120</w:t>
            </w:r>
          </w:p>
        </w:tc>
        <w:tc>
          <w:tcPr>
            <w:tcW w:w="49" w:type="pct"/>
            <w:tcBorders>
              <w:top w:val="nil"/>
              <w:left w:val="nil"/>
              <w:bottom w:val="nil"/>
              <w:right w:val="nil"/>
            </w:tcBorders>
            <w:shd w:val="clear" w:color="auto" w:fill="auto"/>
            <w:noWrap/>
            <w:vAlign w:val="center"/>
            <w:hideMark/>
          </w:tcPr>
          <w:p w14:paraId="0CEC13FA"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57C71A5C"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-30</w:t>
            </w:r>
          </w:p>
        </w:tc>
        <w:tc>
          <w:tcPr>
            <w:tcW w:w="659" w:type="pct"/>
            <w:tcBorders>
              <w:top w:val="nil"/>
              <w:left w:val="nil"/>
              <w:bottom w:val="nil"/>
              <w:right w:val="nil"/>
            </w:tcBorders>
            <w:shd w:val="clear" w:color="auto" w:fill="auto"/>
            <w:noWrap/>
            <w:vAlign w:val="center"/>
            <w:hideMark/>
          </w:tcPr>
          <w:p w14:paraId="0C4B32A3"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-2.6</w:t>
            </w:r>
          </w:p>
        </w:tc>
      </w:tr>
      <w:tr w:rsidR="00E86835" w:rsidRPr="00FF1D21" w14:paraId="560ADC83" w14:textId="77777777" w:rsidTr="00E86835">
        <w:trPr>
          <w:trHeight w:hRule="exact" w:val="226"/>
        </w:trPr>
        <w:tc>
          <w:tcPr>
            <w:tcW w:w="2180" w:type="pct"/>
            <w:tcBorders>
              <w:top w:val="nil"/>
              <w:left w:val="nil"/>
              <w:bottom w:val="nil"/>
              <w:right w:val="nil"/>
            </w:tcBorders>
            <w:shd w:val="clear" w:color="auto" w:fill="auto"/>
            <w:noWrap/>
            <w:vAlign w:val="center"/>
            <w:hideMark/>
          </w:tcPr>
          <w:p w14:paraId="7349DA9E"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Luxury car tax</w:t>
            </w:r>
          </w:p>
        </w:tc>
        <w:tc>
          <w:tcPr>
            <w:tcW w:w="726" w:type="pct"/>
            <w:tcBorders>
              <w:top w:val="nil"/>
              <w:left w:val="nil"/>
              <w:bottom w:val="nil"/>
              <w:right w:val="nil"/>
            </w:tcBorders>
            <w:shd w:val="clear" w:color="auto" w:fill="auto"/>
            <w:noWrap/>
            <w:vAlign w:val="center"/>
            <w:hideMark/>
          </w:tcPr>
          <w:p w14:paraId="7354CD6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1,140</w:t>
            </w:r>
          </w:p>
        </w:tc>
        <w:tc>
          <w:tcPr>
            <w:tcW w:w="726" w:type="pct"/>
            <w:tcBorders>
              <w:top w:val="nil"/>
              <w:left w:val="nil"/>
              <w:bottom w:val="nil"/>
              <w:right w:val="nil"/>
            </w:tcBorders>
            <w:shd w:val="clear" w:color="000000" w:fill="E6F2FF"/>
            <w:noWrap/>
            <w:vAlign w:val="center"/>
            <w:hideMark/>
          </w:tcPr>
          <w:p w14:paraId="1758680C"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1,170</w:t>
            </w:r>
          </w:p>
        </w:tc>
        <w:tc>
          <w:tcPr>
            <w:tcW w:w="49" w:type="pct"/>
            <w:tcBorders>
              <w:top w:val="nil"/>
              <w:left w:val="nil"/>
              <w:bottom w:val="nil"/>
              <w:right w:val="nil"/>
            </w:tcBorders>
            <w:shd w:val="clear" w:color="auto" w:fill="auto"/>
            <w:noWrap/>
            <w:vAlign w:val="center"/>
            <w:hideMark/>
          </w:tcPr>
          <w:p w14:paraId="359C4B6F"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4806A83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30</w:t>
            </w:r>
          </w:p>
        </w:tc>
        <w:tc>
          <w:tcPr>
            <w:tcW w:w="659" w:type="pct"/>
            <w:tcBorders>
              <w:top w:val="nil"/>
              <w:left w:val="nil"/>
              <w:bottom w:val="nil"/>
              <w:right w:val="nil"/>
            </w:tcBorders>
            <w:shd w:val="clear" w:color="auto" w:fill="auto"/>
            <w:noWrap/>
            <w:vAlign w:val="center"/>
            <w:hideMark/>
          </w:tcPr>
          <w:p w14:paraId="426FCCA6"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2.6</w:t>
            </w:r>
          </w:p>
        </w:tc>
      </w:tr>
      <w:tr w:rsidR="00E86835" w:rsidRPr="00FF1D21" w14:paraId="21F48BEB" w14:textId="77777777" w:rsidTr="00E86835">
        <w:trPr>
          <w:trHeight w:hRule="exact" w:val="226"/>
        </w:trPr>
        <w:tc>
          <w:tcPr>
            <w:tcW w:w="2180" w:type="pct"/>
            <w:tcBorders>
              <w:top w:val="nil"/>
              <w:left w:val="nil"/>
              <w:bottom w:val="nil"/>
              <w:right w:val="nil"/>
            </w:tcBorders>
            <w:shd w:val="clear" w:color="auto" w:fill="auto"/>
            <w:noWrap/>
            <w:vAlign w:val="center"/>
            <w:hideMark/>
          </w:tcPr>
          <w:p w14:paraId="79BA701E"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Excise and customs duty</w:t>
            </w:r>
          </w:p>
        </w:tc>
        <w:tc>
          <w:tcPr>
            <w:tcW w:w="726" w:type="pct"/>
            <w:tcBorders>
              <w:top w:val="nil"/>
              <w:left w:val="nil"/>
              <w:bottom w:val="nil"/>
              <w:right w:val="nil"/>
            </w:tcBorders>
            <w:shd w:val="clear" w:color="auto" w:fill="auto"/>
            <w:noWrap/>
            <w:vAlign w:val="center"/>
            <w:hideMark/>
          </w:tcPr>
          <w:p w14:paraId="006C29A3" w14:textId="77777777" w:rsidR="00E86835" w:rsidRPr="00FF1D21" w:rsidRDefault="00E86835" w:rsidP="00E86835">
            <w:pPr>
              <w:spacing w:before="0" w:after="0" w:line="240" w:lineRule="auto"/>
              <w:rPr>
                <w:rFonts w:ascii="Arial" w:hAnsi="Arial" w:cs="Arial"/>
                <w:sz w:val="16"/>
                <w:szCs w:val="16"/>
                <w:highlight w:val="red"/>
              </w:rPr>
            </w:pPr>
          </w:p>
        </w:tc>
        <w:tc>
          <w:tcPr>
            <w:tcW w:w="726" w:type="pct"/>
            <w:tcBorders>
              <w:top w:val="nil"/>
              <w:left w:val="nil"/>
              <w:bottom w:val="nil"/>
              <w:right w:val="nil"/>
            </w:tcBorders>
            <w:shd w:val="clear" w:color="000000" w:fill="E6F2FF"/>
            <w:noWrap/>
            <w:vAlign w:val="center"/>
            <w:hideMark/>
          </w:tcPr>
          <w:p w14:paraId="5085F3B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9" w:type="pct"/>
            <w:tcBorders>
              <w:top w:val="nil"/>
              <w:left w:val="nil"/>
              <w:bottom w:val="nil"/>
              <w:right w:val="nil"/>
            </w:tcBorders>
            <w:shd w:val="clear" w:color="auto" w:fill="auto"/>
            <w:noWrap/>
            <w:vAlign w:val="center"/>
            <w:hideMark/>
          </w:tcPr>
          <w:p w14:paraId="3DE34803"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534E778D" w14:textId="77777777" w:rsidR="00E86835" w:rsidRPr="00FF1D21" w:rsidRDefault="00E86835" w:rsidP="00E86835">
            <w:pPr>
              <w:spacing w:before="0" w:after="0" w:line="240" w:lineRule="auto"/>
              <w:jc w:val="right"/>
              <w:rPr>
                <w:rFonts w:ascii="Times New Roman" w:hAnsi="Times New Roman"/>
                <w:sz w:val="20"/>
                <w:highlight w:val="red"/>
              </w:rPr>
            </w:pPr>
          </w:p>
        </w:tc>
        <w:tc>
          <w:tcPr>
            <w:tcW w:w="659" w:type="pct"/>
            <w:tcBorders>
              <w:top w:val="nil"/>
              <w:left w:val="nil"/>
              <w:bottom w:val="nil"/>
              <w:right w:val="nil"/>
            </w:tcBorders>
            <w:shd w:val="clear" w:color="auto" w:fill="auto"/>
            <w:noWrap/>
            <w:vAlign w:val="center"/>
            <w:hideMark/>
          </w:tcPr>
          <w:p w14:paraId="044D3B9C" w14:textId="77777777" w:rsidR="00E86835" w:rsidRPr="00205DD5" w:rsidRDefault="00E86835" w:rsidP="00E86835">
            <w:pPr>
              <w:spacing w:before="0" w:after="0" w:line="240" w:lineRule="auto"/>
              <w:jc w:val="right"/>
              <w:rPr>
                <w:rFonts w:ascii="Times New Roman" w:hAnsi="Times New Roman"/>
                <w:sz w:val="20"/>
              </w:rPr>
            </w:pPr>
          </w:p>
        </w:tc>
      </w:tr>
      <w:tr w:rsidR="00E86835" w:rsidRPr="00FF1D21" w14:paraId="76B6FACB" w14:textId="77777777" w:rsidTr="00E86835">
        <w:trPr>
          <w:trHeight w:hRule="exact" w:val="226"/>
        </w:trPr>
        <w:tc>
          <w:tcPr>
            <w:tcW w:w="2180" w:type="pct"/>
            <w:tcBorders>
              <w:top w:val="nil"/>
              <w:left w:val="nil"/>
              <w:bottom w:val="nil"/>
              <w:right w:val="nil"/>
            </w:tcBorders>
            <w:shd w:val="clear" w:color="auto" w:fill="auto"/>
            <w:noWrap/>
            <w:vAlign w:val="center"/>
            <w:hideMark/>
          </w:tcPr>
          <w:p w14:paraId="3DA86B59"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Petrol</w:t>
            </w:r>
          </w:p>
        </w:tc>
        <w:tc>
          <w:tcPr>
            <w:tcW w:w="726" w:type="pct"/>
            <w:tcBorders>
              <w:top w:val="nil"/>
              <w:left w:val="nil"/>
              <w:bottom w:val="nil"/>
              <w:right w:val="nil"/>
            </w:tcBorders>
            <w:shd w:val="clear" w:color="auto" w:fill="auto"/>
            <w:noWrap/>
            <w:vAlign w:val="center"/>
            <w:hideMark/>
          </w:tcPr>
          <w:p w14:paraId="012AF8EC"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7,300</w:t>
            </w:r>
          </w:p>
        </w:tc>
        <w:tc>
          <w:tcPr>
            <w:tcW w:w="726" w:type="pct"/>
            <w:tcBorders>
              <w:top w:val="nil"/>
              <w:left w:val="nil"/>
              <w:bottom w:val="nil"/>
              <w:right w:val="nil"/>
            </w:tcBorders>
            <w:shd w:val="clear" w:color="000000" w:fill="E6F2FF"/>
            <w:noWrap/>
            <w:vAlign w:val="center"/>
            <w:hideMark/>
          </w:tcPr>
          <w:p w14:paraId="689C231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7,200</w:t>
            </w:r>
          </w:p>
        </w:tc>
        <w:tc>
          <w:tcPr>
            <w:tcW w:w="49" w:type="pct"/>
            <w:tcBorders>
              <w:top w:val="nil"/>
              <w:left w:val="nil"/>
              <w:bottom w:val="nil"/>
              <w:right w:val="nil"/>
            </w:tcBorders>
            <w:shd w:val="clear" w:color="auto" w:fill="auto"/>
            <w:noWrap/>
            <w:vAlign w:val="center"/>
            <w:hideMark/>
          </w:tcPr>
          <w:p w14:paraId="48FA18E5"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3D99E6B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-100</w:t>
            </w:r>
          </w:p>
        </w:tc>
        <w:tc>
          <w:tcPr>
            <w:tcW w:w="659" w:type="pct"/>
            <w:tcBorders>
              <w:top w:val="nil"/>
              <w:left w:val="nil"/>
              <w:bottom w:val="nil"/>
              <w:right w:val="nil"/>
            </w:tcBorders>
            <w:shd w:val="clear" w:color="auto" w:fill="auto"/>
            <w:noWrap/>
            <w:vAlign w:val="center"/>
            <w:hideMark/>
          </w:tcPr>
          <w:p w14:paraId="5434553D"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-1.4</w:t>
            </w:r>
          </w:p>
        </w:tc>
      </w:tr>
      <w:tr w:rsidR="00E86835" w:rsidRPr="00FF1D21" w14:paraId="15DF55C9"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4C044B1"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Diesel</w:t>
            </w:r>
          </w:p>
        </w:tc>
        <w:tc>
          <w:tcPr>
            <w:tcW w:w="726" w:type="pct"/>
            <w:tcBorders>
              <w:top w:val="nil"/>
              <w:left w:val="nil"/>
              <w:bottom w:val="nil"/>
              <w:right w:val="nil"/>
            </w:tcBorders>
            <w:shd w:val="clear" w:color="auto" w:fill="auto"/>
            <w:noWrap/>
            <w:vAlign w:val="center"/>
            <w:hideMark/>
          </w:tcPr>
          <w:p w14:paraId="3F18196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17,390</w:t>
            </w:r>
          </w:p>
        </w:tc>
        <w:tc>
          <w:tcPr>
            <w:tcW w:w="726" w:type="pct"/>
            <w:tcBorders>
              <w:top w:val="nil"/>
              <w:left w:val="nil"/>
              <w:bottom w:val="nil"/>
              <w:right w:val="nil"/>
            </w:tcBorders>
            <w:shd w:val="clear" w:color="000000" w:fill="E6F2FF"/>
            <w:noWrap/>
            <w:vAlign w:val="center"/>
            <w:hideMark/>
          </w:tcPr>
          <w:p w14:paraId="1A92B1B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17,440</w:t>
            </w:r>
          </w:p>
        </w:tc>
        <w:tc>
          <w:tcPr>
            <w:tcW w:w="49" w:type="pct"/>
            <w:tcBorders>
              <w:top w:val="nil"/>
              <w:left w:val="nil"/>
              <w:bottom w:val="nil"/>
              <w:right w:val="nil"/>
            </w:tcBorders>
            <w:shd w:val="clear" w:color="auto" w:fill="auto"/>
            <w:noWrap/>
            <w:vAlign w:val="center"/>
            <w:hideMark/>
          </w:tcPr>
          <w:p w14:paraId="08B7E57D"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11EBAE8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50</w:t>
            </w:r>
          </w:p>
        </w:tc>
        <w:tc>
          <w:tcPr>
            <w:tcW w:w="659" w:type="pct"/>
            <w:tcBorders>
              <w:top w:val="nil"/>
              <w:left w:val="nil"/>
              <w:bottom w:val="nil"/>
              <w:right w:val="nil"/>
            </w:tcBorders>
            <w:shd w:val="clear" w:color="auto" w:fill="auto"/>
            <w:noWrap/>
            <w:vAlign w:val="center"/>
            <w:hideMark/>
          </w:tcPr>
          <w:p w14:paraId="19921FEC"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0.3</w:t>
            </w:r>
          </w:p>
        </w:tc>
      </w:tr>
      <w:tr w:rsidR="00E86835" w:rsidRPr="00FF1D21" w14:paraId="7987EF38" w14:textId="77777777" w:rsidTr="00E86835">
        <w:trPr>
          <w:trHeight w:hRule="exact" w:val="226"/>
        </w:trPr>
        <w:tc>
          <w:tcPr>
            <w:tcW w:w="2180" w:type="pct"/>
            <w:tcBorders>
              <w:top w:val="nil"/>
              <w:left w:val="nil"/>
              <w:bottom w:val="nil"/>
              <w:right w:val="nil"/>
            </w:tcBorders>
            <w:shd w:val="clear" w:color="auto" w:fill="auto"/>
            <w:noWrap/>
            <w:vAlign w:val="center"/>
            <w:hideMark/>
          </w:tcPr>
          <w:p w14:paraId="33EACA93"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Other fuel products</w:t>
            </w:r>
          </w:p>
        </w:tc>
        <w:tc>
          <w:tcPr>
            <w:tcW w:w="726" w:type="pct"/>
            <w:tcBorders>
              <w:top w:val="nil"/>
              <w:left w:val="nil"/>
              <w:bottom w:val="nil"/>
              <w:right w:val="nil"/>
            </w:tcBorders>
            <w:shd w:val="clear" w:color="auto" w:fill="auto"/>
            <w:noWrap/>
            <w:vAlign w:val="center"/>
            <w:hideMark/>
          </w:tcPr>
          <w:p w14:paraId="516A38F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2,210</w:t>
            </w:r>
          </w:p>
        </w:tc>
        <w:tc>
          <w:tcPr>
            <w:tcW w:w="726" w:type="pct"/>
            <w:tcBorders>
              <w:top w:val="nil"/>
              <w:left w:val="nil"/>
              <w:bottom w:val="nil"/>
              <w:right w:val="nil"/>
            </w:tcBorders>
            <w:shd w:val="clear" w:color="000000" w:fill="E6F2FF"/>
            <w:noWrap/>
            <w:vAlign w:val="center"/>
            <w:hideMark/>
          </w:tcPr>
          <w:p w14:paraId="7318A4E9"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2,070</w:t>
            </w:r>
          </w:p>
        </w:tc>
        <w:tc>
          <w:tcPr>
            <w:tcW w:w="49" w:type="pct"/>
            <w:tcBorders>
              <w:top w:val="nil"/>
              <w:left w:val="nil"/>
              <w:bottom w:val="nil"/>
              <w:right w:val="nil"/>
            </w:tcBorders>
            <w:shd w:val="clear" w:color="auto" w:fill="auto"/>
            <w:noWrap/>
            <w:vAlign w:val="center"/>
            <w:hideMark/>
          </w:tcPr>
          <w:p w14:paraId="137B7389"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020C1009"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-140</w:t>
            </w:r>
          </w:p>
        </w:tc>
        <w:tc>
          <w:tcPr>
            <w:tcW w:w="659" w:type="pct"/>
            <w:tcBorders>
              <w:top w:val="nil"/>
              <w:left w:val="nil"/>
              <w:bottom w:val="nil"/>
              <w:right w:val="nil"/>
            </w:tcBorders>
            <w:shd w:val="clear" w:color="auto" w:fill="auto"/>
            <w:noWrap/>
            <w:vAlign w:val="center"/>
            <w:hideMark/>
          </w:tcPr>
          <w:p w14:paraId="23CFE4C4"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-6.3</w:t>
            </w:r>
          </w:p>
        </w:tc>
      </w:tr>
      <w:tr w:rsidR="00E86835" w:rsidRPr="00FF1D21" w14:paraId="4D2A569B"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EF13B24"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Tobacco</w:t>
            </w:r>
          </w:p>
        </w:tc>
        <w:tc>
          <w:tcPr>
            <w:tcW w:w="726" w:type="pct"/>
            <w:tcBorders>
              <w:top w:val="nil"/>
              <w:left w:val="nil"/>
              <w:bottom w:val="nil"/>
              <w:right w:val="nil"/>
            </w:tcBorders>
            <w:shd w:val="clear" w:color="auto" w:fill="auto"/>
            <w:noWrap/>
            <w:vAlign w:val="center"/>
            <w:hideMark/>
          </w:tcPr>
          <w:p w14:paraId="3776C166"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11,550</w:t>
            </w:r>
          </w:p>
        </w:tc>
        <w:tc>
          <w:tcPr>
            <w:tcW w:w="726" w:type="pct"/>
            <w:tcBorders>
              <w:top w:val="nil"/>
              <w:left w:val="nil"/>
              <w:bottom w:val="nil"/>
              <w:right w:val="nil"/>
            </w:tcBorders>
            <w:shd w:val="clear" w:color="000000" w:fill="E6F2FF"/>
            <w:noWrap/>
            <w:vAlign w:val="center"/>
            <w:hideMark/>
          </w:tcPr>
          <w:p w14:paraId="61E6407E"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8,750</w:t>
            </w:r>
          </w:p>
        </w:tc>
        <w:tc>
          <w:tcPr>
            <w:tcW w:w="49" w:type="pct"/>
            <w:tcBorders>
              <w:top w:val="nil"/>
              <w:left w:val="nil"/>
              <w:bottom w:val="nil"/>
              <w:right w:val="nil"/>
            </w:tcBorders>
            <w:shd w:val="clear" w:color="auto" w:fill="auto"/>
            <w:noWrap/>
            <w:vAlign w:val="center"/>
            <w:hideMark/>
          </w:tcPr>
          <w:p w14:paraId="594504D4"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47D717CD"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-2,800</w:t>
            </w:r>
          </w:p>
        </w:tc>
        <w:tc>
          <w:tcPr>
            <w:tcW w:w="659" w:type="pct"/>
            <w:tcBorders>
              <w:top w:val="nil"/>
              <w:left w:val="nil"/>
              <w:bottom w:val="nil"/>
              <w:right w:val="nil"/>
            </w:tcBorders>
            <w:shd w:val="clear" w:color="auto" w:fill="auto"/>
            <w:noWrap/>
            <w:vAlign w:val="center"/>
            <w:hideMark/>
          </w:tcPr>
          <w:p w14:paraId="21B8E4B2"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-24.2</w:t>
            </w:r>
          </w:p>
        </w:tc>
      </w:tr>
      <w:tr w:rsidR="00E86835" w:rsidRPr="00FF1D21" w14:paraId="714C0039"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C495F42"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Beer</w:t>
            </w:r>
          </w:p>
        </w:tc>
        <w:tc>
          <w:tcPr>
            <w:tcW w:w="726" w:type="pct"/>
            <w:tcBorders>
              <w:top w:val="nil"/>
              <w:left w:val="nil"/>
              <w:bottom w:val="nil"/>
              <w:right w:val="nil"/>
            </w:tcBorders>
            <w:shd w:val="clear" w:color="auto" w:fill="auto"/>
            <w:noWrap/>
            <w:vAlign w:val="center"/>
            <w:hideMark/>
          </w:tcPr>
          <w:p w14:paraId="55D856D8"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2,760</w:t>
            </w:r>
          </w:p>
        </w:tc>
        <w:tc>
          <w:tcPr>
            <w:tcW w:w="726" w:type="pct"/>
            <w:tcBorders>
              <w:top w:val="nil"/>
              <w:left w:val="nil"/>
              <w:bottom w:val="nil"/>
              <w:right w:val="nil"/>
            </w:tcBorders>
            <w:shd w:val="clear" w:color="000000" w:fill="E6F2FF"/>
            <w:noWrap/>
            <w:vAlign w:val="center"/>
            <w:hideMark/>
          </w:tcPr>
          <w:p w14:paraId="67887DA6"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2,720</w:t>
            </w:r>
          </w:p>
        </w:tc>
        <w:tc>
          <w:tcPr>
            <w:tcW w:w="49" w:type="pct"/>
            <w:tcBorders>
              <w:top w:val="nil"/>
              <w:left w:val="nil"/>
              <w:bottom w:val="nil"/>
              <w:right w:val="nil"/>
            </w:tcBorders>
            <w:shd w:val="clear" w:color="auto" w:fill="auto"/>
            <w:noWrap/>
            <w:vAlign w:val="center"/>
            <w:hideMark/>
          </w:tcPr>
          <w:p w14:paraId="7A4939B2"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66374D2F"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-40</w:t>
            </w:r>
          </w:p>
        </w:tc>
        <w:tc>
          <w:tcPr>
            <w:tcW w:w="659" w:type="pct"/>
            <w:tcBorders>
              <w:top w:val="nil"/>
              <w:left w:val="nil"/>
              <w:bottom w:val="nil"/>
              <w:right w:val="nil"/>
            </w:tcBorders>
            <w:shd w:val="clear" w:color="auto" w:fill="auto"/>
            <w:noWrap/>
            <w:vAlign w:val="center"/>
            <w:hideMark/>
          </w:tcPr>
          <w:p w14:paraId="7298F716"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-1.4</w:t>
            </w:r>
          </w:p>
        </w:tc>
      </w:tr>
      <w:tr w:rsidR="00E86835" w:rsidRPr="00FF1D21" w14:paraId="304323F3" w14:textId="77777777" w:rsidTr="00E86835">
        <w:trPr>
          <w:trHeight w:hRule="exact" w:val="226"/>
        </w:trPr>
        <w:tc>
          <w:tcPr>
            <w:tcW w:w="2180" w:type="pct"/>
            <w:tcBorders>
              <w:top w:val="nil"/>
              <w:left w:val="nil"/>
              <w:bottom w:val="nil"/>
              <w:right w:val="nil"/>
            </w:tcBorders>
            <w:shd w:val="clear" w:color="auto" w:fill="auto"/>
            <w:noWrap/>
            <w:vAlign w:val="center"/>
            <w:hideMark/>
          </w:tcPr>
          <w:p w14:paraId="0BB18704"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Spirits</w:t>
            </w:r>
          </w:p>
        </w:tc>
        <w:tc>
          <w:tcPr>
            <w:tcW w:w="726" w:type="pct"/>
            <w:tcBorders>
              <w:top w:val="nil"/>
              <w:left w:val="nil"/>
              <w:bottom w:val="nil"/>
              <w:right w:val="nil"/>
            </w:tcBorders>
            <w:shd w:val="clear" w:color="auto" w:fill="auto"/>
            <w:noWrap/>
            <w:vAlign w:val="center"/>
            <w:hideMark/>
          </w:tcPr>
          <w:p w14:paraId="3495651E"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3,590</w:t>
            </w:r>
          </w:p>
        </w:tc>
        <w:tc>
          <w:tcPr>
            <w:tcW w:w="726" w:type="pct"/>
            <w:tcBorders>
              <w:top w:val="nil"/>
              <w:left w:val="nil"/>
              <w:bottom w:val="nil"/>
              <w:right w:val="nil"/>
            </w:tcBorders>
            <w:shd w:val="clear" w:color="000000" w:fill="E6F2FF"/>
            <w:noWrap/>
            <w:vAlign w:val="center"/>
            <w:hideMark/>
          </w:tcPr>
          <w:p w14:paraId="6255005F"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3,310</w:t>
            </w:r>
          </w:p>
        </w:tc>
        <w:tc>
          <w:tcPr>
            <w:tcW w:w="49" w:type="pct"/>
            <w:tcBorders>
              <w:top w:val="nil"/>
              <w:left w:val="nil"/>
              <w:bottom w:val="nil"/>
              <w:right w:val="nil"/>
            </w:tcBorders>
            <w:shd w:val="clear" w:color="auto" w:fill="auto"/>
            <w:noWrap/>
            <w:vAlign w:val="center"/>
            <w:hideMark/>
          </w:tcPr>
          <w:p w14:paraId="71FC197F"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6F6B06EF"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-280</w:t>
            </w:r>
          </w:p>
        </w:tc>
        <w:tc>
          <w:tcPr>
            <w:tcW w:w="659" w:type="pct"/>
            <w:tcBorders>
              <w:top w:val="nil"/>
              <w:left w:val="nil"/>
              <w:bottom w:val="nil"/>
              <w:right w:val="nil"/>
            </w:tcBorders>
            <w:shd w:val="clear" w:color="auto" w:fill="auto"/>
            <w:noWrap/>
            <w:vAlign w:val="center"/>
            <w:hideMark/>
          </w:tcPr>
          <w:p w14:paraId="77F5EAF1"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-7.8</w:t>
            </w:r>
          </w:p>
        </w:tc>
      </w:tr>
      <w:tr w:rsidR="00E86835" w:rsidRPr="00FF1D21" w14:paraId="3643CAF5" w14:textId="77777777" w:rsidTr="00E86835">
        <w:trPr>
          <w:trHeight w:hRule="exact" w:val="226"/>
        </w:trPr>
        <w:tc>
          <w:tcPr>
            <w:tcW w:w="2180" w:type="pct"/>
            <w:tcBorders>
              <w:top w:val="nil"/>
              <w:left w:val="nil"/>
              <w:bottom w:val="nil"/>
              <w:right w:val="nil"/>
            </w:tcBorders>
            <w:shd w:val="clear" w:color="auto" w:fill="auto"/>
            <w:noWrap/>
            <w:vAlign w:val="center"/>
            <w:hideMark/>
          </w:tcPr>
          <w:p w14:paraId="1AC6F99F"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Other alcoholic beverages(a)</w:t>
            </w:r>
          </w:p>
        </w:tc>
        <w:tc>
          <w:tcPr>
            <w:tcW w:w="726" w:type="pct"/>
            <w:tcBorders>
              <w:top w:val="nil"/>
              <w:left w:val="nil"/>
              <w:bottom w:val="nil"/>
              <w:right w:val="nil"/>
            </w:tcBorders>
            <w:shd w:val="clear" w:color="auto" w:fill="auto"/>
            <w:noWrap/>
            <w:vAlign w:val="center"/>
            <w:hideMark/>
          </w:tcPr>
          <w:p w14:paraId="5E630228"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1,750</w:t>
            </w:r>
          </w:p>
        </w:tc>
        <w:tc>
          <w:tcPr>
            <w:tcW w:w="726" w:type="pct"/>
            <w:tcBorders>
              <w:top w:val="nil"/>
              <w:left w:val="nil"/>
              <w:bottom w:val="nil"/>
              <w:right w:val="nil"/>
            </w:tcBorders>
            <w:shd w:val="clear" w:color="000000" w:fill="E6F2FF"/>
            <w:noWrap/>
            <w:vAlign w:val="center"/>
            <w:hideMark/>
          </w:tcPr>
          <w:p w14:paraId="1756979E"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1,760</w:t>
            </w:r>
          </w:p>
        </w:tc>
        <w:tc>
          <w:tcPr>
            <w:tcW w:w="49" w:type="pct"/>
            <w:tcBorders>
              <w:top w:val="nil"/>
              <w:left w:val="nil"/>
              <w:bottom w:val="nil"/>
              <w:right w:val="nil"/>
            </w:tcBorders>
            <w:shd w:val="clear" w:color="auto" w:fill="auto"/>
            <w:noWrap/>
            <w:vAlign w:val="center"/>
            <w:hideMark/>
          </w:tcPr>
          <w:p w14:paraId="70034F21"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49FF90CF"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10</w:t>
            </w:r>
          </w:p>
        </w:tc>
        <w:tc>
          <w:tcPr>
            <w:tcW w:w="659" w:type="pct"/>
            <w:tcBorders>
              <w:top w:val="nil"/>
              <w:left w:val="nil"/>
              <w:bottom w:val="nil"/>
              <w:right w:val="nil"/>
            </w:tcBorders>
            <w:shd w:val="clear" w:color="auto" w:fill="auto"/>
            <w:noWrap/>
            <w:vAlign w:val="center"/>
            <w:hideMark/>
          </w:tcPr>
          <w:p w14:paraId="6C633DB9"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0.6</w:t>
            </w:r>
          </w:p>
        </w:tc>
      </w:tr>
      <w:tr w:rsidR="00E86835" w:rsidRPr="00FF1D21" w14:paraId="75DF3A65"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1CDF072"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Other customs duty</w:t>
            </w:r>
          </w:p>
        </w:tc>
        <w:tc>
          <w:tcPr>
            <w:tcW w:w="726" w:type="pct"/>
            <w:tcBorders>
              <w:top w:val="nil"/>
              <w:left w:val="nil"/>
              <w:bottom w:val="nil"/>
              <w:right w:val="nil"/>
            </w:tcBorders>
            <w:shd w:val="clear" w:color="auto" w:fill="auto"/>
            <w:noWrap/>
            <w:vAlign w:val="center"/>
            <w:hideMark/>
          </w:tcPr>
          <w:p w14:paraId="348E1E48" w14:textId="77777777" w:rsidR="00E86835" w:rsidRPr="00FF1D21" w:rsidRDefault="00E86835" w:rsidP="00E86835">
            <w:pPr>
              <w:spacing w:before="0" w:after="0" w:line="240" w:lineRule="auto"/>
              <w:ind w:firstLineChars="100" w:firstLine="160"/>
              <w:rPr>
                <w:rFonts w:ascii="Arial" w:hAnsi="Arial" w:cs="Arial"/>
                <w:sz w:val="16"/>
                <w:szCs w:val="16"/>
                <w:highlight w:val="red"/>
              </w:rPr>
            </w:pPr>
          </w:p>
        </w:tc>
        <w:tc>
          <w:tcPr>
            <w:tcW w:w="726" w:type="pct"/>
            <w:tcBorders>
              <w:top w:val="nil"/>
              <w:left w:val="nil"/>
              <w:bottom w:val="nil"/>
              <w:right w:val="nil"/>
            </w:tcBorders>
            <w:shd w:val="clear" w:color="000000" w:fill="E6F2FF"/>
            <w:noWrap/>
            <w:vAlign w:val="center"/>
            <w:hideMark/>
          </w:tcPr>
          <w:p w14:paraId="4B2C73F7"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49" w:type="pct"/>
            <w:tcBorders>
              <w:top w:val="nil"/>
              <w:left w:val="nil"/>
              <w:bottom w:val="nil"/>
              <w:right w:val="nil"/>
            </w:tcBorders>
            <w:shd w:val="clear" w:color="auto" w:fill="auto"/>
            <w:noWrap/>
            <w:vAlign w:val="center"/>
            <w:hideMark/>
          </w:tcPr>
          <w:p w14:paraId="0369B356" w14:textId="77777777" w:rsidR="00E86835" w:rsidRPr="00FF1D21" w:rsidRDefault="00E86835" w:rsidP="00E86835">
            <w:pPr>
              <w:spacing w:before="0" w:after="0" w:line="240" w:lineRule="auto"/>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09118D3D" w14:textId="77777777" w:rsidR="00E86835" w:rsidRPr="00FF1D21" w:rsidRDefault="00E86835" w:rsidP="00E86835">
            <w:pPr>
              <w:spacing w:before="0" w:after="0" w:line="240" w:lineRule="auto"/>
              <w:jc w:val="right"/>
              <w:rPr>
                <w:rFonts w:ascii="Times New Roman" w:hAnsi="Times New Roman"/>
                <w:sz w:val="20"/>
                <w:highlight w:val="red"/>
              </w:rPr>
            </w:pPr>
          </w:p>
        </w:tc>
        <w:tc>
          <w:tcPr>
            <w:tcW w:w="659" w:type="pct"/>
            <w:tcBorders>
              <w:top w:val="nil"/>
              <w:left w:val="nil"/>
              <w:bottom w:val="nil"/>
              <w:right w:val="nil"/>
            </w:tcBorders>
            <w:shd w:val="clear" w:color="auto" w:fill="auto"/>
            <w:noWrap/>
            <w:vAlign w:val="center"/>
            <w:hideMark/>
          </w:tcPr>
          <w:p w14:paraId="016409F9" w14:textId="77777777" w:rsidR="00E86835" w:rsidRPr="00205DD5" w:rsidRDefault="00E86835" w:rsidP="00E86835">
            <w:pPr>
              <w:spacing w:before="0" w:after="0" w:line="240" w:lineRule="auto"/>
              <w:jc w:val="right"/>
              <w:rPr>
                <w:rFonts w:ascii="Times New Roman" w:hAnsi="Times New Roman"/>
                <w:sz w:val="20"/>
              </w:rPr>
            </w:pPr>
          </w:p>
        </w:tc>
      </w:tr>
      <w:tr w:rsidR="00E86835" w:rsidRPr="00FF1D21" w14:paraId="56EBDE43" w14:textId="77777777" w:rsidTr="00E86835">
        <w:trPr>
          <w:trHeight w:hRule="exact" w:val="226"/>
        </w:trPr>
        <w:tc>
          <w:tcPr>
            <w:tcW w:w="2180" w:type="pct"/>
            <w:tcBorders>
              <w:top w:val="nil"/>
              <w:left w:val="nil"/>
              <w:bottom w:val="nil"/>
              <w:right w:val="nil"/>
            </w:tcBorders>
            <w:shd w:val="clear" w:color="auto" w:fill="auto"/>
            <w:noWrap/>
            <w:vAlign w:val="bottom"/>
            <w:hideMark/>
          </w:tcPr>
          <w:p w14:paraId="0FD02397"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 xml:space="preserve">    Textiles, </w:t>
            </w:r>
            <w:proofErr w:type="gramStart"/>
            <w:r w:rsidRPr="00205DD5">
              <w:rPr>
                <w:rFonts w:ascii="Arial" w:hAnsi="Arial" w:cs="Arial"/>
                <w:sz w:val="16"/>
                <w:szCs w:val="16"/>
              </w:rPr>
              <w:t>clothing</w:t>
            </w:r>
            <w:proofErr w:type="gramEnd"/>
            <w:r w:rsidRPr="00205DD5">
              <w:rPr>
                <w:rFonts w:ascii="Arial" w:hAnsi="Arial" w:cs="Arial"/>
                <w:sz w:val="16"/>
                <w:szCs w:val="16"/>
              </w:rPr>
              <w:t xml:space="preserve"> and footwear</w:t>
            </w:r>
          </w:p>
        </w:tc>
        <w:tc>
          <w:tcPr>
            <w:tcW w:w="726" w:type="pct"/>
            <w:tcBorders>
              <w:top w:val="nil"/>
              <w:left w:val="nil"/>
              <w:bottom w:val="nil"/>
              <w:right w:val="nil"/>
            </w:tcBorders>
            <w:shd w:val="clear" w:color="auto" w:fill="auto"/>
            <w:noWrap/>
            <w:vAlign w:val="center"/>
            <w:hideMark/>
          </w:tcPr>
          <w:p w14:paraId="3EF2104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170</w:t>
            </w:r>
          </w:p>
        </w:tc>
        <w:tc>
          <w:tcPr>
            <w:tcW w:w="726" w:type="pct"/>
            <w:tcBorders>
              <w:top w:val="nil"/>
              <w:left w:val="nil"/>
              <w:bottom w:val="nil"/>
              <w:right w:val="nil"/>
            </w:tcBorders>
            <w:shd w:val="clear" w:color="000000" w:fill="E6F2FF"/>
            <w:noWrap/>
            <w:vAlign w:val="center"/>
            <w:hideMark/>
          </w:tcPr>
          <w:p w14:paraId="6767450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170</w:t>
            </w:r>
          </w:p>
        </w:tc>
        <w:tc>
          <w:tcPr>
            <w:tcW w:w="49" w:type="pct"/>
            <w:tcBorders>
              <w:top w:val="nil"/>
              <w:left w:val="nil"/>
              <w:bottom w:val="nil"/>
              <w:right w:val="nil"/>
            </w:tcBorders>
            <w:shd w:val="clear" w:color="auto" w:fill="auto"/>
            <w:noWrap/>
            <w:vAlign w:val="center"/>
            <w:hideMark/>
          </w:tcPr>
          <w:p w14:paraId="7FCF8064"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567D89A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0</w:t>
            </w:r>
          </w:p>
        </w:tc>
        <w:tc>
          <w:tcPr>
            <w:tcW w:w="659" w:type="pct"/>
            <w:tcBorders>
              <w:top w:val="nil"/>
              <w:left w:val="nil"/>
              <w:bottom w:val="nil"/>
              <w:right w:val="nil"/>
            </w:tcBorders>
            <w:shd w:val="clear" w:color="auto" w:fill="auto"/>
            <w:noWrap/>
            <w:vAlign w:val="center"/>
            <w:hideMark/>
          </w:tcPr>
          <w:p w14:paraId="29164899"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0.0</w:t>
            </w:r>
          </w:p>
        </w:tc>
      </w:tr>
      <w:tr w:rsidR="00E86835" w:rsidRPr="00FF1D21" w14:paraId="272775E0" w14:textId="77777777" w:rsidTr="00E86835">
        <w:trPr>
          <w:trHeight w:hRule="exact" w:val="226"/>
        </w:trPr>
        <w:tc>
          <w:tcPr>
            <w:tcW w:w="2180" w:type="pct"/>
            <w:tcBorders>
              <w:top w:val="nil"/>
              <w:left w:val="nil"/>
              <w:bottom w:val="nil"/>
              <w:right w:val="nil"/>
            </w:tcBorders>
            <w:shd w:val="clear" w:color="auto" w:fill="auto"/>
            <w:noWrap/>
            <w:vAlign w:val="bottom"/>
            <w:hideMark/>
          </w:tcPr>
          <w:p w14:paraId="31BA9186"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 xml:space="preserve">    Passenger motor vehicles</w:t>
            </w:r>
          </w:p>
        </w:tc>
        <w:tc>
          <w:tcPr>
            <w:tcW w:w="726" w:type="pct"/>
            <w:tcBorders>
              <w:top w:val="nil"/>
              <w:left w:val="nil"/>
              <w:bottom w:val="nil"/>
              <w:right w:val="nil"/>
            </w:tcBorders>
            <w:shd w:val="clear" w:color="auto" w:fill="auto"/>
            <w:noWrap/>
            <w:vAlign w:val="center"/>
            <w:hideMark/>
          </w:tcPr>
          <w:p w14:paraId="5D6D8BB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380</w:t>
            </w:r>
          </w:p>
        </w:tc>
        <w:tc>
          <w:tcPr>
            <w:tcW w:w="726" w:type="pct"/>
            <w:tcBorders>
              <w:top w:val="nil"/>
              <w:left w:val="nil"/>
              <w:bottom w:val="nil"/>
              <w:right w:val="nil"/>
            </w:tcBorders>
            <w:shd w:val="clear" w:color="000000" w:fill="E6F2FF"/>
            <w:noWrap/>
            <w:vAlign w:val="center"/>
            <w:hideMark/>
          </w:tcPr>
          <w:p w14:paraId="4E958A4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380</w:t>
            </w:r>
          </w:p>
        </w:tc>
        <w:tc>
          <w:tcPr>
            <w:tcW w:w="49" w:type="pct"/>
            <w:tcBorders>
              <w:top w:val="nil"/>
              <w:left w:val="nil"/>
              <w:bottom w:val="nil"/>
              <w:right w:val="nil"/>
            </w:tcBorders>
            <w:shd w:val="clear" w:color="auto" w:fill="auto"/>
            <w:noWrap/>
            <w:vAlign w:val="center"/>
            <w:hideMark/>
          </w:tcPr>
          <w:p w14:paraId="59E6925E"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7D8A1269"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0</w:t>
            </w:r>
          </w:p>
        </w:tc>
        <w:tc>
          <w:tcPr>
            <w:tcW w:w="659" w:type="pct"/>
            <w:tcBorders>
              <w:top w:val="nil"/>
              <w:left w:val="nil"/>
              <w:bottom w:val="nil"/>
              <w:right w:val="nil"/>
            </w:tcBorders>
            <w:shd w:val="clear" w:color="auto" w:fill="auto"/>
            <w:noWrap/>
            <w:vAlign w:val="center"/>
            <w:hideMark/>
          </w:tcPr>
          <w:p w14:paraId="34F1466C"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0.0</w:t>
            </w:r>
          </w:p>
        </w:tc>
      </w:tr>
      <w:tr w:rsidR="00E86835" w:rsidRPr="00FF1D21" w14:paraId="21710032"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FE1E7A5" w14:textId="77777777" w:rsidR="00E86835" w:rsidRPr="00FF1D21" w:rsidRDefault="00E86835" w:rsidP="00E86835">
            <w:pPr>
              <w:spacing w:before="0" w:after="0" w:line="240" w:lineRule="auto"/>
              <w:ind w:left="170"/>
              <w:rPr>
                <w:rFonts w:ascii="Arial" w:hAnsi="Arial" w:cs="Arial"/>
                <w:sz w:val="16"/>
                <w:szCs w:val="16"/>
                <w:highlight w:val="red"/>
              </w:rPr>
            </w:pPr>
            <w:r w:rsidRPr="00205DD5">
              <w:rPr>
                <w:rFonts w:ascii="Arial" w:hAnsi="Arial" w:cs="Arial"/>
                <w:sz w:val="16"/>
                <w:szCs w:val="16"/>
              </w:rPr>
              <w:t xml:space="preserve">    Other imports</w:t>
            </w:r>
          </w:p>
        </w:tc>
        <w:tc>
          <w:tcPr>
            <w:tcW w:w="726" w:type="pct"/>
            <w:tcBorders>
              <w:top w:val="nil"/>
              <w:left w:val="nil"/>
              <w:bottom w:val="nil"/>
              <w:right w:val="nil"/>
            </w:tcBorders>
            <w:shd w:val="clear" w:color="auto" w:fill="auto"/>
            <w:noWrap/>
            <w:vAlign w:val="center"/>
            <w:hideMark/>
          </w:tcPr>
          <w:p w14:paraId="0880738B"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1,530</w:t>
            </w:r>
          </w:p>
        </w:tc>
        <w:tc>
          <w:tcPr>
            <w:tcW w:w="726" w:type="pct"/>
            <w:tcBorders>
              <w:top w:val="nil"/>
              <w:left w:val="nil"/>
              <w:bottom w:val="nil"/>
              <w:right w:val="nil"/>
            </w:tcBorders>
            <w:shd w:val="clear" w:color="000000" w:fill="E6F2FF"/>
            <w:noWrap/>
            <w:vAlign w:val="center"/>
            <w:hideMark/>
          </w:tcPr>
          <w:p w14:paraId="42DD63B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1,560</w:t>
            </w:r>
          </w:p>
        </w:tc>
        <w:tc>
          <w:tcPr>
            <w:tcW w:w="49" w:type="pct"/>
            <w:tcBorders>
              <w:top w:val="nil"/>
              <w:left w:val="nil"/>
              <w:bottom w:val="nil"/>
              <w:right w:val="nil"/>
            </w:tcBorders>
            <w:shd w:val="clear" w:color="auto" w:fill="auto"/>
            <w:noWrap/>
            <w:vAlign w:val="center"/>
            <w:hideMark/>
          </w:tcPr>
          <w:p w14:paraId="4247B44E"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53DCF71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30</w:t>
            </w:r>
          </w:p>
        </w:tc>
        <w:tc>
          <w:tcPr>
            <w:tcW w:w="659" w:type="pct"/>
            <w:tcBorders>
              <w:top w:val="nil"/>
              <w:left w:val="nil"/>
              <w:bottom w:val="nil"/>
              <w:right w:val="nil"/>
            </w:tcBorders>
            <w:shd w:val="clear" w:color="auto" w:fill="auto"/>
            <w:noWrap/>
            <w:vAlign w:val="center"/>
            <w:hideMark/>
          </w:tcPr>
          <w:p w14:paraId="5F0016A1"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2.0</w:t>
            </w:r>
          </w:p>
        </w:tc>
      </w:tr>
      <w:tr w:rsidR="00E86835" w:rsidRPr="00FF1D21" w14:paraId="5C446539" w14:textId="77777777" w:rsidTr="00E86835">
        <w:trPr>
          <w:trHeight w:hRule="exact" w:val="226"/>
        </w:trPr>
        <w:tc>
          <w:tcPr>
            <w:tcW w:w="2180" w:type="pct"/>
            <w:tcBorders>
              <w:top w:val="nil"/>
              <w:left w:val="nil"/>
              <w:bottom w:val="nil"/>
              <w:right w:val="nil"/>
            </w:tcBorders>
            <w:shd w:val="clear" w:color="auto" w:fill="auto"/>
            <w:noWrap/>
            <w:vAlign w:val="bottom"/>
            <w:hideMark/>
          </w:tcPr>
          <w:p w14:paraId="0721529D" w14:textId="77777777" w:rsidR="00E86835" w:rsidRPr="00FF1D21" w:rsidRDefault="00E86835" w:rsidP="00E86835">
            <w:pPr>
              <w:spacing w:before="0" w:after="0" w:line="240" w:lineRule="auto"/>
              <w:ind w:left="170"/>
              <w:rPr>
                <w:rFonts w:ascii="Arial" w:hAnsi="Arial" w:cs="Arial"/>
                <w:i/>
                <w:sz w:val="16"/>
                <w:szCs w:val="16"/>
                <w:highlight w:val="red"/>
              </w:rPr>
            </w:pPr>
            <w:r w:rsidRPr="00205DD5">
              <w:rPr>
                <w:rFonts w:ascii="Arial" w:hAnsi="Arial" w:cs="Arial"/>
                <w:i/>
                <w:sz w:val="16"/>
                <w:szCs w:val="16"/>
              </w:rPr>
              <w:t xml:space="preserve">less: </w:t>
            </w:r>
            <w:r w:rsidRPr="00205DD5">
              <w:rPr>
                <w:rFonts w:ascii="Arial" w:hAnsi="Arial" w:cs="Arial"/>
                <w:sz w:val="16"/>
                <w:szCs w:val="16"/>
              </w:rPr>
              <w:t>Refunds and drawbacks</w:t>
            </w:r>
          </w:p>
        </w:tc>
        <w:tc>
          <w:tcPr>
            <w:tcW w:w="726" w:type="pct"/>
            <w:tcBorders>
              <w:top w:val="nil"/>
              <w:left w:val="nil"/>
              <w:bottom w:val="nil"/>
              <w:right w:val="nil"/>
            </w:tcBorders>
            <w:shd w:val="clear" w:color="auto" w:fill="auto"/>
            <w:noWrap/>
            <w:vAlign w:val="center"/>
            <w:hideMark/>
          </w:tcPr>
          <w:p w14:paraId="246AF959"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730</w:t>
            </w:r>
          </w:p>
        </w:tc>
        <w:tc>
          <w:tcPr>
            <w:tcW w:w="726" w:type="pct"/>
            <w:tcBorders>
              <w:top w:val="nil"/>
              <w:left w:val="nil"/>
              <w:bottom w:val="nil"/>
              <w:right w:val="nil"/>
            </w:tcBorders>
            <w:shd w:val="clear" w:color="000000" w:fill="E6F2FF"/>
            <w:noWrap/>
            <w:vAlign w:val="center"/>
            <w:hideMark/>
          </w:tcPr>
          <w:p w14:paraId="36EC9A88"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730</w:t>
            </w:r>
          </w:p>
        </w:tc>
        <w:tc>
          <w:tcPr>
            <w:tcW w:w="49" w:type="pct"/>
            <w:tcBorders>
              <w:top w:val="nil"/>
              <w:left w:val="nil"/>
              <w:bottom w:val="nil"/>
              <w:right w:val="nil"/>
            </w:tcBorders>
            <w:shd w:val="clear" w:color="auto" w:fill="auto"/>
            <w:noWrap/>
            <w:vAlign w:val="center"/>
            <w:hideMark/>
          </w:tcPr>
          <w:p w14:paraId="2DF12D06"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1858FBF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0</w:t>
            </w:r>
          </w:p>
        </w:tc>
        <w:tc>
          <w:tcPr>
            <w:tcW w:w="659" w:type="pct"/>
            <w:tcBorders>
              <w:top w:val="nil"/>
              <w:left w:val="nil"/>
              <w:bottom w:val="nil"/>
              <w:right w:val="nil"/>
            </w:tcBorders>
            <w:shd w:val="clear" w:color="auto" w:fill="auto"/>
            <w:noWrap/>
            <w:vAlign w:val="center"/>
            <w:hideMark/>
          </w:tcPr>
          <w:p w14:paraId="28C658AB"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0.0</w:t>
            </w:r>
          </w:p>
        </w:tc>
      </w:tr>
      <w:tr w:rsidR="00E86835" w:rsidRPr="00FF1D21" w14:paraId="134F9BA9" w14:textId="77777777" w:rsidTr="00E86835">
        <w:trPr>
          <w:trHeight w:hRule="exact" w:val="226"/>
        </w:trPr>
        <w:tc>
          <w:tcPr>
            <w:tcW w:w="2180" w:type="pct"/>
            <w:tcBorders>
              <w:top w:val="nil"/>
              <w:left w:val="nil"/>
              <w:bottom w:val="nil"/>
              <w:right w:val="nil"/>
            </w:tcBorders>
            <w:shd w:val="clear" w:color="auto" w:fill="auto"/>
            <w:noWrap/>
            <w:vAlign w:val="bottom"/>
            <w:hideMark/>
          </w:tcPr>
          <w:p w14:paraId="46EC1206"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 xml:space="preserve">Total excise and customs duty </w:t>
            </w:r>
          </w:p>
        </w:tc>
        <w:tc>
          <w:tcPr>
            <w:tcW w:w="726" w:type="pct"/>
            <w:tcBorders>
              <w:top w:val="single" w:sz="4" w:space="0" w:color="293F5B"/>
              <w:left w:val="nil"/>
              <w:bottom w:val="nil"/>
              <w:right w:val="nil"/>
            </w:tcBorders>
            <w:shd w:val="clear" w:color="auto" w:fill="auto"/>
            <w:noWrap/>
            <w:vAlign w:val="center"/>
            <w:hideMark/>
          </w:tcPr>
          <w:p w14:paraId="697C539B"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47,900</w:t>
            </w:r>
          </w:p>
        </w:tc>
        <w:tc>
          <w:tcPr>
            <w:tcW w:w="726" w:type="pct"/>
            <w:tcBorders>
              <w:top w:val="single" w:sz="4" w:space="0" w:color="293F5B"/>
              <w:left w:val="nil"/>
              <w:bottom w:val="nil"/>
              <w:right w:val="nil"/>
            </w:tcBorders>
            <w:shd w:val="clear" w:color="000000" w:fill="E6F2FF"/>
            <w:noWrap/>
            <w:vAlign w:val="center"/>
            <w:hideMark/>
          </w:tcPr>
          <w:p w14:paraId="61A062EF"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44,630</w:t>
            </w:r>
          </w:p>
        </w:tc>
        <w:tc>
          <w:tcPr>
            <w:tcW w:w="49" w:type="pct"/>
            <w:tcBorders>
              <w:top w:val="nil"/>
              <w:left w:val="nil"/>
              <w:bottom w:val="nil"/>
              <w:right w:val="nil"/>
            </w:tcBorders>
            <w:shd w:val="clear" w:color="auto" w:fill="auto"/>
            <w:noWrap/>
            <w:vAlign w:val="center"/>
            <w:hideMark/>
          </w:tcPr>
          <w:p w14:paraId="61004DCE"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single" w:sz="4" w:space="0" w:color="293F5B"/>
              <w:left w:val="nil"/>
              <w:bottom w:val="nil"/>
              <w:right w:val="nil"/>
            </w:tcBorders>
            <w:shd w:val="clear" w:color="auto" w:fill="auto"/>
            <w:noWrap/>
            <w:vAlign w:val="center"/>
            <w:hideMark/>
          </w:tcPr>
          <w:p w14:paraId="63B5AFA6"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-3,270</w:t>
            </w:r>
          </w:p>
        </w:tc>
        <w:tc>
          <w:tcPr>
            <w:tcW w:w="659" w:type="pct"/>
            <w:tcBorders>
              <w:top w:val="single" w:sz="4" w:space="0" w:color="293F5B"/>
              <w:left w:val="nil"/>
              <w:bottom w:val="nil"/>
              <w:right w:val="nil"/>
            </w:tcBorders>
            <w:shd w:val="clear" w:color="auto" w:fill="auto"/>
            <w:noWrap/>
            <w:vAlign w:val="center"/>
            <w:hideMark/>
          </w:tcPr>
          <w:p w14:paraId="4C206F03"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-6.8</w:t>
            </w:r>
          </w:p>
        </w:tc>
      </w:tr>
      <w:tr w:rsidR="00E86835" w:rsidRPr="00FF1D21" w14:paraId="60553D50" w14:textId="77777777" w:rsidTr="00E86835">
        <w:trPr>
          <w:trHeight w:hRule="exact" w:val="226"/>
        </w:trPr>
        <w:tc>
          <w:tcPr>
            <w:tcW w:w="2180" w:type="pct"/>
            <w:tcBorders>
              <w:top w:val="nil"/>
              <w:left w:val="nil"/>
              <w:bottom w:val="nil"/>
              <w:right w:val="nil"/>
            </w:tcBorders>
            <w:shd w:val="clear" w:color="auto" w:fill="auto"/>
            <w:noWrap/>
            <w:vAlign w:val="center"/>
            <w:hideMark/>
          </w:tcPr>
          <w:p w14:paraId="70136680"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Major Bank Levy</w:t>
            </w:r>
          </w:p>
        </w:tc>
        <w:tc>
          <w:tcPr>
            <w:tcW w:w="726" w:type="pct"/>
            <w:tcBorders>
              <w:top w:val="nil"/>
              <w:left w:val="nil"/>
              <w:bottom w:val="nil"/>
              <w:right w:val="nil"/>
            </w:tcBorders>
            <w:shd w:val="clear" w:color="auto" w:fill="auto"/>
            <w:noWrap/>
            <w:vAlign w:val="center"/>
            <w:hideMark/>
          </w:tcPr>
          <w:p w14:paraId="335040F9"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1,720</w:t>
            </w:r>
          </w:p>
        </w:tc>
        <w:tc>
          <w:tcPr>
            <w:tcW w:w="726" w:type="pct"/>
            <w:tcBorders>
              <w:top w:val="nil"/>
              <w:left w:val="nil"/>
              <w:bottom w:val="nil"/>
              <w:right w:val="nil"/>
            </w:tcBorders>
            <w:shd w:val="clear" w:color="000000" w:fill="E6F2FF"/>
            <w:noWrap/>
            <w:vAlign w:val="center"/>
            <w:hideMark/>
          </w:tcPr>
          <w:p w14:paraId="28D96FB1"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1,730</w:t>
            </w:r>
          </w:p>
        </w:tc>
        <w:tc>
          <w:tcPr>
            <w:tcW w:w="49" w:type="pct"/>
            <w:tcBorders>
              <w:top w:val="nil"/>
              <w:left w:val="nil"/>
              <w:bottom w:val="nil"/>
              <w:right w:val="nil"/>
            </w:tcBorders>
            <w:shd w:val="clear" w:color="auto" w:fill="auto"/>
            <w:noWrap/>
            <w:vAlign w:val="center"/>
            <w:hideMark/>
          </w:tcPr>
          <w:p w14:paraId="389EADF8"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3A84E6AD"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10</w:t>
            </w:r>
          </w:p>
        </w:tc>
        <w:tc>
          <w:tcPr>
            <w:tcW w:w="659" w:type="pct"/>
            <w:tcBorders>
              <w:top w:val="nil"/>
              <w:left w:val="nil"/>
              <w:bottom w:val="nil"/>
              <w:right w:val="nil"/>
            </w:tcBorders>
            <w:shd w:val="clear" w:color="auto" w:fill="auto"/>
            <w:noWrap/>
            <w:vAlign w:val="center"/>
            <w:hideMark/>
          </w:tcPr>
          <w:p w14:paraId="17923DB0"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0.6</w:t>
            </w:r>
          </w:p>
        </w:tc>
      </w:tr>
      <w:tr w:rsidR="00E86835" w:rsidRPr="00FF1D21" w14:paraId="424EF32E" w14:textId="77777777" w:rsidTr="00E86835">
        <w:trPr>
          <w:trHeight w:hRule="exact" w:val="226"/>
        </w:trPr>
        <w:tc>
          <w:tcPr>
            <w:tcW w:w="2180" w:type="pct"/>
            <w:tcBorders>
              <w:top w:val="nil"/>
              <w:left w:val="nil"/>
              <w:bottom w:val="nil"/>
              <w:right w:val="nil"/>
            </w:tcBorders>
            <w:shd w:val="clear" w:color="auto" w:fill="auto"/>
            <w:noWrap/>
            <w:vAlign w:val="center"/>
            <w:hideMark/>
          </w:tcPr>
          <w:p w14:paraId="411DFEA1"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Agricultural levies</w:t>
            </w:r>
          </w:p>
        </w:tc>
        <w:tc>
          <w:tcPr>
            <w:tcW w:w="726" w:type="pct"/>
            <w:tcBorders>
              <w:top w:val="nil"/>
              <w:left w:val="nil"/>
              <w:bottom w:val="nil"/>
              <w:right w:val="nil"/>
            </w:tcBorders>
            <w:shd w:val="clear" w:color="auto" w:fill="auto"/>
            <w:noWrap/>
            <w:vAlign w:val="center"/>
            <w:hideMark/>
          </w:tcPr>
          <w:p w14:paraId="36BE34C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623</w:t>
            </w:r>
          </w:p>
        </w:tc>
        <w:tc>
          <w:tcPr>
            <w:tcW w:w="726" w:type="pct"/>
            <w:tcBorders>
              <w:top w:val="nil"/>
              <w:left w:val="nil"/>
              <w:bottom w:val="nil"/>
              <w:right w:val="nil"/>
            </w:tcBorders>
            <w:shd w:val="clear" w:color="000000" w:fill="E6F2FF"/>
            <w:noWrap/>
            <w:vAlign w:val="center"/>
            <w:hideMark/>
          </w:tcPr>
          <w:p w14:paraId="39FBFC1B"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678</w:t>
            </w:r>
          </w:p>
        </w:tc>
        <w:tc>
          <w:tcPr>
            <w:tcW w:w="49" w:type="pct"/>
            <w:tcBorders>
              <w:top w:val="nil"/>
              <w:left w:val="nil"/>
              <w:bottom w:val="nil"/>
              <w:right w:val="nil"/>
            </w:tcBorders>
            <w:shd w:val="clear" w:color="auto" w:fill="auto"/>
            <w:noWrap/>
            <w:vAlign w:val="center"/>
            <w:hideMark/>
          </w:tcPr>
          <w:p w14:paraId="13035FAB"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0379DE0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55</w:t>
            </w:r>
          </w:p>
        </w:tc>
        <w:tc>
          <w:tcPr>
            <w:tcW w:w="659" w:type="pct"/>
            <w:tcBorders>
              <w:top w:val="nil"/>
              <w:left w:val="nil"/>
              <w:bottom w:val="nil"/>
              <w:right w:val="nil"/>
            </w:tcBorders>
            <w:shd w:val="clear" w:color="auto" w:fill="auto"/>
            <w:noWrap/>
            <w:vAlign w:val="center"/>
            <w:hideMark/>
          </w:tcPr>
          <w:p w14:paraId="75471073"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8.8</w:t>
            </w:r>
          </w:p>
        </w:tc>
      </w:tr>
      <w:tr w:rsidR="00E86835" w:rsidRPr="00FF1D21" w14:paraId="525A0873"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9D3F8A9"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Visa application charges</w:t>
            </w:r>
          </w:p>
        </w:tc>
        <w:tc>
          <w:tcPr>
            <w:tcW w:w="726" w:type="pct"/>
            <w:tcBorders>
              <w:top w:val="nil"/>
              <w:left w:val="nil"/>
              <w:bottom w:val="nil"/>
              <w:right w:val="nil"/>
            </w:tcBorders>
            <w:shd w:val="clear" w:color="auto" w:fill="auto"/>
            <w:noWrap/>
            <w:vAlign w:val="center"/>
            <w:hideMark/>
          </w:tcPr>
          <w:p w14:paraId="03F75A2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3,882</w:t>
            </w:r>
          </w:p>
        </w:tc>
        <w:tc>
          <w:tcPr>
            <w:tcW w:w="726" w:type="pct"/>
            <w:tcBorders>
              <w:top w:val="nil"/>
              <w:left w:val="nil"/>
              <w:bottom w:val="nil"/>
              <w:right w:val="nil"/>
            </w:tcBorders>
            <w:shd w:val="clear" w:color="000000" w:fill="E6F2FF"/>
            <w:noWrap/>
            <w:vAlign w:val="center"/>
            <w:hideMark/>
          </w:tcPr>
          <w:p w14:paraId="4349DC63"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4,147</w:t>
            </w:r>
          </w:p>
        </w:tc>
        <w:tc>
          <w:tcPr>
            <w:tcW w:w="49" w:type="pct"/>
            <w:tcBorders>
              <w:top w:val="nil"/>
              <w:left w:val="nil"/>
              <w:bottom w:val="nil"/>
              <w:right w:val="nil"/>
            </w:tcBorders>
            <w:shd w:val="clear" w:color="auto" w:fill="auto"/>
            <w:noWrap/>
            <w:vAlign w:val="center"/>
            <w:hideMark/>
          </w:tcPr>
          <w:p w14:paraId="03989C7B"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10B7DE59"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265</w:t>
            </w:r>
          </w:p>
        </w:tc>
        <w:tc>
          <w:tcPr>
            <w:tcW w:w="659" w:type="pct"/>
            <w:tcBorders>
              <w:top w:val="nil"/>
              <w:left w:val="nil"/>
              <w:bottom w:val="nil"/>
              <w:right w:val="nil"/>
            </w:tcBorders>
            <w:shd w:val="clear" w:color="auto" w:fill="auto"/>
            <w:noWrap/>
            <w:vAlign w:val="center"/>
            <w:hideMark/>
          </w:tcPr>
          <w:p w14:paraId="78D9B0A1"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6.8</w:t>
            </w:r>
          </w:p>
        </w:tc>
      </w:tr>
      <w:tr w:rsidR="00E86835" w:rsidRPr="00FF1D21" w14:paraId="52529D8A" w14:textId="77777777" w:rsidTr="00E86835">
        <w:trPr>
          <w:trHeight w:hRule="exact" w:val="226"/>
        </w:trPr>
        <w:tc>
          <w:tcPr>
            <w:tcW w:w="2180" w:type="pct"/>
            <w:tcBorders>
              <w:top w:val="nil"/>
              <w:left w:val="nil"/>
              <w:bottom w:val="nil"/>
              <w:right w:val="nil"/>
            </w:tcBorders>
            <w:shd w:val="clear" w:color="auto" w:fill="auto"/>
            <w:noWrap/>
            <w:vAlign w:val="center"/>
            <w:hideMark/>
          </w:tcPr>
          <w:p w14:paraId="6302F646"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Other taxes</w:t>
            </w:r>
          </w:p>
        </w:tc>
        <w:tc>
          <w:tcPr>
            <w:tcW w:w="726" w:type="pct"/>
            <w:tcBorders>
              <w:top w:val="nil"/>
              <w:left w:val="nil"/>
              <w:bottom w:val="nil"/>
              <w:right w:val="nil"/>
            </w:tcBorders>
            <w:shd w:val="clear" w:color="000000" w:fill="FFFFFF"/>
            <w:noWrap/>
            <w:vAlign w:val="center"/>
            <w:hideMark/>
          </w:tcPr>
          <w:p w14:paraId="03AEB4C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6,183</w:t>
            </w:r>
          </w:p>
        </w:tc>
        <w:tc>
          <w:tcPr>
            <w:tcW w:w="726" w:type="pct"/>
            <w:tcBorders>
              <w:top w:val="nil"/>
              <w:left w:val="nil"/>
              <w:bottom w:val="nil"/>
              <w:right w:val="nil"/>
            </w:tcBorders>
            <w:shd w:val="clear" w:color="000000" w:fill="E6F2FF"/>
            <w:noWrap/>
            <w:vAlign w:val="center"/>
            <w:hideMark/>
          </w:tcPr>
          <w:p w14:paraId="6058CAA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6,267</w:t>
            </w:r>
          </w:p>
        </w:tc>
        <w:tc>
          <w:tcPr>
            <w:tcW w:w="49" w:type="pct"/>
            <w:tcBorders>
              <w:top w:val="nil"/>
              <w:left w:val="nil"/>
              <w:bottom w:val="nil"/>
              <w:right w:val="nil"/>
            </w:tcBorders>
            <w:shd w:val="clear" w:color="auto" w:fill="auto"/>
            <w:noWrap/>
            <w:vAlign w:val="center"/>
            <w:hideMark/>
          </w:tcPr>
          <w:p w14:paraId="4962EBD1"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72FD7C8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83</w:t>
            </w:r>
          </w:p>
        </w:tc>
        <w:tc>
          <w:tcPr>
            <w:tcW w:w="659" w:type="pct"/>
            <w:tcBorders>
              <w:top w:val="nil"/>
              <w:left w:val="nil"/>
              <w:bottom w:val="nil"/>
              <w:right w:val="nil"/>
            </w:tcBorders>
            <w:shd w:val="clear" w:color="auto" w:fill="auto"/>
            <w:noWrap/>
            <w:vAlign w:val="center"/>
            <w:hideMark/>
          </w:tcPr>
          <w:p w14:paraId="019F2B73"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1.3</w:t>
            </w:r>
          </w:p>
        </w:tc>
      </w:tr>
      <w:tr w:rsidR="00E86835" w:rsidRPr="00FF1D21" w14:paraId="33B7B0BD" w14:textId="77777777" w:rsidTr="00E86835">
        <w:trPr>
          <w:trHeight w:hRule="exact" w:val="226"/>
        </w:trPr>
        <w:tc>
          <w:tcPr>
            <w:tcW w:w="2180" w:type="pct"/>
            <w:tcBorders>
              <w:top w:val="nil"/>
              <w:left w:val="nil"/>
              <w:bottom w:val="nil"/>
              <w:right w:val="nil"/>
            </w:tcBorders>
            <w:shd w:val="clear" w:color="auto" w:fill="auto"/>
            <w:noWrap/>
            <w:vAlign w:val="center"/>
            <w:hideMark/>
          </w:tcPr>
          <w:p w14:paraId="46728AE7"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Indirect taxation receipts</w:t>
            </w:r>
          </w:p>
        </w:tc>
        <w:tc>
          <w:tcPr>
            <w:tcW w:w="726" w:type="pct"/>
            <w:tcBorders>
              <w:top w:val="single" w:sz="4" w:space="0" w:color="293F5B"/>
              <w:left w:val="nil"/>
              <w:bottom w:val="nil"/>
              <w:right w:val="nil"/>
            </w:tcBorders>
            <w:shd w:val="clear" w:color="000000" w:fill="FFFFFF"/>
            <w:noWrap/>
            <w:vAlign w:val="center"/>
            <w:hideMark/>
          </w:tcPr>
          <w:p w14:paraId="3347A812" w14:textId="77777777" w:rsidR="00E86835" w:rsidRPr="0043146B" w:rsidRDefault="00E86835" w:rsidP="00E86835">
            <w:pPr>
              <w:spacing w:before="0" w:after="0" w:line="240" w:lineRule="auto"/>
              <w:jc w:val="right"/>
              <w:rPr>
                <w:rFonts w:ascii="Arial" w:hAnsi="Arial" w:cs="Arial"/>
                <w:b/>
                <w:bCs/>
                <w:sz w:val="16"/>
                <w:szCs w:val="16"/>
                <w:highlight w:val="red"/>
              </w:rPr>
            </w:pPr>
            <w:r w:rsidRPr="00205DD5">
              <w:rPr>
                <w:rFonts w:ascii="Arial" w:hAnsi="Arial" w:cs="Arial"/>
                <w:b/>
                <w:bCs/>
                <w:sz w:val="16"/>
                <w:szCs w:val="16"/>
              </w:rPr>
              <w:t>150,272</w:t>
            </w:r>
          </w:p>
        </w:tc>
        <w:tc>
          <w:tcPr>
            <w:tcW w:w="726" w:type="pct"/>
            <w:tcBorders>
              <w:top w:val="single" w:sz="4" w:space="0" w:color="293F5B"/>
              <w:left w:val="nil"/>
              <w:bottom w:val="nil"/>
              <w:right w:val="nil"/>
            </w:tcBorders>
            <w:shd w:val="clear" w:color="000000" w:fill="E6F2FF"/>
            <w:noWrap/>
            <w:vAlign w:val="center"/>
            <w:hideMark/>
          </w:tcPr>
          <w:p w14:paraId="5F078072" w14:textId="74C8D940" w:rsidR="00E86835" w:rsidRPr="0043146B" w:rsidRDefault="00E86835" w:rsidP="00E86835">
            <w:pPr>
              <w:spacing w:before="0" w:after="0" w:line="240" w:lineRule="auto"/>
              <w:jc w:val="right"/>
              <w:rPr>
                <w:rFonts w:ascii="Arial" w:hAnsi="Arial" w:cs="Arial"/>
                <w:b/>
                <w:bCs/>
                <w:sz w:val="16"/>
                <w:szCs w:val="16"/>
                <w:highlight w:val="red"/>
              </w:rPr>
            </w:pPr>
            <w:r w:rsidRPr="00205DD5">
              <w:rPr>
                <w:rFonts w:ascii="Arial" w:hAnsi="Arial" w:cs="Arial"/>
                <w:b/>
                <w:bCs/>
                <w:sz w:val="16"/>
                <w:szCs w:val="16"/>
              </w:rPr>
              <w:t>149,495</w:t>
            </w:r>
          </w:p>
        </w:tc>
        <w:tc>
          <w:tcPr>
            <w:tcW w:w="49" w:type="pct"/>
            <w:tcBorders>
              <w:top w:val="nil"/>
              <w:left w:val="nil"/>
              <w:bottom w:val="nil"/>
              <w:right w:val="nil"/>
            </w:tcBorders>
            <w:shd w:val="clear" w:color="auto" w:fill="auto"/>
            <w:noWrap/>
            <w:vAlign w:val="center"/>
            <w:hideMark/>
          </w:tcPr>
          <w:p w14:paraId="3DD78150" w14:textId="77777777" w:rsidR="00E86835" w:rsidRPr="0043146B" w:rsidRDefault="00E86835" w:rsidP="00E86835">
            <w:pPr>
              <w:spacing w:before="0" w:after="0" w:line="240" w:lineRule="auto"/>
              <w:jc w:val="right"/>
              <w:rPr>
                <w:rFonts w:ascii="Arial" w:hAnsi="Arial" w:cs="Arial"/>
                <w:b/>
                <w:bCs/>
                <w:sz w:val="16"/>
                <w:szCs w:val="16"/>
                <w:highlight w:val="red"/>
              </w:rPr>
            </w:pPr>
          </w:p>
        </w:tc>
        <w:tc>
          <w:tcPr>
            <w:tcW w:w="659" w:type="pct"/>
            <w:tcBorders>
              <w:top w:val="single" w:sz="4" w:space="0" w:color="293F5B"/>
              <w:left w:val="nil"/>
              <w:bottom w:val="nil"/>
              <w:right w:val="nil"/>
            </w:tcBorders>
            <w:shd w:val="clear" w:color="auto" w:fill="auto"/>
            <w:noWrap/>
            <w:vAlign w:val="center"/>
            <w:hideMark/>
          </w:tcPr>
          <w:p w14:paraId="0F88A31F" w14:textId="77777777" w:rsidR="00E86835" w:rsidRPr="00094191" w:rsidRDefault="00E86835" w:rsidP="00E86835">
            <w:pPr>
              <w:spacing w:before="0" w:after="0" w:line="240" w:lineRule="auto"/>
              <w:jc w:val="right"/>
              <w:rPr>
                <w:rFonts w:ascii="Arial" w:hAnsi="Arial" w:cs="Arial"/>
                <w:b/>
                <w:bCs/>
                <w:sz w:val="16"/>
                <w:szCs w:val="16"/>
                <w:highlight w:val="red"/>
              </w:rPr>
            </w:pPr>
            <w:r w:rsidRPr="00205DD5">
              <w:rPr>
                <w:rFonts w:ascii="Arial" w:hAnsi="Arial" w:cs="Arial"/>
                <w:b/>
                <w:bCs/>
                <w:sz w:val="16"/>
                <w:szCs w:val="16"/>
              </w:rPr>
              <w:t>-777</w:t>
            </w:r>
          </w:p>
        </w:tc>
        <w:tc>
          <w:tcPr>
            <w:tcW w:w="659" w:type="pct"/>
            <w:tcBorders>
              <w:top w:val="single" w:sz="4" w:space="0" w:color="293F5B"/>
              <w:left w:val="nil"/>
              <w:bottom w:val="nil"/>
              <w:right w:val="nil"/>
            </w:tcBorders>
            <w:shd w:val="clear" w:color="auto" w:fill="auto"/>
            <w:noWrap/>
            <w:vAlign w:val="center"/>
            <w:hideMark/>
          </w:tcPr>
          <w:p w14:paraId="07E69390" w14:textId="77777777" w:rsidR="00E86835" w:rsidRPr="00205DD5" w:rsidRDefault="00E86835" w:rsidP="00E86835">
            <w:pPr>
              <w:spacing w:before="0" w:after="0" w:line="240" w:lineRule="auto"/>
              <w:jc w:val="right"/>
              <w:rPr>
                <w:rFonts w:ascii="Arial" w:hAnsi="Arial" w:cs="Arial"/>
                <w:b/>
                <w:bCs/>
                <w:sz w:val="16"/>
                <w:szCs w:val="16"/>
              </w:rPr>
            </w:pPr>
            <w:r w:rsidRPr="00205DD5">
              <w:rPr>
                <w:rFonts w:ascii="Arial" w:hAnsi="Arial" w:cs="Arial"/>
                <w:b/>
                <w:bCs/>
                <w:sz w:val="16"/>
                <w:szCs w:val="16"/>
              </w:rPr>
              <w:t>-0.5</w:t>
            </w:r>
          </w:p>
        </w:tc>
      </w:tr>
      <w:tr w:rsidR="00E86835" w:rsidRPr="00FF1D21" w14:paraId="258969FB" w14:textId="77777777" w:rsidTr="00E86835">
        <w:trPr>
          <w:trHeight w:hRule="exact" w:val="60"/>
        </w:trPr>
        <w:tc>
          <w:tcPr>
            <w:tcW w:w="2180" w:type="pct"/>
            <w:tcBorders>
              <w:top w:val="nil"/>
              <w:left w:val="nil"/>
              <w:bottom w:val="nil"/>
              <w:right w:val="nil"/>
            </w:tcBorders>
            <w:shd w:val="clear" w:color="auto" w:fill="auto"/>
            <w:noWrap/>
            <w:vAlign w:val="center"/>
            <w:hideMark/>
          </w:tcPr>
          <w:p w14:paraId="290409B2"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726" w:type="pct"/>
            <w:tcBorders>
              <w:top w:val="single" w:sz="4" w:space="0" w:color="293F5B"/>
              <w:left w:val="nil"/>
              <w:bottom w:val="nil"/>
              <w:right w:val="nil"/>
            </w:tcBorders>
            <w:shd w:val="clear" w:color="000000" w:fill="FFFFFF"/>
            <w:noWrap/>
            <w:vAlign w:val="center"/>
            <w:hideMark/>
          </w:tcPr>
          <w:p w14:paraId="1AF4ACA3"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726" w:type="pct"/>
            <w:tcBorders>
              <w:top w:val="single" w:sz="4" w:space="0" w:color="293F5B"/>
              <w:left w:val="nil"/>
              <w:bottom w:val="nil"/>
              <w:right w:val="nil"/>
            </w:tcBorders>
            <w:shd w:val="clear" w:color="000000" w:fill="E6F2FF"/>
            <w:noWrap/>
            <w:vAlign w:val="center"/>
            <w:hideMark/>
          </w:tcPr>
          <w:p w14:paraId="378F9AD1"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49" w:type="pct"/>
            <w:tcBorders>
              <w:top w:val="nil"/>
              <w:left w:val="nil"/>
              <w:bottom w:val="nil"/>
              <w:right w:val="nil"/>
            </w:tcBorders>
            <w:shd w:val="clear" w:color="auto" w:fill="auto"/>
            <w:noWrap/>
            <w:vAlign w:val="center"/>
            <w:hideMark/>
          </w:tcPr>
          <w:p w14:paraId="1B332735" w14:textId="77777777" w:rsidR="00E86835" w:rsidRPr="00FF1D21" w:rsidRDefault="00E86835" w:rsidP="00E86835">
            <w:pPr>
              <w:spacing w:before="0" w:after="0" w:line="240" w:lineRule="auto"/>
              <w:rPr>
                <w:rFonts w:ascii="Arial" w:hAnsi="Arial" w:cs="Arial"/>
                <w:sz w:val="16"/>
                <w:szCs w:val="16"/>
                <w:highlight w:val="red"/>
              </w:rPr>
            </w:pPr>
          </w:p>
        </w:tc>
        <w:tc>
          <w:tcPr>
            <w:tcW w:w="659" w:type="pct"/>
            <w:tcBorders>
              <w:top w:val="single" w:sz="4" w:space="0" w:color="293F5B"/>
              <w:left w:val="nil"/>
              <w:bottom w:val="nil"/>
              <w:right w:val="nil"/>
            </w:tcBorders>
            <w:shd w:val="clear" w:color="auto" w:fill="auto"/>
            <w:noWrap/>
            <w:vAlign w:val="center"/>
            <w:hideMark/>
          </w:tcPr>
          <w:p w14:paraId="1473E995"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659" w:type="pct"/>
            <w:tcBorders>
              <w:top w:val="single" w:sz="4" w:space="0" w:color="293F5B"/>
              <w:left w:val="nil"/>
              <w:bottom w:val="nil"/>
              <w:right w:val="nil"/>
            </w:tcBorders>
            <w:shd w:val="clear" w:color="auto" w:fill="auto"/>
            <w:noWrap/>
            <w:vAlign w:val="center"/>
            <w:hideMark/>
          </w:tcPr>
          <w:p w14:paraId="3DD4BDFD" w14:textId="77777777" w:rsidR="00E86835" w:rsidRPr="00205DD5" w:rsidRDefault="00E86835" w:rsidP="00E86835">
            <w:pPr>
              <w:spacing w:before="0" w:after="0" w:line="240" w:lineRule="auto"/>
              <w:jc w:val="right"/>
              <w:rPr>
                <w:rFonts w:ascii="Arial" w:hAnsi="Arial" w:cs="Arial"/>
                <w:b/>
                <w:sz w:val="16"/>
                <w:szCs w:val="16"/>
              </w:rPr>
            </w:pPr>
            <w:r w:rsidRPr="00205DD5">
              <w:rPr>
                <w:rFonts w:ascii="Arial" w:hAnsi="Arial" w:cs="Arial"/>
                <w:b/>
                <w:sz w:val="16"/>
                <w:szCs w:val="16"/>
              </w:rPr>
              <w:t> </w:t>
            </w:r>
          </w:p>
        </w:tc>
      </w:tr>
      <w:tr w:rsidR="00E86835" w:rsidRPr="00FF1D21" w14:paraId="1D815B01"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3B37835"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Taxation receipts</w:t>
            </w:r>
          </w:p>
        </w:tc>
        <w:tc>
          <w:tcPr>
            <w:tcW w:w="726" w:type="pct"/>
            <w:tcBorders>
              <w:top w:val="nil"/>
              <w:left w:val="nil"/>
              <w:bottom w:val="single" w:sz="4" w:space="0" w:color="293F5B"/>
              <w:right w:val="nil"/>
            </w:tcBorders>
            <w:shd w:val="clear" w:color="000000" w:fill="FFFFFF"/>
            <w:noWrap/>
            <w:vAlign w:val="center"/>
            <w:hideMark/>
          </w:tcPr>
          <w:p w14:paraId="371761AC"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642,542</w:t>
            </w:r>
          </w:p>
        </w:tc>
        <w:tc>
          <w:tcPr>
            <w:tcW w:w="726" w:type="pct"/>
            <w:tcBorders>
              <w:top w:val="nil"/>
              <w:left w:val="nil"/>
              <w:bottom w:val="single" w:sz="4" w:space="0" w:color="293F5B"/>
              <w:right w:val="nil"/>
            </w:tcBorders>
            <w:shd w:val="clear" w:color="000000" w:fill="E6F2FF"/>
            <w:noWrap/>
            <w:vAlign w:val="center"/>
            <w:hideMark/>
          </w:tcPr>
          <w:p w14:paraId="170AC3DA"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645,565</w:t>
            </w:r>
          </w:p>
        </w:tc>
        <w:tc>
          <w:tcPr>
            <w:tcW w:w="49" w:type="pct"/>
            <w:tcBorders>
              <w:top w:val="nil"/>
              <w:left w:val="nil"/>
              <w:bottom w:val="nil"/>
              <w:right w:val="nil"/>
            </w:tcBorders>
            <w:shd w:val="clear" w:color="auto" w:fill="auto"/>
            <w:noWrap/>
            <w:vAlign w:val="center"/>
            <w:hideMark/>
          </w:tcPr>
          <w:p w14:paraId="130836CC"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659" w:type="pct"/>
            <w:tcBorders>
              <w:top w:val="nil"/>
              <w:left w:val="nil"/>
              <w:bottom w:val="single" w:sz="4" w:space="0" w:color="293F5B"/>
              <w:right w:val="nil"/>
            </w:tcBorders>
            <w:shd w:val="clear" w:color="auto" w:fill="auto"/>
            <w:noWrap/>
            <w:vAlign w:val="center"/>
            <w:hideMark/>
          </w:tcPr>
          <w:p w14:paraId="3D2AF738"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3,023</w:t>
            </w:r>
          </w:p>
        </w:tc>
        <w:tc>
          <w:tcPr>
            <w:tcW w:w="659" w:type="pct"/>
            <w:tcBorders>
              <w:top w:val="nil"/>
              <w:left w:val="nil"/>
              <w:bottom w:val="single" w:sz="4" w:space="0" w:color="293F5B"/>
              <w:right w:val="nil"/>
            </w:tcBorders>
            <w:shd w:val="clear" w:color="auto" w:fill="auto"/>
            <w:noWrap/>
            <w:vAlign w:val="center"/>
            <w:hideMark/>
          </w:tcPr>
          <w:p w14:paraId="345AE148" w14:textId="77777777" w:rsidR="00E86835" w:rsidRPr="00205DD5" w:rsidRDefault="00E86835" w:rsidP="00E86835">
            <w:pPr>
              <w:spacing w:before="0" w:after="0" w:line="240" w:lineRule="auto"/>
              <w:jc w:val="right"/>
              <w:rPr>
                <w:rFonts w:ascii="Arial" w:hAnsi="Arial" w:cs="Arial"/>
                <w:b/>
                <w:sz w:val="16"/>
                <w:szCs w:val="16"/>
              </w:rPr>
            </w:pPr>
            <w:r w:rsidRPr="00205DD5">
              <w:rPr>
                <w:rFonts w:ascii="Arial" w:hAnsi="Arial" w:cs="Arial"/>
                <w:b/>
                <w:sz w:val="16"/>
                <w:szCs w:val="16"/>
              </w:rPr>
              <w:t>0.5</w:t>
            </w:r>
          </w:p>
        </w:tc>
      </w:tr>
      <w:tr w:rsidR="00E86835" w:rsidRPr="00FF1D21" w14:paraId="1415C97B" w14:textId="77777777" w:rsidTr="00E86835">
        <w:trPr>
          <w:trHeight w:hRule="exact" w:val="60"/>
        </w:trPr>
        <w:tc>
          <w:tcPr>
            <w:tcW w:w="2180" w:type="pct"/>
            <w:tcBorders>
              <w:top w:val="nil"/>
              <w:left w:val="nil"/>
              <w:bottom w:val="nil"/>
              <w:right w:val="nil"/>
            </w:tcBorders>
            <w:shd w:val="clear" w:color="auto" w:fill="auto"/>
            <w:noWrap/>
            <w:vAlign w:val="center"/>
            <w:hideMark/>
          </w:tcPr>
          <w:p w14:paraId="068CF2A9"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726" w:type="pct"/>
            <w:tcBorders>
              <w:top w:val="nil"/>
              <w:left w:val="nil"/>
              <w:bottom w:val="nil"/>
              <w:right w:val="nil"/>
            </w:tcBorders>
            <w:shd w:val="clear" w:color="000000" w:fill="FFFFFF"/>
            <w:noWrap/>
            <w:vAlign w:val="center"/>
            <w:hideMark/>
          </w:tcPr>
          <w:p w14:paraId="6845E0D5"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 </w:t>
            </w:r>
          </w:p>
        </w:tc>
        <w:tc>
          <w:tcPr>
            <w:tcW w:w="726" w:type="pct"/>
            <w:tcBorders>
              <w:top w:val="nil"/>
              <w:left w:val="nil"/>
              <w:bottom w:val="nil"/>
              <w:right w:val="nil"/>
            </w:tcBorders>
            <w:shd w:val="clear" w:color="000000" w:fill="E6F2FF"/>
            <w:noWrap/>
            <w:vAlign w:val="center"/>
            <w:hideMark/>
          </w:tcPr>
          <w:p w14:paraId="5BCF485C"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 </w:t>
            </w:r>
          </w:p>
        </w:tc>
        <w:tc>
          <w:tcPr>
            <w:tcW w:w="49" w:type="pct"/>
            <w:tcBorders>
              <w:top w:val="nil"/>
              <w:left w:val="nil"/>
              <w:bottom w:val="nil"/>
              <w:right w:val="nil"/>
            </w:tcBorders>
            <w:shd w:val="clear" w:color="auto" w:fill="auto"/>
            <w:noWrap/>
            <w:vAlign w:val="center"/>
            <w:hideMark/>
          </w:tcPr>
          <w:p w14:paraId="3A17CA5D" w14:textId="77777777" w:rsidR="00E86835" w:rsidRPr="00FF1D21" w:rsidRDefault="00E86835" w:rsidP="00E86835">
            <w:pPr>
              <w:spacing w:before="0" w:after="0" w:line="240" w:lineRule="auto"/>
              <w:rPr>
                <w:rFonts w:ascii="Arial" w:hAnsi="Arial" w:cs="Arial"/>
                <w:b/>
                <w:sz w:val="16"/>
                <w:szCs w:val="16"/>
                <w:highlight w:val="red"/>
              </w:rPr>
            </w:pPr>
          </w:p>
        </w:tc>
        <w:tc>
          <w:tcPr>
            <w:tcW w:w="659" w:type="pct"/>
            <w:tcBorders>
              <w:top w:val="nil"/>
              <w:left w:val="nil"/>
              <w:bottom w:val="nil"/>
              <w:right w:val="nil"/>
            </w:tcBorders>
            <w:shd w:val="clear" w:color="auto" w:fill="auto"/>
            <w:noWrap/>
            <w:vAlign w:val="center"/>
            <w:hideMark/>
          </w:tcPr>
          <w:p w14:paraId="3DBB1C90" w14:textId="77777777" w:rsidR="00E86835" w:rsidRPr="00FF1D21" w:rsidRDefault="00E86835" w:rsidP="00E86835">
            <w:pPr>
              <w:spacing w:before="0" w:after="0" w:line="240" w:lineRule="auto"/>
              <w:jc w:val="right"/>
              <w:rPr>
                <w:rFonts w:ascii="Times New Roman" w:hAnsi="Times New Roman"/>
                <w:sz w:val="20"/>
                <w:highlight w:val="red"/>
              </w:rPr>
            </w:pPr>
          </w:p>
        </w:tc>
        <w:tc>
          <w:tcPr>
            <w:tcW w:w="659" w:type="pct"/>
            <w:tcBorders>
              <w:top w:val="nil"/>
              <w:left w:val="nil"/>
              <w:bottom w:val="nil"/>
              <w:right w:val="nil"/>
            </w:tcBorders>
            <w:shd w:val="clear" w:color="auto" w:fill="auto"/>
            <w:noWrap/>
            <w:vAlign w:val="center"/>
            <w:hideMark/>
          </w:tcPr>
          <w:p w14:paraId="4E43A4CA" w14:textId="77777777" w:rsidR="00E86835" w:rsidRPr="00205DD5" w:rsidRDefault="00E86835" w:rsidP="00E86835">
            <w:pPr>
              <w:spacing w:before="0" w:after="0" w:line="240" w:lineRule="auto"/>
              <w:jc w:val="right"/>
              <w:rPr>
                <w:rFonts w:ascii="Times New Roman" w:hAnsi="Times New Roman"/>
                <w:sz w:val="20"/>
              </w:rPr>
            </w:pPr>
          </w:p>
        </w:tc>
      </w:tr>
      <w:tr w:rsidR="00E86835" w:rsidRPr="00FF1D21" w14:paraId="04B6163F" w14:textId="77777777" w:rsidTr="00E86835">
        <w:trPr>
          <w:trHeight w:hRule="exact" w:val="226"/>
        </w:trPr>
        <w:tc>
          <w:tcPr>
            <w:tcW w:w="2180" w:type="pct"/>
            <w:tcBorders>
              <w:top w:val="nil"/>
              <w:left w:val="nil"/>
              <w:bottom w:val="nil"/>
              <w:right w:val="nil"/>
            </w:tcBorders>
            <w:shd w:val="clear" w:color="auto" w:fill="auto"/>
            <w:noWrap/>
            <w:vAlign w:val="center"/>
            <w:hideMark/>
          </w:tcPr>
          <w:p w14:paraId="22DF1CF9"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Sales of goods and services</w:t>
            </w:r>
          </w:p>
        </w:tc>
        <w:tc>
          <w:tcPr>
            <w:tcW w:w="726" w:type="pct"/>
            <w:tcBorders>
              <w:top w:val="nil"/>
              <w:left w:val="nil"/>
              <w:bottom w:val="nil"/>
              <w:right w:val="nil"/>
            </w:tcBorders>
            <w:shd w:val="clear" w:color="000000" w:fill="FFFFFF"/>
            <w:noWrap/>
            <w:vAlign w:val="center"/>
            <w:hideMark/>
          </w:tcPr>
          <w:p w14:paraId="64673327"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21,396</w:t>
            </w:r>
          </w:p>
        </w:tc>
        <w:tc>
          <w:tcPr>
            <w:tcW w:w="726" w:type="pct"/>
            <w:tcBorders>
              <w:top w:val="nil"/>
              <w:left w:val="nil"/>
              <w:bottom w:val="nil"/>
              <w:right w:val="nil"/>
            </w:tcBorders>
            <w:shd w:val="clear" w:color="000000" w:fill="E6F2FF"/>
            <w:noWrap/>
            <w:vAlign w:val="center"/>
            <w:hideMark/>
          </w:tcPr>
          <w:p w14:paraId="66224FEF"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22,039</w:t>
            </w:r>
          </w:p>
        </w:tc>
        <w:tc>
          <w:tcPr>
            <w:tcW w:w="49" w:type="pct"/>
            <w:tcBorders>
              <w:top w:val="nil"/>
              <w:left w:val="nil"/>
              <w:bottom w:val="nil"/>
              <w:right w:val="nil"/>
            </w:tcBorders>
            <w:shd w:val="clear" w:color="auto" w:fill="auto"/>
            <w:noWrap/>
            <w:vAlign w:val="center"/>
            <w:hideMark/>
          </w:tcPr>
          <w:p w14:paraId="4D616BD3"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2D725BFD"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643</w:t>
            </w:r>
          </w:p>
        </w:tc>
        <w:tc>
          <w:tcPr>
            <w:tcW w:w="659" w:type="pct"/>
            <w:tcBorders>
              <w:top w:val="nil"/>
              <w:left w:val="nil"/>
              <w:bottom w:val="nil"/>
              <w:right w:val="nil"/>
            </w:tcBorders>
            <w:shd w:val="clear" w:color="auto" w:fill="auto"/>
            <w:noWrap/>
            <w:vAlign w:val="center"/>
            <w:hideMark/>
          </w:tcPr>
          <w:p w14:paraId="173FC6B0"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3.0</w:t>
            </w:r>
          </w:p>
        </w:tc>
      </w:tr>
      <w:tr w:rsidR="00E86835" w:rsidRPr="00FF1D21" w14:paraId="1953C9BA" w14:textId="77777777" w:rsidTr="00E86835">
        <w:trPr>
          <w:trHeight w:hRule="exact" w:val="226"/>
        </w:trPr>
        <w:tc>
          <w:tcPr>
            <w:tcW w:w="2180" w:type="pct"/>
            <w:tcBorders>
              <w:top w:val="nil"/>
              <w:left w:val="nil"/>
              <w:bottom w:val="nil"/>
              <w:right w:val="nil"/>
            </w:tcBorders>
            <w:shd w:val="clear" w:color="auto" w:fill="auto"/>
            <w:noWrap/>
            <w:vAlign w:val="center"/>
            <w:hideMark/>
          </w:tcPr>
          <w:p w14:paraId="58802D3A"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Interest received</w:t>
            </w:r>
          </w:p>
        </w:tc>
        <w:tc>
          <w:tcPr>
            <w:tcW w:w="726" w:type="pct"/>
            <w:tcBorders>
              <w:top w:val="nil"/>
              <w:left w:val="nil"/>
              <w:bottom w:val="nil"/>
              <w:right w:val="nil"/>
            </w:tcBorders>
            <w:shd w:val="clear" w:color="000000" w:fill="FFFFFF"/>
            <w:noWrap/>
            <w:vAlign w:val="center"/>
            <w:hideMark/>
          </w:tcPr>
          <w:p w14:paraId="4853E8B4"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9,275</w:t>
            </w:r>
          </w:p>
        </w:tc>
        <w:tc>
          <w:tcPr>
            <w:tcW w:w="726" w:type="pct"/>
            <w:tcBorders>
              <w:top w:val="nil"/>
              <w:left w:val="nil"/>
              <w:bottom w:val="nil"/>
              <w:right w:val="nil"/>
            </w:tcBorders>
            <w:shd w:val="clear" w:color="000000" w:fill="E6F2FF"/>
            <w:noWrap/>
            <w:vAlign w:val="center"/>
            <w:hideMark/>
          </w:tcPr>
          <w:p w14:paraId="56132B0A"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9,968</w:t>
            </w:r>
          </w:p>
        </w:tc>
        <w:tc>
          <w:tcPr>
            <w:tcW w:w="49" w:type="pct"/>
            <w:tcBorders>
              <w:top w:val="nil"/>
              <w:left w:val="nil"/>
              <w:bottom w:val="nil"/>
              <w:right w:val="nil"/>
            </w:tcBorders>
            <w:shd w:val="clear" w:color="auto" w:fill="auto"/>
            <w:noWrap/>
            <w:vAlign w:val="center"/>
            <w:hideMark/>
          </w:tcPr>
          <w:p w14:paraId="3866FCD2"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61FDC420"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692</w:t>
            </w:r>
          </w:p>
        </w:tc>
        <w:tc>
          <w:tcPr>
            <w:tcW w:w="659" w:type="pct"/>
            <w:tcBorders>
              <w:top w:val="nil"/>
              <w:left w:val="nil"/>
              <w:bottom w:val="nil"/>
              <w:right w:val="nil"/>
            </w:tcBorders>
            <w:shd w:val="clear" w:color="auto" w:fill="auto"/>
            <w:noWrap/>
            <w:vAlign w:val="center"/>
            <w:hideMark/>
          </w:tcPr>
          <w:p w14:paraId="5F59F689"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7.5</w:t>
            </w:r>
          </w:p>
        </w:tc>
      </w:tr>
      <w:tr w:rsidR="00E86835" w:rsidRPr="00FF1D21" w14:paraId="253439D3" w14:textId="77777777" w:rsidTr="00E86835">
        <w:trPr>
          <w:trHeight w:hRule="exact" w:val="226"/>
        </w:trPr>
        <w:tc>
          <w:tcPr>
            <w:tcW w:w="2180" w:type="pct"/>
            <w:tcBorders>
              <w:top w:val="nil"/>
              <w:left w:val="nil"/>
              <w:bottom w:val="nil"/>
              <w:right w:val="nil"/>
            </w:tcBorders>
            <w:shd w:val="clear" w:color="auto" w:fill="auto"/>
            <w:noWrap/>
            <w:vAlign w:val="center"/>
            <w:hideMark/>
          </w:tcPr>
          <w:p w14:paraId="3E6EA3E3"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Dividends and distributions</w:t>
            </w:r>
          </w:p>
        </w:tc>
        <w:tc>
          <w:tcPr>
            <w:tcW w:w="726" w:type="pct"/>
            <w:tcBorders>
              <w:top w:val="nil"/>
              <w:left w:val="nil"/>
              <w:bottom w:val="nil"/>
              <w:right w:val="nil"/>
            </w:tcBorders>
            <w:shd w:val="clear" w:color="000000" w:fill="FFFFFF"/>
            <w:noWrap/>
            <w:vAlign w:val="center"/>
            <w:hideMark/>
          </w:tcPr>
          <w:p w14:paraId="35920199"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6,789</w:t>
            </w:r>
          </w:p>
        </w:tc>
        <w:tc>
          <w:tcPr>
            <w:tcW w:w="726" w:type="pct"/>
            <w:tcBorders>
              <w:top w:val="nil"/>
              <w:left w:val="nil"/>
              <w:bottom w:val="nil"/>
              <w:right w:val="nil"/>
            </w:tcBorders>
            <w:shd w:val="clear" w:color="000000" w:fill="E6F2FF"/>
            <w:noWrap/>
            <w:vAlign w:val="center"/>
            <w:hideMark/>
          </w:tcPr>
          <w:p w14:paraId="3D542505"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7,206</w:t>
            </w:r>
          </w:p>
        </w:tc>
        <w:tc>
          <w:tcPr>
            <w:tcW w:w="49" w:type="pct"/>
            <w:tcBorders>
              <w:top w:val="nil"/>
              <w:left w:val="nil"/>
              <w:bottom w:val="nil"/>
              <w:right w:val="nil"/>
            </w:tcBorders>
            <w:shd w:val="clear" w:color="auto" w:fill="auto"/>
            <w:noWrap/>
            <w:vAlign w:val="center"/>
            <w:hideMark/>
          </w:tcPr>
          <w:p w14:paraId="601D13DF"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569030CC"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417</w:t>
            </w:r>
          </w:p>
        </w:tc>
        <w:tc>
          <w:tcPr>
            <w:tcW w:w="659" w:type="pct"/>
            <w:tcBorders>
              <w:top w:val="nil"/>
              <w:left w:val="nil"/>
              <w:bottom w:val="nil"/>
              <w:right w:val="nil"/>
            </w:tcBorders>
            <w:shd w:val="clear" w:color="auto" w:fill="auto"/>
            <w:noWrap/>
            <w:vAlign w:val="center"/>
            <w:hideMark/>
          </w:tcPr>
          <w:p w14:paraId="74ACD354"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6.1</w:t>
            </w:r>
          </w:p>
        </w:tc>
      </w:tr>
      <w:tr w:rsidR="00E86835" w:rsidRPr="00FF1D21" w14:paraId="162ABCA9" w14:textId="77777777" w:rsidTr="00E86835">
        <w:trPr>
          <w:trHeight w:hRule="exact" w:val="226"/>
        </w:trPr>
        <w:tc>
          <w:tcPr>
            <w:tcW w:w="2180" w:type="pct"/>
            <w:tcBorders>
              <w:top w:val="nil"/>
              <w:left w:val="nil"/>
              <w:bottom w:val="nil"/>
              <w:right w:val="nil"/>
            </w:tcBorders>
            <w:shd w:val="clear" w:color="auto" w:fill="auto"/>
            <w:noWrap/>
            <w:vAlign w:val="center"/>
            <w:hideMark/>
          </w:tcPr>
          <w:p w14:paraId="5F9B1450" w14:textId="77777777" w:rsidR="00E86835" w:rsidRPr="00FF1D21" w:rsidRDefault="00E86835" w:rsidP="00E86835">
            <w:pPr>
              <w:spacing w:before="0" w:after="0" w:line="240" w:lineRule="auto"/>
              <w:rPr>
                <w:rFonts w:ascii="Arial" w:hAnsi="Arial" w:cs="Arial"/>
                <w:sz w:val="16"/>
                <w:szCs w:val="16"/>
                <w:highlight w:val="red"/>
              </w:rPr>
            </w:pPr>
            <w:r w:rsidRPr="00205DD5">
              <w:rPr>
                <w:rFonts w:ascii="Arial" w:hAnsi="Arial" w:cs="Arial"/>
                <w:sz w:val="16"/>
                <w:szCs w:val="16"/>
              </w:rPr>
              <w:t>Other non-taxation receipts</w:t>
            </w:r>
          </w:p>
        </w:tc>
        <w:tc>
          <w:tcPr>
            <w:tcW w:w="726" w:type="pct"/>
            <w:tcBorders>
              <w:top w:val="nil"/>
              <w:left w:val="nil"/>
              <w:bottom w:val="nil"/>
              <w:right w:val="nil"/>
            </w:tcBorders>
            <w:shd w:val="clear" w:color="000000" w:fill="FFFFFF"/>
            <w:noWrap/>
            <w:vAlign w:val="center"/>
            <w:hideMark/>
          </w:tcPr>
          <w:p w14:paraId="5B6737E6"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18,444</w:t>
            </w:r>
          </w:p>
        </w:tc>
        <w:tc>
          <w:tcPr>
            <w:tcW w:w="726" w:type="pct"/>
            <w:tcBorders>
              <w:top w:val="nil"/>
              <w:left w:val="nil"/>
              <w:bottom w:val="nil"/>
              <w:right w:val="nil"/>
            </w:tcBorders>
            <w:shd w:val="clear" w:color="000000" w:fill="E6F2FF"/>
            <w:noWrap/>
            <w:vAlign w:val="center"/>
            <w:hideMark/>
          </w:tcPr>
          <w:p w14:paraId="21D84F8B"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19,407</w:t>
            </w:r>
          </w:p>
        </w:tc>
        <w:tc>
          <w:tcPr>
            <w:tcW w:w="49" w:type="pct"/>
            <w:tcBorders>
              <w:top w:val="nil"/>
              <w:left w:val="nil"/>
              <w:bottom w:val="nil"/>
              <w:right w:val="nil"/>
            </w:tcBorders>
            <w:shd w:val="clear" w:color="auto" w:fill="auto"/>
            <w:noWrap/>
            <w:vAlign w:val="center"/>
            <w:hideMark/>
          </w:tcPr>
          <w:p w14:paraId="02704AF0" w14:textId="77777777" w:rsidR="00E86835" w:rsidRPr="00FF1D21" w:rsidRDefault="00E86835" w:rsidP="00E86835">
            <w:pPr>
              <w:spacing w:before="0" w:after="0" w:line="240" w:lineRule="auto"/>
              <w:jc w:val="right"/>
              <w:rPr>
                <w:rFonts w:ascii="Arial" w:hAnsi="Arial" w:cs="Arial"/>
                <w:sz w:val="16"/>
                <w:szCs w:val="16"/>
                <w:highlight w:val="red"/>
              </w:rPr>
            </w:pPr>
          </w:p>
        </w:tc>
        <w:tc>
          <w:tcPr>
            <w:tcW w:w="659" w:type="pct"/>
            <w:tcBorders>
              <w:top w:val="nil"/>
              <w:left w:val="nil"/>
              <w:bottom w:val="nil"/>
              <w:right w:val="nil"/>
            </w:tcBorders>
            <w:shd w:val="clear" w:color="auto" w:fill="auto"/>
            <w:noWrap/>
            <w:vAlign w:val="center"/>
            <w:hideMark/>
          </w:tcPr>
          <w:p w14:paraId="28F77896" w14:textId="77777777" w:rsidR="00E86835" w:rsidRPr="00FF1D21" w:rsidRDefault="00E86835" w:rsidP="00E86835">
            <w:pPr>
              <w:spacing w:before="0" w:after="0" w:line="240" w:lineRule="auto"/>
              <w:jc w:val="right"/>
              <w:rPr>
                <w:rFonts w:ascii="Arial" w:hAnsi="Arial" w:cs="Arial"/>
                <w:sz w:val="16"/>
                <w:szCs w:val="16"/>
                <w:highlight w:val="red"/>
              </w:rPr>
            </w:pPr>
            <w:r w:rsidRPr="00205DD5">
              <w:rPr>
                <w:rFonts w:ascii="Arial" w:hAnsi="Arial" w:cs="Arial"/>
                <w:sz w:val="16"/>
                <w:szCs w:val="16"/>
              </w:rPr>
              <w:t>964</w:t>
            </w:r>
          </w:p>
        </w:tc>
        <w:tc>
          <w:tcPr>
            <w:tcW w:w="659" w:type="pct"/>
            <w:tcBorders>
              <w:top w:val="nil"/>
              <w:left w:val="nil"/>
              <w:bottom w:val="nil"/>
              <w:right w:val="nil"/>
            </w:tcBorders>
            <w:shd w:val="clear" w:color="auto" w:fill="auto"/>
            <w:noWrap/>
            <w:vAlign w:val="center"/>
            <w:hideMark/>
          </w:tcPr>
          <w:p w14:paraId="38D9CA18" w14:textId="77777777" w:rsidR="00E86835" w:rsidRPr="00205DD5" w:rsidRDefault="00E86835" w:rsidP="00E86835">
            <w:pPr>
              <w:spacing w:before="0" w:after="0" w:line="240" w:lineRule="auto"/>
              <w:jc w:val="right"/>
              <w:rPr>
                <w:rFonts w:ascii="Arial" w:hAnsi="Arial" w:cs="Arial"/>
                <w:sz w:val="16"/>
                <w:szCs w:val="16"/>
              </w:rPr>
            </w:pPr>
            <w:r w:rsidRPr="00205DD5">
              <w:rPr>
                <w:rFonts w:ascii="Arial" w:hAnsi="Arial" w:cs="Arial"/>
                <w:sz w:val="16"/>
                <w:szCs w:val="16"/>
              </w:rPr>
              <w:t>5.2</w:t>
            </w:r>
          </w:p>
        </w:tc>
      </w:tr>
      <w:tr w:rsidR="00E86835" w:rsidRPr="00FF1D21" w14:paraId="019F32B2" w14:textId="77777777" w:rsidTr="00E86835">
        <w:trPr>
          <w:trHeight w:hRule="exact" w:val="226"/>
        </w:trPr>
        <w:tc>
          <w:tcPr>
            <w:tcW w:w="2180" w:type="pct"/>
            <w:tcBorders>
              <w:top w:val="nil"/>
              <w:left w:val="nil"/>
              <w:bottom w:val="nil"/>
              <w:right w:val="nil"/>
            </w:tcBorders>
            <w:shd w:val="clear" w:color="auto" w:fill="auto"/>
            <w:noWrap/>
            <w:vAlign w:val="center"/>
            <w:hideMark/>
          </w:tcPr>
          <w:p w14:paraId="00944CE1"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Non-taxation receipts</w:t>
            </w:r>
          </w:p>
        </w:tc>
        <w:tc>
          <w:tcPr>
            <w:tcW w:w="726" w:type="pct"/>
            <w:tcBorders>
              <w:top w:val="single" w:sz="4" w:space="0" w:color="293F5B"/>
              <w:left w:val="nil"/>
              <w:bottom w:val="nil"/>
              <w:right w:val="nil"/>
            </w:tcBorders>
            <w:shd w:val="clear" w:color="000000" w:fill="FFFFFF"/>
            <w:noWrap/>
            <w:vAlign w:val="center"/>
            <w:hideMark/>
          </w:tcPr>
          <w:p w14:paraId="54561107"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55,904</w:t>
            </w:r>
          </w:p>
        </w:tc>
        <w:tc>
          <w:tcPr>
            <w:tcW w:w="726" w:type="pct"/>
            <w:tcBorders>
              <w:top w:val="single" w:sz="4" w:space="0" w:color="293F5B"/>
              <w:left w:val="nil"/>
              <w:bottom w:val="nil"/>
              <w:right w:val="nil"/>
            </w:tcBorders>
            <w:shd w:val="clear" w:color="000000" w:fill="E6F2FF"/>
            <w:noWrap/>
            <w:vAlign w:val="center"/>
            <w:hideMark/>
          </w:tcPr>
          <w:p w14:paraId="04D829B7"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58,620</w:t>
            </w:r>
          </w:p>
        </w:tc>
        <w:tc>
          <w:tcPr>
            <w:tcW w:w="49" w:type="pct"/>
            <w:tcBorders>
              <w:top w:val="nil"/>
              <w:left w:val="nil"/>
              <w:bottom w:val="nil"/>
              <w:right w:val="nil"/>
            </w:tcBorders>
            <w:shd w:val="clear" w:color="auto" w:fill="auto"/>
            <w:noWrap/>
            <w:vAlign w:val="center"/>
            <w:hideMark/>
          </w:tcPr>
          <w:p w14:paraId="73C50D32"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659" w:type="pct"/>
            <w:tcBorders>
              <w:top w:val="single" w:sz="4" w:space="0" w:color="293F5B"/>
              <w:left w:val="nil"/>
              <w:bottom w:val="nil"/>
              <w:right w:val="nil"/>
            </w:tcBorders>
            <w:shd w:val="clear" w:color="auto" w:fill="auto"/>
            <w:noWrap/>
            <w:vAlign w:val="center"/>
            <w:hideMark/>
          </w:tcPr>
          <w:p w14:paraId="69982E73"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2,716</w:t>
            </w:r>
          </w:p>
        </w:tc>
        <w:tc>
          <w:tcPr>
            <w:tcW w:w="659" w:type="pct"/>
            <w:tcBorders>
              <w:top w:val="single" w:sz="4" w:space="0" w:color="293F5B"/>
              <w:left w:val="nil"/>
              <w:bottom w:val="nil"/>
              <w:right w:val="nil"/>
            </w:tcBorders>
            <w:shd w:val="clear" w:color="auto" w:fill="auto"/>
            <w:noWrap/>
            <w:vAlign w:val="center"/>
            <w:hideMark/>
          </w:tcPr>
          <w:p w14:paraId="0E3AD237" w14:textId="77777777" w:rsidR="00E86835" w:rsidRPr="00205DD5" w:rsidRDefault="00E86835" w:rsidP="00E86835">
            <w:pPr>
              <w:spacing w:before="0" w:after="0" w:line="240" w:lineRule="auto"/>
              <w:jc w:val="right"/>
              <w:rPr>
                <w:rFonts w:ascii="Arial" w:hAnsi="Arial" w:cs="Arial"/>
                <w:b/>
                <w:sz w:val="16"/>
                <w:szCs w:val="16"/>
              </w:rPr>
            </w:pPr>
            <w:r w:rsidRPr="00205DD5">
              <w:rPr>
                <w:rFonts w:ascii="Arial" w:hAnsi="Arial" w:cs="Arial"/>
                <w:b/>
                <w:sz w:val="16"/>
                <w:szCs w:val="16"/>
              </w:rPr>
              <w:t>4.9</w:t>
            </w:r>
          </w:p>
        </w:tc>
      </w:tr>
      <w:tr w:rsidR="00E86835" w:rsidRPr="00FF1D21" w14:paraId="3ECFD875" w14:textId="77777777" w:rsidTr="00E86835">
        <w:trPr>
          <w:trHeight w:hRule="exact" w:val="60"/>
        </w:trPr>
        <w:tc>
          <w:tcPr>
            <w:tcW w:w="2180" w:type="pct"/>
            <w:tcBorders>
              <w:top w:val="nil"/>
              <w:left w:val="nil"/>
              <w:bottom w:val="nil"/>
              <w:right w:val="nil"/>
            </w:tcBorders>
            <w:shd w:val="clear" w:color="auto" w:fill="auto"/>
            <w:noWrap/>
            <w:vAlign w:val="center"/>
            <w:hideMark/>
          </w:tcPr>
          <w:p w14:paraId="5368784E"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726" w:type="pct"/>
            <w:tcBorders>
              <w:top w:val="single" w:sz="4" w:space="0" w:color="293F5B"/>
              <w:left w:val="nil"/>
              <w:bottom w:val="nil"/>
              <w:right w:val="nil"/>
            </w:tcBorders>
            <w:shd w:val="clear" w:color="000000" w:fill="FFFFFF"/>
            <w:noWrap/>
            <w:vAlign w:val="center"/>
            <w:hideMark/>
          </w:tcPr>
          <w:p w14:paraId="69DC3787"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726" w:type="pct"/>
            <w:tcBorders>
              <w:top w:val="single" w:sz="4" w:space="0" w:color="293F5B"/>
              <w:left w:val="nil"/>
              <w:bottom w:val="nil"/>
              <w:right w:val="nil"/>
            </w:tcBorders>
            <w:shd w:val="clear" w:color="000000" w:fill="E6F2FF"/>
            <w:noWrap/>
            <w:vAlign w:val="center"/>
            <w:hideMark/>
          </w:tcPr>
          <w:p w14:paraId="404B30A0"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9" w:type="pct"/>
            <w:tcBorders>
              <w:top w:val="nil"/>
              <w:left w:val="nil"/>
              <w:bottom w:val="nil"/>
              <w:right w:val="nil"/>
            </w:tcBorders>
            <w:shd w:val="clear" w:color="auto" w:fill="auto"/>
            <w:noWrap/>
            <w:vAlign w:val="center"/>
            <w:hideMark/>
          </w:tcPr>
          <w:p w14:paraId="1F954A43" w14:textId="77777777" w:rsidR="00E86835" w:rsidRPr="00FF1D21" w:rsidRDefault="00E86835" w:rsidP="00E86835">
            <w:pPr>
              <w:spacing w:before="0" w:after="0" w:line="240" w:lineRule="auto"/>
              <w:jc w:val="right"/>
              <w:rPr>
                <w:rFonts w:ascii="Arial" w:hAnsi="Arial" w:cs="Arial"/>
                <w:b/>
                <w:sz w:val="16"/>
                <w:szCs w:val="16"/>
                <w:highlight w:val="red"/>
              </w:rPr>
            </w:pPr>
          </w:p>
        </w:tc>
        <w:tc>
          <w:tcPr>
            <w:tcW w:w="659" w:type="pct"/>
            <w:tcBorders>
              <w:top w:val="single" w:sz="4" w:space="0" w:color="293F5B"/>
              <w:left w:val="nil"/>
              <w:bottom w:val="nil"/>
              <w:right w:val="nil"/>
            </w:tcBorders>
            <w:shd w:val="clear" w:color="auto" w:fill="auto"/>
            <w:noWrap/>
            <w:vAlign w:val="center"/>
            <w:hideMark/>
          </w:tcPr>
          <w:p w14:paraId="3D4EA18A"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659" w:type="pct"/>
            <w:tcBorders>
              <w:top w:val="single" w:sz="4" w:space="0" w:color="293F5B"/>
              <w:left w:val="nil"/>
              <w:bottom w:val="nil"/>
              <w:right w:val="nil"/>
            </w:tcBorders>
            <w:shd w:val="clear" w:color="auto" w:fill="auto"/>
            <w:noWrap/>
            <w:vAlign w:val="center"/>
            <w:hideMark/>
          </w:tcPr>
          <w:p w14:paraId="0C9803A0" w14:textId="77777777" w:rsidR="00E86835" w:rsidRPr="00205DD5" w:rsidRDefault="00E86835" w:rsidP="00E86835">
            <w:pPr>
              <w:spacing w:before="0" w:after="0" w:line="240" w:lineRule="auto"/>
              <w:jc w:val="right"/>
              <w:rPr>
                <w:rFonts w:ascii="Arial" w:hAnsi="Arial" w:cs="Arial"/>
                <w:b/>
                <w:sz w:val="16"/>
                <w:szCs w:val="16"/>
              </w:rPr>
            </w:pPr>
            <w:r w:rsidRPr="00205DD5">
              <w:rPr>
                <w:rFonts w:ascii="Arial" w:hAnsi="Arial" w:cs="Arial"/>
                <w:b/>
                <w:sz w:val="16"/>
                <w:szCs w:val="16"/>
              </w:rPr>
              <w:t> </w:t>
            </w:r>
          </w:p>
        </w:tc>
      </w:tr>
      <w:tr w:rsidR="00E86835" w:rsidRPr="00FF1D21" w14:paraId="48E0D4A9" w14:textId="77777777" w:rsidTr="00E86835">
        <w:trPr>
          <w:trHeight w:hRule="exact" w:val="226"/>
        </w:trPr>
        <w:tc>
          <w:tcPr>
            <w:tcW w:w="2180" w:type="pct"/>
            <w:tcBorders>
              <w:top w:val="nil"/>
              <w:left w:val="nil"/>
              <w:bottom w:val="single" w:sz="4" w:space="0" w:color="293F5B"/>
              <w:right w:val="nil"/>
            </w:tcBorders>
            <w:shd w:val="clear" w:color="auto" w:fill="auto"/>
            <w:noWrap/>
            <w:vAlign w:val="center"/>
            <w:hideMark/>
          </w:tcPr>
          <w:p w14:paraId="46AFD759"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Total receipts</w:t>
            </w:r>
          </w:p>
        </w:tc>
        <w:tc>
          <w:tcPr>
            <w:tcW w:w="726" w:type="pct"/>
            <w:tcBorders>
              <w:top w:val="nil"/>
              <w:left w:val="nil"/>
              <w:bottom w:val="single" w:sz="4" w:space="0" w:color="293F5B"/>
              <w:right w:val="nil"/>
            </w:tcBorders>
            <w:shd w:val="clear" w:color="000000" w:fill="FFFFFF"/>
            <w:noWrap/>
            <w:vAlign w:val="center"/>
            <w:hideMark/>
          </w:tcPr>
          <w:p w14:paraId="62E538D0"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698,446</w:t>
            </w:r>
          </w:p>
        </w:tc>
        <w:tc>
          <w:tcPr>
            <w:tcW w:w="726" w:type="pct"/>
            <w:tcBorders>
              <w:top w:val="nil"/>
              <w:left w:val="nil"/>
              <w:bottom w:val="single" w:sz="4" w:space="0" w:color="293F5B"/>
              <w:right w:val="nil"/>
            </w:tcBorders>
            <w:shd w:val="clear" w:color="000000" w:fill="E6F2FF"/>
            <w:noWrap/>
            <w:vAlign w:val="center"/>
            <w:hideMark/>
          </w:tcPr>
          <w:p w14:paraId="0EC16858"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704,184</w:t>
            </w:r>
          </w:p>
        </w:tc>
        <w:tc>
          <w:tcPr>
            <w:tcW w:w="49" w:type="pct"/>
            <w:tcBorders>
              <w:top w:val="nil"/>
              <w:left w:val="nil"/>
              <w:bottom w:val="single" w:sz="4" w:space="0" w:color="293F5B"/>
              <w:right w:val="nil"/>
            </w:tcBorders>
            <w:shd w:val="clear" w:color="auto" w:fill="auto"/>
            <w:noWrap/>
            <w:vAlign w:val="center"/>
            <w:hideMark/>
          </w:tcPr>
          <w:p w14:paraId="2CCCB736"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659" w:type="pct"/>
            <w:tcBorders>
              <w:top w:val="nil"/>
              <w:left w:val="nil"/>
              <w:bottom w:val="single" w:sz="4" w:space="0" w:color="293F5B"/>
              <w:right w:val="nil"/>
            </w:tcBorders>
            <w:shd w:val="clear" w:color="auto" w:fill="auto"/>
            <w:noWrap/>
            <w:vAlign w:val="center"/>
            <w:hideMark/>
          </w:tcPr>
          <w:p w14:paraId="449D51C8"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5,739</w:t>
            </w:r>
          </w:p>
        </w:tc>
        <w:tc>
          <w:tcPr>
            <w:tcW w:w="659" w:type="pct"/>
            <w:tcBorders>
              <w:top w:val="nil"/>
              <w:left w:val="nil"/>
              <w:bottom w:val="single" w:sz="4" w:space="0" w:color="293F5B"/>
              <w:right w:val="nil"/>
            </w:tcBorders>
            <w:shd w:val="clear" w:color="auto" w:fill="auto"/>
            <w:noWrap/>
            <w:vAlign w:val="center"/>
            <w:hideMark/>
          </w:tcPr>
          <w:p w14:paraId="62574437" w14:textId="77777777" w:rsidR="00E86835" w:rsidRPr="00205DD5" w:rsidRDefault="00E86835" w:rsidP="00E86835">
            <w:pPr>
              <w:spacing w:before="0" w:after="0" w:line="240" w:lineRule="auto"/>
              <w:jc w:val="right"/>
              <w:rPr>
                <w:rFonts w:ascii="Arial" w:hAnsi="Arial" w:cs="Arial"/>
                <w:b/>
                <w:sz w:val="16"/>
                <w:szCs w:val="16"/>
              </w:rPr>
            </w:pPr>
            <w:r w:rsidRPr="00205DD5">
              <w:rPr>
                <w:rFonts w:ascii="Arial" w:hAnsi="Arial" w:cs="Arial"/>
                <w:b/>
                <w:sz w:val="16"/>
                <w:szCs w:val="16"/>
              </w:rPr>
              <w:t>0.8</w:t>
            </w:r>
          </w:p>
        </w:tc>
      </w:tr>
      <w:tr w:rsidR="00E86835" w:rsidRPr="00FF1D21" w14:paraId="5E213FED" w14:textId="77777777" w:rsidTr="00E86835">
        <w:trPr>
          <w:trHeight w:hRule="exact" w:val="226"/>
        </w:trPr>
        <w:tc>
          <w:tcPr>
            <w:tcW w:w="2180" w:type="pct"/>
            <w:tcBorders>
              <w:top w:val="nil"/>
              <w:left w:val="nil"/>
              <w:bottom w:val="nil"/>
              <w:right w:val="nil"/>
            </w:tcBorders>
            <w:shd w:val="clear" w:color="auto" w:fill="auto"/>
            <w:noWrap/>
            <w:vAlign w:val="center"/>
            <w:hideMark/>
          </w:tcPr>
          <w:p w14:paraId="744B39B3" w14:textId="77777777" w:rsidR="00E86835" w:rsidRPr="00FF1D21" w:rsidRDefault="00E86835" w:rsidP="00E86835">
            <w:pPr>
              <w:spacing w:before="0" w:after="0" w:line="240" w:lineRule="auto"/>
              <w:rPr>
                <w:rFonts w:ascii="Arial" w:hAnsi="Arial" w:cs="Arial"/>
                <w:i/>
                <w:sz w:val="16"/>
                <w:szCs w:val="16"/>
                <w:highlight w:val="red"/>
              </w:rPr>
            </w:pPr>
            <w:r w:rsidRPr="00205DD5">
              <w:rPr>
                <w:rFonts w:ascii="Arial" w:hAnsi="Arial" w:cs="Arial"/>
                <w:i/>
                <w:sz w:val="16"/>
                <w:szCs w:val="16"/>
              </w:rPr>
              <w:t>Memorandum:</w:t>
            </w:r>
          </w:p>
        </w:tc>
        <w:tc>
          <w:tcPr>
            <w:tcW w:w="726" w:type="pct"/>
            <w:tcBorders>
              <w:top w:val="nil"/>
              <w:left w:val="nil"/>
              <w:bottom w:val="nil"/>
              <w:right w:val="nil"/>
            </w:tcBorders>
            <w:shd w:val="clear" w:color="000000" w:fill="FFFFFF"/>
            <w:noWrap/>
            <w:vAlign w:val="center"/>
            <w:hideMark/>
          </w:tcPr>
          <w:p w14:paraId="04F16DDC" w14:textId="77777777" w:rsidR="00E86835" w:rsidRPr="00FF1D21" w:rsidRDefault="00E86835" w:rsidP="00E86835">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726" w:type="pct"/>
            <w:tcBorders>
              <w:top w:val="nil"/>
              <w:left w:val="nil"/>
              <w:bottom w:val="nil"/>
              <w:right w:val="nil"/>
            </w:tcBorders>
            <w:shd w:val="clear" w:color="000000" w:fill="E6F2FF"/>
            <w:noWrap/>
            <w:vAlign w:val="center"/>
            <w:hideMark/>
          </w:tcPr>
          <w:p w14:paraId="3D103EB4" w14:textId="77777777" w:rsidR="00E86835" w:rsidRPr="00FF1D21" w:rsidRDefault="00E86835" w:rsidP="00E86835">
            <w:pPr>
              <w:spacing w:before="0" w:after="0" w:line="240" w:lineRule="auto"/>
              <w:rPr>
                <w:rFonts w:ascii="Arial" w:hAnsi="Arial" w:cs="Arial"/>
                <w:b/>
                <w:sz w:val="16"/>
                <w:szCs w:val="16"/>
                <w:highlight w:val="red"/>
              </w:rPr>
            </w:pPr>
            <w:r w:rsidRPr="00205DD5">
              <w:rPr>
                <w:rFonts w:ascii="Arial" w:hAnsi="Arial" w:cs="Arial"/>
                <w:b/>
                <w:sz w:val="16"/>
                <w:szCs w:val="16"/>
              </w:rPr>
              <w:t> </w:t>
            </w:r>
          </w:p>
        </w:tc>
        <w:tc>
          <w:tcPr>
            <w:tcW w:w="49" w:type="pct"/>
            <w:tcBorders>
              <w:top w:val="nil"/>
              <w:left w:val="nil"/>
              <w:bottom w:val="nil"/>
              <w:right w:val="nil"/>
            </w:tcBorders>
            <w:shd w:val="clear" w:color="auto" w:fill="auto"/>
            <w:noWrap/>
            <w:vAlign w:val="center"/>
            <w:hideMark/>
          </w:tcPr>
          <w:p w14:paraId="3342588E" w14:textId="77777777" w:rsidR="00E86835" w:rsidRPr="00FF1D21" w:rsidRDefault="00E86835" w:rsidP="00E86835">
            <w:pPr>
              <w:spacing w:before="0" w:after="0" w:line="240" w:lineRule="auto"/>
              <w:rPr>
                <w:rFonts w:ascii="Arial" w:hAnsi="Arial" w:cs="Arial"/>
                <w:b/>
                <w:sz w:val="16"/>
                <w:szCs w:val="16"/>
                <w:highlight w:val="red"/>
              </w:rPr>
            </w:pPr>
          </w:p>
        </w:tc>
        <w:tc>
          <w:tcPr>
            <w:tcW w:w="659" w:type="pct"/>
            <w:tcBorders>
              <w:top w:val="nil"/>
              <w:left w:val="nil"/>
              <w:bottom w:val="nil"/>
              <w:right w:val="nil"/>
            </w:tcBorders>
            <w:shd w:val="clear" w:color="auto" w:fill="auto"/>
            <w:noWrap/>
            <w:vAlign w:val="center"/>
            <w:hideMark/>
          </w:tcPr>
          <w:p w14:paraId="134C1F46" w14:textId="77777777" w:rsidR="00E86835" w:rsidRPr="00FF1D21" w:rsidRDefault="00E86835" w:rsidP="00E86835">
            <w:pPr>
              <w:spacing w:before="0" w:after="0" w:line="240" w:lineRule="auto"/>
              <w:jc w:val="right"/>
              <w:rPr>
                <w:rFonts w:ascii="Times New Roman" w:hAnsi="Times New Roman"/>
                <w:sz w:val="20"/>
                <w:highlight w:val="red"/>
              </w:rPr>
            </w:pPr>
          </w:p>
        </w:tc>
        <w:tc>
          <w:tcPr>
            <w:tcW w:w="659" w:type="pct"/>
            <w:tcBorders>
              <w:top w:val="nil"/>
              <w:left w:val="nil"/>
              <w:bottom w:val="nil"/>
              <w:right w:val="nil"/>
            </w:tcBorders>
            <w:shd w:val="clear" w:color="auto" w:fill="auto"/>
            <w:noWrap/>
            <w:vAlign w:val="center"/>
            <w:hideMark/>
          </w:tcPr>
          <w:p w14:paraId="6A58722E" w14:textId="77777777" w:rsidR="00E86835" w:rsidRPr="00205DD5" w:rsidRDefault="00E86835" w:rsidP="00E86835">
            <w:pPr>
              <w:spacing w:before="0" w:after="0" w:line="240" w:lineRule="auto"/>
              <w:jc w:val="right"/>
              <w:rPr>
                <w:rFonts w:ascii="Times New Roman" w:hAnsi="Times New Roman"/>
                <w:sz w:val="20"/>
              </w:rPr>
            </w:pPr>
          </w:p>
        </w:tc>
      </w:tr>
      <w:tr w:rsidR="00E86835" w:rsidRPr="00FF1D21" w14:paraId="24CC83CC" w14:textId="77777777" w:rsidTr="00E86835">
        <w:trPr>
          <w:trHeight w:hRule="exact" w:val="226"/>
        </w:trPr>
        <w:tc>
          <w:tcPr>
            <w:tcW w:w="2180" w:type="pct"/>
            <w:tcBorders>
              <w:top w:val="nil"/>
              <w:left w:val="nil"/>
              <w:bottom w:val="nil"/>
              <w:right w:val="nil"/>
            </w:tcBorders>
            <w:shd w:val="clear" w:color="auto" w:fill="auto"/>
            <w:noWrap/>
            <w:vAlign w:val="center"/>
            <w:hideMark/>
          </w:tcPr>
          <w:p w14:paraId="3C9E528C" w14:textId="77777777" w:rsidR="00E86835" w:rsidRPr="00FF1D21" w:rsidRDefault="00E86835" w:rsidP="00E86835">
            <w:pPr>
              <w:spacing w:before="0" w:after="0" w:line="240" w:lineRule="auto"/>
              <w:ind w:left="170"/>
              <w:rPr>
                <w:rFonts w:ascii="Arial" w:hAnsi="Arial" w:cs="Arial"/>
                <w:i/>
                <w:sz w:val="16"/>
                <w:szCs w:val="16"/>
                <w:highlight w:val="red"/>
              </w:rPr>
            </w:pPr>
            <w:r w:rsidRPr="00205DD5">
              <w:rPr>
                <w:rFonts w:ascii="Arial" w:hAnsi="Arial" w:cs="Arial"/>
                <w:i/>
                <w:sz w:val="16"/>
                <w:szCs w:val="16"/>
              </w:rPr>
              <w:t xml:space="preserve">Total excise </w:t>
            </w:r>
          </w:p>
        </w:tc>
        <w:tc>
          <w:tcPr>
            <w:tcW w:w="726" w:type="pct"/>
            <w:tcBorders>
              <w:top w:val="nil"/>
              <w:left w:val="nil"/>
              <w:bottom w:val="nil"/>
              <w:right w:val="nil"/>
            </w:tcBorders>
            <w:shd w:val="clear" w:color="auto" w:fill="auto"/>
            <w:noWrap/>
            <w:vAlign w:val="center"/>
            <w:hideMark/>
          </w:tcPr>
          <w:p w14:paraId="20D18A78"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31,870</w:t>
            </w:r>
          </w:p>
        </w:tc>
        <w:tc>
          <w:tcPr>
            <w:tcW w:w="726" w:type="pct"/>
            <w:tcBorders>
              <w:top w:val="nil"/>
              <w:left w:val="nil"/>
              <w:bottom w:val="nil"/>
              <w:right w:val="nil"/>
            </w:tcBorders>
            <w:shd w:val="clear" w:color="000000" w:fill="E6F2FF"/>
            <w:noWrap/>
            <w:vAlign w:val="center"/>
            <w:hideMark/>
          </w:tcPr>
          <w:p w14:paraId="21B9ED9F"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31,650</w:t>
            </w:r>
          </w:p>
        </w:tc>
        <w:tc>
          <w:tcPr>
            <w:tcW w:w="49" w:type="pct"/>
            <w:tcBorders>
              <w:top w:val="nil"/>
              <w:left w:val="nil"/>
              <w:bottom w:val="nil"/>
              <w:right w:val="nil"/>
            </w:tcBorders>
            <w:shd w:val="clear" w:color="auto" w:fill="auto"/>
            <w:noWrap/>
            <w:vAlign w:val="center"/>
            <w:hideMark/>
          </w:tcPr>
          <w:p w14:paraId="74DD9FEF" w14:textId="77777777" w:rsidR="00E86835" w:rsidRPr="00FF1D21" w:rsidRDefault="00E86835" w:rsidP="00E86835">
            <w:pPr>
              <w:spacing w:before="0" w:after="0" w:line="240" w:lineRule="auto"/>
              <w:jc w:val="right"/>
              <w:rPr>
                <w:rFonts w:ascii="Arial" w:hAnsi="Arial" w:cs="Arial"/>
                <w:i/>
                <w:sz w:val="16"/>
                <w:szCs w:val="16"/>
                <w:highlight w:val="red"/>
              </w:rPr>
            </w:pPr>
          </w:p>
        </w:tc>
        <w:tc>
          <w:tcPr>
            <w:tcW w:w="659" w:type="pct"/>
            <w:tcBorders>
              <w:top w:val="nil"/>
              <w:left w:val="nil"/>
              <w:bottom w:val="nil"/>
              <w:right w:val="nil"/>
            </w:tcBorders>
            <w:shd w:val="clear" w:color="auto" w:fill="auto"/>
            <w:noWrap/>
            <w:vAlign w:val="center"/>
            <w:hideMark/>
          </w:tcPr>
          <w:p w14:paraId="754D9659"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-220</w:t>
            </w:r>
          </w:p>
        </w:tc>
        <w:tc>
          <w:tcPr>
            <w:tcW w:w="659" w:type="pct"/>
            <w:tcBorders>
              <w:top w:val="nil"/>
              <w:left w:val="nil"/>
              <w:bottom w:val="nil"/>
              <w:right w:val="nil"/>
            </w:tcBorders>
            <w:shd w:val="clear" w:color="auto" w:fill="auto"/>
            <w:noWrap/>
            <w:vAlign w:val="center"/>
            <w:hideMark/>
          </w:tcPr>
          <w:p w14:paraId="3C8DBE5B" w14:textId="77777777" w:rsidR="00E86835" w:rsidRPr="00205DD5" w:rsidRDefault="00E86835" w:rsidP="00E86835">
            <w:pPr>
              <w:spacing w:before="0" w:after="0" w:line="240" w:lineRule="auto"/>
              <w:jc w:val="right"/>
              <w:rPr>
                <w:rFonts w:ascii="Arial" w:hAnsi="Arial" w:cs="Arial"/>
                <w:i/>
                <w:sz w:val="16"/>
                <w:szCs w:val="16"/>
              </w:rPr>
            </w:pPr>
            <w:r w:rsidRPr="00205DD5">
              <w:rPr>
                <w:rFonts w:ascii="Arial" w:hAnsi="Arial" w:cs="Arial"/>
                <w:i/>
                <w:sz w:val="16"/>
                <w:szCs w:val="16"/>
              </w:rPr>
              <w:t>-0.7</w:t>
            </w:r>
          </w:p>
        </w:tc>
      </w:tr>
      <w:tr w:rsidR="00E86835" w:rsidRPr="00FF1D21" w14:paraId="48D7FF5A" w14:textId="77777777" w:rsidTr="00E86835">
        <w:trPr>
          <w:trHeight w:hRule="exact" w:val="226"/>
        </w:trPr>
        <w:tc>
          <w:tcPr>
            <w:tcW w:w="2180" w:type="pct"/>
            <w:tcBorders>
              <w:top w:val="nil"/>
              <w:left w:val="nil"/>
              <w:bottom w:val="nil"/>
              <w:right w:val="nil"/>
            </w:tcBorders>
            <w:shd w:val="clear" w:color="auto" w:fill="auto"/>
            <w:noWrap/>
            <w:vAlign w:val="center"/>
            <w:hideMark/>
          </w:tcPr>
          <w:p w14:paraId="54E901AC" w14:textId="77777777" w:rsidR="00E86835" w:rsidRPr="00FF1D21" w:rsidRDefault="00E86835" w:rsidP="00E86835">
            <w:pPr>
              <w:spacing w:before="0" w:after="0" w:line="240" w:lineRule="auto"/>
              <w:ind w:left="170"/>
              <w:rPr>
                <w:rFonts w:ascii="Arial" w:hAnsi="Arial" w:cs="Arial"/>
                <w:i/>
                <w:sz w:val="16"/>
                <w:szCs w:val="16"/>
                <w:highlight w:val="red"/>
              </w:rPr>
            </w:pPr>
            <w:r w:rsidRPr="00205DD5">
              <w:rPr>
                <w:rFonts w:ascii="Arial" w:hAnsi="Arial" w:cs="Arial"/>
                <w:i/>
                <w:sz w:val="16"/>
                <w:szCs w:val="16"/>
              </w:rPr>
              <w:t xml:space="preserve">Total customs duty </w:t>
            </w:r>
          </w:p>
        </w:tc>
        <w:tc>
          <w:tcPr>
            <w:tcW w:w="726" w:type="pct"/>
            <w:tcBorders>
              <w:top w:val="nil"/>
              <w:left w:val="nil"/>
              <w:bottom w:val="nil"/>
              <w:right w:val="nil"/>
            </w:tcBorders>
            <w:shd w:val="clear" w:color="auto" w:fill="auto"/>
            <w:noWrap/>
            <w:vAlign w:val="center"/>
            <w:hideMark/>
          </w:tcPr>
          <w:p w14:paraId="09F21827"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16,030</w:t>
            </w:r>
          </w:p>
        </w:tc>
        <w:tc>
          <w:tcPr>
            <w:tcW w:w="726" w:type="pct"/>
            <w:tcBorders>
              <w:top w:val="nil"/>
              <w:left w:val="nil"/>
              <w:bottom w:val="nil"/>
              <w:right w:val="nil"/>
            </w:tcBorders>
            <w:shd w:val="clear" w:color="000000" w:fill="E6F2FF"/>
            <w:noWrap/>
            <w:vAlign w:val="center"/>
            <w:hideMark/>
          </w:tcPr>
          <w:p w14:paraId="27953C87"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12,980</w:t>
            </w:r>
          </w:p>
        </w:tc>
        <w:tc>
          <w:tcPr>
            <w:tcW w:w="49" w:type="pct"/>
            <w:tcBorders>
              <w:top w:val="nil"/>
              <w:left w:val="nil"/>
              <w:bottom w:val="nil"/>
              <w:right w:val="nil"/>
            </w:tcBorders>
            <w:shd w:val="clear" w:color="auto" w:fill="auto"/>
            <w:noWrap/>
            <w:vAlign w:val="center"/>
            <w:hideMark/>
          </w:tcPr>
          <w:p w14:paraId="233FCEE7" w14:textId="77777777" w:rsidR="00E86835" w:rsidRPr="00FF1D21" w:rsidRDefault="00E86835" w:rsidP="00E86835">
            <w:pPr>
              <w:spacing w:before="0" w:after="0" w:line="240" w:lineRule="auto"/>
              <w:jc w:val="right"/>
              <w:rPr>
                <w:rFonts w:ascii="Arial" w:hAnsi="Arial" w:cs="Arial"/>
                <w:i/>
                <w:sz w:val="16"/>
                <w:szCs w:val="16"/>
                <w:highlight w:val="red"/>
              </w:rPr>
            </w:pPr>
          </w:p>
        </w:tc>
        <w:tc>
          <w:tcPr>
            <w:tcW w:w="659" w:type="pct"/>
            <w:tcBorders>
              <w:top w:val="nil"/>
              <w:left w:val="nil"/>
              <w:bottom w:val="nil"/>
              <w:right w:val="nil"/>
            </w:tcBorders>
            <w:shd w:val="clear" w:color="auto" w:fill="auto"/>
            <w:noWrap/>
            <w:vAlign w:val="center"/>
            <w:hideMark/>
          </w:tcPr>
          <w:p w14:paraId="61F12ECF"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-3,050</w:t>
            </w:r>
          </w:p>
        </w:tc>
        <w:tc>
          <w:tcPr>
            <w:tcW w:w="659" w:type="pct"/>
            <w:tcBorders>
              <w:top w:val="nil"/>
              <w:left w:val="nil"/>
              <w:bottom w:val="nil"/>
              <w:right w:val="nil"/>
            </w:tcBorders>
            <w:shd w:val="clear" w:color="auto" w:fill="auto"/>
            <w:noWrap/>
            <w:vAlign w:val="center"/>
            <w:hideMark/>
          </w:tcPr>
          <w:p w14:paraId="7C9DB28E" w14:textId="77777777" w:rsidR="00E86835" w:rsidRPr="00205DD5" w:rsidRDefault="00E86835" w:rsidP="00E86835">
            <w:pPr>
              <w:spacing w:before="0" w:after="0" w:line="240" w:lineRule="auto"/>
              <w:jc w:val="right"/>
              <w:rPr>
                <w:rFonts w:ascii="Arial" w:hAnsi="Arial" w:cs="Arial"/>
                <w:i/>
                <w:sz w:val="16"/>
                <w:szCs w:val="16"/>
              </w:rPr>
            </w:pPr>
            <w:r w:rsidRPr="00205DD5">
              <w:rPr>
                <w:rFonts w:ascii="Arial" w:hAnsi="Arial" w:cs="Arial"/>
                <w:i/>
                <w:sz w:val="16"/>
                <w:szCs w:val="16"/>
              </w:rPr>
              <w:t>-19.0</w:t>
            </w:r>
          </w:p>
        </w:tc>
      </w:tr>
      <w:tr w:rsidR="00E86835" w:rsidRPr="00FF1D21" w14:paraId="48599C0F" w14:textId="77777777" w:rsidTr="00E86835">
        <w:trPr>
          <w:trHeight w:hRule="exact" w:val="226"/>
        </w:trPr>
        <w:tc>
          <w:tcPr>
            <w:tcW w:w="2180" w:type="pct"/>
            <w:tcBorders>
              <w:top w:val="nil"/>
              <w:left w:val="nil"/>
              <w:bottom w:val="single" w:sz="4" w:space="0" w:color="293F5B"/>
              <w:right w:val="nil"/>
            </w:tcBorders>
            <w:shd w:val="clear" w:color="auto" w:fill="auto"/>
            <w:noWrap/>
            <w:vAlign w:val="center"/>
            <w:hideMark/>
          </w:tcPr>
          <w:p w14:paraId="216BECA6" w14:textId="77777777" w:rsidR="00E86835" w:rsidRPr="00FF1D21" w:rsidRDefault="00E86835" w:rsidP="00E86835">
            <w:pPr>
              <w:spacing w:before="0" w:after="0" w:line="240" w:lineRule="auto"/>
              <w:ind w:left="170"/>
              <w:rPr>
                <w:rFonts w:ascii="Arial" w:hAnsi="Arial" w:cs="Arial"/>
                <w:i/>
                <w:sz w:val="16"/>
                <w:szCs w:val="16"/>
                <w:highlight w:val="red"/>
              </w:rPr>
            </w:pPr>
            <w:r w:rsidRPr="00205DD5">
              <w:rPr>
                <w:rFonts w:ascii="Arial" w:hAnsi="Arial" w:cs="Arial"/>
                <w:i/>
                <w:sz w:val="16"/>
                <w:szCs w:val="16"/>
              </w:rPr>
              <w:t>Capital gains tax(b)</w:t>
            </w:r>
          </w:p>
        </w:tc>
        <w:tc>
          <w:tcPr>
            <w:tcW w:w="726" w:type="pct"/>
            <w:tcBorders>
              <w:top w:val="nil"/>
              <w:left w:val="nil"/>
              <w:bottom w:val="single" w:sz="4" w:space="0" w:color="293F5B"/>
              <w:right w:val="nil"/>
            </w:tcBorders>
            <w:shd w:val="clear" w:color="000000" w:fill="FFFFFF"/>
            <w:noWrap/>
            <w:vAlign w:val="center"/>
            <w:hideMark/>
          </w:tcPr>
          <w:p w14:paraId="446264AF"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23,600</w:t>
            </w:r>
          </w:p>
        </w:tc>
        <w:tc>
          <w:tcPr>
            <w:tcW w:w="726" w:type="pct"/>
            <w:tcBorders>
              <w:top w:val="nil"/>
              <w:left w:val="nil"/>
              <w:bottom w:val="single" w:sz="4" w:space="0" w:color="293F5B"/>
              <w:right w:val="nil"/>
            </w:tcBorders>
            <w:shd w:val="clear" w:color="000000" w:fill="E6F2FF"/>
            <w:noWrap/>
            <w:vAlign w:val="center"/>
            <w:hideMark/>
          </w:tcPr>
          <w:p w14:paraId="0DBD7940"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29,900</w:t>
            </w:r>
          </w:p>
        </w:tc>
        <w:tc>
          <w:tcPr>
            <w:tcW w:w="49" w:type="pct"/>
            <w:tcBorders>
              <w:top w:val="nil"/>
              <w:left w:val="nil"/>
              <w:bottom w:val="single" w:sz="4" w:space="0" w:color="293F5B"/>
              <w:right w:val="nil"/>
            </w:tcBorders>
            <w:shd w:val="clear" w:color="auto" w:fill="auto"/>
            <w:noWrap/>
            <w:vAlign w:val="center"/>
            <w:hideMark/>
          </w:tcPr>
          <w:p w14:paraId="38E14067"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 </w:t>
            </w:r>
          </w:p>
        </w:tc>
        <w:tc>
          <w:tcPr>
            <w:tcW w:w="659" w:type="pct"/>
            <w:tcBorders>
              <w:top w:val="nil"/>
              <w:left w:val="nil"/>
              <w:bottom w:val="single" w:sz="4" w:space="0" w:color="293F5B"/>
              <w:right w:val="nil"/>
            </w:tcBorders>
            <w:shd w:val="clear" w:color="auto" w:fill="auto"/>
            <w:noWrap/>
            <w:vAlign w:val="center"/>
            <w:hideMark/>
          </w:tcPr>
          <w:p w14:paraId="34707314" w14:textId="77777777" w:rsidR="00E86835" w:rsidRPr="00FF1D21" w:rsidRDefault="00E86835" w:rsidP="00E86835">
            <w:pPr>
              <w:spacing w:before="0" w:after="0" w:line="240" w:lineRule="auto"/>
              <w:jc w:val="right"/>
              <w:rPr>
                <w:rFonts w:ascii="Arial" w:hAnsi="Arial" w:cs="Arial"/>
                <w:i/>
                <w:sz w:val="16"/>
                <w:szCs w:val="16"/>
                <w:highlight w:val="red"/>
              </w:rPr>
            </w:pPr>
            <w:r w:rsidRPr="00205DD5">
              <w:rPr>
                <w:rFonts w:ascii="Arial" w:hAnsi="Arial" w:cs="Arial"/>
                <w:i/>
                <w:sz w:val="16"/>
                <w:szCs w:val="16"/>
              </w:rPr>
              <w:t>6,300</w:t>
            </w:r>
          </w:p>
        </w:tc>
        <w:tc>
          <w:tcPr>
            <w:tcW w:w="659" w:type="pct"/>
            <w:tcBorders>
              <w:top w:val="nil"/>
              <w:left w:val="nil"/>
              <w:bottom w:val="single" w:sz="4" w:space="0" w:color="293F5B"/>
              <w:right w:val="nil"/>
            </w:tcBorders>
            <w:shd w:val="clear" w:color="auto" w:fill="auto"/>
            <w:noWrap/>
            <w:vAlign w:val="center"/>
            <w:hideMark/>
          </w:tcPr>
          <w:p w14:paraId="58FBA0ED" w14:textId="77777777" w:rsidR="00E86835" w:rsidRPr="00205DD5" w:rsidRDefault="00E86835" w:rsidP="00E86835">
            <w:pPr>
              <w:spacing w:before="0" w:after="0" w:line="240" w:lineRule="auto"/>
              <w:jc w:val="right"/>
              <w:rPr>
                <w:rFonts w:ascii="Arial" w:hAnsi="Arial" w:cs="Arial"/>
                <w:i/>
                <w:sz w:val="16"/>
                <w:szCs w:val="16"/>
              </w:rPr>
            </w:pPr>
            <w:r w:rsidRPr="00205DD5">
              <w:rPr>
                <w:rFonts w:ascii="Arial" w:hAnsi="Arial" w:cs="Arial"/>
                <w:i/>
                <w:sz w:val="16"/>
                <w:szCs w:val="16"/>
              </w:rPr>
              <w:t>26.7</w:t>
            </w:r>
          </w:p>
        </w:tc>
      </w:tr>
    </w:tbl>
    <w:p w14:paraId="0570C8D8" w14:textId="3BF29A4A" w:rsidR="00BA6F41" w:rsidRPr="00205DD5" w:rsidRDefault="0068710D" w:rsidP="00B862B7">
      <w:pPr>
        <w:pStyle w:val="ChartandTableFootnoteAlpha"/>
        <w:numPr>
          <w:ilvl w:val="0"/>
          <w:numId w:val="10"/>
        </w:numPr>
        <w:rPr>
          <w:rFonts w:eastAsiaTheme="minorEastAsia"/>
          <w:color w:val="auto"/>
        </w:rPr>
      </w:pPr>
      <w:r w:rsidRPr="00205DD5">
        <w:rPr>
          <w:rFonts w:eastAsiaTheme="minorEastAsia"/>
          <w:color w:val="auto"/>
        </w:rPr>
        <w:t xml:space="preserve">‘Other alcoholic beverages’ are those not exceeding 10 per cent by volume of alcohol (excluding beer, </w:t>
      </w:r>
      <w:proofErr w:type="gramStart"/>
      <w:r w:rsidRPr="00205DD5">
        <w:rPr>
          <w:rFonts w:eastAsiaTheme="minorEastAsia"/>
          <w:color w:val="auto"/>
        </w:rPr>
        <w:t>brandy</w:t>
      </w:r>
      <w:proofErr w:type="gramEnd"/>
      <w:r w:rsidRPr="00205DD5">
        <w:rPr>
          <w:rFonts w:eastAsiaTheme="minorEastAsia"/>
          <w:color w:val="auto"/>
        </w:rPr>
        <w:t xml:space="preserve"> and wine).</w:t>
      </w:r>
    </w:p>
    <w:p w14:paraId="33BC0AA0" w14:textId="591D6E75" w:rsidR="00D63C70" w:rsidRPr="00DA2FB5" w:rsidRDefault="0068710D" w:rsidP="00B862B7">
      <w:pPr>
        <w:pStyle w:val="ChartandTableFootnoteAlpha"/>
        <w:numPr>
          <w:ilvl w:val="0"/>
          <w:numId w:val="10"/>
        </w:numPr>
        <w:rPr>
          <w:rFonts w:eastAsiaTheme="minorEastAsia"/>
        </w:rPr>
      </w:pPr>
      <w:r w:rsidRPr="00205DD5">
        <w:rPr>
          <w:rFonts w:eastAsiaTheme="minorEastAsia"/>
          <w:color w:val="auto"/>
        </w:rPr>
        <w:t>‘Capital gains tax’ is part of gross other individuals, company tax and superannuation fund taxes.</w:t>
      </w:r>
      <w:r w:rsidR="00A8735A" w:rsidRPr="00205DD5">
        <w:rPr>
          <w:color w:val="auto"/>
        </w:rPr>
        <w:t xml:space="preserve"> </w:t>
      </w:r>
    </w:p>
    <w:p w14:paraId="466FF6C5" w14:textId="5812824B" w:rsidR="0011445D" w:rsidRPr="0011445D" w:rsidRDefault="00D63C70" w:rsidP="0011445D">
      <w:pPr>
        <w:pStyle w:val="TableHeading"/>
      </w:pPr>
      <w:r w:rsidRPr="00205DD5">
        <w:lastRenderedPageBreak/>
        <w:t>Table 3.</w:t>
      </w:r>
      <w:r w:rsidR="001645FC" w:rsidRPr="00205DD5">
        <w:t>4</w:t>
      </w:r>
      <w:r w:rsidRPr="00205DD5">
        <w:t>: Reconciliation of 202</w:t>
      </w:r>
      <w:r w:rsidR="001D415C" w:rsidRPr="00205DD5">
        <w:t>5</w:t>
      </w:r>
      <w:r w:rsidRPr="00205DD5">
        <w:t>–2</w:t>
      </w:r>
      <w:r w:rsidR="001D415C" w:rsidRPr="00205DD5">
        <w:t>6</w:t>
      </w:r>
      <w:r w:rsidRPr="00205DD5">
        <w:t xml:space="preserve"> general government (cash) receipts</w:t>
      </w:r>
    </w:p>
    <w:tbl>
      <w:tblPr>
        <w:tblW w:w="5000" w:type="pct"/>
        <w:tblCellMar>
          <w:left w:w="0" w:type="dxa"/>
          <w:right w:w="28" w:type="dxa"/>
        </w:tblCellMar>
        <w:tblLook w:val="04A0" w:firstRow="1" w:lastRow="0" w:firstColumn="1" w:lastColumn="0" w:noHBand="0" w:noVBand="1"/>
      </w:tblPr>
      <w:tblGrid>
        <w:gridCol w:w="2997"/>
        <w:gridCol w:w="1203"/>
        <w:gridCol w:w="1265"/>
        <w:gridCol w:w="73"/>
        <w:gridCol w:w="1086"/>
        <w:gridCol w:w="1086"/>
      </w:tblGrid>
      <w:tr w:rsidR="0011445D" w:rsidRPr="0011445D" w14:paraId="0CF843F9" w14:textId="77777777" w:rsidTr="0011445D">
        <w:trPr>
          <w:trHeight w:hRule="exact" w:val="226"/>
        </w:trPr>
        <w:tc>
          <w:tcPr>
            <w:tcW w:w="2180" w:type="pct"/>
            <w:tcBorders>
              <w:top w:val="single" w:sz="4" w:space="0" w:color="293F5B"/>
              <w:left w:val="nil"/>
              <w:bottom w:val="nil"/>
              <w:right w:val="nil"/>
            </w:tcBorders>
            <w:shd w:val="clear" w:color="auto" w:fill="auto"/>
            <w:noWrap/>
            <w:vAlign w:val="center"/>
            <w:hideMark/>
          </w:tcPr>
          <w:p w14:paraId="15B2BB85" w14:textId="1E87F6AC"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 </w:t>
            </w:r>
          </w:p>
        </w:tc>
        <w:tc>
          <w:tcPr>
            <w:tcW w:w="1452" w:type="pct"/>
            <w:gridSpan w:val="2"/>
            <w:tcBorders>
              <w:top w:val="single" w:sz="4" w:space="0" w:color="293F5B"/>
              <w:left w:val="nil"/>
              <w:bottom w:val="nil"/>
              <w:right w:val="nil"/>
            </w:tcBorders>
            <w:shd w:val="clear" w:color="auto" w:fill="auto"/>
            <w:noWrap/>
            <w:vAlign w:val="center"/>
            <w:hideMark/>
          </w:tcPr>
          <w:p w14:paraId="04D0A135" w14:textId="77777777" w:rsidR="0011445D" w:rsidRPr="0011445D" w:rsidRDefault="0011445D" w:rsidP="0011445D">
            <w:pPr>
              <w:spacing w:before="0" w:after="0" w:line="240" w:lineRule="auto"/>
              <w:jc w:val="center"/>
              <w:rPr>
                <w:rFonts w:ascii="Arial" w:hAnsi="Arial" w:cs="Arial"/>
                <w:color w:val="000000"/>
                <w:sz w:val="16"/>
                <w:szCs w:val="16"/>
              </w:rPr>
            </w:pPr>
            <w:r w:rsidRPr="0011445D">
              <w:rPr>
                <w:rFonts w:ascii="Arial" w:hAnsi="Arial" w:cs="Arial"/>
                <w:color w:val="000000"/>
                <w:sz w:val="16"/>
                <w:szCs w:val="16"/>
              </w:rPr>
              <w:t>Estimates</w:t>
            </w:r>
          </w:p>
        </w:tc>
        <w:tc>
          <w:tcPr>
            <w:tcW w:w="49" w:type="pct"/>
            <w:tcBorders>
              <w:top w:val="single" w:sz="4" w:space="0" w:color="293F5B"/>
              <w:left w:val="nil"/>
              <w:bottom w:val="nil"/>
              <w:right w:val="nil"/>
            </w:tcBorders>
            <w:shd w:val="clear" w:color="auto" w:fill="auto"/>
            <w:noWrap/>
            <w:vAlign w:val="center"/>
            <w:hideMark/>
          </w:tcPr>
          <w:p w14:paraId="52C5111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 </w:t>
            </w:r>
          </w:p>
        </w:tc>
        <w:tc>
          <w:tcPr>
            <w:tcW w:w="1319" w:type="pct"/>
            <w:gridSpan w:val="2"/>
            <w:tcBorders>
              <w:top w:val="single" w:sz="4" w:space="0" w:color="293F5B"/>
              <w:left w:val="nil"/>
              <w:bottom w:val="nil"/>
              <w:right w:val="nil"/>
            </w:tcBorders>
            <w:shd w:val="clear" w:color="auto" w:fill="auto"/>
            <w:noWrap/>
            <w:vAlign w:val="center"/>
            <w:hideMark/>
          </w:tcPr>
          <w:p w14:paraId="6D2DB150" w14:textId="77777777" w:rsidR="0011445D" w:rsidRPr="0011445D" w:rsidRDefault="0011445D" w:rsidP="0011445D">
            <w:pPr>
              <w:spacing w:before="0" w:after="0" w:line="240" w:lineRule="auto"/>
              <w:jc w:val="center"/>
              <w:rPr>
                <w:rFonts w:ascii="Arial" w:hAnsi="Arial" w:cs="Arial"/>
                <w:color w:val="000000"/>
                <w:sz w:val="16"/>
                <w:szCs w:val="16"/>
              </w:rPr>
            </w:pPr>
            <w:r w:rsidRPr="0011445D">
              <w:rPr>
                <w:rFonts w:ascii="Arial" w:hAnsi="Arial" w:cs="Arial"/>
                <w:color w:val="000000"/>
                <w:sz w:val="16"/>
                <w:szCs w:val="16"/>
              </w:rPr>
              <w:t>Change from 2024–25 Budget</w:t>
            </w:r>
          </w:p>
        </w:tc>
      </w:tr>
      <w:tr w:rsidR="0011445D" w:rsidRPr="0011445D" w14:paraId="69294398" w14:textId="77777777" w:rsidTr="0011445D">
        <w:trPr>
          <w:trHeight w:hRule="exact" w:val="226"/>
        </w:trPr>
        <w:tc>
          <w:tcPr>
            <w:tcW w:w="2180" w:type="pct"/>
            <w:tcBorders>
              <w:top w:val="nil"/>
              <w:left w:val="nil"/>
              <w:bottom w:val="nil"/>
              <w:right w:val="nil"/>
            </w:tcBorders>
            <w:shd w:val="clear" w:color="auto" w:fill="auto"/>
            <w:noWrap/>
            <w:vAlign w:val="center"/>
            <w:hideMark/>
          </w:tcPr>
          <w:p w14:paraId="2B546F51" w14:textId="77777777" w:rsidR="0011445D" w:rsidRPr="0011445D" w:rsidRDefault="0011445D" w:rsidP="0011445D">
            <w:pPr>
              <w:spacing w:before="0" w:after="0" w:line="240" w:lineRule="auto"/>
              <w:jc w:val="center"/>
              <w:rPr>
                <w:rFonts w:ascii="Arial" w:hAnsi="Arial" w:cs="Arial"/>
                <w:color w:val="000000"/>
                <w:sz w:val="16"/>
                <w:szCs w:val="16"/>
              </w:rPr>
            </w:pPr>
          </w:p>
        </w:tc>
        <w:tc>
          <w:tcPr>
            <w:tcW w:w="726" w:type="pct"/>
            <w:tcBorders>
              <w:top w:val="single" w:sz="4" w:space="0" w:color="293F5B"/>
              <w:left w:val="nil"/>
              <w:bottom w:val="nil"/>
              <w:right w:val="nil"/>
            </w:tcBorders>
            <w:shd w:val="clear" w:color="000000" w:fill="FFFFFF"/>
            <w:noWrap/>
            <w:vAlign w:val="center"/>
            <w:hideMark/>
          </w:tcPr>
          <w:p w14:paraId="613F3151" w14:textId="77777777" w:rsidR="0011445D" w:rsidRPr="0011445D" w:rsidRDefault="0011445D" w:rsidP="0011445D">
            <w:pPr>
              <w:spacing w:before="0" w:after="0" w:line="240" w:lineRule="auto"/>
              <w:jc w:val="right"/>
              <w:rPr>
                <w:rFonts w:ascii="Arial" w:hAnsi="Arial" w:cs="Arial"/>
                <w:sz w:val="16"/>
                <w:szCs w:val="16"/>
              </w:rPr>
            </w:pPr>
            <w:r w:rsidRPr="0011445D">
              <w:rPr>
                <w:rFonts w:ascii="Arial" w:hAnsi="Arial" w:cs="Arial"/>
                <w:sz w:val="16"/>
                <w:szCs w:val="16"/>
              </w:rPr>
              <w:t>2024–25 Budget</w:t>
            </w:r>
          </w:p>
        </w:tc>
        <w:tc>
          <w:tcPr>
            <w:tcW w:w="726" w:type="pct"/>
            <w:tcBorders>
              <w:top w:val="single" w:sz="4" w:space="0" w:color="293F5B"/>
              <w:left w:val="nil"/>
              <w:bottom w:val="nil"/>
              <w:right w:val="nil"/>
            </w:tcBorders>
            <w:shd w:val="clear" w:color="000000" w:fill="E6F2FF"/>
            <w:noWrap/>
            <w:vAlign w:val="center"/>
            <w:hideMark/>
          </w:tcPr>
          <w:p w14:paraId="5053E7C9" w14:textId="77777777" w:rsidR="0011445D" w:rsidRPr="0011445D" w:rsidRDefault="0011445D" w:rsidP="0011445D">
            <w:pPr>
              <w:spacing w:before="0" w:after="0" w:line="240" w:lineRule="auto"/>
              <w:jc w:val="right"/>
              <w:rPr>
                <w:rFonts w:ascii="Arial" w:hAnsi="Arial" w:cs="Arial"/>
                <w:sz w:val="16"/>
                <w:szCs w:val="16"/>
              </w:rPr>
            </w:pPr>
            <w:r w:rsidRPr="0011445D">
              <w:rPr>
                <w:rFonts w:ascii="Arial" w:hAnsi="Arial" w:cs="Arial"/>
                <w:sz w:val="16"/>
                <w:szCs w:val="16"/>
              </w:rPr>
              <w:t>2024–25 MYEFO</w:t>
            </w:r>
          </w:p>
        </w:tc>
        <w:tc>
          <w:tcPr>
            <w:tcW w:w="49" w:type="pct"/>
            <w:tcBorders>
              <w:top w:val="nil"/>
              <w:left w:val="nil"/>
              <w:bottom w:val="nil"/>
              <w:right w:val="nil"/>
            </w:tcBorders>
            <w:shd w:val="clear" w:color="auto" w:fill="auto"/>
            <w:noWrap/>
            <w:vAlign w:val="center"/>
            <w:hideMark/>
          </w:tcPr>
          <w:p w14:paraId="3DEFF16C" w14:textId="77777777" w:rsidR="0011445D" w:rsidRPr="0011445D" w:rsidRDefault="0011445D" w:rsidP="0011445D">
            <w:pPr>
              <w:spacing w:before="0" w:after="0" w:line="240" w:lineRule="auto"/>
              <w:jc w:val="right"/>
              <w:rPr>
                <w:rFonts w:ascii="Arial" w:hAnsi="Arial" w:cs="Arial"/>
                <w:sz w:val="16"/>
                <w:szCs w:val="16"/>
              </w:rPr>
            </w:pPr>
          </w:p>
        </w:tc>
        <w:tc>
          <w:tcPr>
            <w:tcW w:w="659" w:type="pct"/>
            <w:tcBorders>
              <w:top w:val="single" w:sz="4" w:space="0" w:color="293F5B"/>
              <w:left w:val="nil"/>
              <w:bottom w:val="nil"/>
              <w:right w:val="nil"/>
            </w:tcBorders>
            <w:shd w:val="clear" w:color="auto" w:fill="auto"/>
            <w:noWrap/>
            <w:vAlign w:val="center"/>
            <w:hideMark/>
          </w:tcPr>
          <w:p w14:paraId="390D893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 </w:t>
            </w:r>
          </w:p>
        </w:tc>
        <w:tc>
          <w:tcPr>
            <w:tcW w:w="659" w:type="pct"/>
            <w:tcBorders>
              <w:top w:val="single" w:sz="4" w:space="0" w:color="293F5B"/>
              <w:left w:val="nil"/>
              <w:bottom w:val="nil"/>
              <w:right w:val="nil"/>
            </w:tcBorders>
            <w:shd w:val="clear" w:color="auto" w:fill="auto"/>
            <w:noWrap/>
            <w:vAlign w:val="center"/>
            <w:hideMark/>
          </w:tcPr>
          <w:p w14:paraId="5754BED1"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 </w:t>
            </w:r>
          </w:p>
        </w:tc>
      </w:tr>
      <w:tr w:rsidR="0011445D" w:rsidRPr="0011445D" w14:paraId="45E0598D" w14:textId="77777777" w:rsidTr="0011445D">
        <w:trPr>
          <w:trHeight w:hRule="exact" w:val="226"/>
        </w:trPr>
        <w:tc>
          <w:tcPr>
            <w:tcW w:w="2180" w:type="pct"/>
            <w:tcBorders>
              <w:top w:val="nil"/>
              <w:left w:val="nil"/>
              <w:bottom w:val="nil"/>
              <w:right w:val="nil"/>
            </w:tcBorders>
            <w:shd w:val="clear" w:color="auto" w:fill="auto"/>
            <w:vAlign w:val="center"/>
            <w:hideMark/>
          </w:tcPr>
          <w:p w14:paraId="6F131F18" w14:textId="77777777" w:rsidR="0011445D" w:rsidRPr="0011445D" w:rsidRDefault="0011445D" w:rsidP="0011445D">
            <w:pPr>
              <w:spacing w:before="0" w:after="0" w:line="240" w:lineRule="auto"/>
              <w:jc w:val="right"/>
              <w:rPr>
                <w:rFonts w:ascii="Arial" w:hAnsi="Arial" w:cs="Arial"/>
                <w:color w:val="000000"/>
                <w:sz w:val="16"/>
                <w:szCs w:val="16"/>
              </w:rPr>
            </w:pPr>
          </w:p>
        </w:tc>
        <w:tc>
          <w:tcPr>
            <w:tcW w:w="726" w:type="pct"/>
            <w:tcBorders>
              <w:top w:val="nil"/>
              <w:left w:val="nil"/>
              <w:bottom w:val="nil"/>
              <w:right w:val="nil"/>
            </w:tcBorders>
            <w:shd w:val="clear" w:color="auto" w:fill="auto"/>
            <w:vAlign w:val="center"/>
            <w:hideMark/>
          </w:tcPr>
          <w:p w14:paraId="4B9CC5B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$m</w:t>
            </w:r>
          </w:p>
        </w:tc>
        <w:tc>
          <w:tcPr>
            <w:tcW w:w="726" w:type="pct"/>
            <w:tcBorders>
              <w:top w:val="nil"/>
              <w:left w:val="nil"/>
              <w:bottom w:val="nil"/>
              <w:right w:val="nil"/>
            </w:tcBorders>
            <w:shd w:val="clear" w:color="000000" w:fill="E6F2FF"/>
            <w:noWrap/>
            <w:vAlign w:val="center"/>
            <w:hideMark/>
          </w:tcPr>
          <w:p w14:paraId="585AE4C3" w14:textId="77777777" w:rsidR="0011445D" w:rsidRPr="0011445D" w:rsidRDefault="0011445D" w:rsidP="0011445D">
            <w:pPr>
              <w:spacing w:before="0" w:after="0" w:line="240" w:lineRule="auto"/>
              <w:jc w:val="right"/>
              <w:rPr>
                <w:rFonts w:ascii="Arial" w:hAnsi="Arial" w:cs="Arial"/>
                <w:sz w:val="16"/>
                <w:szCs w:val="16"/>
              </w:rPr>
            </w:pPr>
            <w:r w:rsidRPr="0011445D">
              <w:rPr>
                <w:rFonts w:ascii="Arial" w:hAnsi="Arial" w:cs="Arial"/>
                <w:sz w:val="16"/>
                <w:szCs w:val="16"/>
              </w:rPr>
              <w:t>$m</w:t>
            </w:r>
          </w:p>
        </w:tc>
        <w:tc>
          <w:tcPr>
            <w:tcW w:w="49" w:type="pct"/>
            <w:tcBorders>
              <w:top w:val="nil"/>
              <w:left w:val="nil"/>
              <w:bottom w:val="nil"/>
              <w:right w:val="nil"/>
            </w:tcBorders>
            <w:shd w:val="clear" w:color="auto" w:fill="auto"/>
            <w:vAlign w:val="center"/>
            <w:hideMark/>
          </w:tcPr>
          <w:p w14:paraId="3206E568" w14:textId="77777777" w:rsidR="0011445D" w:rsidRPr="0011445D" w:rsidRDefault="0011445D" w:rsidP="0011445D">
            <w:pPr>
              <w:spacing w:before="0"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vAlign w:val="center"/>
            <w:hideMark/>
          </w:tcPr>
          <w:p w14:paraId="4D9B9515"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$m</w:t>
            </w:r>
          </w:p>
        </w:tc>
        <w:tc>
          <w:tcPr>
            <w:tcW w:w="659" w:type="pct"/>
            <w:tcBorders>
              <w:top w:val="nil"/>
              <w:left w:val="nil"/>
              <w:bottom w:val="nil"/>
              <w:right w:val="nil"/>
            </w:tcBorders>
            <w:shd w:val="clear" w:color="auto" w:fill="auto"/>
            <w:vAlign w:val="center"/>
            <w:hideMark/>
          </w:tcPr>
          <w:p w14:paraId="64B3195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w:t>
            </w:r>
          </w:p>
        </w:tc>
      </w:tr>
      <w:tr w:rsidR="0011445D" w:rsidRPr="0011445D" w14:paraId="1B9C92FE" w14:textId="77777777" w:rsidTr="0011445D">
        <w:trPr>
          <w:trHeight w:hRule="exact" w:val="226"/>
        </w:trPr>
        <w:tc>
          <w:tcPr>
            <w:tcW w:w="2180" w:type="pct"/>
            <w:tcBorders>
              <w:top w:val="nil"/>
              <w:left w:val="nil"/>
              <w:bottom w:val="nil"/>
              <w:right w:val="nil"/>
            </w:tcBorders>
            <w:shd w:val="clear" w:color="auto" w:fill="auto"/>
            <w:noWrap/>
            <w:vAlign w:val="center"/>
            <w:hideMark/>
          </w:tcPr>
          <w:p w14:paraId="4AD8577B"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Individuals and other withholding taxes</w:t>
            </w:r>
          </w:p>
        </w:tc>
        <w:tc>
          <w:tcPr>
            <w:tcW w:w="726" w:type="pct"/>
            <w:tcBorders>
              <w:top w:val="single" w:sz="4" w:space="0" w:color="293F5B"/>
              <w:left w:val="nil"/>
              <w:bottom w:val="nil"/>
              <w:right w:val="nil"/>
            </w:tcBorders>
            <w:shd w:val="clear" w:color="auto" w:fill="auto"/>
            <w:noWrap/>
            <w:vAlign w:val="center"/>
            <w:hideMark/>
          </w:tcPr>
          <w:p w14:paraId="68A0DAA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 </w:t>
            </w:r>
          </w:p>
        </w:tc>
        <w:tc>
          <w:tcPr>
            <w:tcW w:w="726" w:type="pct"/>
            <w:tcBorders>
              <w:top w:val="single" w:sz="4" w:space="0" w:color="293F5B"/>
              <w:left w:val="nil"/>
              <w:bottom w:val="nil"/>
              <w:right w:val="nil"/>
            </w:tcBorders>
            <w:shd w:val="clear" w:color="000000" w:fill="E6F2FF"/>
            <w:noWrap/>
            <w:vAlign w:val="center"/>
            <w:hideMark/>
          </w:tcPr>
          <w:p w14:paraId="7DF22C9C"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 </w:t>
            </w:r>
          </w:p>
        </w:tc>
        <w:tc>
          <w:tcPr>
            <w:tcW w:w="49" w:type="pct"/>
            <w:tcBorders>
              <w:top w:val="nil"/>
              <w:left w:val="nil"/>
              <w:bottom w:val="nil"/>
              <w:right w:val="nil"/>
            </w:tcBorders>
            <w:shd w:val="clear" w:color="auto" w:fill="auto"/>
            <w:noWrap/>
            <w:vAlign w:val="center"/>
            <w:hideMark/>
          </w:tcPr>
          <w:p w14:paraId="4EA64FFC" w14:textId="77777777" w:rsidR="0011445D" w:rsidRPr="0011445D" w:rsidRDefault="0011445D" w:rsidP="0011445D">
            <w:pPr>
              <w:spacing w:before="0" w:after="0" w:line="240" w:lineRule="auto"/>
              <w:rPr>
                <w:rFonts w:ascii="Arial" w:hAnsi="Arial" w:cs="Arial"/>
                <w:sz w:val="16"/>
                <w:szCs w:val="16"/>
              </w:rPr>
            </w:pPr>
          </w:p>
        </w:tc>
        <w:tc>
          <w:tcPr>
            <w:tcW w:w="659" w:type="pct"/>
            <w:tcBorders>
              <w:top w:val="single" w:sz="4" w:space="0" w:color="293F5B"/>
              <w:left w:val="nil"/>
              <w:bottom w:val="nil"/>
              <w:right w:val="nil"/>
            </w:tcBorders>
            <w:shd w:val="clear" w:color="auto" w:fill="auto"/>
            <w:noWrap/>
            <w:vAlign w:val="center"/>
            <w:hideMark/>
          </w:tcPr>
          <w:p w14:paraId="5D57655D" w14:textId="77777777" w:rsidR="0011445D" w:rsidRPr="0011445D" w:rsidRDefault="0011445D" w:rsidP="0011445D">
            <w:pPr>
              <w:spacing w:before="0" w:after="0" w:line="240" w:lineRule="auto"/>
              <w:rPr>
                <w:rFonts w:ascii="Arial" w:hAnsi="Arial" w:cs="Arial"/>
                <w:b/>
                <w:bCs/>
                <w:color w:val="000000"/>
                <w:sz w:val="16"/>
                <w:szCs w:val="16"/>
              </w:rPr>
            </w:pPr>
            <w:r w:rsidRPr="0011445D">
              <w:rPr>
                <w:rFonts w:ascii="Arial" w:hAnsi="Arial" w:cs="Arial"/>
                <w:b/>
                <w:bCs/>
                <w:color w:val="000000"/>
                <w:sz w:val="16"/>
                <w:szCs w:val="16"/>
              </w:rPr>
              <w:t> </w:t>
            </w:r>
          </w:p>
        </w:tc>
        <w:tc>
          <w:tcPr>
            <w:tcW w:w="659" w:type="pct"/>
            <w:tcBorders>
              <w:top w:val="single" w:sz="4" w:space="0" w:color="293F5B"/>
              <w:left w:val="nil"/>
              <w:bottom w:val="nil"/>
              <w:right w:val="nil"/>
            </w:tcBorders>
            <w:shd w:val="clear" w:color="auto" w:fill="auto"/>
            <w:noWrap/>
            <w:vAlign w:val="center"/>
            <w:hideMark/>
          </w:tcPr>
          <w:p w14:paraId="7CD8936C" w14:textId="77777777" w:rsidR="0011445D" w:rsidRPr="0011445D" w:rsidRDefault="0011445D" w:rsidP="0011445D">
            <w:pPr>
              <w:spacing w:before="0" w:after="0" w:line="240" w:lineRule="auto"/>
              <w:rPr>
                <w:rFonts w:ascii="Arial" w:hAnsi="Arial" w:cs="Arial"/>
                <w:b/>
                <w:bCs/>
                <w:color w:val="000000"/>
                <w:sz w:val="16"/>
                <w:szCs w:val="16"/>
              </w:rPr>
            </w:pPr>
            <w:r w:rsidRPr="0011445D">
              <w:rPr>
                <w:rFonts w:ascii="Arial" w:hAnsi="Arial" w:cs="Arial"/>
                <w:b/>
                <w:bCs/>
                <w:color w:val="000000"/>
                <w:sz w:val="16"/>
                <w:szCs w:val="16"/>
              </w:rPr>
              <w:t> </w:t>
            </w:r>
          </w:p>
        </w:tc>
      </w:tr>
      <w:tr w:rsidR="0011445D" w:rsidRPr="0011445D" w14:paraId="1678C24A" w14:textId="77777777" w:rsidTr="0011445D">
        <w:trPr>
          <w:trHeight w:hRule="exact" w:val="226"/>
        </w:trPr>
        <w:tc>
          <w:tcPr>
            <w:tcW w:w="2180" w:type="pct"/>
            <w:tcBorders>
              <w:top w:val="nil"/>
              <w:left w:val="nil"/>
              <w:bottom w:val="nil"/>
              <w:right w:val="nil"/>
            </w:tcBorders>
            <w:shd w:val="clear" w:color="auto" w:fill="auto"/>
            <w:noWrap/>
            <w:vAlign w:val="center"/>
            <w:hideMark/>
          </w:tcPr>
          <w:p w14:paraId="60BFDE62"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Gross income tax withholding</w:t>
            </w:r>
          </w:p>
        </w:tc>
        <w:tc>
          <w:tcPr>
            <w:tcW w:w="726" w:type="pct"/>
            <w:tcBorders>
              <w:top w:val="nil"/>
              <w:left w:val="nil"/>
              <w:bottom w:val="nil"/>
              <w:right w:val="nil"/>
            </w:tcBorders>
            <w:shd w:val="clear" w:color="auto" w:fill="auto"/>
            <w:noWrap/>
            <w:vAlign w:val="center"/>
            <w:hideMark/>
          </w:tcPr>
          <w:p w14:paraId="3BC333B6"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304,900</w:t>
            </w:r>
          </w:p>
        </w:tc>
        <w:tc>
          <w:tcPr>
            <w:tcW w:w="726" w:type="pct"/>
            <w:tcBorders>
              <w:top w:val="nil"/>
              <w:left w:val="nil"/>
              <w:bottom w:val="nil"/>
              <w:right w:val="nil"/>
            </w:tcBorders>
            <w:shd w:val="clear" w:color="000000" w:fill="E6F2FF"/>
            <w:noWrap/>
            <w:vAlign w:val="center"/>
            <w:hideMark/>
          </w:tcPr>
          <w:p w14:paraId="4AA3AC5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308,300</w:t>
            </w:r>
          </w:p>
        </w:tc>
        <w:tc>
          <w:tcPr>
            <w:tcW w:w="49" w:type="pct"/>
            <w:tcBorders>
              <w:top w:val="nil"/>
              <w:left w:val="nil"/>
              <w:bottom w:val="nil"/>
              <w:right w:val="nil"/>
            </w:tcBorders>
            <w:shd w:val="clear" w:color="auto" w:fill="auto"/>
            <w:noWrap/>
            <w:vAlign w:val="center"/>
            <w:hideMark/>
          </w:tcPr>
          <w:p w14:paraId="0417CD5E"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202E4C5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3,400</w:t>
            </w:r>
          </w:p>
        </w:tc>
        <w:tc>
          <w:tcPr>
            <w:tcW w:w="659" w:type="pct"/>
            <w:tcBorders>
              <w:top w:val="nil"/>
              <w:left w:val="nil"/>
              <w:bottom w:val="nil"/>
              <w:right w:val="nil"/>
            </w:tcBorders>
            <w:shd w:val="clear" w:color="auto" w:fill="auto"/>
            <w:noWrap/>
            <w:vAlign w:val="center"/>
            <w:hideMark/>
          </w:tcPr>
          <w:p w14:paraId="2B3474FC"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1.1</w:t>
            </w:r>
          </w:p>
        </w:tc>
      </w:tr>
      <w:tr w:rsidR="0011445D" w:rsidRPr="0011445D" w14:paraId="06C1B29C" w14:textId="77777777" w:rsidTr="0011445D">
        <w:trPr>
          <w:trHeight w:hRule="exact" w:val="226"/>
        </w:trPr>
        <w:tc>
          <w:tcPr>
            <w:tcW w:w="2180" w:type="pct"/>
            <w:tcBorders>
              <w:top w:val="nil"/>
              <w:left w:val="nil"/>
              <w:bottom w:val="nil"/>
              <w:right w:val="nil"/>
            </w:tcBorders>
            <w:shd w:val="clear" w:color="auto" w:fill="auto"/>
            <w:noWrap/>
            <w:vAlign w:val="center"/>
            <w:hideMark/>
          </w:tcPr>
          <w:p w14:paraId="31C24316"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Gross other individuals</w:t>
            </w:r>
          </w:p>
        </w:tc>
        <w:tc>
          <w:tcPr>
            <w:tcW w:w="726" w:type="pct"/>
            <w:tcBorders>
              <w:top w:val="nil"/>
              <w:left w:val="nil"/>
              <w:bottom w:val="nil"/>
              <w:right w:val="nil"/>
            </w:tcBorders>
            <w:shd w:val="clear" w:color="auto" w:fill="auto"/>
            <w:noWrap/>
            <w:vAlign w:val="center"/>
            <w:hideMark/>
          </w:tcPr>
          <w:p w14:paraId="0494714C"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80,300</w:t>
            </w:r>
          </w:p>
        </w:tc>
        <w:tc>
          <w:tcPr>
            <w:tcW w:w="726" w:type="pct"/>
            <w:tcBorders>
              <w:top w:val="nil"/>
              <w:left w:val="nil"/>
              <w:bottom w:val="nil"/>
              <w:right w:val="nil"/>
            </w:tcBorders>
            <w:shd w:val="clear" w:color="000000" w:fill="E6F2FF"/>
            <w:noWrap/>
            <w:vAlign w:val="center"/>
            <w:hideMark/>
          </w:tcPr>
          <w:p w14:paraId="4DCB1CF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82,200</w:t>
            </w:r>
          </w:p>
        </w:tc>
        <w:tc>
          <w:tcPr>
            <w:tcW w:w="49" w:type="pct"/>
            <w:tcBorders>
              <w:top w:val="nil"/>
              <w:left w:val="nil"/>
              <w:bottom w:val="nil"/>
              <w:right w:val="nil"/>
            </w:tcBorders>
            <w:shd w:val="clear" w:color="auto" w:fill="auto"/>
            <w:noWrap/>
            <w:vAlign w:val="center"/>
            <w:hideMark/>
          </w:tcPr>
          <w:p w14:paraId="04231DF4"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5240D48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1,900</w:t>
            </w:r>
          </w:p>
        </w:tc>
        <w:tc>
          <w:tcPr>
            <w:tcW w:w="659" w:type="pct"/>
            <w:tcBorders>
              <w:top w:val="nil"/>
              <w:left w:val="nil"/>
              <w:bottom w:val="nil"/>
              <w:right w:val="nil"/>
            </w:tcBorders>
            <w:shd w:val="clear" w:color="auto" w:fill="auto"/>
            <w:noWrap/>
            <w:vAlign w:val="center"/>
            <w:hideMark/>
          </w:tcPr>
          <w:p w14:paraId="1C265CC5"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2.4</w:t>
            </w:r>
          </w:p>
        </w:tc>
      </w:tr>
      <w:tr w:rsidR="0011445D" w:rsidRPr="0011445D" w14:paraId="07A2AFAC" w14:textId="77777777" w:rsidTr="0011445D">
        <w:trPr>
          <w:trHeight w:hRule="exact" w:val="226"/>
        </w:trPr>
        <w:tc>
          <w:tcPr>
            <w:tcW w:w="2180" w:type="pct"/>
            <w:tcBorders>
              <w:top w:val="nil"/>
              <w:left w:val="nil"/>
              <w:bottom w:val="nil"/>
              <w:right w:val="nil"/>
            </w:tcBorders>
            <w:shd w:val="clear" w:color="auto" w:fill="auto"/>
            <w:noWrap/>
            <w:vAlign w:val="center"/>
            <w:hideMark/>
          </w:tcPr>
          <w:p w14:paraId="4FEDB142" w14:textId="77777777" w:rsidR="0011445D" w:rsidRPr="0011445D" w:rsidRDefault="0011445D" w:rsidP="0011445D">
            <w:pPr>
              <w:spacing w:before="0" w:after="0" w:line="240" w:lineRule="auto"/>
              <w:ind w:left="170"/>
              <w:rPr>
                <w:rFonts w:ascii="Arial" w:hAnsi="Arial" w:cs="Arial"/>
                <w:i/>
                <w:iCs/>
                <w:color w:val="000000"/>
                <w:sz w:val="16"/>
                <w:szCs w:val="16"/>
              </w:rPr>
            </w:pPr>
            <w:r w:rsidRPr="0011445D">
              <w:rPr>
                <w:rFonts w:ascii="Arial" w:hAnsi="Arial" w:cs="Arial"/>
                <w:i/>
                <w:iCs/>
                <w:color w:val="000000"/>
                <w:sz w:val="16"/>
                <w:szCs w:val="16"/>
              </w:rPr>
              <w:t>less:</w:t>
            </w:r>
            <w:r w:rsidRPr="0011445D">
              <w:rPr>
                <w:rFonts w:ascii="Arial" w:hAnsi="Arial" w:cs="Arial"/>
                <w:color w:val="000000"/>
                <w:sz w:val="16"/>
                <w:szCs w:val="16"/>
              </w:rPr>
              <w:t xml:space="preserve"> Refunds</w:t>
            </w:r>
          </w:p>
        </w:tc>
        <w:tc>
          <w:tcPr>
            <w:tcW w:w="726" w:type="pct"/>
            <w:tcBorders>
              <w:top w:val="nil"/>
              <w:left w:val="nil"/>
              <w:bottom w:val="single" w:sz="4" w:space="0" w:color="293F5B"/>
              <w:right w:val="nil"/>
            </w:tcBorders>
            <w:shd w:val="clear" w:color="auto" w:fill="auto"/>
            <w:noWrap/>
            <w:vAlign w:val="center"/>
            <w:hideMark/>
          </w:tcPr>
          <w:p w14:paraId="6CB61FB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41,700</w:t>
            </w:r>
          </w:p>
        </w:tc>
        <w:tc>
          <w:tcPr>
            <w:tcW w:w="726" w:type="pct"/>
            <w:tcBorders>
              <w:top w:val="nil"/>
              <w:left w:val="nil"/>
              <w:bottom w:val="single" w:sz="4" w:space="0" w:color="293F5B"/>
              <w:right w:val="nil"/>
            </w:tcBorders>
            <w:shd w:val="clear" w:color="000000" w:fill="E6F2FF"/>
            <w:noWrap/>
            <w:vAlign w:val="center"/>
            <w:hideMark/>
          </w:tcPr>
          <w:p w14:paraId="21EBC185"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42,100</w:t>
            </w:r>
          </w:p>
        </w:tc>
        <w:tc>
          <w:tcPr>
            <w:tcW w:w="49" w:type="pct"/>
            <w:tcBorders>
              <w:top w:val="nil"/>
              <w:left w:val="nil"/>
              <w:bottom w:val="nil"/>
              <w:right w:val="nil"/>
            </w:tcBorders>
            <w:shd w:val="clear" w:color="auto" w:fill="auto"/>
            <w:noWrap/>
            <w:vAlign w:val="center"/>
            <w:hideMark/>
          </w:tcPr>
          <w:p w14:paraId="6C6BBF8A"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single" w:sz="4" w:space="0" w:color="293F5B"/>
              <w:right w:val="nil"/>
            </w:tcBorders>
            <w:shd w:val="clear" w:color="auto" w:fill="auto"/>
            <w:noWrap/>
            <w:vAlign w:val="center"/>
            <w:hideMark/>
          </w:tcPr>
          <w:p w14:paraId="7CA0021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400</w:t>
            </w:r>
          </w:p>
        </w:tc>
        <w:tc>
          <w:tcPr>
            <w:tcW w:w="659" w:type="pct"/>
            <w:tcBorders>
              <w:top w:val="nil"/>
              <w:left w:val="nil"/>
              <w:bottom w:val="single" w:sz="4" w:space="0" w:color="293F5B"/>
              <w:right w:val="nil"/>
            </w:tcBorders>
            <w:shd w:val="clear" w:color="auto" w:fill="auto"/>
            <w:noWrap/>
            <w:vAlign w:val="center"/>
            <w:hideMark/>
          </w:tcPr>
          <w:p w14:paraId="217E5C2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1.0</w:t>
            </w:r>
          </w:p>
        </w:tc>
      </w:tr>
      <w:tr w:rsidR="0011445D" w:rsidRPr="0011445D" w14:paraId="56FADC61"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73A08FE"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Total individuals and other withholding tax</w:t>
            </w:r>
          </w:p>
        </w:tc>
        <w:tc>
          <w:tcPr>
            <w:tcW w:w="726" w:type="pct"/>
            <w:tcBorders>
              <w:top w:val="nil"/>
              <w:left w:val="nil"/>
              <w:bottom w:val="nil"/>
              <w:right w:val="nil"/>
            </w:tcBorders>
            <w:shd w:val="clear" w:color="auto" w:fill="auto"/>
            <w:noWrap/>
            <w:vAlign w:val="center"/>
            <w:hideMark/>
          </w:tcPr>
          <w:p w14:paraId="5877B1E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343,500</w:t>
            </w:r>
          </w:p>
        </w:tc>
        <w:tc>
          <w:tcPr>
            <w:tcW w:w="726" w:type="pct"/>
            <w:tcBorders>
              <w:top w:val="nil"/>
              <w:left w:val="nil"/>
              <w:bottom w:val="nil"/>
              <w:right w:val="nil"/>
            </w:tcBorders>
            <w:shd w:val="clear" w:color="000000" w:fill="E6F2FF"/>
            <w:noWrap/>
            <w:vAlign w:val="center"/>
            <w:hideMark/>
          </w:tcPr>
          <w:p w14:paraId="02F06BD2"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348,400</w:t>
            </w:r>
          </w:p>
        </w:tc>
        <w:tc>
          <w:tcPr>
            <w:tcW w:w="49" w:type="pct"/>
            <w:tcBorders>
              <w:top w:val="nil"/>
              <w:left w:val="nil"/>
              <w:bottom w:val="nil"/>
              <w:right w:val="nil"/>
            </w:tcBorders>
            <w:shd w:val="clear" w:color="auto" w:fill="auto"/>
            <w:noWrap/>
            <w:vAlign w:val="center"/>
            <w:hideMark/>
          </w:tcPr>
          <w:p w14:paraId="5C6511A8"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2C6346F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4,900</w:t>
            </w:r>
          </w:p>
        </w:tc>
        <w:tc>
          <w:tcPr>
            <w:tcW w:w="659" w:type="pct"/>
            <w:tcBorders>
              <w:top w:val="nil"/>
              <w:left w:val="nil"/>
              <w:bottom w:val="nil"/>
              <w:right w:val="nil"/>
            </w:tcBorders>
            <w:shd w:val="clear" w:color="auto" w:fill="auto"/>
            <w:noWrap/>
            <w:vAlign w:val="center"/>
            <w:hideMark/>
          </w:tcPr>
          <w:p w14:paraId="77A6D9B5"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1.4</w:t>
            </w:r>
          </w:p>
        </w:tc>
      </w:tr>
      <w:tr w:rsidR="0011445D" w:rsidRPr="0011445D" w14:paraId="01DEC0A0" w14:textId="77777777" w:rsidTr="0011445D">
        <w:trPr>
          <w:trHeight w:hRule="exact" w:val="226"/>
        </w:trPr>
        <w:tc>
          <w:tcPr>
            <w:tcW w:w="2180" w:type="pct"/>
            <w:tcBorders>
              <w:top w:val="nil"/>
              <w:left w:val="nil"/>
              <w:bottom w:val="nil"/>
              <w:right w:val="nil"/>
            </w:tcBorders>
            <w:shd w:val="clear" w:color="auto" w:fill="auto"/>
            <w:noWrap/>
            <w:vAlign w:val="center"/>
            <w:hideMark/>
          </w:tcPr>
          <w:p w14:paraId="70E5572B"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Fringe benefits tax</w:t>
            </w:r>
          </w:p>
        </w:tc>
        <w:tc>
          <w:tcPr>
            <w:tcW w:w="726" w:type="pct"/>
            <w:tcBorders>
              <w:top w:val="nil"/>
              <w:left w:val="nil"/>
              <w:bottom w:val="nil"/>
              <w:right w:val="nil"/>
            </w:tcBorders>
            <w:shd w:val="clear" w:color="auto" w:fill="auto"/>
            <w:noWrap/>
            <w:vAlign w:val="center"/>
            <w:hideMark/>
          </w:tcPr>
          <w:p w14:paraId="294DF5F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4,120</w:t>
            </w:r>
          </w:p>
        </w:tc>
        <w:tc>
          <w:tcPr>
            <w:tcW w:w="726" w:type="pct"/>
            <w:tcBorders>
              <w:top w:val="nil"/>
              <w:left w:val="nil"/>
              <w:bottom w:val="nil"/>
              <w:right w:val="nil"/>
            </w:tcBorders>
            <w:shd w:val="clear" w:color="000000" w:fill="E6F2FF"/>
            <w:noWrap/>
            <w:vAlign w:val="center"/>
            <w:hideMark/>
          </w:tcPr>
          <w:p w14:paraId="2EE213E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5,030</w:t>
            </w:r>
          </w:p>
        </w:tc>
        <w:tc>
          <w:tcPr>
            <w:tcW w:w="49" w:type="pct"/>
            <w:tcBorders>
              <w:top w:val="nil"/>
              <w:left w:val="nil"/>
              <w:bottom w:val="nil"/>
              <w:right w:val="nil"/>
            </w:tcBorders>
            <w:shd w:val="clear" w:color="auto" w:fill="auto"/>
            <w:noWrap/>
            <w:vAlign w:val="center"/>
            <w:hideMark/>
          </w:tcPr>
          <w:p w14:paraId="3222FCA2"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034299A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910</w:t>
            </w:r>
          </w:p>
        </w:tc>
        <w:tc>
          <w:tcPr>
            <w:tcW w:w="659" w:type="pct"/>
            <w:tcBorders>
              <w:top w:val="nil"/>
              <w:left w:val="nil"/>
              <w:bottom w:val="nil"/>
              <w:right w:val="nil"/>
            </w:tcBorders>
            <w:shd w:val="clear" w:color="auto" w:fill="auto"/>
            <w:noWrap/>
            <w:vAlign w:val="center"/>
            <w:hideMark/>
          </w:tcPr>
          <w:p w14:paraId="2D0DB4D3"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22.1</w:t>
            </w:r>
          </w:p>
        </w:tc>
      </w:tr>
      <w:tr w:rsidR="0011445D" w:rsidRPr="0011445D" w14:paraId="2E40940C" w14:textId="77777777" w:rsidTr="0011445D">
        <w:trPr>
          <w:trHeight w:hRule="exact" w:val="226"/>
        </w:trPr>
        <w:tc>
          <w:tcPr>
            <w:tcW w:w="2180" w:type="pct"/>
            <w:tcBorders>
              <w:top w:val="nil"/>
              <w:left w:val="nil"/>
              <w:bottom w:val="nil"/>
              <w:right w:val="nil"/>
            </w:tcBorders>
            <w:shd w:val="clear" w:color="auto" w:fill="auto"/>
            <w:noWrap/>
            <w:vAlign w:val="center"/>
            <w:hideMark/>
          </w:tcPr>
          <w:p w14:paraId="5990668E"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Company tax</w:t>
            </w:r>
          </w:p>
        </w:tc>
        <w:tc>
          <w:tcPr>
            <w:tcW w:w="726" w:type="pct"/>
            <w:tcBorders>
              <w:top w:val="nil"/>
              <w:left w:val="nil"/>
              <w:bottom w:val="nil"/>
              <w:right w:val="nil"/>
            </w:tcBorders>
            <w:shd w:val="clear" w:color="auto" w:fill="auto"/>
            <w:noWrap/>
            <w:vAlign w:val="center"/>
            <w:hideMark/>
          </w:tcPr>
          <w:p w14:paraId="13BB4AC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134,000</w:t>
            </w:r>
          </w:p>
        </w:tc>
        <w:tc>
          <w:tcPr>
            <w:tcW w:w="726" w:type="pct"/>
            <w:tcBorders>
              <w:top w:val="nil"/>
              <w:left w:val="nil"/>
              <w:bottom w:val="nil"/>
              <w:right w:val="nil"/>
            </w:tcBorders>
            <w:shd w:val="clear" w:color="000000" w:fill="E6F2FF"/>
            <w:noWrap/>
            <w:vAlign w:val="center"/>
            <w:hideMark/>
          </w:tcPr>
          <w:p w14:paraId="13308212"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135,900</w:t>
            </w:r>
          </w:p>
        </w:tc>
        <w:tc>
          <w:tcPr>
            <w:tcW w:w="49" w:type="pct"/>
            <w:tcBorders>
              <w:top w:val="nil"/>
              <w:left w:val="nil"/>
              <w:bottom w:val="nil"/>
              <w:right w:val="nil"/>
            </w:tcBorders>
            <w:shd w:val="clear" w:color="auto" w:fill="auto"/>
            <w:noWrap/>
            <w:vAlign w:val="center"/>
            <w:hideMark/>
          </w:tcPr>
          <w:p w14:paraId="46FAB4D8"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1AF8A72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1,900</w:t>
            </w:r>
          </w:p>
        </w:tc>
        <w:tc>
          <w:tcPr>
            <w:tcW w:w="659" w:type="pct"/>
            <w:tcBorders>
              <w:top w:val="nil"/>
              <w:left w:val="nil"/>
              <w:bottom w:val="nil"/>
              <w:right w:val="nil"/>
            </w:tcBorders>
            <w:shd w:val="clear" w:color="auto" w:fill="auto"/>
            <w:noWrap/>
            <w:vAlign w:val="center"/>
            <w:hideMark/>
          </w:tcPr>
          <w:p w14:paraId="5032219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1.4</w:t>
            </w:r>
          </w:p>
        </w:tc>
      </w:tr>
      <w:tr w:rsidR="0011445D" w:rsidRPr="0011445D" w14:paraId="4F75602F" w14:textId="77777777" w:rsidTr="0011445D">
        <w:trPr>
          <w:trHeight w:hRule="exact" w:val="226"/>
        </w:trPr>
        <w:tc>
          <w:tcPr>
            <w:tcW w:w="2180" w:type="pct"/>
            <w:tcBorders>
              <w:top w:val="nil"/>
              <w:left w:val="nil"/>
              <w:bottom w:val="nil"/>
              <w:right w:val="nil"/>
            </w:tcBorders>
            <w:shd w:val="clear" w:color="auto" w:fill="auto"/>
            <w:noWrap/>
            <w:vAlign w:val="center"/>
            <w:hideMark/>
          </w:tcPr>
          <w:p w14:paraId="7E7C6E8A"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Superannuation fund taxes</w:t>
            </w:r>
          </w:p>
        </w:tc>
        <w:tc>
          <w:tcPr>
            <w:tcW w:w="726" w:type="pct"/>
            <w:tcBorders>
              <w:top w:val="nil"/>
              <w:left w:val="nil"/>
              <w:bottom w:val="nil"/>
              <w:right w:val="nil"/>
            </w:tcBorders>
            <w:shd w:val="clear" w:color="auto" w:fill="auto"/>
            <w:noWrap/>
            <w:vAlign w:val="center"/>
            <w:hideMark/>
          </w:tcPr>
          <w:p w14:paraId="06A9B0B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21,360</w:t>
            </w:r>
          </w:p>
        </w:tc>
        <w:tc>
          <w:tcPr>
            <w:tcW w:w="726" w:type="pct"/>
            <w:tcBorders>
              <w:top w:val="nil"/>
              <w:left w:val="nil"/>
              <w:bottom w:val="nil"/>
              <w:right w:val="nil"/>
            </w:tcBorders>
            <w:shd w:val="clear" w:color="000000" w:fill="E6F2FF"/>
            <w:noWrap/>
            <w:vAlign w:val="center"/>
            <w:hideMark/>
          </w:tcPr>
          <w:p w14:paraId="36EC9393"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23,210</w:t>
            </w:r>
          </w:p>
        </w:tc>
        <w:tc>
          <w:tcPr>
            <w:tcW w:w="49" w:type="pct"/>
            <w:tcBorders>
              <w:top w:val="nil"/>
              <w:left w:val="nil"/>
              <w:bottom w:val="nil"/>
              <w:right w:val="nil"/>
            </w:tcBorders>
            <w:shd w:val="clear" w:color="auto" w:fill="auto"/>
            <w:noWrap/>
            <w:vAlign w:val="center"/>
            <w:hideMark/>
          </w:tcPr>
          <w:p w14:paraId="2CE6525C"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1AF252B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1,850</w:t>
            </w:r>
          </w:p>
        </w:tc>
        <w:tc>
          <w:tcPr>
            <w:tcW w:w="659" w:type="pct"/>
            <w:tcBorders>
              <w:top w:val="nil"/>
              <w:left w:val="nil"/>
              <w:bottom w:val="nil"/>
              <w:right w:val="nil"/>
            </w:tcBorders>
            <w:shd w:val="clear" w:color="auto" w:fill="auto"/>
            <w:noWrap/>
            <w:vAlign w:val="center"/>
            <w:hideMark/>
          </w:tcPr>
          <w:p w14:paraId="5D5CE2C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8.7</w:t>
            </w:r>
          </w:p>
        </w:tc>
      </w:tr>
      <w:tr w:rsidR="0011445D" w:rsidRPr="0011445D" w14:paraId="42458275" w14:textId="77777777" w:rsidTr="0011445D">
        <w:trPr>
          <w:trHeight w:hRule="exact" w:val="226"/>
        </w:trPr>
        <w:tc>
          <w:tcPr>
            <w:tcW w:w="2180" w:type="pct"/>
            <w:tcBorders>
              <w:top w:val="nil"/>
              <w:left w:val="nil"/>
              <w:bottom w:val="nil"/>
              <w:right w:val="nil"/>
            </w:tcBorders>
            <w:shd w:val="clear" w:color="auto" w:fill="auto"/>
            <w:noWrap/>
            <w:vAlign w:val="center"/>
            <w:hideMark/>
          </w:tcPr>
          <w:p w14:paraId="64F7CE21"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Petroleum resource rent tax</w:t>
            </w:r>
          </w:p>
        </w:tc>
        <w:tc>
          <w:tcPr>
            <w:tcW w:w="726" w:type="pct"/>
            <w:tcBorders>
              <w:top w:val="nil"/>
              <w:left w:val="nil"/>
              <w:bottom w:val="nil"/>
              <w:right w:val="nil"/>
            </w:tcBorders>
            <w:shd w:val="clear" w:color="auto" w:fill="auto"/>
            <w:noWrap/>
            <w:vAlign w:val="center"/>
            <w:hideMark/>
          </w:tcPr>
          <w:p w14:paraId="11ABA6C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2,050</w:t>
            </w:r>
          </w:p>
        </w:tc>
        <w:tc>
          <w:tcPr>
            <w:tcW w:w="726" w:type="pct"/>
            <w:tcBorders>
              <w:top w:val="nil"/>
              <w:left w:val="nil"/>
              <w:bottom w:val="nil"/>
              <w:right w:val="nil"/>
            </w:tcBorders>
            <w:shd w:val="clear" w:color="000000" w:fill="E6F2FF"/>
            <w:noWrap/>
            <w:vAlign w:val="center"/>
            <w:hideMark/>
          </w:tcPr>
          <w:p w14:paraId="0129CB2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1,850</w:t>
            </w:r>
          </w:p>
        </w:tc>
        <w:tc>
          <w:tcPr>
            <w:tcW w:w="49" w:type="pct"/>
            <w:tcBorders>
              <w:top w:val="nil"/>
              <w:left w:val="nil"/>
              <w:bottom w:val="nil"/>
              <w:right w:val="nil"/>
            </w:tcBorders>
            <w:shd w:val="clear" w:color="auto" w:fill="auto"/>
            <w:noWrap/>
            <w:vAlign w:val="center"/>
            <w:hideMark/>
          </w:tcPr>
          <w:p w14:paraId="3B636D1C"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705DB21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-200</w:t>
            </w:r>
          </w:p>
        </w:tc>
        <w:tc>
          <w:tcPr>
            <w:tcW w:w="659" w:type="pct"/>
            <w:tcBorders>
              <w:top w:val="nil"/>
              <w:left w:val="nil"/>
              <w:bottom w:val="nil"/>
              <w:right w:val="nil"/>
            </w:tcBorders>
            <w:shd w:val="clear" w:color="auto" w:fill="auto"/>
            <w:noWrap/>
            <w:vAlign w:val="center"/>
            <w:hideMark/>
          </w:tcPr>
          <w:p w14:paraId="55874A9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-9.8</w:t>
            </w:r>
          </w:p>
        </w:tc>
      </w:tr>
      <w:tr w:rsidR="0011445D" w:rsidRPr="0011445D" w14:paraId="59B8FE9F" w14:textId="77777777" w:rsidTr="0011445D">
        <w:trPr>
          <w:trHeight w:hRule="exact" w:val="226"/>
        </w:trPr>
        <w:tc>
          <w:tcPr>
            <w:tcW w:w="2180" w:type="pct"/>
            <w:tcBorders>
              <w:top w:val="nil"/>
              <w:left w:val="nil"/>
              <w:bottom w:val="nil"/>
              <w:right w:val="nil"/>
            </w:tcBorders>
            <w:shd w:val="clear" w:color="auto" w:fill="auto"/>
            <w:noWrap/>
            <w:vAlign w:val="center"/>
            <w:hideMark/>
          </w:tcPr>
          <w:p w14:paraId="7FAAA927" w14:textId="77777777" w:rsidR="0011445D" w:rsidRPr="0011445D" w:rsidRDefault="0011445D" w:rsidP="0011445D">
            <w:pPr>
              <w:spacing w:before="0" w:after="0" w:line="240" w:lineRule="auto"/>
              <w:rPr>
                <w:rFonts w:ascii="Arial" w:hAnsi="Arial" w:cs="Arial"/>
                <w:b/>
                <w:bCs/>
                <w:color w:val="000000"/>
                <w:sz w:val="16"/>
                <w:szCs w:val="16"/>
              </w:rPr>
            </w:pPr>
            <w:r w:rsidRPr="0011445D">
              <w:rPr>
                <w:rFonts w:ascii="Arial" w:hAnsi="Arial" w:cs="Arial"/>
                <w:b/>
                <w:bCs/>
                <w:color w:val="000000"/>
                <w:sz w:val="16"/>
                <w:szCs w:val="16"/>
              </w:rPr>
              <w:t>Income taxation receipts</w:t>
            </w:r>
          </w:p>
        </w:tc>
        <w:tc>
          <w:tcPr>
            <w:tcW w:w="726" w:type="pct"/>
            <w:tcBorders>
              <w:top w:val="single" w:sz="4" w:space="0" w:color="293F5B"/>
              <w:left w:val="nil"/>
              <w:bottom w:val="single" w:sz="4" w:space="0" w:color="293F5B"/>
              <w:right w:val="nil"/>
            </w:tcBorders>
            <w:shd w:val="clear" w:color="auto" w:fill="auto"/>
            <w:noWrap/>
            <w:vAlign w:val="center"/>
            <w:hideMark/>
          </w:tcPr>
          <w:p w14:paraId="51283786"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505,030</w:t>
            </w:r>
          </w:p>
        </w:tc>
        <w:tc>
          <w:tcPr>
            <w:tcW w:w="726" w:type="pct"/>
            <w:tcBorders>
              <w:top w:val="single" w:sz="4" w:space="0" w:color="293F5B"/>
              <w:left w:val="nil"/>
              <w:bottom w:val="single" w:sz="4" w:space="0" w:color="293F5B"/>
              <w:right w:val="nil"/>
            </w:tcBorders>
            <w:shd w:val="clear" w:color="000000" w:fill="E6F2FF"/>
            <w:noWrap/>
            <w:vAlign w:val="center"/>
            <w:hideMark/>
          </w:tcPr>
          <w:p w14:paraId="0EE70159"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514,390</w:t>
            </w:r>
          </w:p>
        </w:tc>
        <w:tc>
          <w:tcPr>
            <w:tcW w:w="49" w:type="pct"/>
            <w:tcBorders>
              <w:top w:val="nil"/>
              <w:left w:val="nil"/>
              <w:bottom w:val="nil"/>
              <w:right w:val="nil"/>
            </w:tcBorders>
            <w:shd w:val="clear" w:color="auto" w:fill="auto"/>
            <w:noWrap/>
            <w:vAlign w:val="center"/>
            <w:hideMark/>
          </w:tcPr>
          <w:p w14:paraId="4F2B7BDD"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659" w:type="pct"/>
            <w:tcBorders>
              <w:top w:val="single" w:sz="4" w:space="0" w:color="293F5B"/>
              <w:left w:val="nil"/>
              <w:bottom w:val="single" w:sz="4" w:space="0" w:color="293F5B"/>
              <w:right w:val="nil"/>
            </w:tcBorders>
            <w:shd w:val="clear" w:color="auto" w:fill="auto"/>
            <w:noWrap/>
            <w:vAlign w:val="center"/>
            <w:hideMark/>
          </w:tcPr>
          <w:p w14:paraId="523BA088"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9,360</w:t>
            </w:r>
          </w:p>
        </w:tc>
        <w:tc>
          <w:tcPr>
            <w:tcW w:w="659" w:type="pct"/>
            <w:tcBorders>
              <w:top w:val="single" w:sz="4" w:space="0" w:color="293F5B"/>
              <w:left w:val="nil"/>
              <w:bottom w:val="single" w:sz="4" w:space="0" w:color="293F5B"/>
              <w:right w:val="nil"/>
            </w:tcBorders>
            <w:shd w:val="clear" w:color="auto" w:fill="auto"/>
            <w:noWrap/>
            <w:vAlign w:val="center"/>
            <w:hideMark/>
          </w:tcPr>
          <w:p w14:paraId="548A53AD"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1.9</w:t>
            </w:r>
          </w:p>
        </w:tc>
      </w:tr>
      <w:tr w:rsidR="0011445D" w:rsidRPr="0011445D" w14:paraId="19E445DF" w14:textId="77777777" w:rsidTr="0011445D">
        <w:trPr>
          <w:trHeight w:hRule="exact" w:val="60"/>
        </w:trPr>
        <w:tc>
          <w:tcPr>
            <w:tcW w:w="2180" w:type="pct"/>
            <w:tcBorders>
              <w:top w:val="nil"/>
              <w:left w:val="nil"/>
              <w:bottom w:val="nil"/>
              <w:right w:val="nil"/>
            </w:tcBorders>
            <w:shd w:val="clear" w:color="auto" w:fill="auto"/>
            <w:noWrap/>
            <w:vAlign w:val="center"/>
            <w:hideMark/>
          </w:tcPr>
          <w:p w14:paraId="290CED62"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726" w:type="pct"/>
            <w:tcBorders>
              <w:top w:val="nil"/>
              <w:left w:val="nil"/>
              <w:bottom w:val="nil"/>
              <w:right w:val="nil"/>
            </w:tcBorders>
            <w:shd w:val="clear" w:color="auto" w:fill="auto"/>
            <w:noWrap/>
            <w:vAlign w:val="center"/>
            <w:hideMark/>
          </w:tcPr>
          <w:p w14:paraId="6FFB9759" w14:textId="77777777" w:rsidR="0011445D" w:rsidRPr="0011445D" w:rsidRDefault="0011445D" w:rsidP="0011445D">
            <w:pPr>
              <w:spacing w:before="0" w:after="0" w:line="240" w:lineRule="auto"/>
              <w:rPr>
                <w:rFonts w:ascii="Times New Roman" w:hAnsi="Times New Roman"/>
                <w:sz w:val="20"/>
              </w:rPr>
            </w:pPr>
          </w:p>
        </w:tc>
        <w:tc>
          <w:tcPr>
            <w:tcW w:w="726" w:type="pct"/>
            <w:tcBorders>
              <w:top w:val="nil"/>
              <w:left w:val="nil"/>
              <w:bottom w:val="nil"/>
              <w:right w:val="nil"/>
            </w:tcBorders>
            <w:shd w:val="clear" w:color="000000" w:fill="E6F2FF"/>
            <w:noWrap/>
            <w:vAlign w:val="center"/>
            <w:hideMark/>
          </w:tcPr>
          <w:p w14:paraId="21EA2DDD"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c>
          <w:tcPr>
            <w:tcW w:w="49" w:type="pct"/>
            <w:tcBorders>
              <w:top w:val="nil"/>
              <w:left w:val="nil"/>
              <w:bottom w:val="nil"/>
              <w:right w:val="nil"/>
            </w:tcBorders>
            <w:shd w:val="clear" w:color="auto" w:fill="auto"/>
            <w:noWrap/>
            <w:vAlign w:val="center"/>
            <w:hideMark/>
          </w:tcPr>
          <w:p w14:paraId="2FEE4CEE"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659" w:type="pct"/>
            <w:tcBorders>
              <w:top w:val="nil"/>
              <w:left w:val="nil"/>
              <w:bottom w:val="nil"/>
              <w:right w:val="nil"/>
            </w:tcBorders>
            <w:shd w:val="clear" w:color="auto" w:fill="auto"/>
            <w:noWrap/>
            <w:vAlign w:val="center"/>
            <w:hideMark/>
          </w:tcPr>
          <w:p w14:paraId="640A118A" w14:textId="77777777" w:rsidR="0011445D" w:rsidRPr="0011445D" w:rsidRDefault="0011445D" w:rsidP="0011445D">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center"/>
            <w:hideMark/>
          </w:tcPr>
          <w:p w14:paraId="714FB51E" w14:textId="77777777" w:rsidR="0011445D" w:rsidRPr="0011445D" w:rsidRDefault="0011445D" w:rsidP="0011445D">
            <w:pPr>
              <w:spacing w:before="0" w:after="0" w:line="240" w:lineRule="auto"/>
              <w:jc w:val="right"/>
              <w:rPr>
                <w:rFonts w:ascii="Times New Roman" w:hAnsi="Times New Roman"/>
                <w:sz w:val="20"/>
              </w:rPr>
            </w:pPr>
          </w:p>
        </w:tc>
      </w:tr>
      <w:tr w:rsidR="0011445D" w:rsidRPr="0011445D" w14:paraId="3428789E" w14:textId="77777777" w:rsidTr="0011445D">
        <w:trPr>
          <w:trHeight w:hRule="exact" w:val="226"/>
        </w:trPr>
        <w:tc>
          <w:tcPr>
            <w:tcW w:w="2180" w:type="pct"/>
            <w:tcBorders>
              <w:top w:val="nil"/>
              <w:left w:val="nil"/>
              <w:bottom w:val="nil"/>
              <w:right w:val="nil"/>
            </w:tcBorders>
            <w:shd w:val="clear" w:color="auto" w:fill="auto"/>
            <w:noWrap/>
            <w:vAlign w:val="center"/>
            <w:hideMark/>
          </w:tcPr>
          <w:p w14:paraId="65594D28"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Goods and services tax</w:t>
            </w:r>
          </w:p>
        </w:tc>
        <w:tc>
          <w:tcPr>
            <w:tcW w:w="726" w:type="pct"/>
            <w:tcBorders>
              <w:top w:val="nil"/>
              <w:left w:val="nil"/>
              <w:bottom w:val="nil"/>
              <w:right w:val="nil"/>
            </w:tcBorders>
            <w:shd w:val="clear" w:color="auto" w:fill="auto"/>
            <w:noWrap/>
            <w:vAlign w:val="center"/>
            <w:hideMark/>
          </w:tcPr>
          <w:p w14:paraId="2DF1ECD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92,338</w:t>
            </w:r>
          </w:p>
        </w:tc>
        <w:tc>
          <w:tcPr>
            <w:tcW w:w="726" w:type="pct"/>
            <w:tcBorders>
              <w:top w:val="nil"/>
              <w:left w:val="nil"/>
              <w:bottom w:val="nil"/>
              <w:right w:val="nil"/>
            </w:tcBorders>
            <w:shd w:val="clear" w:color="000000" w:fill="E6F2FF"/>
            <w:noWrap/>
            <w:vAlign w:val="center"/>
            <w:hideMark/>
          </w:tcPr>
          <w:p w14:paraId="3518EBB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94,228</w:t>
            </w:r>
          </w:p>
        </w:tc>
        <w:tc>
          <w:tcPr>
            <w:tcW w:w="49" w:type="pct"/>
            <w:tcBorders>
              <w:top w:val="nil"/>
              <w:left w:val="nil"/>
              <w:bottom w:val="nil"/>
              <w:right w:val="nil"/>
            </w:tcBorders>
            <w:shd w:val="clear" w:color="auto" w:fill="auto"/>
            <w:noWrap/>
            <w:vAlign w:val="center"/>
            <w:hideMark/>
          </w:tcPr>
          <w:p w14:paraId="1817E157"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672C84D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1,890</w:t>
            </w:r>
          </w:p>
        </w:tc>
        <w:tc>
          <w:tcPr>
            <w:tcW w:w="659" w:type="pct"/>
            <w:tcBorders>
              <w:top w:val="nil"/>
              <w:left w:val="nil"/>
              <w:bottom w:val="nil"/>
              <w:right w:val="nil"/>
            </w:tcBorders>
            <w:shd w:val="clear" w:color="auto" w:fill="auto"/>
            <w:noWrap/>
            <w:vAlign w:val="center"/>
            <w:hideMark/>
          </w:tcPr>
          <w:p w14:paraId="31F236A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2.0</w:t>
            </w:r>
          </w:p>
        </w:tc>
      </w:tr>
      <w:tr w:rsidR="0011445D" w:rsidRPr="0011445D" w14:paraId="1E9C6D64"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FA82336"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Wine equalisation tax</w:t>
            </w:r>
          </w:p>
        </w:tc>
        <w:tc>
          <w:tcPr>
            <w:tcW w:w="726" w:type="pct"/>
            <w:tcBorders>
              <w:top w:val="nil"/>
              <w:left w:val="nil"/>
              <w:bottom w:val="nil"/>
              <w:right w:val="nil"/>
            </w:tcBorders>
            <w:shd w:val="clear" w:color="auto" w:fill="auto"/>
            <w:noWrap/>
            <w:vAlign w:val="center"/>
            <w:hideMark/>
          </w:tcPr>
          <w:p w14:paraId="405B91F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1,210</w:t>
            </w:r>
          </w:p>
        </w:tc>
        <w:tc>
          <w:tcPr>
            <w:tcW w:w="726" w:type="pct"/>
            <w:tcBorders>
              <w:top w:val="nil"/>
              <w:left w:val="nil"/>
              <w:bottom w:val="nil"/>
              <w:right w:val="nil"/>
            </w:tcBorders>
            <w:shd w:val="clear" w:color="000000" w:fill="E6F2FF"/>
            <w:noWrap/>
            <w:vAlign w:val="center"/>
            <w:hideMark/>
          </w:tcPr>
          <w:p w14:paraId="13FC08F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1,210</w:t>
            </w:r>
          </w:p>
        </w:tc>
        <w:tc>
          <w:tcPr>
            <w:tcW w:w="49" w:type="pct"/>
            <w:tcBorders>
              <w:top w:val="nil"/>
              <w:left w:val="nil"/>
              <w:bottom w:val="nil"/>
              <w:right w:val="nil"/>
            </w:tcBorders>
            <w:shd w:val="clear" w:color="auto" w:fill="auto"/>
            <w:noWrap/>
            <w:vAlign w:val="center"/>
            <w:hideMark/>
          </w:tcPr>
          <w:p w14:paraId="46F11A8A"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2A93F10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w:t>
            </w:r>
          </w:p>
        </w:tc>
        <w:tc>
          <w:tcPr>
            <w:tcW w:w="659" w:type="pct"/>
            <w:tcBorders>
              <w:top w:val="nil"/>
              <w:left w:val="nil"/>
              <w:bottom w:val="nil"/>
              <w:right w:val="nil"/>
            </w:tcBorders>
            <w:shd w:val="clear" w:color="auto" w:fill="auto"/>
            <w:noWrap/>
            <w:vAlign w:val="center"/>
            <w:hideMark/>
          </w:tcPr>
          <w:p w14:paraId="08938686"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0.0</w:t>
            </w:r>
          </w:p>
        </w:tc>
      </w:tr>
      <w:tr w:rsidR="0011445D" w:rsidRPr="0011445D" w14:paraId="44A4E8ED" w14:textId="77777777" w:rsidTr="0011445D">
        <w:trPr>
          <w:trHeight w:hRule="exact" w:val="226"/>
        </w:trPr>
        <w:tc>
          <w:tcPr>
            <w:tcW w:w="2180" w:type="pct"/>
            <w:tcBorders>
              <w:top w:val="nil"/>
              <w:left w:val="nil"/>
              <w:bottom w:val="nil"/>
              <w:right w:val="nil"/>
            </w:tcBorders>
            <w:shd w:val="clear" w:color="auto" w:fill="auto"/>
            <w:noWrap/>
            <w:vAlign w:val="center"/>
            <w:hideMark/>
          </w:tcPr>
          <w:p w14:paraId="721D5D55"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Luxury car tax</w:t>
            </w:r>
          </w:p>
        </w:tc>
        <w:tc>
          <w:tcPr>
            <w:tcW w:w="726" w:type="pct"/>
            <w:tcBorders>
              <w:top w:val="nil"/>
              <w:left w:val="nil"/>
              <w:bottom w:val="nil"/>
              <w:right w:val="nil"/>
            </w:tcBorders>
            <w:shd w:val="clear" w:color="auto" w:fill="auto"/>
            <w:noWrap/>
            <w:vAlign w:val="center"/>
            <w:hideMark/>
          </w:tcPr>
          <w:p w14:paraId="6B927512"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1,200</w:t>
            </w:r>
          </w:p>
        </w:tc>
        <w:tc>
          <w:tcPr>
            <w:tcW w:w="726" w:type="pct"/>
            <w:tcBorders>
              <w:top w:val="nil"/>
              <w:left w:val="nil"/>
              <w:bottom w:val="nil"/>
              <w:right w:val="nil"/>
            </w:tcBorders>
            <w:shd w:val="clear" w:color="000000" w:fill="E6F2FF"/>
            <w:noWrap/>
            <w:vAlign w:val="center"/>
            <w:hideMark/>
          </w:tcPr>
          <w:p w14:paraId="6CA222A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1,200</w:t>
            </w:r>
          </w:p>
        </w:tc>
        <w:tc>
          <w:tcPr>
            <w:tcW w:w="49" w:type="pct"/>
            <w:tcBorders>
              <w:top w:val="nil"/>
              <w:left w:val="nil"/>
              <w:bottom w:val="nil"/>
              <w:right w:val="nil"/>
            </w:tcBorders>
            <w:shd w:val="clear" w:color="auto" w:fill="auto"/>
            <w:noWrap/>
            <w:vAlign w:val="center"/>
            <w:hideMark/>
          </w:tcPr>
          <w:p w14:paraId="23186F42"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7B7103E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w:t>
            </w:r>
          </w:p>
        </w:tc>
        <w:tc>
          <w:tcPr>
            <w:tcW w:w="659" w:type="pct"/>
            <w:tcBorders>
              <w:top w:val="nil"/>
              <w:left w:val="nil"/>
              <w:bottom w:val="nil"/>
              <w:right w:val="nil"/>
            </w:tcBorders>
            <w:shd w:val="clear" w:color="auto" w:fill="auto"/>
            <w:noWrap/>
            <w:vAlign w:val="center"/>
            <w:hideMark/>
          </w:tcPr>
          <w:p w14:paraId="39B089D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0.0</w:t>
            </w:r>
          </w:p>
        </w:tc>
      </w:tr>
      <w:tr w:rsidR="0011445D" w:rsidRPr="0011445D" w14:paraId="737C9ACD"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588B48D"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Excise and customs duty</w:t>
            </w:r>
          </w:p>
        </w:tc>
        <w:tc>
          <w:tcPr>
            <w:tcW w:w="726" w:type="pct"/>
            <w:tcBorders>
              <w:top w:val="nil"/>
              <w:left w:val="nil"/>
              <w:bottom w:val="nil"/>
              <w:right w:val="nil"/>
            </w:tcBorders>
            <w:shd w:val="clear" w:color="auto" w:fill="auto"/>
            <w:noWrap/>
            <w:vAlign w:val="center"/>
            <w:hideMark/>
          </w:tcPr>
          <w:p w14:paraId="688340A3" w14:textId="77777777" w:rsidR="0011445D" w:rsidRPr="0011445D" w:rsidRDefault="0011445D" w:rsidP="0011445D">
            <w:pPr>
              <w:spacing w:before="0" w:after="0" w:line="240" w:lineRule="auto"/>
              <w:rPr>
                <w:rFonts w:ascii="Arial" w:hAnsi="Arial" w:cs="Arial"/>
                <w:color w:val="000000"/>
                <w:sz w:val="16"/>
                <w:szCs w:val="16"/>
              </w:rPr>
            </w:pPr>
          </w:p>
        </w:tc>
        <w:tc>
          <w:tcPr>
            <w:tcW w:w="726" w:type="pct"/>
            <w:tcBorders>
              <w:top w:val="nil"/>
              <w:left w:val="nil"/>
              <w:bottom w:val="nil"/>
              <w:right w:val="nil"/>
            </w:tcBorders>
            <w:shd w:val="clear" w:color="000000" w:fill="E6F2FF"/>
            <w:noWrap/>
            <w:vAlign w:val="center"/>
            <w:hideMark/>
          </w:tcPr>
          <w:p w14:paraId="0E53AEF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 </w:t>
            </w:r>
          </w:p>
        </w:tc>
        <w:tc>
          <w:tcPr>
            <w:tcW w:w="49" w:type="pct"/>
            <w:tcBorders>
              <w:top w:val="nil"/>
              <w:left w:val="nil"/>
              <w:bottom w:val="nil"/>
              <w:right w:val="nil"/>
            </w:tcBorders>
            <w:shd w:val="clear" w:color="auto" w:fill="auto"/>
            <w:noWrap/>
            <w:vAlign w:val="center"/>
            <w:hideMark/>
          </w:tcPr>
          <w:p w14:paraId="3B6D10D4"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622B6496" w14:textId="77777777" w:rsidR="0011445D" w:rsidRPr="0011445D" w:rsidRDefault="0011445D" w:rsidP="0011445D">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center"/>
            <w:hideMark/>
          </w:tcPr>
          <w:p w14:paraId="35BECAF3" w14:textId="77777777" w:rsidR="0011445D" w:rsidRPr="0011445D" w:rsidRDefault="0011445D" w:rsidP="0011445D">
            <w:pPr>
              <w:spacing w:before="0" w:after="0" w:line="240" w:lineRule="auto"/>
              <w:jc w:val="right"/>
              <w:rPr>
                <w:rFonts w:ascii="Times New Roman" w:hAnsi="Times New Roman"/>
                <w:sz w:val="20"/>
              </w:rPr>
            </w:pPr>
          </w:p>
        </w:tc>
      </w:tr>
      <w:tr w:rsidR="0011445D" w:rsidRPr="0011445D" w14:paraId="29945363"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E4B921A"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Petrol</w:t>
            </w:r>
          </w:p>
        </w:tc>
        <w:tc>
          <w:tcPr>
            <w:tcW w:w="726" w:type="pct"/>
            <w:tcBorders>
              <w:top w:val="nil"/>
              <w:left w:val="nil"/>
              <w:bottom w:val="nil"/>
              <w:right w:val="nil"/>
            </w:tcBorders>
            <w:shd w:val="clear" w:color="auto" w:fill="auto"/>
            <w:noWrap/>
            <w:vAlign w:val="center"/>
            <w:hideMark/>
          </w:tcPr>
          <w:p w14:paraId="0430AB0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7,550</w:t>
            </w:r>
          </w:p>
        </w:tc>
        <w:tc>
          <w:tcPr>
            <w:tcW w:w="726" w:type="pct"/>
            <w:tcBorders>
              <w:top w:val="nil"/>
              <w:left w:val="nil"/>
              <w:bottom w:val="nil"/>
              <w:right w:val="nil"/>
            </w:tcBorders>
            <w:shd w:val="clear" w:color="000000" w:fill="E6F2FF"/>
            <w:noWrap/>
            <w:vAlign w:val="center"/>
            <w:hideMark/>
          </w:tcPr>
          <w:p w14:paraId="5A1D7B7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7,450</w:t>
            </w:r>
          </w:p>
        </w:tc>
        <w:tc>
          <w:tcPr>
            <w:tcW w:w="49" w:type="pct"/>
            <w:tcBorders>
              <w:top w:val="nil"/>
              <w:left w:val="nil"/>
              <w:bottom w:val="nil"/>
              <w:right w:val="nil"/>
            </w:tcBorders>
            <w:shd w:val="clear" w:color="auto" w:fill="auto"/>
            <w:noWrap/>
            <w:vAlign w:val="center"/>
            <w:hideMark/>
          </w:tcPr>
          <w:p w14:paraId="3815605D"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271EA01C"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-100</w:t>
            </w:r>
          </w:p>
        </w:tc>
        <w:tc>
          <w:tcPr>
            <w:tcW w:w="659" w:type="pct"/>
            <w:tcBorders>
              <w:top w:val="nil"/>
              <w:left w:val="nil"/>
              <w:bottom w:val="nil"/>
              <w:right w:val="nil"/>
            </w:tcBorders>
            <w:shd w:val="clear" w:color="auto" w:fill="auto"/>
            <w:noWrap/>
            <w:vAlign w:val="center"/>
            <w:hideMark/>
          </w:tcPr>
          <w:p w14:paraId="5CF1213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-1.3</w:t>
            </w:r>
          </w:p>
        </w:tc>
      </w:tr>
      <w:tr w:rsidR="0011445D" w:rsidRPr="0011445D" w14:paraId="54A6974B" w14:textId="77777777" w:rsidTr="0011445D">
        <w:trPr>
          <w:trHeight w:hRule="exact" w:val="226"/>
        </w:trPr>
        <w:tc>
          <w:tcPr>
            <w:tcW w:w="2180" w:type="pct"/>
            <w:tcBorders>
              <w:top w:val="nil"/>
              <w:left w:val="nil"/>
              <w:bottom w:val="nil"/>
              <w:right w:val="nil"/>
            </w:tcBorders>
            <w:shd w:val="clear" w:color="auto" w:fill="auto"/>
            <w:noWrap/>
            <w:vAlign w:val="center"/>
            <w:hideMark/>
          </w:tcPr>
          <w:p w14:paraId="3A4FC1F9"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Diesel</w:t>
            </w:r>
          </w:p>
        </w:tc>
        <w:tc>
          <w:tcPr>
            <w:tcW w:w="726" w:type="pct"/>
            <w:tcBorders>
              <w:top w:val="nil"/>
              <w:left w:val="nil"/>
              <w:bottom w:val="nil"/>
              <w:right w:val="nil"/>
            </w:tcBorders>
            <w:shd w:val="clear" w:color="auto" w:fill="auto"/>
            <w:noWrap/>
            <w:vAlign w:val="center"/>
            <w:hideMark/>
          </w:tcPr>
          <w:p w14:paraId="20D15276"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17,750</w:t>
            </w:r>
          </w:p>
        </w:tc>
        <w:tc>
          <w:tcPr>
            <w:tcW w:w="726" w:type="pct"/>
            <w:tcBorders>
              <w:top w:val="nil"/>
              <w:left w:val="nil"/>
              <w:bottom w:val="nil"/>
              <w:right w:val="nil"/>
            </w:tcBorders>
            <w:shd w:val="clear" w:color="000000" w:fill="E6F2FF"/>
            <w:noWrap/>
            <w:vAlign w:val="center"/>
            <w:hideMark/>
          </w:tcPr>
          <w:p w14:paraId="19554D0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17,850</w:t>
            </w:r>
          </w:p>
        </w:tc>
        <w:tc>
          <w:tcPr>
            <w:tcW w:w="49" w:type="pct"/>
            <w:tcBorders>
              <w:top w:val="nil"/>
              <w:left w:val="nil"/>
              <w:bottom w:val="nil"/>
              <w:right w:val="nil"/>
            </w:tcBorders>
            <w:shd w:val="clear" w:color="auto" w:fill="auto"/>
            <w:noWrap/>
            <w:vAlign w:val="center"/>
            <w:hideMark/>
          </w:tcPr>
          <w:p w14:paraId="78784540"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3905AE4C"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100</w:t>
            </w:r>
          </w:p>
        </w:tc>
        <w:tc>
          <w:tcPr>
            <w:tcW w:w="659" w:type="pct"/>
            <w:tcBorders>
              <w:top w:val="nil"/>
              <w:left w:val="nil"/>
              <w:bottom w:val="nil"/>
              <w:right w:val="nil"/>
            </w:tcBorders>
            <w:shd w:val="clear" w:color="auto" w:fill="auto"/>
            <w:noWrap/>
            <w:vAlign w:val="center"/>
            <w:hideMark/>
          </w:tcPr>
          <w:p w14:paraId="29FC71C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0.6</w:t>
            </w:r>
          </w:p>
        </w:tc>
      </w:tr>
      <w:tr w:rsidR="0011445D" w:rsidRPr="0011445D" w14:paraId="4F37A858" w14:textId="77777777" w:rsidTr="0011445D">
        <w:trPr>
          <w:trHeight w:hRule="exact" w:val="226"/>
        </w:trPr>
        <w:tc>
          <w:tcPr>
            <w:tcW w:w="2180" w:type="pct"/>
            <w:tcBorders>
              <w:top w:val="nil"/>
              <w:left w:val="nil"/>
              <w:bottom w:val="nil"/>
              <w:right w:val="nil"/>
            </w:tcBorders>
            <w:shd w:val="clear" w:color="auto" w:fill="auto"/>
            <w:noWrap/>
            <w:vAlign w:val="center"/>
            <w:hideMark/>
          </w:tcPr>
          <w:p w14:paraId="1606FF93"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Other fuel products</w:t>
            </w:r>
          </w:p>
        </w:tc>
        <w:tc>
          <w:tcPr>
            <w:tcW w:w="726" w:type="pct"/>
            <w:tcBorders>
              <w:top w:val="nil"/>
              <w:left w:val="nil"/>
              <w:bottom w:val="nil"/>
              <w:right w:val="nil"/>
            </w:tcBorders>
            <w:shd w:val="clear" w:color="auto" w:fill="auto"/>
            <w:noWrap/>
            <w:vAlign w:val="center"/>
            <w:hideMark/>
          </w:tcPr>
          <w:p w14:paraId="25877063"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2,230</w:t>
            </w:r>
          </w:p>
        </w:tc>
        <w:tc>
          <w:tcPr>
            <w:tcW w:w="726" w:type="pct"/>
            <w:tcBorders>
              <w:top w:val="nil"/>
              <w:left w:val="nil"/>
              <w:bottom w:val="nil"/>
              <w:right w:val="nil"/>
            </w:tcBorders>
            <w:shd w:val="clear" w:color="000000" w:fill="E6F2FF"/>
            <w:noWrap/>
            <w:vAlign w:val="center"/>
            <w:hideMark/>
          </w:tcPr>
          <w:p w14:paraId="57EF527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2,020</w:t>
            </w:r>
          </w:p>
        </w:tc>
        <w:tc>
          <w:tcPr>
            <w:tcW w:w="49" w:type="pct"/>
            <w:tcBorders>
              <w:top w:val="nil"/>
              <w:left w:val="nil"/>
              <w:bottom w:val="nil"/>
              <w:right w:val="nil"/>
            </w:tcBorders>
            <w:shd w:val="clear" w:color="auto" w:fill="auto"/>
            <w:noWrap/>
            <w:vAlign w:val="center"/>
            <w:hideMark/>
          </w:tcPr>
          <w:p w14:paraId="133B8A88"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6E3E3B13"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-210</w:t>
            </w:r>
          </w:p>
        </w:tc>
        <w:tc>
          <w:tcPr>
            <w:tcW w:w="659" w:type="pct"/>
            <w:tcBorders>
              <w:top w:val="nil"/>
              <w:left w:val="nil"/>
              <w:bottom w:val="nil"/>
              <w:right w:val="nil"/>
            </w:tcBorders>
            <w:shd w:val="clear" w:color="auto" w:fill="auto"/>
            <w:noWrap/>
            <w:vAlign w:val="center"/>
            <w:hideMark/>
          </w:tcPr>
          <w:p w14:paraId="646D468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-9.4</w:t>
            </w:r>
          </w:p>
        </w:tc>
      </w:tr>
      <w:tr w:rsidR="0011445D" w:rsidRPr="0011445D" w14:paraId="387F657F" w14:textId="77777777" w:rsidTr="0011445D">
        <w:trPr>
          <w:trHeight w:hRule="exact" w:val="226"/>
        </w:trPr>
        <w:tc>
          <w:tcPr>
            <w:tcW w:w="2180" w:type="pct"/>
            <w:tcBorders>
              <w:top w:val="nil"/>
              <w:left w:val="nil"/>
              <w:bottom w:val="nil"/>
              <w:right w:val="nil"/>
            </w:tcBorders>
            <w:shd w:val="clear" w:color="auto" w:fill="auto"/>
            <w:noWrap/>
            <w:vAlign w:val="center"/>
            <w:hideMark/>
          </w:tcPr>
          <w:p w14:paraId="2542291D"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Tobacco</w:t>
            </w:r>
          </w:p>
        </w:tc>
        <w:tc>
          <w:tcPr>
            <w:tcW w:w="726" w:type="pct"/>
            <w:tcBorders>
              <w:top w:val="nil"/>
              <w:left w:val="nil"/>
              <w:bottom w:val="nil"/>
              <w:right w:val="nil"/>
            </w:tcBorders>
            <w:shd w:val="clear" w:color="auto" w:fill="auto"/>
            <w:noWrap/>
            <w:vAlign w:val="center"/>
            <w:hideMark/>
          </w:tcPr>
          <w:p w14:paraId="762FFBA6"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11,500</w:t>
            </w:r>
          </w:p>
        </w:tc>
        <w:tc>
          <w:tcPr>
            <w:tcW w:w="726" w:type="pct"/>
            <w:tcBorders>
              <w:top w:val="nil"/>
              <w:left w:val="nil"/>
              <w:bottom w:val="nil"/>
              <w:right w:val="nil"/>
            </w:tcBorders>
            <w:shd w:val="clear" w:color="000000" w:fill="E6F2FF"/>
            <w:noWrap/>
            <w:vAlign w:val="center"/>
            <w:hideMark/>
          </w:tcPr>
          <w:p w14:paraId="29D5FF66"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8,650</w:t>
            </w:r>
          </w:p>
        </w:tc>
        <w:tc>
          <w:tcPr>
            <w:tcW w:w="49" w:type="pct"/>
            <w:tcBorders>
              <w:top w:val="nil"/>
              <w:left w:val="nil"/>
              <w:bottom w:val="nil"/>
              <w:right w:val="nil"/>
            </w:tcBorders>
            <w:shd w:val="clear" w:color="auto" w:fill="auto"/>
            <w:noWrap/>
            <w:vAlign w:val="center"/>
            <w:hideMark/>
          </w:tcPr>
          <w:p w14:paraId="11B3BBB5"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3734C57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-2,850</w:t>
            </w:r>
          </w:p>
        </w:tc>
        <w:tc>
          <w:tcPr>
            <w:tcW w:w="659" w:type="pct"/>
            <w:tcBorders>
              <w:top w:val="nil"/>
              <w:left w:val="nil"/>
              <w:bottom w:val="nil"/>
              <w:right w:val="nil"/>
            </w:tcBorders>
            <w:shd w:val="clear" w:color="auto" w:fill="auto"/>
            <w:noWrap/>
            <w:vAlign w:val="center"/>
            <w:hideMark/>
          </w:tcPr>
          <w:p w14:paraId="7E87BD8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-24.8</w:t>
            </w:r>
          </w:p>
        </w:tc>
      </w:tr>
      <w:tr w:rsidR="0011445D" w:rsidRPr="0011445D" w14:paraId="2734DC22"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A65977A"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Beer</w:t>
            </w:r>
          </w:p>
        </w:tc>
        <w:tc>
          <w:tcPr>
            <w:tcW w:w="726" w:type="pct"/>
            <w:tcBorders>
              <w:top w:val="nil"/>
              <w:left w:val="nil"/>
              <w:bottom w:val="nil"/>
              <w:right w:val="nil"/>
            </w:tcBorders>
            <w:shd w:val="clear" w:color="auto" w:fill="auto"/>
            <w:noWrap/>
            <w:vAlign w:val="center"/>
            <w:hideMark/>
          </w:tcPr>
          <w:p w14:paraId="7670CAB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2,870</w:t>
            </w:r>
          </w:p>
        </w:tc>
        <w:tc>
          <w:tcPr>
            <w:tcW w:w="726" w:type="pct"/>
            <w:tcBorders>
              <w:top w:val="nil"/>
              <w:left w:val="nil"/>
              <w:bottom w:val="nil"/>
              <w:right w:val="nil"/>
            </w:tcBorders>
            <w:shd w:val="clear" w:color="000000" w:fill="E6F2FF"/>
            <w:noWrap/>
            <w:vAlign w:val="center"/>
            <w:hideMark/>
          </w:tcPr>
          <w:p w14:paraId="601E569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2,850</w:t>
            </w:r>
          </w:p>
        </w:tc>
        <w:tc>
          <w:tcPr>
            <w:tcW w:w="49" w:type="pct"/>
            <w:tcBorders>
              <w:top w:val="nil"/>
              <w:left w:val="nil"/>
              <w:bottom w:val="nil"/>
              <w:right w:val="nil"/>
            </w:tcBorders>
            <w:shd w:val="clear" w:color="auto" w:fill="auto"/>
            <w:noWrap/>
            <w:vAlign w:val="center"/>
            <w:hideMark/>
          </w:tcPr>
          <w:p w14:paraId="06ED36BA"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55593CC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-20</w:t>
            </w:r>
          </w:p>
        </w:tc>
        <w:tc>
          <w:tcPr>
            <w:tcW w:w="659" w:type="pct"/>
            <w:tcBorders>
              <w:top w:val="nil"/>
              <w:left w:val="nil"/>
              <w:bottom w:val="nil"/>
              <w:right w:val="nil"/>
            </w:tcBorders>
            <w:shd w:val="clear" w:color="auto" w:fill="auto"/>
            <w:noWrap/>
            <w:vAlign w:val="center"/>
            <w:hideMark/>
          </w:tcPr>
          <w:p w14:paraId="5B7EB6B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-0.7</w:t>
            </w:r>
          </w:p>
        </w:tc>
      </w:tr>
      <w:tr w:rsidR="0011445D" w:rsidRPr="0011445D" w14:paraId="5E1ADC8F" w14:textId="77777777" w:rsidTr="0011445D">
        <w:trPr>
          <w:trHeight w:hRule="exact" w:val="226"/>
        </w:trPr>
        <w:tc>
          <w:tcPr>
            <w:tcW w:w="2180" w:type="pct"/>
            <w:tcBorders>
              <w:top w:val="nil"/>
              <w:left w:val="nil"/>
              <w:bottom w:val="nil"/>
              <w:right w:val="nil"/>
            </w:tcBorders>
            <w:shd w:val="clear" w:color="auto" w:fill="auto"/>
            <w:noWrap/>
            <w:vAlign w:val="center"/>
            <w:hideMark/>
          </w:tcPr>
          <w:p w14:paraId="31EDC0AC"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Spirits</w:t>
            </w:r>
          </w:p>
        </w:tc>
        <w:tc>
          <w:tcPr>
            <w:tcW w:w="726" w:type="pct"/>
            <w:tcBorders>
              <w:top w:val="nil"/>
              <w:left w:val="nil"/>
              <w:bottom w:val="nil"/>
              <w:right w:val="nil"/>
            </w:tcBorders>
            <w:shd w:val="clear" w:color="auto" w:fill="auto"/>
            <w:noWrap/>
            <w:vAlign w:val="center"/>
            <w:hideMark/>
          </w:tcPr>
          <w:p w14:paraId="0905426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3,770</w:t>
            </w:r>
          </w:p>
        </w:tc>
        <w:tc>
          <w:tcPr>
            <w:tcW w:w="726" w:type="pct"/>
            <w:tcBorders>
              <w:top w:val="nil"/>
              <w:left w:val="nil"/>
              <w:bottom w:val="nil"/>
              <w:right w:val="nil"/>
            </w:tcBorders>
            <w:shd w:val="clear" w:color="000000" w:fill="E6F2FF"/>
            <w:noWrap/>
            <w:vAlign w:val="center"/>
            <w:hideMark/>
          </w:tcPr>
          <w:p w14:paraId="29D2356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3,450</w:t>
            </w:r>
          </w:p>
        </w:tc>
        <w:tc>
          <w:tcPr>
            <w:tcW w:w="49" w:type="pct"/>
            <w:tcBorders>
              <w:top w:val="nil"/>
              <w:left w:val="nil"/>
              <w:bottom w:val="nil"/>
              <w:right w:val="nil"/>
            </w:tcBorders>
            <w:shd w:val="clear" w:color="auto" w:fill="auto"/>
            <w:noWrap/>
            <w:vAlign w:val="center"/>
            <w:hideMark/>
          </w:tcPr>
          <w:p w14:paraId="00586AAC"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5B00F451"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-320</w:t>
            </w:r>
          </w:p>
        </w:tc>
        <w:tc>
          <w:tcPr>
            <w:tcW w:w="659" w:type="pct"/>
            <w:tcBorders>
              <w:top w:val="nil"/>
              <w:left w:val="nil"/>
              <w:bottom w:val="nil"/>
              <w:right w:val="nil"/>
            </w:tcBorders>
            <w:shd w:val="clear" w:color="auto" w:fill="auto"/>
            <w:noWrap/>
            <w:vAlign w:val="center"/>
            <w:hideMark/>
          </w:tcPr>
          <w:p w14:paraId="4EA9AB3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-8.5</w:t>
            </w:r>
          </w:p>
        </w:tc>
      </w:tr>
      <w:tr w:rsidR="0011445D" w:rsidRPr="0011445D" w14:paraId="4773A489" w14:textId="77777777" w:rsidTr="0011445D">
        <w:trPr>
          <w:trHeight w:hRule="exact" w:val="226"/>
        </w:trPr>
        <w:tc>
          <w:tcPr>
            <w:tcW w:w="2180" w:type="pct"/>
            <w:tcBorders>
              <w:top w:val="nil"/>
              <w:left w:val="nil"/>
              <w:bottom w:val="nil"/>
              <w:right w:val="nil"/>
            </w:tcBorders>
            <w:shd w:val="clear" w:color="auto" w:fill="auto"/>
            <w:noWrap/>
            <w:vAlign w:val="center"/>
            <w:hideMark/>
          </w:tcPr>
          <w:p w14:paraId="478C49E4" w14:textId="77777777" w:rsidR="0011445D" w:rsidRPr="0011445D" w:rsidRDefault="0011445D" w:rsidP="0011445D">
            <w:pPr>
              <w:spacing w:before="0" w:after="0" w:line="240" w:lineRule="auto"/>
              <w:ind w:left="170"/>
              <w:rPr>
                <w:rFonts w:ascii="Arial" w:hAnsi="Arial" w:cs="Arial"/>
                <w:sz w:val="16"/>
                <w:szCs w:val="16"/>
              </w:rPr>
            </w:pPr>
            <w:r w:rsidRPr="0011445D">
              <w:rPr>
                <w:rFonts w:ascii="Arial" w:hAnsi="Arial" w:cs="Arial"/>
                <w:sz w:val="16"/>
                <w:szCs w:val="16"/>
              </w:rPr>
              <w:t>Other alcoholic beverages(a)</w:t>
            </w:r>
          </w:p>
        </w:tc>
        <w:tc>
          <w:tcPr>
            <w:tcW w:w="726" w:type="pct"/>
            <w:tcBorders>
              <w:top w:val="nil"/>
              <w:left w:val="nil"/>
              <w:bottom w:val="nil"/>
              <w:right w:val="nil"/>
            </w:tcBorders>
            <w:shd w:val="clear" w:color="auto" w:fill="auto"/>
            <w:noWrap/>
            <w:vAlign w:val="center"/>
            <w:hideMark/>
          </w:tcPr>
          <w:p w14:paraId="6BFB97E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1,810</w:t>
            </w:r>
          </w:p>
        </w:tc>
        <w:tc>
          <w:tcPr>
            <w:tcW w:w="726" w:type="pct"/>
            <w:tcBorders>
              <w:top w:val="nil"/>
              <w:left w:val="nil"/>
              <w:bottom w:val="nil"/>
              <w:right w:val="nil"/>
            </w:tcBorders>
            <w:shd w:val="clear" w:color="000000" w:fill="E6F2FF"/>
            <w:noWrap/>
            <w:vAlign w:val="center"/>
            <w:hideMark/>
          </w:tcPr>
          <w:p w14:paraId="2DFF5E3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1,850</w:t>
            </w:r>
          </w:p>
        </w:tc>
        <w:tc>
          <w:tcPr>
            <w:tcW w:w="49" w:type="pct"/>
            <w:tcBorders>
              <w:top w:val="nil"/>
              <w:left w:val="nil"/>
              <w:bottom w:val="nil"/>
              <w:right w:val="nil"/>
            </w:tcBorders>
            <w:shd w:val="clear" w:color="auto" w:fill="auto"/>
            <w:noWrap/>
            <w:vAlign w:val="center"/>
            <w:hideMark/>
          </w:tcPr>
          <w:p w14:paraId="38CE7A5D"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64390A7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40</w:t>
            </w:r>
          </w:p>
        </w:tc>
        <w:tc>
          <w:tcPr>
            <w:tcW w:w="659" w:type="pct"/>
            <w:tcBorders>
              <w:top w:val="nil"/>
              <w:left w:val="nil"/>
              <w:bottom w:val="nil"/>
              <w:right w:val="nil"/>
            </w:tcBorders>
            <w:shd w:val="clear" w:color="auto" w:fill="auto"/>
            <w:noWrap/>
            <w:vAlign w:val="center"/>
            <w:hideMark/>
          </w:tcPr>
          <w:p w14:paraId="7B53586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2.2</w:t>
            </w:r>
          </w:p>
        </w:tc>
      </w:tr>
      <w:tr w:rsidR="0011445D" w:rsidRPr="0011445D" w14:paraId="7AA9E914" w14:textId="77777777" w:rsidTr="0011445D">
        <w:trPr>
          <w:trHeight w:hRule="exact" w:val="226"/>
        </w:trPr>
        <w:tc>
          <w:tcPr>
            <w:tcW w:w="2180" w:type="pct"/>
            <w:tcBorders>
              <w:top w:val="nil"/>
              <w:left w:val="nil"/>
              <w:bottom w:val="nil"/>
              <w:right w:val="nil"/>
            </w:tcBorders>
            <w:shd w:val="clear" w:color="auto" w:fill="auto"/>
            <w:noWrap/>
            <w:vAlign w:val="center"/>
            <w:hideMark/>
          </w:tcPr>
          <w:p w14:paraId="3A7C074B" w14:textId="77777777" w:rsidR="0011445D" w:rsidRPr="0011445D" w:rsidRDefault="0011445D" w:rsidP="0011445D">
            <w:pPr>
              <w:spacing w:before="0" w:after="0" w:line="240" w:lineRule="auto"/>
              <w:ind w:left="170"/>
              <w:rPr>
                <w:rFonts w:ascii="Arial" w:hAnsi="Arial" w:cs="Arial"/>
                <w:sz w:val="16"/>
                <w:szCs w:val="16"/>
              </w:rPr>
            </w:pPr>
            <w:r w:rsidRPr="0011445D">
              <w:rPr>
                <w:rFonts w:ascii="Arial" w:hAnsi="Arial" w:cs="Arial"/>
                <w:sz w:val="16"/>
                <w:szCs w:val="16"/>
              </w:rPr>
              <w:t>Other customs duty</w:t>
            </w:r>
          </w:p>
        </w:tc>
        <w:tc>
          <w:tcPr>
            <w:tcW w:w="726" w:type="pct"/>
            <w:tcBorders>
              <w:top w:val="nil"/>
              <w:left w:val="nil"/>
              <w:bottom w:val="nil"/>
              <w:right w:val="nil"/>
            </w:tcBorders>
            <w:shd w:val="clear" w:color="auto" w:fill="auto"/>
            <w:noWrap/>
            <w:vAlign w:val="center"/>
            <w:hideMark/>
          </w:tcPr>
          <w:p w14:paraId="433094D3" w14:textId="77777777" w:rsidR="0011445D" w:rsidRPr="0011445D" w:rsidRDefault="0011445D" w:rsidP="0011445D">
            <w:pPr>
              <w:spacing w:before="0" w:after="0" w:line="240" w:lineRule="auto"/>
              <w:ind w:firstLineChars="100" w:firstLine="160"/>
              <w:rPr>
                <w:rFonts w:ascii="Arial" w:hAnsi="Arial" w:cs="Arial"/>
                <w:sz w:val="16"/>
                <w:szCs w:val="16"/>
              </w:rPr>
            </w:pPr>
          </w:p>
        </w:tc>
        <w:tc>
          <w:tcPr>
            <w:tcW w:w="726" w:type="pct"/>
            <w:tcBorders>
              <w:top w:val="nil"/>
              <w:left w:val="nil"/>
              <w:bottom w:val="nil"/>
              <w:right w:val="nil"/>
            </w:tcBorders>
            <w:shd w:val="clear" w:color="000000" w:fill="E6F2FF"/>
            <w:noWrap/>
            <w:vAlign w:val="center"/>
            <w:hideMark/>
          </w:tcPr>
          <w:p w14:paraId="39CA2E8E"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 </w:t>
            </w:r>
          </w:p>
        </w:tc>
        <w:tc>
          <w:tcPr>
            <w:tcW w:w="49" w:type="pct"/>
            <w:tcBorders>
              <w:top w:val="nil"/>
              <w:left w:val="nil"/>
              <w:bottom w:val="nil"/>
              <w:right w:val="nil"/>
            </w:tcBorders>
            <w:shd w:val="clear" w:color="auto" w:fill="auto"/>
            <w:noWrap/>
            <w:vAlign w:val="center"/>
            <w:hideMark/>
          </w:tcPr>
          <w:p w14:paraId="1C68D781" w14:textId="77777777" w:rsidR="0011445D" w:rsidRPr="0011445D" w:rsidRDefault="0011445D" w:rsidP="0011445D">
            <w:pPr>
              <w:spacing w:before="0" w:after="0" w:line="240" w:lineRule="auto"/>
              <w:rPr>
                <w:rFonts w:ascii="Arial" w:hAnsi="Arial" w:cs="Arial"/>
                <w:sz w:val="16"/>
                <w:szCs w:val="16"/>
              </w:rPr>
            </w:pPr>
          </w:p>
        </w:tc>
        <w:tc>
          <w:tcPr>
            <w:tcW w:w="659" w:type="pct"/>
            <w:tcBorders>
              <w:top w:val="nil"/>
              <w:left w:val="nil"/>
              <w:bottom w:val="nil"/>
              <w:right w:val="nil"/>
            </w:tcBorders>
            <w:shd w:val="clear" w:color="auto" w:fill="auto"/>
            <w:noWrap/>
            <w:vAlign w:val="center"/>
            <w:hideMark/>
          </w:tcPr>
          <w:p w14:paraId="7D202223" w14:textId="77777777" w:rsidR="0011445D" w:rsidRPr="0011445D" w:rsidRDefault="0011445D" w:rsidP="0011445D">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center"/>
            <w:hideMark/>
          </w:tcPr>
          <w:p w14:paraId="54CA9458" w14:textId="77777777" w:rsidR="0011445D" w:rsidRPr="0011445D" w:rsidRDefault="0011445D" w:rsidP="0011445D">
            <w:pPr>
              <w:spacing w:before="0" w:after="0" w:line="240" w:lineRule="auto"/>
              <w:jc w:val="right"/>
              <w:rPr>
                <w:rFonts w:ascii="Times New Roman" w:hAnsi="Times New Roman"/>
                <w:sz w:val="20"/>
              </w:rPr>
            </w:pPr>
          </w:p>
        </w:tc>
      </w:tr>
      <w:tr w:rsidR="0011445D" w:rsidRPr="0011445D" w14:paraId="29F75636" w14:textId="77777777" w:rsidTr="0011445D">
        <w:trPr>
          <w:trHeight w:hRule="exact" w:val="226"/>
        </w:trPr>
        <w:tc>
          <w:tcPr>
            <w:tcW w:w="2180" w:type="pct"/>
            <w:tcBorders>
              <w:top w:val="nil"/>
              <w:left w:val="nil"/>
              <w:bottom w:val="nil"/>
              <w:right w:val="nil"/>
            </w:tcBorders>
            <w:shd w:val="clear" w:color="auto" w:fill="auto"/>
            <w:noWrap/>
            <w:vAlign w:val="bottom"/>
            <w:hideMark/>
          </w:tcPr>
          <w:p w14:paraId="635FA0CB"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 xml:space="preserve">    Textiles, </w:t>
            </w:r>
            <w:proofErr w:type="gramStart"/>
            <w:r w:rsidRPr="0011445D">
              <w:rPr>
                <w:rFonts w:ascii="Arial" w:hAnsi="Arial" w:cs="Arial"/>
                <w:color w:val="000000"/>
                <w:sz w:val="16"/>
                <w:szCs w:val="16"/>
              </w:rPr>
              <w:t>clothing</w:t>
            </w:r>
            <w:proofErr w:type="gramEnd"/>
            <w:r w:rsidRPr="0011445D">
              <w:rPr>
                <w:rFonts w:ascii="Arial" w:hAnsi="Arial" w:cs="Arial"/>
                <w:color w:val="000000"/>
                <w:sz w:val="16"/>
                <w:szCs w:val="16"/>
              </w:rPr>
              <w:t xml:space="preserve"> and footwear</w:t>
            </w:r>
          </w:p>
        </w:tc>
        <w:tc>
          <w:tcPr>
            <w:tcW w:w="726" w:type="pct"/>
            <w:tcBorders>
              <w:top w:val="nil"/>
              <w:left w:val="nil"/>
              <w:bottom w:val="nil"/>
              <w:right w:val="nil"/>
            </w:tcBorders>
            <w:shd w:val="clear" w:color="auto" w:fill="auto"/>
            <w:noWrap/>
            <w:vAlign w:val="center"/>
            <w:hideMark/>
          </w:tcPr>
          <w:p w14:paraId="66A887C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170</w:t>
            </w:r>
          </w:p>
        </w:tc>
        <w:tc>
          <w:tcPr>
            <w:tcW w:w="726" w:type="pct"/>
            <w:tcBorders>
              <w:top w:val="nil"/>
              <w:left w:val="nil"/>
              <w:bottom w:val="nil"/>
              <w:right w:val="nil"/>
            </w:tcBorders>
            <w:shd w:val="clear" w:color="000000" w:fill="E6F2FF"/>
            <w:noWrap/>
            <w:vAlign w:val="center"/>
            <w:hideMark/>
          </w:tcPr>
          <w:p w14:paraId="6A6CC23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170</w:t>
            </w:r>
          </w:p>
        </w:tc>
        <w:tc>
          <w:tcPr>
            <w:tcW w:w="49" w:type="pct"/>
            <w:tcBorders>
              <w:top w:val="nil"/>
              <w:left w:val="nil"/>
              <w:bottom w:val="nil"/>
              <w:right w:val="nil"/>
            </w:tcBorders>
            <w:shd w:val="clear" w:color="auto" w:fill="auto"/>
            <w:noWrap/>
            <w:vAlign w:val="center"/>
            <w:hideMark/>
          </w:tcPr>
          <w:p w14:paraId="6962ABCA"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096543F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w:t>
            </w:r>
          </w:p>
        </w:tc>
        <w:tc>
          <w:tcPr>
            <w:tcW w:w="659" w:type="pct"/>
            <w:tcBorders>
              <w:top w:val="nil"/>
              <w:left w:val="nil"/>
              <w:bottom w:val="nil"/>
              <w:right w:val="nil"/>
            </w:tcBorders>
            <w:shd w:val="clear" w:color="auto" w:fill="auto"/>
            <w:noWrap/>
            <w:vAlign w:val="center"/>
            <w:hideMark/>
          </w:tcPr>
          <w:p w14:paraId="0CEE386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0.0</w:t>
            </w:r>
          </w:p>
        </w:tc>
      </w:tr>
      <w:tr w:rsidR="0011445D" w:rsidRPr="0011445D" w14:paraId="0F5BE2E6" w14:textId="77777777" w:rsidTr="0011445D">
        <w:trPr>
          <w:trHeight w:hRule="exact" w:val="226"/>
        </w:trPr>
        <w:tc>
          <w:tcPr>
            <w:tcW w:w="2180" w:type="pct"/>
            <w:tcBorders>
              <w:top w:val="nil"/>
              <w:left w:val="nil"/>
              <w:bottom w:val="nil"/>
              <w:right w:val="nil"/>
            </w:tcBorders>
            <w:shd w:val="clear" w:color="auto" w:fill="auto"/>
            <w:noWrap/>
            <w:vAlign w:val="bottom"/>
            <w:hideMark/>
          </w:tcPr>
          <w:p w14:paraId="10B31A54"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 xml:space="preserve">    Passenger motor vehicles</w:t>
            </w:r>
          </w:p>
        </w:tc>
        <w:tc>
          <w:tcPr>
            <w:tcW w:w="726" w:type="pct"/>
            <w:tcBorders>
              <w:top w:val="nil"/>
              <w:left w:val="nil"/>
              <w:bottom w:val="nil"/>
              <w:right w:val="nil"/>
            </w:tcBorders>
            <w:shd w:val="clear" w:color="auto" w:fill="auto"/>
            <w:noWrap/>
            <w:vAlign w:val="center"/>
            <w:hideMark/>
          </w:tcPr>
          <w:p w14:paraId="4205D1A5"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370</w:t>
            </w:r>
          </w:p>
        </w:tc>
        <w:tc>
          <w:tcPr>
            <w:tcW w:w="726" w:type="pct"/>
            <w:tcBorders>
              <w:top w:val="nil"/>
              <w:left w:val="nil"/>
              <w:bottom w:val="nil"/>
              <w:right w:val="nil"/>
            </w:tcBorders>
            <w:shd w:val="clear" w:color="000000" w:fill="E6F2FF"/>
            <w:noWrap/>
            <w:vAlign w:val="center"/>
            <w:hideMark/>
          </w:tcPr>
          <w:p w14:paraId="74488B91"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370</w:t>
            </w:r>
          </w:p>
        </w:tc>
        <w:tc>
          <w:tcPr>
            <w:tcW w:w="49" w:type="pct"/>
            <w:tcBorders>
              <w:top w:val="nil"/>
              <w:left w:val="nil"/>
              <w:bottom w:val="nil"/>
              <w:right w:val="nil"/>
            </w:tcBorders>
            <w:shd w:val="clear" w:color="auto" w:fill="auto"/>
            <w:noWrap/>
            <w:vAlign w:val="center"/>
            <w:hideMark/>
          </w:tcPr>
          <w:p w14:paraId="1E1F37B5"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2EA8E25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w:t>
            </w:r>
          </w:p>
        </w:tc>
        <w:tc>
          <w:tcPr>
            <w:tcW w:w="659" w:type="pct"/>
            <w:tcBorders>
              <w:top w:val="nil"/>
              <w:left w:val="nil"/>
              <w:bottom w:val="nil"/>
              <w:right w:val="nil"/>
            </w:tcBorders>
            <w:shd w:val="clear" w:color="auto" w:fill="auto"/>
            <w:noWrap/>
            <w:vAlign w:val="center"/>
            <w:hideMark/>
          </w:tcPr>
          <w:p w14:paraId="1FFEDC73"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0.0</w:t>
            </w:r>
          </w:p>
        </w:tc>
      </w:tr>
      <w:tr w:rsidR="0011445D" w:rsidRPr="0011445D" w14:paraId="09F6F3CC" w14:textId="77777777" w:rsidTr="0011445D">
        <w:trPr>
          <w:trHeight w:hRule="exact" w:val="226"/>
        </w:trPr>
        <w:tc>
          <w:tcPr>
            <w:tcW w:w="2180" w:type="pct"/>
            <w:tcBorders>
              <w:top w:val="nil"/>
              <w:left w:val="nil"/>
              <w:bottom w:val="nil"/>
              <w:right w:val="nil"/>
            </w:tcBorders>
            <w:shd w:val="clear" w:color="auto" w:fill="auto"/>
            <w:noWrap/>
            <w:vAlign w:val="center"/>
            <w:hideMark/>
          </w:tcPr>
          <w:p w14:paraId="531C5118" w14:textId="77777777" w:rsidR="0011445D" w:rsidRPr="0011445D" w:rsidRDefault="0011445D" w:rsidP="0011445D">
            <w:pPr>
              <w:spacing w:before="0" w:after="0" w:line="240" w:lineRule="auto"/>
              <w:ind w:left="170"/>
              <w:rPr>
                <w:rFonts w:ascii="Arial" w:hAnsi="Arial" w:cs="Arial"/>
                <w:color w:val="000000"/>
                <w:sz w:val="16"/>
                <w:szCs w:val="16"/>
              </w:rPr>
            </w:pPr>
            <w:r w:rsidRPr="0011445D">
              <w:rPr>
                <w:rFonts w:ascii="Arial" w:hAnsi="Arial" w:cs="Arial"/>
                <w:color w:val="000000"/>
                <w:sz w:val="16"/>
                <w:szCs w:val="16"/>
              </w:rPr>
              <w:t xml:space="preserve">    Other imports</w:t>
            </w:r>
          </w:p>
        </w:tc>
        <w:tc>
          <w:tcPr>
            <w:tcW w:w="726" w:type="pct"/>
            <w:tcBorders>
              <w:top w:val="nil"/>
              <w:left w:val="nil"/>
              <w:bottom w:val="nil"/>
              <w:right w:val="nil"/>
            </w:tcBorders>
            <w:shd w:val="clear" w:color="auto" w:fill="auto"/>
            <w:noWrap/>
            <w:vAlign w:val="center"/>
            <w:hideMark/>
          </w:tcPr>
          <w:p w14:paraId="005FE0C3"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1,590</w:t>
            </w:r>
          </w:p>
        </w:tc>
        <w:tc>
          <w:tcPr>
            <w:tcW w:w="726" w:type="pct"/>
            <w:tcBorders>
              <w:top w:val="nil"/>
              <w:left w:val="nil"/>
              <w:bottom w:val="nil"/>
              <w:right w:val="nil"/>
            </w:tcBorders>
            <w:shd w:val="clear" w:color="000000" w:fill="E6F2FF"/>
            <w:noWrap/>
            <w:vAlign w:val="center"/>
            <w:hideMark/>
          </w:tcPr>
          <w:p w14:paraId="793E408C"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1,600</w:t>
            </w:r>
          </w:p>
        </w:tc>
        <w:tc>
          <w:tcPr>
            <w:tcW w:w="49" w:type="pct"/>
            <w:tcBorders>
              <w:top w:val="nil"/>
              <w:left w:val="nil"/>
              <w:bottom w:val="nil"/>
              <w:right w:val="nil"/>
            </w:tcBorders>
            <w:shd w:val="clear" w:color="auto" w:fill="auto"/>
            <w:noWrap/>
            <w:vAlign w:val="center"/>
            <w:hideMark/>
          </w:tcPr>
          <w:p w14:paraId="643F4567"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6A56631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10</w:t>
            </w:r>
          </w:p>
        </w:tc>
        <w:tc>
          <w:tcPr>
            <w:tcW w:w="659" w:type="pct"/>
            <w:tcBorders>
              <w:top w:val="nil"/>
              <w:left w:val="nil"/>
              <w:bottom w:val="nil"/>
              <w:right w:val="nil"/>
            </w:tcBorders>
            <w:shd w:val="clear" w:color="auto" w:fill="auto"/>
            <w:noWrap/>
            <w:vAlign w:val="center"/>
            <w:hideMark/>
          </w:tcPr>
          <w:p w14:paraId="0F24986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0.6</w:t>
            </w:r>
          </w:p>
        </w:tc>
      </w:tr>
      <w:tr w:rsidR="0011445D" w:rsidRPr="0011445D" w14:paraId="2B8B96BE" w14:textId="77777777" w:rsidTr="0011445D">
        <w:trPr>
          <w:trHeight w:hRule="exact" w:val="226"/>
        </w:trPr>
        <w:tc>
          <w:tcPr>
            <w:tcW w:w="2180" w:type="pct"/>
            <w:tcBorders>
              <w:top w:val="nil"/>
              <w:left w:val="nil"/>
              <w:bottom w:val="nil"/>
              <w:right w:val="nil"/>
            </w:tcBorders>
            <w:shd w:val="clear" w:color="auto" w:fill="auto"/>
            <w:noWrap/>
            <w:vAlign w:val="bottom"/>
            <w:hideMark/>
          </w:tcPr>
          <w:p w14:paraId="61F386D0" w14:textId="77777777" w:rsidR="0011445D" w:rsidRPr="0011445D" w:rsidRDefault="0011445D" w:rsidP="0011445D">
            <w:pPr>
              <w:spacing w:before="0" w:after="0" w:line="240" w:lineRule="auto"/>
              <w:ind w:left="170"/>
              <w:rPr>
                <w:rFonts w:ascii="Arial" w:hAnsi="Arial" w:cs="Arial"/>
                <w:i/>
                <w:iCs/>
                <w:color w:val="000000"/>
                <w:sz w:val="16"/>
                <w:szCs w:val="16"/>
              </w:rPr>
            </w:pPr>
            <w:r w:rsidRPr="0011445D">
              <w:rPr>
                <w:rFonts w:ascii="Arial" w:hAnsi="Arial" w:cs="Arial"/>
                <w:i/>
                <w:iCs/>
                <w:color w:val="000000"/>
                <w:sz w:val="16"/>
                <w:szCs w:val="16"/>
              </w:rPr>
              <w:t xml:space="preserve">less: </w:t>
            </w:r>
            <w:r w:rsidRPr="0011445D">
              <w:rPr>
                <w:rFonts w:ascii="Arial" w:hAnsi="Arial" w:cs="Arial"/>
                <w:color w:val="000000"/>
                <w:sz w:val="16"/>
                <w:szCs w:val="16"/>
              </w:rPr>
              <w:t>Refunds and drawbacks</w:t>
            </w:r>
          </w:p>
        </w:tc>
        <w:tc>
          <w:tcPr>
            <w:tcW w:w="726" w:type="pct"/>
            <w:tcBorders>
              <w:top w:val="nil"/>
              <w:left w:val="nil"/>
              <w:bottom w:val="nil"/>
              <w:right w:val="nil"/>
            </w:tcBorders>
            <w:shd w:val="clear" w:color="auto" w:fill="auto"/>
            <w:noWrap/>
            <w:vAlign w:val="center"/>
            <w:hideMark/>
          </w:tcPr>
          <w:p w14:paraId="5687D21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730</w:t>
            </w:r>
          </w:p>
        </w:tc>
        <w:tc>
          <w:tcPr>
            <w:tcW w:w="726" w:type="pct"/>
            <w:tcBorders>
              <w:top w:val="nil"/>
              <w:left w:val="nil"/>
              <w:bottom w:val="nil"/>
              <w:right w:val="nil"/>
            </w:tcBorders>
            <w:shd w:val="clear" w:color="000000" w:fill="E6F2FF"/>
            <w:noWrap/>
            <w:vAlign w:val="center"/>
            <w:hideMark/>
          </w:tcPr>
          <w:p w14:paraId="3394D311"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730</w:t>
            </w:r>
          </w:p>
        </w:tc>
        <w:tc>
          <w:tcPr>
            <w:tcW w:w="49" w:type="pct"/>
            <w:tcBorders>
              <w:top w:val="nil"/>
              <w:left w:val="nil"/>
              <w:bottom w:val="nil"/>
              <w:right w:val="nil"/>
            </w:tcBorders>
            <w:shd w:val="clear" w:color="auto" w:fill="auto"/>
            <w:noWrap/>
            <w:vAlign w:val="center"/>
            <w:hideMark/>
          </w:tcPr>
          <w:p w14:paraId="6F720AEA"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0519A7C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w:t>
            </w:r>
          </w:p>
        </w:tc>
        <w:tc>
          <w:tcPr>
            <w:tcW w:w="659" w:type="pct"/>
            <w:tcBorders>
              <w:top w:val="nil"/>
              <w:left w:val="nil"/>
              <w:bottom w:val="nil"/>
              <w:right w:val="nil"/>
            </w:tcBorders>
            <w:shd w:val="clear" w:color="auto" w:fill="auto"/>
            <w:noWrap/>
            <w:vAlign w:val="center"/>
            <w:hideMark/>
          </w:tcPr>
          <w:p w14:paraId="4445243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0.0</w:t>
            </w:r>
          </w:p>
        </w:tc>
      </w:tr>
      <w:tr w:rsidR="0011445D" w:rsidRPr="0011445D" w14:paraId="52417CE6" w14:textId="77777777" w:rsidTr="0011445D">
        <w:trPr>
          <w:trHeight w:hRule="exact" w:val="226"/>
        </w:trPr>
        <w:tc>
          <w:tcPr>
            <w:tcW w:w="2180" w:type="pct"/>
            <w:tcBorders>
              <w:top w:val="nil"/>
              <w:left w:val="nil"/>
              <w:bottom w:val="nil"/>
              <w:right w:val="nil"/>
            </w:tcBorders>
            <w:shd w:val="clear" w:color="auto" w:fill="auto"/>
            <w:noWrap/>
            <w:vAlign w:val="bottom"/>
            <w:hideMark/>
          </w:tcPr>
          <w:p w14:paraId="2522D06A"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 xml:space="preserve">Total excise and customs duty </w:t>
            </w:r>
          </w:p>
        </w:tc>
        <w:tc>
          <w:tcPr>
            <w:tcW w:w="726" w:type="pct"/>
            <w:tcBorders>
              <w:top w:val="single" w:sz="4" w:space="0" w:color="293F5B"/>
              <w:left w:val="nil"/>
              <w:bottom w:val="nil"/>
              <w:right w:val="nil"/>
            </w:tcBorders>
            <w:shd w:val="clear" w:color="auto" w:fill="auto"/>
            <w:noWrap/>
            <w:vAlign w:val="center"/>
            <w:hideMark/>
          </w:tcPr>
          <w:p w14:paraId="43A240BC"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48,880</w:t>
            </w:r>
          </w:p>
        </w:tc>
        <w:tc>
          <w:tcPr>
            <w:tcW w:w="726" w:type="pct"/>
            <w:tcBorders>
              <w:top w:val="single" w:sz="4" w:space="0" w:color="293F5B"/>
              <w:left w:val="nil"/>
              <w:bottom w:val="nil"/>
              <w:right w:val="nil"/>
            </w:tcBorders>
            <w:shd w:val="clear" w:color="000000" w:fill="E6F2FF"/>
            <w:noWrap/>
            <w:vAlign w:val="center"/>
            <w:hideMark/>
          </w:tcPr>
          <w:p w14:paraId="429A380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45,530</w:t>
            </w:r>
          </w:p>
        </w:tc>
        <w:tc>
          <w:tcPr>
            <w:tcW w:w="49" w:type="pct"/>
            <w:tcBorders>
              <w:top w:val="nil"/>
              <w:left w:val="nil"/>
              <w:bottom w:val="nil"/>
              <w:right w:val="nil"/>
            </w:tcBorders>
            <w:shd w:val="clear" w:color="auto" w:fill="auto"/>
            <w:noWrap/>
            <w:vAlign w:val="center"/>
            <w:hideMark/>
          </w:tcPr>
          <w:p w14:paraId="316516B3"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single" w:sz="4" w:space="0" w:color="293F5B"/>
              <w:left w:val="nil"/>
              <w:bottom w:val="nil"/>
              <w:right w:val="nil"/>
            </w:tcBorders>
            <w:shd w:val="clear" w:color="auto" w:fill="auto"/>
            <w:noWrap/>
            <w:vAlign w:val="center"/>
            <w:hideMark/>
          </w:tcPr>
          <w:p w14:paraId="0E24B1E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-3,350</w:t>
            </w:r>
          </w:p>
        </w:tc>
        <w:tc>
          <w:tcPr>
            <w:tcW w:w="659" w:type="pct"/>
            <w:tcBorders>
              <w:top w:val="single" w:sz="4" w:space="0" w:color="293F5B"/>
              <w:left w:val="nil"/>
              <w:bottom w:val="nil"/>
              <w:right w:val="nil"/>
            </w:tcBorders>
            <w:shd w:val="clear" w:color="auto" w:fill="auto"/>
            <w:noWrap/>
            <w:vAlign w:val="center"/>
            <w:hideMark/>
          </w:tcPr>
          <w:p w14:paraId="30CA0C2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-6.9</w:t>
            </w:r>
          </w:p>
        </w:tc>
      </w:tr>
      <w:tr w:rsidR="0011445D" w:rsidRPr="0011445D" w14:paraId="607F11A7" w14:textId="77777777" w:rsidTr="0011445D">
        <w:trPr>
          <w:trHeight w:hRule="exact" w:val="226"/>
        </w:trPr>
        <w:tc>
          <w:tcPr>
            <w:tcW w:w="2180" w:type="pct"/>
            <w:tcBorders>
              <w:top w:val="nil"/>
              <w:left w:val="nil"/>
              <w:bottom w:val="nil"/>
              <w:right w:val="nil"/>
            </w:tcBorders>
            <w:shd w:val="clear" w:color="auto" w:fill="auto"/>
            <w:noWrap/>
            <w:vAlign w:val="center"/>
            <w:hideMark/>
          </w:tcPr>
          <w:p w14:paraId="356174FF"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Major Bank Levy</w:t>
            </w:r>
          </w:p>
        </w:tc>
        <w:tc>
          <w:tcPr>
            <w:tcW w:w="726" w:type="pct"/>
            <w:tcBorders>
              <w:top w:val="nil"/>
              <w:left w:val="nil"/>
              <w:bottom w:val="nil"/>
              <w:right w:val="nil"/>
            </w:tcBorders>
            <w:shd w:val="clear" w:color="auto" w:fill="auto"/>
            <w:noWrap/>
            <w:vAlign w:val="center"/>
            <w:hideMark/>
          </w:tcPr>
          <w:p w14:paraId="76D2349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1,780</w:t>
            </w:r>
          </w:p>
        </w:tc>
        <w:tc>
          <w:tcPr>
            <w:tcW w:w="726" w:type="pct"/>
            <w:tcBorders>
              <w:top w:val="nil"/>
              <w:left w:val="nil"/>
              <w:bottom w:val="nil"/>
              <w:right w:val="nil"/>
            </w:tcBorders>
            <w:shd w:val="clear" w:color="000000" w:fill="E6F2FF"/>
            <w:noWrap/>
            <w:vAlign w:val="center"/>
            <w:hideMark/>
          </w:tcPr>
          <w:p w14:paraId="7939BDB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1,790</w:t>
            </w:r>
          </w:p>
        </w:tc>
        <w:tc>
          <w:tcPr>
            <w:tcW w:w="49" w:type="pct"/>
            <w:tcBorders>
              <w:top w:val="nil"/>
              <w:left w:val="nil"/>
              <w:bottom w:val="nil"/>
              <w:right w:val="nil"/>
            </w:tcBorders>
            <w:shd w:val="clear" w:color="auto" w:fill="auto"/>
            <w:noWrap/>
            <w:vAlign w:val="center"/>
            <w:hideMark/>
          </w:tcPr>
          <w:p w14:paraId="3730A672"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606E3276"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10</w:t>
            </w:r>
          </w:p>
        </w:tc>
        <w:tc>
          <w:tcPr>
            <w:tcW w:w="659" w:type="pct"/>
            <w:tcBorders>
              <w:top w:val="nil"/>
              <w:left w:val="nil"/>
              <w:bottom w:val="nil"/>
              <w:right w:val="nil"/>
            </w:tcBorders>
            <w:shd w:val="clear" w:color="auto" w:fill="auto"/>
            <w:noWrap/>
            <w:vAlign w:val="center"/>
            <w:hideMark/>
          </w:tcPr>
          <w:p w14:paraId="7E92CAE8"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0.6</w:t>
            </w:r>
          </w:p>
        </w:tc>
      </w:tr>
      <w:tr w:rsidR="0011445D" w:rsidRPr="0011445D" w14:paraId="6FDA64E3"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5D518C0"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Agricultural levies</w:t>
            </w:r>
          </w:p>
        </w:tc>
        <w:tc>
          <w:tcPr>
            <w:tcW w:w="726" w:type="pct"/>
            <w:tcBorders>
              <w:top w:val="nil"/>
              <w:left w:val="nil"/>
              <w:bottom w:val="nil"/>
              <w:right w:val="nil"/>
            </w:tcBorders>
            <w:shd w:val="clear" w:color="auto" w:fill="auto"/>
            <w:noWrap/>
            <w:vAlign w:val="center"/>
            <w:hideMark/>
          </w:tcPr>
          <w:p w14:paraId="5B23328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645</w:t>
            </w:r>
          </w:p>
        </w:tc>
        <w:tc>
          <w:tcPr>
            <w:tcW w:w="726" w:type="pct"/>
            <w:tcBorders>
              <w:top w:val="nil"/>
              <w:left w:val="nil"/>
              <w:bottom w:val="nil"/>
              <w:right w:val="nil"/>
            </w:tcBorders>
            <w:shd w:val="clear" w:color="000000" w:fill="E6F2FF"/>
            <w:noWrap/>
            <w:vAlign w:val="center"/>
            <w:hideMark/>
          </w:tcPr>
          <w:p w14:paraId="70552D8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625</w:t>
            </w:r>
          </w:p>
        </w:tc>
        <w:tc>
          <w:tcPr>
            <w:tcW w:w="49" w:type="pct"/>
            <w:tcBorders>
              <w:top w:val="nil"/>
              <w:left w:val="nil"/>
              <w:bottom w:val="nil"/>
              <w:right w:val="nil"/>
            </w:tcBorders>
            <w:shd w:val="clear" w:color="auto" w:fill="auto"/>
            <w:noWrap/>
            <w:vAlign w:val="center"/>
            <w:hideMark/>
          </w:tcPr>
          <w:p w14:paraId="0EC10D8F"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1F31D555"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-20</w:t>
            </w:r>
          </w:p>
        </w:tc>
        <w:tc>
          <w:tcPr>
            <w:tcW w:w="659" w:type="pct"/>
            <w:tcBorders>
              <w:top w:val="nil"/>
              <w:left w:val="nil"/>
              <w:bottom w:val="nil"/>
              <w:right w:val="nil"/>
            </w:tcBorders>
            <w:shd w:val="clear" w:color="auto" w:fill="auto"/>
            <w:noWrap/>
            <w:vAlign w:val="center"/>
            <w:hideMark/>
          </w:tcPr>
          <w:p w14:paraId="55D1E21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-3.0</w:t>
            </w:r>
          </w:p>
        </w:tc>
      </w:tr>
      <w:tr w:rsidR="0011445D" w:rsidRPr="0011445D" w14:paraId="76336391" w14:textId="77777777" w:rsidTr="0011445D">
        <w:trPr>
          <w:trHeight w:hRule="exact" w:val="226"/>
        </w:trPr>
        <w:tc>
          <w:tcPr>
            <w:tcW w:w="2180" w:type="pct"/>
            <w:tcBorders>
              <w:top w:val="nil"/>
              <w:left w:val="nil"/>
              <w:bottom w:val="nil"/>
              <w:right w:val="nil"/>
            </w:tcBorders>
            <w:shd w:val="clear" w:color="auto" w:fill="auto"/>
            <w:noWrap/>
            <w:vAlign w:val="center"/>
            <w:hideMark/>
          </w:tcPr>
          <w:p w14:paraId="285D59F1"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Visa application charges</w:t>
            </w:r>
          </w:p>
        </w:tc>
        <w:tc>
          <w:tcPr>
            <w:tcW w:w="726" w:type="pct"/>
            <w:tcBorders>
              <w:top w:val="nil"/>
              <w:left w:val="nil"/>
              <w:bottom w:val="nil"/>
              <w:right w:val="nil"/>
            </w:tcBorders>
            <w:shd w:val="clear" w:color="auto" w:fill="auto"/>
            <w:noWrap/>
            <w:vAlign w:val="center"/>
            <w:hideMark/>
          </w:tcPr>
          <w:p w14:paraId="2050479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4,096</w:t>
            </w:r>
          </w:p>
        </w:tc>
        <w:tc>
          <w:tcPr>
            <w:tcW w:w="726" w:type="pct"/>
            <w:tcBorders>
              <w:top w:val="nil"/>
              <w:left w:val="nil"/>
              <w:bottom w:val="nil"/>
              <w:right w:val="nil"/>
            </w:tcBorders>
            <w:shd w:val="clear" w:color="000000" w:fill="E6F2FF"/>
            <w:noWrap/>
            <w:vAlign w:val="center"/>
            <w:hideMark/>
          </w:tcPr>
          <w:p w14:paraId="42D7724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4,211</w:t>
            </w:r>
          </w:p>
        </w:tc>
        <w:tc>
          <w:tcPr>
            <w:tcW w:w="49" w:type="pct"/>
            <w:tcBorders>
              <w:top w:val="nil"/>
              <w:left w:val="nil"/>
              <w:bottom w:val="nil"/>
              <w:right w:val="nil"/>
            </w:tcBorders>
            <w:shd w:val="clear" w:color="auto" w:fill="auto"/>
            <w:noWrap/>
            <w:vAlign w:val="center"/>
            <w:hideMark/>
          </w:tcPr>
          <w:p w14:paraId="5E47E263"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06C4CC9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115</w:t>
            </w:r>
          </w:p>
        </w:tc>
        <w:tc>
          <w:tcPr>
            <w:tcW w:w="659" w:type="pct"/>
            <w:tcBorders>
              <w:top w:val="nil"/>
              <w:left w:val="nil"/>
              <w:bottom w:val="nil"/>
              <w:right w:val="nil"/>
            </w:tcBorders>
            <w:shd w:val="clear" w:color="auto" w:fill="auto"/>
            <w:noWrap/>
            <w:vAlign w:val="center"/>
            <w:hideMark/>
          </w:tcPr>
          <w:p w14:paraId="46E910B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2.8</w:t>
            </w:r>
          </w:p>
        </w:tc>
      </w:tr>
      <w:tr w:rsidR="0011445D" w:rsidRPr="0011445D" w14:paraId="2F91BE80" w14:textId="77777777" w:rsidTr="0011445D">
        <w:trPr>
          <w:trHeight w:hRule="exact" w:val="226"/>
        </w:trPr>
        <w:tc>
          <w:tcPr>
            <w:tcW w:w="2180" w:type="pct"/>
            <w:tcBorders>
              <w:top w:val="nil"/>
              <w:left w:val="nil"/>
              <w:bottom w:val="nil"/>
              <w:right w:val="nil"/>
            </w:tcBorders>
            <w:shd w:val="clear" w:color="auto" w:fill="auto"/>
            <w:noWrap/>
            <w:vAlign w:val="center"/>
            <w:hideMark/>
          </w:tcPr>
          <w:p w14:paraId="2C7FB421"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Other taxes</w:t>
            </w:r>
          </w:p>
        </w:tc>
        <w:tc>
          <w:tcPr>
            <w:tcW w:w="726" w:type="pct"/>
            <w:tcBorders>
              <w:top w:val="nil"/>
              <w:left w:val="nil"/>
              <w:bottom w:val="nil"/>
              <w:right w:val="nil"/>
            </w:tcBorders>
            <w:shd w:val="clear" w:color="000000" w:fill="FFFFFF"/>
            <w:noWrap/>
            <w:vAlign w:val="center"/>
            <w:hideMark/>
          </w:tcPr>
          <w:p w14:paraId="3A2E129B" w14:textId="77777777" w:rsidR="0011445D" w:rsidRPr="0011445D" w:rsidRDefault="0011445D" w:rsidP="0011445D">
            <w:pPr>
              <w:spacing w:before="0" w:after="0" w:line="240" w:lineRule="auto"/>
              <w:jc w:val="right"/>
              <w:rPr>
                <w:rFonts w:ascii="Arial" w:hAnsi="Arial" w:cs="Arial"/>
                <w:sz w:val="16"/>
                <w:szCs w:val="16"/>
              </w:rPr>
            </w:pPr>
            <w:r w:rsidRPr="0011445D">
              <w:rPr>
                <w:rFonts w:ascii="Arial" w:hAnsi="Arial" w:cs="Arial"/>
                <w:sz w:val="16"/>
                <w:szCs w:val="16"/>
              </w:rPr>
              <w:t>6,404</w:t>
            </w:r>
          </w:p>
        </w:tc>
        <w:tc>
          <w:tcPr>
            <w:tcW w:w="726" w:type="pct"/>
            <w:tcBorders>
              <w:top w:val="nil"/>
              <w:left w:val="nil"/>
              <w:bottom w:val="nil"/>
              <w:right w:val="nil"/>
            </w:tcBorders>
            <w:shd w:val="clear" w:color="000000" w:fill="E6F2FF"/>
            <w:noWrap/>
            <w:vAlign w:val="center"/>
            <w:hideMark/>
          </w:tcPr>
          <w:p w14:paraId="148C9C21" w14:textId="77777777" w:rsidR="0011445D" w:rsidRPr="0011445D" w:rsidRDefault="0011445D" w:rsidP="0011445D">
            <w:pPr>
              <w:spacing w:before="0" w:after="0" w:line="240" w:lineRule="auto"/>
              <w:jc w:val="right"/>
              <w:rPr>
                <w:rFonts w:ascii="Arial" w:hAnsi="Arial" w:cs="Arial"/>
                <w:sz w:val="16"/>
                <w:szCs w:val="16"/>
              </w:rPr>
            </w:pPr>
            <w:r w:rsidRPr="0011445D">
              <w:rPr>
                <w:rFonts w:ascii="Arial" w:hAnsi="Arial" w:cs="Arial"/>
                <w:sz w:val="16"/>
                <w:szCs w:val="16"/>
              </w:rPr>
              <w:t>6,467</w:t>
            </w:r>
          </w:p>
        </w:tc>
        <w:tc>
          <w:tcPr>
            <w:tcW w:w="49" w:type="pct"/>
            <w:tcBorders>
              <w:top w:val="nil"/>
              <w:left w:val="nil"/>
              <w:bottom w:val="nil"/>
              <w:right w:val="nil"/>
            </w:tcBorders>
            <w:shd w:val="clear" w:color="auto" w:fill="auto"/>
            <w:noWrap/>
            <w:vAlign w:val="center"/>
            <w:hideMark/>
          </w:tcPr>
          <w:p w14:paraId="714E4CF7" w14:textId="77777777" w:rsidR="0011445D" w:rsidRPr="0011445D" w:rsidRDefault="0011445D" w:rsidP="0011445D">
            <w:pPr>
              <w:spacing w:before="0"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noWrap/>
            <w:vAlign w:val="center"/>
            <w:hideMark/>
          </w:tcPr>
          <w:p w14:paraId="63EB9BA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63</w:t>
            </w:r>
          </w:p>
        </w:tc>
        <w:tc>
          <w:tcPr>
            <w:tcW w:w="659" w:type="pct"/>
            <w:tcBorders>
              <w:top w:val="nil"/>
              <w:left w:val="nil"/>
              <w:bottom w:val="nil"/>
              <w:right w:val="nil"/>
            </w:tcBorders>
            <w:shd w:val="clear" w:color="auto" w:fill="auto"/>
            <w:noWrap/>
            <w:vAlign w:val="center"/>
            <w:hideMark/>
          </w:tcPr>
          <w:p w14:paraId="60BF8D0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1.0</w:t>
            </w:r>
          </w:p>
        </w:tc>
      </w:tr>
      <w:tr w:rsidR="0011445D" w:rsidRPr="0011445D" w14:paraId="20BBE914"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5460B7F" w14:textId="77777777" w:rsidR="0011445D" w:rsidRPr="0011445D" w:rsidRDefault="0011445D" w:rsidP="0011445D">
            <w:pPr>
              <w:spacing w:before="0" w:after="0" w:line="240" w:lineRule="auto"/>
              <w:rPr>
                <w:rFonts w:ascii="Arial" w:hAnsi="Arial" w:cs="Arial"/>
                <w:b/>
                <w:bCs/>
                <w:sz w:val="16"/>
                <w:szCs w:val="16"/>
              </w:rPr>
            </w:pPr>
            <w:r w:rsidRPr="0011445D">
              <w:rPr>
                <w:rFonts w:ascii="Arial" w:hAnsi="Arial" w:cs="Arial"/>
                <w:b/>
                <w:bCs/>
                <w:sz w:val="16"/>
                <w:szCs w:val="16"/>
              </w:rPr>
              <w:t>Indirect taxation receipts</w:t>
            </w:r>
          </w:p>
        </w:tc>
        <w:tc>
          <w:tcPr>
            <w:tcW w:w="726" w:type="pct"/>
            <w:tcBorders>
              <w:top w:val="single" w:sz="4" w:space="0" w:color="293F5B"/>
              <w:left w:val="nil"/>
              <w:bottom w:val="nil"/>
              <w:right w:val="nil"/>
            </w:tcBorders>
            <w:shd w:val="clear" w:color="000000" w:fill="FFFFFF"/>
            <w:noWrap/>
            <w:vAlign w:val="center"/>
            <w:hideMark/>
          </w:tcPr>
          <w:p w14:paraId="6B33B630" w14:textId="77777777" w:rsidR="0011445D" w:rsidRPr="0043146B" w:rsidRDefault="0011445D" w:rsidP="0011445D">
            <w:pPr>
              <w:spacing w:before="0" w:after="0" w:line="240" w:lineRule="auto"/>
              <w:jc w:val="right"/>
              <w:rPr>
                <w:rFonts w:ascii="Arial" w:hAnsi="Arial" w:cs="Arial"/>
                <w:b/>
                <w:bCs/>
                <w:sz w:val="16"/>
                <w:szCs w:val="16"/>
              </w:rPr>
            </w:pPr>
            <w:r w:rsidRPr="0043146B">
              <w:rPr>
                <w:rFonts w:ascii="Arial" w:hAnsi="Arial" w:cs="Arial"/>
                <w:b/>
                <w:bCs/>
                <w:sz w:val="16"/>
                <w:szCs w:val="16"/>
              </w:rPr>
              <w:t>156,553</w:t>
            </w:r>
          </w:p>
        </w:tc>
        <w:tc>
          <w:tcPr>
            <w:tcW w:w="726" w:type="pct"/>
            <w:tcBorders>
              <w:top w:val="single" w:sz="4" w:space="0" w:color="293F5B"/>
              <w:left w:val="nil"/>
              <w:bottom w:val="nil"/>
              <w:right w:val="nil"/>
            </w:tcBorders>
            <w:shd w:val="clear" w:color="000000" w:fill="E6F2FF"/>
            <w:noWrap/>
            <w:vAlign w:val="center"/>
            <w:hideMark/>
          </w:tcPr>
          <w:p w14:paraId="39E15257" w14:textId="2BB60622" w:rsidR="0011445D" w:rsidRPr="0043146B" w:rsidRDefault="0011445D" w:rsidP="0011445D">
            <w:pPr>
              <w:spacing w:before="0" w:after="0" w:line="240" w:lineRule="auto"/>
              <w:jc w:val="right"/>
              <w:rPr>
                <w:rFonts w:ascii="Arial" w:hAnsi="Arial" w:cs="Arial"/>
                <w:b/>
                <w:bCs/>
                <w:sz w:val="16"/>
                <w:szCs w:val="16"/>
              </w:rPr>
            </w:pPr>
            <w:r w:rsidRPr="0043146B">
              <w:rPr>
                <w:rFonts w:ascii="Arial" w:hAnsi="Arial" w:cs="Arial"/>
                <w:b/>
                <w:bCs/>
                <w:sz w:val="16"/>
                <w:szCs w:val="16"/>
              </w:rPr>
              <w:t>155,261</w:t>
            </w:r>
          </w:p>
        </w:tc>
        <w:tc>
          <w:tcPr>
            <w:tcW w:w="49" w:type="pct"/>
            <w:tcBorders>
              <w:top w:val="nil"/>
              <w:left w:val="nil"/>
              <w:bottom w:val="nil"/>
              <w:right w:val="nil"/>
            </w:tcBorders>
            <w:shd w:val="clear" w:color="auto" w:fill="auto"/>
            <w:noWrap/>
            <w:vAlign w:val="center"/>
            <w:hideMark/>
          </w:tcPr>
          <w:p w14:paraId="142093AC" w14:textId="77777777" w:rsidR="0011445D" w:rsidRPr="0043146B" w:rsidRDefault="0011445D" w:rsidP="0011445D">
            <w:pPr>
              <w:spacing w:before="0" w:after="0" w:line="240" w:lineRule="auto"/>
              <w:jc w:val="right"/>
              <w:rPr>
                <w:rFonts w:ascii="Arial" w:hAnsi="Arial" w:cs="Arial"/>
                <w:b/>
                <w:bCs/>
                <w:sz w:val="16"/>
                <w:szCs w:val="16"/>
              </w:rPr>
            </w:pPr>
          </w:p>
        </w:tc>
        <w:tc>
          <w:tcPr>
            <w:tcW w:w="659" w:type="pct"/>
            <w:tcBorders>
              <w:top w:val="single" w:sz="4" w:space="0" w:color="293F5B"/>
              <w:left w:val="nil"/>
              <w:bottom w:val="nil"/>
              <w:right w:val="nil"/>
            </w:tcBorders>
            <w:shd w:val="clear" w:color="auto" w:fill="auto"/>
            <w:noWrap/>
            <w:vAlign w:val="center"/>
            <w:hideMark/>
          </w:tcPr>
          <w:p w14:paraId="40CDEC93" w14:textId="77777777" w:rsidR="0011445D" w:rsidRPr="00094191" w:rsidRDefault="0011445D" w:rsidP="0011445D">
            <w:pPr>
              <w:spacing w:before="0" w:after="0" w:line="240" w:lineRule="auto"/>
              <w:jc w:val="right"/>
              <w:rPr>
                <w:rFonts w:ascii="Arial" w:hAnsi="Arial" w:cs="Arial"/>
                <w:b/>
                <w:bCs/>
                <w:color w:val="000000"/>
                <w:sz w:val="16"/>
                <w:szCs w:val="16"/>
              </w:rPr>
            </w:pPr>
            <w:r w:rsidRPr="00094191">
              <w:rPr>
                <w:rFonts w:ascii="Arial" w:hAnsi="Arial" w:cs="Arial"/>
                <w:b/>
                <w:bCs/>
                <w:color w:val="000000"/>
                <w:sz w:val="16"/>
                <w:szCs w:val="16"/>
              </w:rPr>
              <w:t>-1,292</w:t>
            </w:r>
          </w:p>
        </w:tc>
        <w:tc>
          <w:tcPr>
            <w:tcW w:w="659" w:type="pct"/>
            <w:tcBorders>
              <w:top w:val="single" w:sz="4" w:space="0" w:color="293F5B"/>
              <w:left w:val="nil"/>
              <w:bottom w:val="nil"/>
              <w:right w:val="nil"/>
            </w:tcBorders>
            <w:shd w:val="clear" w:color="auto" w:fill="auto"/>
            <w:noWrap/>
            <w:vAlign w:val="center"/>
            <w:hideMark/>
          </w:tcPr>
          <w:p w14:paraId="36F99AFF" w14:textId="77777777" w:rsidR="0011445D" w:rsidRPr="00094191" w:rsidRDefault="0011445D" w:rsidP="0011445D">
            <w:pPr>
              <w:spacing w:before="0" w:after="0" w:line="240" w:lineRule="auto"/>
              <w:jc w:val="right"/>
              <w:rPr>
                <w:rFonts w:ascii="Arial" w:hAnsi="Arial" w:cs="Arial"/>
                <w:b/>
                <w:bCs/>
                <w:color w:val="000000"/>
                <w:sz w:val="16"/>
                <w:szCs w:val="16"/>
              </w:rPr>
            </w:pPr>
            <w:r w:rsidRPr="00094191">
              <w:rPr>
                <w:rFonts w:ascii="Arial" w:hAnsi="Arial" w:cs="Arial"/>
                <w:b/>
                <w:bCs/>
                <w:color w:val="000000"/>
                <w:sz w:val="16"/>
                <w:szCs w:val="16"/>
              </w:rPr>
              <w:t>-0.8</w:t>
            </w:r>
          </w:p>
        </w:tc>
      </w:tr>
      <w:tr w:rsidR="0011445D" w:rsidRPr="0011445D" w14:paraId="6F5E0A7B" w14:textId="77777777" w:rsidTr="0011445D">
        <w:trPr>
          <w:trHeight w:hRule="exact" w:val="60"/>
        </w:trPr>
        <w:tc>
          <w:tcPr>
            <w:tcW w:w="2180" w:type="pct"/>
            <w:tcBorders>
              <w:top w:val="nil"/>
              <w:left w:val="nil"/>
              <w:bottom w:val="nil"/>
              <w:right w:val="nil"/>
            </w:tcBorders>
            <w:shd w:val="clear" w:color="auto" w:fill="auto"/>
            <w:noWrap/>
            <w:vAlign w:val="center"/>
            <w:hideMark/>
          </w:tcPr>
          <w:p w14:paraId="63E95FD5"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726" w:type="pct"/>
            <w:tcBorders>
              <w:top w:val="single" w:sz="4" w:space="0" w:color="293F5B"/>
              <w:left w:val="nil"/>
              <w:bottom w:val="nil"/>
              <w:right w:val="nil"/>
            </w:tcBorders>
            <w:shd w:val="clear" w:color="000000" w:fill="FFFFFF"/>
            <w:noWrap/>
            <w:vAlign w:val="center"/>
            <w:hideMark/>
          </w:tcPr>
          <w:p w14:paraId="0B0E57BB"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 </w:t>
            </w:r>
          </w:p>
        </w:tc>
        <w:tc>
          <w:tcPr>
            <w:tcW w:w="726" w:type="pct"/>
            <w:tcBorders>
              <w:top w:val="single" w:sz="4" w:space="0" w:color="293F5B"/>
              <w:left w:val="nil"/>
              <w:bottom w:val="nil"/>
              <w:right w:val="nil"/>
            </w:tcBorders>
            <w:shd w:val="clear" w:color="000000" w:fill="E6F2FF"/>
            <w:noWrap/>
            <w:vAlign w:val="center"/>
            <w:hideMark/>
          </w:tcPr>
          <w:p w14:paraId="4048633F" w14:textId="77777777" w:rsidR="0011445D" w:rsidRPr="0011445D" w:rsidRDefault="0011445D" w:rsidP="0011445D">
            <w:pPr>
              <w:spacing w:before="0" w:after="0" w:line="240" w:lineRule="auto"/>
              <w:rPr>
                <w:rFonts w:ascii="Arial" w:hAnsi="Arial" w:cs="Arial"/>
                <w:sz w:val="16"/>
                <w:szCs w:val="16"/>
              </w:rPr>
            </w:pPr>
            <w:r w:rsidRPr="0011445D">
              <w:rPr>
                <w:rFonts w:ascii="Arial" w:hAnsi="Arial" w:cs="Arial"/>
                <w:sz w:val="16"/>
                <w:szCs w:val="16"/>
              </w:rPr>
              <w:t> </w:t>
            </w:r>
          </w:p>
        </w:tc>
        <w:tc>
          <w:tcPr>
            <w:tcW w:w="49" w:type="pct"/>
            <w:tcBorders>
              <w:top w:val="nil"/>
              <w:left w:val="nil"/>
              <w:bottom w:val="nil"/>
              <w:right w:val="nil"/>
            </w:tcBorders>
            <w:shd w:val="clear" w:color="auto" w:fill="auto"/>
            <w:noWrap/>
            <w:vAlign w:val="center"/>
            <w:hideMark/>
          </w:tcPr>
          <w:p w14:paraId="34143836" w14:textId="77777777" w:rsidR="0011445D" w:rsidRPr="0011445D" w:rsidRDefault="0011445D" w:rsidP="0011445D">
            <w:pPr>
              <w:spacing w:before="0" w:after="0" w:line="240" w:lineRule="auto"/>
              <w:rPr>
                <w:rFonts w:ascii="Arial" w:hAnsi="Arial" w:cs="Arial"/>
                <w:sz w:val="16"/>
                <w:szCs w:val="16"/>
              </w:rPr>
            </w:pPr>
          </w:p>
        </w:tc>
        <w:tc>
          <w:tcPr>
            <w:tcW w:w="659" w:type="pct"/>
            <w:tcBorders>
              <w:top w:val="single" w:sz="4" w:space="0" w:color="293F5B"/>
              <w:left w:val="nil"/>
              <w:bottom w:val="nil"/>
              <w:right w:val="nil"/>
            </w:tcBorders>
            <w:shd w:val="clear" w:color="auto" w:fill="auto"/>
            <w:noWrap/>
            <w:vAlign w:val="center"/>
            <w:hideMark/>
          </w:tcPr>
          <w:p w14:paraId="06BD3EAC"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c>
          <w:tcPr>
            <w:tcW w:w="659" w:type="pct"/>
            <w:tcBorders>
              <w:top w:val="single" w:sz="4" w:space="0" w:color="293F5B"/>
              <w:left w:val="nil"/>
              <w:bottom w:val="nil"/>
              <w:right w:val="nil"/>
            </w:tcBorders>
            <w:shd w:val="clear" w:color="auto" w:fill="auto"/>
            <w:noWrap/>
            <w:vAlign w:val="center"/>
            <w:hideMark/>
          </w:tcPr>
          <w:p w14:paraId="2519F1CD"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r>
      <w:tr w:rsidR="0011445D" w:rsidRPr="0011445D" w14:paraId="03E546C1"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5C4F5B1" w14:textId="77777777" w:rsidR="0011445D" w:rsidRPr="0011445D" w:rsidRDefault="0011445D" w:rsidP="0011445D">
            <w:pPr>
              <w:spacing w:before="0" w:after="0" w:line="240" w:lineRule="auto"/>
              <w:rPr>
                <w:rFonts w:ascii="Arial" w:hAnsi="Arial" w:cs="Arial"/>
                <w:b/>
                <w:bCs/>
                <w:color w:val="000000"/>
                <w:sz w:val="16"/>
                <w:szCs w:val="16"/>
              </w:rPr>
            </w:pPr>
            <w:r w:rsidRPr="0011445D">
              <w:rPr>
                <w:rFonts w:ascii="Arial" w:hAnsi="Arial" w:cs="Arial"/>
                <w:b/>
                <w:bCs/>
                <w:color w:val="000000"/>
                <w:sz w:val="16"/>
                <w:szCs w:val="16"/>
              </w:rPr>
              <w:t>Taxation receipts</w:t>
            </w:r>
          </w:p>
        </w:tc>
        <w:tc>
          <w:tcPr>
            <w:tcW w:w="726" w:type="pct"/>
            <w:tcBorders>
              <w:top w:val="nil"/>
              <w:left w:val="nil"/>
              <w:bottom w:val="single" w:sz="4" w:space="0" w:color="293F5B"/>
              <w:right w:val="nil"/>
            </w:tcBorders>
            <w:shd w:val="clear" w:color="000000" w:fill="FFFFFF"/>
            <w:noWrap/>
            <w:vAlign w:val="center"/>
            <w:hideMark/>
          </w:tcPr>
          <w:p w14:paraId="70123514" w14:textId="77777777" w:rsidR="0011445D" w:rsidRPr="0011445D" w:rsidRDefault="0011445D" w:rsidP="0011445D">
            <w:pPr>
              <w:spacing w:before="0" w:after="0" w:line="240" w:lineRule="auto"/>
              <w:jc w:val="right"/>
              <w:rPr>
                <w:rFonts w:ascii="Arial" w:hAnsi="Arial" w:cs="Arial"/>
                <w:b/>
                <w:bCs/>
                <w:sz w:val="16"/>
                <w:szCs w:val="16"/>
              </w:rPr>
            </w:pPr>
            <w:r w:rsidRPr="0011445D">
              <w:rPr>
                <w:rFonts w:ascii="Arial" w:hAnsi="Arial" w:cs="Arial"/>
                <w:b/>
                <w:bCs/>
                <w:sz w:val="16"/>
                <w:szCs w:val="16"/>
              </w:rPr>
              <w:t>661,583</w:t>
            </w:r>
          </w:p>
        </w:tc>
        <w:tc>
          <w:tcPr>
            <w:tcW w:w="726" w:type="pct"/>
            <w:tcBorders>
              <w:top w:val="nil"/>
              <w:left w:val="nil"/>
              <w:bottom w:val="single" w:sz="4" w:space="0" w:color="293F5B"/>
              <w:right w:val="nil"/>
            </w:tcBorders>
            <w:shd w:val="clear" w:color="000000" w:fill="E6F2FF"/>
            <w:noWrap/>
            <w:vAlign w:val="center"/>
            <w:hideMark/>
          </w:tcPr>
          <w:p w14:paraId="058B3FCC" w14:textId="77777777" w:rsidR="0011445D" w:rsidRPr="0011445D" w:rsidRDefault="0011445D" w:rsidP="0011445D">
            <w:pPr>
              <w:spacing w:before="0" w:after="0" w:line="240" w:lineRule="auto"/>
              <w:jc w:val="right"/>
              <w:rPr>
                <w:rFonts w:ascii="Arial" w:hAnsi="Arial" w:cs="Arial"/>
                <w:b/>
                <w:bCs/>
                <w:sz w:val="16"/>
                <w:szCs w:val="16"/>
              </w:rPr>
            </w:pPr>
            <w:r w:rsidRPr="0011445D">
              <w:rPr>
                <w:rFonts w:ascii="Arial" w:hAnsi="Arial" w:cs="Arial"/>
                <w:b/>
                <w:bCs/>
                <w:sz w:val="16"/>
                <w:szCs w:val="16"/>
              </w:rPr>
              <w:t>669,651</w:t>
            </w:r>
          </w:p>
        </w:tc>
        <w:tc>
          <w:tcPr>
            <w:tcW w:w="49" w:type="pct"/>
            <w:tcBorders>
              <w:top w:val="nil"/>
              <w:left w:val="nil"/>
              <w:bottom w:val="nil"/>
              <w:right w:val="nil"/>
            </w:tcBorders>
            <w:shd w:val="clear" w:color="auto" w:fill="auto"/>
            <w:noWrap/>
            <w:vAlign w:val="center"/>
            <w:hideMark/>
          </w:tcPr>
          <w:p w14:paraId="4A1B2E94" w14:textId="77777777" w:rsidR="0011445D" w:rsidRPr="0011445D" w:rsidRDefault="0011445D" w:rsidP="0011445D">
            <w:pPr>
              <w:spacing w:before="0" w:after="0" w:line="240" w:lineRule="auto"/>
              <w:jc w:val="right"/>
              <w:rPr>
                <w:rFonts w:ascii="Arial" w:hAnsi="Arial" w:cs="Arial"/>
                <w:b/>
                <w:bCs/>
                <w:sz w:val="16"/>
                <w:szCs w:val="16"/>
              </w:rPr>
            </w:pPr>
          </w:p>
        </w:tc>
        <w:tc>
          <w:tcPr>
            <w:tcW w:w="659" w:type="pct"/>
            <w:tcBorders>
              <w:top w:val="nil"/>
              <w:left w:val="nil"/>
              <w:bottom w:val="single" w:sz="4" w:space="0" w:color="293F5B"/>
              <w:right w:val="nil"/>
            </w:tcBorders>
            <w:shd w:val="clear" w:color="auto" w:fill="auto"/>
            <w:noWrap/>
            <w:vAlign w:val="center"/>
            <w:hideMark/>
          </w:tcPr>
          <w:p w14:paraId="0FD6C9D2"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8,068</w:t>
            </w:r>
          </w:p>
        </w:tc>
        <w:tc>
          <w:tcPr>
            <w:tcW w:w="659" w:type="pct"/>
            <w:tcBorders>
              <w:top w:val="nil"/>
              <w:left w:val="nil"/>
              <w:bottom w:val="single" w:sz="4" w:space="0" w:color="293F5B"/>
              <w:right w:val="nil"/>
            </w:tcBorders>
            <w:shd w:val="clear" w:color="auto" w:fill="auto"/>
            <w:noWrap/>
            <w:vAlign w:val="center"/>
            <w:hideMark/>
          </w:tcPr>
          <w:p w14:paraId="3E093FE7"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1.2</w:t>
            </w:r>
          </w:p>
        </w:tc>
      </w:tr>
      <w:tr w:rsidR="0011445D" w:rsidRPr="0011445D" w14:paraId="1C6922DB" w14:textId="77777777" w:rsidTr="0011445D">
        <w:trPr>
          <w:trHeight w:hRule="exact" w:val="60"/>
        </w:trPr>
        <w:tc>
          <w:tcPr>
            <w:tcW w:w="2180" w:type="pct"/>
            <w:tcBorders>
              <w:top w:val="nil"/>
              <w:left w:val="nil"/>
              <w:bottom w:val="nil"/>
              <w:right w:val="nil"/>
            </w:tcBorders>
            <w:shd w:val="clear" w:color="auto" w:fill="auto"/>
            <w:noWrap/>
            <w:vAlign w:val="center"/>
            <w:hideMark/>
          </w:tcPr>
          <w:p w14:paraId="0DD818AF"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726" w:type="pct"/>
            <w:tcBorders>
              <w:top w:val="nil"/>
              <w:left w:val="nil"/>
              <w:bottom w:val="nil"/>
              <w:right w:val="nil"/>
            </w:tcBorders>
            <w:shd w:val="clear" w:color="000000" w:fill="FFFFFF"/>
            <w:noWrap/>
            <w:vAlign w:val="center"/>
            <w:hideMark/>
          </w:tcPr>
          <w:p w14:paraId="36379863" w14:textId="77777777" w:rsidR="0011445D" w:rsidRPr="0011445D" w:rsidRDefault="0011445D" w:rsidP="0011445D">
            <w:pPr>
              <w:spacing w:before="0" w:after="0" w:line="240" w:lineRule="auto"/>
              <w:rPr>
                <w:rFonts w:ascii="Arial" w:hAnsi="Arial" w:cs="Arial"/>
                <w:b/>
                <w:bCs/>
                <w:sz w:val="16"/>
                <w:szCs w:val="16"/>
              </w:rPr>
            </w:pPr>
            <w:r w:rsidRPr="0011445D">
              <w:rPr>
                <w:rFonts w:ascii="Arial" w:hAnsi="Arial" w:cs="Arial"/>
                <w:b/>
                <w:bCs/>
                <w:sz w:val="16"/>
                <w:szCs w:val="16"/>
              </w:rPr>
              <w:t> </w:t>
            </w:r>
          </w:p>
        </w:tc>
        <w:tc>
          <w:tcPr>
            <w:tcW w:w="726" w:type="pct"/>
            <w:tcBorders>
              <w:top w:val="nil"/>
              <w:left w:val="nil"/>
              <w:bottom w:val="nil"/>
              <w:right w:val="nil"/>
            </w:tcBorders>
            <w:shd w:val="clear" w:color="000000" w:fill="E6F2FF"/>
            <w:noWrap/>
            <w:vAlign w:val="center"/>
            <w:hideMark/>
          </w:tcPr>
          <w:p w14:paraId="0DDDEB41" w14:textId="77777777" w:rsidR="0011445D" w:rsidRPr="0011445D" w:rsidRDefault="0011445D" w:rsidP="0011445D">
            <w:pPr>
              <w:spacing w:before="0" w:after="0" w:line="240" w:lineRule="auto"/>
              <w:rPr>
                <w:rFonts w:ascii="Arial" w:hAnsi="Arial" w:cs="Arial"/>
                <w:b/>
                <w:bCs/>
                <w:sz w:val="16"/>
                <w:szCs w:val="16"/>
              </w:rPr>
            </w:pPr>
            <w:r w:rsidRPr="0011445D">
              <w:rPr>
                <w:rFonts w:ascii="Arial" w:hAnsi="Arial" w:cs="Arial"/>
                <w:b/>
                <w:bCs/>
                <w:sz w:val="16"/>
                <w:szCs w:val="16"/>
              </w:rPr>
              <w:t> </w:t>
            </w:r>
          </w:p>
        </w:tc>
        <w:tc>
          <w:tcPr>
            <w:tcW w:w="49" w:type="pct"/>
            <w:tcBorders>
              <w:top w:val="nil"/>
              <w:left w:val="nil"/>
              <w:bottom w:val="nil"/>
              <w:right w:val="nil"/>
            </w:tcBorders>
            <w:shd w:val="clear" w:color="auto" w:fill="auto"/>
            <w:noWrap/>
            <w:vAlign w:val="center"/>
            <w:hideMark/>
          </w:tcPr>
          <w:p w14:paraId="1596D590" w14:textId="77777777" w:rsidR="0011445D" w:rsidRPr="0011445D" w:rsidRDefault="0011445D" w:rsidP="0011445D">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auto" w:fill="auto"/>
            <w:noWrap/>
            <w:vAlign w:val="center"/>
            <w:hideMark/>
          </w:tcPr>
          <w:p w14:paraId="568BAA96" w14:textId="77777777" w:rsidR="0011445D" w:rsidRPr="0011445D" w:rsidRDefault="0011445D" w:rsidP="0011445D">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center"/>
            <w:hideMark/>
          </w:tcPr>
          <w:p w14:paraId="471C1BF3" w14:textId="77777777" w:rsidR="0011445D" w:rsidRPr="0011445D" w:rsidRDefault="0011445D" w:rsidP="0011445D">
            <w:pPr>
              <w:spacing w:before="0" w:after="0" w:line="240" w:lineRule="auto"/>
              <w:jc w:val="right"/>
              <w:rPr>
                <w:rFonts w:ascii="Times New Roman" w:hAnsi="Times New Roman"/>
                <w:sz w:val="20"/>
              </w:rPr>
            </w:pPr>
          </w:p>
        </w:tc>
      </w:tr>
      <w:tr w:rsidR="0011445D" w:rsidRPr="0011445D" w14:paraId="0B50DAB9"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86ADC6A"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Sales of goods and services</w:t>
            </w:r>
          </w:p>
        </w:tc>
        <w:tc>
          <w:tcPr>
            <w:tcW w:w="726" w:type="pct"/>
            <w:tcBorders>
              <w:top w:val="nil"/>
              <w:left w:val="nil"/>
              <w:bottom w:val="nil"/>
              <w:right w:val="nil"/>
            </w:tcBorders>
            <w:shd w:val="clear" w:color="000000" w:fill="FFFFFF"/>
            <w:noWrap/>
            <w:vAlign w:val="center"/>
            <w:hideMark/>
          </w:tcPr>
          <w:p w14:paraId="0696927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22,549</w:t>
            </w:r>
          </w:p>
        </w:tc>
        <w:tc>
          <w:tcPr>
            <w:tcW w:w="726" w:type="pct"/>
            <w:tcBorders>
              <w:top w:val="nil"/>
              <w:left w:val="nil"/>
              <w:bottom w:val="nil"/>
              <w:right w:val="nil"/>
            </w:tcBorders>
            <w:shd w:val="clear" w:color="000000" w:fill="E6F2FF"/>
            <w:noWrap/>
            <w:vAlign w:val="center"/>
            <w:hideMark/>
          </w:tcPr>
          <w:p w14:paraId="597DD5C4"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21,774</w:t>
            </w:r>
          </w:p>
        </w:tc>
        <w:tc>
          <w:tcPr>
            <w:tcW w:w="49" w:type="pct"/>
            <w:tcBorders>
              <w:top w:val="nil"/>
              <w:left w:val="nil"/>
              <w:bottom w:val="nil"/>
              <w:right w:val="nil"/>
            </w:tcBorders>
            <w:shd w:val="clear" w:color="auto" w:fill="auto"/>
            <w:noWrap/>
            <w:vAlign w:val="center"/>
            <w:hideMark/>
          </w:tcPr>
          <w:p w14:paraId="4B7EA7AE"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54F39221"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-775</w:t>
            </w:r>
          </w:p>
        </w:tc>
        <w:tc>
          <w:tcPr>
            <w:tcW w:w="659" w:type="pct"/>
            <w:tcBorders>
              <w:top w:val="nil"/>
              <w:left w:val="nil"/>
              <w:bottom w:val="nil"/>
              <w:right w:val="nil"/>
            </w:tcBorders>
            <w:shd w:val="clear" w:color="auto" w:fill="auto"/>
            <w:noWrap/>
            <w:vAlign w:val="center"/>
            <w:hideMark/>
          </w:tcPr>
          <w:p w14:paraId="1F39E69D"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-3.4</w:t>
            </w:r>
          </w:p>
        </w:tc>
      </w:tr>
      <w:tr w:rsidR="0011445D" w:rsidRPr="0011445D" w14:paraId="31D23178" w14:textId="77777777" w:rsidTr="0011445D">
        <w:trPr>
          <w:trHeight w:hRule="exact" w:val="226"/>
        </w:trPr>
        <w:tc>
          <w:tcPr>
            <w:tcW w:w="2180" w:type="pct"/>
            <w:tcBorders>
              <w:top w:val="nil"/>
              <w:left w:val="nil"/>
              <w:bottom w:val="nil"/>
              <w:right w:val="nil"/>
            </w:tcBorders>
            <w:shd w:val="clear" w:color="auto" w:fill="auto"/>
            <w:noWrap/>
            <w:vAlign w:val="center"/>
            <w:hideMark/>
          </w:tcPr>
          <w:p w14:paraId="37E39BD6"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Interest received</w:t>
            </w:r>
          </w:p>
        </w:tc>
        <w:tc>
          <w:tcPr>
            <w:tcW w:w="726" w:type="pct"/>
            <w:tcBorders>
              <w:top w:val="nil"/>
              <w:left w:val="nil"/>
              <w:bottom w:val="nil"/>
              <w:right w:val="nil"/>
            </w:tcBorders>
            <w:shd w:val="clear" w:color="000000" w:fill="FFFFFF"/>
            <w:noWrap/>
            <w:vAlign w:val="center"/>
            <w:hideMark/>
          </w:tcPr>
          <w:p w14:paraId="31DE3629"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8,705</w:t>
            </w:r>
          </w:p>
        </w:tc>
        <w:tc>
          <w:tcPr>
            <w:tcW w:w="726" w:type="pct"/>
            <w:tcBorders>
              <w:top w:val="nil"/>
              <w:left w:val="nil"/>
              <w:bottom w:val="nil"/>
              <w:right w:val="nil"/>
            </w:tcBorders>
            <w:shd w:val="clear" w:color="000000" w:fill="E6F2FF"/>
            <w:noWrap/>
            <w:vAlign w:val="center"/>
            <w:hideMark/>
          </w:tcPr>
          <w:p w14:paraId="34D09F6F"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9,659</w:t>
            </w:r>
          </w:p>
        </w:tc>
        <w:tc>
          <w:tcPr>
            <w:tcW w:w="49" w:type="pct"/>
            <w:tcBorders>
              <w:top w:val="nil"/>
              <w:left w:val="nil"/>
              <w:bottom w:val="nil"/>
              <w:right w:val="nil"/>
            </w:tcBorders>
            <w:shd w:val="clear" w:color="auto" w:fill="auto"/>
            <w:noWrap/>
            <w:vAlign w:val="center"/>
            <w:hideMark/>
          </w:tcPr>
          <w:p w14:paraId="42812550"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6F814C8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954</w:t>
            </w:r>
          </w:p>
        </w:tc>
        <w:tc>
          <w:tcPr>
            <w:tcW w:w="659" w:type="pct"/>
            <w:tcBorders>
              <w:top w:val="nil"/>
              <w:left w:val="nil"/>
              <w:bottom w:val="nil"/>
              <w:right w:val="nil"/>
            </w:tcBorders>
            <w:shd w:val="clear" w:color="auto" w:fill="auto"/>
            <w:noWrap/>
            <w:vAlign w:val="center"/>
            <w:hideMark/>
          </w:tcPr>
          <w:p w14:paraId="4E627292"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11.0</w:t>
            </w:r>
          </w:p>
        </w:tc>
      </w:tr>
      <w:tr w:rsidR="0011445D" w:rsidRPr="0011445D" w14:paraId="05581DF3" w14:textId="77777777" w:rsidTr="0011445D">
        <w:trPr>
          <w:trHeight w:hRule="exact" w:val="226"/>
        </w:trPr>
        <w:tc>
          <w:tcPr>
            <w:tcW w:w="2180" w:type="pct"/>
            <w:tcBorders>
              <w:top w:val="nil"/>
              <w:left w:val="nil"/>
              <w:bottom w:val="nil"/>
              <w:right w:val="nil"/>
            </w:tcBorders>
            <w:shd w:val="clear" w:color="auto" w:fill="auto"/>
            <w:noWrap/>
            <w:vAlign w:val="center"/>
            <w:hideMark/>
          </w:tcPr>
          <w:p w14:paraId="67C087AE"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Dividends and distributions</w:t>
            </w:r>
          </w:p>
        </w:tc>
        <w:tc>
          <w:tcPr>
            <w:tcW w:w="726" w:type="pct"/>
            <w:tcBorders>
              <w:top w:val="nil"/>
              <w:left w:val="nil"/>
              <w:bottom w:val="nil"/>
              <w:right w:val="nil"/>
            </w:tcBorders>
            <w:shd w:val="clear" w:color="000000" w:fill="FFFFFF"/>
            <w:noWrap/>
            <w:vAlign w:val="center"/>
            <w:hideMark/>
          </w:tcPr>
          <w:p w14:paraId="60221C2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7,160</w:t>
            </w:r>
          </w:p>
        </w:tc>
        <w:tc>
          <w:tcPr>
            <w:tcW w:w="726" w:type="pct"/>
            <w:tcBorders>
              <w:top w:val="nil"/>
              <w:left w:val="nil"/>
              <w:bottom w:val="nil"/>
              <w:right w:val="nil"/>
            </w:tcBorders>
            <w:shd w:val="clear" w:color="000000" w:fill="E6F2FF"/>
            <w:noWrap/>
            <w:vAlign w:val="center"/>
            <w:hideMark/>
          </w:tcPr>
          <w:p w14:paraId="179F5E10"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7,129</w:t>
            </w:r>
          </w:p>
        </w:tc>
        <w:tc>
          <w:tcPr>
            <w:tcW w:w="49" w:type="pct"/>
            <w:tcBorders>
              <w:top w:val="nil"/>
              <w:left w:val="nil"/>
              <w:bottom w:val="nil"/>
              <w:right w:val="nil"/>
            </w:tcBorders>
            <w:shd w:val="clear" w:color="auto" w:fill="auto"/>
            <w:noWrap/>
            <w:vAlign w:val="center"/>
            <w:hideMark/>
          </w:tcPr>
          <w:p w14:paraId="57E84761"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05073D9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-31</w:t>
            </w:r>
          </w:p>
        </w:tc>
        <w:tc>
          <w:tcPr>
            <w:tcW w:w="659" w:type="pct"/>
            <w:tcBorders>
              <w:top w:val="nil"/>
              <w:left w:val="nil"/>
              <w:bottom w:val="nil"/>
              <w:right w:val="nil"/>
            </w:tcBorders>
            <w:shd w:val="clear" w:color="auto" w:fill="auto"/>
            <w:noWrap/>
            <w:vAlign w:val="center"/>
            <w:hideMark/>
          </w:tcPr>
          <w:p w14:paraId="01D28C2C"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-0.4</w:t>
            </w:r>
          </w:p>
        </w:tc>
      </w:tr>
      <w:tr w:rsidR="0011445D" w:rsidRPr="0011445D" w14:paraId="35D864BE" w14:textId="77777777" w:rsidTr="0011445D">
        <w:trPr>
          <w:trHeight w:hRule="exact" w:val="226"/>
        </w:trPr>
        <w:tc>
          <w:tcPr>
            <w:tcW w:w="2180" w:type="pct"/>
            <w:tcBorders>
              <w:top w:val="nil"/>
              <w:left w:val="nil"/>
              <w:bottom w:val="nil"/>
              <w:right w:val="nil"/>
            </w:tcBorders>
            <w:shd w:val="clear" w:color="auto" w:fill="auto"/>
            <w:noWrap/>
            <w:vAlign w:val="center"/>
            <w:hideMark/>
          </w:tcPr>
          <w:p w14:paraId="20819BF8" w14:textId="77777777" w:rsidR="0011445D" w:rsidRPr="0011445D" w:rsidRDefault="0011445D" w:rsidP="0011445D">
            <w:pPr>
              <w:spacing w:before="0" w:after="0" w:line="240" w:lineRule="auto"/>
              <w:rPr>
                <w:rFonts w:ascii="Arial" w:hAnsi="Arial" w:cs="Arial"/>
                <w:color w:val="000000"/>
                <w:sz w:val="16"/>
                <w:szCs w:val="16"/>
              </w:rPr>
            </w:pPr>
            <w:r w:rsidRPr="0011445D">
              <w:rPr>
                <w:rFonts w:ascii="Arial" w:hAnsi="Arial" w:cs="Arial"/>
                <w:color w:val="000000"/>
                <w:sz w:val="16"/>
                <w:szCs w:val="16"/>
              </w:rPr>
              <w:t>Other non-taxation receipts</w:t>
            </w:r>
          </w:p>
        </w:tc>
        <w:tc>
          <w:tcPr>
            <w:tcW w:w="726" w:type="pct"/>
            <w:tcBorders>
              <w:top w:val="nil"/>
              <w:left w:val="nil"/>
              <w:bottom w:val="nil"/>
              <w:right w:val="nil"/>
            </w:tcBorders>
            <w:shd w:val="clear" w:color="000000" w:fill="FFFFFF"/>
            <w:noWrap/>
            <w:vAlign w:val="center"/>
            <w:hideMark/>
          </w:tcPr>
          <w:p w14:paraId="27493567"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19,357</w:t>
            </w:r>
          </w:p>
        </w:tc>
        <w:tc>
          <w:tcPr>
            <w:tcW w:w="726" w:type="pct"/>
            <w:tcBorders>
              <w:top w:val="nil"/>
              <w:left w:val="nil"/>
              <w:bottom w:val="nil"/>
              <w:right w:val="nil"/>
            </w:tcBorders>
            <w:shd w:val="clear" w:color="000000" w:fill="E6F2FF"/>
            <w:noWrap/>
            <w:vAlign w:val="center"/>
            <w:hideMark/>
          </w:tcPr>
          <w:p w14:paraId="3E92837A"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20,206</w:t>
            </w:r>
          </w:p>
        </w:tc>
        <w:tc>
          <w:tcPr>
            <w:tcW w:w="49" w:type="pct"/>
            <w:tcBorders>
              <w:top w:val="nil"/>
              <w:left w:val="nil"/>
              <w:bottom w:val="nil"/>
              <w:right w:val="nil"/>
            </w:tcBorders>
            <w:shd w:val="clear" w:color="auto" w:fill="auto"/>
            <w:noWrap/>
            <w:vAlign w:val="center"/>
            <w:hideMark/>
          </w:tcPr>
          <w:p w14:paraId="15CAB35B" w14:textId="77777777" w:rsidR="0011445D" w:rsidRPr="0011445D" w:rsidRDefault="0011445D" w:rsidP="0011445D">
            <w:pPr>
              <w:spacing w:before="0"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center"/>
            <w:hideMark/>
          </w:tcPr>
          <w:p w14:paraId="1C4F658E"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849</w:t>
            </w:r>
          </w:p>
        </w:tc>
        <w:tc>
          <w:tcPr>
            <w:tcW w:w="659" w:type="pct"/>
            <w:tcBorders>
              <w:top w:val="nil"/>
              <w:left w:val="nil"/>
              <w:bottom w:val="nil"/>
              <w:right w:val="nil"/>
            </w:tcBorders>
            <w:shd w:val="clear" w:color="auto" w:fill="auto"/>
            <w:noWrap/>
            <w:vAlign w:val="center"/>
            <w:hideMark/>
          </w:tcPr>
          <w:p w14:paraId="2CF7B49B" w14:textId="77777777" w:rsidR="0011445D" w:rsidRPr="0011445D" w:rsidRDefault="0011445D" w:rsidP="0011445D">
            <w:pPr>
              <w:spacing w:before="0" w:after="0" w:line="240" w:lineRule="auto"/>
              <w:jc w:val="right"/>
              <w:rPr>
                <w:rFonts w:ascii="Arial" w:hAnsi="Arial" w:cs="Arial"/>
                <w:color w:val="000000"/>
                <w:sz w:val="16"/>
                <w:szCs w:val="16"/>
              </w:rPr>
            </w:pPr>
            <w:r w:rsidRPr="0011445D">
              <w:rPr>
                <w:rFonts w:ascii="Arial" w:hAnsi="Arial" w:cs="Arial"/>
                <w:color w:val="000000"/>
                <w:sz w:val="16"/>
                <w:szCs w:val="16"/>
              </w:rPr>
              <w:t>4.4</w:t>
            </w:r>
          </w:p>
        </w:tc>
      </w:tr>
      <w:tr w:rsidR="0011445D" w:rsidRPr="0011445D" w14:paraId="49E9CF70" w14:textId="77777777" w:rsidTr="0011445D">
        <w:trPr>
          <w:trHeight w:hRule="exact" w:val="226"/>
        </w:trPr>
        <w:tc>
          <w:tcPr>
            <w:tcW w:w="2180" w:type="pct"/>
            <w:tcBorders>
              <w:top w:val="nil"/>
              <w:left w:val="nil"/>
              <w:bottom w:val="nil"/>
              <w:right w:val="nil"/>
            </w:tcBorders>
            <w:shd w:val="clear" w:color="auto" w:fill="auto"/>
            <w:noWrap/>
            <w:vAlign w:val="center"/>
            <w:hideMark/>
          </w:tcPr>
          <w:p w14:paraId="499D9CF9" w14:textId="77777777" w:rsidR="0011445D" w:rsidRPr="0011445D" w:rsidRDefault="0011445D" w:rsidP="0011445D">
            <w:pPr>
              <w:spacing w:before="0" w:after="0" w:line="240" w:lineRule="auto"/>
              <w:rPr>
                <w:rFonts w:ascii="Arial" w:hAnsi="Arial" w:cs="Arial"/>
                <w:b/>
                <w:bCs/>
                <w:color w:val="000000"/>
                <w:sz w:val="16"/>
                <w:szCs w:val="16"/>
              </w:rPr>
            </w:pPr>
            <w:r w:rsidRPr="0011445D">
              <w:rPr>
                <w:rFonts w:ascii="Arial" w:hAnsi="Arial" w:cs="Arial"/>
                <w:b/>
                <w:bCs/>
                <w:color w:val="000000"/>
                <w:sz w:val="16"/>
                <w:szCs w:val="16"/>
              </w:rPr>
              <w:t>Non-taxation receipts</w:t>
            </w:r>
          </w:p>
        </w:tc>
        <w:tc>
          <w:tcPr>
            <w:tcW w:w="726" w:type="pct"/>
            <w:tcBorders>
              <w:top w:val="single" w:sz="4" w:space="0" w:color="293F5B"/>
              <w:left w:val="nil"/>
              <w:bottom w:val="nil"/>
              <w:right w:val="nil"/>
            </w:tcBorders>
            <w:shd w:val="clear" w:color="000000" w:fill="FFFFFF"/>
            <w:noWrap/>
            <w:vAlign w:val="center"/>
            <w:hideMark/>
          </w:tcPr>
          <w:p w14:paraId="3E9BCF07"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57,770</w:t>
            </w:r>
          </w:p>
        </w:tc>
        <w:tc>
          <w:tcPr>
            <w:tcW w:w="726" w:type="pct"/>
            <w:tcBorders>
              <w:top w:val="single" w:sz="4" w:space="0" w:color="293F5B"/>
              <w:left w:val="nil"/>
              <w:bottom w:val="nil"/>
              <w:right w:val="nil"/>
            </w:tcBorders>
            <w:shd w:val="clear" w:color="000000" w:fill="E6F2FF"/>
            <w:noWrap/>
            <w:vAlign w:val="center"/>
            <w:hideMark/>
          </w:tcPr>
          <w:p w14:paraId="7A621FD3"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58,768</w:t>
            </w:r>
          </w:p>
        </w:tc>
        <w:tc>
          <w:tcPr>
            <w:tcW w:w="49" w:type="pct"/>
            <w:tcBorders>
              <w:top w:val="nil"/>
              <w:left w:val="nil"/>
              <w:bottom w:val="nil"/>
              <w:right w:val="nil"/>
            </w:tcBorders>
            <w:shd w:val="clear" w:color="auto" w:fill="auto"/>
            <w:noWrap/>
            <w:vAlign w:val="center"/>
            <w:hideMark/>
          </w:tcPr>
          <w:p w14:paraId="216BCB27"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659" w:type="pct"/>
            <w:tcBorders>
              <w:top w:val="single" w:sz="4" w:space="0" w:color="293F5B"/>
              <w:left w:val="nil"/>
              <w:bottom w:val="nil"/>
              <w:right w:val="nil"/>
            </w:tcBorders>
            <w:shd w:val="clear" w:color="auto" w:fill="auto"/>
            <w:noWrap/>
            <w:vAlign w:val="center"/>
            <w:hideMark/>
          </w:tcPr>
          <w:p w14:paraId="3F5D676B"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998</w:t>
            </w:r>
          </w:p>
        </w:tc>
        <w:tc>
          <w:tcPr>
            <w:tcW w:w="659" w:type="pct"/>
            <w:tcBorders>
              <w:top w:val="single" w:sz="4" w:space="0" w:color="293F5B"/>
              <w:left w:val="nil"/>
              <w:bottom w:val="nil"/>
              <w:right w:val="nil"/>
            </w:tcBorders>
            <w:shd w:val="clear" w:color="auto" w:fill="auto"/>
            <w:noWrap/>
            <w:vAlign w:val="center"/>
            <w:hideMark/>
          </w:tcPr>
          <w:p w14:paraId="7D553BF3"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1.7</w:t>
            </w:r>
          </w:p>
        </w:tc>
      </w:tr>
      <w:tr w:rsidR="0011445D" w:rsidRPr="0011445D" w14:paraId="38E88628" w14:textId="77777777" w:rsidTr="0011445D">
        <w:trPr>
          <w:trHeight w:hRule="exact" w:val="60"/>
        </w:trPr>
        <w:tc>
          <w:tcPr>
            <w:tcW w:w="2180" w:type="pct"/>
            <w:tcBorders>
              <w:top w:val="nil"/>
              <w:left w:val="nil"/>
              <w:bottom w:val="nil"/>
              <w:right w:val="nil"/>
            </w:tcBorders>
            <w:shd w:val="clear" w:color="auto" w:fill="auto"/>
            <w:noWrap/>
            <w:vAlign w:val="center"/>
            <w:hideMark/>
          </w:tcPr>
          <w:p w14:paraId="29C7E6C3"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726" w:type="pct"/>
            <w:tcBorders>
              <w:top w:val="single" w:sz="4" w:space="0" w:color="293F5B"/>
              <w:left w:val="nil"/>
              <w:bottom w:val="nil"/>
              <w:right w:val="nil"/>
            </w:tcBorders>
            <w:shd w:val="clear" w:color="000000" w:fill="FFFFFF"/>
            <w:noWrap/>
            <w:vAlign w:val="center"/>
            <w:hideMark/>
          </w:tcPr>
          <w:p w14:paraId="74EC8FF8"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c>
          <w:tcPr>
            <w:tcW w:w="726" w:type="pct"/>
            <w:tcBorders>
              <w:top w:val="single" w:sz="4" w:space="0" w:color="293F5B"/>
              <w:left w:val="nil"/>
              <w:bottom w:val="nil"/>
              <w:right w:val="nil"/>
            </w:tcBorders>
            <w:shd w:val="clear" w:color="000000" w:fill="E6F2FF"/>
            <w:noWrap/>
            <w:vAlign w:val="center"/>
            <w:hideMark/>
          </w:tcPr>
          <w:p w14:paraId="325C01B9"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c>
          <w:tcPr>
            <w:tcW w:w="49" w:type="pct"/>
            <w:tcBorders>
              <w:top w:val="nil"/>
              <w:left w:val="nil"/>
              <w:bottom w:val="nil"/>
              <w:right w:val="nil"/>
            </w:tcBorders>
            <w:shd w:val="clear" w:color="auto" w:fill="auto"/>
            <w:noWrap/>
            <w:vAlign w:val="center"/>
            <w:hideMark/>
          </w:tcPr>
          <w:p w14:paraId="0EBAEDF4" w14:textId="77777777" w:rsidR="0011445D" w:rsidRPr="0011445D" w:rsidRDefault="0011445D" w:rsidP="0011445D">
            <w:pPr>
              <w:spacing w:before="0" w:after="0" w:line="240" w:lineRule="auto"/>
              <w:jc w:val="right"/>
              <w:rPr>
                <w:rFonts w:ascii="Arial" w:hAnsi="Arial" w:cs="Arial"/>
                <w:b/>
                <w:bCs/>
                <w:color w:val="000000"/>
                <w:sz w:val="16"/>
                <w:szCs w:val="16"/>
              </w:rPr>
            </w:pPr>
          </w:p>
        </w:tc>
        <w:tc>
          <w:tcPr>
            <w:tcW w:w="659" w:type="pct"/>
            <w:tcBorders>
              <w:top w:val="single" w:sz="4" w:space="0" w:color="293F5B"/>
              <w:left w:val="nil"/>
              <w:bottom w:val="nil"/>
              <w:right w:val="nil"/>
            </w:tcBorders>
            <w:shd w:val="clear" w:color="auto" w:fill="auto"/>
            <w:noWrap/>
            <w:vAlign w:val="center"/>
            <w:hideMark/>
          </w:tcPr>
          <w:p w14:paraId="344751A7"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c>
          <w:tcPr>
            <w:tcW w:w="659" w:type="pct"/>
            <w:tcBorders>
              <w:top w:val="single" w:sz="4" w:space="0" w:color="293F5B"/>
              <w:left w:val="nil"/>
              <w:bottom w:val="nil"/>
              <w:right w:val="nil"/>
            </w:tcBorders>
            <w:shd w:val="clear" w:color="auto" w:fill="auto"/>
            <w:noWrap/>
            <w:vAlign w:val="center"/>
            <w:hideMark/>
          </w:tcPr>
          <w:p w14:paraId="2F144D5C"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r>
      <w:tr w:rsidR="0011445D" w:rsidRPr="0011445D" w14:paraId="2AB04775" w14:textId="77777777" w:rsidTr="0011445D">
        <w:trPr>
          <w:trHeight w:hRule="exact" w:val="226"/>
        </w:trPr>
        <w:tc>
          <w:tcPr>
            <w:tcW w:w="2180" w:type="pct"/>
            <w:tcBorders>
              <w:top w:val="nil"/>
              <w:left w:val="nil"/>
              <w:bottom w:val="single" w:sz="4" w:space="0" w:color="293F5B"/>
              <w:right w:val="nil"/>
            </w:tcBorders>
            <w:shd w:val="clear" w:color="auto" w:fill="auto"/>
            <w:noWrap/>
            <w:vAlign w:val="center"/>
            <w:hideMark/>
          </w:tcPr>
          <w:p w14:paraId="4B6F8E2A" w14:textId="77777777" w:rsidR="0011445D" w:rsidRPr="0011445D" w:rsidRDefault="0011445D" w:rsidP="0011445D">
            <w:pPr>
              <w:spacing w:before="0" w:after="0" w:line="240" w:lineRule="auto"/>
              <w:rPr>
                <w:rFonts w:ascii="Arial" w:hAnsi="Arial" w:cs="Arial"/>
                <w:b/>
                <w:bCs/>
                <w:color w:val="000000"/>
                <w:sz w:val="16"/>
                <w:szCs w:val="16"/>
              </w:rPr>
            </w:pPr>
            <w:r w:rsidRPr="0011445D">
              <w:rPr>
                <w:rFonts w:ascii="Arial" w:hAnsi="Arial" w:cs="Arial"/>
                <w:b/>
                <w:bCs/>
                <w:color w:val="000000"/>
                <w:sz w:val="16"/>
                <w:szCs w:val="16"/>
              </w:rPr>
              <w:t>Total receipts</w:t>
            </w:r>
          </w:p>
        </w:tc>
        <w:tc>
          <w:tcPr>
            <w:tcW w:w="726" w:type="pct"/>
            <w:tcBorders>
              <w:top w:val="nil"/>
              <w:left w:val="nil"/>
              <w:bottom w:val="single" w:sz="4" w:space="0" w:color="293F5B"/>
              <w:right w:val="nil"/>
            </w:tcBorders>
            <w:shd w:val="clear" w:color="000000" w:fill="FFFFFF"/>
            <w:noWrap/>
            <w:vAlign w:val="center"/>
            <w:hideMark/>
          </w:tcPr>
          <w:p w14:paraId="11ADAEBD" w14:textId="77777777" w:rsidR="0011445D" w:rsidRPr="0011445D" w:rsidRDefault="0011445D" w:rsidP="0011445D">
            <w:pPr>
              <w:spacing w:before="0" w:after="0" w:line="240" w:lineRule="auto"/>
              <w:jc w:val="right"/>
              <w:rPr>
                <w:rFonts w:ascii="Arial" w:hAnsi="Arial" w:cs="Arial"/>
                <w:b/>
                <w:bCs/>
                <w:sz w:val="16"/>
                <w:szCs w:val="16"/>
              </w:rPr>
            </w:pPr>
            <w:r w:rsidRPr="0011445D">
              <w:rPr>
                <w:rFonts w:ascii="Arial" w:hAnsi="Arial" w:cs="Arial"/>
                <w:b/>
                <w:bCs/>
                <w:sz w:val="16"/>
                <w:szCs w:val="16"/>
              </w:rPr>
              <w:t>719,353</w:t>
            </w:r>
          </w:p>
        </w:tc>
        <w:tc>
          <w:tcPr>
            <w:tcW w:w="726" w:type="pct"/>
            <w:tcBorders>
              <w:top w:val="nil"/>
              <w:left w:val="nil"/>
              <w:bottom w:val="single" w:sz="4" w:space="0" w:color="293F5B"/>
              <w:right w:val="nil"/>
            </w:tcBorders>
            <w:shd w:val="clear" w:color="000000" w:fill="E6F2FF"/>
            <w:noWrap/>
            <w:vAlign w:val="center"/>
            <w:hideMark/>
          </w:tcPr>
          <w:p w14:paraId="4F153518" w14:textId="77777777" w:rsidR="0011445D" w:rsidRPr="0011445D" w:rsidRDefault="0011445D" w:rsidP="0011445D">
            <w:pPr>
              <w:spacing w:before="0" w:after="0" w:line="240" w:lineRule="auto"/>
              <w:jc w:val="right"/>
              <w:rPr>
                <w:rFonts w:ascii="Arial" w:hAnsi="Arial" w:cs="Arial"/>
                <w:b/>
                <w:bCs/>
                <w:sz w:val="16"/>
                <w:szCs w:val="16"/>
              </w:rPr>
            </w:pPr>
            <w:r w:rsidRPr="0011445D">
              <w:rPr>
                <w:rFonts w:ascii="Arial" w:hAnsi="Arial" w:cs="Arial"/>
                <w:b/>
                <w:bCs/>
                <w:sz w:val="16"/>
                <w:szCs w:val="16"/>
              </w:rPr>
              <w:t>728,419</w:t>
            </w:r>
          </w:p>
        </w:tc>
        <w:tc>
          <w:tcPr>
            <w:tcW w:w="49" w:type="pct"/>
            <w:tcBorders>
              <w:top w:val="nil"/>
              <w:left w:val="nil"/>
              <w:bottom w:val="single" w:sz="4" w:space="0" w:color="293F5B"/>
              <w:right w:val="nil"/>
            </w:tcBorders>
            <w:shd w:val="clear" w:color="auto" w:fill="auto"/>
            <w:noWrap/>
            <w:vAlign w:val="center"/>
            <w:hideMark/>
          </w:tcPr>
          <w:p w14:paraId="7BA2A88A"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c>
          <w:tcPr>
            <w:tcW w:w="659" w:type="pct"/>
            <w:tcBorders>
              <w:top w:val="nil"/>
              <w:left w:val="nil"/>
              <w:bottom w:val="single" w:sz="4" w:space="0" w:color="293F5B"/>
              <w:right w:val="nil"/>
            </w:tcBorders>
            <w:shd w:val="clear" w:color="auto" w:fill="auto"/>
            <w:noWrap/>
            <w:vAlign w:val="center"/>
            <w:hideMark/>
          </w:tcPr>
          <w:p w14:paraId="2A28B9A2"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9,066</w:t>
            </w:r>
          </w:p>
        </w:tc>
        <w:tc>
          <w:tcPr>
            <w:tcW w:w="659" w:type="pct"/>
            <w:tcBorders>
              <w:top w:val="nil"/>
              <w:left w:val="nil"/>
              <w:bottom w:val="single" w:sz="4" w:space="0" w:color="293F5B"/>
              <w:right w:val="nil"/>
            </w:tcBorders>
            <w:shd w:val="clear" w:color="auto" w:fill="auto"/>
            <w:noWrap/>
            <w:vAlign w:val="center"/>
            <w:hideMark/>
          </w:tcPr>
          <w:p w14:paraId="77664D4C"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1.3</w:t>
            </w:r>
          </w:p>
        </w:tc>
      </w:tr>
      <w:tr w:rsidR="0011445D" w:rsidRPr="0011445D" w14:paraId="64C1F7B1" w14:textId="77777777" w:rsidTr="0011445D">
        <w:trPr>
          <w:trHeight w:hRule="exact" w:val="226"/>
        </w:trPr>
        <w:tc>
          <w:tcPr>
            <w:tcW w:w="2180" w:type="pct"/>
            <w:tcBorders>
              <w:top w:val="nil"/>
              <w:left w:val="nil"/>
              <w:bottom w:val="nil"/>
              <w:right w:val="nil"/>
            </w:tcBorders>
            <w:shd w:val="clear" w:color="auto" w:fill="auto"/>
            <w:noWrap/>
            <w:vAlign w:val="center"/>
            <w:hideMark/>
          </w:tcPr>
          <w:p w14:paraId="47B22E3E" w14:textId="77777777" w:rsidR="0011445D" w:rsidRPr="0011445D" w:rsidRDefault="0011445D" w:rsidP="0011445D">
            <w:pPr>
              <w:spacing w:before="0" w:after="0" w:line="240" w:lineRule="auto"/>
              <w:rPr>
                <w:rFonts w:ascii="Arial" w:hAnsi="Arial" w:cs="Arial"/>
                <w:i/>
                <w:iCs/>
                <w:color w:val="000000"/>
                <w:sz w:val="16"/>
                <w:szCs w:val="16"/>
              </w:rPr>
            </w:pPr>
            <w:r w:rsidRPr="0011445D">
              <w:rPr>
                <w:rFonts w:ascii="Arial" w:hAnsi="Arial" w:cs="Arial"/>
                <w:i/>
                <w:iCs/>
                <w:color w:val="000000"/>
                <w:sz w:val="16"/>
                <w:szCs w:val="16"/>
              </w:rPr>
              <w:t>Memorandum:</w:t>
            </w:r>
          </w:p>
        </w:tc>
        <w:tc>
          <w:tcPr>
            <w:tcW w:w="726" w:type="pct"/>
            <w:tcBorders>
              <w:top w:val="nil"/>
              <w:left w:val="nil"/>
              <w:bottom w:val="nil"/>
              <w:right w:val="nil"/>
            </w:tcBorders>
            <w:shd w:val="clear" w:color="000000" w:fill="FFFFFF"/>
            <w:noWrap/>
            <w:vAlign w:val="center"/>
            <w:hideMark/>
          </w:tcPr>
          <w:p w14:paraId="19A4D917" w14:textId="77777777" w:rsidR="0011445D" w:rsidRPr="0011445D" w:rsidRDefault="0011445D" w:rsidP="0011445D">
            <w:pPr>
              <w:spacing w:before="0" w:after="0" w:line="240" w:lineRule="auto"/>
              <w:jc w:val="right"/>
              <w:rPr>
                <w:rFonts w:ascii="Arial" w:hAnsi="Arial" w:cs="Arial"/>
                <w:b/>
                <w:bCs/>
                <w:color w:val="000000"/>
                <w:sz w:val="16"/>
                <w:szCs w:val="16"/>
              </w:rPr>
            </w:pPr>
            <w:r w:rsidRPr="0011445D">
              <w:rPr>
                <w:rFonts w:ascii="Arial" w:hAnsi="Arial" w:cs="Arial"/>
                <w:b/>
                <w:bCs/>
                <w:color w:val="000000"/>
                <w:sz w:val="16"/>
                <w:szCs w:val="16"/>
              </w:rPr>
              <w:t> </w:t>
            </w:r>
          </w:p>
        </w:tc>
        <w:tc>
          <w:tcPr>
            <w:tcW w:w="726" w:type="pct"/>
            <w:tcBorders>
              <w:top w:val="nil"/>
              <w:left w:val="nil"/>
              <w:bottom w:val="nil"/>
              <w:right w:val="nil"/>
            </w:tcBorders>
            <w:shd w:val="clear" w:color="000000" w:fill="E6F2FF"/>
            <w:noWrap/>
            <w:vAlign w:val="center"/>
            <w:hideMark/>
          </w:tcPr>
          <w:p w14:paraId="642915A7" w14:textId="77777777" w:rsidR="0011445D" w:rsidRPr="0011445D" w:rsidRDefault="0011445D" w:rsidP="0011445D">
            <w:pPr>
              <w:spacing w:before="0" w:after="0" w:line="240" w:lineRule="auto"/>
              <w:rPr>
                <w:rFonts w:ascii="Arial" w:hAnsi="Arial" w:cs="Arial"/>
                <w:b/>
                <w:bCs/>
                <w:sz w:val="16"/>
                <w:szCs w:val="16"/>
              </w:rPr>
            </w:pPr>
            <w:r w:rsidRPr="0011445D">
              <w:rPr>
                <w:rFonts w:ascii="Arial" w:hAnsi="Arial" w:cs="Arial"/>
                <w:b/>
                <w:bCs/>
                <w:sz w:val="16"/>
                <w:szCs w:val="16"/>
              </w:rPr>
              <w:t> </w:t>
            </w:r>
          </w:p>
        </w:tc>
        <w:tc>
          <w:tcPr>
            <w:tcW w:w="49" w:type="pct"/>
            <w:tcBorders>
              <w:top w:val="nil"/>
              <w:left w:val="nil"/>
              <w:bottom w:val="nil"/>
              <w:right w:val="nil"/>
            </w:tcBorders>
            <w:shd w:val="clear" w:color="auto" w:fill="auto"/>
            <w:noWrap/>
            <w:vAlign w:val="center"/>
            <w:hideMark/>
          </w:tcPr>
          <w:p w14:paraId="1730A0C1" w14:textId="77777777" w:rsidR="0011445D" w:rsidRPr="0011445D" w:rsidRDefault="0011445D" w:rsidP="0011445D">
            <w:pPr>
              <w:spacing w:before="0" w:after="0" w:line="240" w:lineRule="auto"/>
              <w:rPr>
                <w:rFonts w:ascii="Arial" w:hAnsi="Arial" w:cs="Arial"/>
                <w:b/>
                <w:bCs/>
                <w:sz w:val="16"/>
                <w:szCs w:val="16"/>
              </w:rPr>
            </w:pPr>
          </w:p>
        </w:tc>
        <w:tc>
          <w:tcPr>
            <w:tcW w:w="659" w:type="pct"/>
            <w:tcBorders>
              <w:top w:val="nil"/>
              <w:left w:val="nil"/>
              <w:bottom w:val="nil"/>
              <w:right w:val="nil"/>
            </w:tcBorders>
            <w:shd w:val="clear" w:color="auto" w:fill="auto"/>
            <w:noWrap/>
            <w:vAlign w:val="center"/>
            <w:hideMark/>
          </w:tcPr>
          <w:p w14:paraId="3F93D3F8" w14:textId="77777777" w:rsidR="0011445D" w:rsidRPr="0011445D" w:rsidRDefault="0011445D" w:rsidP="0011445D">
            <w:pPr>
              <w:spacing w:before="0" w:after="0" w:line="240" w:lineRule="auto"/>
              <w:jc w:val="right"/>
              <w:rPr>
                <w:rFonts w:ascii="Times New Roman" w:hAnsi="Times New Roman"/>
                <w:sz w:val="20"/>
              </w:rPr>
            </w:pPr>
          </w:p>
        </w:tc>
        <w:tc>
          <w:tcPr>
            <w:tcW w:w="659" w:type="pct"/>
            <w:tcBorders>
              <w:top w:val="nil"/>
              <w:left w:val="nil"/>
              <w:bottom w:val="nil"/>
              <w:right w:val="nil"/>
            </w:tcBorders>
            <w:shd w:val="clear" w:color="auto" w:fill="auto"/>
            <w:noWrap/>
            <w:vAlign w:val="center"/>
            <w:hideMark/>
          </w:tcPr>
          <w:p w14:paraId="2537B25A" w14:textId="77777777" w:rsidR="0011445D" w:rsidRPr="0011445D" w:rsidRDefault="0011445D" w:rsidP="0011445D">
            <w:pPr>
              <w:spacing w:before="0" w:after="0" w:line="240" w:lineRule="auto"/>
              <w:jc w:val="right"/>
              <w:rPr>
                <w:rFonts w:ascii="Times New Roman" w:hAnsi="Times New Roman"/>
                <w:sz w:val="20"/>
              </w:rPr>
            </w:pPr>
          </w:p>
        </w:tc>
      </w:tr>
      <w:tr w:rsidR="0011445D" w:rsidRPr="0011445D" w14:paraId="1186F1A7"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04828B5" w14:textId="77777777" w:rsidR="0011445D" w:rsidRPr="0011445D" w:rsidRDefault="0011445D" w:rsidP="0011445D">
            <w:pPr>
              <w:spacing w:before="0" w:after="0" w:line="240" w:lineRule="auto"/>
              <w:ind w:left="170"/>
              <w:rPr>
                <w:rFonts w:ascii="Arial" w:hAnsi="Arial" w:cs="Arial"/>
                <w:i/>
                <w:iCs/>
                <w:sz w:val="16"/>
                <w:szCs w:val="16"/>
              </w:rPr>
            </w:pPr>
            <w:r w:rsidRPr="0011445D">
              <w:rPr>
                <w:rFonts w:ascii="Arial" w:hAnsi="Arial" w:cs="Arial"/>
                <w:i/>
                <w:iCs/>
                <w:sz w:val="16"/>
                <w:szCs w:val="16"/>
              </w:rPr>
              <w:t xml:space="preserve">Total excise </w:t>
            </w:r>
          </w:p>
        </w:tc>
        <w:tc>
          <w:tcPr>
            <w:tcW w:w="726" w:type="pct"/>
            <w:tcBorders>
              <w:top w:val="nil"/>
              <w:left w:val="nil"/>
              <w:bottom w:val="nil"/>
              <w:right w:val="nil"/>
            </w:tcBorders>
            <w:shd w:val="clear" w:color="auto" w:fill="auto"/>
            <w:noWrap/>
            <w:vAlign w:val="center"/>
            <w:hideMark/>
          </w:tcPr>
          <w:p w14:paraId="6B4E4E57"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32,670</w:t>
            </w:r>
          </w:p>
        </w:tc>
        <w:tc>
          <w:tcPr>
            <w:tcW w:w="726" w:type="pct"/>
            <w:tcBorders>
              <w:top w:val="nil"/>
              <w:left w:val="nil"/>
              <w:bottom w:val="nil"/>
              <w:right w:val="nil"/>
            </w:tcBorders>
            <w:shd w:val="clear" w:color="000000" w:fill="E6F2FF"/>
            <w:noWrap/>
            <w:vAlign w:val="center"/>
            <w:hideMark/>
          </w:tcPr>
          <w:p w14:paraId="36204E5A"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32,570</w:t>
            </w:r>
          </w:p>
        </w:tc>
        <w:tc>
          <w:tcPr>
            <w:tcW w:w="49" w:type="pct"/>
            <w:tcBorders>
              <w:top w:val="nil"/>
              <w:left w:val="nil"/>
              <w:bottom w:val="nil"/>
              <w:right w:val="nil"/>
            </w:tcBorders>
            <w:shd w:val="clear" w:color="auto" w:fill="auto"/>
            <w:noWrap/>
            <w:vAlign w:val="center"/>
            <w:hideMark/>
          </w:tcPr>
          <w:p w14:paraId="106AA665" w14:textId="77777777" w:rsidR="0011445D" w:rsidRPr="0011445D" w:rsidRDefault="0011445D" w:rsidP="0011445D">
            <w:pPr>
              <w:spacing w:before="0" w:after="0" w:line="240" w:lineRule="auto"/>
              <w:jc w:val="right"/>
              <w:rPr>
                <w:rFonts w:ascii="Arial" w:hAnsi="Arial" w:cs="Arial"/>
                <w:i/>
                <w:iCs/>
                <w:color w:val="000000"/>
                <w:sz w:val="16"/>
                <w:szCs w:val="16"/>
              </w:rPr>
            </w:pPr>
          </w:p>
        </w:tc>
        <w:tc>
          <w:tcPr>
            <w:tcW w:w="659" w:type="pct"/>
            <w:tcBorders>
              <w:top w:val="nil"/>
              <w:left w:val="nil"/>
              <w:bottom w:val="nil"/>
              <w:right w:val="nil"/>
            </w:tcBorders>
            <w:shd w:val="clear" w:color="auto" w:fill="auto"/>
            <w:noWrap/>
            <w:vAlign w:val="center"/>
            <w:hideMark/>
          </w:tcPr>
          <w:p w14:paraId="667E200B"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-100</w:t>
            </w:r>
          </w:p>
        </w:tc>
        <w:tc>
          <w:tcPr>
            <w:tcW w:w="659" w:type="pct"/>
            <w:tcBorders>
              <w:top w:val="nil"/>
              <w:left w:val="nil"/>
              <w:bottom w:val="nil"/>
              <w:right w:val="nil"/>
            </w:tcBorders>
            <w:shd w:val="clear" w:color="auto" w:fill="auto"/>
            <w:noWrap/>
            <w:vAlign w:val="center"/>
            <w:hideMark/>
          </w:tcPr>
          <w:p w14:paraId="0FA03E69"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-0.3</w:t>
            </w:r>
          </w:p>
        </w:tc>
      </w:tr>
      <w:tr w:rsidR="0011445D" w:rsidRPr="0011445D" w14:paraId="24AB868D" w14:textId="77777777" w:rsidTr="0011445D">
        <w:trPr>
          <w:trHeight w:hRule="exact" w:val="226"/>
        </w:trPr>
        <w:tc>
          <w:tcPr>
            <w:tcW w:w="2180" w:type="pct"/>
            <w:tcBorders>
              <w:top w:val="nil"/>
              <w:left w:val="nil"/>
              <w:bottom w:val="nil"/>
              <w:right w:val="nil"/>
            </w:tcBorders>
            <w:shd w:val="clear" w:color="auto" w:fill="auto"/>
            <w:noWrap/>
            <w:vAlign w:val="center"/>
            <w:hideMark/>
          </w:tcPr>
          <w:p w14:paraId="00F14D4B" w14:textId="77777777" w:rsidR="0011445D" w:rsidRPr="0011445D" w:rsidRDefault="0011445D" w:rsidP="0011445D">
            <w:pPr>
              <w:spacing w:before="0" w:after="0" w:line="240" w:lineRule="auto"/>
              <w:ind w:left="170"/>
              <w:rPr>
                <w:rFonts w:ascii="Arial" w:hAnsi="Arial" w:cs="Arial"/>
                <w:i/>
                <w:iCs/>
                <w:sz w:val="16"/>
                <w:szCs w:val="16"/>
              </w:rPr>
            </w:pPr>
            <w:r w:rsidRPr="0011445D">
              <w:rPr>
                <w:rFonts w:ascii="Arial" w:hAnsi="Arial" w:cs="Arial"/>
                <w:i/>
                <w:iCs/>
                <w:sz w:val="16"/>
                <w:szCs w:val="16"/>
              </w:rPr>
              <w:t xml:space="preserve">Total customs duty </w:t>
            </w:r>
          </w:p>
        </w:tc>
        <w:tc>
          <w:tcPr>
            <w:tcW w:w="726" w:type="pct"/>
            <w:tcBorders>
              <w:top w:val="nil"/>
              <w:left w:val="nil"/>
              <w:bottom w:val="nil"/>
              <w:right w:val="nil"/>
            </w:tcBorders>
            <w:shd w:val="clear" w:color="auto" w:fill="auto"/>
            <w:noWrap/>
            <w:vAlign w:val="center"/>
            <w:hideMark/>
          </w:tcPr>
          <w:p w14:paraId="442EDD82"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16,210</w:t>
            </w:r>
          </w:p>
        </w:tc>
        <w:tc>
          <w:tcPr>
            <w:tcW w:w="726" w:type="pct"/>
            <w:tcBorders>
              <w:top w:val="nil"/>
              <w:left w:val="nil"/>
              <w:bottom w:val="nil"/>
              <w:right w:val="nil"/>
            </w:tcBorders>
            <w:shd w:val="clear" w:color="000000" w:fill="E6F2FF"/>
            <w:noWrap/>
            <w:vAlign w:val="center"/>
            <w:hideMark/>
          </w:tcPr>
          <w:p w14:paraId="54F4A4F6"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12,960</w:t>
            </w:r>
          </w:p>
        </w:tc>
        <w:tc>
          <w:tcPr>
            <w:tcW w:w="49" w:type="pct"/>
            <w:tcBorders>
              <w:top w:val="nil"/>
              <w:left w:val="nil"/>
              <w:bottom w:val="nil"/>
              <w:right w:val="nil"/>
            </w:tcBorders>
            <w:shd w:val="clear" w:color="auto" w:fill="auto"/>
            <w:noWrap/>
            <w:vAlign w:val="center"/>
            <w:hideMark/>
          </w:tcPr>
          <w:p w14:paraId="4869436A" w14:textId="77777777" w:rsidR="0011445D" w:rsidRPr="0011445D" w:rsidRDefault="0011445D" w:rsidP="0011445D">
            <w:pPr>
              <w:spacing w:before="0" w:after="0" w:line="240" w:lineRule="auto"/>
              <w:jc w:val="right"/>
              <w:rPr>
                <w:rFonts w:ascii="Arial" w:hAnsi="Arial" w:cs="Arial"/>
                <w:i/>
                <w:iCs/>
                <w:color w:val="000000"/>
                <w:sz w:val="16"/>
                <w:szCs w:val="16"/>
              </w:rPr>
            </w:pPr>
          </w:p>
        </w:tc>
        <w:tc>
          <w:tcPr>
            <w:tcW w:w="659" w:type="pct"/>
            <w:tcBorders>
              <w:top w:val="nil"/>
              <w:left w:val="nil"/>
              <w:bottom w:val="nil"/>
              <w:right w:val="nil"/>
            </w:tcBorders>
            <w:shd w:val="clear" w:color="auto" w:fill="auto"/>
            <w:noWrap/>
            <w:vAlign w:val="center"/>
            <w:hideMark/>
          </w:tcPr>
          <w:p w14:paraId="094C0F61"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-3,250</w:t>
            </w:r>
          </w:p>
        </w:tc>
        <w:tc>
          <w:tcPr>
            <w:tcW w:w="659" w:type="pct"/>
            <w:tcBorders>
              <w:top w:val="nil"/>
              <w:left w:val="nil"/>
              <w:bottom w:val="nil"/>
              <w:right w:val="nil"/>
            </w:tcBorders>
            <w:shd w:val="clear" w:color="auto" w:fill="auto"/>
            <w:noWrap/>
            <w:vAlign w:val="center"/>
            <w:hideMark/>
          </w:tcPr>
          <w:p w14:paraId="45F6B5DC"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-20.0</w:t>
            </w:r>
          </w:p>
        </w:tc>
      </w:tr>
      <w:tr w:rsidR="0011445D" w:rsidRPr="0011445D" w14:paraId="1FD24A17" w14:textId="77777777" w:rsidTr="0011445D">
        <w:trPr>
          <w:trHeight w:hRule="exact" w:val="226"/>
        </w:trPr>
        <w:tc>
          <w:tcPr>
            <w:tcW w:w="2180" w:type="pct"/>
            <w:tcBorders>
              <w:top w:val="nil"/>
              <w:left w:val="nil"/>
              <w:bottom w:val="single" w:sz="4" w:space="0" w:color="293F5B"/>
              <w:right w:val="nil"/>
            </w:tcBorders>
            <w:shd w:val="clear" w:color="auto" w:fill="auto"/>
            <w:noWrap/>
            <w:vAlign w:val="center"/>
            <w:hideMark/>
          </w:tcPr>
          <w:p w14:paraId="63558997" w14:textId="77777777" w:rsidR="0011445D" w:rsidRPr="0011445D" w:rsidRDefault="0011445D" w:rsidP="0011445D">
            <w:pPr>
              <w:spacing w:before="0" w:after="0" w:line="240" w:lineRule="auto"/>
              <w:ind w:left="170"/>
              <w:rPr>
                <w:rFonts w:ascii="Arial" w:hAnsi="Arial" w:cs="Arial"/>
                <w:i/>
                <w:iCs/>
                <w:color w:val="000000"/>
                <w:sz w:val="16"/>
                <w:szCs w:val="16"/>
              </w:rPr>
            </w:pPr>
            <w:r w:rsidRPr="0011445D">
              <w:rPr>
                <w:rFonts w:ascii="Arial" w:hAnsi="Arial" w:cs="Arial"/>
                <w:i/>
                <w:iCs/>
                <w:color w:val="000000"/>
                <w:sz w:val="16"/>
                <w:szCs w:val="16"/>
              </w:rPr>
              <w:t>Capital gains tax(b)</w:t>
            </w:r>
          </w:p>
        </w:tc>
        <w:tc>
          <w:tcPr>
            <w:tcW w:w="726" w:type="pct"/>
            <w:tcBorders>
              <w:top w:val="nil"/>
              <w:left w:val="nil"/>
              <w:bottom w:val="single" w:sz="4" w:space="0" w:color="293F5B"/>
              <w:right w:val="nil"/>
            </w:tcBorders>
            <w:shd w:val="clear" w:color="000000" w:fill="FFFFFF"/>
            <w:noWrap/>
            <w:vAlign w:val="center"/>
            <w:hideMark/>
          </w:tcPr>
          <w:p w14:paraId="638C52CD" w14:textId="77777777" w:rsidR="0011445D" w:rsidRPr="0011445D" w:rsidRDefault="0011445D" w:rsidP="0011445D">
            <w:pPr>
              <w:spacing w:before="0" w:after="0" w:line="240" w:lineRule="auto"/>
              <w:jc w:val="right"/>
              <w:rPr>
                <w:rFonts w:ascii="Arial" w:hAnsi="Arial" w:cs="Arial"/>
                <w:i/>
                <w:iCs/>
                <w:sz w:val="16"/>
                <w:szCs w:val="16"/>
              </w:rPr>
            </w:pPr>
            <w:r w:rsidRPr="0011445D">
              <w:rPr>
                <w:rFonts w:ascii="Arial" w:hAnsi="Arial" w:cs="Arial"/>
                <w:i/>
                <w:iCs/>
                <w:sz w:val="16"/>
                <w:szCs w:val="16"/>
              </w:rPr>
              <w:t>23,800</w:t>
            </w:r>
          </w:p>
        </w:tc>
        <w:tc>
          <w:tcPr>
            <w:tcW w:w="726" w:type="pct"/>
            <w:tcBorders>
              <w:top w:val="nil"/>
              <w:left w:val="nil"/>
              <w:bottom w:val="single" w:sz="4" w:space="0" w:color="293F5B"/>
              <w:right w:val="nil"/>
            </w:tcBorders>
            <w:shd w:val="clear" w:color="000000" w:fill="E6F2FF"/>
            <w:noWrap/>
            <w:vAlign w:val="center"/>
            <w:hideMark/>
          </w:tcPr>
          <w:p w14:paraId="1951605C" w14:textId="77777777" w:rsidR="0011445D" w:rsidRPr="0011445D" w:rsidRDefault="0011445D" w:rsidP="0011445D">
            <w:pPr>
              <w:spacing w:before="0" w:after="0" w:line="240" w:lineRule="auto"/>
              <w:jc w:val="right"/>
              <w:rPr>
                <w:rFonts w:ascii="Arial" w:hAnsi="Arial" w:cs="Arial"/>
                <w:i/>
                <w:iCs/>
                <w:sz w:val="16"/>
                <w:szCs w:val="16"/>
              </w:rPr>
            </w:pPr>
            <w:r w:rsidRPr="0011445D">
              <w:rPr>
                <w:rFonts w:ascii="Arial" w:hAnsi="Arial" w:cs="Arial"/>
                <w:i/>
                <w:iCs/>
                <w:sz w:val="16"/>
                <w:szCs w:val="16"/>
              </w:rPr>
              <w:t>26,100</w:t>
            </w:r>
          </w:p>
        </w:tc>
        <w:tc>
          <w:tcPr>
            <w:tcW w:w="49" w:type="pct"/>
            <w:tcBorders>
              <w:top w:val="nil"/>
              <w:left w:val="nil"/>
              <w:bottom w:val="single" w:sz="4" w:space="0" w:color="293F5B"/>
              <w:right w:val="nil"/>
            </w:tcBorders>
            <w:shd w:val="clear" w:color="auto" w:fill="auto"/>
            <w:noWrap/>
            <w:vAlign w:val="center"/>
            <w:hideMark/>
          </w:tcPr>
          <w:p w14:paraId="61EA73C0"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 </w:t>
            </w:r>
          </w:p>
        </w:tc>
        <w:tc>
          <w:tcPr>
            <w:tcW w:w="659" w:type="pct"/>
            <w:tcBorders>
              <w:top w:val="nil"/>
              <w:left w:val="nil"/>
              <w:bottom w:val="single" w:sz="4" w:space="0" w:color="293F5B"/>
              <w:right w:val="nil"/>
            </w:tcBorders>
            <w:shd w:val="clear" w:color="auto" w:fill="auto"/>
            <w:noWrap/>
            <w:vAlign w:val="center"/>
            <w:hideMark/>
          </w:tcPr>
          <w:p w14:paraId="7A676DC7"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2,300</w:t>
            </w:r>
          </w:p>
        </w:tc>
        <w:tc>
          <w:tcPr>
            <w:tcW w:w="659" w:type="pct"/>
            <w:tcBorders>
              <w:top w:val="nil"/>
              <w:left w:val="nil"/>
              <w:bottom w:val="single" w:sz="4" w:space="0" w:color="293F5B"/>
              <w:right w:val="nil"/>
            </w:tcBorders>
            <w:shd w:val="clear" w:color="auto" w:fill="auto"/>
            <w:noWrap/>
            <w:vAlign w:val="center"/>
            <w:hideMark/>
          </w:tcPr>
          <w:p w14:paraId="6CEB741C" w14:textId="77777777" w:rsidR="0011445D" w:rsidRPr="0011445D" w:rsidRDefault="0011445D" w:rsidP="0011445D">
            <w:pPr>
              <w:spacing w:before="0" w:after="0" w:line="240" w:lineRule="auto"/>
              <w:jc w:val="right"/>
              <w:rPr>
                <w:rFonts w:ascii="Arial" w:hAnsi="Arial" w:cs="Arial"/>
                <w:i/>
                <w:iCs/>
                <w:color w:val="000000"/>
                <w:sz w:val="16"/>
                <w:szCs w:val="16"/>
              </w:rPr>
            </w:pPr>
            <w:r w:rsidRPr="0011445D">
              <w:rPr>
                <w:rFonts w:ascii="Arial" w:hAnsi="Arial" w:cs="Arial"/>
                <w:i/>
                <w:iCs/>
                <w:color w:val="000000"/>
                <w:sz w:val="16"/>
                <w:szCs w:val="16"/>
              </w:rPr>
              <w:t>9.7</w:t>
            </w:r>
          </w:p>
        </w:tc>
      </w:tr>
    </w:tbl>
    <w:p w14:paraId="1457628B" w14:textId="3355CC4A" w:rsidR="00D63C70" w:rsidRPr="00205DD5" w:rsidRDefault="0047023D" w:rsidP="00B862B7">
      <w:pPr>
        <w:pStyle w:val="ChartandTableFootnoteAlpha"/>
        <w:numPr>
          <w:ilvl w:val="0"/>
          <w:numId w:val="11"/>
        </w:numPr>
        <w:rPr>
          <w:rFonts w:eastAsiaTheme="minorEastAsia"/>
          <w:color w:val="auto"/>
        </w:rPr>
      </w:pPr>
      <w:r w:rsidRPr="00205DD5">
        <w:rPr>
          <w:rFonts w:eastAsiaTheme="minorEastAsia"/>
          <w:color w:val="auto"/>
        </w:rPr>
        <w:t>‘</w:t>
      </w:r>
      <w:r w:rsidR="00D63C70" w:rsidRPr="00205DD5">
        <w:rPr>
          <w:rFonts w:eastAsiaTheme="minorEastAsia"/>
          <w:color w:val="auto"/>
        </w:rPr>
        <w:t xml:space="preserve">Other alcoholic beverages’ are those not exceeding 10 per cent by volume of alcohol (excluding beer, </w:t>
      </w:r>
      <w:proofErr w:type="gramStart"/>
      <w:r w:rsidR="00D63C70" w:rsidRPr="00205DD5">
        <w:rPr>
          <w:rFonts w:eastAsiaTheme="minorEastAsia"/>
          <w:color w:val="auto"/>
        </w:rPr>
        <w:t>brandy</w:t>
      </w:r>
      <w:proofErr w:type="gramEnd"/>
      <w:r w:rsidR="00D63C70" w:rsidRPr="00205DD5">
        <w:rPr>
          <w:rFonts w:eastAsiaTheme="minorEastAsia"/>
          <w:color w:val="auto"/>
        </w:rPr>
        <w:t xml:space="preserve"> and wine).</w:t>
      </w:r>
    </w:p>
    <w:p w14:paraId="776C2EC8" w14:textId="46047052" w:rsidR="00D63C70" w:rsidRPr="00DA2FB5" w:rsidRDefault="00D63C70" w:rsidP="00B862B7">
      <w:pPr>
        <w:pStyle w:val="ChartandTableFootnoteAlpha"/>
        <w:numPr>
          <w:ilvl w:val="0"/>
          <w:numId w:val="11"/>
        </w:numPr>
        <w:rPr>
          <w:rFonts w:eastAsiaTheme="minorEastAsia"/>
        </w:rPr>
      </w:pPr>
      <w:r w:rsidRPr="00205DD5">
        <w:rPr>
          <w:rFonts w:eastAsiaTheme="minorEastAsia"/>
          <w:color w:val="auto"/>
        </w:rPr>
        <w:t>‘Capital gains tax’ is part of gross other individuals, company tax and superannuation fund taxes.</w:t>
      </w:r>
      <w:r w:rsidR="00A8735A" w:rsidRPr="00205DD5">
        <w:rPr>
          <w:color w:val="auto"/>
        </w:rPr>
        <w:t xml:space="preserve"> </w:t>
      </w:r>
    </w:p>
    <w:p w14:paraId="1090682B" w14:textId="01C38CFD" w:rsidR="00FE71CF" w:rsidRPr="00205DD5" w:rsidRDefault="00D63C70" w:rsidP="00880ECB">
      <w:pPr>
        <w:pStyle w:val="TableHeading"/>
        <w:rPr>
          <w:rFonts w:asciiTheme="minorHAnsi" w:eastAsiaTheme="minorHAnsi" w:hAnsiTheme="minorHAnsi" w:cstheme="minorBidi"/>
          <w:b w:val="0"/>
          <w:sz w:val="22"/>
          <w:szCs w:val="22"/>
          <w:lang w:eastAsia="en-US"/>
        </w:rPr>
      </w:pPr>
      <w:r w:rsidRPr="00205DD5">
        <w:lastRenderedPageBreak/>
        <w:t>Table 3.</w:t>
      </w:r>
      <w:r w:rsidR="001645FC" w:rsidRPr="00205DD5">
        <w:t>5</w:t>
      </w:r>
      <w:r w:rsidRPr="00205DD5">
        <w:t>: Australian</w:t>
      </w:r>
      <w:r w:rsidR="00E64792" w:rsidRPr="00205DD5">
        <w:t> </w:t>
      </w:r>
      <w:r w:rsidRPr="00205DD5">
        <w:t>Government general government (cash) receipts</w:t>
      </w:r>
    </w:p>
    <w:tbl>
      <w:tblPr>
        <w:tblW w:w="5000" w:type="pct"/>
        <w:tblCellMar>
          <w:left w:w="0" w:type="dxa"/>
          <w:right w:w="28" w:type="dxa"/>
        </w:tblCellMar>
        <w:tblLook w:val="04A0" w:firstRow="1" w:lastRow="0" w:firstColumn="1" w:lastColumn="0" w:noHBand="0" w:noVBand="1"/>
      </w:tblPr>
      <w:tblGrid>
        <w:gridCol w:w="3623"/>
        <w:gridCol w:w="800"/>
        <w:gridCol w:w="82"/>
        <w:gridCol w:w="719"/>
        <w:gridCol w:w="828"/>
        <w:gridCol w:w="828"/>
        <w:gridCol w:w="830"/>
      </w:tblGrid>
      <w:tr w:rsidR="00FE71CF" w:rsidRPr="00FF1D21" w14:paraId="27DED28D" w14:textId="77777777" w:rsidTr="00FE71CF">
        <w:trPr>
          <w:trHeight w:hRule="exact" w:val="226"/>
        </w:trPr>
        <w:tc>
          <w:tcPr>
            <w:tcW w:w="2350" w:type="pct"/>
            <w:tcBorders>
              <w:top w:val="single" w:sz="4" w:space="0" w:color="293F5B"/>
              <w:left w:val="nil"/>
              <w:bottom w:val="nil"/>
              <w:right w:val="nil"/>
            </w:tcBorders>
            <w:shd w:val="clear" w:color="auto" w:fill="auto"/>
            <w:noWrap/>
            <w:vAlign w:val="center"/>
            <w:hideMark/>
          </w:tcPr>
          <w:p w14:paraId="05681BE7" w14:textId="0703B095"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519" w:type="pct"/>
            <w:tcBorders>
              <w:top w:val="single" w:sz="4" w:space="0" w:color="293F5B"/>
              <w:left w:val="nil"/>
              <w:bottom w:val="nil"/>
              <w:right w:val="nil"/>
            </w:tcBorders>
            <w:shd w:val="clear" w:color="auto" w:fill="auto"/>
            <w:noWrap/>
            <w:vAlign w:val="center"/>
            <w:hideMark/>
          </w:tcPr>
          <w:p w14:paraId="06032531" w14:textId="77777777" w:rsidR="00FE71CF" w:rsidRPr="00FF1D21" w:rsidRDefault="00FE71CF" w:rsidP="00FE71CF">
            <w:pPr>
              <w:spacing w:before="0" w:after="0" w:line="240" w:lineRule="auto"/>
              <w:jc w:val="center"/>
              <w:rPr>
                <w:rFonts w:ascii="Arial" w:hAnsi="Arial" w:cs="Arial"/>
                <w:sz w:val="16"/>
                <w:szCs w:val="16"/>
                <w:highlight w:val="red"/>
              </w:rPr>
            </w:pPr>
            <w:r w:rsidRPr="00205DD5">
              <w:rPr>
                <w:rFonts w:ascii="Arial" w:hAnsi="Arial" w:cs="Arial"/>
                <w:sz w:val="16"/>
                <w:szCs w:val="16"/>
              </w:rPr>
              <w:t>Actual</w:t>
            </w:r>
          </w:p>
        </w:tc>
        <w:tc>
          <w:tcPr>
            <w:tcW w:w="53" w:type="pct"/>
            <w:tcBorders>
              <w:top w:val="single" w:sz="4" w:space="0" w:color="293F5B"/>
              <w:left w:val="nil"/>
              <w:bottom w:val="nil"/>
              <w:right w:val="nil"/>
            </w:tcBorders>
            <w:shd w:val="clear" w:color="auto" w:fill="auto"/>
            <w:noWrap/>
            <w:vAlign w:val="center"/>
            <w:hideMark/>
          </w:tcPr>
          <w:p w14:paraId="41B68C1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2078" w:type="pct"/>
            <w:gridSpan w:val="4"/>
            <w:tcBorders>
              <w:top w:val="single" w:sz="4" w:space="0" w:color="293F5B"/>
              <w:left w:val="nil"/>
              <w:bottom w:val="nil"/>
              <w:right w:val="nil"/>
            </w:tcBorders>
            <w:shd w:val="clear" w:color="auto" w:fill="auto"/>
            <w:noWrap/>
            <w:vAlign w:val="center"/>
            <w:hideMark/>
          </w:tcPr>
          <w:p w14:paraId="1329062E" w14:textId="77777777" w:rsidR="00FE71CF" w:rsidRPr="00205DD5" w:rsidRDefault="00FE71CF" w:rsidP="00FE71CF">
            <w:pPr>
              <w:spacing w:before="0" w:after="0" w:line="240" w:lineRule="auto"/>
              <w:jc w:val="center"/>
              <w:rPr>
                <w:rFonts w:ascii="Arial" w:hAnsi="Arial" w:cs="Arial"/>
                <w:sz w:val="16"/>
                <w:szCs w:val="16"/>
              </w:rPr>
            </w:pPr>
            <w:r w:rsidRPr="00205DD5">
              <w:rPr>
                <w:rFonts w:ascii="Arial" w:hAnsi="Arial" w:cs="Arial"/>
                <w:sz w:val="16"/>
                <w:szCs w:val="16"/>
              </w:rPr>
              <w:t>Estimates</w:t>
            </w:r>
          </w:p>
        </w:tc>
      </w:tr>
      <w:tr w:rsidR="00FE71CF" w:rsidRPr="00FF1D21" w14:paraId="6991BC7E" w14:textId="77777777" w:rsidTr="00FE71CF">
        <w:trPr>
          <w:trHeight w:hRule="exact" w:val="226"/>
        </w:trPr>
        <w:tc>
          <w:tcPr>
            <w:tcW w:w="2350" w:type="pct"/>
            <w:tcBorders>
              <w:top w:val="nil"/>
              <w:left w:val="nil"/>
              <w:bottom w:val="nil"/>
              <w:right w:val="nil"/>
            </w:tcBorders>
            <w:shd w:val="clear" w:color="auto" w:fill="auto"/>
            <w:noWrap/>
            <w:vAlign w:val="center"/>
            <w:hideMark/>
          </w:tcPr>
          <w:p w14:paraId="2A403BC6" w14:textId="77777777" w:rsidR="00FE71CF" w:rsidRPr="00FF1D21" w:rsidRDefault="00FE71CF" w:rsidP="00FE71CF">
            <w:pPr>
              <w:spacing w:before="0" w:after="0" w:line="240" w:lineRule="auto"/>
              <w:jc w:val="center"/>
              <w:rPr>
                <w:rFonts w:ascii="Arial" w:hAnsi="Arial" w:cs="Arial"/>
                <w:sz w:val="16"/>
                <w:szCs w:val="16"/>
                <w:highlight w:val="red"/>
              </w:rPr>
            </w:pPr>
          </w:p>
        </w:tc>
        <w:tc>
          <w:tcPr>
            <w:tcW w:w="519" w:type="pct"/>
            <w:tcBorders>
              <w:top w:val="single" w:sz="4" w:space="0" w:color="000000"/>
              <w:left w:val="nil"/>
              <w:bottom w:val="nil"/>
              <w:right w:val="nil"/>
            </w:tcBorders>
            <w:shd w:val="clear" w:color="auto" w:fill="auto"/>
            <w:noWrap/>
            <w:vAlign w:val="center"/>
            <w:hideMark/>
          </w:tcPr>
          <w:p w14:paraId="7D41D88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2023–24</w:t>
            </w:r>
          </w:p>
        </w:tc>
        <w:tc>
          <w:tcPr>
            <w:tcW w:w="53" w:type="pct"/>
            <w:tcBorders>
              <w:top w:val="nil"/>
              <w:left w:val="nil"/>
              <w:bottom w:val="nil"/>
              <w:right w:val="nil"/>
            </w:tcBorders>
            <w:shd w:val="clear" w:color="000000" w:fill="FFFFFF"/>
            <w:noWrap/>
            <w:vAlign w:val="center"/>
            <w:hideMark/>
          </w:tcPr>
          <w:p w14:paraId="621C4BF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single" w:sz="4" w:space="0" w:color="000000"/>
              <w:left w:val="nil"/>
              <w:bottom w:val="nil"/>
              <w:right w:val="nil"/>
            </w:tcBorders>
            <w:shd w:val="clear" w:color="000000" w:fill="E6F2FF"/>
            <w:noWrap/>
            <w:vAlign w:val="center"/>
            <w:hideMark/>
          </w:tcPr>
          <w:p w14:paraId="729C3BD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2024–25</w:t>
            </w:r>
          </w:p>
        </w:tc>
        <w:tc>
          <w:tcPr>
            <w:tcW w:w="537" w:type="pct"/>
            <w:tcBorders>
              <w:top w:val="single" w:sz="4" w:space="0" w:color="000000"/>
              <w:left w:val="nil"/>
              <w:bottom w:val="nil"/>
              <w:right w:val="nil"/>
            </w:tcBorders>
            <w:shd w:val="clear" w:color="auto" w:fill="auto"/>
            <w:noWrap/>
            <w:vAlign w:val="center"/>
            <w:hideMark/>
          </w:tcPr>
          <w:p w14:paraId="6EB0AED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2025–26</w:t>
            </w:r>
          </w:p>
        </w:tc>
        <w:tc>
          <w:tcPr>
            <w:tcW w:w="537" w:type="pct"/>
            <w:tcBorders>
              <w:top w:val="single" w:sz="4" w:space="0" w:color="000000"/>
              <w:left w:val="nil"/>
              <w:bottom w:val="nil"/>
              <w:right w:val="nil"/>
            </w:tcBorders>
            <w:shd w:val="clear" w:color="auto" w:fill="auto"/>
            <w:noWrap/>
            <w:vAlign w:val="center"/>
            <w:hideMark/>
          </w:tcPr>
          <w:p w14:paraId="0B31A65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2026–27</w:t>
            </w:r>
          </w:p>
        </w:tc>
        <w:tc>
          <w:tcPr>
            <w:tcW w:w="537" w:type="pct"/>
            <w:tcBorders>
              <w:top w:val="single" w:sz="4" w:space="0" w:color="000000"/>
              <w:left w:val="nil"/>
              <w:bottom w:val="nil"/>
              <w:right w:val="nil"/>
            </w:tcBorders>
            <w:shd w:val="clear" w:color="auto" w:fill="auto"/>
            <w:noWrap/>
            <w:vAlign w:val="center"/>
            <w:hideMark/>
          </w:tcPr>
          <w:p w14:paraId="0AC603F0"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2027–28</w:t>
            </w:r>
          </w:p>
        </w:tc>
      </w:tr>
      <w:tr w:rsidR="00FE71CF" w:rsidRPr="00FF1D21" w14:paraId="311FF79A" w14:textId="77777777" w:rsidTr="00FE71CF">
        <w:trPr>
          <w:trHeight w:hRule="exact" w:val="226"/>
        </w:trPr>
        <w:tc>
          <w:tcPr>
            <w:tcW w:w="2350" w:type="pct"/>
            <w:tcBorders>
              <w:top w:val="nil"/>
              <w:left w:val="nil"/>
              <w:bottom w:val="nil"/>
              <w:right w:val="nil"/>
            </w:tcBorders>
            <w:shd w:val="clear" w:color="auto" w:fill="auto"/>
            <w:vAlign w:val="center"/>
            <w:hideMark/>
          </w:tcPr>
          <w:p w14:paraId="16F9115B" w14:textId="77777777" w:rsidR="00FE71CF" w:rsidRPr="00FF1D21" w:rsidRDefault="00FE71CF" w:rsidP="00FE71CF">
            <w:pPr>
              <w:spacing w:before="0" w:after="0" w:line="240" w:lineRule="auto"/>
              <w:jc w:val="right"/>
              <w:rPr>
                <w:rFonts w:ascii="Arial" w:hAnsi="Arial" w:cs="Arial"/>
                <w:sz w:val="16"/>
                <w:szCs w:val="16"/>
                <w:highlight w:val="red"/>
              </w:rPr>
            </w:pPr>
          </w:p>
        </w:tc>
        <w:tc>
          <w:tcPr>
            <w:tcW w:w="519" w:type="pct"/>
            <w:tcBorders>
              <w:top w:val="nil"/>
              <w:left w:val="nil"/>
              <w:bottom w:val="single" w:sz="4" w:space="0" w:color="000000"/>
              <w:right w:val="nil"/>
            </w:tcBorders>
            <w:shd w:val="clear" w:color="auto" w:fill="auto"/>
            <w:vAlign w:val="center"/>
            <w:hideMark/>
          </w:tcPr>
          <w:p w14:paraId="6C1B92E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$m</w:t>
            </w:r>
          </w:p>
        </w:tc>
        <w:tc>
          <w:tcPr>
            <w:tcW w:w="53" w:type="pct"/>
            <w:tcBorders>
              <w:top w:val="nil"/>
              <w:left w:val="nil"/>
              <w:bottom w:val="nil"/>
              <w:right w:val="nil"/>
            </w:tcBorders>
            <w:shd w:val="clear" w:color="000000" w:fill="FFFFFF"/>
            <w:vAlign w:val="center"/>
            <w:hideMark/>
          </w:tcPr>
          <w:p w14:paraId="78DF35E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single" w:sz="4" w:space="0" w:color="000000"/>
              <w:right w:val="nil"/>
            </w:tcBorders>
            <w:shd w:val="clear" w:color="000000" w:fill="E6F2FF"/>
            <w:noWrap/>
            <w:vAlign w:val="center"/>
            <w:hideMark/>
          </w:tcPr>
          <w:p w14:paraId="2624C41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$m</w:t>
            </w:r>
          </w:p>
        </w:tc>
        <w:tc>
          <w:tcPr>
            <w:tcW w:w="537" w:type="pct"/>
            <w:tcBorders>
              <w:top w:val="nil"/>
              <w:left w:val="nil"/>
              <w:bottom w:val="single" w:sz="4" w:space="0" w:color="000000"/>
              <w:right w:val="nil"/>
            </w:tcBorders>
            <w:shd w:val="clear" w:color="auto" w:fill="auto"/>
            <w:vAlign w:val="center"/>
            <w:hideMark/>
          </w:tcPr>
          <w:p w14:paraId="6B83EEC9"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$m</w:t>
            </w:r>
          </w:p>
        </w:tc>
        <w:tc>
          <w:tcPr>
            <w:tcW w:w="537" w:type="pct"/>
            <w:tcBorders>
              <w:top w:val="nil"/>
              <w:left w:val="nil"/>
              <w:bottom w:val="single" w:sz="4" w:space="0" w:color="000000"/>
              <w:right w:val="nil"/>
            </w:tcBorders>
            <w:shd w:val="clear" w:color="auto" w:fill="auto"/>
            <w:vAlign w:val="center"/>
            <w:hideMark/>
          </w:tcPr>
          <w:p w14:paraId="3F6C90F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$m</w:t>
            </w:r>
          </w:p>
        </w:tc>
        <w:tc>
          <w:tcPr>
            <w:tcW w:w="537" w:type="pct"/>
            <w:tcBorders>
              <w:top w:val="nil"/>
              <w:left w:val="nil"/>
              <w:bottom w:val="single" w:sz="4" w:space="0" w:color="000000"/>
              <w:right w:val="nil"/>
            </w:tcBorders>
            <w:shd w:val="clear" w:color="auto" w:fill="auto"/>
            <w:vAlign w:val="center"/>
            <w:hideMark/>
          </w:tcPr>
          <w:p w14:paraId="4301A4E7"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$m</w:t>
            </w:r>
          </w:p>
        </w:tc>
      </w:tr>
      <w:tr w:rsidR="00FE71CF" w:rsidRPr="00FF1D21" w14:paraId="57F261D1" w14:textId="77777777" w:rsidTr="00FE71CF">
        <w:trPr>
          <w:trHeight w:hRule="exact" w:val="226"/>
        </w:trPr>
        <w:tc>
          <w:tcPr>
            <w:tcW w:w="2350" w:type="pct"/>
            <w:tcBorders>
              <w:top w:val="nil"/>
              <w:left w:val="nil"/>
              <w:bottom w:val="nil"/>
              <w:right w:val="nil"/>
            </w:tcBorders>
            <w:shd w:val="clear" w:color="auto" w:fill="auto"/>
            <w:noWrap/>
            <w:vAlign w:val="center"/>
            <w:hideMark/>
          </w:tcPr>
          <w:p w14:paraId="326AA5F0"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Individuals and other withholding taxes</w:t>
            </w:r>
          </w:p>
        </w:tc>
        <w:tc>
          <w:tcPr>
            <w:tcW w:w="519" w:type="pct"/>
            <w:tcBorders>
              <w:top w:val="nil"/>
              <w:left w:val="nil"/>
              <w:bottom w:val="nil"/>
              <w:right w:val="nil"/>
            </w:tcBorders>
            <w:shd w:val="clear" w:color="auto" w:fill="auto"/>
            <w:noWrap/>
            <w:vAlign w:val="center"/>
            <w:hideMark/>
          </w:tcPr>
          <w:p w14:paraId="406CBD9B" w14:textId="77777777" w:rsidR="00FE71CF" w:rsidRPr="00FF1D21" w:rsidRDefault="00FE71CF" w:rsidP="00FE71CF">
            <w:pPr>
              <w:spacing w:before="0" w:after="0" w:line="240" w:lineRule="auto"/>
              <w:rPr>
                <w:rFonts w:ascii="Arial" w:hAnsi="Arial" w:cs="Arial"/>
                <w:sz w:val="16"/>
                <w:szCs w:val="16"/>
                <w:highlight w:val="red"/>
              </w:rPr>
            </w:pPr>
          </w:p>
        </w:tc>
        <w:tc>
          <w:tcPr>
            <w:tcW w:w="53" w:type="pct"/>
            <w:tcBorders>
              <w:top w:val="nil"/>
              <w:left w:val="nil"/>
              <w:bottom w:val="nil"/>
              <w:right w:val="nil"/>
            </w:tcBorders>
            <w:shd w:val="clear" w:color="000000" w:fill="FFFFFF"/>
            <w:noWrap/>
            <w:vAlign w:val="center"/>
            <w:hideMark/>
          </w:tcPr>
          <w:p w14:paraId="26B2BFD9"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3276A7D2"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537" w:type="pct"/>
            <w:tcBorders>
              <w:top w:val="nil"/>
              <w:left w:val="nil"/>
              <w:bottom w:val="nil"/>
              <w:right w:val="nil"/>
            </w:tcBorders>
            <w:shd w:val="clear" w:color="auto" w:fill="auto"/>
            <w:noWrap/>
            <w:vAlign w:val="center"/>
            <w:hideMark/>
          </w:tcPr>
          <w:p w14:paraId="0D1101C7" w14:textId="77777777" w:rsidR="00FE71CF" w:rsidRPr="00FF1D21" w:rsidRDefault="00FE71CF" w:rsidP="00FE71CF">
            <w:pPr>
              <w:spacing w:before="0" w:after="0" w:line="240" w:lineRule="auto"/>
              <w:rPr>
                <w:rFonts w:ascii="Arial" w:hAnsi="Arial" w:cs="Arial"/>
                <w:sz w:val="16"/>
                <w:szCs w:val="16"/>
                <w:highlight w:val="red"/>
              </w:rPr>
            </w:pPr>
          </w:p>
        </w:tc>
        <w:tc>
          <w:tcPr>
            <w:tcW w:w="537" w:type="pct"/>
            <w:tcBorders>
              <w:top w:val="nil"/>
              <w:left w:val="nil"/>
              <w:bottom w:val="nil"/>
              <w:right w:val="nil"/>
            </w:tcBorders>
            <w:shd w:val="clear" w:color="auto" w:fill="auto"/>
            <w:noWrap/>
            <w:vAlign w:val="center"/>
            <w:hideMark/>
          </w:tcPr>
          <w:p w14:paraId="607DE4A4" w14:textId="77777777" w:rsidR="00FE71CF" w:rsidRPr="00FF1D21" w:rsidRDefault="00FE71CF" w:rsidP="00FE71CF">
            <w:pPr>
              <w:spacing w:before="0" w:after="0" w:line="240" w:lineRule="auto"/>
              <w:rPr>
                <w:rFonts w:ascii="Times New Roman" w:hAnsi="Times New Roman"/>
                <w:sz w:val="20"/>
                <w:highlight w:val="red"/>
              </w:rPr>
            </w:pPr>
          </w:p>
        </w:tc>
        <w:tc>
          <w:tcPr>
            <w:tcW w:w="537" w:type="pct"/>
            <w:tcBorders>
              <w:top w:val="nil"/>
              <w:left w:val="nil"/>
              <w:bottom w:val="nil"/>
              <w:right w:val="nil"/>
            </w:tcBorders>
            <w:shd w:val="clear" w:color="auto" w:fill="auto"/>
            <w:noWrap/>
            <w:vAlign w:val="center"/>
            <w:hideMark/>
          </w:tcPr>
          <w:p w14:paraId="58B94E01" w14:textId="77777777" w:rsidR="00FE71CF" w:rsidRPr="00205DD5" w:rsidRDefault="00FE71CF" w:rsidP="00FE71CF">
            <w:pPr>
              <w:spacing w:before="0" w:after="0" w:line="240" w:lineRule="auto"/>
              <w:rPr>
                <w:rFonts w:ascii="Times New Roman" w:hAnsi="Times New Roman"/>
                <w:sz w:val="20"/>
              </w:rPr>
            </w:pPr>
          </w:p>
        </w:tc>
      </w:tr>
      <w:tr w:rsidR="00FE71CF" w:rsidRPr="00FF1D21" w14:paraId="3A81FDCB" w14:textId="77777777" w:rsidTr="00FE71CF">
        <w:trPr>
          <w:trHeight w:hRule="exact" w:val="226"/>
        </w:trPr>
        <w:tc>
          <w:tcPr>
            <w:tcW w:w="2350" w:type="pct"/>
            <w:tcBorders>
              <w:top w:val="nil"/>
              <w:left w:val="nil"/>
              <w:bottom w:val="nil"/>
              <w:right w:val="nil"/>
            </w:tcBorders>
            <w:shd w:val="clear" w:color="auto" w:fill="auto"/>
            <w:noWrap/>
            <w:vAlign w:val="center"/>
            <w:hideMark/>
          </w:tcPr>
          <w:p w14:paraId="089F6685"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Gross income tax withholding</w:t>
            </w:r>
          </w:p>
        </w:tc>
        <w:tc>
          <w:tcPr>
            <w:tcW w:w="519" w:type="pct"/>
            <w:tcBorders>
              <w:top w:val="nil"/>
              <w:left w:val="nil"/>
              <w:bottom w:val="nil"/>
              <w:right w:val="nil"/>
            </w:tcBorders>
            <w:shd w:val="clear" w:color="auto" w:fill="auto"/>
            <w:noWrap/>
            <w:vAlign w:val="center"/>
            <w:hideMark/>
          </w:tcPr>
          <w:p w14:paraId="662CBCC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294,949</w:t>
            </w:r>
          </w:p>
        </w:tc>
        <w:tc>
          <w:tcPr>
            <w:tcW w:w="53" w:type="pct"/>
            <w:tcBorders>
              <w:top w:val="nil"/>
              <w:left w:val="nil"/>
              <w:bottom w:val="nil"/>
              <w:right w:val="nil"/>
            </w:tcBorders>
            <w:shd w:val="clear" w:color="000000" w:fill="FFFFFF"/>
            <w:noWrap/>
            <w:vAlign w:val="center"/>
            <w:hideMark/>
          </w:tcPr>
          <w:p w14:paraId="5D521A0B"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31BE0159"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293,600</w:t>
            </w:r>
          </w:p>
        </w:tc>
        <w:tc>
          <w:tcPr>
            <w:tcW w:w="537" w:type="pct"/>
            <w:tcBorders>
              <w:top w:val="nil"/>
              <w:left w:val="nil"/>
              <w:bottom w:val="nil"/>
              <w:right w:val="nil"/>
            </w:tcBorders>
            <w:shd w:val="clear" w:color="auto" w:fill="auto"/>
            <w:noWrap/>
            <w:vAlign w:val="center"/>
            <w:hideMark/>
          </w:tcPr>
          <w:p w14:paraId="614675A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308,300</w:t>
            </w:r>
          </w:p>
        </w:tc>
        <w:tc>
          <w:tcPr>
            <w:tcW w:w="537" w:type="pct"/>
            <w:tcBorders>
              <w:top w:val="nil"/>
              <w:left w:val="nil"/>
              <w:bottom w:val="nil"/>
              <w:right w:val="nil"/>
            </w:tcBorders>
            <w:shd w:val="clear" w:color="auto" w:fill="auto"/>
            <w:noWrap/>
            <w:vAlign w:val="center"/>
            <w:hideMark/>
          </w:tcPr>
          <w:p w14:paraId="671C0B4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327,500</w:t>
            </w:r>
          </w:p>
        </w:tc>
        <w:tc>
          <w:tcPr>
            <w:tcW w:w="537" w:type="pct"/>
            <w:tcBorders>
              <w:top w:val="nil"/>
              <w:left w:val="nil"/>
              <w:bottom w:val="nil"/>
              <w:right w:val="nil"/>
            </w:tcBorders>
            <w:shd w:val="clear" w:color="auto" w:fill="auto"/>
            <w:noWrap/>
            <w:vAlign w:val="center"/>
            <w:hideMark/>
          </w:tcPr>
          <w:p w14:paraId="39E8FEC1"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350,600</w:t>
            </w:r>
          </w:p>
        </w:tc>
      </w:tr>
      <w:tr w:rsidR="00FE71CF" w:rsidRPr="00FF1D21" w14:paraId="31C1217F" w14:textId="77777777" w:rsidTr="00FE71CF">
        <w:trPr>
          <w:trHeight w:hRule="exact" w:val="226"/>
        </w:trPr>
        <w:tc>
          <w:tcPr>
            <w:tcW w:w="2350" w:type="pct"/>
            <w:tcBorders>
              <w:top w:val="nil"/>
              <w:left w:val="nil"/>
              <w:bottom w:val="nil"/>
              <w:right w:val="nil"/>
            </w:tcBorders>
            <w:shd w:val="clear" w:color="auto" w:fill="auto"/>
            <w:noWrap/>
            <w:vAlign w:val="center"/>
            <w:hideMark/>
          </w:tcPr>
          <w:p w14:paraId="27F219C2"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Gross other individuals</w:t>
            </w:r>
          </w:p>
        </w:tc>
        <w:tc>
          <w:tcPr>
            <w:tcW w:w="519" w:type="pct"/>
            <w:tcBorders>
              <w:top w:val="nil"/>
              <w:left w:val="nil"/>
              <w:bottom w:val="nil"/>
              <w:right w:val="nil"/>
            </w:tcBorders>
            <w:shd w:val="clear" w:color="auto" w:fill="auto"/>
            <w:noWrap/>
            <w:vAlign w:val="center"/>
            <w:hideMark/>
          </w:tcPr>
          <w:p w14:paraId="0DD2E61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74,199</w:t>
            </w:r>
          </w:p>
        </w:tc>
        <w:tc>
          <w:tcPr>
            <w:tcW w:w="53" w:type="pct"/>
            <w:tcBorders>
              <w:top w:val="nil"/>
              <w:left w:val="nil"/>
              <w:bottom w:val="nil"/>
              <w:right w:val="nil"/>
            </w:tcBorders>
            <w:shd w:val="clear" w:color="000000" w:fill="FFFFFF"/>
            <w:noWrap/>
            <w:vAlign w:val="center"/>
            <w:hideMark/>
          </w:tcPr>
          <w:p w14:paraId="6ED2E10A"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2B103C2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81,700</w:t>
            </w:r>
          </w:p>
        </w:tc>
        <w:tc>
          <w:tcPr>
            <w:tcW w:w="537" w:type="pct"/>
            <w:tcBorders>
              <w:top w:val="nil"/>
              <w:left w:val="nil"/>
              <w:bottom w:val="nil"/>
              <w:right w:val="nil"/>
            </w:tcBorders>
            <w:shd w:val="clear" w:color="auto" w:fill="auto"/>
            <w:noWrap/>
            <w:vAlign w:val="center"/>
            <w:hideMark/>
          </w:tcPr>
          <w:p w14:paraId="28E0D0B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82,200</w:t>
            </w:r>
          </w:p>
        </w:tc>
        <w:tc>
          <w:tcPr>
            <w:tcW w:w="537" w:type="pct"/>
            <w:tcBorders>
              <w:top w:val="nil"/>
              <w:left w:val="nil"/>
              <w:bottom w:val="nil"/>
              <w:right w:val="nil"/>
            </w:tcBorders>
            <w:shd w:val="clear" w:color="auto" w:fill="auto"/>
            <w:noWrap/>
            <w:vAlign w:val="center"/>
            <w:hideMark/>
          </w:tcPr>
          <w:p w14:paraId="53B4559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83,700</w:t>
            </w:r>
          </w:p>
        </w:tc>
        <w:tc>
          <w:tcPr>
            <w:tcW w:w="537" w:type="pct"/>
            <w:tcBorders>
              <w:top w:val="nil"/>
              <w:left w:val="nil"/>
              <w:bottom w:val="nil"/>
              <w:right w:val="nil"/>
            </w:tcBorders>
            <w:shd w:val="clear" w:color="auto" w:fill="auto"/>
            <w:noWrap/>
            <w:vAlign w:val="center"/>
            <w:hideMark/>
          </w:tcPr>
          <w:p w14:paraId="48459DBC"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92,100</w:t>
            </w:r>
          </w:p>
        </w:tc>
      </w:tr>
      <w:tr w:rsidR="00FE71CF" w:rsidRPr="00FF1D21" w14:paraId="78610D91" w14:textId="77777777" w:rsidTr="00FE71CF">
        <w:trPr>
          <w:trHeight w:hRule="exact" w:val="226"/>
        </w:trPr>
        <w:tc>
          <w:tcPr>
            <w:tcW w:w="2350" w:type="pct"/>
            <w:tcBorders>
              <w:top w:val="nil"/>
              <w:left w:val="nil"/>
              <w:bottom w:val="nil"/>
              <w:right w:val="nil"/>
            </w:tcBorders>
            <w:shd w:val="clear" w:color="auto" w:fill="auto"/>
            <w:noWrap/>
            <w:vAlign w:val="center"/>
            <w:hideMark/>
          </w:tcPr>
          <w:p w14:paraId="592EC3B3" w14:textId="011612A2" w:rsidR="00FE71CF" w:rsidRPr="00FF1D21" w:rsidRDefault="00FE71CF" w:rsidP="00FE71CF">
            <w:pPr>
              <w:spacing w:before="0" w:after="0" w:line="240" w:lineRule="auto"/>
              <w:ind w:left="170"/>
              <w:rPr>
                <w:rFonts w:ascii="Arial" w:hAnsi="Arial" w:cs="Arial"/>
                <w:i/>
                <w:sz w:val="16"/>
                <w:szCs w:val="16"/>
                <w:highlight w:val="red"/>
              </w:rPr>
            </w:pPr>
            <w:r w:rsidRPr="00205DD5">
              <w:rPr>
                <w:rFonts w:ascii="Arial" w:hAnsi="Arial" w:cs="Arial"/>
                <w:i/>
                <w:sz w:val="16"/>
                <w:szCs w:val="16"/>
              </w:rPr>
              <w:t xml:space="preserve">less: </w:t>
            </w:r>
            <w:r w:rsidRPr="00205DD5">
              <w:rPr>
                <w:rFonts w:ascii="Arial" w:hAnsi="Arial" w:cs="Arial"/>
                <w:iCs/>
                <w:sz w:val="16"/>
                <w:szCs w:val="16"/>
              </w:rPr>
              <w:t>Refunds</w:t>
            </w:r>
          </w:p>
        </w:tc>
        <w:tc>
          <w:tcPr>
            <w:tcW w:w="519" w:type="pct"/>
            <w:tcBorders>
              <w:top w:val="nil"/>
              <w:left w:val="nil"/>
              <w:bottom w:val="nil"/>
              <w:right w:val="nil"/>
            </w:tcBorders>
            <w:shd w:val="clear" w:color="auto" w:fill="auto"/>
            <w:noWrap/>
            <w:vAlign w:val="center"/>
            <w:hideMark/>
          </w:tcPr>
          <w:p w14:paraId="72169D9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37,635</w:t>
            </w:r>
          </w:p>
        </w:tc>
        <w:tc>
          <w:tcPr>
            <w:tcW w:w="53" w:type="pct"/>
            <w:tcBorders>
              <w:top w:val="nil"/>
              <w:left w:val="nil"/>
              <w:bottom w:val="nil"/>
              <w:right w:val="nil"/>
            </w:tcBorders>
            <w:shd w:val="clear" w:color="000000" w:fill="FFFFFF"/>
            <w:noWrap/>
            <w:vAlign w:val="center"/>
            <w:hideMark/>
          </w:tcPr>
          <w:p w14:paraId="68A7A0F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1D6DCC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39,900</w:t>
            </w:r>
          </w:p>
        </w:tc>
        <w:tc>
          <w:tcPr>
            <w:tcW w:w="537" w:type="pct"/>
            <w:tcBorders>
              <w:top w:val="nil"/>
              <w:left w:val="nil"/>
              <w:bottom w:val="nil"/>
              <w:right w:val="nil"/>
            </w:tcBorders>
            <w:shd w:val="clear" w:color="auto" w:fill="auto"/>
            <w:noWrap/>
            <w:vAlign w:val="center"/>
            <w:hideMark/>
          </w:tcPr>
          <w:p w14:paraId="2ADF945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42,100</w:t>
            </w:r>
          </w:p>
        </w:tc>
        <w:tc>
          <w:tcPr>
            <w:tcW w:w="537" w:type="pct"/>
            <w:tcBorders>
              <w:top w:val="nil"/>
              <w:left w:val="nil"/>
              <w:bottom w:val="nil"/>
              <w:right w:val="nil"/>
            </w:tcBorders>
            <w:shd w:val="clear" w:color="auto" w:fill="auto"/>
            <w:noWrap/>
            <w:vAlign w:val="center"/>
            <w:hideMark/>
          </w:tcPr>
          <w:p w14:paraId="5E4B426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43,400</w:t>
            </w:r>
          </w:p>
        </w:tc>
        <w:tc>
          <w:tcPr>
            <w:tcW w:w="537" w:type="pct"/>
            <w:tcBorders>
              <w:top w:val="nil"/>
              <w:left w:val="nil"/>
              <w:bottom w:val="nil"/>
              <w:right w:val="nil"/>
            </w:tcBorders>
            <w:shd w:val="clear" w:color="auto" w:fill="auto"/>
            <w:noWrap/>
            <w:vAlign w:val="center"/>
            <w:hideMark/>
          </w:tcPr>
          <w:p w14:paraId="083F1DA6"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45,100</w:t>
            </w:r>
          </w:p>
        </w:tc>
      </w:tr>
      <w:tr w:rsidR="00FE71CF" w:rsidRPr="00FF1D21" w14:paraId="039AD425" w14:textId="77777777" w:rsidTr="00FE71CF">
        <w:trPr>
          <w:trHeight w:hRule="exact" w:val="226"/>
        </w:trPr>
        <w:tc>
          <w:tcPr>
            <w:tcW w:w="2350" w:type="pct"/>
            <w:tcBorders>
              <w:top w:val="nil"/>
              <w:left w:val="nil"/>
              <w:bottom w:val="nil"/>
              <w:right w:val="nil"/>
            </w:tcBorders>
            <w:shd w:val="clear" w:color="auto" w:fill="auto"/>
            <w:noWrap/>
            <w:vAlign w:val="center"/>
            <w:hideMark/>
          </w:tcPr>
          <w:p w14:paraId="3E527095"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Total individuals and other withholding tax</w:t>
            </w:r>
          </w:p>
        </w:tc>
        <w:tc>
          <w:tcPr>
            <w:tcW w:w="519" w:type="pct"/>
            <w:tcBorders>
              <w:top w:val="single" w:sz="4" w:space="0" w:color="000000"/>
              <w:left w:val="nil"/>
              <w:bottom w:val="nil"/>
              <w:right w:val="nil"/>
            </w:tcBorders>
            <w:shd w:val="clear" w:color="auto" w:fill="auto"/>
            <w:noWrap/>
            <w:vAlign w:val="center"/>
            <w:hideMark/>
          </w:tcPr>
          <w:p w14:paraId="7BB5D62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331,513</w:t>
            </w:r>
          </w:p>
        </w:tc>
        <w:tc>
          <w:tcPr>
            <w:tcW w:w="53" w:type="pct"/>
            <w:tcBorders>
              <w:top w:val="nil"/>
              <w:left w:val="nil"/>
              <w:bottom w:val="nil"/>
              <w:right w:val="nil"/>
            </w:tcBorders>
            <w:shd w:val="clear" w:color="000000" w:fill="FFFFFF"/>
            <w:noWrap/>
            <w:vAlign w:val="center"/>
            <w:hideMark/>
          </w:tcPr>
          <w:p w14:paraId="09E6523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single" w:sz="4" w:space="0" w:color="000000"/>
              <w:left w:val="nil"/>
              <w:bottom w:val="nil"/>
              <w:right w:val="nil"/>
            </w:tcBorders>
            <w:shd w:val="clear" w:color="000000" w:fill="E6F2FF"/>
            <w:noWrap/>
            <w:vAlign w:val="center"/>
            <w:hideMark/>
          </w:tcPr>
          <w:p w14:paraId="63ECE81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335,400</w:t>
            </w:r>
          </w:p>
        </w:tc>
        <w:tc>
          <w:tcPr>
            <w:tcW w:w="537" w:type="pct"/>
            <w:tcBorders>
              <w:top w:val="single" w:sz="4" w:space="0" w:color="000000"/>
              <w:left w:val="nil"/>
              <w:bottom w:val="nil"/>
              <w:right w:val="nil"/>
            </w:tcBorders>
            <w:shd w:val="clear" w:color="auto" w:fill="auto"/>
            <w:noWrap/>
            <w:vAlign w:val="center"/>
            <w:hideMark/>
          </w:tcPr>
          <w:p w14:paraId="12917C1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348,400</w:t>
            </w:r>
          </w:p>
        </w:tc>
        <w:tc>
          <w:tcPr>
            <w:tcW w:w="537" w:type="pct"/>
            <w:tcBorders>
              <w:top w:val="single" w:sz="4" w:space="0" w:color="000000"/>
              <w:left w:val="nil"/>
              <w:bottom w:val="nil"/>
              <w:right w:val="nil"/>
            </w:tcBorders>
            <w:shd w:val="clear" w:color="auto" w:fill="auto"/>
            <w:noWrap/>
            <w:vAlign w:val="center"/>
            <w:hideMark/>
          </w:tcPr>
          <w:p w14:paraId="7252A39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367,800</w:t>
            </w:r>
          </w:p>
        </w:tc>
        <w:tc>
          <w:tcPr>
            <w:tcW w:w="537" w:type="pct"/>
            <w:tcBorders>
              <w:top w:val="single" w:sz="4" w:space="0" w:color="000000"/>
              <w:left w:val="nil"/>
              <w:bottom w:val="nil"/>
              <w:right w:val="nil"/>
            </w:tcBorders>
            <w:shd w:val="clear" w:color="auto" w:fill="auto"/>
            <w:noWrap/>
            <w:vAlign w:val="center"/>
            <w:hideMark/>
          </w:tcPr>
          <w:p w14:paraId="675A05BB"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397,600</w:t>
            </w:r>
          </w:p>
        </w:tc>
      </w:tr>
      <w:tr w:rsidR="00FE71CF" w:rsidRPr="00FF1D21" w14:paraId="1198B187" w14:textId="77777777" w:rsidTr="00FE71CF">
        <w:trPr>
          <w:trHeight w:hRule="exact" w:val="226"/>
        </w:trPr>
        <w:tc>
          <w:tcPr>
            <w:tcW w:w="2350" w:type="pct"/>
            <w:tcBorders>
              <w:top w:val="nil"/>
              <w:left w:val="nil"/>
              <w:bottom w:val="nil"/>
              <w:right w:val="nil"/>
            </w:tcBorders>
            <w:shd w:val="clear" w:color="auto" w:fill="auto"/>
            <w:noWrap/>
            <w:vAlign w:val="center"/>
            <w:hideMark/>
          </w:tcPr>
          <w:p w14:paraId="65C9308F"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Fringe benefits tax</w:t>
            </w:r>
          </w:p>
        </w:tc>
        <w:tc>
          <w:tcPr>
            <w:tcW w:w="519" w:type="pct"/>
            <w:tcBorders>
              <w:top w:val="nil"/>
              <w:left w:val="nil"/>
              <w:bottom w:val="nil"/>
              <w:right w:val="nil"/>
            </w:tcBorders>
            <w:shd w:val="clear" w:color="auto" w:fill="auto"/>
            <w:noWrap/>
            <w:vAlign w:val="center"/>
            <w:hideMark/>
          </w:tcPr>
          <w:p w14:paraId="7258C2B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4,632</w:t>
            </w:r>
          </w:p>
        </w:tc>
        <w:tc>
          <w:tcPr>
            <w:tcW w:w="53" w:type="pct"/>
            <w:tcBorders>
              <w:top w:val="nil"/>
              <w:left w:val="nil"/>
              <w:bottom w:val="nil"/>
              <w:right w:val="nil"/>
            </w:tcBorders>
            <w:shd w:val="clear" w:color="000000" w:fill="FFFFFF"/>
            <w:noWrap/>
            <w:vAlign w:val="center"/>
            <w:hideMark/>
          </w:tcPr>
          <w:p w14:paraId="52333F2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130B608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4,910</w:t>
            </w:r>
          </w:p>
        </w:tc>
        <w:tc>
          <w:tcPr>
            <w:tcW w:w="537" w:type="pct"/>
            <w:tcBorders>
              <w:top w:val="nil"/>
              <w:left w:val="nil"/>
              <w:bottom w:val="nil"/>
              <w:right w:val="nil"/>
            </w:tcBorders>
            <w:shd w:val="clear" w:color="auto" w:fill="auto"/>
            <w:noWrap/>
            <w:vAlign w:val="center"/>
            <w:hideMark/>
          </w:tcPr>
          <w:p w14:paraId="3682602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5,030</w:t>
            </w:r>
          </w:p>
        </w:tc>
        <w:tc>
          <w:tcPr>
            <w:tcW w:w="537" w:type="pct"/>
            <w:tcBorders>
              <w:top w:val="nil"/>
              <w:left w:val="nil"/>
              <w:bottom w:val="nil"/>
              <w:right w:val="nil"/>
            </w:tcBorders>
            <w:shd w:val="clear" w:color="auto" w:fill="auto"/>
            <w:noWrap/>
            <w:vAlign w:val="center"/>
            <w:hideMark/>
          </w:tcPr>
          <w:p w14:paraId="42AF747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5,050</w:t>
            </w:r>
          </w:p>
        </w:tc>
        <w:tc>
          <w:tcPr>
            <w:tcW w:w="537" w:type="pct"/>
            <w:tcBorders>
              <w:top w:val="nil"/>
              <w:left w:val="nil"/>
              <w:bottom w:val="nil"/>
              <w:right w:val="nil"/>
            </w:tcBorders>
            <w:shd w:val="clear" w:color="auto" w:fill="auto"/>
            <w:noWrap/>
            <w:vAlign w:val="center"/>
            <w:hideMark/>
          </w:tcPr>
          <w:p w14:paraId="60149B5A"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5,170</w:t>
            </w:r>
          </w:p>
        </w:tc>
      </w:tr>
      <w:tr w:rsidR="00FE71CF" w:rsidRPr="00FF1D21" w14:paraId="2867173D" w14:textId="77777777" w:rsidTr="00FE71CF">
        <w:trPr>
          <w:trHeight w:hRule="exact" w:val="226"/>
        </w:trPr>
        <w:tc>
          <w:tcPr>
            <w:tcW w:w="2350" w:type="pct"/>
            <w:tcBorders>
              <w:top w:val="nil"/>
              <w:left w:val="nil"/>
              <w:bottom w:val="nil"/>
              <w:right w:val="nil"/>
            </w:tcBorders>
            <w:shd w:val="clear" w:color="auto" w:fill="auto"/>
            <w:noWrap/>
            <w:vAlign w:val="center"/>
            <w:hideMark/>
          </w:tcPr>
          <w:p w14:paraId="29DF35C0"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Company tax</w:t>
            </w:r>
          </w:p>
        </w:tc>
        <w:tc>
          <w:tcPr>
            <w:tcW w:w="519" w:type="pct"/>
            <w:tcBorders>
              <w:top w:val="nil"/>
              <w:left w:val="nil"/>
              <w:bottom w:val="nil"/>
              <w:right w:val="nil"/>
            </w:tcBorders>
            <w:shd w:val="clear" w:color="auto" w:fill="auto"/>
            <w:noWrap/>
            <w:vAlign w:val="center"/>
            <w:hideMark/>
          </w:tcPr>
          <w:p w14:paraId="731DD8F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141,177</w:t>
            </w:r>
          </w:p>
        </w:tc>
        <w:tc>
          <w:tcPr>
            <w:tcW w:w="53" w:type="pct"/>
            <w:tcBorders>
              <w:top w:val="nil"/>
              <w:left w:val="nil"/>
              <w:bottom w:val="nil"/>
              <w:right w:val="nil"/>
            </w:tcBorders>
            <w:shd w:val="clear" w:color="000000" w:fill="FFFFFF"/>
            <w:noWrap/>
            <w:vAlign w:val="center"/>
            <w:hideMark/>
          </w:tcPr>
          <w:p w14:paraId="5B189FB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5AB42D9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132,500</w:t>
            </w:r>
          </w:p>
        </w:tc>
        <w:tc>
          <w:tcPr>
            <w:tcW w:w="537" w:type="pct"/>
            <w:tcBorders>
              <w:top w:val="nil"/>
              <w:left w:val="nil"/>
              <w:bottom w:val="nil"/>
              <w:right w:val="nil"/>
            </w:tcBorders>
            <w:shd w:val="clear" w:color="auto" w:fill="auto"/>
            <w:noWrap/>
            <w:vAlign w:val="center"/>
            <w:hideMark/>
          </w:tcPr>
          <w:p w14:paraId="4D45A1D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135,900</w:t>
            </w:r>
          </w:p>
        </w:tc>
        <w:tc>
          <w:tcPr>
            <w:tcW w:w="537" w:type="pct"/>
            <w:tcBorders>
              <w:top w:val="nil"/>
              <w:left w:val="nil"/>
              <w:bottom w:val="nil"/>
              <w:right w:val="nil"/>
            </w:tcBorders>
            <w:shd w:val="clear" w:color="auto" w:fill="auto"/>
            <w:noWrap/>
            <w:vAlign w:val="center"/>
            <w:hideMark/>
          </w:tcPr>
          <w:p w14:paraId="035F9B5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143,700</w:t>
            </w:r>
          </w:p>
        </w:tc>
        <w:tc>
          <w:tcPr>
            <w:tcW w:w="537" w:type="pct"/>
            <w:tcBorders>
              <w:top w:val="nil"/>
              <w:left w:val="nil"/>
              <w:bottom w:val="nil"/>
              <w:right w:val="nil"/>
            </w:tcBorders>
            <w:shd w:val="clear" w:color="auto" w:fill="auto"/>
            <w:noWrap/>
            <w:vAlign w:val="center"/>
            <w:hideMark/>
          </w:tcPr>
          <w:p w14:paraId="05D71C58"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147,600</w:t>
            </w:r>
          </w:p>
        </w:tc>
      </w:tr>
      <w:tr w:rsidR="00FE71CF" w:rsidRPr="00FF1D21" w14:paraId="5E430618" w14:textId="77777777" w:rsidTr="00FE71CF">
        <w:trPr>
          <w:trHeight w:hRule="exact" w:val="226"/>
        </w:trPr>
        <w:tc>
          <w:tcPr>
            <w:tcW w:w="2350" w:type="pct"/>
            <w:tcBorders>
              <w:top w:val="nil"/>
              <w:left w:val="nil"/>
              <w:bottom w:val="nil"/>
              <w:right w:val="nil"/>
            </w:tcBorders>
            <w:shd w:val="clear" w:color="auto" w:fill="auto"/>
            <w:noWrap/>
            <w:vAlign w:val="center"/>
            <w:hideMark/>
          </w:tcPr>
          <w:p w14:paraId="15F34CA4"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Superannuation fund taxes</w:t>
            </w:r>
          </w:p>
        </w:tc>
        <w:tc>
          <w:tcPr>
            <w:tcW w:w="519" w:type="pct"/>
            <w:tcBorders>
              <w:top w:val="nil"/>
              <w:left w:val="nil"/>
              <w:bottom w:val="nil"/>
              <w:right w:val="nil"/>
            </w:tcBorders>
            <w:shd w:val="clear" w:color="auto" w:fill="auto"/>
            <w:noWrap/>
            <w:vAlign w:val="center"/>
            <w:hideMark/>
          </w:tcPr>
          <w:p w14:paraId="31CFDC0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12,465</w:t>
            </w:r>
          </w:p>
        </w:tc>
        <w:tc>
          <w:tcPr>
            <w:tcW w:w="53" w:type="pct"/>
            <w:tcBorders>
              <w:top w:val="nil"/>
              <w:left w:val="nil"/>
              <w:bottom w:val="nil"/>
              <w:right w:val="nil"/>
            </w:tcBorders>
            <w:shd w:val="clear" w:color="000000" w:fill="FFFFFF"/>
            <w:noWrap/>
            <w:vAlign w:val="center"/>
            <w:hideMark/>
          </w:tcPr>
          <w:p w14:paraId="0E382DE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1C46472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21,910</w:t>
            </w:r>
          </w:p>
        </w:tc>
        <w:tc>
          <w:tcPr>
            <w:tcW w:w="537" w:type="pct"/>
            <w:tcBorders>
              <w:top w:val="nil"/>
              <w:left w:val="nil"/>
              <w:bottom w:val="nil"/>
              <w:right w:val="nil"/>
            </w:tcBorders>
            <w:shd w:val="clear" w:color="auto" w:fill="auto"/>
            <w:noWrap/>
            <w:vAlign w:val="center"/>
            <w:hideMark/>
          </w:tcPr>
          <w:p w14:paraId="4F2427D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23,210</w:t>
            </w:r>
          </w:p>
        </w:tc>
        <w:tc>
          <w:tcPr>
            <w:tcW w:w="537" w:type="pct"/>
            <w:tcBorders>
              <w:top w:val="nil"/>
              <w:left w:val="nil"/>
              <w:bottom w:val="nil"/>
              <w:right w:val="nil"/>
            </w:tcBorders>
            <w:shd w:val="clear" w:color="auto" w:fill="auto"/>
            <w:noWrap/>
            <w:vAlign w:val="center"/>
            <w:hideMark/>
          </w:tcPr>
          <w:p w14:paraId="39183A7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25,160</w:t>
            </w:r>
          </w:p>
        </w:tc>
        <w:tc>
          <w:tcPr>
            <w:tcW w:w="537" w:type="pct"/>
            <w:tcBorders>
              <w:top w:val="nil"/>
              <w:left w:val="nil"/>
              <w:bottom w:val="nil"/>
              <w:right w:val="nil"/>
            </w:tcBorders>
            <w:shd w:val="clear" w:color="auto" w:fill="auto"/>
            <w:noWrap/>
            <w:vAlign w:val="center"/>
            <w:hideMark/>
          </w:tcPr>
          <w:p w14:paraId="7186DFC2"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23,460</w:t>
            </w:r>
          </w:p>
        </w:tc>
      </w:tr>
      <w:tr w:rsidR="00FE71CF" w:rsidRPr="00FF1D21" w14:paraId="6B9944D4" w14:textId="77777777" w:rsidTr="00FE71CF">
        <w:trPr>
          <w:trHeight w:hRule="exact" w:val="226"/>
        </w:trPr>
        <w:tc>
          <w:tcPr>
            <w:tcW w:w="2350" w:type="pct"/>
            <w:tcBorders>
              <w:top w:val="nil"/>
              <w:left w:val="nil"/>
              <w:bottom w:val="nil"/>
              <w:right w:val="nil"/>
            </w:tcBorders>
            <w:shd w:val="clear" w:color="auto" w:fill="auto"/>
            <w:noWrap/>
            <w:vAlign w:val="center"/>
            <w:hideMark/>
          </w:tcPr>
          <w:p w14:paraId="4C4DA0DB"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Petroleum resource rent tax</w:t>
            </w:r>
          </w:p>
        </w:tc>
        <w:tc>
          <w:tcPr>
            <w:tcW w:w="519" w:type="pct"/>
            <w:tcBorders>
              <w:top w:val="nil"/>
              <w:left w:val="nil"/>
              <w:bottom w:val="single" w:sz="4" w:space="0" w:color="000000"/>
              <w:right w:val="nil"/>
            </w:tcBorders>
            <w:shd w:val="clear" w:color="auto" w:fill="auto"/>
            <w:noWrap/>
            <w:vAlign w:val="center"/>
            <w:hideMark/>
          </w:tcPr>
          <w:p w14:paraId="5920DF1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1,144</w:t>
            </w:r>
          </w:p>
        </w:tc>
        <w:tc>
          <w:tcPr>
            <w:tcW w:w="53" w:type="pct"/>
            <w:tcBorders>
              <w:top w:val="nil"/>
              <w:left w:val="nil"/>
              <w:bottom w:val="nil"/>
              <w:right w:val="nil"/>
            </w:tcBorders>
            <w:shd w:val="clear" w:color="000000" w:fill="FFFFFF"/>
            <w:noWrap/>
            <w:vAlign w:val="center"/>
            <w:hideMark/>
          </w:tcPr>
          <w:p w14:paraId="5D1BD7B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single" w:sz="4" w:space="0" w:color="000000"/>
              <w:right w:val="nil"/>
            </w:tcBorders>
            <w:shd w:val="clear" w:color="000000" w:fill="E6F2FF"/>
            <w:noWrap/>
            <w:vAlign w:val="center"/>
            <w:hideMark/>
          </w:tcPr>
          <w:p w14:paraId="102F573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1,350</w:t>
            </w:r>
          </w:p>
        </w:tc>
        <w:tc>
          <w:tcPr>
            <w:tcW w:w="537" w:type="pct"/>
            <w:tcBorders>
              <w:top w:val="nil"/>
              <w:left w:val="nil"/>
              <w:bottom w:val="single" w:sz="4" w:space="0" w:color="000000"/>
              <w:right w:val="nil"/>
            </w:tcBorders>
            <w:shd w:val="clear" w:color="auto" w:fill="auto"/>
            <w:noWrap/>
            <w:vAlign w:val="center"/>
            <w:hideMark/>
          </w:tcPr>
          <w:p w14:paraId="033149E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1,850</w:t>
            </w:r>
          </w:p>
        </w:tc>
        <w:tc>
          <w:tcPr>
            <w:tcW w:w="537" w:type="pct"/>
            <w:tcBorders>
              <w:top w:val="nil"/>
              <w:left w:val="nil"/>
              <w:bottom w:val="single" w:sz="4" w:space="0" w:color="000000"/>
              <w:right w:val="nil"/>
            </w:tcBorders>
            <w:shd w:val="clear" w:color="auto" w:fill="auto"/>
            <w:noWrap/>
            <w:vAlign w:val="center"/>
            <w:hideMark/>
          </w:tcPr>
          <w:p w14:paraId="14EDA90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1,650</w:t>
            </w:r>
          </w:p>
        </w:tc>
        <w:tc>
          <w:tcPr>
            <w:tcW w:w="537" w:type="pct"/>
            <w:tcBorders>
              <w:top w:val="nil"/>
              <w:left w:val="nil"/>
              <w:bottom w:val="single" w:sz="4" w:space="0" w:color="000000"/>
              <w:right w:val="nil"/>
            </w:tcBorders>
            <w:shd w:val="clear" w:color="auto" w:fill="auto"/>
            <w:noWrap/>
            <w:vAlign w:val="center"/>
            <w:hideMark/>
          </w:tcPr>
          <w:p w14:paraId="7C79E6D4"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1,500</w:t>
            </w:r>
          </w:p>
        </w:tc>
      </w:tr>
      <w:tr w:rsidR="00FE71CF" w:rsidRPr="00FF1D21" w14:paraId="7DA688CF" w14:textId="77777777" w:rsidTr="00FE71CF">
        <w:trPr>
          <w:trHeight w:hRule="exact" w:val="226"/>
        </w:trPr>
        <w:tc>
          <w:tcPr>
            <w:tcW w:w="2350" w:type="pct"/>
            <w:tcBorders>
              <w:top w:val="nil"/>
              <w:left w:val="nil"/>
              <w:bottom w:val="nil"/>
              <w:right w:val="nil"/>
            </w:tcBorders>
            <w:shd w:val="clear" w:color="auto" w:fill="auto"/>
            <w:noWrap/>
            <w:vAlign w:val="center"/>
            <w:hideMark/>
          </w:tcPr>
          <w:p w14:paraId="71F275EB"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Income taxation receipts</w:t>
            </w:r>
          </w:p>
        </w:tc>
        <w:tc>
          <w:tcPr>
            <w:tcW w:w="519" w:type="pct"/>
            <w:tcBorders>
              <w:top w:val="nil"/>
              <w:left w:val="nil"/>
              <w:bottom w:val="nil"/>
              <w:right w:val="nil"/>
            </w:tcBorders>
            <w:shd w:val="clear" w:color="auto" w:fill="auto"/>
            <w:noWrap/>
            <w:vAlign w:val="center"/>
            <w:hideMark/>
          </w:tcPr>
          <w:p w14:paraId="7DA2B0C7"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490,931</w:t>
            </w:r>
          </w:p>
        </w:tc>
        <w:tc>
          <w:tcPr>
            <w:tcW w:w="53" w:type="pct"/>
            <w:tcBorders>
              <w:top w:val="nil"/>
              <w:left w:val="nil"/>
              <w:bottom w:val="nil"/>
              <w:right w:val="nil"/>
            </w:tcBorders>
            <w:shd w:val="clear" w:color="000000" w:fill="FFFFFF"/>
            <w:noWrap/>
            <w:vAlign w:val="center"/>
            <w:hideMark/>
          </w:tcPr>
          <w:p w14:paraId="6564BE99"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66" w:type="pct"/>
            <w:tcBorders>
              <w:top w:val="nil"/>
              <w:left w:val="nil"/>
              <w:bottom w:val="nil"/>
              <w:right w:val="nil"/>
            </w:tcBorders>
            <w:shd w:val="clear" w:color="000000" w:fill="E6F2FF"/>
            <w:noWrap/>
            <w:vAlign w:val="center"/>
            <w:hideMark/>
          </w:tcPr>
          <w:p w14:paraId="64F0DA9B"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496,070</w:t>
            </w:r>
          </w:p>
        </w:tc>
        <w:tc>
          <w:tcPr>
            <w:tcW w:w="537" w:type="pct"/>
            <w:tcBorders>
              <w:top w:val="nil"/>
              <w:left w:val="nil"/>
              <w:bottom w:val="nil"/>
              <w:right w:val="nil"/>
            </w:tcBorders>
            <w:shd w:val="clear" w:color="auto" w:fill="auto"/>
            <w:noWrap/>
            <w:vAlign w:val="center"/>
            <w:hideMark/>
          </w:tcPr>
          <w:p w14:paraId="06FF6326"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514,390</w:t>
            </w:r>
          </w:p>
        </w:tc>
        <w:tc>
          <w:tcPr>
            <w:tcW w:w="537" w:type="pct"/>
            <w:tcBorders>
              <w:top w:val="nil"/>
              <w:left w:val="nil"/>
              <w:bottom w:val="nil"/>
              <w:right w:val="nil"/>
            </w:tcBorders>
            <w:shd w:val="clear" w:color="auto" w:fill="auto"/>
            <w:noWrap/>
            <w:vAlign w:val="center"/>
            <w:hideMark/>
          </w:tcPr>
          <w:p w14:paraId="0E8B5F6E"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543,360</w:t>
            </w:r>
          </w:p>
        </w:tc>
        <w:tc>
          <w:tcPr>
            <w:tcW w:w="537" w:type="pct"/>
            <w:tcBorders>
              <w:top w:val="nil"/>
              <w:left w:val="nil"/>
              <w:bottom w:val="nil"/>
              <w:right w:val="nil"/>
            </w:tcBorders>
            <w:shd w:val="clear" w:color="auto" w:fill="auto"/>
            <w:noWrap/>
            <w:vAlign w:val="center"/>
            <w:hideMark/>
          </w:tcPr>
          <w:p w14:paraId="13D8C266" w14:textId="77777777" w:rsidR="00FE71CF" w:rsidRPr="00205DD5" w:rsidRDefault="00FE71CF" w:rsidP="00FE71CF">
            <w:pPr>
              <w:spacing w:before="0" w:after="0" w:line="240" w:lineRule="auto"/>
              <w:jc w:val="right"/>
              <w:rPr>
                <w:rFonts w:ascii="Arial" w:hAnsi="Arial" w:cs="Arial"/>
                <w:b/>
                <w:sz w:val="16"/>
                <w:szCs w:val="16"/>
              </w:rPr>
            </w:pPr>
            <w:r w:rsidRPr="00205DD5">
              <w:rPr>
                <w:rFonts w:ascii="Arial" w:hAnsi="Arial" w:cs="Arial"/>
                <w:b/>
                <w:sz w:val="16"/>
                <w:szCs w:val="16"/>
              </w:rPr>
              <w:t>575,330</w:t>
            </w:r>
          </w:p>
        </w:tc>
      </w:tr>
      <w:tr w:rsidR="00FE71CF" w:rsidRPr="00FF1D21" w14:paraId="0C20D9D8" w14:textId="77777777" w:rsidTr="00FE71CF">
        <w:trPr>
          <w:trHeight w:hRule="exact" w:val="60"/>
        </w:trPr>
        <w:tc>
          <w:tcPr>
            <w:tcW w:w="2350" w:type="pct"/>
            <w:tcBorders>
              <w:top w:val="nil"/>
              <w:left w:val="nil"/>
              <w:bottom w:val="nil"/>
              <w:right w:val="nil"/>
            </w:tcBorders>
            <w:shd w:val="clear" w:color="auto" w:fill="auto"/>
            <w:noWrap/>
            <w:vAlign w:val="center"/>
            <w:hideMark/>
          </w:tcPr>
          <w:p w14:paraId="78DB7185" w14:textId="77777777" w:rsidR="00FE71CF" w:rsidRPr="00FF1D21" w:rsidRDefault="00FE71CF" w:rsidP="00FE71CF">
            <w:pPr>
              <w:spacing w:before="0" w:after="0" w:line="240" w:lineRule="auto"/>
              <w:jc w:val="right"/>
              <w:rPr>
                <w:rFonts w:ascii="Arial" w:hAnsi="Arial" w:cs="Arial"/>
                <w:b/>
                <w:sz w:val="16"/>
                <w:szCs w:val="16"/>
                <w:highlight w:val="red"/>
              </w:rPr>
            </w:pPr>
          </w:p>
        </w:tc>
        <w:tc>
          <w:tcPr>
            <w:tcW w:w="519" w:type="pct"/>
            <w:tcBorders>
              <w:top w:val="single" w:sz="4" w:space="0" w:color="000000"/>
              <w:left w:val="nil"/>
              <w:bottom w:val="nil"/>
              <w:right w:val="nil"/>
            </w:tcBorders>
            <w:shd w:val="clear" w:color="auto" w:fill="auto"/>
            <w:noWrap/>
            <w:vAlign w:val="center"/>
            <w:hideMark/>
          </w:tcPr>
          <w:p w14:paraId="159EF32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53" w:type="pct"/>
            <w:tcBorders>
              <w:top w:val="nil"/>
              <w:left w:val="nil"/>
              <w:bottom w:val="nil"/>
              <w:right w:val="nil"/>
            </w:tcBorders>
            <w:shd w:val="clear" w:color="000000" w:fill="FFFFFF"/>
            <w:noWrap/>
            <w:vAlign w:val="center"/>
            <w:hideMark/>
          </w:tcPr>
          <w:p w14:paraId="0DE1FD8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single" w:sz="4" w:space="0" w:color="000000"/>
              <w:left w:val="nil"/>
              <w:bottom w:val="nil"/>
              <w:right w:val="nil"/>
            </w:tcBorders>
            <w:shd w:val="clear" w:color="000000" w:fill="E6F2FF"/>
            <w:noWrap/>
            <w:vAlign w:val="center"/>
            <w:hideMark/>
          </w:tcPr>
          <w:p w14:paraId="31C8C56B"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537" w:type="pct"/>
            <w:tcBorders>
              <w:top w:val="single" w:sz="4" w:space="0" w:color="000000"/>
              <w:left w:val="nil"/>
              <w:bottom w:val="nil"/>
              <w:right w:val="nil"/>
            </w:tcBorders>
            <w:shd w:val="clear" w:color="auto" w:fill="auto"/>
            <w:noWrap/>
            <w:vAlign w:val="center"/>
            <w:hideMark/>
          </w:tcPr>
          <w:p w14:paraId="7E4A606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537" w:type="pct"/>
            <w:tcBorders>
              <w:top w:val="single" w:sz="4" w:space="0" w:color="000000"/>
              <w:left w:val="nil"/>
              <w:bottom w:val="nil"/>
              <w:right w:val="nil"/>
            </w:tcBorders>
            <w:shd w:val="clear" w:color="auto" w:fill="auto"/>
            <w:noWrap/>
            <w:vAlign w:val="center"/>
            <w:hideMark/>
          </w:tcPr>
          <w:p w14:paraId="06604029"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537" w:type="pct"/>
            <w:tcBorders>
              <w:top w:val="single" w:sz="4" w:space="0" w:color="000000"/>
              <w:left w:val="nil"/>
              <w:bottom w:val="nil"/>
              <w:right w:val="nil"/>
            </w:tcBorders>
            <w:shd w:val="clear" w:color="auto" w:fill="auto"/>
            <w:noWrap/>
            <w:vAlign w:val="center"/>
            <w:hideMark/>
          </w:tcPr>
          <w:p w14:paraId="358A0CFB"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 </w:t>
            </w:r>
          </w:p>
        </w:tc>
      </w:tr>
      <w:tr w:rsidR="00FE71CF" w:rsidRPr="00FF1D21" w14:paraId="00D83ACE" w14:textId="77777777" w:rsidTr="00FE71CF">
        <w:trPr>
          <w:trHeight w:hRule="exact" w:val="226"/>
        </w:trPr>
        <w:tc>
          <w:tcPr>
            <w:tcW w:w="2350" w:type="pct"/>
            <w:tcBorders>
              <w:top w:val="nil"/>
              <w:left w:val="nil"/>
              <w:bottom w:val="nil"/>
              <w:right w:val="nil"/>
            </w:tcBorders>
            <w:shd w:val="clear" w:color="auto" w:fill="auto"/>
            <w:noWrap/>
            <w:vAlign w:val="center"/>
            <w:hideMark/>
          </w:tcPr>
          <w:p w14:paraId="6351F315"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Goods and services tax</w:t>
            </w:r>
          </w:p>
        </w:tc>
        <w:tc>
          <w:tcPr>
            <w:tcW w:w="519" w:type="pct"/>
            <w:tcBorders>
              <w:top w:val="nil"/>
              <w:left w:val="nil"/>
              <w:bottom w:val="nil"/>
              <w:right w:val="nil"/>
            </w:tcBorders>
            <w:shd w:val="clear" w:color="auto" w:fill="auto"/>
            <w:noWrap/>
            <w:vAlign w:val="center"/>
            <w:hideMark/>
          </w:tcPr>
          <w:p w14:paraId="59E74EA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85,031</w:t>
            </w:r>
          </w:p>
        </w:tc>
        <w:tc>
          <w:tcPr>
            <w:tcW w:w="53" w:type="pct"/>
            <w:tcBorders>
              <w:top w:val="nil"/>
              <w:left w:val="nil"/>
              <w:bottom w:val="nil"/>
              <w:right w:val="nil"/>
            </w:tcBorders>
            <w:shd w:val="clear" w:color="000000" w:fill="FFFFFF"/>
            <w:noWrap/>
            <w:vAlign w:val="center"/>
            <w:hideMark/>
          </w:tcPr>
          <w:p w14:paraId="19C08D2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AF48F2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89,753</w:t>
            </w:r>
          </w:p>
        </w:tc>
        <w:tc>
          <w:tcPr>
            <w:tcW w:w="537" w:type="pct"/>
            <w:tcBorders>
              <w:top w:val="nil"/>
              <w:left w:val="nil"/>
              <w:bottom w:val="nil"/>
              <w:right w:val="nil"/>
            </w:tcBorders>
            <w:shd w:val="clear" w:color="auto" w:fill="auto"/>
            <w:noWrap/>
            <w:vAlign w:val="center"/>
            <w:hideMark/>
          </w:tcPr>
          <w:p w14:paraId="6325820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94,228</w:t>
            </w:r>
          </w:p>
        </w:tc>
        <w:tc>
          <w:tcPr>
            <w:tcW w:w="537" w:type="pct"/>
            <w:tcBorders>
              <w:top w:val="nil"/>
              <w:left w:val="nil"/>
              <w:bottom w:val="nil"/>
              <w:right w:val="nil"/>
            </w:tcBorders>
            <w:shd w:val="clear" w:color="auto" w:fill="auto"/>
            <w:noWrap/>
            <w:vAlign w:val="center"/>
            <w:hideMark/>
          </w:tcPr>
          <w:p w14:paraId="30FAD1E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99,416</w:t>
            </w:r>
          </w:p>
        </w:tc>
        <w:tc>
          <w:tcPr>
            <w:tcW w:w="537" w:type="pct"/>
            <w:tcBorders>
              <w:top w:val="nil"/>
              <w:left w:val="nil"/>
              <w:bottom w:val="nil"/>
              <w:right w:val="nil"/>
            </w:tcBorders>
            <w:shd w:val="clear" w:color="auto" w:fill="auto"/>
            <w:noWrap/>
            <w:vAlign w:val="center"/>
            <w:hideMark/>
          </w:tcPr>
          <w:p w14:paraId="2152CEE7"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104,928</w:t>
            </w:r>
          </w:p>
        </w:tc>
      </w:tr>
      <w:tr w:rsidR="00FE71CF" w:rsidRPr="00FF1D21" w14:paraId="712BA955" w14:textId="77777777" w:rsidTr="00FE71CF">
        <w:trPr>
          <w:trHeight w:hRule="exact" w:val="226"/>
        </w:trPr>
        <w:tc>
          <w:tcPr>
            <w:tcW w:w="2350" w:type="pct"/>
            <w:tcBorders>
              <w:top w:val="nil"/>
              <w:left w:val="nil"/>
              <w:bottom w:val="nil"/>
              <w:right w:val="nil"/>
            </w:tcBorders>
            <w:shd w:val="clear" w:color="auto" w:fill="auto"/>
            <w:noWrap/>
            <w:vAlign w:val="center"/>
            <w:hideMark/>
          </w:tcPr>
          <w:p w14:paraId="02549DDF"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Wine equalisation tax</w:t>
            </w:r>
          </w:p>
        </w:tc>
        <w:tc>
          <w:tcPr>
            <w:tcW w:w="519" w:type="pct"/>
            <w:tcBorders>
              <w:top w:val="nil"/>
              <w:left w:val="nil"/>
              <w:bottom w:val="nil"/>
              <w:right w:val="nil"/>
            </w:tcBorders>
            <w:shd w:val="clear" w:color="auto" w:fill="auto"/>
            <w:noWrap/>
            <w:vAlign w:val="center"/>
            <w:hideMark/>
          </w:tcPr>
          <w:p w14:paraId="03392DD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1,091</w:t>
            </w:r>
          </w:p>
        </w:tc>
        <w:tc>
          <w:tcPr>
            <w:tcW w:w="53" w:type="pct"/>
            <w:tcBorders>
              <w:top w:val="nil"/>
              <w:left w:val="nil"/>
              <w:bottom w:val="nil"/>
              <w:right w:val="nil"/>
            </w:tcBorders>
            <w:shd w:val="clear" w:color="000000" w:fill="FFFFFF"/>
            <w:noWrap/>
            <w:vAlign w:val="center"/>
            <w:hideMark/>
          </w:tcPr>
          <w:p w14:paraId="43A1189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163924E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1,120</w:t>
            </w:r>
          </w:p>
        </w:tc>
        <w:tc>
          <w:tcPr>
            <w:tcW w:w="537" w:type="pct"/>
            <w:tcBorders>
              <w:top w:val="nil"/>
              <w:left w:val="nil"/>
              <w:bottom w:val="nil"/>
              <w:right w:val="nil"/>
            </w:tcBorders>
            <w:shd w:val="clear" w:color="auto" w:fill="auto"/>
            <w:noWrap/>
            <w:vAlign w:val="center"/>
            <w:hideMark/>
          </w:tcPr>
          <w:p w14:paraId="2948AC2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1,210</w:t>
            </w:r>
          </w:p>
        </w:tc>
        <w:tc>
          <w:tcPr>
            <w:tcW w:w="537" w:type="pct"/>
            <w:tcBorders>
              <w:top w:val="nil"/>
              <w:left w:val="nil"/>
              <w:bottom w:val="nil"/>
              <w:right w:val="nil"/>
            </w:tcBorders>
            <w:shd w:val="clear" w:color="auto" w:fill="auto"/>
            <w:noWrap/>
            <w:vAlign w:val="center"/>
            <w:hideMark/>
          </w:tcPr>
          <w:p w14:paraId="6401E50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1,230</w:t>
            </w:r>
          </w:p>
        </w:tc>
        <w:tc>
          <w:tcPr>
            <w:tcW w:w="537" w:type="pct"/>
            <w:tcBorders>
              <w:top w:val="nil"/>
              <w:left w:val="nil"/>
              <w:bottom w:val="nil"/>
              <w:right w:val="nil"/>
            </w:tcBorders>
            <w:shd w:val="clear" w:color="auto" w:fill="auto"/>
            <w:noWrap/>
            <w:vAlign w:val="center"/>
            <w:hideMark/>
          </w:tcPr>
          <w:p w14:paraId="37BD3875"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1,290</w:t>
            </w:r>
          </w:p>
        </w:tc>
      </w:tr>
      <w:tr w:rsidR="00FE71CF" w:rsidRPr="00FF1D21" w14:paraId="61A030D4" w14:textId="77777777" w:rsidTr="00FE71CF">
        <w:trPr>
          <w:trHeight w:hRule="exact" w:val="226"/>
        </w:trPr>
        <w:tc>
          <w:tcPr>
            <w:tcW w:w="2350" w:type="pct"/>
            <w:tcBorders>
              <w:top w:val="nil"/>
              <w:left w:val="nil"/>
              <w:bottom w:val="nil"/>
              <w:right w:val="nil"/>
            </w:tcBorders>
            <w:shd w:val="clear" w:color="auto" w:fill="auto"/>
            <w:noWrap/>
            <w:vAlign w:val="center"/>
            <w:hideMark/>
          </w:tcPr>
          <w:p w14:paraId="330C1100"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Luxury car tax</w:t>
            </w:r>
          </w:p>
        </w:tc>
        <w:tc>
          <w:tcPr>
            <w:tcW w:w="519" w:type="pct"/>
            <w:tcBorders>
              <w:top w:val="nil"/>
              <w:left w:val="nil"/>
              <w:bottom w:val="nil"/>
              <w:right w:val="nil"/>
            </w:tcBorders>
            <w:shd w:val="clear" w:color="auto" w:fill="auto"/>
            <w:noWrap/>
            <w:vAlign w:val="center"/>
            <w:hideMark/>
          </w:tcPr>
          <w:p w14:paraId="70F4EED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1,253</w:t>
            </w:r>
          </w:p>
        </w:tc>
        <w:tc>
          <w:tcPr>
            <w:tcW w:w="53" w:type="pct"/>
            <w:tcBorders>
              <w:top w:val="nil"/>
              <w:left w:val="nil"/>
              <w:bottom w:val="nil"/>
              <w:right w:val="nil"/>
            </w:tcBorders>
            <w:shd w:val="clear" w:color="000000" w:fill="FFFFFF"/>
            <w:noWrap/>
            <w:vAlign w:val="center"/>
            <w:hideMark/>
          </w:tcPr>
          <w:p w14:paraId="7F7C612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61A849D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1,170</w:t>
            </w:r>
          </w:p>
        </w:tc>
        <w:tc>
          <w:tcPr>
            <w:tcW w:w="537" w:type="pct"/>
            <w:tcBorders>
              <w:top w:val="nil"/>
              <w:left w:val="nil"/>
              <w:bottom w:val="nil"/>
              <w:right w:val="nil"/>
            </w:tcBorders>
            <w:shd w:val="clear" w:color="auto" w:fill="auto"/>
            <w:noWrap/>
            <w:vAlign w:val="center"/>
            <w:hideMark/>
          </w:tcPr>
          <w:p w14:paraId="1024D4B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1,200</w:t>
            </w:r>
          </w:p>
        </w:tc>
        <w:tc>
          <w:tcPr>
            <w:tcW w:w="537" w:type="pct"/>
            <w:tcBorders>
              <w:top w:val="nil"/>
              <w:left w:val="nil"/>
              <w:bottom w:val="nil"/>
              <w:right w:val="nil"/>
            </w:tcBorders>
            <w:shd w:val="clear" w:color="auto" w:fill="auto"/>
            <w:noWrap/>
            <w:vAlign w:val="center"/>
            <w:hideMark/>
          </w:tcPr>
          <w:p w14:paraId="7001E2C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1,270</w:t>
            </w:r>
          </w:p>
        </w:tc>
        <w:tc>
          <w:tcPr>
            <w:tcW w:w="537" w:type="pct"/>
            <w:tcBorders>
              <w:top w:val="nil"/>
              <w:left w:val="nil"/>
              <w:bottom w:val="nil"/>
              <w:right w:val="nil"/>
            </w:tcBorders>
            <w:shd w:val="clear" w:color="auto" w:fill="auto"/>
            <w:noWrap/>
            <w:vAlign w:val="center"/>
            <w:hideMark/>
          </w:tcPr>
          <w:p w14:paraId="13669649"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1,330</w:t>
            </w:r>
          </w:p>
        </w:tc>
      </w:tr>
      <w:tr w:rsidR="00FE71CF" w:rsidRPr="00FF1D21" w14:paraId="7AF009C3" w14:textId="77777777" w:rsidTr="00FE71CF">
        <w:trPr>
          <w:trHeight w:hRule="exact" w:val="226"/>
        </w:trPr>
        <w:tc>
          <w:tcPr>
            <w:tcW w:w="2350" w:type="pct"/>
            <w:tcBorders>
              <w:top w:val="nil"/>
              <w:left w:val="nil"/>
              <w:bottom w:val="nil"/>
              <w:right w:val="nil"/>
            </w:tcBorders>
            <w:shd w:val="clear" w:color="auto" w:fill="auto"/>
            <w:noWrap/>
            <w:vAlign w:val="center"/>
            <w:hideMark/>
          </w:tcPr>
          <w:p w14:paraId="597E2BB3"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Excise and customs duty</w:t>
            </w:r>
          </w:p>
        </w:tc>
        <w:tc>
          <w:tcPr>
            <w:tcW w:w="519" w:type="pct"/>
            <w:tcBorders>
              <w:top w:val="nil"/>
              <w:left w:val="nil"/>
              <w:bottom w:val="nil"/>
              <w:right w:val="nil"/>
            </w:tcBorders>
            <w:shd w:val="clear" w:color="auto" w:fill="auto"/>
            <w:noWrap/>
            <w:vAlign w:val="center"/>
            <w:hideMark/>
          </w:tcPr>
          <w:p w14:paraId="585F6770" w14:textId="77777777" w:rsidR="00FE71CF" w:rsidRPr="00FF1D21" w:rsidRDefault="00FE71CF" w:rsidP="00FE71CF">
            <w:pPr>
              <w:spacing w:before="0" w:after="0" w:line="240" w:lineRule="auto"/>
              <w:rPr>
                <w:rFonts w:ascii="Arial" w:hAnsi="Arial" w:cs="Arial"/>
                <w:sz w:val="16"/>
                <w:szCs w:val="16"/>
                <w:highlight w:val="red"/>
              </w:rPr>
            </w:pPr>
          </w:p>
        </w:tc>
        <w:tc>
          <w:tcPr>
            <w:tcW w:w="53" w:type="pct"/>
            <w:tcBorders>
              <w:top w:val="nil"/>
              <w:left w:val="nil"/>
              <w:bottom w:val="nil"/>
              <w:right w:val="nil"/>
            </w:tcBorders>
            <w:shd w:val="clear" w:color="000000" w:fill="FFFFFF"/>
            <w:noWrap/>
            <w:vAlign w:val="center"/>
            <w:hideMark/>
          </w:tcPr>
          <w:p w14:paraId="5F1025B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9843BF2"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537" w:type="pct"/>
            <w:tcBorders>
              <w:top w:val="nil"/>
              <w:left w:val="nil"/>
              <w:bottom w:val="nil"/>
              <w:right w:val="nil"/>
            </w:tcBorders>
            <w:shd w:val="clear" w:color="auto" w:fill="auto"/>
            <w:noWrap/>
            <w:vAlign w:val="center"/>
            <w:hideMark/>
          </w:tcPr>
          <w:p w14:paraId="30FC718E" w14:textId="77777777" w:rsidR="00FE71CF" w:rsidRPr="00FF1D21" w:rsidRDefault="00FE71CF" w:rsidP="00FE71CF">
            <w:pPr>
              <w:spacing w:before="0" w:after="0" w:line="240" w:lineRule="auto"/>
              <w:rPr>
                <w:rFonts w:ascii="Arial" w:hAnsi="Arial" w:cs="Arial"/>
                <w:sz w:val="16"/>
                <w:szCs w:val="16"/>
                <w:highlight w:val="red"/>
              </w:rPr>
            </w:pPr>
          </w:p>
        </w:tc>
        <w:tc>
          <w:tcPr>
            <w:tcW w:w="537" w:type="pct"/>
            <w:tcBorders>
              <w:top w:val="nil"/>
              <w:left w:val="nil"/>
              <w:bottom w:val="nil"/>
              <w:right w:val="nil"/>
            </w:tcBorders>
            <w:shd w:val="clear" w:color="auto" w:fill="auto"/>
            <w:noWrap/>
            <w:vAlign w:val="center"/>
            <w:hideMark/>
          </w:tcPr>
          <w:p w14:paraId="5F9D28BB" w14:textId="77777777" w:rsidR="00FE71CF" w:rsidRPr="00FF1D21" w:rsidRDefault="00FE71CF" w:rsidP="00FE71CF">
            <w:pPr>
              <w:spacing w:before="0" w:after="0" w:line="240" w:lineRule="auto"/>
              <w:jc w:val="right"/>
              <w:rPr>
                <w:rFonts w:ascii="Times New Roman" w:hAnsi="Times New Roman"/>
                <w:sz w:val="20"/>
                <w:highlight w:val="red"/>
              </w:rPr>
            </w:pPr>
          </w:p>
        </w:tc>
        <w:tc>
          <w:tcPr>
            <w:tcW w:w="537" w:type="pct"/>
            <w:tcBorders>
              <w:top w:val="nil"/>
              <w:left w:val="nil"/>
              <w:bottom w:val="nil"/>
              <w:right w:val="nil"/>
            </w:tcBorders>
            <w:shd w:val="clear" w:color="auto" w:fill="auto"/>
            <w:noWrap/>
            <w:vAlign w:val="center"/>
            <w:hideMark/>
          </w:tcPr>
          <w:p w14:paraId="2B30671A" w14:textId="77777777" w:rsidR="00FE71CF" w:rsidRPr="00205DD5" w:rsidRDefault="00FE71CF" w:rsidP="00FE71CF">
            <w:pPr>
              <w:spacing w:before="0" w:after="0" w:line="240" w:lineRule="auto"/>
              <w:jc w:val="right"/>
              <w:rPr>
                <w:rFonts w:ascii="Times New Roman" w:hAnsi="Times New Roman"/>
                <w:sz w:val="20"/>
              </w:rPr>
            </w:pPr>
          </w:p>
        </w:tc>
      </w:tr>
      <w:tr w:rsidR="00FE71CF" w:rsidRPr="00FF1D21" w14:paraId="1FA66014" w14:textId="77777777" w:rsidTr="00FE71CF">
        <w:trPr>
          <w:trHeight w:hRule="exact" w:val="226"/>
        </w:trPr>
        <w:tc>
          <w:tcPr>
            <w:tcW w:w="2350" w:type="pct"/>
            <w:tcBorders>
              <w:top w:val="nil"/>
              <w:left w:val="nil"/>
              <w:bottom w:val="nil"/>
              <w:right w:val="nil"/>
            </w:tcBorders>
            <w:shd w:val="clear" w:color="auto" w:fill="auto"/>
            <w:noWrap/>
            <w:vAlign w:val="center"/>
            <w:hideMark/>
          </w:tcPr>
          <w:p w14:paraId="65B37C51"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Petrol</w:t>
            </w:r>
          </w:p>
        </w:tc>
        <w:tc>
          <w:tcPr>
            <w:tcW w:w="519" w:type="pct"/>
            <w:tcBorders>
              <w:top w:val="nil"/>
              <w:left w:val="nil"/>
              <w:bottom w:val="nil"/>
              <w:right w:val="nil"/>
            </w:tcBorders>
            <w:shd w:val="clear" w:color="auto" w:fill="auto"/>
            <w:noWrap/>
            <w:vAlign w:val="center"/>
            <w:hideMark/>
          </w:tcPr>
          <w:p w14:paraId="31B520A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6,941</w:t>
            </w:r>
          </w:p>
        </w:tc>
        <w:tc>
          <w:tcPr>
            <w:tcW w:w="53" w:type="pct"/>
            <w:tcBorders>
              <w:top w:val="nil"/>
              <w:left w:val="nil"/>
              <w:bottom w:val="nil"/>
              <w:right w:val="nil"/>
            </w:tcBorders>
            <w:shd w:val="clear" w:color="000000" w:fill="FFFFFF"/>
            <w:noWrap/>
            <w:vAlign w:val="center"/>
            <w:hideMark/>
          </w:tcPr>
          <w:p w14:paraId="0CB21F0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285D152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7,200</w:t>
            </w:r>
          </w:p>
        </w:tc>
        <w:tc>
          <w:tcPr>
            <w:tcW w:w="537" w:type="pct"/>
            <w:tcBorders>
              <w:top w:val="nil"/>
              <w:left w:val="nil"/>
              <w:bottom w:val="nil"/>
              <w:right w:val="nil"/>
            </w:tcBorders>
            <w:shd w:val="clear" w:color="auto" w:fill="auto"/>
            <w:noWrap/>
            <w:vAlign w:val="center"/>
            <w:hideMark/>
          </w:tcPr>
          <w:p w14:paraId="1601493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7,450</w:t>
            </w:r>
          </w:p>
        </w:tc>
        <w:tc>
          <w:tcPr>
            <w:tcW w:w="537" w:type="pct"/>
            <w:tcBorders>
              <w:top w:val="nil"/>
              <w:left w:val="nil"/>
              <w:bottom w:val="nil"/>
              <w:right w:val="nil"/>
            </w:tcBorders>
            <w:shd w:val="clear" w:color="auto" w:fill="auto"/>
            <w:noWrap/>
            <w:vAlign w:val="center"/>
            <w:hideMark/>
          </w:tcPr>
          <w:p w14:paraId="4A61B65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7,600</w:t>
            </w:r>
          </w:p>
        </w:tc>
        <w:tc>
          <w:tcPr>
            <w:tcW w:w="537" w:type="pct"/>
            <w:tcBorders>
              <w:top w:val="nil"/>
              <w:left w:val="nil"/>
              <w:bottom w:val="nil"/>
              <w:right w:val="nil"/>
            </w:tcBorders>
            <w:shd w:val="clear" w:color="auto" w:fill="auto"/>
            <w:noWrap/>
            <w:vAlign w:val="center"/>
            <w:hideMark/>
          </w:tcPr>
          <w:p w14:paraId="219D03C5"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7,800</w:t>
            </w:r>
          </w:p>
        </w:tc>
      </w:tr>
      <w:tr w:rsidR="00FE71CF" w:rsidRPr="00FF1D21" w14:paraId="2FA77C14" w14:textId="77777777" w:rsidTr="00FE71CF">
        <w:trPr>
          <w:trHeight w:hRule="exact" w:val="226"/>
        </w:trPr>
        <w:tc>
          <w:tcPr>
            <w:tcW w:w="2350" w:type="pct"/>
            <w:tcBorders>
              <w:top w:val="nil"/>
              <w:left w:val="nil"/>
              <w:bottom w:val="nil"/>
              <w:right w:val="nil"/>
            </w:tcBorders>
            <w:shd w:val="clear" w:color="auto" w:fill="auto"/>
            <w:noWrap/>
            <w:vAlign w:val="center"/>
            <w:hideMark/>
          </w:tcPr>
          <w:p w14:paraId="4CC0ABFE"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Diesel</w:t>
            </w:r>
          </w:p>
        </w:tc>
        <w:tc>
          <w:tcPr>
            <w:tcW w:w="519" w:type="pct"/>
            <w:tcBorders>
              <w:top w:val="nil"/>
              <w:left w:val="nil"/>
              <w:bottom w:val="nil"/>
              <w:right w:val="nil"/>
            </w:tcBorders>
            <w:shd w:val="clear" w:color="auto" w:fill="auto"/>
            <w:noWrap/>
            <w:vAlign w:val="center"/>
            <w:hideMark/>
          </w:tcPr>
          <w:p w14:paraId="1693091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16,092</w:t>
            </w:r>
          </w:p>
        </w:tc>
        <w:tc>
          <w:tcPr>
            <w:tcW w:w="53" w:type="pct"/>
            <w:tcBorders>
              <w:top w:val="nil"/>
              <w:left w:val="nil"/>
              <w:bottom w:val="nil"/>
              <w:right w:val="nil"/>
            </w:tcBorders>
            <w:shd w:val="clear" w:color="000000" w:fill="FFFFFF"/>
            <w:noWrap/>
            <w:vAlign w:val="center"/>
            <w:hideMark/>
          </w:tcPr>
          <w:p w14:paraId="21D16F3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7AA41DA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17,440</w:t>
            </w:r>
          </w:p>
        </w:tc>
        <w:tc>
          <w:tcPr>
            <w:tcW w:w="537" w:type="pct"/>
            <w:tcBorders>
              <w:top w:val="nil"/>
              <w:left w:val="nil"/>
              <w:bottom w:val="nil"/>
              <w:right w:val="nil"/>
            </w:tcBorders>
            <w:shd w:val="clear" w:color="auto" w:fill="auto"/>
            <w:noWrap/>
            <w:vAlign w:val="center"/>
            <w:hideMark/>
          </w:tcPr>
          <w:p w14:paraId="0512112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17,850</w:t>
            </w:r>
          </w:p>
        </w:tc>
        <w:tc>
          <w:tcPr>
            <w:tcW w:w="537" w:type="pct"/>
            <w:tcBorders>
              <w:top w:val="nil"/>
              <w:left w:val="nil"/>
              <w:bottom w:val="nil"/>
              <w:right w:val="nil"/>
            </w:tcBorders>
            <w:shd w:val="clear" w:color="auto" w:fill="auto"/>
            <w:noWrap/>
            <w:vAlign w:val="center"/>
            <w:hideMark/>
          </w:tcPr>
          <w:p w14:paraId="21296A6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18,770</w:t>
            </w:r>
          </w:p>
        </w:tc>
        <w:tc>
          <w:tcPr>
            <w:tcW w:w="537" w:type="pct"/>
            <w:tcBorders>
              <w:top w:val="nil"/>
              <w:left w:val="nil"/>
              <w:bottom w:val="nil"/>
              <w:right w:val="nil"/>
            </w:tcBorders>
            <w:shd w:val="clear" w:color="auto" w:fill="auto"/>
            <w:noWrap/>
            <w:vAlign w:val="center"/>
            <w:hideMark/>
          </w:tcPr>
          <w:p w14:paraId="4CE2B0DA"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19,470</w:t>
            </w:r>
          </w:p>
        </w:tc>
      </w:tr>
      <w:tr w:rsidR="00FE71CF" w:rsidRPr="00FF1D21" w14:paraId="6A585814" w14:textId="77777777" w:rsidTr="00FE71CF">
        <w:trPr>
          <w:trHeight w:hRule="exact" w:val="226"/>
        </w:trPr>
        <w:tc>
          <w:tcPr>
            <w:tcW w:w="2350" w:type="pct"/>
            <w:tcBorders>
              <w:top w:val="nil"/>
              <w:left w:val="nil"/>
              <w:bottom w:val="nil"/>
              <w:right w:val="nil"/>
            </w:tcBorders>
            <w:shd w:val="clear" w:color="auto" w:fill="auto"/>
            <w:noWrap/>
            <w:vAlign w:val="center"/>
            <w:hideMark/>
          </w:tcPr>
          <w:p w14:paraId="474FDFC9"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Other fuel products</w:t>
            </w:r>
          </w:p>
        </w:tc>
        <w:tc>
          <w:tcPr>
            <w:tcW w:w="519" w:type="pct"/>
            <w:tcBorders>
              <w:top w:val="nil"/>
              <w:left w:val="nil"/>
              <w:bottom w:val="nil"/>
              <w:right w:val="nil"/>
            </w:tcBorders>
            <w:shd w:val="clear" w:color="auto" w:fill="auto"/>
            <w:noWrap/>
            <w:vAlign w:val="center"/>
            <w:hideMark/>
          </w:tcPr>
          <w:p w14:paraId="5E48F7A9"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1,999</w:t>
            </w:r>
          </w:p>
        </w:tc>
        <w:tc>
          <w:tcPr>
            <w:tcW w:w="53" w:type="pct"/>
            <w:tcBorders>
              <w:top w:val="nil"/>
              <w:left w:val="nil"/>
              <w:bottom w:val="nil"/>
              <w:right w:val="nil"/>
            </w:tcBorders>
            <w:shd w:val="clear" w:color="000000" w:fill="FFFFFF"/>
            <w:noWrap/>
            <w:vAlign w:val="center"/>
            <w:hideMark/>
          </w:tcPr>
          <w:p w14:paraId="3051FFD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54D08EB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2,070</w:t>
            </w:r>
          </w:p>
        </w:tc>
        <w:tc>
          <w:tcPr>
            <w:tcW w:w="537" w:type="pct"/>
            <w:tcBorders>
              <w:top w:val="nil"/>
              <w:left w:val="nil"/>
              <w:bottom w:val="nil"/>
              <w:right w:val="nil"/>
            </w:tcBorders>
            <w:shd w:val="clear" w:color="auto" w:fill="auto"/>
            <w:noWrap/>
            <w:vAlign w:val="center"/>
            <w:hideMark/>
          </w:tcPr>
          <w:p w14:paraId="60007B8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2,020</w:t>
            </w:r>
          </w:p>
        </w:tc>
        <w:tc>
          <w:tcPr>
            <w:tcW w:w="537" w:type="pct"/>
            <w:tcBorders>
              <w:top w:val="nil"/>
              <w:left w:val="nil"/>
              <w:bottom w:val="nil"/>
              <w:right w:val="nil"/>
            </w:tcBorders>
            <w:shd w:val="clear" w:color="auto" w:fill="auto"/>
            <w:noWrap/>
            <w:vAlign w:val="center"/>
            <w:hideMark/>
          </w:tcPr>
          <w:p w14:paraId="0D9054A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2,070</w:t>
            </w:r>
          </w:p>
        </w:tc>
        <w:tc>
          <w:tcPr>
            <w:tcW w:w="537" w:type="pct"/>
            <w:tcBorders>
              <w:top w:val="nil"/>
              <w:left w:val="nil"/>
              <w:bottom w:val="nil"/>
              <w:right w:val="nil"/>
            </w:tcBorders>
            <w:shd w:val="clear" w:color="auto" w:fill="auto"/>
            <w:noWrap/>
            <w:vAlign w:val="center"/>
            <w:hideMark/>
          </w:tcPr>
          <w:p w14:paraId="750C0CEA"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2,120</w:t>
            </w:r>
          </w:p>
        </w:tc>
      </w:tr>
      <w:tr w:rsidR="00FE71CF" w:rsidRPr="00FF1D21" w14:paraId="624D8D52" w14:textId="77777777" w:rsidTr="00FE71CF">
        <w:trPr>
          <w:trHeight w:hRule="exact" w:val="226"/>
        </w:trPr>
        <w:tc>
          <w:tcPr>
            <w:tcW w:w="2350" w:type="pct"/>
            <w:tcBorders>
              <w:top w:val="nil"/>
              <w:left w:val="nil"/>
              <w:bottom w:val="nil"/>
              <w:right w:val="nil"/>
            </w:tcBorders>
            <w:shd w:val="clear" w:color="auto" w:fill="auto"/>
            <w:noWrap/>
            <w:vAlign w:val="center"/>
            <w:hideMark/>
          </w:tcPr>
          <w:p w14:paraId="5A37E6D5"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Tobacco</w:t>
            </w:r>
          </w:p>
        </w:tc>
        <w:tc>
          <w:tcPr>
            <w:tcW w:w="519" w:type="pct"/>
            <w:tcBorders>
              <w:top w:val="nil"/>
              <w:left w:val="nil"/>
              <w:bottom w:val="nil"/>
              <w:right w:val="nil"/>
            </w:tcBorders>
            <w:shd w:val="clear" w:color="auto" w:fill="auto"/>
            <w:noWrap/>
            <w:vAlign w:val="center"/>
            <w:hideMark/>
          </w:tcPr>
          <w:p w14:paraId="2D9F64F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9,730</w:t>
            </w:r>
          </w:p>
        </w:tc>
        <w:tc>
          <w:tcPr>
            <w:tcW w:w="53" w:type="pct"/>
            <w:tcBorders>
              <w:top w:val="nil"/>
              <w:left w:val="nil"/>
              <w:bottom w:val="nil"/>
              <w:right w:val="nil"/>
            </w:tcBorders>
            <w:shd w:val="clear" w:color="000000" w:fill="FFFFFF"/>
            <w:noWrap/>
            <w:vAlign w:val="center"/>
            <w:hideMark/>
          </w:tcPr>
          <w:p w14:paraId="56F19E5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E5543E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8,750</w:t>
            </w:r>
          </w:p>
        </w:tc>
        <w:tc>
          <w:tcPr>
            <w:tcW w:w="537" w:type="pct"/>
            <w:tcBorders>
              <w:top w:val="nil"/>
              <w:left w:val="nil"/>
              <w:bottom w:val="nil"/>
              <w:right w:val="nil"/>
            </w:tcBorders>
            <w:shd w:val="clear" w:color="auto" w:fill="auto"/>
            <w:noWrap/>
            <w:vAlign w:val="center"/>
            <w:hideMark/>
          </w:tcPr>
          <w:p w14:paraId="781BDBB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8,650</w:t>
            </w:r>
          </w:p>
        </w:tc>
        <w:tc>
          <w:tcPr>
            <w:tcW w:w="537" w:type="pct"/>
            <w:tcBorders>
              <w:top w:val="nil"/>
              <w:left w:val="nil"/>
              <w:bottom w:val="nil"/>
              <w:right w:val="nil"/>
            </w:tcBorders>
            <w:shd w:val="clear" w:color="auto" w:fill="auto"/>
            <w:noWrap/>
            <w:vAlign w:val="center"/>
            <w:hideMark/>
          </w:tcPr>
          <w:p w14:paraId="5FCA29D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8,500</w:t>
            </w:r>
          </w:p>
        </w:tc>
        <w:tc>
          <w:tcPr>
            <w:tcW w:w="537" w:type="pct"/>
            <w:tcBorders>
              <w:top w:val="nil"/>
              <w:left w:val="nil"/>
              <w:bottom w:val="nil"/>
              <w:right w:val="nil"/>
            </w:tcBorders>
            <w:shd w:val="clear" w:color="auto" w:fill="auto"/>
            <w:noWrap/>
            <w:vAlign w:val="center"/>
            <w:hideMark/>
          </w:tcPr>
          <w:p w14:paraId="69B510AC"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8,300</w:t>
            </w:r>
          </w:p>
        </w:tc>
      </w:tr>
      <w:tr w:rsidR="00FE71CF" w:rsidRPr="00FF1D21" w14:paraId="05CED463" w14:textId="77777777" w:rsidTr="00FE71CF">
        <w:trPr>
          <w:trHeight w:hRule="exact" w:val="226"/>
        </w:trPr>
        <w:tc>
          <w:tcPr>
            <w:tcW w:w="2350" w:type="pct"/>
            <w:tcBorders>
              <w:top w:val="nil"/>
              <w:left w:val="nil"/>
              <w:bottom w:val="nil"/>
              <w:right w:val="nil"/>
            </w:tcBorders>
            <w:shd w:val="clear" w:color="auto" w:fill="auto"/>
            <w:noWrap/>
            <w:vAlign w:val="center"/>
            <w:hideMark/>
          </w:tcPr>
          <w:p w14:paraId="54335FC6"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Beer</w:t>
            </w:r>
          </w:p>
        </w:tc>
        <w:tc>
          <w:tcPr>
            <w:tcW w:w="519" w:type="pct"/>
            <w:tcBorders>
              <w:top w:val="nil"/>
              <w:left w:val="nil"/>
              <w:bottom w:val="nil"/>
              <w:right w:val="nil"/>
            </w:tcBorders>
            <w:shd w:val="clear" w:color="auto" w:fill="auto"/>
            <w:noWrap/>
            <w:vAlign w:val="center"/>
            <w:hideMark/>
          </w:tcPr>
          <w:p w14:paraId="51EE18B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2,599</w:t>
            </w:r>
          </w:p>
        </w:tc>
        <w:tc>
          <w:tcPr>
            <w:tcW w:w="53" w:type="pct"/>
            <w:tcBorders>
              <w:top w:val="nil"/>
              <w:left w:val="nil"/>
              <w:bottom w:val="nil"/>
              <w:right w:val="nil"/>
            </w:tcBorders>
            <w:shd w:val="clear" w:color="000000" w:fill="FFFFFF"/>
            <w:noWrap/>
            <w:vAlign w:val="center"/>
            <w:hideMark/>
          </w:tcPr>
          <w:p w14:paraId="363783B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AC3FB4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2,720</w:t>
            </w:r>
          </w:p>
        </w:tc>
        <w:tc>
          <w:tcPr>
            <w:tcW w:w="537" w:type="pct"/>
            <w:tcBorders>
              <w:top w:val="nil"/>
              <w:left w:val="nil"/>
              <w:bottom w:val="nil"/>
              <w:right w:val="nil"/>
            </w:tcBorders>
            <w:shd w:val="clear" w:color="auto" w:fill="auto"/>
            <w:noWrap/>
            <w:vAlign w:val="center"/>
            <w:hideMark/>
          </w:tcPr>
          <w:p w14:paraId="1B8B0AA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2,850</w:t>
            </w:r>
          </w:p>
        </w:tc>
        <w:tc>
          <w:tcPr>
            <w:tcW w:w="537" w:type="pct"/>
            <w:tcBorders>
              <w:top w:val="nil"/>
              <w:left w:val="nil"/>
              <w:bottom w:val="nil"/>
              <w:right w:val="nil"/>
            </w:tcBorders>
            <w:shd w:val="clear" w:color="auto" w:fill="auto"/>
            <w:noWrap/>
            <w:vAlign w:val="center"/>
            <w:hideMark/>
          </w:tcPr>
          <w:p w14:paraId="4023EC2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2,930</w:t>
            </w:r>
          </w:p>
        </w:tc>
        <w:tc>
          <w:tcPr>
            <w:tcW w:w="537" w:type="pct"/>
            <w:tcBorders>
              <w:top w:val="nil"/>
              <w:left w:val="nil"/>
              <w:bottom w:val="nil"/>
              <w:right w:val="nil"/>
            </w:tcBorders>
            <w:shd w:val="clear" w:color="auto" w:fill="auto"/>
            <w:noWrap/>
            <w:vAlign w:val="center"/>
            <w:hideMark/>
          </w:tcPr>
          <w:p w14:paraId="3D266A75"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2,990</w:t>
            </w:r>
          </w:p>
        </w:tc>
      </w:tr>
      <w:tr w:rsidR="00FE71CF" w:rsidRPr="00FF1D21" w14:paraId="71C32411" w14:textId="77777777" w:rsidTr="00FE71CF">
        <w:trPr>
          <w:trHeight w:hRule="exact" w:val="226"/>
        </w:trPr>
        <w:tc>
          <w:tcPr>
            <w:tcW w:w="2350" w:type="pct"/>
            <w:tcBorders>
              <w:top w:val="nil"/>
              <w:left w:val="nil"/>
              <w:bottom w:val="nil"/>
              <w:right w:val="nil"/>
            </w:tcBorders>
            <w:shd w:val="clear" w:color="auto" w:fill="auto"/>
            <w:noWrap/>
            <w:vAlign w:val="center"/>
            <w:hideMark/>
          </w:tcPr>
          <w:p w14:paraId="6AB6912F"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Spirits</w:t>
            </w:r>
          </w:p>
        </w:tc>
        <w:tc>
          <w:tcPr>
            <w:tcW w:w="519" w:type="pct"/>
            <w:tcBorders>
              <w:top w:val="nil"/>
              <w:left w:val="nil"/>
              <w:bottom w:val="nil"/>
              <w:right w:val="nil"/>
            </w:tcBorders>
            <w:shd w:val="clear" w:color="auto" w:fill="auto"/>
            <w:noWrap/>
            <w:vAlign w:val="center"/>
            <w:hideMark/>
          </w:tcPr>
          <w:p w14:paraId="78ECB34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3,208</w:t>
            </w:r>
          </w:p>
        </w:tc>
        <w:tc>
          <w:tcPr>
            <w:tcW w:w="53" w:type="pct"/>
            <w:tcBorders>
              <w:top w:val="nil"/>
              <w:left w:val="nil"/>
              <w:bottom w:val="nil"/>
              <w:right w:val="nil"/>
            </w:tcBorders>
            <w:shd w:val="clear" w:color="000000" w:fill="FFFFFF"/>
            <w:noWrap/>
            <w:vAlign w:val="center"/>
            <w:hideMark/>
          </w:tcPr>
          <w:p w14:paraId="2BA5B62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F48F10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3,310</w:t>
            </w:r>
          </w:p>
        </w:tc>
        <w:tc>
          <w:tcPr>
            <w:tcW w:w="537" w:type="pct"/>
            <w:tcBorders>
              <w:top w:val="nil"/>
              <w:left w:val="nil"/>
              <w:bottom w:val="nil"/>
              <w:right w:val="nil"/>
            </w:tcBorders>
            <w:shd w:val="clear" w:color="auto" w:fill="auto"/>
            <w:noWrap/>
            <w:vAlign w:val="center"/>
            <w:hideMark/>
          </w:tcPr>
          <w:p w14:paraId="7C532F4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3,450</w:t>
            </w:r>
          </w:p>
        </w:tc>
        <w:tc>
          <w:tcPr>
            <w:tcW w:w="537" w:type="pct"/>
            <w:tcBorders>
              <w:top w:val="nil"/>
              <w:left w:val="nil"/>
              <w:bottom w:val="nil"/>
              <w:right w:val="nil"/>
            </w:tcBorders>
            <w:shd w:val="clear" w:color="auto" w:fill="auto"/>
            <w:noWrap/>
            <w:vAlign w:val="center"/>
            <w:hideMark/>
          </w:tcPr>
          <w:p w14:paraId="1E495DD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3,560</w:t>
            </w:r>
          </w:p>
        </w:tc>
        <w:tc>
          <w:tcPr>
            <w:tcW w:w="537" w:type="pct"/>
            <w:tcBorders>
              <w:top w:val="nil"/>
              <w:left w:val="nil"/>
              <w:bottom w:val="nil"/>
              <w:right w:val="nil"/>
            </w:tcBorders>
            <w:shd w:val="clear" w:color="auto" w:fill="auto"/>
            <w:noWrap/>
            <w:vAlign w:val="center"/>
            <w:hideMark/>
          </w:tcPr>
          <w:p w14:paraId="7FA18047"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3,640</w:t>
            </w:r>
          </w:p>
        </w:tc>
      </w:tr>
      <w:tr w:rsidR="00FE71CF" w:rsidRPr="00FF1D21" w14:paraId="2580C45C" w14:textId="77777777" w:rsidTr="00FE71CF">
        <w:trPr>
          <w:trHeight w:hRule="exact" w:val="226"/>
        </w:trPr>
        <w:tc>
          <w:tcPr>
            <w:tcW w:w="2350" w:type="pct"/>
            <w:tcBorders>
              <w:top w:val="nil"/>
              <w:left w:val="nil"/>
              <w:bottom w:val="nil"/>
              <w:right w:val="nil"/>
            </w:tcBorders>
            <w:shd w:val="clear" w:color="auto" w:fill="auto"/>
            <w:noWrap/>
            <w:vAlign w:val="center"/>
            <w:hideMark/>
          </w:tcPr>
          <w:p w14:paraId="664B9F2D"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Other alcoholic beverages(a)</w:t>
            </w:r>
          </w:p>
        </w:tc>
        <w:tc>
          <w:tcPr>
            <w:tcW w:w="519" w:type="pct"/>
            <w:tcBorders>
              <w:top w:val="nil"/>
              <w:left w:val="nil"/>
              <w:bottom w:val="nil"/>
              <w:right w:val="nil"/>
            </w:tcBorders>
            <w:shd w:val="clear" w:color="auto" w:fill="auto"/>
            <w:noWrap/>
            <w:vAlign w:val="center"/>
            <w:hideMark/>
          </w:tcPr>
          <w:p w14:paraId="7E267D0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1,686</w:t>
            </w:r>
          </w:p>
        </w:tc>
        <w:tc>
          <w:tcPr>
            <w:tcW w:w="53" w:type="pct"/>
            <w:tcBorders>
              <w:top w:val="nil"/>
              <w:left w:val="nil"/>
              <w:bottom w:val="nil"/>
              <w:right w:val="nil"/>
            </w:tcBorders>
            <w:shd w:val="clear" w:color="000000" w:fill="FFFFFF"/>
            <w:noWrap/>
            <w:vAlign w:val="center"/>
            <w:hideMark/>
          </w:tcPr>
          <w:p w14:paraId="259857A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60678C4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1,760</w:t>
            </w:r>
          </w:p>
        </w:tc>
        <w:tc>
          <w:tcPr>
            <w:tcW w:w="537" w:type="pct"/>
            <w:tcBorders>
              <w:top w:val="nil"/>
              <w:left w:val="nil"/>
              <w:bottom w:val="nil"/>
              <w:right w:val="nil"/>
            </w:tcBorders>
            <w:shd w:val="clear" w:color="auto" w:fill="auto"/>
            <w:noWrap/>
            <w:vAlign w:val="center"/>
            <w:hideMark/>
          </w:tcPr>
          <w:p w14:paraId="7F7DDEE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1,850</w:t>
            </w:r>
          </w:p>
        </w:tc>
        <w:tc>
          <w:tcPr>
            <w:tcW w:w="537" w:type="pct"/>
            <w:tcBorders>
              <w:top w:val="nil"/>
              <w:left w:val="nil"/>
              <w:bottom w:val="nil"/>
              <w:right w:val="nil"/>
            </w:tcBorders>
            <w:shd w:val="clear" w:color="auto" w:fill="auto"/>
            <w:noWrap/>
            <w:vAlign w:val="center"/>
            <w:hideMark/>
          </w:tcPr>
          <w:p w14:paraId="1ADE277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1,920</w:t>
            </w:r>
          </w:p>
        </w:tc>
        <w:tc>
          <w:tcPr>
            <w:tcW w:w="537" w:type="pct"/>
            <w:tcBorders>
              <w:top w:val="nil"/>
              <w:left w:val="nil"/>
              <w:bottom w:val="nil"/>
              <w:right w:val="nil"/>
            </w:tcBorders>
            <w:shd w:val="clear" w:color="auto" w:fill="auto"/>
            <w:noWrap/>
            <w:vAlign w:val="center"/>
            <w:hideMark/>
          </w:tcPr>
          <w:p w14:paraId="579C62A2"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1,960</w:t>
            </w:r>
          </w:p>
        </w:tc>
      </w:tr>
      <w:tr w:rsidR="00FE71CF" w:rsidRPr="00FF1D21" w14:paraId="3EE4117A" w14:textId="77777777" w:rsidTr="00FE71CF">
        <w:trPr>
          <w:trHeight w:hRule="exact" w:val="226"/>
        </w:trPr>
        <w:tc>
          <w:tcPr>
            <w:tcW w:w="2350" w:type="pct"/>
            <w:tcBorders>
              <w:top w:val="nil"/>
              <w:left w:val="nil"/>
              <w:bottom w:val="nil"/>
              <w:right w:val="nil"/>
            </w:tcBorders>
            <w:shd w:val="clear" w:color="auto" w:fill="auto"/>
            <w:noWrap/>
            <w:vAlign w:val="center"/>
            <w:hideMark/>
          </w:tcPr>
          <w:p w14:paraId="57F9B94A"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Other customs duty</w:t>
            </w:r>
          </w:p>
        </w:tc>
        <w:tc>
          <w:tcPr>
            <w:tcW w:w="519" w:type="pct"/>
            <w:tcBorders>
              <w:top w:val="nil"/>
              <w:left w:val="nil"/>
              <w:bottom w:val="nil"/>
              <w:right w:val="nil"/>
            </w:tcBorders>
            <w:shd w:val="clear" w:color="auto" w:fill="auto"/>
            <w:noWrap/>
            <w:vAlign w:val="center"/>
            <w:hideMark/>
          </w:tcPr>
          <w:p w14:paraId="22462ABF" w14:textId="77777777" w:rsidR="00FE71CF" w:rsidRPr="00FF1D21" w:rsidRDefault="00FE71CF" w:rsidP="00FE71CF">
            <w:pPr>
              <w:spacing w:before="0" w:after="0" w:line="240" w:lineRule="auto"/>
              <w:ind w:firstLineChars="100" w:firstLine="160"/>
              <w:rPr>
                <w:rFonts w:ascii="Arial" w:hAnsi="Arial" w:cs="Arial"/>
                <w:sz w:val="16"/>
                <w:szCs w:val="16"/>
                <w:highlight w:val="red"/>
              </w:rPr>
            </w:pPr>
          </w:p>
        </w:tc>
        <w:tc>
          <w:tcPr>
            <w:tcW w:w="53" w:type="pct"/>
            <w:tcBorders>
              <w:top w:val="nil"/>
              <w:left w:val="nil"/>
              <w:bottom w:val="nil"/>
              <w:right w:val="nil"/>
            </w:tcBorders>
            <w:shd w:val="clear" w:color="000000" w:fill="FFFFFF"/>
            <w:noWrap/>
            <w:vAlign w:val="center"/>
            <w:hideMark/>
          </w:tcPr>
          <w:p w14:paraId="78E2933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273676CE"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537" w:type="pct"/>
            <w:tcBorders>
              <w:top w:val="nil"/>
              <w:left w:val="nil"/>
              <w:bottom w:val="nil"/>
              <w:right w:val="nil"/>
            </w:tcBorders>
            <w:shd w:val="clear" w:color="auto" w:fill="auto"/>
            <w:noWrap/>
            <w:vAlign w:val="center"/>
            <w:hideMark/>
          </w:tcPr>
          <w:p w14:paraId="6F787DCC" w14:textId="77777777" w:rsidR="00FE71CF" w:rsidRPr="00FF1D21" w:rsidRDefault="00FE71CF" w:rsidP="00FE71CF">
            <w:pPr>
              <w:spacing w:before="0" w:after="0" w:line="240" w:lineRule="auto"/>
              <w:rPr>
                <w:rFonts w:ascii="Arial" w:hAnsi="Arial" w:cs="Arial"/>
                <w:sz w:val="16"/>
                <w:szCs w:val="16"/>
                <w:highlight w:val="red"/>
              </w:rPr>
            </w:pPr>
          </w:p>
        </w:tc>
        <w:tc>
          <w:tcPr>
            <w:tcW w:w="537" w:type="pct"/>
            <w:tcBorders>
              <w:top w:val="nil"/>
              <w:left w:val="nil"/>
              <w:bottom w:val="nil"/>
              <w:right w:val="nil"/>
            </w:tcBorders>
            <w:shd w:val="clear" w:color="auto" w:fill="auto"/>
            <w:noWrap/>
            <w:vAlign w:val="center"/>
            <w:hideMark/>
          </w:tcPr>
          <w:p w14:paraId="7C7EE774" w14:textId="77777777" w:rsidR="00FE71CF" w:rsidRPr="00FF1D21" w:rsidRDefault="00FE71CF" w:rsidP="00FE71CF">
            <w:pPr>
              <w:spacing w:before="0" w:after="0" w:line="240" w:lineRule="auto"/>
              <w:jc w:val="right"/>
              <w:rPr>
                <w:rFonts w:ascii="Times New Roman" w:hAnsi="Times New Roman"/>
                <w:sz w:val="20"/>
                <w:highlight w:val="red"/>
              </w:rPr>
            </w:pPr>
          </w:p>
        </w:tc>
        <w:tc>
          <w:tcPr>
            <w:tcW w:w="537" w:type="pct"/>
            <w:tcBorders>
              <w:top w:val="nil"/>
              <w:left w:val="nil"/>
              <w:bottom w:val="nil"/>
              <w:right w:val="nil"/>
            </w:tcBorders>
            <w:shd w:val="clear" w:color="auto" w:fill="auto"/>
            <w:noWrap/>
            <w:vAlign w:val="center"/>
            <w:hideMark/>
          </w:tcPr>
          <w:p w14:paraId="2B824028" w14:textId="77777777" w:rsidR="00FE71CF" w:rsidRPr="00205DD5" w:rsidRDefault="00FE71CF" w:rsidP="00FE71CF">
            <w:pPr>
              <w:spacing w:before="0" w:after="0" w:line="240" w:lineRule="auto"/>
              <w:jc w:val="right"/>
              <w:rPr>
                <w:rFonts w:ascii="Times New Roman" w:hAnsi="Times New Roman"/>
                <w:sz w:val="20"/>
              </w:rPr>
            </w:pPr>
          </w:p>
        </w:tc>
      </w:tr>
      <w:tr w:rsidR="00FE71CF" w:rsidRPr="00FF1D21" w14:paraId="053F7E8E" w14:textId="77777777" w:rsidTr="00FE71CF">
        <w:trPr>
          <w:trHeight w:hRule="exact" w:val="226"/>
        </w:trPr>
        <w:tc>
          <w:tcPr>
            <w:tcW w:w="2350" w:type="pct"/>
            <w:tcBorders>
              <w:top w:val="nil"/>
              <w:left w:val="nil"/>
              <w:bottom w:val="nil"/>
              <w:right w:val="nil"/>
            </w:tcBorders>
            <w:shd w:val="clear" w:color="auto" w:fill="auto"/>
            <w:noWrap/>
            <w:vAlign w:val="bottom"/>
            <w:hideMark/>
          </w:tcPr>
          <w:p w14:paraId="4E7F5215"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 xml:space="preserve">    Textiles, </w:t>
            </w:r>
            <w:proofErr w:type="gramStart"/>
            <w:r w:rsidRPr="00205DD5">
              <w:rPr>
                <w:rFonts w:ascii="Arial" w:hAnsi="Arial" w:cs="Arial"/>
                <w:sz w:val="16"/>
                <w:szCs w:val="16"/>
              </w:rPr>
              <w:t>clothing</w:t>
            </w:r>
            <w:proofErr w:type="gramEnd"/>
            <w:r w:rsidRPr="00205DD5">
              <w:rPr>
                <w:rFonts w:ascii="Arial" w:hAnsi="Arial" w:cs="Arial"/>
                <w:sz w:val="16"/>
                <w:szCs w:val="16"/>
              </w:rPr>
              <w:t xml:space="preserve"> and footwear</w:t>
            </w:r>
          </w:p>
        </w:tc>
        <w:tc>
          <w:tcPr>
            <w:tcW w:w="519" w:type="pct"/>
            <w:tcBorders>
              <w:top w:val="nil"/>
              <w:left w:val="nil"/>
              <w:bottom w:val="nil"/>
              <w:right w:val="nil"/>
            </w:tcBorders>
            <w:shd w:val="clear" w:color="auto" w:fill="auto"/>
            <w:noWrap/>
            <w:vAlign w:val="center"/>
            <w:hideMark/>
          </w:tcPr>
          <w:p w14:paraId="057CC48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159</w:t>
            </w:r>
          </w:p>
        </w:tc>
        <w:tc>
          <w:tcPr>
            <w:tcW w:w="53" w:type="pct"/>
            <w:tcBorders>
              <w:top w:val="nil"/>
              <w:left w:val="nil"/>
              <w:bottom w:val="nil"/>
              <w:right w:val="nil"/>
            </w:tcBorders>
            <w:shd w:val="clear" w:color="000000" w:fill="FFFFFF"/>
            <w:noWrap/>
            <w:vAlign w:val="center"/>
            <w:hideMark/>
          </w:tcPr>
          <w:p w14:paraId="1E8C1AC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7FED074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170</w:t>
            </w:r>
          </w:p>
        </w:tc>
        <w:tc>
          <w:tcPr>
            <w:tcW w:w="537" w:type="pct"/>
            <w:tcBorders>
              <w:top w:val="nil"/>
              <w:left w:val="nil"/>
              <w:bottom w:val="nil"/>
              <w:right w:val="nil"/>
            </w:tcBorders>
            <w:shd w:val="clear" w:color="auto" w:fill="auto"/>
            <w:noWrap/>
            <w:vAlign w:val="center"/>
            <w:hideMark/>
          </w:tcPr>
          <w:p w14:paraId="433E3D9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170</w:t>
            </w:r>
          </w:p>
        </w:tc>
        <w:tc>
          <w:tcPr>
            <w:tcW w:w="537" w:type="pct"/>
            <w:tcBorders>
              <w:top w:val="nil"/>
              <w:left w:val="nil"/>
              <w:bottom w:val="nil"/>
              <w:right w:val="nil"/>
            </w:tcBorders>
            <w:shd w:val="clear" w:color="auto" w:fill="auto"/>
            <w:noWrap/>
            <w:vAlign w:val="center"/>
            <w:hideMark/>
          </w:tcPr>
          <w:p w14:paraId="45CC8B7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180</w:t>
            </w:r>
          </w:p>
        </w:tc>
        <w:tc>
          <w:tcPr>
            <w:tcW w:w="537" w:type="pct"/>
            <w:tcBorders>
              <w:top w:val="nil"/>
              <w:left w:val="nil"/>
              <w:bottom w:val="nil"/>
              <w:right w:val="nil"/>
            </w:tcBorders>
            <w:shd w:val="clear" w:color="auto" w:fill="auto"/>
            <w:noWrap/>
            <w:vAlign w:val="center"/>
            <w:hideMark/>
          </w:tcPr>
          <w:p w14:paraId="530F1904"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150</w:t>
            </w:r>
          </w:p>
        </w:tc>
      </w:tr>
      <w:tr w:rsidR="00FE71CF" w:rsidRPr="00FF1D21" w14:paraId="364B54C8" w14:textId="77777777" w:rsidTr="00FE71CF">
        <w:trPr>
          <w:trHeight w:hRule="exact" w:val="226"/>
        </w:trPr>
        <w:tc>
          <w:tcPr>
            <w:tcW w:w="2350" w:type="pct"/>
            <w:tcBorders>
              <w:top w:val="nil"/>
              <w:left w:val="nil"/>
              <w:bottom w:val="nil"/>
              <w:right w:val="nil"/>
            </w:tcBorders>
            <w:shd w:val="clear" w:color="auto" w:fill="auto"/>
            <w:noWrap/>
            <w:vAlign w:val="bottom"/>
            <w:hideMark/>
          </w:tcPr>
          <w:p w14:paraId="6FE6C7BA"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 xml:space="preserve">    Passenger motor vehicles</w:t>
            </w:r>
          </w:p>
        </w:tc>
        <w:tc>
          <w:tcPr>
            <w:tcW w:w="519" w:type="pct"/>
            <w:tcBorders>
              <w:top w:val="nil"/>
              <w:left w:val="nil"/>
              <w:bottom w:val="nil"/>
              <w:right w:val="nil"/>
            </w:tcBorders>
            <w:shd w:val="clear" w:color="auto" w:fill="auto"/>
            <w:noWrap/>
            <w:vAlign w:val="center"/>
            <w:hideMark/>
          </w:tcPr>
          <w:p w14:paraId="038928F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391</w:t>
            </w:r>
          </w:p>
        </w:tc>
        <w:tc>
          <w:tcPr>
            <w:tcW w:w="53" w:type="pct"/>
            <w:tcBorders>
              <w:top w:val="nil"/>
              <w:left w:val="nil"/>
              <w:bottom w:val="nil"/>
              <w:right w:val="nil"/>
            </w:tcBorders>
            <w:shd w:val="clear" w:color="000000" w:fill="FFFFFF"/>
            <w:noWrap/>
            <w:vAlign w:val="center"/>
            <w:hideMark/>
          </w:tcPr>
          <w:p w14:paraId="3FF5C2C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523E42D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380</w:t>
            </w:r>
          </w:p>
        </w:tc>
        <w:tc>
          <w:tcPr>
            <w:tcW w:w="537" w:type="pct"/>
            <w:tcBorders>
              <w:top w:val="nil"/>
              <w:left w:val="nil"/>
              <w:bottom w:val="nil"/>
              <w:right w:val="nil"/>
            </w:tcBorders>
            <w:shd w:val="clear" w:color="auto" w:fill="auto"/>
            <w:noWrap/>
            <w:vAlign w:val="center"/>
            <w:hideMark/>
          </w:tcPr>
          <w:p w14:paraId="3996A67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370</w:t>
            </w:r>
          </w:p>
        </w:tc>
        <w:tc>
          <w:tcPr>
            <w:tcW w:w="537" w:type="pct"/>
            <w:tcBorders>
              <w:top w:val="nil"/>
              <w:left w:val="nil"/>
              <w:bottom w:val="nil"/>
              <w:right w:val="nil"/>
            </w:tcBorders>
            <w:shd w:val="clear" w:color="auto" w:fill="auto"/>
            <w:noWrap/>
            <w:vAlign w:val="center"/>
            <w:hideMark/>
          </w:tcPr>
          <w:p w14:paraId="637E03B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340</w:t>
            </w:r>
          </w:p>
        </w:tc>
        <w:tc>
          <w:tcPr>
            <w:tcW w:w="537" w:type="pct"/>
            <w:tcBorders>
              <w:top w:val="nil"/>
              <w:left w:val="nil"/>
              <w:bottom w:val="nil"/>
              <w:right w:val="nil"/>
            </w:tcBorders>
            <w:shd w:val="clear" w:color="auto" w:fill="auto"/>
            <w:noWrap/>
            <w:vAlign w:val="center"/>
            <w:hideMark/>
          </w:tcPr>
          <w:p w14:paraId="746087EC"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120</w:t>
            </w:r>
          </w:p>
        </w:tc>
      </w:tr>
      <w:tr w:rsidR="00FE71CF" w:rsidRPr="00FF1D21" w14:paraId="2069261F" w14:textId="77777777" w:rsidTr="00FE71CF">
        <w:trPr>
          <w:trHeight w:hRule="exact" w:val="226"/>
        </w:trPr>
        <w:tc>
          <w:tcPr>
            <w:tcW w:w="2350" w:type="pct"/>
            <w:tcBorders>
              <w:top w:val="nil"/>
              <w:left w:val="nil"/>
              <w:bottom w:val="nil"/>
              <w:right w:val="nil"/>
            </w:tcBorders>
            <w:shd w:val="clear" w:color="auto" w:fill="auto"/>
            <w:noWrap/>
            <w:vAlign w:val="center"/>
            <w:hideMark/>
          </w:tcPr>
          <w:p w14:paraId="030053CD" w14:textId="77777777" w:rsidR="00FE71CF" w:rsidRPr="00FF1D21" w:rsidRDefault="00FE71CF" w:rsidP="00FE71CF">
            <w:pPr>
              <w:spacing w:before="0" w:after="0" w:line="240" w:lineRule="auto"/>
              <w:ind w:left="170"/>
              <w:rPr>
                <w:rFonts w:ascii="Arial" w:hAnsi="Arial" w:cs="Arial"/>
                <w:sz w:val="16"/>
                <w:szCs w:val="16"/>
                <w:highlight w:val="red"/>
              </w:rPr>
            </w:pPr>
            <w:r w:rsidRPr="00205DD5">
              <w:rPr>
                <w:rFonts w:ascii="Arial" w:hAnsi="Arial" w:cs="Arial"/>
                <w:sz w:val="16"/>
                <w:szCs w:val="16"/>
              </w:rPr>
              <w:t xml:space="preserve">    Other imports</w:t>
            </w:r>
          </w:p>
        </w:tc>
        <w:tc>
          <w:tcPr>
            <w:tcW w:w="519" w:type="pct"/>
            <w:tcBorders>
              <w:top w:val="nil"/>
              <w:left w:val="nil"/>
              <w:bottom w:val="nil"/>
              <w:right w:val="nil"/>
            </w:tcBorders>
            <w:shd w:val="clear" w:color="auto" w:fill="auto"/>
            <w:noWrap/>
            <w:vAlign w:val="center"/>
            <w:hideMark/>
          </w:tcPr>
          <w:p w14:paraId="3E9B9C7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1,501</w:t>
            </w:r>
          </w:p>
        </w:tc>
        <w:tc>
          <w:tcPr>
            <w:tcW w:w="53" w:type="pct"/>
            <w:tcBorders>
              <w:top w:val="nil"/>
              <w:left w:val="nil"/>
              <w:bottom w:val="nil"/>
              <w:right w:val="nil"/>
            </w:tcBorders>
            <w:shd w:val="clear" w:color="000000" w:fill="FFFFFF"/>
            <w:noWrap/>
            <w:vAlign w:val="center"/>
            <w:hideMark/>
          </w:tcPr>
          <w:p w14:paraId="72CE558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70B3F3C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1,560</w:t>
            </w:r>
          </w:p>
        </w:tc>
        <w:tc>
          <w:tcPr>
            <w:tcW w:w="537" w:type="pct"/>
            <w:tcBorders>
              <w:top w:val="nil"/>
              <w:left w:val="nil"/>
              <w:bottom w:val="nil"/>
              <w:right w:val="nil"/>
            </w:tcBorders>
            <w:shd w:val="clear" w:color="auto" w:fill="auto"/>
            <w:noWrap/>
            <w:vAlign w:val="center"/>
            <w:hideMark/>
          </w:tcPr>
          <w:p w14:paraId="429C347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1,600</w:t>
            </w:r>
          </w:p>
        </w:tc>
        <w:tc>
          <w:tcPr>
            <w:tcW w:w="537" w:type="pct"/>
            <w:tcBorders>
              <w:top w:val="nil"/>
              <w:left w:val="nil"/>
              <w:bottom w:val="nil"/>
              <w:right w:val="nil"/>
            </w:tcBorders>
            <w:shd w:val="clear" w:color="auto" w:fill="auto"/>
            <w:noWrap/>
            <w:vAlign w:val="center"/>
            <w:hideMark/>
          </w:tcPr>
          <w:p w14:paraId="7D95C05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1,670</w:t>
            </w:r>
          </w:p>
        </w:tc>
        <w:tc>
          <w:tcPr>
            <w:tcW w:w="537" w:type="pct"/>
            <w:tcBorders>
              <w:top w:val="nil"/>
              <w:left w:val="nil"/>
              <w:bottom w:val="nil"/>
              <w:right w:val="nil"/>
            </w:tcBorders>
            <w:shd w:val="clear" w:color="auto" w:fill="auto"/>
            <w:noWrap/>
            <w:vAlign w:val="center"/>
            <w:hideMark/>
          </w:tcPr>
          <w:p w14:paraId="75001D18"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890</w:t>
            </w:r>
          </w:p>
        </w:tc>
      </w:tr>
      <w:tr w:rsidR="00FE71CF" w:rsidRPr="00FF1D21" w14:paraId="1AA388A2" w14:textId="77777777" w:rsidTr="00FE71CF">
        <w:trPr>
          <w:trHeight w:hRule="exact" w:val="226"/>
        </w:trPr>
        <w:tc>
          <w:tcPr>
            <w:tcW w:w="2350" w:type="pct"/>
            <w:tcBorders>
              <w:top w:val="nil"/>
              <w:left w:val="nil"/>
              <w:bottom w:val="nil"/>
              <w:right w:val="nil"/>
            </w:tcBorders>
            <w:shd w:val="clear" w:color="auto" w:fill="auto"/>
            <w:noWrap/>
            <w:vAlign w:val="bottom"/>
            <w:hideMark/>
          </w:tcPr>
          <w:p w14:paraId="7CE8253C" w14:textId="46D580E1" w:rsidR="00FE71CF" w:rsidRPr="00FF1D21" w:rsidRDefault="00FE71CF" w:rsidP="00FE71CF">
            <w:pPr>
              <w:spacing w:before="0" w:after="0" w:line="240" w:lineRule="auto"/>
              <w:ind w:left="170"/>
              <w:rPr>
                <w:rFonts w:ascii="Arial" w:hAnsi="Arial" w:cs="Arial"/>
                <w:i/>
                <w:sz w:val="16"/>
                <w:szCs w:val="16"/>
                <w:highlight w:val="red"/>
              </w:rPr>
            </w:pPr>
            <w:r w:rsidRPr="00205DD5">
              <w:rPr>
                <w:rFonts w:ascii="Arial" w:hAnsi="Arial" w:cs="Arial"/>
                <w:i/>
                <w:sz w:val="16"/>
                <w:szCs w:val="16"/>
              </w:rPr>
              <w:t xml:space="preserve">less: </w:t>
            </w:r>
            <w:r w:rsidRPr="00205DD5">
              <w:rPr>
                <w:rFonts w:ascii="Arial" w:hAnsi="Arial" w:cs="Arial"/>
                <w:iCs/>
                <w:sz w:val="16"/>
                <w:szCs w:val="16"/>
              </w:rPr>
              <w:t>Refunds and drawbacks</w:t>
            </w:r>
          </w:p>
        </w:tc>
        <w:tc>
          <w:tcPr>
            <w:tcW w:w="519" w:type="pct"/>
            <w:tcBorders>
              <w:top w:val="nil"/>
              <w:left w:val="nil"/>
              <w:bottom w:val="single" w:sz="4" w:space="0" w:color="000000"/>
              <w:right w:val="nil"/>
            </w:tcBorders>
            <w:shd w:val="clear" w:color="auto" w:fill="auto"/>
            <w:noWrap/>
            <w:vAlign w:val="center"/>
            <w:hideMark/>
          </w:tcPr>
          <w:p w14:paraId="70E974E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791</w:t>
            </w:r>
          </w:p>
        </w:tc>
        <w:tc>
          <w:tcPr>
            <w:tcW w:w="53" w:type="pct"/>
            <w:tcBorders>
              <w:top w:val="nil"/>
              <w:left w:val="nil"/>
              <w:bottom w:val="nil"/>
              <w:right w:val="nil"/>
            </w:tcBorders>
            <w:shd w:val="clear" w:color="000000" w:fill="FFFFFF"/>
            <w:noWrap/>
            <w:vAlign w:val="center"/>
            <w:hideMark/>
          </w:tcPr>
          <w:p w14:paraId="47373A9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single" w:sz="4" w:space="0" w:color="000000"/>
              <w:right w:val="nil"/>
            </w:tcBorders>
            <w:shd w:val="clear" w:color="000000" w:fill="E6F2FF"/>
            <w:noWrap/>
            <w:vAlign w:val="center"/>
            <w:hideMark/>
          </w:tcPr>
          <w:p w14:paraId="2CD0210E"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730</w:t>
            </w:r>
          </w:p>
        </w:tc>
        <w:tc>
          <w:tcPr>
            <w:tcW w:w="537" w:type="pct"/>
            <w:tcBorders>
              <w:top w:val="nil"/>
              <w:left w:val="nil"/>
              <w:bottom w:val="single" w:sz="4" w:space="0" w:color="000000"/>
              <w:right w:val="nil"/>
            </w:tcBorders>
            <w:shd w:val="clear" w:color="auto" w:fill="auto"/>
            <w:noWrap/>
            <w:vAlign w:val="center"/>
            <w:hideMark/>
          </w:tcPr>
          <w:p w14:paraId="4790DA4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730</w:t>
            </w:r>
          </w:p>
        </w:tc>
        <w:tc>
          <w:tcPr>
            <w:tcW w:w="537" w:type="pct"/>
            <w:tcBorders>
              <w:top w:val="nil"/>
              <w:left w:val="nil"/>
              <w:bottom w:val="single" w:sz="4" w:space="0" w:color="000000"/>
              <w:right w:val="nil"/>
            </w:tcBorders>
            <w:shd w:val="clear" w:color="auto" w:fill="auto"/>
            <w:noWrap/>
            <w:vAlign w:val="center"/>
            <w:hideMark/>
          </w:tcPr>
          <w:p w14:paraId="1B126E2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730</w:t>
            </w:r>
          </w:p>
        </w:tc>
        <w:tc>
          <w:tcPr>
            <w:tcW w:w="537" w:type="pct"/>
            <w:tcBorders>
              <w:top w:val="nil"/>
              <w:left w:val="nil"/>
              <w:bottom w:val="single" w:sz="4" w:space="0" w:color="000000"/>
              <w:right w:val="nil"/>
            </w:tcBorders>
            <w:shd w:val="clear" w:color="auto" w:fill="auto"/>
            <w:noWrap/>
            <w:vAlign w:val="center"/>
            <w:hideMark/>
          </w:tcPr>
          <w:p w14:paraId="2D185C8E"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730</w:t>
            </w:r>
          </w:p>
        </w:tc>
      </w:tr>
      <w:tr w:rsidR="00FE71CF" w:rsidRPr="00FF1D21" w14:paraId="78328B1D" w14:textId="77777777" w:rsidTr="00FE71CF">
        <w:trPr>
          <w:trHeight w:hRule="exact" w:val="226"/>
        </w:trPr>
        <w:tc>
          <w:tcPr>
            <w:tcW w:w="2350" w:type="pct"/>
            <w:tcBorders>
              <w:top w:val="nil"/>
              <w:left w:val="nil"/>
              <w:bottom w:val="nil"/>
              <w:right w:val="nil"/>
            </w:tcBorders>
            <w:shd w:val="clear" w:color="auto" w:fill="auto"/>
            <w:noWrap/>
            <w:vAlign w:val="bottom"/>
            <w:hideMark/>
          </w:tcPr>
          <w:p w14:paraId="0EBD688D"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xml:space="preserve">Total excise and customs duty </w:t>
            </w:r>
          </w:p>
        </w:tc>
        <w:tc>
          <w:tcPr>
            <w:tcW w:w="519" w:type="pct"/>
            <w:tcBorders>
              <w:top w:val="nil"/>
              <w:left w:val="nil"/>
              <w:bottom w:val="nil"/>
              <w:right w:val="nil"/>
            </w:tcBorders>
            <w:shd w:val="clear" w:color="auto" w:fill="auto"/>
            <w:noWrap/>
            <w:vAlign w:val="center"/>
            <w:hideMark/>
          </w:tcPr>
          <w:p w14:paraId="1360977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43,514</w:t>
            </w:r>
          </w:p>
        </w:tc>
        <w:tc>
          <w:tcPr>
            <w:tcW w:w="53" w:type="pct"/>
            <w:tcBorders>
              <w:top w:val="nil"/>
              <w:left w:val="nil"/>
              <w:bottom w:val="nil"/>
              <w:right w:val="nil"/>
            </w:tcBorders>
            <w:shd w:val="clear" w:color="000000" w:fill="FFFFFF"/>
            <w:noWrap/>
            <w:vAlign w:val="center"/>
            <w:hideMark/>
          </w:tcPr>
          <w:p w14:paraId="7B9F19C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21ABC81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44,630</w:t>
            </w:r>
          </w:p>
        </w:tc>
        <w:tc>
          <w:tcPr>
            <w:tcW w:w="537" w:type="pct"/>
            <w:tcBorders>
              <w:top w:val="nil"/>
              <w:left w:val="nil"/>
              <w:bottom w:val="nil"/>
              <w:right w:val="nil"/>
            </w:tcBorders>
            <w:shd w:val="clear" w:color="auto" w:fill="auto"/>
            <w:noWrap/>
            <w:vAlign w:val="center"/>
            <w:hideMark/>
          </w:tcPr>
          <w:p w14:paraId="562734F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45,530</w:t>
            </w:r>
          </w:p>
        </w:tc>
        <w:tc>
          <w:tcPr>
            <w:tcW w:w="537" w:type="pct"/>
            <w:tcBorders>
              <w:top w:val="nil"/>
              <w:left w:val="nil"/>
              <w:bottom w:val="nil"/>
              <w:right w:val="nil"/>
            </w:tcBorders>
            <w:shd w:val="clear" w:color="auto" w:fill="auto"/>
            <w:noWrap/>
            <w:vAlign w:val="center"/>
            <w:hideMark/>
          </w:tcPr>
          <w:p w14:paraId="39283DE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46,810</w:t>
            </w:r>
          </w:p>
        </w:tc>
        <w:tc>
          <w:tcPr>
            <w:tcW w:w="537" w:type="pct"/>
            <w:tcBorders>
              <w:top w:val="nil"/>
              <w:left w:val="nil"/>
              <w:bottom w:val="nil"/>
              <w:right w:val="nil"/>
            </w:tcBorders>
            <w:shd w:val="clear" w:color="auto" w:fill="auto"/>
            <w:noWrap/>
            <w:vAlign w:val="center"/>
            <w:hideMark/>
          </w:tcPr>
          <w:p w14:paraId="57DA9928"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46,710</w:t>
            </w:r>
          </w:p>
        </w:tc>
      </w:tr>
      <w:tr w:rsidR="00FE71CF" w:rsidRPr="00FF1D21" w14:paraId="5C38B2EF" w14:textId="77777777" w:rsidTr="00FE71CF">
        <w:trPr>
          <w:trHeight w:hRule="exact" w:val="226"/>
        </w:trPr>
        <w:tc>
          <w:tcPr>
            <w:tcW w:w="2350" w:type="pct"/>
            <w:tcBorders>
              <w:top w:val="nil"/>
              <w:left w:val="nil"/>
              <w:bottom w:val="nil"/>
              <w:right w:val="nil"/>
            </w:tcBorders>
            <w:shd w:val="clear" w:color="auto" w:fill="auto"/>
            <w:noWrap/>
            <w:vAlign w:val="center"/>
            <w:hideMark/>
          </w:tcPr>
          <w:p w14:paraId="460FD3D7"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Major Bank Levy</w:t>
            </w:r>
          </w:p>
        </w:tc>
        <w:tc>
          <w:tcPr>
            <w:tcW w:w="519" w:type="pct"/>
            <w:tcBorders>
              <w:top w:val="nil"/>
              <w:left w:val="nil"/>
              <w:bottom w:val="nil"/>
              <w:right w:val="nil"/>
            </w:tcBorders>
            <w:shd w:val="clear" w:color="auto" w:fill="auto"/>
            <w:noWrap/>
            <w:vAlign w:val="center"/>
            <w:hideMark/>
          </w:tcPr>
          <w:p w14:paraId="683EC621"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1,623</w:t>
            </w:r>
          </w:p>
        </w:tc>
        <w:tc>
          <w:tcPr>
            <w:tcW w:w="53" w:type="pct"/>
            <w:tcBorders>
              <w:top w:val="nil"/>
              <w:left w:val="nil"/>
              <w:bottom w:val="nil"/>
              <w:right w:val="nil"/>
            </w:tcBorders>
            <w:shd w:val="clear" w:color="000000" w:fill="FFFFFF"/>
            <w:noWrap/>
            <w:vAlign w:val="center"/>
            <w:hideMark/>
          </w:tcPr>
          <w:p w14:paraId="4B43D6D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49539A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1,730</w:t>
            </w:r>
          </w:p>
        </w:tc>
        <w:tc>
          <w:tcPr>
            <w:tcW w:w="537" w:type="pct"/>
            <w:tcBorders>
              <w:top w:val="nil"/>
              <w:left w:val="nil"/>
              <w:bottom w:val="nil"/>
              <w:right w:val="nil"/>
            </w:tcBorders>
            <w:shd w:val="clear" w:color="auto" w:fill="auto"/>
            <w:noWrap/>
            <w:vAlign w:val="center"/>
            <w:hideMark/>
          </w:tcPr>
          <w:p w14:paraId="6BD10C0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1,790</w:t>
            </w:r>
          </w:p>
        </w:tc>
        <w:tc>
          <w:tcPr>
            <w:tcW w:w="537" w:type="pct"/>
            <w:tcBorders>
              <w:top w:val="nil"/>
              <w:left w:val="nil"/>
              <w:bottom w:val="nil"/>
              <w:right w:val="nil"/>
            </w:tcBorders>
            <w:shd w:val="clear" w:color="auto" w:fill="auto"/>
            <w:noWrap/>
            <w:vAlign w:val="center"/>
            <w:hideMark/>
          </w:tcPr>
          <w:p w14:paraId="4DC6BB3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1,880</w:t>
            </w:r>
          </w:p>
        </w:tc>
        <w:tc>
          <w:tcPr>
            <w:tcW w:w="537" w:type="pct"/>
            <w:tcBorders>
              <w:top w:val="nil"/>
              <w:left w:val="nil"/>
              <w:bottom w:val="nil"/>
              <w:right w:val="nil"/>
            </w:tcBorders>
            <w:shd w:val="clear" w:color="auto" w:fill="auto"/>
            <w:noWrap/>
            <w:vAlign w:val="center"/>
            <w:hideMark/>
          </w:tcPr>
          <w:p w14:paraId="5C08E4A7"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1,980</w:t>
            </w:r>
          </w:p>
        </w:tc>
      </w:tr>
      <w:tr w:rsidR="00FE71CF" w:rsidRPr="00FF1D21" w14:paraId="4595206D" w14:textId="77777777" w:rsidTr="00FE71CF">
        <w:trPr>
          <w:trHeight w:hRule="exact" w:val="226"/>
        </w:trPr>
        <w:tc>
          <w:tcPr>
            <w:tcW w:w="2350" w:type="pct"/>
            <w:tcBorders>
              <w:top w:val="nil"/>
              <w:left w:val="nil"/>
              <w:bottom w:val="nil"/>
              <w:right w:val="nil"/>
            </w:tcBorders>
            <w:shd w:val="clear" w:color="auto" w:fill="auto"/>
            <w:noWrap/>
            <w:vAlign w:val="center"/>
            <w:hideMark/>
          </w:tcPr>
          <w:p w14:paraId="0635539E"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Agricultural levies</w:t>
            </w:r>
          </w:p>
        </w:tc>
        <w:tc>
          <w:tcPr>
            <w:tcW w:w="519" w:type="pct"/>
            <w:tcBorders>
              <w:top w:val="nil"/>
              <w:left w:val="nil"/>
              <w:bottom w:val="nil"/>
              <w:right w:val="nil"/>
            </w:tcBorders>
            <w:shd w:val="clear" w:color="auto" w:fill="auto"/>
            <w:noWrap/>
            <w:vAlign w:val="center"/>
            <w:hideMark/>
          </w:tcPr>
          <w:p w14:paraId="46D5913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637</w:t>
            </w:r>
          </w:p>
        </w:tc>
        <w:tc>
          <w:tcPr>
            <w:tcW w:w="53" w:type="pct"/>
            <w:tcBorders>
              <w:top w:val="nil"/>
              <w:left w:val="nil"/>
              <w:bottom w:val="nil"/>
              <w:right w:val="nil"/>
            </w:tcBorders>
            <w:shd w:val="clear" w:color="000000" w:fill="FFFFFF"/>
            <w:noWrap/>
            <w:vAlign w:val="center"/>
            <w:hideMark/>
          </w:tcPr>
          <w:p w14:paraId="0A31BDE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314E5015"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678</w:t>
            </w:r>
          </w:p>
        </w:tc>
        <w:tc>
          <w:tcPr>
            <w:tcW w:w="537" w:type="pct"/>
            <w:tcBorders>
              <w:top w:val="nil"/>
              <w:left w:val="nil"/>
              <w:bottom w:val="nil"/>
              <w:right w:val="nil"/>
            </w:tcBorders>
            <w:shd w:val="clear" w:color="auto" w:fill="auto"/>
            <w:noWrap/>
            <w:vAlign w:val="center"/>
            <w:hideMark/>
          </w:tcPr>
          <w:p w14:paraId="24630C5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625</w:t>
            </w:r>
          </w:p>
        </w:tc>
        <w:tc>
          <w:tcPr>
            <w:tcW w:w="537" w:type="pct"/>
            <w:tcBorders>
              <w:top w:val="nil"/>
              <w:left w:val="nil"/>
              <w:bottom w:val="nil"/>
              <w:right w:val="nil"/>
            </w:tcBorders>
            <w:shd w:val="clear" w:color="auto" w:fill="auto"/>
            <w:noWrap/>
            <w:vAlign w:val="center"/>
            <w:hideMark/>
          </w:tcPr>
          <w:p w14:paraId="06DC85B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629</w:t>
            </w:r>
          </w:p>
        </w:tc>
        <w:tc>
          <w:tcPr>
            <w:tcW w:w="537" w:type="pct"/>
            <w:tcBorders>
              <w:top w:val="nil"/>
              <w:left w:val="nil"/>
              <w:bottom w:val="nil"/>
              <w:right w:val="nil"/>
            </w:tcBorders>
            <w:shd w:val="clear" w:color="auto" w:fill="auto"/>
            <w:noWrap/>
            <w:vAlign w:val="center"/>
            <w:hideMark/>
          </w:tcPr>
          <w:p w14:paraId="5501EAAF"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636</w:t>
            </w:r>
          </w:p>
        </w:tc>
      </w:tr>
      <w:tr w:rsidR="00FE71CF" w:rsidRPr="00FF1D21" w14:paraId="4010A05F" w14:textId="77777777" w:rsidTr="00FE71CF">
        <w:trPr>
          <w:trHeight w:hRule="exact" w:val="226"/>
        </w:trPr>
        <w:tc>
          <w:tcPr>
            <w:tcW w:w="2350" w:type="pct"/>
            <w:tcBorders>
              <w:top w:val="nil"/>
              <w:left w:val="nil"/>
              <w:bottom w:val="nil"/>
              <w:right w:val="nil"/>
            </w:tcBorders>
            <w:shd w:val="clear" w:color="auto" w:fill="auto"/>
            <w:noWrap/>
            <w:vAlign w:val="center"/>
            <w:hideMark/>
          </w:tcPr>
          <w:p w14:paraId="0509E22C"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Visa application charges</w:t>
            </w:r>
          </w:p>
        </w:tc>
        <w:tc>
          <w:tcPr>
            <w:tcW w:w="519" w:type="pct"/>
            <w:tcBorders>
              <w:top w:val="nil"/>
              <w:left w:val="nil"/>
              <w:bottom w:val="nil"/>
              <w:right w:val="nil"/>
            </w:tcBorders>
            <w:shd w:val="clear" w:color="auto" w:fill="auto"/>
            <w:noWrap/>
            <w:vAlign w:val="center"/>
            <w:hideMark/>
          </w:tcPr>
          <w:p w14:paraId="67366D0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3,385</w:t>
            </w:r>
          </w:p>
        </w:tc>
        <w:tc>
          <w:tcPr>
            <w:tcW w:w="53" w:type="pct"/>
            <w:tcBorders>
              <w:top w:val="nil"/>
              <w:left w:val="nil"/>
              <w:bottom w:val="nil"/>
              <w:right w:val="nil"/>
            </w:tcBorders>
            <w:shd w:val="clear" w:color="000000" w:fill="FFFFFF"/>
            <w:noWrap/>
            <w:vAlign w:val="center"/>
            <w:hideMark/>
          </w:tcPr>
          <w:p w14:paraId="2E01847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0B441B7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4,147</w:t>
            </w:r>
          </w:p>
        </w:tc>
        <w:tc>
          <w:tcPr>
            <w:tcW w:w="537" w:type="pct"/>
            <w:tcBorders>
              <w:top w:val="nil"/>
              <w:left w:val="nil"/>
              <w:bottom w:val="nil"/>
              <w:right w:val="nil"/>
            </w:tcBorders>
            <w:shd w:val="clear" w:color="auto" w:fill="auto"/>
            <w:noWrap/>
            <w:vAlign w:val="center"/>
            <w:hideMark/>
          </w:tcPr>
          <w:p w14:paraId="4EDF0B6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4,211</w:t>
            </w:r>
          </w:p>
        </w:tc>
        <w:tc>
          <w:tcPr>
            <w:tcW w:w="537" w:type="pct"/>
            <w:tcBorders>
              <w:top w:val="nil"/>
              <w:left w:val="nil"/>
              <w:bottom w:val="nil"/>
              <w:right w:val="nil"/>
            </w:tcBorders>
            <w:shd w:val="clear" w:color="auto" w:fill="auto"/>
            <w:noWrap/>
            <w:vAlign w:val="center"/>
            <w:hideMark/>
          </w:tcPr>
          <w:p w14:paraId="5DC4964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4,406</w:t>
            </w:r>
          </w:p>
        </w:tc>
        <w:tc>
          <w:tcPr>
            <w:tcW w:w="537" w:type="pct"/>
            <w:tcBorders>
              <w:top w:val="nil"/>
              <w:left w:val="nil"/>
              <w:bottom w:val="nil"/>
              <w:right w:val="nil"/>
            </w:tcBorders>
            <w:shd w:val="clear" w:color="auto" w:fill="auto"/>
            <w:noWrap/>
            <w:vAlign w:val="center"/>
            <w:hideMark/>
          </w:tcPr>
          <w:p w14:paraId="59C6F0CC"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4,586</w:t>
            </w:r>
          </w:p>
        </w:tc>
      </w:tr>
      <w:tr w:rsidR="00FE71CF" w:rsidRPr="00FF1D21" w14:paraId="7DF5D664" w14:textId="77777777" w:rsidTr="00FE71CF">
        <w:trPr>
          <w:trHeight w:hRule="exact" w:val="226"/>
        </w:trPr>
        <w:tc>
          <w:tcPr>
            <w:tcW w:w="2350" w:type="pct"/>
            <w:tcBorders>
              <w:top w:val="nil"/>
              <w:left w:val="nil"/>
              <w:bottom w:val="nil"/>
              <w:right w:val="nil"/>
            </w:tcBorders>
            <w:shd w:val="clear" w:color="auto" w:fill="auto"/>
            <w:noWrap/>
            <w:vAlign w:val="center"/>
            <w:hideMark/>
          </w:tcPr>
          <w:p w14:paraId="58E52351"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Other taxes</w:t>
            </w:r>
          </w:p>
        </w:tc>
        <w:tc>
          <w:tcPr>
            <w:tcW w:w="519" w:type="pct"/>
            <w:tcBorders>
              <w:top w:val="nil"/>
              <w:left w:val="nil"/>
              <w:bottom w:val="nil"/>
              <w:right w:val="nil"/>
            </w:tcBorders>
            <w:shd w:val="clear" w:color="auto" w:fill="auto"/>
            <w:noWrap/>
            <w:vAlign w:val="center"/>
            <w:hideMark/>
          </w:tcPr>
          <w:p w14:paraId="6988CD3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5,936</w:t>
            </w:r>
          </w:p>
        </w:tc>
        <w:tc>
          <w:tcPr>
            <w:tcW w:w="53" w:type="pct"/>
            <w:tcBorders>
              <w:top w:val="nil"/>
              <w:left w:val="nil"/>
              <w:bottom w:val="nil"/>
              <w:right w:val="nil"/>
            </w:tcBorders>
            <w:shd w:val="clear" w:color="000000" w:fill="FFFFFF"/>
            <w:noWrap/>
            <w:vAlign w:val="center"/>
            <w:hideMark/>
          </w:tcPr>
          <w:p w14:paraId="40359B4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639407D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6,267</w:t>
            </w:r>
          </w:p>
        </w:tc>
        <w:tc>
          <w:tcPr>
            <w:tcW w:w="537" w:type="pct"/>
            <w:tcBorders>
              <w:top w:val="nil"/>
              <w:left w:val="nil"/>
              <w:bottom w:val="nil"/>
              <w:right w:val="nil"/>
            </w:tcBorders>
            <w:shd w:val="clear" w:color="auto" w:fill="auto"/>
            <w:noWrap/>
            <w:vAlign w:val="center"/>
            <w:hideMark/>
          </w:tcPr>
          <w:p w14:paraId="40FE347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6,467</w:t>
            </w:r>
          </w:p>
        </w:tc>
        <w:tc>
          <w:tcPr>
            <w:tcW w:w="537" w:type="pct"/>
            <w:tcBorders>
              <w:top w:val="nil"/>
              <w:left w:val="nil"/>
              <w:bottom w:val="nil"/>
              <w:right w:val="nil"/>
            </w:tcBorders>
            <w:shd w:val="clear" w:color="auto" w:fill="auto"/>
            <w:noWrap/>
            <w:vAlign w:val="center"/>
            <w:hideMark/>
          </w:tcPr>
          <w:p w14:paraId="732EFC1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6,420</w:t>
            </w:r>
          </w:p>
        </w:tc>
        <w:tc>
          <w:tcPr>
            <w:tcW w:w="537" w:type="pct"/>
            <w:tcBorders>
              <w:top w:val="nil"/>
              <w:left w:val="nil"/>
              <w:bottom w:val="nil"/>
              <w:right w:val="nil"/>
            </w:tcBorders>
            <w:shd w:val="clear" w:color="auto" w:fill="auto"/>
            <w:noWrap/>
            <w:vAlign w:val="center"/>
            <w:hideMark/>
          </w:tcPr>
          <w:p w14:paraId="6C89CFCD"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6,287</w:t>
            </w:r>
          </w:p>
        </w:tc>
      </w:tr>
      <w:tr w:rsidR="00FE71CF" w:rsidRPr="00FF1D21" w14:paraId="493AEB04" w14:textId="77777777" w:rsidTr="00FE71CF">
        <w:trPr>
          <w:trHeight w:hRule="exact" w:val="226"/>
        </w:trPr>
        <w:tc>
          <w:tcPr>
            <w:tcW w:w="2350" w:type="pct"/>
            <w:tcBorders>
              <w:top w:val="nil"/>
              <w:left w:val="nil"/>
              <w:bottom w:val="nil"/>
              <w:right w:val="nil"/>
            </w:tcBorders>
            <w:shd w:val="clear" w:color="auto" w:fill="auto"/>
            <w:noWrap/>
            <w:vAlign w:val="center"/>
            <w:hideMark/>
          </w:tcPr>
          <w:p w14:paraId="5B2EC252"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Indirect taxation receipts</w:t>
            </w:r>
          </w:p>
        </w:tc>
        <w:tc>
          <w:tcPr>
            <w:tcW w:w="519" w:type="pct"/>
            <w:tcBorders>
              <w:top w:val="single" w:sz="4" w:space="0" w:color="000000"/>
              <w:left w:val="nil"/>
              <w:bottom w:val="nil"/>
              <w:right w:val="nil"/>
            </w:tcBorders>
            <w:shd w:val="clear" w:color="000000" w:fill="FFFFFF"/>
            <w:noWrap/>
            <w:vAlign w:val="center"/>
            <w:hideMark/>
          </w:tcPr>
          <w:p w14:paraId="2BE1B7B4"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142,469</w:t>
            </w:r>
          </w:p>
        </w:tc>
        <w:tc>
          <w:tcPr>
            <w:tcW w:w="53" w:type="pct"/>
            <w:tcBorders>
              <w:top w:val="nil"/>
              <w:left w:val="nil"/>
              <w:bottom w:val="nil"/>
              <w:right w:val="nil"/>
            </w:tcBorders>
            <w:shd w:val="clear" w:color="000000" w:fill="FFFFFF"/>
            <w:noWrap/>
            <w:vAlign w:val="center"/>
            <w:hideMark/>
          </w:tcPr>
          <w:p w14:paraId="0D514E28"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66" w:type="pct"/>
            <w:tcBorders>
              <w:top w:val="single" w:sz="4" w:space="0" w:color="000000"/>
              <w:left w:val="nil"/>
              <w:bottom w:val="nil"/>
              <w:right w:val="nil"/>
            </w:tcBorders>
            <w:shd w:val="clear" w:color="000000" w:fill="E6F2FF"/>
            <w:noWrap/>
            <w:vAlign w:val="center"/>
            <w:hideMark/>
          </w:tcPr>
          <w:p w14:paraId="03301F3D"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149,495</w:t>
            </w:r>
          </w:p>
        </w:tc>
        <w:tc>
          <w:tcPr>
            <w:tcW w:w="537" w:type="pct"/>
            <w:tcBorders>
              <w:top w:val="single" w:sz="4" w:space="0" w:color="000000"/>
              <w:left w:val="nil"/>
              <w:bottom w:val="nil"/>
              <w:right w:val="nil"/>
            </w:tcBorders>
            <w:shd w:val="clear" w:color="auto" w:fill="auto"/>
            <w:noWrap/>
            <w:vAlign w:val="center"/>
            <w:hideMark/>
          </w:tcPr>
          <w:p w14:paraId="682B1E4E"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155,261</w:t>
            </w:r>
          </w:p>
        </w:tc>
        <w:tc>
          <w:tcPr>
            <w:tcW w:w="537" w:type="pct"/>
            <w:tcBorders>
              <w:top w:val="single" w:sz="4" w:space="0" w:color="000000"/>
              <w:left w:val="nil"/>
              <w:bottom w:val="nil"/>
              <w:right w:val="nil"/>
            </w:tcBorders>
            <w:shd w:val="clear" w:color="auto" w:fill="auto"/>
            <w:noWrap/>
            <w:vAlign w:val="center"/>
            <w:hideMark/>
          </w:tcPr>
          <w:p w14:paraId="59368A8D"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162,061</w:t>
            </w:r>
          </w:p>
        </w:tc>
        <w:tc>
          <w:tcPr>
            <w:tcW w:w="537" w:type="pct"/>
            <w:tcBorders>
              <w:top w:val="single" w:sz="4" w:space="0" w:color="000000"/>
              <w:left w:val="nil"/>
              <w:bottom w:val="nil"/>
              <w:right w:val="nil"/>
            </w:tcBorders>
            <w:shd w:val="clear" w:color="auto" w:fill="auto"/>
            <w:noWrap/>
            <w:vAlign w:val="center"/>
            <w:hideMark/>
          </w:tcPr>
          <w:p w14:paraId="1C6E2981" w14:textId="77777777" w:rsidR="00FE71CF" w:rsidRPr="00205DD5" w:rsidRDefault="00FE71CF" w:rsidP="00FE71CF">
            <w:pPr>
              <w:spacing w:before="0" w:after="0" w:line="240" w:lineRule="auto"/>
              <w:jc w:val="right"/>
              <w:rPr>
                <w:rFonts w:ascii="Arial" w:hAnsi="Arial" w:cs="Arial"/>
                <w:b/>
                <w:sz w:val="16"/>
                <w:szCs w:val="16"/>
              </w:rPr>
            </w:pPr>
            <w:r w:rsidRPr="00205DD5">
              <w:rPr>
                <w:rFonts w:ascii="Arial" w:hAnsi="Arial" w:cs="Arial"/>
                <w:b/>
                <w:sz w:val="16"/>
                <w:szCs w:val="16"/>
              </w:rPr>
              <w:t>167,747</w:t>
            </w:r>
          </w:p>
        </w:tc>
      </w:tr>
      <w:tr w:rsidR="00FE71CF" w:rsidRPr="00FF1D21" w14:paraId="5E27224B" w14:textId="77777777" w:rsidTr="00FE71CF">
        <w:trPr>
          <w:trHeight w:hRule="exact" w:val="60"/>
        </w:trPr>
        <w:tc>
          <w:tcPr>
            <w:tcW w:w="2350" w:type="pct"/>
            <w:tcBorders>
              <w:top w:val="nil"/>
              <w:left w:val="nil"/>
              <w:bottom w:val="nil"/>
              <w:right w:val="nil"/>
            </w:tcBorders>
            <w:shd w:val="clear" w:color="auto" w:fill="auto"/>
            <w:noWrap/>
            <w:vAlign w:val="center"/>
            <w:hideMark/>
          </w:tcPr>
          <w:p w14:paraId="7456D849" w14:textId="77777777" w:rsidR="00FE71CF" w:rsidRPr="00FF1D21" w:rsidRDefault="00FE71CF" w:rsidP="00FE71CF">
            <w:pPr>
              <w:spacing w:before="0" w:after="0" w:line="240" w:lineRule="auto"/>
              <w:jc w:val="right"/>
              <w:rPr>
                <w:rFonts w:ascii="Arial" w:hAnsi="Arial" w:cs="Arial"/>
                <w:b/>
                <w:sz w:val="16"/>
                <w:szCs w:val="16"/>
                <w:highlight w:val="red"/>
              </w:rPr>
            </w:pPr>
          </w:p>
        </w:tc>
        <w:tc>
          <w:tcPr>
            <w:tcW w:w="519" w:type="pct"/>
            <w:tcBorders>
              <w:top w:val="single" w:sz="4" w:space="0" w:color="000000"/>
              <w:left w:val="nil"/>
              <w:bottom w:val="nil"/>
              <w:right w:val="nil"/>
            </w:tcBorders>
            <w:shd w:val="clear" w:color="auto" w:fill="auto"/>
            <w:noWrap/>
            <w:vAlign w:val="center"/>
            <w:hideMark/>
          </w:tcPr>
          <w:p w14:paraId="42B44E9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53" w:type="pct"/>
            <w:tcBorders>
              <w:top w:val="nil"/>
              <w:left w:val="nil"/>
              <w:bottom w:val="nil"/>
              <w:right w:val="nil"/>
            </w:tcBorders>
            <w:shd w:val="clear" w:color="000000" w:fill="FFFFFF"/>
            <w:noWrap/>
            <w:vAlign w:val="center"/>
            <w:hideMark/>
          </w:tcPr>
          <w:p w14:paraId="1A37202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single" w:sz="4" w:space="0" w:color="000000"/>
              <w:left w:val="nil"/>
              <w:bottom w:val="nil"/>
              <w:right w:val="nil"/>
            </w:tcBorders>
            <w:shd w:val="clear" w:color="000000" w:fill="E6F2FF"/>
            <w:noWrap/>
            <w:vAlign w:val="center"/>
            <w:hideMark/>
          </w:tcPr>
          <w:p w14:paraId="4FD9BF07"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 </w:t>
            </w:r>
          </w:p>
        </w:tc>
        <w:tc>
          <w:tcPr>
            <w:tcW w:w="537" w:type="pct"/>
            <w:tcBorders>
              <w:top w:val="single" w:sz="4" w:space="0" w:color="000000"/>
              <w:left w:val="nil"/>
              <w:bottom w:val="nil"/>
              <w:right w:val="nil"/>
            </w:tcBorders>
            <w:shd w:val="clear" w:color="auto" w:fill="auto"/>
            <w:noWrap/>
            <w:vAlign w:val="center"/>
            <w:hideMark/>
          </w:tcPr>
          <w:p w14:paraId="6F824C3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537" w:type="pct"/>
            <w:tcBorders>
              <w:top w:val="single" w:sz="4" w:space="0" w:color="000000"/>
              <w:left w:val="nil"/>
              <w:bottom w:val="nil"/>
              <w:right w:val="nil"/>
            </w:tcBorders>
            <w:shd w:val="clear" w:color="auto" w:fill="auto"/>
            <w:noWrap/>
            <w:vAlign w:val="center"/>
            <w:hideMark/>
          </w:tcPr>
          <w:p w14:paraId="74B3415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537" w:type="pct"/>
            <w:tcBorders>
              <w:top w:val="single" w:sz="4" w:space="0" w:color="000000"/>
              <w:left w:val="nil"/>
              <w:bottom w:val="nil"/>
              <w:right w:val="nil"/>
            </w:tcBorders>
            <w:shd w:val="clear" w:color="auto" w:fill="auto"/>
            <w:noWrap/>
            <w:vAlign w:val="center"/>
            <w:hideMark/>
          </w:tcPr>
          <w:p w14:paraId="1BDF3CAB"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 </w:t>
            </w:r>
          </w:p>
        </w:tc>
      </w:tr>
      <w:tr w:rsidR="00FE71CF" w:rsidRPr="00FF1D21" w14:paraId="1ADC5C93" w14:textId="77777777" w:rsidTr="00FE71CF">
        <w:trPr>
          <w:trHeight w:hRule="exact" w:val="226"/>
        </w:trPr>
        <w:tc>
          <w:tcPr>
            <w:tcW w:w="2350" w:type="pct"/>
            <w:tcBorders>
              <w:top w:val="nil"/>
              <w:left w:val="nil"/>
              <w:bottom w:val="nil"/>
              <w:right w:val="nil"/>
            </w:tcBorders>
            <w:shd w:val="clear" w:color="auto" w:fill="auto"/>
            <w:noWrap/>
            <w:vAlign w:val="center"/>
            <w:hideMark/>
          </w:tcPr>
          <w:p w14:paraId="1E5B7D9A"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Taxation receipts</w:t>
            </w:r>
          </w:p>
        </w:tc>
        <w:tc>
          <w:tcPr>
            <w:tcW w:w="519" w:type="pct"/>
            <w:tcBorders>
              <w:top w:val="nil"/>
              <w:left w:val="nil"/>
              <w:bottom w:val="single" w:sz="4" w:space="0" w:color="000000"/>
              <w:right w:val="nil"/>
            </w:tcBorders>
            <w:shd w:val="clear" w:color="auto" w:fill="auto"/>
            <w:noWrap/>
            <w:vAlign w:val="center"/>
            <w:hideMark/>
          </w:tcPr>
          <w:p w14:paraId="36EE3511"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633,400</w:t>
            </w:r>
          </w:p>
        </w:tc>
        <w:tc>
          <w:tcPr>
            <w:tcW w:w="53" w:type="pct"/>
            <w:tcBorders>
              <w:top w:val="nil"/>
              <w:left w:val="nil"/>
              <w:bottom w:val="nil"/>
              <w:right w:val="nil"/>
            </w:tcBorders>
            <w:shd w:val="clear" w:color="000000" w:fill="FFFFFF"/>
            <w:noWrap/>
            <w:vAlign w:val="center"/>
            <w:hideMark/>
          </w:tcPr>
          <w:p w14:paraId="6B76A8E3"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66" w:type="pct"/>
            <w:tcBorders>
              <w:top w:val="nil"/>
              <w:left w:val="nil"/>
              <w:bottom w:val="single" w:sz="4" w:space="0" w:color="000000"/>
              <w:right w:val="nil"/>
            </w:tcBorders>
            <w:shd w:val="clear" w:color="000000" w:fill="E6F2FF"/>
            <w:noWrap/>
            <w:vAlign w:val="center"/>
            <w:hideMark/>
          </w:tcPr>
          <w:p w14:paraId="4239F2E4"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645,565</w:t>
            </w:r>
          </w:p>
        </w:tc>
        <w:tc>
          <w:tcPr>
            <w:tcW w:w="537" w:type="pct"/>
            <w:tcBorders>
              <w:top w:val="nil"/>
              <w:left w:val="nil"/>
              <w:bottom w:val="single" w:sz="4" w:space="0" w:color="000000"/>
              <w:right w:val="nil"/>
            </w:tcBorders>
            <w:shd w:val="clear" w:color="auto" w:fill="auto"/>
            <w:noWrap/>
            <w:vAlign w:val="center"/>
            <w:hideMark/>
          </w:tcPr>
          <w:p w14:paraId="4427FA5B"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669,651</w:t>
            </w:r>
          </w:p>
        </w:tc>
        <w:tc>
          <w:tcPr>
            <w:tcW w:w="537" w:type="pct"/>
            <w:tcBorders>
              <w:top w:val="nil"/>
              <w:left w:val="nil"/>
              <w:bottom w:val="single" w:sz="4" w:space="0" w:color="000000"/>
              <w:right w:val="nil"/>
            </w:tcBorders>
            <w:shd w:val="clear" w:color="auto" w:fill="auto"/>
            <w:noWrap/>
            <w:vAlign w:val="center"/>
            <w:hideMark/>
          </w:tcPr>
          <w:p w14:paraId="4CBC539E"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705,421</w:t>
            </w:r>
          </w:p>
        </w:tc>
        <w:tc>
          <w:tcPr>
            <w:tcW w:w="537" w:type="pct"/>
            <w:tcBorders>
              <w:top w:val="nil"/>
              <w:left w:val="nil"/>
              <w:bottom w:val="single" w:sz="4" w:space="0" w:color="000000"/>
              <w:right w:val="nil"/>
            </w:tcBorders>
            <w:shd w:val="clear" w:color="auto" w:fill="auto"/>
            <w:noWrap/>
            <w:vAlign w:val="center"/>
            <w:hideMark/>
          </w:tcPr>
          <w:p w14:paraId="6FE0B714" w14:textId="77777777" w:rsidR="00FE71CF" w:rsidRPr="00205DD5" w:rsidRDefault="00FE71CF" w:rsidP="00FE71CF">
            <w:pPr>
              <w:spacing w:before="0" w:after="0" w:line="240" w:lineRule="auto"/>
              <w:jc w:val="right"/>
              <w:rPr>
                <w:rFonts w:ascii="Arial" w:hAnsi="Arial" w:cs="Arial"/>
                <w:b/>
                <w:sz w:val="16"/>
                <w:szCs w:val="16"/>
              </w:rPr>
            </w:pPr>
            <w:r w:rsidRPr="00205DD5">
              <w:rPr>
                <w:rFonts w:ascii="Arial" w:hAnsi="Arial" w:cs="Arial"/>
                <w:b/>
                <w:sz w:val="16"/>
                <w:szCs w:val="16"/>
              </w:rPr>
              <w:t>743,077</w:t>
            </w:r>
          </w:p>
        </w:tc>
      </w:tr>
      <w:tr w:rsidR="00FE71CF" w:rsidRPr="00FF1D21" w14:paraId="7CF6E08E" w14:textId="77777777" w:rsidTr="00FE71CF">
        <w:trPr>
          <w:trHeight w:hRule="exact" w:val="60"/>
        </w:trPr>
        <w:tc>
          <w:tcPr>
            <w:tcW w:w="2350" w:type="pct"/>
            <w:tcBorders>
              <w:top w:val="nil"/>
              <w:left w:val="nil"/>
              <w:bottom w:val="nil"/>
              <w:right w:val="nil"/>
            </w:tcBorders>
            <w:shd w:val="clear" w:color="auto" w:fill="auto"/>
            <w:noWrap/>
            <w:vAlign w:val="center"/>
            <w:hideMark/>
          </w:tcPr>
          <w:p w14:paraId="12D832DF" w14:textId="77777777" w:rsidR="00FE71CF" w:rsidRPr="00FF1D21" w:rsidRDefault="00FE71CF" w:rsidP="00FE71CF">
            <w:pPr>
              <w:spacing w:before="0" w:after="0" w:line="240" w:lineRule="auto"/>
              <w:jc w:val="right"/>
              <w:rPr>
                <w:rFonts w:ascii="Arial" w:hAnsi="Arial" w:cs="Arial"/>
                <w:b/>
                <w:sz w:val="16"/>
                <w:szCs w:val="16"/>
                <w:highlight w:val="red"/>
              </w:rPr>
            </w:pPr>
          </w:p>
        </w:tc>
        <w:tc>
          <w:tcPr>
            <w:tcW w:w="519" w:type="pct"/>
            <w:tcBorders>
              <w:top w:val="nil"/>
              <w:left w:val="nil"/>
              <w:bottom w:val="nil"/>
              <w:right w:val="nil"/>
            </w:tcBorders>
            <w:shd w:val="clear" w:color="auto" w:fill="auto"/>
            <w:noWrap/>
            <w:vAlign w:val="center"/>
            <w:hideMark/>
          </w:tcPr>
          <w:p w14:paraId="0B2442B9" w14:textId="77777777" w:rsidR="00FE71CF" w:rsidRPr="00FF1D21" w:rsidRDefault="00FE71CF" w:rsidP="00FE71CF">
            <w:pPr>
              <w:spacing w:before="0" w:after="0" w:line="240" w:lineRule="auto"/>
              <w:rPr>
                <w:rFonts w:ascii="Times New Roman" w:hAnsi="Times New Roman"/>
                <w:sz w:val="20"/>
                <w:highlight w:val="red"/>
              </w:rPr>
            </w:pPr>
          </w:p>
        </w:tc>
        <w:tc>
          <w:tcPr>
            <w:tcW w:w="53" w:type="pct"/>
            <w:tcBorders>
              <w:top w:val="nil"/>
              <w:left w:val="nil"/>
              <w:bottom w:val="nil"/>
              <w:right w:val="nil"/>
            </w:tcBorders>
            <w:shd w:val="clear" w:color="000000" w:fill="FFFFFF"/>
            <w:noWrap/>
            <w:vAlign w:val="center"/>
            <w:hideMark/>
          </w:tcPr>
          <w:p w14:paraId="09205F0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39EAE670"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 </w:t>
            </w:r>
          </w:p>
        </w:tc>
        <w:tc>
          <w:tcPr>
            <w:tcW w:w="537" w:type="pct"/>
            <w:tcBorders>
              <w:top w:val="nil"/>
              <w:left w:val="nil"/>
              <w:bottom w:val="nil"/>
              <w:right w:val="nil"/>
            </w:tcBorders>
            <w:shd w:val="clear" w:color="auto" w:fill="auto"/>
            <w:noWrap/>
            <w:vAlign w:val="center"/>
            <w:hideMark/>
          </w:tcPr>
          <w:p w14:paraId="03972E6F" w14:textId="77777777" w:rsidR="00FE71CF" w:rsidRPr="00FF1D21" w:rsidRDefault="00FE71CF" w:rsidP="00FE71CF">
            <w:pPr>
              <w:spacing w:before="0" w:after="0" w:line="240" w:lineRule="auto"/>
              <w:rPr>
                <w:rFonts w:ascii="Arial" w:hAnsi="Arial" w:cs="Arial"/>
                <w:sz w:val="16"/>
                <w:szCs w:val="16"/>
                <w:highlight w:val="red"/>
              </w:rPr>
            </w:pPr>
          </w:p>
        </w:tc>
        <w:tc>
          <w:tcPr>
            <w:tcW w:w="537" w:type="pct"/>
            <w:tcBorders>
              <w:top w:val="nil"/>
              <w:left w:val="nil"/>
              <w:bottom w:val="nil"/>
              <w:right w:val="nil"/>
            </w:tcBorders>
            <w:shd w:val="clear" w:color="auto" w:fill="auto"/>
            <w:noWrap/>
            <w:vAlign w:val="center"/>
            <w:hideMark/>
          </w:tcPr>
          <w:p w14:paraId="59DD0056" w14:textId="77777777" w:rsidR="00FE71CF" w:rsidRPr="00FF1D21" w:rsidRDefault="00FE71CF" w:rsidP="00FE71CF">
            <w:pPr>
              <w:spacing w:before="0" w:after="0" w:line="240" w:lineRule="auto"/>
              <w:jc w:val="right"/>
              <w:rPr>
                <w:rFonts w:ascii="Times New Roman" w:hAnsi="Times New Roman"/>
                <w:sz w:val="20"/>
                <w:highlight w:val="red"/>
              </w:rPr>
            </w:pPr>
          </w:p>
        </w:tc>
        <w:tc>
          <w:tcPr>
            <w:tcW w:w="537" w:type="pct"/>
            <w:tcBorders>
              <w:top w:val="nil"/>
              <w:left w:val="nil"/>
              <w:bottom w:val="nil"/>
              <w:right w:val="nil"/>
            </w:tcBorders>
            <w:shd w:val="clear" w:color="auto" w:fill="auto"/>
            <w:noWrap/>
            <w:vAlign w:val="center"/>
            <w:hideMark/>
          </w:tcPr>
          <w:p w14:paraId="0E62BCEF" w14:textId="77777777" w:rsidR="00FE71CF" w:rsidRPr="00205DD5" w:rsidRDefault="00FE71CF" w:rsidP="00FE71CF">
            <w:pPr>
              <w:spacing w:before="0" w:after="0" w:line="240" w:lineRule="auto"/>
              <w:jc w:val="right"/>
              <w:rPr>
                <w:rFonts w:ascii="Times New Roman" w:hAnsi="Times New Roman"/>
                <w:sz w:val="20"/>
              </w:rPr>
            </w:pPr>
          </w:p>
        </w:tc>
      </w:tr>
      <w:tr w:rsidR="00FE71CF" w:rsidRPr="00FF1D21" w14:paraId="249D4723" w14:textId="77777777" w:rsidTr="00FE71CF">
        <w:trPr>
          <w:trHeight w:hRule="exact" w:val="226"/>
        </w:trPr>
        <w:tc>
          <w:tcPr>
            <w:tcW w:w="2350" w:type="pct"/>
            <w:tcBorders>
              <w:top w:val="nil"/>
              <w:left w:val="nil"/>
              <w:bottom w:val="nil"/>
              <w:right w:val="nil"/>
            </w:tcBorders>
            <w:shd w:val="clear" w:color="auto" w:fill="auto"/>
            <w:noWrap/>
            <w:vAlign w:val="center"/>
            <w:hideMark/>
          </w:tcPr>
          <w:p w14:paraId="2611AF95"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Sales of goods and services</w:t>
            </w:r>
          </w:p>
        </w:tc>
        <w:tc>
          <w:tcPr>
            <w:tcW w:w="519" w:type="pct"/>
            <w:tcBorders>
              <w:top w:val="nil"/>
              <w:left w:val="nil"/>
              <w:bottom w:val="nil"/>
              <w:right w:val="nil"/>
            </w:tcBorders>
            <w:shd w:val="clear" w:color="auto" w:fill="auto"/>
            <w:noWrap/>
            <w:vAlign w:val="center"/>
            <w:hideMark/>
          </w:tcPr>
          <w:p w14:paraId="0F89B4A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19,867</w:t>
            </w:r>
          </w:p>
        </w:tc>
        <w:tc>
          <w:tcPr>
            <w:tcW w:w="53" w:type="pct"/>
            <w:tcBorders>
              <w:top w:val="nil"/>
              <w:left w:val="nil"/>
              <w:bottom w:val="nil"/>
              <w:right w:val="nil"/>
            </w:tcBorders>
            <w:shd w:val="clear" w:color="000000" w:fill="FFFFFF"/>
            <w:noWrap/>
            <w:vAlign w:val="center"/>
            <w:hideMark/>
          </w:tcPr>
          <w:p w14:paraId="30E550FA"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6860518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22,039</w:t>
            </w:r>
          </w:p>
        </w:tc>
        <w:tc>
          <w:tcPr>
            <w:tcW w:w="537" w:type="pct"/>
            <w:tcBorders>
              <w:top w:val="nil"/>
              <w:left w:val="nil"/>
              <w:bottom w:val="nil"/>
              <w:right w:val="nil"/>
            </w:tcBorders>
            <w:shd w:val="clear" w:color="auto" w:fill="auto"/>
            <w:noWrap/>
            <w:vAlign w:val="center"/>
            <w:hideMark/>
          </w:tcPr>
          <w:p w14:paraId="52245F30"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21,774</w:t>
            </w:r>
          </w:p>
        </w:tc>
        <w:tc>
          <w:tcPr>
            <w:tcW w:w="537" w:type="pct"/>
            <w:tcBorders>
              <w:top w:val="nil"/>
              <w:left w:val="nil"/>
              <w:bottom w:val="nil"/>
              <w:right w:val="nil"/>
            </w:tcBorders>
            <w:shd w:val="clear" w:color="auto" w:fill="auto"/>
            <w:noWrap/>
            <w:vAlign w:val="center"/>
            <w:hideMark/>
          </w:tcPr>
          <w:p w14:paraId="5864A8A6"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22,920</w:t>
            </w:r>
          </w:p>
        </w:tc>
        <w:tc>
          <w:tcPr>
            <w:tcW w:w="537" w:type="pct"/>
            <w:tcBorders>
              <w:top w:val="nil"/>
              <w:left w:val="nil"/>
              <w:bottom w:val="nil"/>
              <w:right w:val="nil"/>
            </w:tcBorders>
            <w:shd w:val="clear" w:color="auto" w:fill="auto"/>
            <w:noWrap/>
            <w:vAlign w:val="center"/>
            <w:hideMark/>
          </w:tcPr>
          <w:p w14:paraId="28A6DDF2"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24,173</w:t>
            </w:r>
          </w:p>
        </w:tc>
      </w:tr>
      <w:tr w:rsidR="00FE71CF" w:rsidRPr="00FF1D21" w14:paraId="3FF31BDC" w14:textId="77777777" w:rsidTr="00FE71CF">
        <w:trPr>
          <w:trHeight w:hRule="exact" w:val="226"/>
        </w:trPr>
        <w:tc>
          <w:tcPr>
            <w:tcW w:w="2350" w:type="pct"/>
            <w:tcBorders>
              <w:top w:val="nil"/>
              <w:left w:val="nil"/>
              <w:bottom w:val="nil"/>
              <w:right w:val="nil"/>
            </w:tcBorders>
            <w:shd w:val="clear" w:color="auto" w:fill="auto"/>
            <w:noWrap/>
            <w:vAlign w:val="center"/>
            <w:hideMark/>
          </w:tcPr>
          <w:p w14:paraId="40BEC25C"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Interest received</w:t>
            </w:r>
          </w:p>
        </w:tc>
        <w:tc>
          <w:tcPr>
            <w:tcW w:w="519" w:type="pct"/>
            <w:tcBorders>
              <w:top w:val="nil"/>
              <w:left w:val="nil"/>
              <w:bottom w:val="nil"/>
              <w:right w:val="nil"/>
            </w:tcBorders>
            <w:shd w:val="clear" w:color="auto" w:fill="auto"/>
            <w:noWrap/>
            <w:vAlign w:val="center"/>
            <w:hideMark/>
          </w:tcPr>
          <w:p w14:paraId="7133298C"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10,509</w:t>
            </w:r>
          </w:p>
        </w:tc>
        <w:tc>
          <w:tcPr>
            <w:tcW w:w="53" w:type="pct"/>
            <w:tcBorders>
              <w:top w:val="nil"/>
              <w:left w:val="nil"/>
              <w:bottom w:val="nil"/>
              <w:right w:val="nil"/>
            </w:tcBorders>
            <w:shd w:val="clear" w:color="000000" w:fill="FFFFFF"/>
            <w:noWrap/>
            <w:vAlign w:val="center"/>
            <w:hideMark/>
          </w:tcPr>
          <w:p w14:paraId="52CDCFC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3CA9D3B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9,968</w:t>
            </w:r>
          </w:p>
        </w:tc>
        <w:tc>
          <w:tcPr>
            <w:tcW w:w="537" w:type="pct"/>
            <w:tcBorders>
              <w:top w:val="nil"/>
              <w:left w:val="nil"/>
              <w:bottom w:val="nil"/>
              <w:right w:val="nil"/>
            </w:tcBorders>
            <w:shd w:val="clear" w:color="auto" w:fill="auto"/>
            <w:noWrap/>
            <w:vAlign w:val="center"/>
            <w:hideMark/>
          </w:tcPr>
          <w:p w14:paraId="5A2B46E7"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9,659</w:t>
            </w:r>
          </w:p>
        </w:tc>
        <w:tc>
          <w:tcPr>
            <w:tcW w:w="537" w:type="pct"/>
            <w:tcBorders>
              <w:top w:val="nil"/>
              <w:left w:val="nil"/>
              <w:bottom w:val="nil"/>
              <w:right w:val="nil"/>
            </w:tcBorders>
            <w:shd w:val="clear" w:color="auto" w:fill="auto"/>
            <w:noWrap/>
            <w:vAlign w:val="center"/>
            <w:hideMark/>
          </w:tcPr>
          <w:p w14:paraId="494BF3B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9,222</w:t>
            </w:r>
          </w:p>
        </w:tc>
        <w:tc>
          <w:tcPr>
            <w:tcW w:w="537" w:type="pct"/>
            <w:tcBorders>
              <w:top w:val="nil"/>
              <w:left w:val="nil"/>
              <w:bottom w:val="nil"/>
              <w:right w:val="nil"/>
            </w:tcBorders>
            <w:shd w:val="clear" w:color="auto" w:fill="auto"/>
            <w:noWrap/>
            <w:vAlign w:val="center"/>
            <w:hideMark/>
          </w:tcPr>
          <w:p w14:paraId="01D0BD19"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10,120</w:t>
            </w:r>
          </w:p>
        </w:tc>
      </w:tr>
      <w:tr w:rsidR="00FE71CF" w:rsidRPr="00FF1D21" w14:paraId="2CD56860" w14:textId="77777777" w:rsidTr="00FE71CF">
        <w:trPr>
          <w:trHeight w:hRule="exact" w:val="226"/>
        </w:trPr>
        <w:tc>
          <w:tcPr>
            <w:tcW w:w="2350" w:type="pct"/>
            <w:tcBorders>
              <w:top w:val="nil"/>
              <w:left w:val="nil"/>
              <w:bottom w:val="nil"/>
              <w:right w:val="nil"/>
            </w:tcBorders>
            <w:shd w:val="clear" w:color="auto" w:fill="auto"/>
            <w:noWrap/>
            <w:vAlign w:val="center"/>
            <w:hideMark/>
          </w:tcPr>
          <w:p w14:paraId="6C808E1B"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Dividends and distributions</w:t>
            </w:r>
          </w:p>
        </w:tc>
        <w:tc>
          <w:tcPr>
            <w:tcW w:w="519" w:type="pct"/>
            <w:tcBorders>
              <w:top w:val="nil"/>
              <w:left w:val="nil"/>
              <w:bottom w:val="nil"/>
              <w:right w:val="nil"/>
            </w:tcBorders>
            <w:shd w:val="clear" w:color="auto" w:fill="auto"/>
            <w:noWrap/>
            <w:vAlign w:val="center"/>
            <w:hideMark/>
          </w:tcPr>
          <w:p w14:paraId="1AD881B8"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6,412</w:t>
            </w:r>
          </w:p>
        </w:tc>
        <w:tc>
          <w:tcPr>
            <w:tcW w:w="53" w:type="pct"/>
            <w:tcBorders>
              <w:top w:val="nil"/>
              <w:left w:val="nil"/>
              <w:bottom w:val="nil"/>
              <w:right w:val="nil"/>
            </w:tcBorders>
            <w:shd w:val="clear" w:color="000000" w:fill="FFFFFF"/>
            <w:noWrap/>
            <w:vAlign w:val="center"/>
            <w:hideMark/>
          </w:tcPr>
          <w:p w14:paraId="7EF5367F"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2038B15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7,206</w:t>
            </w:r>
          </w:p>
        </w:tc>
        <w:tc>
          <w:tcPr>
            <w:tcW w:w="537" w:type="pct"/>
            <w:tcBorders>
              <w:top w:val="nil"/>
              <w:left w:val="nil"/>
              <w:bottom w:val="nil"/>
              <w:right w:val="nil"/>
            </w:tcBorders>
            <w:shd w:val="clear" w:color="auto" w:fill="auto"/>
            <w:noWrap/>
            <w:vAlign w:val="center"/>
            <w:hideMark/>
          </w:tcPr>
          <w:p w14:paraId="39F8B66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7,129</w:t>
            </w:r>
          </w:p>
        </w:tc>
        <w:tc>
          <w:tcPr>
            <w:tcW w:w="537" w:type="pct"/>
            <w:tcBorders>
              <w:top w:val="nil"/>
              <w:left w:val="nil"/>
              <w:bottom w:val="nil"/>
              <w:right w:val="nil"/>
            </w:tcBorders>
            <w:shd w:val="clear" w:color="auto" w:fill="auto"/>
            <w:noWrap/>
            <w:vAlign w:val="center"/>
            <w:hideMark/>
          </w:tcPr>
          <w:p w14:paraId="157AEFDB"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7,460</w:t>
            </w:r>
          </w:p>
        </w:tc>
        <w:tc>
          <w:tcPr>
            <w:tcW w:w="537" w:type="pct"/>
            <w:tcBorders>
              <w:top w:val="nil"/>
              <w:left w:val="nil"/>
              <w:bottom w:val="nil"/>
              <w:right w:val="nil"/>
            </w:tcBorders>
            <w:shd w:val="clear" w:color="auto" w:fill="auto"/>
            <w:noWrap/>
            <w:vAlign w:val="center"/>
            <w:hideMark/>
          </w:tcPr>
          <w:p w14:paraId="285054E4"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7,927</w:t>
            </w:r>
          </w:p>
        </w:tc>
      </w:tr>
      <w:tr w:rsidR="00FE71CF" w:rsidRPr="00FF1D21" w14:paraId="6DF886FE" w14:textId="77777777" w:rsidTr="00FE71CF">
        <w:trPr>
          <w:trHeight w:hRule="exact" w:val="226"/>
        </w:trPr>
        <w:tc>
          <w:tcPr>
            <w:tcW w:w="2350" w:type="pct"/>
            <w:tcBorders>
              <w:top w:val="nil"/>
              <w:left w:val="nil"/>
              <w:bottom w:val="nil"/>
              <w:right w:val="nil"/>
            </w:tcBorders>
            <w:shd w:val="clear" w:color="auto" w:fill="auto"/>
            <w:noWrap/>
            <w:vAlign w:val="center"/>
            <w:hideMark/>
          </w:tcPr>
          <w:p w14:paraId="1211F189" w14:textId="77777777" w:rsidR="00FE71CF" w:rsidRPr="00FF1D21" w:rsidRDefault="00FE71CF" w:rsidP="00FE71CF">
            <w:pPr>
              <w:spacing w:before="0" w:after="0" w:line="240" w:lineRule="auto"/>
              <w:rPr>
                <w:rFonts w:ascii="Arial" w:hAnsi="Arial" w:cs="Arial"/>
                <w:sz w:val="16"/>
                <w:szCs w:val="16"/>
                <w:highlight w:val="red"/>
              </w:rPr>
            </w:pPr>
            <w:r w:rsidRPr="00205DD5">
              <w:rPr>
                <w:rFonts w:ascii="Arial" w:hAnsi="Arial" w:cs="Arial"/>
                <w:sz w:val="16"/>
                <w:szCs w:val="16"/>
              </w:rPr>
              <w:t>Other non-taxation receipts</w:t>
            </w:r>
          </w:p>
        </w:tc>
        <w:tc>
          <w:tcPr>
            <w:tcW w:w="519" w:type="pct"/>
            <w:tcBorders>
              <w:top w:val="nil"/>
              <w:left w:val="nil"/>
              <w:bottom w:val="nil"/>
              <w:right w:val="nil"/>
            </w:tcBorders>
            <w:shd w:val="clear" w:color="auto" w:fill="auto"/>
            <w:noWrap/>
            <w:vAlign w:val="center"/>
            <w:hideMark/>
          </w:tcPr>
          <w:p w14:paraId="556BD342"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18,397</w:t>
            </w:r>
          </w:p>
        </w:tc>
        <w:tc>
          <w:tcPr>
            <w:tcW w:w="53" w:type="pct"/>
            <w:tcBorders>
              <w:top w:val="nil"/>
              <w:left w:val="nil"/>
              <w:bottom w:val="nil"/>
              <w:right w:val="nil"/>
            </w:tcBorders>
            <w:shd w:val="clear" w:color="000000" w:fill="FFFFFF"/>
            <w:noWrap/>
            <w:vAlign w:val="center"/>
            <w:hideMark/>
          </w:tcPr>
          <w:p w14:paraId="2494778D"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 </w:t>
            </w:r>
          </w:p>
        </w:tc>
        <w:tc>
          <w:tcPr>
            <w:tcW w:w="466" w:type="pct"/>
            <w:tcBorders>
              <w:top w:val="nil"/>
              <w:left w:val="nil"/>
              <w:bottom w:val="nil"/>
              <w:right w:val="nil"/>
            </w:tcBorders>
            <w:shd w:val="clear" w:color="000000" w:fill="E6F2FF"/>
            <w:noWrap/>
            <w:vAlign w:val="center"/>
            <w:hideMark/>
          </w:tcPr>
          <w:p w14:paraId="6EBB1743"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19,407</w:t>
            </w:r>
          </w:p>
        </w:tc>
        <w:tc>
          <w:tcPr>
            <w:tcW w:w="537" w:type="pct"/>
            <w:tcBorders>
              <w:top w:val="nil"/>
              <w:left w:val="nil"/>
              <w:bottom w:val="nil"/>
              <w:right w:val="nil"/>
            </w:tcBorders>
            <w:shd w:val="clear" w:color="auto" w:fill="auto"/>
            <w:noWrap/>
            <w:vAlign w:val="center"/>
            <w:hideMark/>
          </w:tcPr>
          <w:p w14:paraId="1A786AA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20,206</w:t>
            </w:r>
          </w:p>
        </w:tc>
        <w:tc>
          <w:tcPr>
            <w:tcW w:w="537" w:type="pct"/>
            <w:tcBorders>
              <w:top w:val="nil"/>
              <w:left w:val="nil"/>
              <w:bottom w:val="nil"/>
              <w:right w:val="nil"/>
            </w:tcBorders>
            <w:shd w:val="clear" w:color="auto" w:fill="auto"/>
            <w:noWrap/>
            <w:vAlign w:val="center"/>
            <w:hideMark/>
          </w:tcPr>
          <w:p w14:paraId="189FCE74" w14:textId="77777777" w:rsidR="00FE71CF" w:rsidRPr="00FF1D21" w:rsidRDefault="00FE71CF" w:rsidP="00FE71CF">
            <w:pPr>
              <w:spacing w:before="0" w:after="0" w:line="240" w:lineRule="auto"/>
              <w:jc w:val="right"/>
              <w:rPr>
                <w:rFonts w:ascii="Arial" w:hAnsi="Arial" w:cs="Arial"/>
                <w:sz w:val="16"/>
                <w:szCs w:val="16"/>
                <w:highlight w:val="red"/>
              </w:rPr>
            </w:pPr>
            <w:r w:rsidRPr="00205DD5">
              <w:rPr>
                <w:rFonts w:ascii="Arial" w:hAnsi="Arial" w:cs="Arial"/>
                <w:sz w:val="16"/>
                <w:szCs w:val="16"/>
              </w:rPr>
              <w:t>18,363</w:t>
            </w:r>
          </w:p>
        </w:tc>
        <w:tc>
          <w:tcPr>
            <w:tcW w:w="537" w:type="pct"/>
            <w:tcBorders>
              <w:top w:val="nil"/>
              <w:left w:val="nil"/>
              <w:bottom w:val="nil"/>
              <w:right w:val="nil"/>
            </w:tcBorders>
            <w:shd w:val="clear" w:color="auto" w:fill="auto"/>
            <w:noWrap/>
            <w:vAlign w:val="center"/>
            <w:hideMark/>
          </w:tcPr>
          <w:p w14:paraId="45BFE672" w14:textId="77777777" w:rsidR="00FE71CF" w:rsidRPr="00205DD5" w:rsidRDefault="00FE71CF" w:rsidP="00FE71CF">
            <w:pPr>
              <w:spacing w:before="0" w:after="0" w:line="240" w:lineRule="auto"/>
              <w:jc w:val="right"/>
              <w:rPr>
                <w:rFonts w:ascii="Arial" w:hAnsi="Arial" w:cs="Arial"/>
                <w:sz w:val="16"/>
                <w:szCs w:val="16"/>
              </w:rPr>
            </w:pPr>
            <w:r w:rsidRPr="00205DD5">
              <w:rPr>
                <w:rFonts w:ascii="Arial" w:hAnsi="Arial" w:cs="Arial"/>
                <w:sz w:val="16"/>
                <w:szCs w:val="16"/>
              </w:rPr>
              <w:t>18,781</w:t>
            </w:r>
          </w:p>
        </w:tc>
      </w:tr>
      <w:tr w:rsidR="00FE71CF" w:rsidRPr="00FF1D21" w14:paraId="532C56ED" w14:textId="77777777" w:rsidTr="00FE71CF">
        <w:trPr>
          <w:trHeight w:hRule="exact" w:val="226"/>
        </w:trPr>
        <w:tc>
          <w:tcPr>
            <w:tcW w:w="2350" w:type="pct"/>
            <w:tcBorders>
              <w:top w:val="nil"/>
              <w:left w:val="nil"/>
              <w:bottom w:val="nil"/>
              <w:right w:val="nil"/>
            </w:tcBorders>
            <w:shd w:val="clear" w:color="auto" w:fill="auto"/>
            <w:noWrap/>
            <w:vAlign w:val="center"/>
            <w:hideMark/>
          </w:tcPr>
          <w:p w14:paraId="725FA778"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Non-taxation receipts</w:t>
            </w:r>
          </w:p>
        </w:tc>
        <w:tc>
          <w:tcPr>
            <w:tcW w:w="519" w:type="pct"/>
            <w:tcBorders>
              <w:top w:val="single" w:sz="4" w:space="0" w:color="000000"/>
              <w:left w:val="nil"/>
              <w:bottom w:val="single" w:sz="4" w:space="0" w:color="000000"/>
              <w:right w:val="nil"/>
            </w:tcBorders>
            <w:shd w:val="clear" w:color="auto" w:fill="auto"/>
            <w:noWrap/>
            <w:vAlign w:val="center"/>
            <w:hideMark/>
          </w:tcPr>
          <w:p w14:paraId="5AA8A7B2"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55,185</w:t>
            </w:r>
          </w:p>
        </w:tc>
        <w:tc>
          <w:tcPr>
            <w:tcW w:w="53" w:type="pct"/>
            <w:tcBorders>
              <w:top w:val="nil"/>
              <w:left w:val="nil"/>
              <w:bottom w:val="nil"/>
              <w:right w:val="nil"/>
            </w:tcBorders>
            <w:shd w:val="clear" w:color="000000" w:fill="FFFFFF"/>
            <w:noWrap/>
            <w:vAlign w:val="center"/>
            <w:hideMark/>
          </w:tcPr>
          <w:p w14:paraId="1336304F"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66" w:type="pct"/>
            <w:tcBorders>
              <w:top w:val="single" w:sz="4" w:space="0" w:color="000000"/>
              <w:left w:val="nil"/>
              <w:bottom w:val="single" w:sz="4" w:space="0" w:color="000000"/>
              <w:right w:val="nil"/>
            </w:tcBorders>
            <w:shd w:val="clear" w:color="000000" w:fill="E6F2FF"/>
            <w:noWrap/>
            <w:vAlign w:val="center"/>
            <w:hideMark/>
          </w:tcPr>
          <w:p w14:paraId="20E7F59B"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58,620</w:t>
            </w:r>
          </w:p>
        </w:tc>
        <w:tc>
          <w:tcPr>
            <w:tcW w:w="537" w:type="pct"/>
            <w:tcBorders>
              <w:top w:val="single" w:sz="4" w:space="0" w:color="000000"/>
              <w:left w:val="nil"/>
              <w:bottom w:val="single" w:sz="4" w:space="0" w:color="000000"/>
              <w:right w:val="nil"/>
            </w:tcBorders>
            <w:shd w:val="clear" w:color="auto" w:fill="auto"/>
            <w:noWrap/>
            <w:vAlign w:val="center"/>
            <w:hideMark/>
          </w:tcPr>
          <w:p w14:paraId="7DC609E8"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58,768</w:t>
            </w:r>
          </w:p>
        </w:tc>
        <w:tc>
          <w:tcPr>
            <w:tcW w:w="537" w:type="pct"/>
            <w:tcBorders>
              <w:top w:val="single" w:sz="4" w:space="0" w:color="000000"/>
              <w:left w:val="nil"/>
              <w:bottom w:val="single" w:sz="4" w:space="0" w:color="000000"/>
              <w:right w:val="nil"/>
            </w:tcBorders>
            <w:shd w:val="clear" w:color="auto" w:fill="auto"/>
            <w:noWrap/>
            <w:vAlign w:val="center"/>
            <w:hideMark/>
          </w:tcPr>
          <w:p w14:paraId="3176F7E0"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57,965</w:t>
            </w:r>
          </w:p>
        </w:tc>
        <w:tc>
          <w:tcPr>
            <w:tcW w:w="537" w:type="pct"/>
            <w:tcBorders>
              <w:top w:val="single" w:sz="4" w:space="0" w:color="000000"/>
              <w:left w:val="nil"/>
              <w:bottom w:val="single" w:sz="4" w:space="0" w:color="000000"/>
              <w:right w:val="nil"/>
            </w:tcBorders>
            <w:shd w:val="clear" w:color="auto" w:fill="auto"/>
            <w:noWrap/>
            <w:vAlign w:val="center"/>
            <w:hideMark/>
          </w:tcPr>
          <w:p w14:paraId="3C102A1C" w14:textId="77777777" w:rsidR="00FE71CF" w:rsidRPr="00205DD5" w:rsidRDefault="00FE71CF" w:rsidP="00FE71CF">
            <w:pPr>
              <w:spacing w:before="0" w:after="0" w:line="240" w:lineRule="auto"/>
              <w:jc w:val="right"/>
              <w:rPr>
                <w:rFonts w:ascii="Arial" w:hAnsi="Arial" w:cs="Arial"/>
                <w:b/>
                <w:sz w:val="16"/>
                <w:szCs w:val="16"/>
              </w:rPr>
            </w:pPr>
            <w:r w:rsidRPr="00205DD5">
              <w:rPr>
                <w:rFonts w:ascii="Arial" w:hAnsi="Arial" w:cs="Arial"/>
                <w:b/>
                <w:sz w:val="16"/>
                <w:szCs w:val="16"/>
              </w:rPr>
              <w:t>61,001</w:t>
            </w:r>
          </w:p>
        </w:tc>
      </w:tr>
      <w:tr w:rsidR="00FE71CF" w:rsidRPr="00FF1D21" w14:paraId="5C3A9824" w14:textId="77777777" w:rsidTr="00FE71CF">
        <w:trPr>
          <w:trHeight w:hRule="exact" w:val="60"/>
        </w:trPr>
        <w:tc>
          <w:tcPr>
            <w:tcW w:w="2350" w:type="pct"/>
            <w:tcBorders>
              <w:top w:val="nil"/>
              <w:left w:val="nil"/>
              <w:bottom w:val="nil"/>
              <w:right w:val="nil"/>
            </w:tcBorders>
            <w:shd w:val="clear" w:color="auto" w:fill="auto"/>
            <w:noWrap/>
            <w:vAlign w:val="center"/>
            <w:hideMark/>
          </w:tcPr>
          <w:p w14:paraId="670FAB5F" w14:textId="77777777" w:rsidR="00FE71CF" w:rsidRPr="00FF1D21" w:rsidRDefault="00FE71CF" w:rsidP="00FE71CF">
            <w:pPr>
              <w:spacing w:before="0" w:after="0" w:line="240" w:lineRule="auto"/>
              <w:jc w:val="right"/>
              <w:rPr>
                <w:rFonts w:ascii="Arial" w:hAnsi="Arial" w:cs="Arial"/>
                <w:b/>
                <w:sz w:val="16"/>
                <w:szCs w:val="16"/>
                <w:highlight w:val="red"/>
              </w:rPr>
            </w:pPr>
          </w:p>
        </w:tc>
        <w:tc>
          <w:tcPr>
            <w:tcW w:w="519" w:type="pct"/>
            <w:tcBorders>
              <w:top w:val="nil"/>
              <w:left w:val="nil"/>
              <w:bottom w:val="nil"/>
              <w:right w:val="nil"/>
            </w:tcBorders>
            <w:shd w:val="clear" w:color="auto" w:fill="auto"/>
            <w:noWrap/>
            <w:vAlign w:val="center"/>
            <w:hideMark/>
          </w:tcPr>
          <w:p w14:paraId="5F2E3D37" w14:textId="77777777" w:rsidR="00FE71CF" w:rsidRPr="00FF1D21" w:rsidRDefault="00FE71CF" w:rsidP="00FE71CF">
            <w:pPr>
              <w:spacing w:before="0" w:after="0" w:line="240" w:lineRule="auto"/>
              <w:rPr>
                <w:rFonts w:ascii="Times New Roman" w:hAnsi="Times New Roman"/>
                <w:sz w:val="20"/>
                <w:highlight w:val="red"/>
              </w:rPr>
            </w:pPr>
          </w:p>
        </w:tc>
        <w:tc>
          <w:tcPr>
            <w:tcW w:w="53" w:type="pct"/>
            <w:tcBorders>
              <w:top w:val="nil"/>
              <w:left w:val="nil"/>
              <w:bottom w:val="nil"/>
              <w:right w:val="nil"/>
            </w:tcBorders>
            <w:shd w:val="clear" w:color="000000" w:fill="FFFFFF"/>
            <w:noWrap/>
            <w:vAlign w:val="center"/>
            <w:hideMark/>
          </w:tcPr>
          <w:p w14:paraId="0BEF61CB"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66" w:type="pct"/>
            <w:tcBorders>
              <w:top w:val="nil"/>
              <w:left w:val="nil"/>
              <w:bottom w:val="nil"/>
              <w:right w:val="nil"/>
            </w:tcBorders>
            <w:shd w:val="clear" w:color="000000" w:fill="E6F2FF"/>
            <w:noWrap/>
            <w:vAlign w:val="center"/>
            <w:hideMark/>
          </w:tcPr>
          <w:p w14:paraId="7987510E"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 </w:t>
            </w:r>
          </w:p>
        </w:tc>
        <w:tc>
          <w:tcPr>
            <w:tcW w:w="537" w:type="pct"/>
            <w:tcBorders>
              <w:top w:val="nil"/>
              <w:left w:val="nil"/>
              <w:bottom w:val="nil"/>
              <w:right w:val="nil"/>
            </w:tcBorders>
            <w:shd w:val="clear" w:color="auto" w:fill="auto"/>
            <w:noWrap/>
            <w:vAlign w:val="center"/>
            <w:hideMark/>
          </w:tcPr>
          <w:p w14:paraId="573D7BA6" w14:textId="77777777" w:rsidR="00FE71CF" w:rsidRPr="00FF1D21" w:rsidRDefault="00FE71CF" w:rsidP="00FE71CF">
            <w:pPr>
              <w:spacing w:before="0" w:after="0" w:line="240" w:lineRule="auto"/>
              <w:rPr>
                <w:rFonts w:ascii="Arial" w:hAnsi="Arial" w:cs="Arial"/>
                <w:b/>
                <w:sz w:val="16"/>
                <w:szCs w:val="16"/>
                <w:highlight w:val="red"/>
              </w:rPr>
            </w:pPr>
          </w:p>
        </w:tc>
        <w:tc>
          <w:tcPr>
            <w:tcW w:w="537" w:type="pct"/>
            <w:tcBorders>
              <w:top w:val="nil"/>
              <w:left w:val="nil"/>
              <w:bottom w:val="nil"/>
              <w:right w:val="nil"/>
            </w:tcBorders>
            <w:shd w:val="clear" w:color="auto" w:fill="auto"/>
            <w:noWrap/>
            <w:vAlign w:val="center"/>
            <w:hideMark/>
          </w:tcPr>
          <w:p w14:paraId="6CBD68FE" w14:textId="77777777" w:rsidR="00FE71CF" w:rsidRPr="00FF1D21" w:rsidRDefault="00FE71CF" w:rsidP="00FE71CF">
            <w:pPr>
              <w:spacing w:before="0" w:after="0" w:line="240" w:lineRule="auto"/>
              <w:jc w:val="right"/>
              <w:rPr>
                <w:rFonts w:ascii="Times New Roman" w:hAnsi="Times New Roman"/>
                <w:sz w:val="20"/>
                <w:highlight w:val="red"/>
              </w:rPr>
            </w:pPr>
          </w:p>
        </w:tc>
        <w:tc>
          <w:tcPr>
            <w:tcW w:w="537" w:type="pct"/>
            <w:tcBorders>
              <w:top w:val="nil"/>
              <w:left w:val="nil"/>
              <w:bottom w:val="nil"/>
              <w:right w:val="nil"/>
            </w:tcBorders>
            <w:shd w:val="clear" w:color="auto" w:fill="auto"/>
            <w:noWrap/>
            <w:vAlign w:val="center"/>
            <w:hideMark/>
          </w:tcPr>
          <w:p w14:paraId="3971C25F" w14:textId="77777777" w:rsidR="00FE71CF" w:rsidRPr="00205DD5" w:rsidRDefault="00FE71CF" w:rsidP="00FE71CF">
            <w:pPr>
              <w:spacing w:before="0" w:after="0" w:line="240" w:lineRule="auto"/>
              <w:jc w:val="right"/>
              <w:rPr>
                <w:rFonts w:ascii="Times New Roman" w:hAnsi="Times New Roman"/>
                <w:sz w:val="20"/>
              </w:rPr>
            </w:pPr>
          </w:p>
        </w:tc>
      </w:tr>
      <w:tr w:rsidR="00FE71CF" w:rsidRPr="00FF1D21" w14:paraId="56FF2847" w14:textId="77777777" w:rsidTr="00FE71CF">
        <w:trPr>
          <w:trHeight w:hRule="exact" w:val="226"/>
        </w:trPr>
        <w:tc>
          <w:tcPr>
            <w:tcW w:w="2350" w:type="pct"/>
            <w:tcBorders>
              <w:top w:val="nil"/>
              <w:left w:val="nil"/>
              <w:bottom w:val="nil"/>
              <w:right w:val="nil"/>
            </w:tcBorders>
            <w:shd w:val="clear" w:color="auto" w:fill="auto"/>
            <w:noWrap/>
            <w:vAlign w:val="center"/>
            <w:hideMark/>
          </w:tcPr>
          <w:p w14:paraId="4EEB90EB"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Total receipts</w:t>
            </w:r>
          </w:p>
        </w:tc>
        <w:tc>
          <w:tcPr>
            <w:tcW w:w="519" w:type="pct"/>
            <w:tcBorders>
              <w:top w:val="nil"/>
              <w:left w:val="nil"/>
              <w:bottom w:val="nil"/>
              <w:right w:val="nil"/>
            </w:tcBorders>
            <w:shd w:val="clear" w:color="auto" w:fill="auto"/>
            <w:noWrap/>
            <w:vAlign w:val="center"/>
            <w:hideMark/>
          </w:tcPr>
          <w:p w14:paraId="3E235A2B"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688,585</w:t>
            </w:r>
          </w:p>
        </w:tc>
        <w:tc>
          <w:tcPr>
            <w:tcW w:w="53" w:type="pct"/>
            <w:tcBorders>
              <w:top w:val="nil"/>
              <w:left w:val="nil"/>
              <w:bottom w:val="nil"/>
              <w:right w:val="nil"/>
            </w:tcBorders>
            <w:shd w:val="clear" w:color="000000" w:fill="FFFFFF"/>
            <w:noWrap/>
            <w:vAlign w:val="center"/>
            <w:hideMark/>
          </w:tcPr>
          <w:p w14:paraId="6D46F271"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66" w:type="pct"/>
            <w:tcBorders>
              <w:top w:val="nil"/>
              <w:left w:val="nil"/>
              <w:bottom w:val="nil"/>
              <w:right w:val="nil"/>
            </w:tcBorders>
            <w:shd w:val="clear" w:color="000000" w:fill="E6F2FF"/>
            <w:noWrap/>
            <w:vAlign w:val="center"/>
            <w:hideMark/>
          </w:tcPr>
          <w:p w14:paraId="55CFDC8D"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704,184</w:t>
            </w:r>
          </w:p>
        </w:tc>
        <w:tc>
          <w:tcPr>
            <w:tcW w:w="537" w:type="pct"/>
            <w:tcBorders>
              <w:top w:val="nil"/>
              <w:left w:val="nil"/>
              <w:bottom w:val="nil"/>
              <w:right w:val="nil"/>
            </w:tcBorders>
            <w:shd w:val="clear" w:color="auto" w:fill="auto"/>
            <w:noWrap/>
            <w:vAlign w:val="center"/>
            <w:hideMark/>
          </w:tcPr>
          <w:p w14:paraId="224CDEAC"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728,419</w:t>
            </w:r>
          </w:p>
        </w:tc>
        <w:tc>
          <w:tcPr>
            <w:tcW w:w="537" w:type="pct"/>
            <w:tcBorders>
              <w:top w:val="nil"/>
              <w:left w:val="nil"/>
              <w:bottom w:val="nil"/>
              <w:right w:val="nil"/>
            </w:tcBorders>
            <w:shd w:val="clear" w:color="auto" w:fill="auto"/>
            <w:noWrap/>
            <w:vAlign w:val="center"/>
            <w:hideMark/>
          </w:tcPr>
          <w:p w14:paraId="7A0730F7"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763,386</w:t>
            </w:r>
          </w:p>
        </w:tc>
        <w:tc>
          <w:tcPr>
            <w:tcW w:w="537" w:type="pct"/>
            <w:tcBorders>
              <w:top w:val="nil"/>
              <w:left w:val="nil"/>
              <w:bottom w:val="nil"/>
              <w:right w:val="nil"/>
            </w:tcBorders>
            <w:shd w:val="clear" w:color="auto" w:fill="auto"/>
            <w:noWrap/>
            <w:vAlign w:val="center"/>
            <w:hideMark/>
          </w:tcPr>
          <w:p w14:paraId="00EE74B0" w14:textId="77777777" w:rsidR="00FE71CF" w:rsidRPr="00205DD5" w:rsidRDefault="00FE71CF" w:rsidP="00FE71CF">
            <w:pPr>
              <w:spacing w:before="0" w:after="0" w:line="240" w:lineRule="auto"/>
              <w:jc w:val="right"/>
              <w:rPr>
                <w:rFonts w:ascii="Arial" w:hAnsi="Arial" w:cs="Arial"/>
                <w:b/>
                <w:sz w:val="16"/>
                <w:szCs w:val="16"/>
              </w:rPr>
            </w:pPr>
            <w:r w:rsidRPr="00205DD5">
              <w:rPr>
                <w:rFonts w:ascii="Arial" w:hAnsi="Arial" w:cs="Arial"/>
                <w:b/>
                <w:sz w:val="16"/>
                <w:szCs w:val="16"/>
              </w:rPr>
              <w:t>804,078</w:t>
            </w:r>
          </w:p>
        </w:tc>
      </w:tr>
      <w:tr w:rsidR="00FE71CF" w:rsidRPr="00FF1D21" w14:paraId="752EBA21" w14:textId="77777777" w:rsidTr="00FE71CF">
        <w:trPr>
          <w:trHeight w:hRule="exact" w:val="226"/>
        </w:trPr>
        <w:tc>
          <w:tcPr>
            <w:tcW w:w="2350" w:type="pct"/>
            <w:tcBorders>
              <w:top w:val="single" w:sz="4" w:space="0" w:color="000000"/>
              <w:left w:val="nil"/>
              <w:bottom w:val="nil"/>
              <w:right w:val="nil"/>
            </w:tcBorders>
            <w:shd w:val="clear" w:color="auto" w:fill="auto"/>
            <w:noWrap/>
            <w:vAlign w:val="center"/>
            <w:hideMark/>
          </w:tcPr>
          <w:p w14:paraId="15B9094F" w14:textId="77777777" w:rsidR="00FE71CF" w:rsidRPr="00FF1D21" w:rsidRDefault="00FE71CF" w:rsidP="00FE71CF">
            <w:pPr>
              <w:spacing w:before="0" w:after="0" w:line="240" w:lineRule="auto"/>
              <w:rPr>
                <w:rFonts w:ascii="Arial" w:hAnsi="Arial" w:cs="Arial"/>
                <w:i/>
                <w:sz w:val="16"/>
                <w:szCs w:val="16"/>
                <w:highlight w:val="red"/>
              </w:rPr>
            </w:pPr>
            <w:r w:rsidRPr="00205DD5">
              <w:rPr>
                <w:rFonts w:ascii="Arial" w:hAnsi="Arial" w:cs="Arial"/>
                <w:i/>
                <w:sz w:val="16"/>
                <w:szCs w:val="16"/>
              </w:rPr>
              <w:t>Memorandum:</w:t>
            </w:r>
          </w:p>
        </w:tc>
        <w:tc>
          <w:tcPr>
            <w:tcW w:w="519" w:type="pct"/>
            <w:tcBorders>
              <w:top w:val="single" w:sz="4" w:space="0" w:color="000000"/>
              <w:left w:val="nil"/>
              <w:bottom w:val="nil"/>
              <w:right w:val="nil"/>
            </w:tcBorders>
            <w:shd w:val="clear" w:color="auto" w:fill="auto"/>
            <w:noWrap/>
            <w:vAlign w:val="center"/>
            <w:hideMark/>
          </w:tcPr>
          <w:p w14:paraId="76A6CEA6"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53" w:type="pct"/>
            <w:tcBorders>
              <w:top w:val="single" w:sz="4" w:space="0" w:color="000000"/>
              <w:left w:val="nil"/>
              <w:bottom w:val="nil"/>
              <w:right w:val="nil"/>
            </w:tcBorders>
            <w:shd w:val="clear" w:color="000000" w:fill="FFFFFF"/>
            <w:noWrap/>
            <w:vAlign w:val="center"/>
            <w:hideMark/>
          </w:tcPr>
          <w:p w14:paraId="7852A3EC"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466" w:type="pct"/>
            <w:tcBorders>
              <w:top w:val="single" w:sz="4" w:space="0" w:color="000000"/>
              <w:left w:val="nil"/>
              <w:bottom w:val="nil"/>
              <w:right w:val="nil"/>
            </w:tcBorders>
            <w:shd w:val="clear" w:color="000000" w:fill="E6F2FF"/>
            <w:noWrap/>
            <w:vAlign w:val="center"/>
            <w:hideMark/>
          </w:tcPr>
          <w:p w14:paraId="15678B0D" w14:textId="77777777" w:rsidR="00FE71CF" w:rsidRPr="00FF1D21" w:rsidRDefault="00FE71CF" w:rsidP="00FE71CF">
            <w:pPr>
              <w:spacing w:before="0" w:after="0" w:line="240" w:lineRule="auto"/>
              <w:rPr>
                <w:rFonts w:ascii="Arial" w:hAnsi="Arial" w:cs="Arial"/>
                <w:b/>
                <w:sz w:val="16"/>
                <w:szCs w:val="16"/>
                <w:highlight w:val="red"/>
              </w:rPr>
            </w:pPr>
            <w:r w:rsidRPr="00205DD5">
              <w:rPr>
                <w:rFonts w:ascii="Arial" w:hAnsi="Arial" w:cs="Arial"/>
                <w:b/>
                <w:sz w:val="16"/>
                <w:szCs w:val="16"/>
              </w:rPr>
              <w:t> </w:t>
            </w:r>
          </w:p>
        </w:tc>
        <w:tc>
          <w:tcPr>
            <w:tcW w:w="537" w:type="pct"/>
            <w:tcBorders>
              <w:top w:val="single" w:sz="4" w:space="0" w:color="000000"/>
              <w:left w:val="nil"/>
              <w:bottom w:val="nil"/>
              <w:right w:val="nil"/>
            </w:tcBorders>
            <w:shd w:val="clear" w:color="auto" w:fill="auto"/>
            <w:noWrap/>
            <w:vAlign w:val="center"/>
            <w:hideMark/>
          </w:tcPr>
          <w:p w14:paraId="404E1E01"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537" w:type="pct"/>
            <w:tcBorders>
              <w:top w:val="single" w:sz="4" w:space="0" w:color="000000"/>
              <w:left w:val="nil"/>
              <w:bottom w:val="nil"/>
              <w:right w:val="nil"/>
            </w:tcBorders>
            <w:shd w:val="clear" w:color="auto" w:fill="auto"/>
            <w:noWrap/>
            <w:vAlign w:val="center"/>
            <w:hideMark/>
          </w:tcPr>
          <w:p w14:paraId="0FE1F39E" w14:textId="77777777" w:rsidR="00FE71CF" w:rsidRPr="00FF1D21" w:rsidRDefault="00FE71CF" w:rsidP="00FE71CF">
            <w:pPr>
              <w:spacing w:before="0" w:after="0" w:line="240" w:lineRule="auto"/>
              <w:jc w:val="right"/>
              <w:rPr>
                <w:rFonts w:ascii="Arial" w:hAnsi="Arial" w:cs="Arial"/>
                <w:b/>
                <w:sz w:val="16"/>
                <w:szCs w:val="16"/>
                <w:highlight w:val="red"/>
              </w:rPr>
            </w:pPr>
            <w:r w:rsidRPr="00205DD5">
              <w:rPr>
                <w:rFonts w:ascii="Arial" w:hAnsi="Arial" w:cs="Arial"/>
                <w:b/>
                <w:sz w:val="16"/>
                <w:szCs w:val="16"/>
              </w:rPr>
              <w:t> </w:t>
            </w:r>
          </w:p>
        </w:tc>
        <w:tc>
          <w:tcPr>
            <w:tcW w:w="537" w:type="pct"/>
            <w:tcBorders>
              <w:top w:val="single" w:sz="4" w:space="0" w:color="000000"/>
              <w:left w:val="nil"/>
              <w:bottom w:val="nil"/>
              <w:right w:val="nil"/>
            </w:tcBorders>
            <w:shd w:val="clear" w:color="auto" w:fill="auto"/>
            <w:noWrap/>
            <w:vAlign w:val="center"/>
            <w:hideMark/>
          </w:tcPr>
          <w:p w14:paraId="6A4BB369" w14:textId="77777777" w:rsidR="00FE71CF" w:rsidRPr="00205DD5" w:rsidRDefault="00FE71CF" w:rsidP="00FE71CF">
            <w:pPr>
              <w:spacing w:before="0" w:after="0" w:line="240" w:lineRule="auto"/>
              <w:jc w:val="right"/>
              <w:rPr>
                <w:rFonts w:ascii="Arial" w:hAnsi="Arial" w:cs="Arial"/>
                <w:b/>
                <w:sz w:val="16"/>
                <w:szCs w:val="16"/>
              </w:rPr>
            </w:pPr>
            <w:r w:rsidRPr="00205DD5">
              <w:rPr>
                <w:rFonts w:ascii="Arial" w:hAnsi="Arial" w:cs="Arial"/>
                <w:b/>
                <w:sz w:val="16"/>
                <w:szCs w:val="16"/>
              </w:rPr>
              <w:t> </w:t>
            </w:r>
          </w:p>
        </w:tc>
      </w:tr>
      <w:tr w:rsidR="00FE71CF" w:rsidRPr="00FF1D21" w14:paraId="0CAA0E6C" w14:textId="77777777" w:rsidTr="00FE71CF">
        <w:trPr>
          <w:trHeight w:hRule="exact" w:val="226"/>
        </w:trPr>
        <w:tc>
          <w:tcPr>
            <w:tcW w:w="2350" w:type="pct"/>
            <w:tcBorders>
              <w:top w:val="nil"/>
              <w:left w:val="nil"/>
              <w:bottom w:val="nil"/>
              <w:right w:val="nil"/>
            </w:tcBorders>
            <w:shd w:val="clear" w:color="auto" w:fill="auto"/>
            <w:noWrap/>
            <w:vAlign w:val="center"/>
            <w:hideMark/>
          </w:tcPr>
          <w:p w14:paraId="1CA76EEA" w14:textId="77777777" w:rsidR="00FE71CF" w:rsidRPr="00FF1D21" w:rsidRDefault="00FE71CF" w:rsidP="00FE71CF">
            <w:pPr>
              <w:spacing w:before="0" w:after="0" w:line="240" w:lineRule="auto"/>
              <w:ind w:left="170"/>
              <w:rPr>
                <w:rFonts w:ascii="Arial" w:hAnsi="Arial" w:cs="Arial"/>
                <w:i/>
                <w:sz w:val="16"/>
                <w:szCs w:val="16"/>
                <w:highlight w:val="red"/>
              </w:rPr>
            </w:pPr>
            <w:r w:rsidRPr="00205DD5">
              <w:rPr>
                <w:rFonts w:ascii="Arial" w:hAnsi="Arial" w:cs="Arial"/>
                <w:i/>
                <w:sz w:val="16"/>
                <w:szCs w:val="16"/>
              </w:rPr>
              <w:t xml:space="preserve">Total excise </w:t>
            </w:r>
          </w:p>
        </w:tc>
        <w:tc>
          <w:tcPr>
            <w:tcW w:w="519" w:type="pct"/>
            <w:tcBorders>
              <w:top w:val="nil"/>
              <w:left w:val="nil"/>
              <w:bottom w:val="nil"/>
              <w:right w:val="nil"/>
            </w:tcBorders>
            <w:shd w:val="clear" w:color="auto" w:fill="auto"/>
            <w:noWrap/>
            <w:vAlign w:val="center"/>
            <w:hideMark/>
          </w:tcPr>
          <w:p w14:paraId="5E56C246"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29,761</w:t>
            </w:r>
          </w:p>
        </w:tc>
        <w:tc>
          <w:tcPr>
            <w:tcW w:w="53" w:type="pct"/>
            <w:tcBorders>
              <w:top w:val="nil"/>
              <w:left w:val="nil"/>
              <w:bottom w:val="nil"/>
              <w:right w:val="nil"/>
            </w:tcBorders>
            <w:shd w:val="clear" w:color="000000" w:fill="FFFFFF"/>
            <w:noWrap/>
            <w:vAlign w:val="center"/>
            <w:hideMark/>
          </w:tcPr>
          <w:p w14:paraId="4167EB45"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 </w:t>
            </w:r>
          </w:p>
        </w:tc>
        <w:tc>
          <w:tcPr>
            <w:tcW w:w="466" w:type="pct"/>
            <w:tcBorders>
              <w:top w:val="nil"/>
              <w:left w:val="nil"/>
              <w:bottom w:val="nil"/>
              <w:right w:val="nil"/>
            </w:tcBorders>
            <w:shd w:val="clear" w:color="000000" w:fill="E6F2FF"/>
            <w:noWrap/>
            <w:vAlign w:val="center"/>
            <w:hideMark/>
          </w:tcPr>
          <w:p w14:paraId="4AB988DD"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31,650</w:t>
            </w:r>
          </w:p>
        </w:tc>
        <w:tc>
          <w:tcPr>
            <w:tcW w:w="537" w:type="pct"/>
            <w:tcBorders>
              <w:top w:val="nil"/>
              <w:left w:val="nil"/>
              <w:bottom w:val="nil"/>
              <w:right w:val="nil"/>
            </w:tcBorders>
            <w:shd w:val="clear" w:color="auto" w:fill="auto"/>
            <w:noWrap/>
            <w:vAlign w:val="center"/>
            <w:hideMark/>
          </w:tcPr>
          <w:p w14:paraId="4AC4551C"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32,570</w:t>
            </w:r>
          </w:p>
        </w:tc>
        <w:tc>
          <w:tcPr>
            <w:tcW w:w="537" w:type="pct"/>
            <w:tcBorders>
              <w:top w:val="nil"/>
              <w:left w:val="nil"/>
              <w:bottom w:val="nil"/>
              <w:right w:val="nil"/>
            </w:tcBorders>
            <w:shd w:val="clear" w:color="auto" w:fill="auto"/>
            <w:noWrap/>
            <w:vAlign w:val="center"/>
            <w:hideMark/>
          </w:tcPr>
          <w:p w14:paraId="6901F04E"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33,870</w:t>
            </w:r>
          </w:p>
        </w:tc>
        <w:tc>
          <w:tcPr>
            <w:tcW w:w="537" w:type="pct"/>
            <w:tcBorders>
              <w:top w:val="nil"/>
              <w:left w:val="nil"/>
              <w:bottom w:val="nil"/>
              <w:right w:val="nil"/>
            </w:tcBorders>
            <w:shd w:val="clear" w:color="auto" w:fill="auto"/>
            <w:noWrap/>
            <w:vAlign w:val="center"/>
            <w:hideMark/>
          </w:tcPr>
          <w:p w14:paraId="0A6CD813" w14:textId="77777777" w:rsidR="00FE71CF" w:rsidRPr="00205DD5" w:rsidRDefault="00FE71CF" w:rsidP="00FE71CF">
            <w:pPr>
              <w:spacing w:before="0" w:after="0" w:line="240" w:lineRule="auto"/>
              <w:jc w:val="right"/>
              <w:rPr>
                <w:rFonts w:ascii="Arial" w:hAnsi="Arial" w:cs="Arial"/>
                <w:i/>
                <w:sz w:val="16"/>
                <w:szCs w:val="16"/>
              </w:rPr>
            </w:pPr>
            <w:r w:rsidRPr="00205DD5">
              <w:rPr>
                <w:rFonts w:ascii="Arial" w:hAnsi="Arial" w:cs="Arial"/>
                <w:i/>
                <w:sz w:val="16"/>
                <w:szCs w:val="16"/>
              </w:rPr>
              <w:t>34,940</w:t>
            </w:r>
          </w:p>
        </w:tc>
      </w:tr>
      <w:tr w:rsidR="00FE71CF" w:rsidRPr="00FF1D21" w14:paraId="2668E93F" w14:textId="77777777" w:rsidTr="00FE71CF">
        <w:trPr>
          <w:trHeight w:hRule="exact" w:val="226"/>
        </w:trPr>
        <w:tc>
          <w:tcPr>
            <w:tcW w:w="2350" w:type="pct"/>
            <w:tcBorders>
              <w:top w:val="nil"/>
              <w:left w:val="nil"/>
              <w:bottom w:val="nil"/>
              <w:right w:val="nil"/>
            </w:tcBorders>
            <w:shd w:val="clear" w:color="auto" w:fill="auto"/>
            <w:noWrap/>
            <w:vAlign w:val="center"/>
            <w:hideMark/>
          </w:tcPr>
          <w:p w14:paraId="72F7FD94" w14:textId="77777777" w:rsidR="00FE71CF" w:rsidRPr="00FF1D21" w:rsidRDefault="00FE71CF" w:rsidP="00FE71CF">
            <w:pPr>
              <w:spacing w:before="0" w:after="0" w:line="240" w:lineRule="auto"/>
              <w:ind w:left="170"/>
              <w:rPr>
                <w:rFonts w:ascii="Arial" w:hAnsi="Arial" w:cs="Arial"/>
                <w:i/>
                <w:sz w:val="16"/>
                <w:szCs w:val="16"/>
                <w:highlight w:val="red"/>
              </w:rPr>
            </w:pPr>
            <w:r w:rsidRPr="00205DD5">
              <w:rPr>
                <w:rFonts w:ascii="Arial" w:hAnsi="Arial" w:cs="Arial"/>
                <w:i/>
                <w:sz w:val="16"/>
                <w:szCs w:val="16"/>
              </w:rPr>
              <w:t xml:space="preserve">Total customs duty </w:t>
            </w:r>
          </w:p>
        </w:tc>
        <w:tc>
          <w:tcPr>
            <w:tcW w:w="519" w:type="pct"/>
            <w:tcBorders>
              <w:top w:val="nil"/>
              <w:left w:val="nil"/>
              <w:bottom w:val="nil"/>
              <w:right w:val="nil"/>
            </w:tcBorders>
            <w:shd w:val="clear" w:color="auto" w:fill="auto"/>
            <w:noWrap/>
            <w:vAlign w:val="center"/>
            <w:hideMark/>
          </w:tcPr>
          <w:p w14:paraId="2EC80762"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13,753</w:t>
            </w:r>
          </w:p>
        </w:tc>
        <w:tc>
          <w:tcPr>
            <w:tcW w:w="53" w:type="pct"/>
            <w:tcBorders>
              <w:top w:val="nil"/>
              <w:left w:val="nil"/>
              <w:bottom w:val="nil"/>
              <w:right w:val="nil"/>
            </w:tcBorders>
            <w:shd w:val="clear" w:color="000000" w:fill="FFFFFF"/>
            <w:noWrap/>
            <w:vAlign w:val="center"/>
            <w:hideMark/>
          </w:tcPr>
          <w:p w14:paraId="4AD014BD"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 </w:t>
            </w:r>
          </w:p>
        </w:tc>
        <w:tc>
          <w:tcPr>
            <w:tcW w:w="466" w:type="pct"/>
            <w:tcBorders>
              <w:top w:val="nil"/>
              <w:left w:val="nil"/>
              <w:bottom w:val="nil"/>
              <w:right w:val="nil"/>
            </w:tcBorders>
            <w:shd w:val="clear" w:color="000000" w:fill="E6F2FF"/>
            <w:noWrap/>
            <w:vAlign w:val="center"/>
            <w:hideMark/>
          </w:tcPr>
          <w:p w14:paraId="2BB88435"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12,980</w:t>
            </w:r>
          </w:p>
        </w:tc>
        <w:tc>
          <w:tcPr>
            <w:tcW w:w="537" w:type="pct"/>
            <w:tcBorders>
              <w:top w:val="nil"/>
              <w:left w:val="nil"/>
              <w:bottom w:val="nil"/>
              <w:right w:val="nil"/>
            </w:tcBorders>
            <w:shd w:val="clear" w:color="auto" w:fill="auto"/>
            <w:noWrap/>
            <w:vAlign w:val="center"/>
            <w:hideMark/>
          </w:tcPr>
          <w:p w14:paraId="60B4AE28"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12,960</w:t>
            </w:r>
          </w:p>
        </w:tc>
        <w:tc>
          <w:tcPr>
            <w:tcW w:w="537" w:type="pct"/>
            <w:tcBorders>
              <w:top w:val="nil"/>
              <w:left w:val="nil"/>
              <w:bottom w:val="nil"/>
              <w:right w:val="nil"/>
            </w:tcBorders>
            <w:shd w:val="clear" w:color="auto" w:fill="auto"/>
            <w:noWrap/>
            <w:vAlign w:val="center"/>
            <w:hideMark/>
          </w:tcPr>
          <w:p w14:paraId="0E8A2A9F"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12,940</w:t>
            </w:r>
          </w:p>
        </w:tc>
        <w:tc>
          <w:tcPr>
            <w:tcW w:w="537" w:type="pct"/>
            <w:tcBorders>
              <w:top w:val="nil"/>
              <w:left w:val="nil"/>
              <w:bottom w:val="nil"/>
              <w:right w:val="nil"/>
            </w:tcBorders>
            <w:shd w:val="clear" w:color="auto" w:fill="auto"/>
            <w:noWrap/>
            <w:vAlign w:val="center"/>
            <w:hideMark/>
          </w:tcPr>
          <w:p w14:paraId="6591D36D" w14:textId="77777777" w:rsidR="00FE71CF" w:rsidRPr="00205DD5" w:rsidRDefault="00FE71CF" w:rsidP="00FE71CF">
            <w:pPr>
              <w:spacing w:before="0" w:after="0" w:line="240" w:lineRule="auto"/>
              <w:jc w:val="right"/>
              <w:rPr>
                <w:rFonts w:ascii="Arial" w:hAnsi="Arial" w:cs="Arial"/>
                <w:i/>
                <w:sz w:val="16"/>
                <w:szCs w:val="16"/>
              </w:rPr>
            </w:pPr>
            <w:r w:rsidRPr="00205DD5">
              <w:rPr>
                <w:rFonts w:ascii="Arial" w:hAnsi="Arial" w:cs="Arial"/>
                <w:i/>
                <w:sz w:val="16"/>
                <w:szCs w:val="16"/>
              </w:rPr>
              <w:t>11,770</w:t>
            </w:r>
          </w:p>
        </w:tc>
      </w:tr>
      <w:tr w:rsidR="00FE71CF" w:rsidRPr="00FF1D21" w14:paraId="0AED7032" w14:textId="77777777" w:rsidTr="00FE71CF">
        <w:trPr>
          <w:trHeight w:hRule="exact" w:val="226"/>
        </w:trPr>
        <w:tc>
          <w:tcPr>
            <w:tcW w:w="2350" w:type="pct"/>
            <w:tcBorders>
              <w:top w:val="nil"/>
              <w:left w:val="nil"/>
              <w:bottom w:val="single" w:sz="4" w:space="0" w:color="293F5B"/>
              <w:right w:val="nil"/>
            </w:tcBorders>
            <w:shd w:val="clear" w:color="auto" w:fill="auto"/>
            <w:noWrap/>
            <w:vAlign w:val="center"/>
            <w:hideMark/>
          </w:tcPr>
          <w:p w14:paraId="21C8D7E7" w14:textId="77777777" w:rsidR="00FE71CF" w:rsidRPr="00FF1D21" w:rsidRDefault="00FE71CF" w:rsidP="00FE71CF">
            <w:pPr>
              <w:spacing w:before="0" w:after="0" w:line="240" w:lineRule="auto"/>
              <w:ind w:left="170"/>
              <w:rPr>
                <w:rFonts w:ascii="Arial" w:hAnsi="Arial" w:cs="Arial"/>
                <w:i/>
                <w:sz w:val="16"/>
                <w:szCs w:val="16"/>
                <w:highlight w:val="red"/>
              </w:rPr>
            </w:pPr>
            <w:r w:rsidRPr="00205DD5">
              <w:rPr>
                <w:rFonts w:ascii="Arial" w:hAnsi="Arial" w:cs="Arial"/>
                <w:i/>
                <w:sz w:val="16"/>
                <w:szCs w:val="16"/>
              </w:rPr>
              <w:t>Capital gains tax(b)</w:t>
            </w:r>
          </w:p>
        </w:tc>
        <w:tc>
          <w:tcPr>
            <w:tcW w:w="519" w:type="pct"/>
            <w:tcBorders>
              <w:top w:val="nil"/>
              <w:left w:val="nil"/>
              <w:bottom w:val="single" w:sz="4" w:space="0" w:color="293F5B"/>
              <w:right w:val="nil"/>
            </w:tcBorders>
            <w:shd w:val="clear" w:color="auto" w:fill="auto"/>
            <w:noWrap/>
            <w:vAlign w:val="center"/>
            <w:hideMark/>
          </w:tcPr>
          <w:p w14:paraId="310F6D5E"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25,400</w:t>
            </w:r>
          </w:p>
        </w:tc>
        <w:tc>
          <w:tcPr>
            <w:tcW w:w="53" w:type="pct"/>
            <w:tcBorders>
              <w:top w:val="nil"/>
              <w:left w:val="nil"/>
              <w:bottom w:val="single" w:sz="4" w:space="0" w:color="293F5B"/>
              <w:right w:val="nil"/>
            </w:tcBorders>
            <w:shd w:val="clear" w:color="000000" w:fill="FFFFFF"/>
            <w:noWrap/>
            <w:vAlign w:val="center"/>
            <w:hideMark/>
          </w:tcPr>
          <w:p w14:paraId="37E38EAF"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 </w:t>
            </w:r>
          </w:p>
        </w:tc>
        <w:tc>
          <w:tcPr>
            <w:tcW w:w="466" w:type="pct"/>
            <w:tcBorders>
              <w:top w:val="nil"/>
              <w:left w:val="nil"/>
              <w:bottom w:val="single" w:sz="4" w:space="0" w:color="293F5B"/>
              <w:right w:val="nil"/>
            </w:tcBorders>
            <w:shd w:val="clear" w:color="000000" w:fill="E6F2FF"/>
            <w:noWrap/>
            <w:vAlign w:val="center"/>
            <w:hideMark/>
          </w:tcPr>
          <w:p w14:paraId="2FE599C1"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29,900</w:t>
            </w:r>
          </w:p>
        </w:tc>
        <w:tc>
          <w:tcPr>
            <w:tcW w:w="537" w:type="pct"/>
            <w:tcBorders>
              <w:top w:val="nil"/>
              <w:left w:val="nil"/>
              <w:bottom w:val="single" w:sz="4" w:space="0" w:color="293F5B"/>
              <w:right w:val="nil"/>
            </w:tcBorders>
            <w:shd w:val="clear" w:color="auto" w:fill="auto"/>
            <w:noWrap/>
            <w:vAlign w:val="center"/>
            <w:hideMark/>
          </w:tcPr>
          <w:p w14:paraId="16485436"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26,100</w:t>
            </w:r>
          </w:p>
        </w:tc>
        <w:tc>
          <w:tcPr>
            <w:tcW w:w="537" w:type="pct"/>
            <w:tcBorders>
              <w:top w:val="nil"/>
              <w:left w:val="nil"/>
              <w:bottom w:val="single" w:sz="4" w:space="0" w:color="293F5B"/>
              <w:right w:val="nil"/>
            </w:tcBorders>
            <w:shd w:val="clear" w:color="auto" w:fill="auto"/>
            <w:noWrap/>
            <w:vAlign w:val="center"/>
            <w:hideMark/>
          </w:tcPr>
          <w:p w14:paraId="6FD35FF3" w14:textId="77777777" w:rsidR="00FE71CF" w:rsidRPr="00FF1D21" w:rsidRDefault="00FE71CF" w:rsidP="00FE71CF">
            <w:pPr>
              <w:spacing w:before="0" w:after="0" w:line="240" w:lineRule="auto"/>
              <w:jc w:val="right"/>
              <w:rPr>
                <w:rFonts w:ascii="Arial" w:hAnsi="Arial" w:cs="Arial"/>
                <w:i/>
                <w:sz w:val="16"/>
                <w:szCs w:val="16"/>
                <w:highlight w:val="red"/>
              </w:rPr>
            </w:pPr>
            <w:r w:rsidRPr="00205DD5">
              <w:rPr>
                <w:rFonts w:ascii="Arial" w:hAnsi="Arial" w:cs="Arial"/>
                <w:i/>
                <w:sz w:val="16"/>
                <w:szCs w:val="16"/>
              </w:rPr>
              <w:t>24,700</w:t>
            </w:r>
          </w:p>
        </w:tc>
        <w:tc>
          <w:tcPr>
            <w:tcW w:w="537" w:type="pct"/>
            <w:tcBorders>
              <w:top w:val="nil"/>
              <w:left w:val="nil"/>
              <w:bottom w:val="single" w:sz="4" w:space="0" w:color="293F5B"/>
              <w:right w:val="nil"/>
            </w:tcBorders>
            <w:shd w:val="clear" w:color="auto" w:fill="auto"/>
            <w:noWrap/>
            <w:vAlign w:val="center"/>
            <w:hideMark/>
          </w:tcPr>
          <w:p w14:paraId="1B14E04B" w14:textId="77777777" w:rsidR="00FE71CF" w:rsidRPr="00205DD5" w:rsidRDefault="00FE71CF" w:rsidP="00FE71CF">
            <w:pPr>
              <w:spacing w:before="0" w:after="0" w:line="240" w:lineRule="auto"/>
              <w:jc w:val="right"/>
              <w:rPr>
                <w:rFonts w:ascii="Arial" w:hAnsi="Arial" w:cs="Arial"/>
                <w:i/>
                <w:sz w:val="16"/>
                <w:szCs w:val="16"/>
              </w:rPr>
            </w:pPr>
            <w:r w:rsidRPr="00205DD5">
              <w:rPr>
                <w:rFonts w:ascii="Arial" w:hAnsi="Arial" w:cs="Arial"/>
                <w:i/>
                <w:sz w:val="16"/>
                <w:szCs w:val="16"/>
              </w:rPr>
              <w:t>26,000</w:t>
            </w:r>
          </w:p>
        </w:tc>
      </w:tr>
    </w:tbl>
    <w:p w14:paraId="28391128" w14:textId="520E1835" w:rsidR="00D63C70" w:rsidRPr="00205DD5" w:rsidRDefault="0073222B" w:rsidP="00B862B7">
      <w:pPr>
        <w:pStyle w:val="ChartandTableFootnoteAlpha"/>
        <w:numPr>
          <w:ilvl w:val="0"/>
          <w:numId w:val="12"/>
        </w:numPr>
        <w:rPr>
          <w:rFonts w:eastAsiaTheme="minorHAnsi"/>
          <w:color w:val="auto"/>
        </w:rPr>
      </w:pPr>
      <w:r>
        <w:rPr>
          <w:rFonts w:eastAsiaTheme="minorHAnsi"/>
        </w:rPr>
        <w:fldChar w:fldCharType="begin" w:fldLock="1"/>
      </w:r>
      <w:r w:rsidR="00000000">
        <w:rPr>
          <w:rFonts w:eastAsiaTheme="minorHAnsi"/>
        </w:rPr>
        <w:fldChar w:fldCharType="separate"/>
      </w:r>
      <w:r>
        <w:rPr>
          <w:rFonts w:eastAsiaTheme="minorHAnsi"/>
        </w:rPr>
        <w:fldChar w:fldCharType="end"/>
      </w:r>
      <w:r w:rsidR="00D63C70" w:rsidRPr="00205DD5">
        <w:rPr>
          <w:rFonts w:eastAsiaTheme="minorHAnsi"/>
          <w:color w:val="auto"/>
        </w:rPr>
        <w:t xml:space="preserve">Other alcoholic beverages are those not exceeding 10 per cent by volume of alcohol (excluding beer, </w:t>
      </w:r>
      <w:proofErr w:type="gramStart"/>
      <w:r w:rsidR="00D63C70" w:rsidRPr="00205DD5">
        <w:rPr>
          <w:rFonts w:eastAsiaTheme="minorHAnsi"/>
          <w:color w:val="auto"/>
        </w:rPr>
        <w:t>brandy</w:t>
      </w:r>
      <w:proofErr w:type="gramEnd"/>
      <w:r w:rsidR="00D63C70" w:rsidRPr="00205DD5">
        <w:rPr>
          <w:rFonts w:eastAsiaTheme="minorHAnsi"/>
          <w:color w:val="auto"/>
        </w:rPr>
        <w:t xml:space="preserve"> and wine).</w:t>
      </w:r>
    </w:p>
    <w:p w14:paraId="3053E90C" w14:textId="762B5F66" w:rsidR="00D63C70" w:rsidRPr="00DA2FB5" w:rsidRDefault="00D63C70" w:rsidP="00B862B7">
      <w:pPr>
        <w:pStyle w:val="ChartandTableFootnoteAlpha"/>
        <w:numPr>
          <w:ilvl w:val="0"/>
          <w:numId w:val="12"/>
        </w:numPr>
        <w:rPr>
          <w:rFonts w:eastAsiaTheme="minorHAnsi"/>
        </w:rPr>
      </w:pPr>
      <w:r w:rsidRPr="00205DD5">
        <w:rPr>
          <w:rFonts w:eastAsiaTheme="minorHAnsi"/>
          <w:color w:val="auto"/>
        </w:rPr>
        <w:t>‘Capital gains tax’ is part of gross other individuals, company tax and superannuation fund taxes.</w:t>
      </w:r>
      <w:r w:rsidR="00A8735A" w:rsidRPr="00205DD5">
        <w:rPr>
          <w:color w:val="auto"/>
        </w:rPr>
        <w:t xml:space="preserve"> </w:t>
      </w:r>
    </w:p>
    <w:p w14:paraId="1E205012" w14:textId="4E463350" w:rsidR="00D63C70" w:rsidRPr="00205DD5" w:rsidRDefault="00D63C70" w:rsidP="00961C62">
      <w:pPr>
        <w:pStyle w:val="Heading4"/>
      </w:pPr>
      <w:bookmarkStart w:id="30" w:name="_Toc148428068"/>
      <w:r w:rsidRPr="00205DD5">
        <w:lastRenderedPageBreak/>
        <w:t>Receipts policy decisions over the forward estimates</w:t>
      </w:r>
      <w:bookmarkEnd w:id="30"/>
    </w:p>
    <w:p w14:paraId="58AC8CCB" w14:textId="7B718D49" w:rsidR="00D63C70" w:rsidRPr="00612C1F" w:rsidRDefault="00D63C70" w:rsidP="00D63C70">
      <w:r w:rsidRPr="00205DD5">
        <w:t>Policy decisions in this MYEFO have increased total receipts by $</w:t>
      </w:r>
      <w:r w:rsidR="000114CF" w:rsidRPr="00205DD5">
        <w:t>0.4</w:t>
      </w:r>
      <w:r w:rsidRPr="00205DD5">
        <w:rPr>
          <w:rFonts w:hint="eastAsia"/>
        </w:rPr>
        <w:t> </w:t>
      </w:r>
      <w:r w:rsidRPr="00205DD5">
        <w:t xml:space="preserve">billion in </w:t>
      </w:r>
      <w:r w:rsidR="00E34C90" w:rsidRPr="00205DD5">
        <w:t>2024</w:t>
      </w:r>
      <w:r w:rsidRPr="00205DD5">
        <w:rPr>
          <w:rFonts w:hint="eastAsia"/>
        </w:rPr>
        <w:t>–</w:t>
      </w:r>
      <w:r w:rsidR="00E34C90" w:rsidRPr="00205DD5">
        <w:t xml:space="preserve">25 </w:t>
      </w:r>
      <w:r w:rsidRPr="00205DD5">
        <w:t>and by $</w:t>
      </w:r>
      <w:r w:rsidR="004E6822" w:rsidRPr="00205DD5">
        <w:t>1.7</w:t>
      </w:r>
      <w:r w:rsidRPr="00205DD5">
        <w:rPr>
          <w:rFonts w:hint="eastAsia"/>
        </w:rPr>
        <w:t> </w:t>
      </w:r>
      <w:r w:rsidRPr="00205DD5">
        <w:t>billion over four</w:t>
      </w:r>
      <w:r w:rsidRPr="00205DD5">
        <w:rPr>
          <w:rFonts w:hint="eastAsia"/>
        </w:rPr>
        <w:t> </w:t>
      </w:r>
      <w:r w:rsidRPr="00205DD5">
        <w:t xml:space="preserve">years to </w:t>
      </w:r>
      <w:r w:rsidR="00E34C90" w:rsidRPr="00205DD5">
        <w:t>2027</w:t>
      </w:r>
      <w:r w:rsidRPr="00205DD5">
        <w:rPr>
          <w:rFonts w:hint="eastAsia"/>
        </w:rPr>
        <w:t>–</w:t>
      </w:r>
      <w:r w:rsidR="00E34C90" w:rsidRPr="00205DD5">
        <w:t>28</w:t>
      </w:r>
      <w:r w:rsidRPr="00205DD5">
        <w:t>.</w:t>
      </w:r>
      <w:r w:rsidRPr="00612C1F">
        <w:t xml:space="preserve"> </w:t>
      </w:r>
    </w:p>
    <w:p w14:paraId="6EA221CF" w14:textId="3E31114D" w:rsidR="00D63C70" w:rsidRPr="00612C1F" w:rsidRDefault="00D63C70" w:rsidP="00D63C70">
      <w:r w:rsidRPr="00205DD5">
        <w:t xml:space="preserve">Since the </w:t>
      </w:r>
      <w:r w:rsidR="008257E9" w:rsidRPr="00205DD5">
        <w:t>2024</w:t>
      </w:r>
      <w:r w:rsidRPr="00205DD5">
        <w:t>–</w:t>
      </w:r>
      <w:r w:rsidR="008257E9" w:rsidRPr="00205DD5">
        <w:t>25</w:t>
      </w:r>
      <w:r w:rsidRPr="00205DD5">
        <w:t xml:space="preserve"> Budget, policy decisions have </w:t>
      </w:r>
      <w:r w:rsidR="008B12F5" w:rsidRPr="00205DD5">
        <w:t xml:space="preserve">increased </w:t>
      </w:r>
      <w:r w:rsidRPr="00205DD5">
        <w:t>tax receipts by $</w:t>
      </w:r>
      <w:r w:rsidR="002B7FFE" w:rsidRPr="00205DD5">
        <w:t>0.</w:t>
      </w:r>
      <w:r w:rsidR="00BB096B" w:rsidRPr="00205DD5">
        <w:t>8</w:t>
      </w:r>
      <w:r w:rsidR="00461C69" w:rsidRPr="00205DD5">
        <w:t> </w:t>
      </w:r>
      <w:r w:rsidR="002B7FFE" w:rsidRPr="00205DD5">
        <w:t>billion</w:t>
      </w:r>
      <w:r w:rsidRPr="00205DD5">
        <w:t xml:space="preserve"> over four years to 202</w:t>
      </w:r>
      <w:r w:rsidR="007A475D" w:rsidRPr="00205DD5">
        <w:t>7–28.</w:t>
      </w:r>
      <w:r w:rsidRPr="00205DD5">
        <w:t xml:space="preserve"> Key tax receipts measures include:</w:t>
      </w:r>
      <w:r w:rsidRPr="00612C1F">
        <w:t xml:space="preserve"> </w:t>
      </w:r>
    </w:p>
    <w:p w14:paraId="713208C1" w14:textId="72B6D077" w:rsidR="00007C7A" w:rsidRPr="00C00CDF" w:rsidRDefault="00007C7A" w:rsidP="00007C7A">
      <w:pPr>
        <w:pStyle w:val="Bullet"/>
      </w:pPr>
      <w:r w:rsidRPr="00205DD5">
        <w:t>Boosting the Shadow Economy Compliance Program.</w:t>
      </w:r>
      <w:r w:rsidRPr="00CF45C0">
        <w:t xml:space="preserve"> </w:t>
      </w:r>
      <w:r w:rsidRPr="00205DD5">
        <w:t>This measure is estimated to increase receipts by $366.1</w:t>
      </w:r>
      <w:r w:rsidR="00D9022D" w:rsidRPr="00205DD5">
        <w:t> </w:t>
      </w:r>
      <w:r w:rsidRPr="00205DD5">
        <w:t>million over four years to 2027</w:t>
      </w:r>
      <w:r w:rsidR="002B5336" w:rsidRPr="00205DD5">
        <w:t>–</w:t>
      </w:r>
      <w:r w:rsidRPr="00205DD5">
        <w:t>28, partially offset by an increase in payments of $137.8</w:t>
      </w:r>
      <w:r w:rsidR="00D9022D" w:rsidRPr="00205DD5">
        <w:t> </w:t>
      </w:r>
      <w:r w:rsidRPr="00205DD5">
        <w:t>million, including an increase in GST payments t</w:t>
      </w:r>
      <w:r w:rsidR="00C00CDF" w:rsidRPr="00205DD5">
        <w:t xml:space="preserve">o </w:t>
      </w:r>
      <w:r w:rsidRPr="00205DD5">
        <w:t>the states and territories of $88.6</w:t>
      </w:r>
      <w:r w:rsidR="00D9022D" w:rsidRPr="00205DD5">
        <w:t> </w:t>
      </w:r>
      <w:r w:rsidRPr="00205DD5">
        <w:t>million.</w:t>
      </w:r>
    </w:p>
    <w:p w14:paraId="49062020" w14:textId="42E925A7" w:rsidR="00007C7A" w:rsidRPr="004B6E26" w:rsidRDefault="00007C7A" w:rsidP="00007C7A">
      <w:pPr>
        <w:pStyle w:val="Bullet"/>
      </w:pPr>
      <w:r w:rsidRPr="00205DD5">
        <w:t>Extending and enhancing the Phoenix Compliance Program.</w:t>
      </w:r>
      <w:r w:rsidRPr="00CF45C0">
        <w:t xml:space="preserve"> </w:t>
      </w:r>
      <w:r w:rsidRPr="00205DD5">
        <w:t>This measure is estimated to increase receipts by $278.2</w:t>
      </w:r>
      <w:r w:rsidR="00D9022D" w:rsidRPr="00205DD5">
        <w:t> </w:t>
      </w:r>
      <w:r w:rsidRPr="00205DD5">
        <w:t>million over four years to 2027</w:t>
      </w:r>
      <w:r w:rsidR="002B5336" w:rsidRPr="00205DD5">
        <w:t>–</w:t>
      </w:r>
      <w:r w:rsidRPr="00205DD5">
        <w:t>28, partially offset by an increase in payments of $</w:t>
      </w:r>
      <w:r w:rsidR="000F7E42" w:rsidRPr="000F7E42">
        <w:t>150.9</w:t>
      </w:r>
      <w:r w:rsidR="00D9022D" w:rsidRPr="00205DD5">
        <w:t> </w:t>
      </w:r>
      <w:r w:rsidRPr="00205DD5">
        <w:t>million, including an increase in GST payments to the states and territories of $80.9</w:t>
      </w:r>
      <w:r w:rsidR="00D9022D" w:rsidRPr="00205DD5">
        <w:t> </w:t>
      </w:r>
      <w:r w:rsidRPr="00205DD5">
        <w:t>million.</w:t>
      </w:r>
    </w:p>
    <w:p w14:paraId="6A1EE402" w14:textId="1E636FED" w:rsidR="00D63C70" w:rsidRPr="00E1562D" w:rsidRDefault="00F25F0F" w:rsidP="00207139">
      <w:pPr>
        <w:pStyle w:val="Bullet"/>
      </w:pPr>
      <w:r w:rsidRPr="00205DD5">
        <w:t>P</w:t>
      </w:r>
      <w:r w:rsidR="006D7D61" w:rsidRPr="00205DD5">
        <w:t>rovid</w:t>
      </w:r>
      <w:r w:rsidRPr="00205DD5">
        <w:t>ing</w:t>
      </w:r>
      <w:r w:rsidR="006D7D61" w:rsidRPr="00205DD5">
        <w:t xml:space="preserve"> </w:t>
      </w:r>
      <w:r w:rsidR="008020D6" w:rsidRPr="00205DD5">
        <w:t xml:space="preserve">funding </w:t>
      </w:r>
      <w:r w:rsidR="006D7D61" w:rsidRPr="00205DD5">
        <w:t>to the ATO to modernise tax administration systems.</w:t>
      </w:r>
      <w:r w:rsidR="00E67BD4" w:rsidRPr="003C0E92">
        <w:t xml:space="preserve"> </w:t>
      </w:r>
      <w:r w:rsidR="006D7D61" w:rsidRPr="00205DD5">
        <w:t xml:space="preserve">This </w:t>
      </w:r>
      <w:r w:rsidR="000C51EE" w:rsidRPr="00205DD5">
        <w:t xml:space="preserve">measure is </w:t>
      </w:r>
      <w:r w:rsidR="0028075F" w:rsidRPr="00205DD5">
        <w:t>estimated</w:t>
      </w:r>
      <w:r w:rsidR="006D7D61" w:rsidRPr="00205DD5">
        <w:t xml:space="preserve"> to increase receipts by $81.6</w:t>
      </w:r>
      <w:r w:rsidR="00D9022D" w:rsidRPr="00205DD5">
        <w:t> </w:t>
      </w:r>
      <w:r w:rsidR="006D7D61" w:rsidRPr="00205DD5">
        <w:t xml:space="preserve">million over </w:t>
      </w:r>
      <w:r w:rsidR="000C51EE" w:rsidRPr="00205DD5" w:rsidDel="00D636D1">
        <w:t xml:space="preserve">four </w:t>
      </w:r>
      <w:r w:rsidR="000C51EE" w:rsidRPr="00205DD5">
        <w:t xml:space="preserve">years to </w:t>
      </w:r>
      <w:r w:rsidR="00513886" w:rsidRPr="00205DD5">
        <w:t>20</w:t>
      </w:r>
      <w:r w:rsidR="001758CF" w:rsidRPr="00205DD5">
        <w:t>27</w:t>
      </w:r>
      <w:r w:rsidR="002B5336" w:rsidRPr="00205DD5">
        <w:t>–</w:t>
      </w:r>
      <w:r w:rsidR="001758CF" w:rsidRPr="00205DD5">
        <w:t>28</w:t>
      </w:r>
      <w:r w:rsidR="00B822B8" w:rsidRPr="00205DD5">
        <w:t xml:space="preserve"> through supporting better compliance with </w:t>
      </w:r>
      <w:r w:rsidR="00154C5D" w:rsidRPr="00205DD5">
        <w:t xml:space="preserve">existing </w:t>
      </w:r>
      <w:r w:rsidR="00B822B8" w:rsidRPr="00205DD5">
        <w:t>tax obligations</w:t>
      </w:r>
      <w:r w:rsidR="006B0787" w:rsidRPr="00205DD5">
        <w:t xml:space="preserve">, partially </w:t>
      </w:r>
      <w:r w:rsidR="00A64BF8" w:rsidRPr="00205DD5">
        <w:t xml:space="preserve">offset by an increase in payments of </w:t>
      </w:r>
      <w:r w:rsidR="00413992" w:rsidRPr="00205DD5">
        <w:t>$</w:t>
      </w:r>
      <w:r w:rsidR="00A77EB1" w:rsidRPr="00205DD5">
        <w:t>76</w:t>
      </w:r>
      <w:r w:rsidR="000B775A" w:rsidRPr="00205DD5">
        <w:t>.0</w:t>
      </w:r>
      <w:r w:rsidR="00D9022D" w:rsidRPr="00205DD5">
        <w:t> </w:t>
      </w:r>
      <w:r w:rsidR="000B775A" w:rsidRPr="00205DD5">
        <w:t>million</w:t>
      </w:r>
      <w:r w:rsidR="00331BDE" w:rsidRPr="00205DD5">
        <w:t>.</w:t>
      </w:r>
    </w:p>
    <w:p w14:paraId="3E1E0428" w14:textId="7C92038D" w:rsidR="00D63C70" w:rsidRPr="00E1562D" w:rsidRDefault="00C2558B" w:rsidP="00D63C70">
      <w:r w:rsidRPr="00205DD5">
        <w:rPr>
          <w:rFonts w:eastAsia="Calibri" w:cs="Calibri"/>
          <w:lang w:val="en-US"/>
        </w:rPr>
        <w:t>Since the 2024–25 Budget, policy decisions are expected to increase non-tax receipts by $0.2</w:t>
      </w:r>
      <w:r w:rsidR="0056770C" w:rsidRPr="00205DD5">
        <w:rPr>
          <w:rFonts w:eastAsia="Calibri" w:cs="Calibri"/>
          <w:lang w:val="en-US"/>
        </w:rPr>
        <w:t> </w:t>
      </w:r>
      <w:r w:rsidRPr="00205DD5">
        <w:rPr>
          <w:rFonts w:eastAsia="Calibri" w:cs="Calibri"/>
          <w:lang w:val="en-US"/>
        </w:rPr>
        <w:t>billion in 2024–25 and by $0.8 billion over the four years to 2027–28</w:t>
      </w:r>
      <w:r w:rsidR="008D2BDE" w:rsidRPr="00205DD5">
        <w:rPr>
          <w:rFonts w:eastAsia="Calibri" w:cs="Calibri"/>
          <w:lang w:val="en-US"/>
        </w:rPr>
        <w:t xml:space="preserve">. This increase is largely driven by the standard non-tax revenue impacts of Pharmaceutical Benefits Scheme listings, which partially offset expenditure impacts of these listings. The Higher Education Loan Program debt balance reduction of 20 per cent announced in the </w:t>
      </w:r>
      <w:r w:rsidR="008D2BDE" w:rsidRPr="00205DD5">
        <w:rPr>
          <w:rStyle w:val="Emphasis"/>
          <w:rFonts w:eastAsia="Calibri"/>
        </w:rPr>
        <w:t xml:space="preserve">Building Australia’s Future – a fairer deal for </w:t>
      </w:r>
      <w:proofErr w:type="gramStart"/>
      <w:r w:rsidR="008D2BDE" w:rsidRPr="00205DD5">
        <w:rPr>
          <w:rStyle w:val="Emphasis"/>
          <w:rFonts w:eastAsia="Calibri"/>
        </w:rPr>
        <w:t>students</w:t>
      </w:r>
      <w:proofErr w:type="gramEnd"/>
      <w:r w:rsidR="008D2BDE" w:rsidRPr="00205DD5">
        <w:rPr>
          <w:rFonts w:eastAsia="Calibri" w:cs="Calibri"/>
          <w:lang w:val="en-US"/>
        </w:rPr>
        <w:t xml:space="preserve"> measure reduces non-taxation receipts by $0.2 billion in 2024</w:t>
      </w:r>
      <w:r w:rsidR="00E502A9" w:rsidRPr="00205DD5">
        <w:t>–</w:t>
      </w:r>
      <w:r w:rsidR="008D2BDE" w:rsidRPr="00205DD5">
        <w:rPr>
          <w:rFonts w:eastAsia="Calibri" w:cs="Calibri"/>
          <w:lang w:val="en-US"/>
        </w:rPr>
        <w:t>25 and by $0.6 billion over the four years to 2027</w:t>
      </w:r>
      <w:r w:rsidR="00E502A9" w:rsidRPr="00205DD5">
        <w:t>–</w:t>
      </w:r>
      <w:r w:rsidR="008D2BDE" w:rsidRPr="00205DD5">
        <w:rPr>
          <w:rFonts w:eastAsia="Calibri" w:cs="Calibri"/>
          <w:lang w:val="en-US"/>
        </w:rPr>
        <w:t>28</w:t>
      </w:r>
      <w:r w:rsidR="00D63C70" w:rsidRPr="00205DD5">
        <w:t>.</w:t>
      </w:r>
      <w:r w:rsidR="00D63C70" w:rsidRPr="00E1562D">
        <w:t xml:space="preserve"> </w:t>
      </w:r>
    </w:p>
    <w:p w14:paraId="20924DCC" w14:textId="0BBDEBF1" w:rsidR="00D63C70" w:rsidRPr="00207139" w:rsidRDefault="00D63C70" w:rsidP="00D63C70">
      <w:pPr>
        <w:rPr>
          <w:rStyle w:val="Emphasis"/>
        </w:rPr>
      </w:pPr>
      <w:r w:rsidRPr="00205DD5">
        <w:t>Further details of Government policy decisions are provided in Appendix A,</w:t>
      </w:r>
      <w:r w:rsidRPr="00205DD5">
        <w:rPr>
          <w:rStyle w:val="Emphasis"/>
          <w:rFonts w:eastAsia="Calibri"/>
        </w:rPr>
        <w:t xml:space="preserve"> Policy Decisions taken since the </w:t>
      </w:r>
      <w:r w:rsidR="008257E9" w:rsidRPr="00205DD5">
        <w:rPr>
          <w:rStyle w:val="Emphasis"/>
          <w:rFonts w:eastAsia="Calibri"/>
        </w:rPr>
        <w:t>2024</w:t>
      </w:r>
      <w:r w:rsidRPr="00205DD5">
        <w:rPr>
          <w:rStyle w:val="Emphasis"/>
          <w:rFonts w:eastAsia="Calibri"/>
        </w:rPr>
        <w:t>–</w:t>
      </w:r>
      <w:r w:rsidR="008257E9" w:rsidRPr="00205DD5">
        <w:rPr>
          <w:rStyle w:val="Emphasis"/>
          <w:rFonts w:eastAsia="Calibri"/>
        </w:rPr>
        <w:t>25</w:t>
      </w:r>
      <w:r w:rsidRPr="00205DD5">
        <w:rPr>
          <w:rStyle w:val="Emphasis"/>
          <w:rFonts w:eastAsia="Calibri"/>
        </w:rPr>
        <w:t xml:space="preserve"> Budget</w:t>
      </w:r>
      <w:r w:rsidRPr="00205DD5">
        <w:rPr>
          <w:rStyle w:val="Emphasis"/>
        </w:rPr>
        <w:t>.</w:t>
      </w:r>
    </w:p>
    <w:p w14:paraId="27BF47BA" w14:textId="034A8328" w:rsidR="00D63C70" w:rsidRPr="00205DD5" w:rsidRDefault="00D63C70" w:rsidP="00D63C70">
      <w:pPr>
        <w:pStyle w:val="Heading4"/>
      </w:pPr>
      <w:bookmarkStart w:id="31" w:name="_Toc148428069"/>
      <w:bookmarkStart w:id="32" w:name="_Hlk134019357"/>
      <w:r w:rsidRPr="00205DD5">
        <w:t>Receipts parameter and other variations over the forward estimates</w:t>
      </w:r>
      <w:bookmarkEnd w:id="31"/>
    </w:p>
    <w:p w14:paraId="702F8262" w14:textId="258891B5" w:rsidR="00D63C70" w:rsidRPr="00D14996" w:rsidRDefault="00D63C70" w:rsidP="00D63C70">
      <w:pPr>
        <w:rPr>
          <w:rFonts w:eastAsia="Calibri"/>
        </w:rPr>
      </w:pPr>
      <w:bookmarkStart w:id="33" w:name="_Hlk184818655"/>
      <w:bookmarkEnd w:id="32"/>
      <w:r w:rsidRPr="00205DD5">
        <w:rPr>
          <w:rFonts w:eastAsia="Calibri"/>
        </w:rPr>
        <w:t xml:space="preserve">Parameter and other variations </w:t>
      </w:r>
      <w:bookmarkEnd w:id="33"/>
      <w:r w:rsidRPr="00205DD5">
        <w:rPr>
          <w:rFonts w:eastAsia="Calibri"/>
        </w:rPr>
        <w:t>since the 202</w:t>
      </w:r>
      <w:r w:rsidR="009D6631" w:rsidRPr="00205DD5">
        <w:rPr>
          <w:rFonts w:eastAsia="Calibri"/>
        </w:rPr>
        <w:t>4</w:t>
      </w:r>
      <w:r w:rsidRPr="00205DD5">
        <w:rPr>
          <w:rFonts w:eastAsia="Calibri"/>
        </w:rPr>
        <w:t>–2</w:t>
      </w:r>
      <w:r w:rsidR="009D6631" w:rsidRPr="00205DD5">
        <w:rPr>
          <w:rFonts w:eastAsia="Calibri"/>
        </w:rPr>
        <w:t>5</w:t>
      </w:r>
      <w:r w:rsidRPr="00205DD5">
        <w:rPr>
          <w:rFonts w:eastAsia="Calibri"/>
        </w:rPr>
        <w:t xml:space="preserve"> Budget have increased total receipts by </w:t>
      </w:r>
      <w:r w:rsidR="00FF796A" w:rsidRPr="00205DD5">
        <w:rPr>
          <w:rFonts w:eastAsia="Calibri"/>
        </w:rPr>
        <w:t>$</w:t>
      </w:r>
      <w:r w:rsidR="00537DC3" w:rsidRPr="00205DD5">
        <w:rPr>
          <w:rFonts w:eastAsia="Calibri"/>
        </w:rPr>
        <w:t>5.</w:t>
      </w:r>
      <w:r w:rsidR="00F116A1" w:rsidRPr="00205DD5">
        <w:rPr>
          <w:rFonts w:eastAsia="Calibri"/>
        </w:rPr>
        <w:t>3</w:t>
      </w:r>
      <w:r w:rsidR="00D9022D" w:rsidRPr="00205DD5">
        <w:rPr>
          <w:rFonts w:eastAsia="Calibri"/>
        </w:rPr>
        <w:t> </w:t>
      </w:r>
      <w:r w:rsidRPr="00205DD5">
        <w:rPr>
          <w:rFonts w:eastAsia="Calibri"/>
        </w:rPr>
        <w:t xml:space="preserve">billion and tax receipts by </w:t>
      </w:r>
      <w:r w:rsidR="00FF796A" w:rsidRPr="00205DD5">
        <w:rPr>
          <w:rFonts w:eastAsia="Calibri"/>
        </w:rPr>
        <w:t>$</w:t>
      </w:r>
      <w:r w:rsidR="00C71EBB" w:rsidRPr="00205DD5">
        <w:rPr>
          <w:rFonts w:eastAsia="Calibri"/>
        </w:rPr>
        <w:t>2</w:t>
      </w:r>
      <w:r w:rsidR="00F466EF" w:rsidRPr="00205DD5">
        <w:rPr>
          <w:rFonts w:eastAsia="Calibri"/>
        </w:rPr>
        <w:t>.</w:t>
      </w:r>
      <w:r w:rsidR="00C71EBB" w:rsidRPr="00205DD5">
        <w:rPr>
          <w:rFonts w:eastAsia="Calibri"/>
        </w:rPr>
        <w:t>8</w:t>
      </w:r>
      <w:r w:rsidR="00D9022D" w:rsidRPr="00205DD5">
        <w:rPr>
          <w:rFonts w:eastAsia="Calibri"/>
        </w:rPr>
        <w:t> </w:t>
      </w:r>
      <w:r w:rsidRPr="00205DD5">
        <w:rPr>
          <w:rFonts w:eastAsia="Calibri"/>
        </w:rPr>
        <w:t>billion</w:t>
      </w:r>
      <w:r w:rsidR="00796BF6" w:rsidRPr="00205DD5">
        <w:rPr>
          <w:rFonts w:eastAsia="Calibri"/>
        </w:rPr>
        <w:t xml:space="preserve"> in 2024–25</w:t>
      </w:r>
      <w:r w:rsidRPr="00205DD5">
        <w:rPr>
          <w:rFonts w:eastAsia="Calibri"/>
        </w:rPr>
        <w:t>. Over the four years to 202</w:t>
      </w:r>
      <w:r w:rsidR="0031258D" w:rsidRPr="00205DD5">
        <w:rPr>
          <w:rFonts w:eastAsia="Calibri"/>
        </w:rPr>
        <w:t>7</w:t>
      </w:r>
      <w:r w:rsidRPr="00205DD5">
        <w:t>–</w:t>
      </w:r>
      <w:r w:rsidRPr="00205DD5">
        <w:rPr>
          <w:rFonts w:eastAsia="Calibri"/>
        </w:rPr>
        <w:t>2</w:t>
      </w:r>
      <w:r w:rsidR="0031258D" w:rsidRPr="00205DD5">
        <w:rPr>
          <w:rFonts w:eastAsia="Calibri"/>
        </w:rPr>
        <w:t>8</w:t>
      </w:r>
      <w:r w:rsidRPr="00205DD5">
        <w:rPr>
          <w:rFonts w:eastAsia="Calibri"/>
        </w:rPr>
        <w:t xml:space="preserve">, total receipts have increased by </w:t>
      </w:r>
      <w:r w:rsidR="00FF796A" w:rsidRPr="00205DD5">
        <w:rPr>
          <w:rFonts w:eastAsia="Calibri"/>
        </w:rPr>
        <w:t>$</w:t>
      </w:r>
      <w:r w:rsidR="00534236" w:rsidRPr="00205DD5">
        <w:rPr>
          <w:rFonts w:eastAsia="Calibri"/>
        </w:rPr>
        <w:t>18.8</w:t>
      </w:r>
      <w:r w:rsidR="00D9022D" w:rsidRPr="00205DD5">
        <w:rPr>
          <w:rFonts w:eastAsia="Calibri"/>
        </w:rPr>
        <w:t> </w:t>
      </w:r>
      <w:r w:rsidRPr="00205DD5">
        <w:rPr>
          <w:rFonts w:eastAsia="Calibri"/>
        </w:rPr>
        <w:t>billion due to parameter and other variations</w:t>
      </w:r>
      <w:r w:rsidR="00A8179A" w:rsidRPr="00205DD5">
        <w:rPr>
          <w:rFonts w:eastAsia="Calibri"/>
        </w:rPr>
        <w:t>.</w:t>
      </w:r>
      <w:r w:rsidR="00343D2F">
        <w:rPr>
          <w:rFonts w:eastAsia="Calibri"/>
        </w:rPr>
        <w:t xml:space="preserve"> </w:t>
      </w:r>
      <w:r w:rsidR="00A8179A" w:rsidRPr="00205DD5">
        <w:rPr>
          <w:rFonts w:eastAsia="Calibri"/>
        </w:rPr>
        <w:t>T</w:t>
      </w:r>
      <w:r w:rsidRPr="00205DD5">
        <w:rPr>
          <w:rFonts w:eastAsia="Calibri"/>
        </w:rPr>
        <w:t xml:space="preserve">ax receipts </w:t>
      </w:r>
      <w:r w:rsidR="00A26DB5" w:rsidRPr="00205DD5">
        <w:rPr>
          <w:rFonts w:eastAsia="Calibri"/>
        </w:rPr>
        <w:t xml:space="preserve">have increased </w:t>
      </w:r>
      <w:r w:rsidRPr="00205DD5">
        <w:rPr>
          <w:rFonts w:eastAsia="Calibri"/>
        </w:rPr>
        <w:t xml:space="preserve">by </w:t>
      </w:r>
      <w:r w:rsidR="00FF796A" w:rsidRPr="00205DD5">
        <w:rPr>
          <w:rFonts w:eastAsia="Calibri"/>
        </w:rPr>
        <w:t>$</w:t>
      </w:r>
      <w:r w:rsidR="00E86D3A" w:rsidRPr="00205DD5">
        <w:rPr>
          <w:rFonts w:eastAsia="Calibri"/>
        </w:rPr>
        <w:t>14.2</w:t>
      </w:r>
      <w:r w:rsidR="00D9022D" w:rsidRPr="00205DD5">
        <w:rPr>
          <w:rFonts w:eastAsia="Calibri"/>
        </w:rPr>
        <w:t> </w:t>
      </w:r>
      <w:r w:rsidRPr="00205DD5">
        <w:rPr>
          <w:rFonts w:eastAsia="Calibri"/>
        </w:rPr>
        <w:t>billion</w:t>
      </w:r>
      <w:r w:rsidR="002A6823" w:rsidRPr="00205DD5">
        <w:rPr>
          <w:rFonts w:eastAsia="Calibri"/>
        </w:rPr>
        <w:t xml:space="preserve"> due to parameter and other variations</w:t>
      </w:r>
      <w:r w:rsidRPr="00205DD5">
        <w:rPr>
          <w:rFonts w:eastAsia="Calibri"/>
        </w:rPr>
        <w:t xml:space="preserve">, driven by </w:t>
      </w:r>
      <w:r w:rsidR="00227472" w:rsidRPr="00205DD5">
        <w:rPr>
          <w:rFonts w:eastAsia="Calibri"/>
        </w:rPr>
        <w:t>personal</w:t>
      </w:r>
      <w:r w:rsidRPr="00205DD5">
        <w:rPr>
          <w:rFonts w:eastAsia="Calibri"/>
        </w:rPr>
        <w:t xml:space="preserve"> income </w:t>
      </w:r>
      <w:r w:rsidR="00A9522E" w:rsidRPr="00205DD5">
        <w:rPr>
          <w:rFonts w:eastAsia="Calibri"/>
        </w:rPr>
        <w:t xml:space="preserve">and superannuation </w:t>
      </w:r>
      <w:r w:rsidR="00D34C8E" w:rsidRPr="00205DD5">
        <w:rPr>
          <w:rFonts w:eastAsia="Calibri"/>
        </w:rPr>
        <w:t>fund</w:t>
      </w:r>
      <w:r w:rsidR="00A9522E" w:rsidRPr="00205DD5">
        <w:rPr>
          <w:rFonts w:eastAsia="Calibri"/>
        </w:rPr>
        <w:t xml:space="preserve"> taxes</w:t>
      </w:r>
      <w:r w:rsidR="00FE01A6" w:rsidRPr="00205DD5">
        <w:rPr>
          <w:rFonts w:eastAsia="Calibri"/>
        </w:rPr>
        <w:t xml:space="preserve"> and </w:t>
      </w:r>
      <w:r w:rsidR="00FE7C92" w:rsidRPr="00205DD5">
        <w:rPr>
          <w:rFonts w:eastAsia="Calibri"/>
        </w:rPr>
        <w:t>GST</w:t>
      </w:r>
      <w:r w:rsidRPr="00205DD5">
        <w:rPr>
          <w:rFonts w:eastAsia="Calibri"/>
        </w:rPr>
        <w:t>.</w:t>
      </w:r>
    </w:p>
    <w:p w14:paraId="35CEDD58" w14:textId="58D10392" w:rsidR="00D63C70" w:rsidRPr="00D65F88" w:rsidRDefault="00D63C70" w:rsidP="00D65F88">
      <w:pPr>
        <w:rPr>
          <w:rFonts w:eastAsia="Calibri"/>
        </w:rPr>
      </w:pPr>
      <w:r w:rsidRPr="00205DD5">
        <w:rPr>
          <w:rFonts w:eastAsia="Calibri"/>
        </w:rPr>
        <w:t xml:space="preserve">The key economic parameters that influence tax receipts and revenue are shown in </w:t>
      </w:r>
      <w:r w:rsidR="00732C31" w:rsidRPr="00205DD5">
        <w:rPr>
          <w:rFonts w:eastAsia="Calibri"/>
        </w:rPr>
        <w:t>Table </w:t>
      </w:r>
      <w:r w:rsidRPr="00205DD5">
        <w:rPr>
          <w:rFonts w:eastAsia="Calibri"/>
        </w:rPr>
        <w:t>3.</w:t>
      </w:r>
      <w:r w:rsidR="001645FC" w:rsidRPr="00205DD5">
        <w:rPr>
          <w:rFonts w:eastAsia="Calibri"/>
        </w:rPr>
        <w:t>6</w:t>
      </w:r>
      <w:r w:rsidRPr="00205DD5">
        <w:rPr>
          <w:rFonts w:eastAsia="Calibri"/>
        </w:rPr>
        <w:t>.</w:t>
      </w:r>
      <w:r w:rsidRPr="00D14996">
        <w:rPr>
          <w:rFonts w:eastAsia="Calibri"/>
        </w:rPr>
        <w:t xml:space="preserve"> </w:t>
      </w:r>
      <w:r>
        <w:br w:type="page"/>
      </w:r>
    </w:p>
    <w:p w14:paraId="72FC5B6D" w14:textId="4DA80A86" w:rsidR="00081B6A" w:rsidRDefault="00D63C70" w:rsidP="00081B6A">
      <w:pPr>
        <w:pStyle w:val="TableHeading"/>
        <w:rPr>
          <w:rFonts w:asciiTheme="minorHAnsi" w:eastAsiaTheme="minorHAnsi" w:hAnsiTheme="minorHAnsi" w:cstheme="minorBidi"/>
          <w:sz w:val="22"/>
          <w:szCs w:val="22"/>
          <w:lang w:eastAsia="en-US"/>
        </w:rPr>
      </w:pPr>
      <w:r w:rsidRPr="00205DD5">
        <w:lastRenderedPageBreak/>
        <w:t>Table 3.</w:t>
      </w:r>
      <w:r w:rsidR="001645FC" w:rsidRPr="00205DD5">
        <w:t>6</w:t>
      </w:r>
      <w:r w:rsidRPr="00205DD5">
        <w:t>: Key economic parameters for tax receipts</w:t>
      </w:r>
      <w:r w:rsidR="00D05FFE" w:rsidRPr="00205DD5">
        <w:rPr>
          <w:vertAlign w:val="superscript"/>
        </w:rPr>
        <w:t xml:space="preserve"> </w:t>
      </w:r>
      <w:r w:rsidRPr="00205DD5">
        <w:rPr>
          <w:vertAlign w:val="superscript"/>
        </w:rPr>
        <w:t>(a)</w:t>
      </w:r>
      <w:r w:rsidRPr="001055C9">
        <w:rPr>
          <w:rFonts w:eastAsiaTheme="minorHAnsi"/>
          <w:vertAlign w:val="superscript"/>
        </w:rPr>
        <w:t xml:space="preserve"> </w:t>
      </w:r>
    </w:p>
    <w:tbl>
      <w:tblPr>
        <w:tblW w:w="5000" w:type="pct"/>
        <w:tblCellMar>
          <w:left w:w="0" w:type="dxa"/>
          <w:right w:w="28" w:type="dxa"/>
        </w:tblCellMar>
        <w:tblLook w:val="04A0" w:firstRow="1" w:lastRow="0" w:firstColumn="1" w:lastColumn="0" w:noHBand="0" w:noVBand="1"/>
      </w:tblPr>
      <w:tblGrid>
        <w:gridCol w:w="3197"/>
        <w:gridCol w:w="902"/>
        <w:gridCol w:w="902"/>
        <w:gridCol w:w="902"/>
        <w:gridCol w:w="902"/>
        <w:gridCol w:w="905"/>
      </w:tblGrid>
      <w:tr w:rsidR="00081B6A" w:rsidRPr="00081B6A" w14:paraId="61053961" w14:textId="77777777" w:rsidTr="000B56C9">
        <w:trPr>
          <w:trHeight w:hRule="exact" w:val="225"/>
        </w:trPr>
        <w:tc>
          <w:tcPr>
            <w:tcW w:w="2073" w:type="pct"/>
            <w:tcBorders>
              <w:top w:val="single" w:sz="4" w:space="0" w:color="293F5B"/>
              <w:left w:val="nil"/>
              <w:bottom w:val="nil"/>
              <w:right w:val="nil"/>
            </w:tcBorders>
            <w:shd w:val="clear" w:color="000000" w:fill="FFFFFF"/>
            <w:noWrap/>
            <w:vAlign w:val="bottom"/>
            <w:hideMark/>
          </w:tcPr>
          <w:p w14:paraId="31E814E6"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single" w:sz="4" w:space="0" w:color="293F5B"/>
              <w:left w:val="nil"/>
              <w:bottom w:val="nil"/>
              <w:right w:val="nil"/>
            </w:tcBorders>
            <w:shd w:val="clear" w:color="000000" w:fill="FFFFFF"/>
            <w:noWrap/>
            <w:vAlign w:val="center"/>
            <w:hideMark/>
          </w:tcPr>
          <w:p w14:paraId="2F767D45" w14:textId="77777777" w:rsidR="00081B6A" w:rsidRPr="00081B6A" w:rsidRDefault="00081B6A" w:rsidP="00081B6A">
            <w:pPr>
              <w:spacing w:before="0" w:after="0" w:line="240" w:lineRule="auto"/>
              <w:jc w:val="center"/>
              <w:rPr>
                <w:rFonts w:ascii="Arial" w:hAnsi="Arial" w:cs="Arial"/>
                <w:sz w:val="16"/>
                <w:szCs w:val="16"/>
              </w:rPr>
            </w:pPr>
            <w:r w:rsidRPr="00081B6A">
              <w:rPr>
                <w:rFonts w:ascii="Arial" w:hAnsi="Arial" w:cs="Arial"/>
                <w:sz w:val="16"/>
                <w:szCs w:val="16"/>
              </w:rPr>
              <w:t>Outcome</w:t>
            </w:r>
          </w:p>
        </w:tc>
        <w:tc>
          <w:tcPr>
            <w:tcW w:w="2342" w:type="pct"/>
            <w:gridSpan w:val="4"/>
            <w:tcBorders>
              <w:top w:val="single" w:sz="4" w:space="0" w:color="293F5B"/>
              <w:left w:val="nil"/>
              <w:bottom w:val="single" w:sz="4" w:space="0" w:color="auto"/>
              <w:right w:val="nil"/>
            </w:tcBorders>
            <w:shd w:val="clear" w:color="000000" w:fill="FFFFFF"/>
            <w:noWrap/>
            <w:vAlign w:val="center"/>
            <w:hideMark/>
          </w:tcPr>
          <w:p w14:paraId="6FB07F01" w14:textId="77777777" w:rsidR="00081B6A" w:rsidRPr="00081B6A" w:rsidRDefault="00081B6A" w:rsidP="00081B6A">
            <w:pPr>
              <w:spacing w:before="0" w:after="0" w:line="240" w:lineRule="auto"/>
              <w:jc w:val="center"/>
              <w:rPr>
                <w:rFonts w:ascii="Arial" w:hAnsi="Arial" w:cs="Arial"/>
                <w:sz w:val="16"/>
                <w:szCs w:val="16"/>
              </w:rPr>
            </w:pPr>
            <w:r w:rsidRPr="00081B6A">
              <w:rPr>
                <w:rFonts w:ascii="Arial" w:hAnsi="Arial" w:cs="Arial"/>
                <w:sz w:val="16"/>
                <w:szCs w:val="16"/>
              </w:rPr>
              <w:t>Forecasts</w:t>
            </w:r>
          </w:p>
        </w:tc>
      </w:tr>
      <w:tr w:rsidR="00081B6A" w:rsidRPr="00081B6A" w14:paraId="1870ADF0"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20772D5C"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single" w:sz="4" w:space="0" w:color="auto"/>
              <w:left w:val="nil"/>
              <w:bottom w:val="single" w:sz="4" w:space="0" w:color="auto"/>
              <w:right w:val="nil"/>
            </w:tcBorders>
            <w:shd w:val="clear" w:color="000000" w:fill="FFFFFF"/>
            <w:noWrap/>
            <w:vAlign w:val="bottom"/>
            <w:hideMark/>
          </w:tcPr>
          <w:p w14:paraId="1713E436" w14:textId="77777777" w:rsidR="00081B6A" w:rsidRPr="00081B6A" w:rsidRDefault="00081B6A" w:rsidP="00081B6A">
            <w:pPr>
              <w:spacing w:before="0" w:after="0" w:line="240" w:lineRule="auto"/>
              <w:jc w:val="center"/>
              <w:rPr>
                <w:rFonts w:ascii="Arial" w:hAnsi="Arial" w:cs="Arial"/>
                <w:sz w:val="16"/>
                <w:szCs w:val="16"/>
              </w:rPr>
            </w:pPr>
            <w:r w:rsidRPr="00081B6A">
              <w:rPr>
                <w:rFonts w:ascii="Arial" w:hAnsi="Arial" w:cs="Arial"/>
                <w:sz w:val="16"/>
                <w:szCs w:val="16"/>
              </w:rPr>
              <w:t>2023</w:t>
            </w:r>
            <w:r w:rsidRPr="00081B6A">
              <w:rPr>
                <w:rFonts w:ascii="Calibri" w:hAnsi="Calibri" w:cs="Calibri"/>
                <w:sz w:val="16"/>
                <w:szCs w:val="16"/>
              </w:rPr>
              <w:t>–</w:t>
            </w:r>
            <w:r w:rsidRPr="00081B6A">
              <w:rPr>
                <w:rFonts w:ascii="Arial" w:hAnsi="Arial" w:cs="Arial"/>
                <w:sz w:val="16"/>
                <w:szCs w:val="16"/>
              </w:rPr>
              <w:t>24</w:t>
            </w:r>
          </w:p>
        </w:tc>
        <w:tc>
          <w:tcPr>
            <w:tcW w:w="585" w:type="pct"/>
            <w:tcBorders>
              <w:top w:val="nil"/>
              <w:left w:val="nil"/>
              <w:bottom w:val="single" w:sz="4" w:space="0" w:color="auto"/>
              <w:right w:val="nil"/>
            </w:tcBorders>
            <w:shd w:val="clear" w:color="000000" w:fill="FFFFFF"/>
            <w:noWrap/>
            <w:vAlign w:val="bottom"/>
            <w:hideMark/>
          </w:tcPr>
          <w:p w14:paraId="7126B186" w14:textId="77777777" w:rsidR="00081B6A" w:rsidRPr="00081B6A" w:rsidRDefault="00081B6A" w:rsidP="00081B6A">
            <w:pPr>
              <w:spacing w:before="0" w:after="0" w:line="240" w:lineRule="auto"/>
              <w:jc w:val="center"/>
              <w:rPr>
                <w:rFonts w:ascii="Arial" w:hAnsi="Arial" w:cs="Arial"/>
                <w:sz w:val="16"/>
                <w:szCs w:val="16"/>
              </w:rPr>
            </w:pPr>
            <w:r w:rsidRPr="00081B6A">
              <w:rPr>
                <w:rFonts w:ascii="Arial" w:hAnsi="Arial" w:cs="Arial"/>
                <w:sz w:val="16"/>
                <w:szCs w:val="16"/>
              </w:rPr>
              <w:t>2024</w:t>
            </w:r>
            <w:r w:rsidRPr="00081B6A">
              <w:rPr>
                <w:rFonts w:ascii="Calibri" w:hAnsi="Calibri" w:cs="Calibri"/>
                <w:sz w:val="16"/>
                <w:szCs w:val="16"/>
              </w:rPr>
              <w:t>–</w:t>
            </w:r>
            <w:r w:rsidRPr="00081B6A">
              <w:rPr>
                <w:rFonts w:ascii="Arial" w:hAnsi="Arial" w:cs="Arial"/>
                <w:sz w:val="16"/>
                <w:szCs w:val="16"/>
              </w:rPr>
              <w:t>25</w:t>
            </w:r>
          </w:p>
        </w:tc>
        <w:tc>
          <w:tcPr>
            <w:tcW w:w="585" w:type="pct"/>
            <w:tcBorders>
              <w:top w:val="nil"/>
              <w:left w:val="nil"/>
              <w:bottom w:val="single" w:sz="4" w:space="0" w:color="auto"/>
              <w:right w:val="nil"/>
            </w:tcBorders>
            <w:shd w:val="clear" w:color="000000" w:fill="FFFFFF"/>
            <w:noWrap/>
            <w:vAlign w:val="bottom"/>
            <w:hideMark/>
          </w:tcPr>
          <w:p w14:paraId="74754D93" w14:textId="77777777" w:rsidR="00081B6A" w:rsidRPr="00081B6A" w:rsidRDefault="00081B6A" w:rsidP="00081B6A">
            <w:pPr>
              <w:spacing w:before="0" w:after="0" w:line="240" w:lineRule="auto"/>
              <w:jc w:val="center"/>
              <w:rPr>
                <w:rFonts w:ascii="Arial" w:hAnsi="Arial" w:cs="Arial"/>
                <w:sz w:val="16"/>
                <w:szCs w:val="16"/>
              </w:rPr>
            </w:pPr>
            <w:r w:rsidRPr="00081B6A">
              <w:rPr>
                <w:rFonts w:ascii="Arial" w:hAnsi="Arial" w:cs="Arial"/>
                <w:sz w:val="16"/>
                <w:szCs w:val="16"/>
              </w:rPr>
              <w:t>2025</w:t>
            </w:r>
            <w:r w:rsidRPr="00081B6A">
              <w:rPr>
                <w:rFonts w:ascii="Calibri" w:hAnsi="Calibri" w:cs="Calibri"/>
                <w:sz w:val="16"/>
                <w:szCs w:val="16"/>
              </w:rPr>
              <w:t>–</w:t>
            </w:r>
            <w:r w:rsidRPr="00081B6A">
              <w:rPr>
                <w:rFonts w:ascii="Arial" w:hAnsi="Arial" w:cs="Arial"/>
                <w:sz w:val="16"/>
                <w:szCs w:val="16"/>
              </w:rPr>
              <w:t>26</w:t>
            </w:r>
          </w:p>
        </w:tc>
        <w:tc>
          <w:tcPr>
            <w:tcW w:w="585" w:type="pct"/>
            <w:tcBorders>
              <w:top w:val="nil"/>
              <w:left w:val="nil"/>
              <w:bottom w:val="single" w:sz="4" w:space="0" w:color="auto"/>
              <w:right w:val="nil"/>
            </w:tcBorders>
            <w:shd w:val="clear" w:color="000000" w:fill="FFFFFF"/>
            <w:noWrap/>
            <w:vAlign w:val="bottom"/>
            <w:hideMark/>
          </w:tcPr>
          <w:p w14:paraId="532DEFD2" w14:textId="77777777" w:rsidR="00081B6A" w:rsidRPr="00081B6A" w:rsidRDefault="00081B6A" w:rsidP="00081B6A">
            <w:pPr>
              <w:spacing w:before="0" w:after="0" w:line="240" w:lineRule="auto"/>
              <w:jc w:val="center"/>
              <w:rPr>
                <w:rFonts w:ascii="Arial" w:hAnsi="Arial" w:cs="Arial"/>
                <w:sz w:val="16"/>
                <w:szCs w:val="16"/>
              </w:rPr>
            </w:pPr>
            <w:r w:rsidRPr="00081B6A">
              <w:rPr>
                <w:rFonts w:ascii="Arial" w:hAnsi="Arial" w:cs="Arial"/>
                <w:sz w:val="16"/>
                <w:szCs w:val="16"/>
              </w:rPr>
              <w:t>2026</w:t>
            </w:r>
            <w:r w:rsidRPr="00081B6A">
              <w:rPr>
                <w:rFonts w:ascii="Calibri" w:hAnsi="Calibri" w:cs="Calibri"/>
                <w:sz w:val="16"/>
                <w:szCs w:val="16"/>
              </w:rPr>
              <w:t>–</w:t>
            </w:r>
            <w:r w:rsidRPr="00081B6A">
              <w:rPr>
                <w:rFonts w:ascii="Arial" w:hAnsi="Arial" w:cs="Arial"/>
                <w:sz w:val="16"/>
                <w:szCs w:val="16"/>
              </w:rPr>
              <w:t>27</w:t>
            </w:r>
          </w:p>
        </w:tc>
        <w:tc>
          <w:tcPr>
            <w:tcW w:w="585" w:type="pct"/>
            <w:tcBorders>
              <w:top w:val="nil"/>
              <w:left w:val="nil"/>
              <w:bottom w:val="single" w:sz="4" w:space="0" w:color="auto"/>
              <w:right w:val="nil"/>
            </w:tcBorders>
            <w:shd w:val="clear" w:color="000000" w:fill="FFFFFF"/>
            <w:noWrap/>
            <w:vAlign w:val="bottom"/>
            <w:hideMark/>
          </w:tcPr>
          <w:p w14:paraId="24562907" w14:textId="77777777" w:rsidR="00081B6A" w:rsidRPr="00081B6A" w:rsidRDefault="00081B6A" w:rsidP="00081B6A">
            <w:pPr>
              <w:spacing w:before="0" w:after="0" w:line="240" w:lineRule="auto"/>
              <w:jc w:val="center"/>
              <w:rPr>
                <w:rFonts w:ascii="Arial" w:hAnsi="Arial" w:cs="Arial"/>
                <w:sz w:val="16"/>
                <w:szCs w:val="16"/>
              </w:rPr>
            </w:pPr>
            <w:r w:rsidRPr="00081B6A">
              <w:rPr>
                <w:rFonts w:ascii="Arial" w:hAnsi="Arial" w:cs="Arial"/>
                <w:sz w:val="16"/>
                <w:szCs w:val="16"/>
              </w:rPr>
              <w:t>2027</w:t>
            </w:r>
            <w:r w:rsidRPr="00081B6A">
              <w:rPr>
                <w:rFonts w:ascii="Calibri" w:hAnsi="Calibri" w:cs="Calibri"/>
                <w:sz w:val="16"/>
                <w:szCs w:val="16"/>
              </w:rPr>
              <w:t>–</w:t>
            </w:r>
            <w:r w:rsidRPr="00081B6A">
              <w:rPr>
                <w:rFonts w:ascii="Arial" w:hAnsi="Arial" w:cs="Arial"/>
                <w:sz w:val="16"/>
                <w:szCs w:val="16"/>
              </w:rPr>
              <w:t>28</w:t>
            </w:r>
          </w:p>
        </w:tc>
      </w:tr>
      <w:tr w:rsidR="00081B6A" w:rsidRPr="00081B6A" w14:paraId="51E3A3AA"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35CD9319"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E6F2FF"/>
            <w:noWrap/>
            <w:vAlign w:val="center"/>
            <w:hideMark/>
          </w:tcPr>
          <w:p w14:paraId="2A9107CA"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18E4A4D4"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169427B1"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4CC38080"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0325881E"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r>
      <w:tr w:rsidR="00081B6A" w:rsidRPr="00081B6A" w14:paraId="0C7C55E6"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250A9684" w14:textId="77777777" w:rsidR="00081B6A" w:rsidRPr="00081B6A" w:rsidRDefault="00081B6A" w:rsidP="00081B6A">
            <w:pPr>
              <w:spacing w:before="0" w:after="0" w:line="240" w:lineRule="auto"/>
              <w:rPr>
                <w:rFonts w:ascii="Arial" w:hAnsi="Arial" w:cs="Arial"/>
                <w:b/>
                <w:bCs/>
                <w:sz w:val="16"/>
                <w:szCs w:val="16"/>
              </w:rPr>
            </w:pPr>
            <w:r w:rsidRPr="00081B6A">
              <w:rPr>
                <w:rFonts w:ascii="Arial" w:hAnsi="Arial" w:cs="Arial"/>
                <w:b/>
                <w:bCs/>
                <w:sz w:val="16"/>
                <w:szCs w:val="16"/>
              </w:rPr>
              <w:t xml:space="preserve">Revenue parameters </w:t>
            </w:r>
          </w:p>
        </w:tc>
        <w:tc>
          <w:tcPr>
            <w:tcW w:w="585" w:type="pct"/>
            <w:tcBorders>
              <w:top w:val="nil"/>
              <w:left w:val="nil"/>
              <w:bottom w:val="nil"/>
              <w:right w:val="nil"/>
            </w:tcBorders>
            <w:shd w:val="clear" w:color="000000" w:fill="E6F2FF"/>
            <w:noWrap/>
            <w:vAlign w:val="bottom"/>
            <w:hideMark/>
          </w:tcPr>
          <w:p w14:paraId="223D03B2"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19C390EB"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7E9B4542"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25BCF688"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5D4A7521"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r>
      <w:tr w:rsidR="00081B6A" w:rsidRPr="00081B6A" w14:paraId="1AFF6B25"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18F8030B"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Nominal gross domestic product</w:t>
            </w:r>
          </w:p>
        </w:tc>
        <w:tc>
          <w:tcPr>
            <w:tcW w:w="585" w:type="pct"/>
            <w:tcBorders>
              <w:top w:val="nil"/>
              <w:left w:val="nil"/>
              <w:bottom w:val="nil"/>
              <w:right w:val="nil"/>
            </w:tcBorders>
            <w:shd w:val="clear" w:color="000000" w:fill="E6F2FF"/>
            <w:noWrap/>
            <w:vAlign w:val="bottom"/>
            <w:hideMark/>
          </w:tcPr>
          <w:p w14:paraId="7D997018"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4.1</w:t>
            </w:r>
          </w:p>
        </w:tc>
        <w:tc>
          <w:tcPr>
            <w:tcW w:w="585" w:type="pct"/>
            <w:tcBorders>
              <w:top w:val="nil"/>
              <w:left w:val="nil"/>
              <w:bottom w:val="nil"/>
              <w:right w:val="nil"/>
            </w:tcBorders>
            <w:shd w:val="clear" w:color="000000" w:fill="FFFFFF"/>
            <w:noWrap/>
            <w:vAlign w:val="bottom"/>
            <w:hideMark/>
          </w:tcPr>
          <w:p w14:paraId="026E4448"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3 1/4</w:t>
            </w:r>
          </w:p>
        </w:tc>
        <w:tc>
          <w:tcPr>
            <w:tcW w:w="585" w:type="pct"/>
            <w:tcBorders>
              <w:top w:val="nil"/>
              <w:left w:val="nil"/>
              <w:bottom w:val="nil"/>
              <w:right w:val="nil"/>
            </w:tcBorders>
            <w:shd w:val="clear" w:color="000000" w:fill="FFFFFF"/>
            <w:noWrap/>
            <w:vAlign w:val="bottom"/>
            <w:hideMark/>
          </w:tcPr>
          <w:p w14:paraId="5B3E1F7F"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3 1/2</w:t>
            </w:r>
          </w:p>
        </w:tc>
        <w:tc>
          <w:tcPr>
            <w:tcW w:w="585" w:type="pct"/>
            <w:tcBorders>
              <w:top w:val="nil"/>
              <w:left w:val="nil"/>
              <w:bottom w:val="nil"/>
              <w:right w:val="nil"/>
            </w:tcBorders>
            <w:shd w:val="clear" w:color="000000" w:fill="FFFFFF"/>
            <w:noWrap/>
            <w:vAlign w:val="bottom"/>
            <w:hideMark/>
          </w:tcPr>
          <w:p w14:paraId="794B44D2"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5    </w:t>
            </w:r>
          </w:p>
        </w:tc>
        <w:tc>
          <w:tcPr>
            <w:tcW w:w="585" w:type="pct"/>
            <w:tcBorders>
              <w:top w:val="nil"/>
              <w:left w:val="nil"/>
              <w:bottom w:val="nil"/>
              <w:right w:val="nil"/>
            </w:tcBorders>
            <w:shd w:val="clear" w:color="000000" w:fill="FFFFFF"/>
            <w:noWrap/>
            <w:vAlign w:val="bottom"/>
            <w:hideMark/>
          </w:tcPr>
          <w:p w14:paraId="579C1C88"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5 1/2</w:t>
            </w:r>
          </w:p>
        </w:tc>
      </w:tr>
      <w:tr w:rsidR="00081B6A" w:rsidRPr="00081B6A" w14:paraId="576F3693"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53BE26D5" w14:textId="77777777" w:rsidR="00081B6A" w:rsidRPr="00081B6A" w:rsidRDefault="00081B6A" w:rsidP="000B56C9">
            <w:pPr>
              <w:spacing w:before="0" w:after="0" w:line="240" w:lineRule="auto"/>
              <w:ind w:left="340"/>
              <w:rPr>
                <w:rFonts w:ascii="Arial" w:hAnsi="Arial" w:cs="Arial"/>
                <w:color w:val="000000"/>
                <w:sz w:val="16"/>
                <w:szCs w:val="16"/>
              </w:rPr>
            </w:pPr>
            <w:r w:rsidRPr="00081B6A">
              <w:rPr>
                <w:rFonts w:ascii="Arial" w:hAnsi="Arial" w:cs="Arial"/>
                <w:color w:val="000000"/>
                <w:sz w:val="16"/>
                <w:szCs w:val="16"/>
              </w:rPr>
              <w:t>Change since 2024</w:t>
            </w:r>
            <w:r w:rsidRPr="00081B6A">
              <w:rPr>
                <w:rFonts w:ascii="Calibri" w:hAnsi="Calibri" w:cs="Calibri"/>
                <w:color w:val="000000"/>
                <w:sz w:val="16"/>
                <w:szCs w:val="16"/>
              </w:rPr>
              <w:t>–</w:t>
            </w:r>
            <w:r w:rsidRPr="00081B6A">
              <w:rPr>
                <w:rFonts w:ascii="Arial" w:hAnsi="Arial" w:cs="Arial"/>
                <w:color w:val="000000"/>
                <w:sz w:val="16"/>
                <w:szCs w:val="16"/>
              </w:rPr>
              <w:t>25 Budget</w:t>
            </w:r>
          </w:p>
        </w:tc>
        <w:tc>
          <w:tcPr>
            <w:tcW w:w="585" w:type="pct"/>
            <w:tcBorders>
              <w:top w:val="nil"/>
              <w:left w:val="nil"/>
              <w:bottom w:val="nil"/>
              <w:right w:val="nil"/>
            </w:tcBorders>
            <w:shd w:val="clear" w:color="000000" w:fill="E6F2FF"/>
            <w:noWrap/>
            <w:vAlign w:val="bottom"/>
            <w:hideMark/>
          </w:tcPr>
          <w:p w14:paraId="40E4A2A7"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1E40C260"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1/2</w:t>
            </w:r>
          </w:p>
        </w:tc>
        <w:tc>
          <w:tcPr>
            <w:tcW w:w="585" w:type="pct"/>
            <w:tcBorders>
              <w:top w:val="nil"/>
              <w:left w:val="nil"/>
              <w:bottom w:val="nil"/>
              <w:right w:val="nil"/>
            </w:tcBorders>
            <w:shd w:val="clear" w:color="000000" w:fill="FFFFFF"/>
            <w:noWrap/>
            <w:vAlign w:val="bottom"/>
            <w:hideMark/>
          </w:tcPr>
          <w:p w14:paraId="356DB152"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1/2</w:t>
            </w:r>
          </w:p>
        </w:tc>
        <w:tc>
          <w:tcPr>
            <w:tcW w:w="585" w:type="pct"/>
            <w:tcBorders>
              <w:top w:val="nil"/>
              <w:left w:val="nil"/>
              <w:bottom w:val="nil"/>
              <w:right w:val="nil"/>
            </w:tcBorders>
            <w:shd w:val="clear" w:color="000000" w:fill="FFFFFF"/>
            <w:noWrap/>
            <w:vAlign w:val="bottom"/>
            <w:hideMark/>
          </w:tcPr>
          <w:p w14:paraId="4C386577"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1/4</w:t>
            </w:r>
          </w:p>
        </w:tc>
        <w:tc>
          <w:tcPr>
            <w:tcW w:w="585" w:type="pct"/>
            <w:tcBorders>
              <w:top w:val="nil"/>
              <w:left w:val="nil"/>
              <w:bottom w:val="nil"/>
              <w:right w:val="nil"/>
            </w:tcBorders>
            <w:shd w:val="clear" w:color="000000" w:fill="FFFFFF"/>
            <w:noWrap/>
            <w:vAlign w:val="bottom"/>
            <w:hideMark/>
          </w:tcPr>
          <w:p w14:paraId="2A99556E"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1/4</w:t>
            </w:r>
          </w:p>
        </w:tc>
      </w:tr>
      <w:tr w:rsidR="00081B6A" w:rsidRPr="00081B6A" w14:paraId="3249E89B" w14:textId="77777777" w:rsidTr="000B56C9">
        <w:trPr>
          <w:trHeight w:hRule="exact" w:val="60"/>
        </w:trPr>
        <w:tc>
          <w:tcPr>
            <w:tcW w:w="2073" w:type="pct"/>
            <w:tcBorders>
              <w:top w:val="nil"/>
              <w:left w:val="nil"/>
              <w:bottom w:val="nil"/>
              <w:right w:val="nil"/>
            </w:tcBorders>
            <w:shd w:val="clear" w:color="000000" w:fill="FFFFFF"/>
            <w:noWrap/>
            <w:vAlign w:val="center"/>
            <w:hideMark/>
          </w:tcPr>
          <w:p w14:paraId="608D8888"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 </w:t>
            </w:r>
          </w:p>
        </w:tc>
        <w:tc>
          <w:tcPr>
            <w:tcW w:w="585" w:type="pct"/>
            <w:tcBorders>
              <w:top w:val="nil"/>
              <w:left w:val="nil"/>
              <w:bottom w:val="nil"/>
              <w:right w:val="nil"/>
            </w:tcBorders>
            <w:shd w:val="clear" w:color="000000" w:fill="E6F2FF"/>
            <w:noWrap/>
            <w:vAlign w:val="bottom"/>
            <w:hideMark/>
          </w:tcPr>
          <w:p w14:paraId="30BBAF29"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2B3B84FF"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256A00F5"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6EB37411"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7578B1CC"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r>
      <w:tr w:rsidR="00081B6A" w:rsidRPr="00081B6A" w14:paraId="17E201CB"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586D41C6"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Compensation of employees (b)</w:t>
            </w:r>
          </w:p>
        </w:tc>
        <w:tc>
          <w:tcPr>
            <w:tcW w:w="585" w:type="pct"/>
            <w:tcBorders>
              <w:top w:val="nil"/>
              <w:left w:val="nil"/>
              <w:bottom w:val="nil"/>
              <w:right w:val="nil"/>
            </w:tcBorders>
            <w:shd w:val="clear" w:color="000000" w:fill="E6F2FF"/>
            <w:noWrap/>
            <w:vAlign w:val="bottom"/>
            <w:hideMark/>
          </w:tcPr>
          <w:p w14:paraId="72811CFF"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7.5</w:t>
            </w:r>
          </w:p>
        </w:tc>
        <w:tc>
          <w:tcPr>
            <w:tcW w:w="585" w:type="pct"/>
            <w:tcBorders>
              <w:top w:val="nil"/>
              <w:left w:val="nil"/>
              <w:bottom w:val="nil"/>
              <w:right w:val="nil"/>
            </w:tcBorders>
            <w:shd w:val="clear" w:color="000000" w:fill="FFFFFF"/>
            <w:noWrap/>
            <w:vAlign w:val="bottom"/>
            <w:hideMark/>
          </w:tcPr>
          <w:p w14:paraId="5E425B32"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5    </w:t>
            </w:r>
          </w:p>
        </w:tc>
        <w:tc>
          <w:tcPr>
            <w:tcW w:w="585" w:type="pct"/>
            <w:tcBorders>
              <w:top w:val="nil"/>
              <w:left w:val="nil"/>
              <w:bottom w:val="nil"/>
              <w:right w:val="nil"/>
            </w:tcBorders>
            <w:shd w:val="clear" w:color="000000" w:fill="FFFFFF"/>
            <w:noWrap/>
            <w:vAlign w:val="bottom"/>
            <w:hideMark/>
          </w:tcPr>
          <w:p w14:paraId="32B1710B"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4 1/4</w:t>
            </w:r>
          </w:p>
        </w:tc>
        <w:tc>
          <w:tcPr>
            <w:tcW w:w="585" w:type="pct"/>
            <w:tcBorders>
              <w:top w:val="nil"/>
              <w:left w:val="nil"/>
              <w:bottom w:val="nil"/>
              <w:right w:val="nil"/>
            </w:tcBorders>
            <w:shd w:val="clear" w:color="000000" w:fill="FFFFFF"/>
            <w:noWrap/>
            <w:vAlign w:val="bottom"/>
            <w:hideMark/>
          </w:tcPr>
          <w:p w14:paraId="5C4A91B4"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4 3/4</w:t>
            </w:r>
          </w:p>
        </w:tc>
        <w:tc>
          <w:tcPr>
            <w:tcW w:w="585" w:type="pct"/>
            <w:tcBorders>
              <w:top w:val="nil"/>
              <w:left w:val="nil"/>
              <w:bottom w:val="nil"/>
              <w:right w:val="nil"/>
            </w:tcBorders>
            <w:shd w:val="clear" w:color="000000" w:fill="FFFFFF"/>
            <w:noWrap/>
            <w:vAlign w:val="bottom"/>
            <w:hideMark/>
          </w:tcPr>
          <w:p w14:paraId="33C49702"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5 1/4</w:t>
            </w:r>
          </w:p>
        </w:tc>
      </w:tr>
      <w:tr w:rsidR="00081B6A" w:rsidRPr="00081B6A" w14:paraId="4D31E7DA"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546B88F5" w14:textId="77777777" w:rsidR="00081B6A" w:rsidRPr="00081B6A" w:rsidRDefault="00081B6A" w:rsidP="000B56C9">
            <w:pPr>
              <w:spacing w:before="0" w:after="0" w:line="240" w:lineRule="auto"/>
              <w:ind w:left="340"/>
              <w:rPr>
                <w:rFonts w:ascii="Arial" w:hAnsi="Arial" w:cs="Arial"/>
                <w:color w:val="000000"/>
                <w:sz w:val="16"/>
                <w:szCs w:val="16"/>
              </w:rPr>
            </w:pPr>
            <w:r w:rsidRPr="00081B6A">
              <w:rPr>
                <w:rFonts w:ascii="Arial" w:hAnsi="Arial" w:cs="Arial"/>
                <w:color w:val="000000"/>
                <w:sz w:val="16"/>
                <w:szCs w:val="16"/>
              </w:rPr>
              <w:t>Change since 2024</w:t>
            </w:r>
            <w:r w:rsidRPr="00081B6A">
              <w:rPr>
                <w:rFonts w:ascii="Calibri" w:hAnsi="Calibri" w:cs="Calibri"/>
                <w:color w:val="000000"/>
                <w:sz w:val="16"/>
                <w:szCs w:val="16"/>
              </w:rPr>
              <w:t>–</w:t>
            </w:r>
            <w:r w:rsidRPr="00081B6A">
              <w:rPr>
                <w:rFonts w:ascii="Arial" w:hAnsi="Arial" w:cs="Arial"/>
                <w:color w:val="000000"/>
                <w:sz w:val="16"/>
                <w:szCs w:val="16"/>
              </w:rPr>
              <w:t>25 Budget</w:t>
            </w:r>
          </w:p>
        </w:tc>
        <w:tc>
          <w:tcPr>
            <w:tcW w:w="585" w:type="pct"/>
            <w:tcBorders>
              <w:top w:val="nil"/>
              <w:left w:val="nil"/>
              <w:bottom w:val="nil"/>
              <w:right w:val="nil"/>
            </w:tcBorders>
            <w:shd w:val="clear" w:color="000000" w:fill="E6F2FF"/>
            <w:noWrap/>
            <w:vAlign w:val="bottom"/>
            <w:hideMark/>
          </w:tcPr>
          <w:p w14:paraId="3C721265"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7F387C09"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3/4</w:t>
            </w:r>
          </w:p>
        </w:tc>
        <w:tc>
          <w:tcPr>
            <w:tcW w:w="585" w:type="pct"/>
            <w:tcBorders>
              <w:top w:val="nil"/>
              <w:left w:val="nil"/>
              <w:bottom w:val="nil"/>
              <w:right w:val="nil"/>
            </w:tcBorders>
            <w:shd w:val="clear" w:color="000000" w:fill="FFFFFF"/>
            <w:noWrap/>
            <w:vAlign w:val="bottom"/>
            <w:hideMark/>
          </w:tcPr>
          <w:p w14:paraId="34FB732F"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0    </w:t>
            </w:r>
          </w:p>
        </w:tc>
        <w:tc>
          <w:tcPr>
            <w:tcW w:w="585" w:type="pct"/>
            <w:tcBorders>
              <w:top w:val="nil"/>
              <w:left w:val="nil"/>
              <w:bottom w:val="nil"/>
              <w:right w:val="nil"/>
            </w:tcBorders>
            <w:shd w:val="clear" w:color="000000" w:fill="FFFFFF"/>
            <w:noWrap/>
            <w:vAlign w:val="bottom"/>
            <w:hideMark/>
          </w:tcPr>
          <w:p w14:paraId="2D7EAD1D"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1/4</w:t>
            </w:r>
          </w:p>
        </w:tc>
        <w:tc>
          <w:tcPr>
            <w:tcW w:w="585" w:type="pct"/>
            <w:tcBorders>
              <w:top w:val="nil"/>
              <w:left w:val="nil"/>
              <w:bottom w:val="nil"/>
              <w:right w:val="nil"/>
            </w:tcBorders>
            <w:shd w:val="clear" w:color="000000" w:fill="FFFFFF"/>
            <w:noWrap/>
            <w:vAlign w:val="bottom"/>
            <w:hideMark/>
          </w:tcPr>
          <w:p w14:paraId="6FC3FF9C"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0    </w:t>
            </w:r>
          </w:p>
        </w:tc>
      </w:tr>
      <w:tr w:rsidR="00081B6A" w:rsidRPr="00081B6A" w14:paraId="406ABDB2" w14:textId="77777777" w:rsidTr="000B56C9">
        <w:trPr>
          <w:trHeight w:hRule="exact" w:val="60"/>
        </w:trPr>
        <w:tc>
          <w:tcPr>
            <w:tcW w:w="2073" w:type="pct"/>
            <w:tcBorders>
              <w:top w:val="nil"/>
              <w:left w:val="nil"/>
              <w:bottom w:val="nil"/>
              <w:right w:val="nil"/>
            </w:tcBorders>
            <w:shd w:val="clear" w:color="000000" w:fill="FFFFFF"/>
            <w:noWrap/>
            <w:vAlign w:val="center"/>
            <w:hideMark/>
          </w:tcPr>
          <w:p w14:paraId="0E986A7E"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 </w:t>
            </w:r>
          </w:p>
        </w:tc>
        <w:tc>
          <w:tcPr>
            <w:tcW w:w="585" w:type="pct"/>
            <w:tcBorders>
              <w:top w:val="nil"/>
              <w:left w:val="nil"/>
              <w:bottom w:val="nil"/>
              <w:right w:val="nil"/>
            </w:tcBorders>
            <w:shd w:val="clear" w:color="000000" w:fill="E6F2FF"/>
            <w:noWrap/>
            <w:vAlign w:val="bottom"/>
            <w:hideMark/>
          </w:tcPr>
          <w:p w14:paraId="083A2484"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39978D08"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060A44C6"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52FD23BD"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5450F242"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r>
      <w:tr w:rsidR="00081B6A" w:rsidRPr="00081B6A" w14:paraId="0BDAAE1A"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59FC28D5"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 xml:space="preserve">Corporate gross operating surplus (c) </w:t>
            </w:r>
          </w:p>
        </w:tc>
        <w:tc>
          <w:tcPr>
            <w:tcW w:w="585" w:type="pct"/>
            <w:tcBorders>
              <w:top w:val="nil"/>
              <w:left w:val="nil"/>
              <w:bottom w:val="nil"/>
              <w:right w:val="nil"/>
            </w:tcBorders>
            <w:shd w:val="clear" w:color="000000" w:fill="E6F2FF"/>
            <w:noWrap/>
            <w:vAlign w:val="bottom"/>
            <w:hideMark/>
          </w:tcPr>
          <w:p w14:paraId="39B7650C"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3.3</w:t>
            </w:r>
          </w:p>
        </w:tc>
        <w:tc>
          <w:tcPr>
            <w:tcW w:w="585" w:type="pct"/>
            <w:tcBorders>
              <w:top w:val="nil"/>
              <w:left w:val="nil"/>
              <w:bottom w:val="nil"/>
              <w:right w:val="nil"/>
            </w:tcBorders>
            <w:shd w:val="clear" w:color="000000" w:fill="FFFFFF"/>
            <w:noWrap/>
            <w:vAlign w:val="bottom"/>
            <w:hideMark/>
          </w:tcPr>
          <w:p w14:paraId="4BAC45E4"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2    </w:t>
            </w:r>
          </w:p>
        </w:tc>
        <w:tc>
          <w:tcPr>
            <w:tcW w:w="585" w:type="pct"/>
            <w:tcBorders>
              <w:top w:val="nil"/>
              <w:left w:val="nil"/>
              <w:bottom w:val="nil"/>
              <w:right w:val="nil"/>
            </w:tcBorders>
            <w:shd w:val="clear" w:color="000000" w:fill="FFFFFF"/>
            <w:noWrap/>
            <w:vAlign w:val="bottom"/>
            <w:hideMark/>
          </w:tcPr>
          <w:p w14:paraId="2B020F13"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1/2</w:t>
            </w:r>
          </w:p>
        </w:tc>
        <w:tc>
          <w:tcPr>
            <w:tcW w:w="585" w:type="pct"/>
            <w:tcBorders>
              <w:top w:val="nil"/>
              <w:left w:val="nil"/>
              <w:bottom w:val="nil"/>
              <w:right w:val="nil"/>
            </w:tcBorders>
            <w:shd w:val="clear" w:color="000000" w:fill="FFFFFF"/>
            <w:noWrap/>
            <w:vAlign w:val="bottom"/>
            <w:hideMark/>
          </w:tcPr>
          <w:p w14:paraId="09091E2D"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4    </w:t>
            </w:r>
          </w:p>
        </w:tc>
        <w:tc>
          <w:tcPr>
            <w:tcW w:w="585" w:type="pct"/>
            <w:tcBorders>
              <w:top w:val="nil"/>
              <w:left w:val="nil"/>
              <w:bottom w:val="nil"/>
              <w:right w:val="nil"/>
            </w:tcBorders>
            <w:shd w:val="clear" w:color="000000" w:fill="FFFFFF"/>
            <w:noWrap/>
            <w:vAlign w:val="bottom"/>
            <w:hideMark/>
          </w:tcPr>
          <w:p w14:paraId="3DD768C2"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5 1/4</w:t>
            </w:r>
          </w:p>
        </w:tc>
      </w:tr>
      <w:tr w:rsidR="00081B6A" w:rsidRPr="00081B6A" w14:paraId="1F3D36A3"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5F55C3D5" w14:textId="77777777" w:rsidR="00081B6A" w:rsidRPr="00081B6A" w:rsidRDefault="00081B6A" w:rsidP="000B56C9">
            <w:pPr>
              <w:spacing w:before="0" w:after="0" w:line="240" w:lineRule="auto"/>
              <w:ind w:left="340"/>
              <w:rPr>
                <w:rFonts w:ascii="Arial" w:hAnsi="Arial" w:cs="Arial"/>
                <w:color w:val="000000"/>
                <w:sz w:val="16"/>
                <w:szCs w:val="16"/>
              </w:rPr>
            </w:pPr>
            <w:r w:rsidRPr="00081B6A">
              <w:rPr>
                <w:rFonts w:ascii="Arial" w:hAnsi="Arial" w:cs="Arial"/>
                <w:color w:val="000000"/>
                <w:sz w:val="16"/>
                <w:szCs w:val="16"/>
              </w:rPr>
              <w:t>Change since 2024</w:t>
            </w:r>
            <w:r w:rsidRPr="00081B6A">
              <w:rPr>
                <w:rFonts w:ascii="Calibri" w:hAnsi="Calibri" w:cs="Calibri"/>
                <w:color w:val="000000"/>
                <w:sz w:val="16"/>
                <w:szCs w:val="16"/>
              </w:rPr>
              <w:t>–</w:t>
            </w:r>
            <w:r w:rsidRPr="00081B6A">
              <w:rPr>
                <w:rFonts w:ascii="Arial" w:hAnsi="Arial" w:cs="Arial"/>
                <w:color w:val="000000"/>
                <w:sz w:val="16"/>
                <w:szCs w:val="16"/>
              </w:rPr>
              <w:t>25 Budget</w:t>
            </w:r>
          </w:p>
        </w:tc>
        <w:tc>
          <w:tcPr>
            <w:tcW w:w="585" w:type="pct"/>
            <w:tcBorders>
              <w:top w:val="nil"/>
              <w:left w:val="nil"/>
              <w:bottom w:val="nil"/>
              <w:right w:val="nil"/>
            </w:tcBorders>
            <w:shd w:val="clear" w:color="000000" w:fill="E6F2FF"/>
            <w:noWrap/>
            <w:vAlign w:val="bottom"/>
            <w:hideMark/>
          </w:tcPr>
          <w:p w14:paraId="7846988B"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4757085A"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2 3/4</w:t>
            </w:r>
          </w:p>
        </w:tc>
        <w:tc>
          <w:tcPr>
            <w:tcW w:w="585" w:type="pct"/>
            <w:tcBorders>
              <w:top w:val="nil"/>
              <w:left w:val="nil"/>
              <w:bottom w:val="nil"/>
              <w:right w:val="nil"/>
            </w:tcBorders>
            <w:shd w:val="clear" w:color="000000" w:fill="FFFFFF"/>
            <w:noWrap/>
            <w:vAlign w:val="bottom"/>
            <w:hideMark/>
          </w:tcPr>
          <w:p w14:paraId="70E84846"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3/4</w:t>
            </w:r>
          </w:p>
        </w:tc>
        <w:tc>
          <w:tcPr>
            <w:tcW w:w="585" w:type="pct"/>
            <w:tcBorders>
              <w:top w:val="nil"/>
              <w:left w:val="nil"/>
              <w:bottom w:val="nil"/>
              <w:right w:val="nil"/>
            </w:tcBorders>
            <w:shd w:val="clear" w:color="000000" w:fill="FFFFFF"/>
            <w:noWrap/>
            <w:vAlign w:val="bottom"/>
            <w:hideMark/>
          </w:tcPr>
          <w:p w14:paraId="1A298EA2"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2    </w:t>
            </w:r>
          </w:p>
        </w:tc>
        <w:tc>
          <w:tcPr>
            <w:tcW w:w="585" w:type="pct"/>
            <w:tcBorders>
              <w:top w:val="nil"/>
              <w:left w:val="nil"/>
              <w:bottom w:val="nil"/>
              <w:right w:val="nil"/>
            </w:tcBorders>
            <w:shd w:val="clear" w:color="000000" w:fill="FFFFFF"/>
            <w:noWrap/>
            <w:vAlign w:val="bottom"/>
            <w:hideMark/>
          </w:tcPr>
          <w:p w14:paraId="4751913A"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1/4</w:t>
            </w:r>
          </w:p>
        </w:tc>
      </w:tr>
      <w:tr w:rsidR="00081B6A" w:rsidRPr="00081B6A" w14:paraId="30EAB754" w14:textId="77777777" w:rsidTr="000B56C9">
        <w:trPr>
          <w:trHeight w:hRule="exact" w:val="60"/>
        </w:trPr>
        <w:tc>
          <w:tcPr>
            <w:tcW w:w="2073" w:type="pct"/>
            <w:tcBorders>
              <w:top w:val="nil"/>
              <w:left w:val="nil"/>
              <w:bottom w:val="nil"/>
              <w:right w:val="nil"/>
            </w:tcBorders>
            <w:shd w:val="clear" w:color="000000" w:fill="FFFFFF"/>
            <w:noWrap/>
            <w:vAlign w:val="center"/>
            <w:hideMark/>
          </w:tcPr>
          <w:p w14:paraId="0A65D985"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 </w:t>
            </w:r>
          </w:p>
        </w:tc>
        <w:tc>
          <w:tcPr>
            <w:tcW w:w="585" w:type="pct"/>
            <w:tcBorders>
              <w:top w:val="nil"/>
              <w:left w:val="nil"/>
              <w:bottom w:val="nil"/>
              <w:right w:val="nil"/>
            </w:tcBorders>
            <w:shd w:val="clear" w:color="000000" w:fill="E6F2FF"/>
            <w:noWrap/>
            <w:vAlign w:val="bottom"/>
            <w:hideMark/>
          </w:tcPr>
          <w:p w14:paraId="00566FAE"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0F0707B5"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1BBF65A7"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18AB70AC"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040E3A99"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r>
      <w:tr w:rsidR="00081B6A" w:rsidRPr="00081B6A" w14:paraId="72BC4F74"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3787F0C0"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Non</w:t>
            </w:r>
            <w:r w:rsidR="00331BDE">
              <w:rPr>
                <w:rFonts w:ascii="Arial" w:hAnsi="Arial" w:cs="Arial"/>
                <w:color w:val="000000"/>
                <w:sz w:val="16"/>
                <w:szCs w:val="16"/>
              </w:rPr>
              <w:noBreakHyphen/>
            </w:r>
            <w:r w:rsidRPr="00081B6A">
              <w:rPr>
                <w:rFonts w:ascii="Arial" w:hAnsi="Arial" w:cs="Arial"/>
                <w:color w:val="000000"/>
                <w:sz w:val="16"/>
                <w:szCs w:val="16"/>
              </w:rPr>
              <w:t>farm gross mixed income</w:t>
            </w:r>
          </w:p>
        </w:tc>
        <w:tc>
          <w:tcPr>
            <w:tcW w:w="585" w:type="pct"/>
            <w:tcBorders>
              <w:top w:val="nil"/>
              <w:left w:val="nil"/>
              <w:bottom w:val="nil"/>
              <w:right w:val="nil"/>
            </w:tcBorders>
            <w:shd w:val="clear" w:color="000000" w:fill="E6F2FF"/>
            <w:noWrap/>
            <w:vAlign w:val="bottom"/>
            <w:hideMark/>
          </w:tcPr>
          <w:p w14:paraId="752BCA6B"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0.1</w:t>
            </w:r>
          </w:p>
        </w:tc>
        <w:tc>
          <w:tcPr>
            <w:tcW w:w="585" w:type="pct"/>
            <w:tcBorders>
              <w:top w:val="nil"/>
              <w:left w:val="nil"/>
              <w:bottom w:val="nil"/>
              <w:right w:val="nil"/>
            </w:tcBorders>
            <w:shd w:val="clear" w:color="000000" w:fill="FFFFFF"/>
            <w:noWrap/>
            <w:vAlign w:val="bottom"/>
            <w:hideMark/>
          </w:tcPr>
          <w:p w14:paraId="2C014E74"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4 1/4</w:t>
            </w:r>
          </w:p>
        </w:tc>
        <w:tc>
          <w:tcPr>
            <w:tcW w:w="585" w:type="pct"/>
            <w:tcBorders>
              <w:top w:val="nil"/>
              <w:left w:val="nil"/>
              <w:bottom w:val="nil"/>
              <w:right w:val="nil"/>
            </w:tcBorders>
            <w:shd w:val="clear" w:color="000000" w:fill="FFFFFF"/>
            <w:noWrap/>
            <w:vAlign w:val="bottom"/>
            <w:hideMark/>
          </w:tcPr>
          <w:p w14:paraId="492B7B0D"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7    </w:t>
            </w:r>
          </w:p>
        </w:tc>
        <w:tc>
          <w:tcPr>
            <w:tcW w:w="585" w:type="pct"/>
            <w:tcBorders>
              <w:top w:val="nil"/>
              <w:left w:val="nil"/>
              <w:bottom w:val="nil"/>
              <w:right w:val="nil"/>
            </w:tcBorders>
            <w:shd w:val="clear" w:color="000000" w:fill="FFFFFF"/>
            <w:noWrap/>
            <w:vAlign w:val="bottom"/>
            <w:hideMark/>
          </w:tcPr>
          <w:p w14:paraId="241C836E"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7 3/4</w:t>
            </w:r>
          </w:p>
        </w:tc>
        <w:tc>
          <w:tcPr>
            <w:tcW w:w="585" w:type="pct"/>
            <w:tcBorders>
              <w:top w:val="nil"/>
              <w:left w:val="nil"/>
              <w:bottom w:val="nil"/>
              <w:right w:val="nil"/>
            </w:tcBorders>
            <w:shd w:val="clear" w:color="000000" w:fill="FFFFFF"/>
            <w:noWrap/>
            <w:vAlign w:val="bottom"/>
            <w:hideMark/>
          </w:tcPr>
          <w:p w14:paraId="74EAE767"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7    </w:t>
            </w:r>
          </w:p>
        </w:tc>
      </w:tr>
      <w:tr w:rsidR="00081B6A" w:rsidRPr="00081B6A" w14:paraId="76BBC78D"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3D410ADA" w14:textId="77777777" w:rsidR="00081B6A" w:rsidRPr="00081B6A" w:rsidRDefault="00081B6A" w:rsidP="000B56C9">
            <w:pPr>
              <w:spacing w:before="0" w:after="0" w:line="240" w:lineRule="auto"/>
              <w:ind w:left="340"/>
              <w:rPr>
                <w:rFonts w:ascii="Arial" w:hAnsi="Arial" w:cs="Arial"/>
                <w:color w:val="000000"/>
                <w:sz w:val="16"/>
                <w:szCs w:val="16"/>
              </w:rPr>
            </w:pPr>
            <w:r w:rsidRPr="00081B6A">
              <w:rPr>
                <w:rFonts w:ascii="Arial" w:hAnsi="Arial" w:cs="Arial"/>
                <w:color w:val="000000"/>
                <w:sz w:val="16"/>
                <w:szCs w:val="16"/>
              </w:rPr>
              <w:t>Change since 2024</w:t>
            </w:r>
            <w:r w:rsidRPr="00081B6A">
              <w:rPr>
                <w:rFonts w:ascii="Calibri" w:hAnsi="Calibri" w:cs="Calibri"/>
                <w:color w:val="000000"/>
                <w:sz w:val="16"/>
                <w:szCs w:val="16"/>
              </w:rPr>
              <w:t>–</w:t>
            </w:r>
            <w:r w:rsidRPr="00081B6A">
              <w:rPr>
                <w:rFonts w:ascii="Arial" w:hAnsi="Arial" w:cs="Arial"/>
                <w:color w:val="000000"/>
                <w:sz w:val="16"/>
                <w:szCs w:val="16"/>
              </w:rPr>
              <w:t>25 Budget</w:t>
            </w:r>
          </w:p>
        </w:tc>
        <w:tc>
          <w:tcPr>
            <w:tcW w:w="585" w:type="pct"/>
            <w:tcBorders>
              <w:top w:val="nil"/>
              <w:left w:val="nil"/>
              <w:bottom w:val="nil"/>
              <w:right w:val="nil"/>
            </w:tcBorders>
            <w:shd w:val="clear" w:color="000000" w:fill="E6F2FF"/>
            <w:noWrap/>
            <w:vAlign w:val="bottom"/>
            <w:hideMark/>
          </w:tcPr>
          <w:p w14:paraId="034A34D3"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50D93E25"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4 1/2</w:t>
            </w:r>
          </w:p>
        </w:tc>
        <w:tc>
          <w:tcPr>
            <w:tcW w:w="585" w:type="pct"/>
            <w:tcBorders>
              <w:top w:val="nil"/>
              <w:left w:val="nil"/>
              <w:bottom w:val="nil"/>
              <w:right w:val="nil"/>
            </w:tcBorders>
            <w:shd w:val="clear" w:color="000000" w:fill="FFFFFF"/>
            <w:noWrap/>
            <w:vAlign w:val="bottom"/>
            <w:hideMark/>
          </w:tcPr>
          <w:p w14:paraId="3931F3D3"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1/2</w:t>
            </w:r>
          </w:p>
        </w:tc>
        <w:tc>
          <w:tcPr>
            <w:tcW w:w="585" w:type="pct"/>
            <w:tcBorders>
              <w:top w:val="nil"/>
              <w:left w:val="nil"/>
              <w:bottom w:val="nil"/>
              <w:right w:val="nil"/>
            </w:tcBorders>
            <w:shd w:val="clear" w:color="000000" w:fill="FFFFFF"/>
            <w:noWrap/>
            <w:vAlign w:val="bottom"/>
            <w:hideMark/>
          </w:tcPr>
          <w:p w14:paraId="4C63C316"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1 1/4</w:t>
            </w:r>
          </w:p>
        </w:tc>
        <w:tc>
          <w:tcPr>
            <w:tcW w:w="585" w:type="pct"/>
            <w:tcBorders>
              <w:top w:val="nil"/>
              <w:left w:val="nil"/>
              <w:bottom w:val="nil"/>
              <w:right w:val="nil"/>
            </w:tcBorders>
            <w:shd w:val="clear" w:color="000000" w:fill="FFFFFF"/>
            <w:noWrap/>
            <w:vAlign w:val="bottom"/>
            <w:hideMark/>
          </w:tcPr>
          <w:p w14:paraId="2A40103D"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1/2</w:t>
            </w:r>
          </w:p>
        </w:tc>
      </w:tr>
      <w:tr w:rsidR="00081B6A" w:rsidRPr="00081B6A" w14:paraId="54A5FC05" w14:textId="77777777" w:rsidTr="000B56C9">
        <w:trPr>
          <w:trHeight w:hRule="exact" w:val="60"/>
        </w:trPr>
        <w:tc>
          <w:tcPr>
            <w:tcW w:w="2073" w:type="pct"/>
            <w:tcBorders>
              <w:top w:val="nil"/>
              <w:left w:val="nil"/>
              <w:bottom w:val="nil"/>
              <w:right w:val="nil"/>
            </w:tcBorders>
            <w:shd w:val="clear" w:color="000000" w:fill="FFFFFF"/>
            <w:noWrap/>
            <w:vAlign w:val="center"/>
            <w:hideMark/>
          </w:tcPr>
          <w:p w14:paraId="1CE372CC"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 </w:t>
            </w:r>
          </w:p>
        </w:tc>
        <w:tc>
          <w:tcPr>
            <w:tcW w:w="585" w:type="pct"/>
            <w:tcBorders>
              <w:top w:val="nil"/>
              <w:left w:val="nil"/>
              <w:bottom w:val="nil"/>
              <w:right w:val="nil"/>
            </w:tcBorders>
            <w:shd w:val="clear" w:color="000000" w:fill="E6F2FF"/>
            <w:noWrap/>
            <w:vAlign w:val="bottom"/>
            <w:hideMark/>
          </w:tcPr>
          <w:p w14:paraId="5CB7B846"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0F25502A"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258122F7"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6627310C"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089198F7"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r>
      <w:tr w:rsidR="00081B6A" w:rsidRPr="00081B6A" w14:paraId="2CE963D9"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7EC21FCF"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Property income (d)</w:t>
            </w:r>
          </w:p>
        </w:tc>
        <w:tc>
          <w:tcPr>
            <w:tcW w:w="585" w:type="pct"/>
            <w:tcBorders>
              <w:top w:val="nil"/>
              <w:left w:val="nil"/>
              <w:bottom w:val="nil"/>
              <w:right w:val="nil"/>
            </w:tcBorders>
            <w:shd w:val="clear" w:color="000000" w:fill="E6F2FF"/>
            <w:noWrap/>
            <w:vAlign w:val="bottom"/>
            <w:hideMark/>
          </w:tcPr>
          <w:p w14:paraId="784B39CA"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16.0</w:t>
            </w:r>
          </w:p>
        </w:tc>
        <w:tc>
          <w:tcPr>
            <w:tcW w:w="585" w:type="pct"/>
            <w:tcBorders>
              <w:top w:val="nil"/>
              <w:left w:val="nil"/>
              <w:bottom w:val="nil"/>
              <w:right w:val="nil"/>
            </w:tcBorders>
            <w:shd w:val="clear" w:color="000000" w:fill="FFFFFF"/>
            <w:noWrap/>
            <w:vAlign w:val="bottom"/>
            <w:hideMark/>
          </w:tcPr>
          <w:p w14:paraId="78F4E24E"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8    </w:t>
            </w:r>
          </w:p>
        </w:tc>
        <w:tc>
          <w:tcPr>
            <w:tcW w:w="585" w:type="pct"/>
            <w:tcBorders>
              <w:top w:val="nil"/>
              <w:left w:val="nil"/>
              <w:bottom w:val="nil"/>
              <w:right w:val="nil"/>
            </w:tcBorders>
            <w:shd w:val="clear" w:color="000000" w:fill="FFFFFF"/>
            <w:noWrap/>
            <w:vAlign w:val="bottom"/>
            <w:hideMark/>
          </w:tcPr>
          <w:p w14:paraId="659AC823"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3 1/2</w:t>
            </w:r>
          </w:p>
        </w:tc>
        <w:tc>
          <w:tcPr>
            <w:tcW w:w="585" w:type="pct"/>
            <w:tcBorders>
              <w:top w:val="nil"/>
              <w:left w:val="nil"/>
              <w:bottom w:val="nil"/>
              <w:right w:val="nil"/>
            </w:tcBorders>
            <w:shd w:val="clear" w:color="000000" w:fill="FFFFFF"/>
            <w:noWrap/>
            <w:vAlign w:val="bottom"/>
            <w:hideMark/>
          </w:tcPr>
          <w:p w14:paraId="7DFCE604"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4 1/2</w:t>
            </w:r>
          </w:p>
        </w:tc>
        <w:tc>
          <w:tcPr>
            <w:tcW w:w="585" w:type="pct"/>
            <w:tcBorders>
              <w:top w:val="nil"/>
              <w:left w:val="nil"/>
              <w:bottom w:val="nil"/>
              <w:right w:val="nil"/>
            </w:tcBorders>
            <w:shd w:val="clear" w:color="000000" w:fill="FFFFFF"/>
            <w:noWrap/>
            <w:vAlign w:val="bottom"/>
            <w:hideMark/>
          </w:tcPr>
          <w:p w14:paraId="6A111898"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4 3/4</w:t>
            </w:r>
          </w:p>
        </w:tc>
      </w:tr>
      <w:tr w:rsidR="00081B6A" w:rsidRPr="00081B6A" w14:paraId="212AAB54"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10A85380" w14:textId="77777777" w:rsidR="00081B6A" w:rsidRPr="00081B6A" w:rsidRDefault="00081B6A" w:rsidP="000B56C9">
            <w:pPr>
              <w:spacing w:before="0" w:after="0" w:line="240" w:lineRule="auto"/>
              <w:ind w:left="340"/>
              <w:rPr>
                <w:rFonts w:ascii="Arial" w:hAnsi="Arial" w:cs="Arial"/>
                <w:color w:val="000000"/>
                <w:sz w:val="16"/>
                <w:szCs w:val="16"/>
              </w:rPr>
            </w:pPr>
            <w:r w:rsidRPr="00081B6A">
              <w:rPr>
                <w:rFonts w:ascii="Arial" w:hAnsi="Arial" w:cs="Arial"/>
                <w:color w:val="000000"/>
                <w:sz w:val="16"/>
                <w:szCs w:val="16"/>
              </w:rPr>
              <w:t>Change since 2024</w:t>
            </w:r>
            <w:r w:rsidRPr="00081B6A">
              <w:rPr>
                <w:rFonts w:ascii="Calibri" w:hAnsi="Calibri" w:cs="Calibri"/>
                <w:color w:val="000000"/>
                <w:sz w:val="16"/>
                <w:szCs w:val="16"/>
              </w:rPr>
              <w:t>–</w:t>
            </w:r>
            <w:r w:rsidRPr="00081B6A">
              <w:rPr>
                <w:rFonts w:ascii="Arial" w:hAnsi="Arial" w:cs="Arial"/>
                <w:color w:val="000000"/>
                <w:sz w:val="16"/>
                <w:szCs w:val="16"/>
              </w:rPr>
              <w:t>25 Budget</w:t>
            </w:r>
          </w:p>
        </w:tc>
        <w:tc>
          <w:tcPr>
            <w:tcW w:w="585" w:type="pct"/>
            <w:tcBorders>
              <w:top w:val="nil"/>
              <w:left w:val="nil"/>
              <w:bottom w:val="nil"/>
              <w:right w:val="nil"/>
            </w:tcBorders>
            <w:shd w:val="clear" w:color="000000" w:fill="E6F2FF"/>
            <w:noWrap/>
            <w:vAlign w:val="bottom"/>
            <w:hideMark/>
          </w:tcPr>
          <w:p w14:paraId="24981CE9"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7A99CE17"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4    </w:t>
            </w:r>
          </w:p>
        </w:tc>
        <w:tc>
          <w:tcPr>
            <w:tcW w:w="585" w:type="pct"/>
            <w:tcBorders>
              <w:top w:val="nil"/>
              <w:left w:val="nil"/>
              <w:bottom w:val="nil"/>
              <w:right w:val="nil"/>
            </w:tcBorders>
            <w:shd w:val="clear" w:color="000000" w:fill="FFFFFF"/>
            <w:noWrap/>
            <w:vAlign w:val="bottom"/>
            <w:hideMark/>
          </w:tcPr>
          <w:p w14:paraId="79843213"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1/4</w:t>
            </w:r>
          </w:p>
        </w:tc>
        <w:tc>
          <w:tcPr>
            <w:tcW w:w="585" w:type="pct"/>
            <w:tcBorders>
              <w:top w:val="nil"/>
              <w:left w:val="nil"/>
              <w:bottom w:val="nil"/>
              <w:right w:val="nil"/>
            </w:tcBorders>
            <w:shd w:val="clear" w:color="000000" w:fill="FFFFFF"/>
            <w:noWrap/>
            <w:vAlign w:val="bottom"/>
            <w:hideMark/>
          </w:tcPr>
          <w:p w14:paraId="5F820E7E"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1 1/2</w:t>
            </w:r>
          </w:p>
        </w:tc>
        <w:tc>
          <w:tcPr>
            <w:tcW w:w="585" w:type="pct"/>
            <w:tcBorders>
              <w:top w:val="nil"/>
              <w:left w:val="nil"/>
              <w:bottom w:val="nil"/>
              <w:right w:val="nil"/>
            </w:tcBorders>
            <w:shd w:val="clear" w:color="000000" w:fill="FFFFFF"/>
            <w:noWrap/>
            <w:vAlign w:val="bottom"/>
            <w:hideMark/>
          </w:tcPr>
          <w:p w14:paraId="1B72E0E6"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1/2</w:t>
            </w:r>
          </w:p>
        </w:tc>
      </w:tr>
      <w:tr w:rsidR="00081B6A" w:rsidRPr="00081B6A" w14:paraId="5EB92EEB" w14:textId="77777777" w:rsidTr="000B56C9">
        <w:trPr>
          <w:trHeight w:hRule="exact" w:val="60"/>
        </w:trPr>
        <w:tc>
          <w:tcPr>
            <w:tcW w:w="2073" w:type="pct"/>
            <w:tcBorders>
              <w:top w:val="nil"/>
              <w:left w:val="nil"/>
              <w:bottom w:val="nil"/>
              <w:right w:val="nil"/>
            </w:tcBorders>
            <w:shd w:val="clear" w:color="000000" w:fill="FFFFFF"/>
            <w:noWrap/>
            <w:vAlign w:val="center"/>
            <w:hideMark/>
          </w:tcPr>
          <w:p w14:paraId="7CFB6BD6"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 </w:t>
            </w:r>
          </w:p>
        </w:tc>
        <w:tc>
          <w:tcPr>
            <w:tcW w:w="585" w:type="pct"/>
            <w:tcBorders>
              <w:top w:val="nil"/>
              <w:left w:val="nil"/>
              <w:bottom w:val="nil"/>
              <w:right w:val="nil"/>
            </w:tcBorders>
            <w:shd w:val="clear" w:color="000000" w:fill="E6F2FF"/>
            <w:noWrap/>
            <w:vAlign w:val="bottom"/>
            <w:hideMark/>
          </w:tcPr>
          <w:p w14:paraId="5464E508"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3DB33A26" w14:textId="77777777" w:rsidR="00081B6A" w:rsidRPr="00081B6A" w:rsidRDefault="00081B6A" w:rsidP="00081B6A">
            <w:pPr>
              <w:spacing w:before="0" w:after="0" w:line="240" w:lineRule="auto"/>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1FCAA045"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3B733016"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nil"/>
              <w:right w:val="nil"/>
            </w:tcBorders>
            <w:shd w:val="clear" w:color="000000" w:fill="FFFFFF"/>
            <w:noWrap/>
            <w:vAlign w:val="bottom"/>
            <w:hideMark/>
          </w:tcPr>
          <w:p w14:paraId="4D089E99"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r>
      <w:tr w:rsidR="00081B6A" w:rsidRPr="00081B6A" w14:paraId="5DA244C9" w14:textId="77777777" w:rsidTr="000B56C9">
        <w:trPr>
          <w:trHeight w:hRule="exact" w:val="225"/>
        </w:trPr>
        <w:tc>
          <w:tcPr>
            <w:tcW w:w="2073" w:type="pct"/>
            <w:tcBorders>
              <w:top w:val="nil"/>
              <w:left w:val="nil"/>
              <w:bottom w:val="nil"/>
              <w:right w:val="nil"/>
            </w:tcBorders>
            <w:shd w:val="clear" w:color="000000" w:fill="FFFFFF"/>
            <w:noWrap/>
            <w:vAlign w:val="center"/>
            <w:hideMark/>
          </w:tcPr>
          <w:p w14:paraId="0149D753" w14:textId="77777777" w:rsidR="00081B6A" w:rsidRPr="00081B6A" w:rsidRDefault="00081B6A" w:rsidP="000B56C9">
            <w:pPr>
              <w:spacing w:before="0" w:after="0" w:line="240" w:lineRule="auto"/>
              <w:ind w:left="170"/>
              <w:rPr>
                <w:rFonts w:ascii="Arial" w:hAnsi="Arial" w:cs="Arial"/>
                <w:color w:val="000000"/>
                <w:sz w:val="16"/>
                <w:szCs w:val="16"/>
              </w:rPr>
            </w:pPr>
            <w:r w:rsidRPr="00081B6A">
              <w:rPr>
                <w:rFonts w:ascii="Arial" w:hAnsi="Arial" w:cs="Arial"/>
                <w:color w:val="000000"/>
                <w:sz w:val="16"/>
                <w:szCs w:val="16"/>
              </w:rPr>
              <w:t>Consumption subject to GST</w:t>
            </w:r>
          </w:p>
        </w:tc>
        <w:tc>
          <w:tcPr>
            <w:tcW w:w="585" w:type="pct"/>
            <w:tcBorders>
              <w:top w:val="nil"/>
              <w:left w:val="nil"/>
              <w:bottom w:val="nil"/>
              <w:right w:val="nil"/>
            </w:tcBorders>
            <w:shd w:val="clear" w:color="000000" w:fill="E6F2FF"/>
            <w:noWrap/>
            <w:vAlign w:val="bottom"/>
            <w:hideMark/>
          </w:tcPr>
          <w:p w14:paraId="08D6387D"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3.9</w:t>
            </w:r>
          </w:p>
        </w:tc>
        <w:tc>
          <w:tcPr>
            <w:tcW w:w="585" w:type="pct"/>
            <w:tcBorders>
              <w:top w:val="nil"/>
              <w:left w:val="nil"/>
              <w:bottom w:val="nil"/>
              <w:right w:val="nil"/>
            </w:tcBorders>
            <w:shd w:val="clear" w:color="000000" w:fill="FFFFFF"/>
            <w:noWrap/>
            <w:vAlign w:val="bottom"/>
            <w:hideMark/>
          </w:tcPr>
          <w:p w14:paraId="1D41C2C5"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2 1/4</w:t>
            </w:r>
          </w:p>
        </w:tc>
        <w:tc>
          <w:tcPr>
            <w:tcW w:w="585" w:type="pct"/>
            <w:tcBorders>
              <w:top w:val="nil"/>
              <w:left w:val="nil"/>
              <w:bottom w:val="nil"/>
              <w:right w:val="nil"/>
            </w:tcBorders>
            <w:shd w:val="clear" w:color="000000" w:fill="FFFFFF"/>
            <w:noWrap/>
            <w:vAlign w:val="bottom"/>
            <w:hideMark/>
          </w:tcPr>
          <w:p w14:paraId="7ED9B6BF"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4 1/2</w:t>
            </w:r>
          </w:p>
        </w:tc>
        <w:tc>
          <w:tcPr>
            <w:tcW w:w="585" w:type="pct"/>
            <w:tcBorders>
              <w:top w:val="nil"/>
              <w:left w:val="nil"/>
              <w:bottom w:val="nil"/>
              <w:right w:val="nil"/>
            </w:tcBorders>
            <w:shd w:val="clear" w:color="000000" w:fill="FFFFFF"/>
            <w:noWrap/>
            <w:vAlign w:val="bottom"/>
            <w:hideMark/>
          </w:tcPr>
          <w:p w14:paraId="0144C845"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3 3/4</w:t>
            </w:r>
          </w:p>
        </w:tc>
        <w:tc>
          <w:tcPr>
            <w:tcW w:w="585" w:type="pct"/>
            <w:tcBorders>
              <w:top w:val="nil"/>
              <w:left w:val="nil"/>
              <w:bottom w:val="nil"/>
              <w:right w:val="nil"/>
            </w:tcBorders>
            <w:shd w:val="clear" w:color="000000" w:fill="FFFFFF"/>
            <w:noWrap/>
            <w:vAlign w:val="bottom"/>
            <w:hideMark/>
          </w:tcPr>
          <w:p w14:paraId="46C3B923"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xml:space="preserve">4    </w:t>
            </w:r>
          </w:p>
        </w:tc>
      </w:tr>
      <w:tr w:rsidR="00081B6A" w:rsidRPr="00081B6A" w14:paraId="52B29593" w14:textId="77777777" w:rsidTr="000B56C9">
        <w:trPr>
          <w:trHeight w:hRule="exact" w:val="225"/>
        </w:trPr>
        <w:tc>
          <w:tcPr>
            <w:tcW w:w="2073" w:type="pct"/>
            <w:tcBorders>
              <w:top w:val="nil"/>
              <w:left w:val="nil"/>
              <w:bottom w:val="single" w:sz="4" w:space="0" w:color="293F5B"/>
              <w:right w:val="nil"/>
            </w:tcBorders>
            <w:shd w:val="clear" w:color="000000" w:fill="FFFFFF"/>
            <w:noWrap/>
            <w:vAlign w:val="center"/>
            <w:hideMark/>
          </w:tcPr>
          <w:p w14:paraId="3535CCDB" w14:textId="77777777" w:rsidR="00081B6A" w:rsidRPr="00081B6A" w:rsidRDefault="00081B6A" w:rsidP="000B56C9">
            <w:pPr>
              <w:spacing w:before="0" w:after="0" w:line="240" w:lineRule="auto"/>
              <w:ind w:left="340"/>
              <w:rPr>
                <w:rFonts w:ascii="Arial" w:hAnsi="Arial" w:cs="Arial"/>
                <w:color w:val="000000"/>
                <w:sz w:val="16"/>
                <w:szCs w:val="16"/>
              </w:rPr>
            </w:pPr>
            <w:r w:rsidRPr="00081B6A">
              <w:rPr>
                <w:rFonts w:ascii="Arial" w:hAnsi="Arial" w:cs="Arial"/>
                <w:color w:val="000000"/>
                <w:sz w:val="16"/>
                <w:szCs w:val="16"/>
              </w:rPr>
              <w:t>Change since 2024</w:t>
            </w:r>
            <w:r w:rsidRPr="00081B6A">
              <w:rPr>
                <w:rFonts w:ascii="Calibri" w:hAnsi="Calibri" w:cs="Calibri"/>
                <w:color w:val="000000"/>
                <w:sz w:val="16"/>
                <w:szCs w:val="16"/>
              </w:rPr>
              <w:t>–</w:t>
            </w:r>
            <w:r w:rsidRPr="00081B6A">
              <w:rPr>
                <w:rFonts w:ascii="Arial" w:hAnsi="Arial" w:cs="Arial"/>
                <w:color w:val="000000"/>
                <w:sz w:val="16"/>
                <w:szCs w:val="16"/>
              </w:rPr>
              <w:t>25 Budget</w:t>
            </w:r>
          </w:p>
        </w:tc>
        <w:tc>
          <w:tcPr>
            <w:tcW w:w="585" w:type="pct"/>
            <w:tcBorders>
              <w:top w:val="nil"/>
              <w:left w:val="nil"/>
              <w:bottom w:val="single" w:sz="4" w:space="0" w:color="293F5B"/>
              <w:right w:val="nil"/>
            </w:tcBorders>
            <w:shd w:val="clear" w:color="000000" w:fill="E6F2FF"/>
            <w:noWrap/>
            <w:vAlign w:val="bottom"/>
            <w:hideMark/>
          </w:tcPr>
          <w:p w14:paraId="6C00AE5F" w14:textId="77777777" w:rsidR="00081B6A" w:rsidRPr="00081B6A" w:rsidRDefault="00081B6A" w:rsidP="00081B6A">
            <w:pPr>
              <w:spacing w:before="0" w:after="0" w:line="240" w:lineRule="auto"/>
              <w:jc w:val="right"/>
              <w:rPr>
                <w:rFonts w:ascii="Arial" w:hAnsi="Arial" w:cs="Arial"/>
                <w:sz w:val="16"/>
                <w:szCs w:val="16"/>
              </w:rPr>
            </w:pPr>
            <w:r w:rsidRPr="00081B6A">
              <w:rPr>
                <w:rFonts w:ascii="Arial" w:hAnsi="Arial" w:cs="Arial"/>
                <w:sz w:val="16"/>
                <w:szCs w:val="16"/>
              </w:rPr>
              <w:t> </w:t>
            </w:r>
          </w:p>
        </w:tc>
        <w:tc>
          <w:tcPr>
            <w:tcW w:w="585" w:type="pct"/>
            <w:tcBorders>
              <w:top w:val="nil"/>
              <w:left w:val="nil"/>
              <w:bottom w:val="single" w:sz="4" w:space="0" w:color="auto"/>
              <w:right w:val="nil"/>
            </w:tcBorders>
            <w:shd w:val="clear" w:color="000000" w:fill="FFFFFF"/>
            <w:noWrap/>
            <w:vAlign w:val="bottom"/>
            <w:hideMark/>
          </w:tcPr>
          <w:p w14:paraId="712E50EB"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1 1/2</w:t>
            </w:r>
          </w:p>
        </w:tc>
        <w:tc>
          <w:tcPr>
            <w:tcW w:w="585" w:type="pct"/>
            <w:tcBorders>
              <w:top w:val="nil"/>
              <w:left w:val="nil"/>
              <w:bottom w:val="single" w:sz="4" w:space="0" w:color="auto"/>
              <w:right w:val="nil"/>
            </w:tcBorders>
            <w:shd w:val="clear" w:color="000000" w:fill="FFFFFF"/>
            <w:noWrap/>
            <w:vAlign w:val="bottom"/>
            <w:hideMark/>
          </w:tcPr>
          <w:p w14:paraId="18E3427B"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3/4</w:t>
            </w:r>
          </w:p>
        </w:tc>
        <w:tc>
          <w:tcPr>
            <w:tcW w:w="585" w:type="pct"/>
            <w:tcBorders>
              <w:top w:val="nil"/>
              <w:left w:val="nil"/>
              <w:bottom w:val="single" w:sz="4" w:space="0" w:color="auto"/>
              <w:right w:val="nil"/>
            </w:tcBorders>
            <w:shd w:val="clear" w:color="000000" w:fill="FFFFFF"/>
            <w:noWrap/>
            <w:vAlign w:val="bottom"/>
            <w:hideMark/>
          </w:tcPr>
          <w:p w14:paraId="617A2CF1"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1 1/4</w:t>
            </w:r>
          </w:p>
        </w:tc>
        <w:tc>
          <w:tcPr>
            <w:tcW w:w="585" w:type="pct"/>
            <w:tcBorders>
              <w:top w:val="nil"/>
              <w:left w:val="nil"/>
              <w:bottom w:val="single" w:sz="4" w:space="0" w:color="auto"/>
              <w:right w:val="nil"/>
            </w:tcBorders>
            <w:shd w:val="clear" w:color="000000" w:fill="FFFFFF"/>
            <w:noWrap/>
            <w:vAlign w:val="bottom"/>
            <w:hideMark/>
          </w:tcPr>
          <w:p w14:paraId="271B0599" w14:textId="77777777" w:rsidR="00081B6A" w:rsidRPr="00081B6A" w:rsidRDefault="00331BDE" w:rsidP="00081B6A">
            <w:pPr>
              <w:spacing w:before="0" w:after="0" w:line="240" w:lineRule="auto"/>
              <w:jc w:val="right"/>
              <w:rPr>
                <w:rFonts w:ascii="Arial" w:hAnsi="Arial" w:cs="Arial"/>
                <w:sz w:val="16"/>
                <w:szCs w:val="16"/>
              </w:rPr>
            </w:pPr>
            <w:r>
              <w:rPr>
                <w:rFonts w:ascii="Arial" w:hAnsi="Arial" w:cs="Arial"/>
                <w:sz w:val="16"/>
                <w:szCs w:val="16"/>
              </w:rPr>
              <w:noBreakHyphen/>
            </w:r>
            <w:r w:rsidR="00081B6A" w:rsidRPr="00081B6A">
              <w:rPr>
                <w:rFonts w:ascii="Arial" w:hAnsi="Arial" w:cs="Arial"/>
                <w:sz w:val="16"/>
                <w:szCs w:val="16"/>
              </w:rPr>
              <w:t xml:space="preserve"> 3/4</w:t>
            </w:r>
          </w:p>
        </w:tc>
      </w:tr>
    </w:tbl>
    <w:p w14:paraId="32F5F000" w14:textId="25F72FCD" w:rsidR="005367C8" w:rsidRDefault="00641FE4" w:rsidP="005367C8">
      <w:pPr>
        <w:pStyle w:val="ChartandTableFootnoteAlpha"/>
        <w:numPr>
          <w:ilvl w:val="0"/>
          <w:numId w:val="20"/>
        </w:numPr>
        <w:rPr>
          <w:rFonts w:eastAsiaTheme="minorEastAsia"/>
          <w:color w:val="auto"/>
        </w:rPr>
      </w:pPr>
      <w:r w:rsidRPr="00205DD5">
        <w:rPr>
          <w:rFonts w:eastAsiaTheme="minorEastAsia"/>
          <w:color w:val="auto"/>
        </w:rPr>
        <w:t>Current prices, percentage change on previous year. Changes since Budget are percentage points.</w:t>
      </w:r>
    </w:p>
    <w:p w14:paraId="7E001749" w14:textId="45ED12C5" w:rsidR="00641FE4" w:rsidRPr="005367C8" w:rsidRDefault="00641FE4" w:rsidP="005367C8">
      <w:pPr>
        <w:pStyle w:val="ChartandTableFootnoteAlpha"/>
        <w:numPr>
          <w:ilvl w:val="0"/>
          <w:numId w:val="20"/>
        </w:numPr>
        <w:rPr>
          <w:rFonts w:eastAsiaTheme="minorEastAsia"/>
          <w:color w:val="auto"/>
        </w:rPr>
      </w:pPr>
      <w:r w:rsidRPr="005367C8">
        <w:rPr>
          <w:rFonts w:eastAsiaTheme="minorEastAsia"/>
          <w:color w:val="auto"/>
        </w:rPr>
        <w:t>Compensation of employees measures total remuneration earned by employees.</w:t>
      </w:r>
    </w:p>
    <w:p w14:paraId="17B885B0" w14:textId="77777777" w:rsidR="00A05172" w:rsidRPr="00205DD5" w:rsidRDefault="00641FE4" w:rsidP="00A57D8A">
      <w:pPr>
        <w:pStyle w:val="ChartandTableFootnoteAlpha"/>
        <w:rPr>
          <w:rFonts w:eastAsiaTheme="minorEastAsia"/>
          <w:color w:val="auto"/>
        </w:rPr>
      </w:pPr>
      <w:r w:rsidRPr="00205DD5">
        <w:rPr>
          <w:rFonts w:eastAsiaTheme="minorEastAsia"/>
          <w:color w:val="auto"/>
        </w:rPr>
        <w:t>Corporate gross operating surplus is an Australian System of National Accounts measure of company profits, gross of depreciation.</w:t>
      </w:r>
    </w:p>
    <w:p w14:paraId="390255B2" w14:textId="79B75514" w:rsidR="00D63C70" w:rsidRPr="00205DD5" w:rsidRDefault="00641FE4" w:rsidP="00A57D8A">
      <w:pPr>
        <w:pStyle w:val="ChartandTableFootnoteAlpha"/>
        <w:rPr>
          <w:rFonts w:eastAsiaTheme="minorHAnsi"/>
          <w:color w:val="auto"/>
        </w:rPr>
      </w:pPr>
      <w:r w:rsidRPr="00205DD5">
        <w:rPr>
          <w:rFonts w:eastAsiaTheme="minorHAnsi"/>
          <w:color w:val="auto"/>
        </w:rPr>
        <w:t xml:space="preserve">Property income measures income derived from rent, </w:t>
      </w:r>
      <w:proofErr w:type="gramStart"/>
      <w:r w:rsidRPr="00205DD5">
        <w:rPr>
          <w:rFonts w:eastAsiaTheme="minorHAnsi"/>
          <w:color w:val="auto"/>
        </w:rPr>
        <w:t>dividends</w:t>
      </w:r>
      <w:proofErr w:type="gramEnd"/>
      <w:r w:rsidRPr="00205DD5">
        <w:rPr>
          <w:rFonts w:eastAsiaTheme="minorHAnsi"/>
          <w:color w:val="auto"/>
        </w:rPr>
        <w:t xml:space="preserve"> and interest.</w:t>
      </w:r>
    </w:p>
    <w:p w14:paraId="493E596C" w14:textId="027A395C" w:rsidR="00063CFF" w:rsidRPr="00063CFF" w:rsidRDefault="00081B6A" w:rsidP="00D65F88">
      <w:pPr>
        <w:pStyle w:val="ChartandTableFootnote"/>
        <w:rPr>
          <w:rFonts w:eastAsiaTheme="minorHAnsi"/>
        </w:rPr>
      </w:pPr>
      <w:r w:rsidRPr="00205DD5">
        <w:rPr>
          <w:rFonts w:eastAsiaTheme="minorHAnsi"/>
          <w:color w:val="auto"/>
        </w:rPr>
        <w:t xml:space="preserve">Source: </w:t>
      </w:r>
      <w:r w:rsidR="00207139" w:rsidRPr="00205DD5">
        <w:rPr>
          <w:rFonts w:eastAsiaTheme="minorHAnsi"/>
          <w:color w:val="auto"/>
        </w:rPr>
        <w:tab/>
      </w:r>
      <w:r w:rsidRPr="00205DD5">
        <w:rPr>
          <w:rFonts w:eastAsiaTheme="minorHAnsi"/>
          <w:color w:val="auto"/>
        </w:rPr>
        <w:t>ABS Australian National Accounts: National Income, Expenditure and Product</w:t>
      </w:r>
      <w:r w:rsidR="00EC2C42" w:rsidRPr="00205DD5">
        <w:rPr>
          <w:rFonts w:eastAsiaTheme="minorHAnsi"/>
          <w:color w:val="auto"/>
        </w:rPr>
        <w:t>;</w:t>
      </w:r>
      <w:r w:rsidRPr="00205DD5">
        <w:rPr>
          <w:rFonts w:eastAsiaTheme="minorHAnsi"/>
          <w:color w:val="auto"/>
        </w:rPr>
        <w:t xml:space="preserve"> and Treasury.</w:t>
      </w:r>
      <w:r w:rsidR="00843623" w:rsidRPr="00205DD5">
        <w:rPr>
          <w:color w:val="auto"/>
        </w:rPr>
        <w:t xml:space="preserve"> </w:t>
      </w:r>
    </w:p>
    <w:p w14:paraId="0981B7C7" w14:textId="77777777" w:rsidR="00D63C70" w:rsidRPr="001D7A0A" w:rsidRDefault="00D63C70" w:rsidP="00D63C70">
      <w:pPr>
        <w:pStyle w:val="TableLine"/>
      </w:pPr>
    </w:p>
    <w:p w14:paraId="3B8ED7FF" w14:textId="466A98F1" w:rsidR="00D63C70" w:rsidRPr="00205DD5" w:rsidRDefault="00D63C70" w:rsidP="00D63C70">
      <w:pPr>
        <w:rPr>
          <w:rFonts w:eastAsia="Calibri"/>
        </w:rPr>
      </w:pPr>
      <w:bookmarkStart w:id="34" w:name="_Toc134093764"/>
      <w:bookmarkStart w:id="35" w:name="_Toc148428070"/>
      <w:r w:rsidRPr="00205DD5">
        <w:rPr>
          <w:rFonts w:eastAsia="Calibri"/>
        </w:rPr>
        <w:t xml:space="preserve">Excluding policy decisions, personal income tax receipts have been revised up by </w:t>
      </w:r>
      <w:r w:rsidR="00FF796A" w:rsidRPr="00205DD5">
        <w:rPr>
          <w:rFonts w:eastAsia="Calibri"/>
        </w:rPr>
        <w:t>$</w:t>
      </w:r>
      <w:r w:rsidR="00620C41" w:rsidRPr="00205DD5">
        <w:rPr>
          <w:rFonts w:eastAsia="Calibri"/>
        </w:rPr>
        <w:t>8.7</w:t>
      </w:r>
      <w:r w:rsidR="0033224E" w:rsidRPr="00205DD5">
        <w:rPr>
          <w:rFonts w:eastAsia="Calibri"/>
        </w:rPr>
        <w:t> </w:t>
      </w:r>
      <w:r w:rsidRPr="00205DD5">
        <w:rPr>
          <w:rFonts w:eastAsia="Calibri"/>
        </w:rPr>
        <w:t>billion in 202</w:t>
      </w:r>
      <w:r w:rsidR="002C73E1" w:rsidRPr="00205DD5">
        <w:rPr>
          <w:rFonts w:eastAsia="Calibri"/>
        </w:rPr>
        <w:t>4</w:t>
      </w:r>
      <w:r w:rsidRPr="00205DD5">
        <w:rPr>
          <w:rFonts w:eastAsia="Calibri"/>
        </w:rPr>
        <w:t>–2</w:t>
      </w:r>
      <w:r w:rsidR="002C73E1" w:rsidRPr="00205DD5">
        <w:rPr>
          <w:rFonts w:eastAsia="Calibri"/>
        </w:rPr>
        <w:t>5</w:t>
      </w:r>
      <w:r w:rsidRPr="00205DD5">
        <w:rPr>
          <w:rFonts w:eastAsia="Calibri"/>
        </w:rPr>
        <w:t xml:space="preserve"> and </w:t>
      </w:r>
      <w:r w:rsidR="00FF796A" w:rsidRPr="00205DD5">
        <w:rPr>
          <w:rFonts w:eastAsia="Calibri"/>
        </w:rPr>
        <w:t>$</w:t>
      </w:r>
      <w:r w:rsidR="00620C41" w:rsidRPr="00205DD5">
        <w:rPr>
          <w:rFonts w:eastAsia="Calibri"/>
        </w:rPr>
        <w:t>21.5</w:t>
      </w:r>
      <w:r w:rsidR="00FF796A" w:rsidRPr="00205DD5">
        <w:rPr>
          <w:rFonts w:eastAsia="Calibri"/>
        </w:rPr>
        <w:t xml:space="preserve"> </w:t>
      </w:r>
      <w:r w:rsidRPr="00205DD5">
        <w:rPr>
          <w:rFonts w:eastAsia="Calibri"/>
        </w:rPr>
        <w:t>billion over the four years to 202</w:t>
      </w:r>
      <w:r w:rsidR="002C73E1" w:rsidRPr="00205DD5">
        <w:rPr>
          <w:rFonts w:eastAsia="Calibri"/>
        </w:rPr>
        <w:t>7</w:t>
      </w:r>
      <w:r w:rsidRPr="00205DD5">
        <w:rPr>
          <w:rFonts w:eastAsia="Calibri"/>
        </w:rPr>
        <w:t>–2</w:t>
      </w:r>
      <w:r w:rsidR="002C73E1" w:rsidRPr="00205DD5">
        <w:rPr>
          <w:rFonts w:eastAsia="Calibri"/>
        </w:rPr>
        <w:t>8</w:t>
      </w:r>
      <w:r w:rsidRPr="00205DD5">
        <w:rPr>
          <w:rFonts w:eastAsia="Calibri"/>
        </w:rPr>
        <w:t>.</w:t>
      </w:r>
      <w:r w:rsidR="005058B8" w:rsidRPr="00205DD5">
        <w:rPr>
          <w:rFonts w:eastAsia="Calibri"/>
        </w:rPr>
        <w:t xml:space="preserve"> </w:t>
      </w:r>
      <w:r w:rsidRPr="00205DD5">
        <w:rPr>
          <w:rFonts w:eastAsia="Calibri"/>
        </w:rPr>
        <w:t xml:space="preserve">Income tax withholding has been revised up by </w:t>
      </w:r>
      <w:r w:rsidR="00FF796A" w:rsidRPr="00205DD5">
        <w:rPr>
          <w:rFonts w:eastAsia="Calibri"/>
        </w:rPr>
        <w:t>$</w:t>
      </w:r>
      <w:r w:rsidR="00B37139" w:rsidRPr="00205DD5">
        <w:rPr>
          <w:rFonts w:eastAsia="Calibri"/>
        </w:rPr>
        <w:t>3.1</w:t>
      </w:r>
      <w:r w:rsidR="00FF796A" w:rsidRPr="00205DD5">
        <w:rPr>
          <w:rFonts w:eastAsia="Calibri"/>
        </w:rPr>
        <w:t xml:space="preserve"> </w:t>
      </w:r>
      <w:r w:rsidRPr="00205DD5">
        <w:rPr>
          <w:rFonts w:eastAsia="Calibri"/>
        </w:rPr>
        <w:t>billion in 202</w:t>
      </w:r>
      <w:r w:rsidR="00FE65D1" w:rsidRPr="00205DD5">
        <w:rPr>
          <w:rFonts w:eastAsia="Calibri"/>
        </w:rPr>
        <w:t>4</w:t>
      </w:r>
      <w:r w:rsidRPr="00205DD5">
        <w:rPr>
          <w:rFonts w:eastAsia="Calibri"/>
        </w:rPr>
        <w:t>–2</w:t>
      </w:r>
      <w:r w:rsidR="00FE65D1" w:rsidRPr="00205DD5">
        <w:rPr>
          <w:rFonts w:eastAsia="Calibri"/>
        </w:rPr>
        <w:t>5</w:t>
      </w:r>
      <w:r w:rsidRPr="00205DD5">
        <w:rPr>
          <w:rFonts w:eastAsia="Calibri"/>
        </w:rPr>
        <w:t xml:space="preserve"> and </w:t>
      </w:r>
      <w:r w:rsidR="00FF796A" w:rsidRPr="00205DD5">
        <w:rPr>
          <w:rFonts w:eastAsia="Calibri"/>
        </w:rPr>
        <w:t>$</w:t>
      </w:r>
      <w:r w:rsidR="002C5D70" w:rsidRPr="00205DD5">
        <w:rPr>
          <w:rFonts w:eastAsia="Calibri"/>
        </w:rPr>
        <w:t>15.6</w:t>
      </w:r>
      <w:r w:rsidR="00FF796A" w:rsidRPr="00205DD5">
        <w:rPr>
          <w:rFonts w:eastAsia="Calibri"/>
        </w:rPr>
        <w:t xml:space="preserve"> </w:t>
      </w:r>
      <w:r w:rsidRPr="00205DD5">
        <w:rPr>
          <w:rFonts w:eastAsia="Calibri"/>
        </w:rPr>
        <w:t>billion over the four years to 202</w:t>
      </w:r>
      <w:r w:rsidR="002510F8" w:rsidRPr="00205DD5">
        <w:rPr>
          <w:rFonts w:eastAsia="Calibri"/>
        </w:rPr>
        <w:t>7</w:t>
      </w:r>
      <w:r w:rsidRPr="00205DD5">
        <w:rPr>
          <w:rFonts w:eastAsia="Calibri"/>
        </w:rPr>
        <w:t>–2</w:t>
      </w:r>
      <w:r w:rsidR="00FA4325" w:rsidRPr="00205DD5">
        <w:rPr>
          <w:rFonts w:eastAsia="Calibri"/>
        </w:rPr>
        <w:t>8</w:t>
      </w:r>
      <w:r w:rsidRPr="00205DD5">
        <w:rPr>
          <w:rFonts w:eastAsia="Calibri"/>
        </w:rPr>
        <w:t xml:space="preserve"> reflecting </w:t>
      </w:r>
      <w:r w:rsidR="00226F2B" w:rsidRPr="00205DD5">
        <w:rPr>
          <w:rFonts w:eastAsia="Calibri"/>
        </w:rPr>
        <w:t xml:space="preserve">the resilient labour market delivering more labour income (as measured by </w:t>
      </w:r>
      <w:r w:rsidR="00E45D8E" w:rsidRPr="00205DD5">
        <w:rPr>
          <w:rFonts w:eastAsia="Calibri"/>
        </w:rPr>
        <w:t>compensation of employees</w:t>
      </w:r>
      <w:r w:rsidR="00226F2B" w:rsidRPr="00205DD5">
        <w:rPr>
          <w:rFonts w:eastAsia="Calibri"/>
        </w:rPr>
        <w:t>).</w:t>
      </w:r>
      <w:r w:rsidRPr="00205DD5">
        <w:rPr>
          <w:rFonts w:eastAsia="Calibri"/>
        </w:rPr>
        <w:t xml:space="preserve"> Net other individuals</w:t>
      </w:r>
      <w:r w:rsidR="00D320A7" w:rsidRPr="00205DD5">
        <w:rPr>
          <w:rFonts w:eastAsia="Calibri"/>
        </w:rPr>
        <w:t xml:space="preserve"> (gross other individuals less refunds)</w:t>
      </w:r>
      <w:r w:rsidRPr="00205DD5">
        <w:rPr>
          <w:rFonts w:eastAsia="Calibri"/>
        </w:rPr>
        <w:t xml:space="preserve"> receipts have been revised up by </w:t>
      </w:r>
      <w:r w:rsidR="00FF796A" w:rsidRPr="00205DD5">
        <w:rPr>
          <w:rFonts w:eastAsia="Calibri"/>
        </w:rPr>
        <w:t>$</w:t>
      </w:r>
      <w:r w:rsidR="00E339BB" w:rsidRPr="00205DD5">
        <w:rPr>
          <w:rFonts w:eastAsia="Calibri"/>
        </w:rPr>
        <w:t>5.6</w:t>
      </w:r>
      <w:r w:rsidR="00FF796A" w:rsidRPr="00205DD5">
        <w:rPr>
          <w:rFonts w:eastAsia="Calibri"/>
        </w:rPr>
        <w:t xml:space="preserve"> </w:t>
      </w:r>
      <w:r w:rsidRPr="00205DD5">
        <w:rPr>
          <w:rFonts w:eastAsia="Calibri"/>
        </w:rPr>
        <w:t>billion in 202</w:t>
      </w:r>
      <w:r w:rsidR="00EC7A9B" w:rsidRPr="00205DD5">
        <w:rPr>
          <w:rFonts w:eastAsia="Calibri"/>
        </w:rPr>
        <w:t>4</w:t>
      </w:r>
      <w:r w:rsidRPr="00205DD5">
        <w:rPr>
          <w:rFonts w:eastAsia="Calibri"/>
        </w:rPr>
        <w:t>–2</w:t>
      </w:r>
      <w:r w:rsidR="00EC7A9B" w:rsidRPr="00205DD5">
        <w:rPr>
          <w:rFonts w:eastAsia="Calibri"/>
        </w:rPr>
        <w:t>5</w:t>
      </w:r>
      <w:r w:rsidRPr="00205DD5">
        <w:rPr>
          <w:rFonts w:eastAsia="Calibri"/>
        </w:rPr>
        <w:t xml:space="preserve"> and </w:t>
      </w:r>
      <w:r w:rsidR="00FF796A" w:rsidRPr="00205DD5">
        <w:rPr>
          <w:rFonts w:eastAsia="Calibri"/>
        </w:rPr>
        <w:t>$</w:t>
      </w:r>
      <w:r w:rsidR="00E339BB" w:rsidRPr="00205DD5">
        <w:rPr>
          <w:rFonts w:eastAsia="Calibri"/>
        </w:rPr>
        <w:t>5.9</w:t>
      </w:r>
      <w:r w:rsidR="009A4FA4" w:rsidRPr="00205DD5">
        <w:rPr>
          <w:rFonts w:eastAsia="Calibri"/>
        </w:rPr>
        <w:t> </w:t>
      </w:r>
      <w:r w:rsidRPr="00205DD5">
        <w:rPr>
          <w:rFonts w:eastAsia="Calibri"/>
        </w:rPr>
        <w:t>billion over the four years to 202</w:t>
      </w:r>
      <w:r w:rsidR="009D52B5" w:rsidRPr="00205DD5">
        <w:rPr>
          <w:rFonts w:eastAsia="Calibri"/>
        </w:rPr>
        <w:t>7</w:t>
      </w:r>
      <w:r w:rsidRPr="00205DD5">
        <w:rPr>
          <w:rFonts w:eastAsia="Calibri"/>
        </w:rPr>
        <w:t>–2</w:t>
      </w:r>
      <w:r w:rsidR="009D52B5" w:rsidRPr="00205DD5">
        <w:rPr>
          <w:rFonts w:eastAsia="Calibri"/>
        </w:rPr>
        <w:t>8</w:t>
      </w:r>
      <w:r w:rsidRPr="00205DD5">
        <w:rPr>
          <w:rFonts w:eastAsia="Calibri"/>
        </w:rPr>
        <w:t>. The increase in 202</w:t>
      </w:r>
      <w:r w:rsidR="004A6789" w:rsidRPr="00205DD5">
        <w:rPr>
          <w:rFonts w:eastAsia="Calibri"/>
        </w:rPr>
        <w:t>4</w:t>
      </w:r>
      <w:r w:rsidRPr="00205DD5">
        <w:rPr>
          <w:rFonts w:eastAsia="Calibri"/>
        </w:rPr>
        <w:t>–2</w:t>
      </w:r>
      <w:r w:rsidR="004A6789" w:rsidRPr="00205DD5">
        <w:rPr>
          <w:rFonts w:eastAsia="Calibri"/>
        </w:rPr>
        <w:t>5</w:t>
      </w:r>
      <w:r w:rsidRPr="00205DD5">
        <w:rPr>
          <w:rFonts w:eastAsia="Calibri"/>
        </w:rPr>
        <w:t xml:space="preserve"> is driven by </w:t>
      </w:r>
      <w:r w:rsidR="003D31A0" w:rsidRPr="00205DD5">
        <w:rPr>
          <w:rFonts w:eastAsia="Calibri"/>
        </w:rPr>
        <w:t xml:space="preserve">strength in instalments and </w:t>
      </w:r>
      <w:r w:rsidRPr="00205DD5">
        <w:rPr>
          <w:rFonts w:eastAsia="Calibri"/>
        </w:rPr>
        <w:t xml:space="preserve">capital gains </w:t>
      </w:r>
      <w:proofErr w:type="gramStart"/>
      <w:r w:rsidR="003D31A0" w:rsidRPr="00205DD5">
        <w:rPr>
          <w:rFonts w:eastAsia="Calibri"/>
        </w:rPr>
        <w:t>on</w:t>
      </w:r>
      <w:proofErr w:type="gramEnd"/>
      <w:r w:rsidR="003D31A0" w:rsidRPr="00205DD5">
        <w:rPr>
          <w:rFonts w:eastAsia="Calibri"/>
        </w:rPr>
        <w:t xml:space="preserve"> 2023</w:t>
      </w:r>
      <w:r w:rsidR="005A144E" w:rsidRPr="00205DD5">
        <w:rPr>
          <w:rFonts w:eastAsia="Calibri"/>
        </w:rPr>
        <w:t>–</w:t>
      </w:r>
      <w:r w:rsidR="003D31A0" w:rsidRPr="00205DD5">
        <w:rPr>
          <w:rFonts w:eastAsia="Calibri"/>
        </w:rPr>
        <w:t>24 tax</w:t>
      </w:r>
      <w:r w:rsidRPr="00205DD5">
        <w:rPr>
          <w:rFonts w:eastAsia="Calibri"/>
        </w:rPr>
        <w:t xml:space="preserve"> returns</w:t>
      </w:r>
      <w:r w:rsidR="00C85D09" w:rsidRPr="00205DD5">
        <w:rPr>
          <w:rFonts w:eastAsia="Calibri"/>
        </w:rPr>
        <w:t>, which is not expected to persist across the forward estimates</w:t>
      </w:r>
      <w:r w:rsidRPr="00205DD5" w:rsidDel="00C85D09">
        <w:rPr>
          <w:rFonts w:eastAsia="Calibri"/>
        </w:rPr>
        <w:t>.</w:t>
      </w:r>
    </w:p>
    <w:p w14:paraId="37FD54CB" w14:textId="67031572" w:rsidR="00D63C70" w:rsidRPr="00205DD5" w:rsidRDefault="00D63C70" w:rsidP="00D63C70">
      <w:pPr>
        <w:rPr>
          <w:rFonts w:eastAsia="Calibri"/>
        </w:rPr>
      </w:pPr>
      <w:r w:rsidRPr="00205DD5">
        <w:rPr>
          <w:rFonts w:eastAsia="Calibri"/>
        </w:rPr>
        <w:t xml:space="preserve">Company tax receipts have been revised </w:t>
      </w:r>
      <w:r w:rsidR="002E76C7" w:rsidRPr="00205DD5">
        <w:rPr>
          <w:rFonts w:eastAsia="Calibri"/>
        </w:rPr>
        <w:t>down</w:t>
      </w:r>
      <w:r w:rsidRPr="00205DD5">
        <w:rPr>
          <w:rFonts w:eastAsia="Calibri"/>
        </w:rPr>
        <w:t xml:space="preserve"> by </w:t>
      </w:r>
      <w:r w:rsidR="00FF796A" w:rsidRPr="00205DD5">
        <w:rPr>
          <w:rFonts w:eastAsia="Calibri"/>
        </w:rPr>
        <w:t>$</w:t>
      </w:r>
      <w:r w:rsidR="00886863" w:rsidRPr="00205DD5">
        <w:rPr>
          <w:rFonts w:eastAsia="Calibri"/>
        </w:rPr>
        <w:t>6.6</w:t>
      </w:r>
      <w:r w:rsidR="00FF796A" w:rsidRPr="00205DD5">
        <w:rPr>
          <w:rFonts w:eastAsia="Calibri"/>
        </w:rPr>
        <w:t xml:space="preserve"> </w:t>
      </w:r>
      <w:r w:rsidRPr="00205DD5">
        <w:rPr>
          <w:rFonts w:eastAsia="Calibri"/>
        </w:rPr>
        <w:t>billion in 202</w:t>
      </w:r>
      <w:r w:rsidR="002E76C7" w:rsidRPr="00205DD5">
        <w:rPr>
          <w:rFonts w:eastAsia="Calibri"/>
        </w:rPr>
        <w:t>4</w:t>
      </w:r>
      <w:r w:rsidRPr="00205DD5">
        <w:rPr>
          <w:rFonts w:eastAsia="Calibri"/>
        </w:rPr>
        <w:t>–2</w:t>
      </w:r>
      <w:r w:rsidR="002E76C7" w:rsidRPr="00205DD5">
        <w:rPr>
          <w:rFonts w:eastAsia="Calibri"/>
        </w:rPr>
        <w:t>5</w:t>
      </w:r>
      <w:r w:rsidRPr="00205DD5">
        <w:rPr>
          <w:rFonts w:eastAsia="Calibri"/>
        </w:rPr>
        <w:t xml:space="preserve"> and </w:t>
      </w:r>
      <w:r w:rsidR="00FF796A" w:rsidRPr="00205DD5">
        <w:rPr>
          <w:rFonts w:eastAsia="Calibri"/>
        </w:rPr>
        <w:t>$</w:t>
      </w:r>
      <w:r w:rsidR="00507968" w:rsidRPr="00205DD5">
        <w:rPr>
          <w:rFonts w:eastAsia="Calibri"/>
        </w:rPr>
        <w:t>8.5</w:t>
      </w:r>
      <w:r w:rsidR="00461C69" w:rsidRPr="00205DD5">
        <w:rPr>
          <w:rFonts w:eastAsia="Calibri"/>
        </w:rPr>
        <w:t> </w:t>
      </w:r>
      <w:r w:rsidRPr="00205DD5">
        <w:rPr>
          <w:rFonts w:eastAsia="Calibri"/>
        </w:rPr>
        <w:t>billion over the four years to 202</w:t>
      </w:r>
      <w:r w:rsidR="00202373" w:rsidRPr="00205DD5">
        <w:rPr>
          <w:rFonts w:eastAsia="Calibri"/>
        </w:rPr>
        <w:t>7</w:t>
      </w:r>
      <w:r w:rsidRPr="00205DD5">
        <w:rPr>
          <w:rFonts w:eastAsia="Calibri"/>
        </w:rPr>
        <w:t>–2</w:t>
      </w:r>
      <w:r w:rsidR="00202373" w:rsidRPr="00205DD5">
        <w:rPr>
          <w:rFonts w:eastAsia="Calibri"/>
        </w:rPr>
        <w:t>8</w:t>
      </w:r>
      <w:r w:rsidR="00226F2B" w:rsidRPr="00205DD5">
        <w:rPr>
          <w:rFonts w:eastAsia="Calibri"/>
        </w:rPr>
        <w:t>, the first time they have been downgraded since the 2020</w:t>
      </w:r>
      <w:r w:rsidR="005A144E" w:rsidRPr="00205DD5">
        <w:rPr>
          <w:rFonts w:eastAsia="Calibri"/>
        </w:rPr>
        <w:t>–</w:t>
      </w:r>
      <w:r w:rsidR="00733147" w:rsidRPr="00205DD5">
        <w:rPr>
          <w:rFonts w:ascii="Times New Roman" w:eastAsia="Calibri" w:hAnsi="Times New Roman"/>
        </w:rPr>
        <w:t>‍</w:t>
      </w:r>
      <w:r w:rsidR="00226F2B" w:rsidRPr="00205DD5">
        <w:rPr>
          <w:rFonts w:eastAsia="Calibri"/>
        </w:rPr>
        <w:t>21</w:t>
      </w:r>
      <w:r w:rsidR="00733147" w:rsidRPr="00205DD5">
        <w:rPr>
          <w:rFonts w:eastAsia="Calibri"/>
        </w:rPr>
        <w:t> </w:t>
      </w:r>
      <w:r w:rsidR="00226F2B" w:rsidRPr="00205DD5">
        <w:rPr>
          <w:rFonts w:eastAsia="Calibri"/>
        </w:rPr>
        <w:t>Budget.</w:t>
      </w:r>
      <w:r w:rsidRPr="00205DD5">
        <w:rPr>
          <w:rFonts w:eastAsia="Calibri"/>
        </w:rPr>
        <w:t xml:space="preserve"> The </w:t>
      </w:r>
      <w:r w:rsidR="00FB4E36" w:rsidRPr="00205DD5">
        <w:rPr>
          <w:rFonts w:eastAsia="Calibri"/>
        </w:rPr>
        <w:t>downgrade</w:t>
      </w:r>
      <w:r w:rsidRPr="00205DD5">
        <w:rPr>
          <w:rFonts w:eastAsia="Calibri"/>
        </w:rPr>
        <w:t xml:space="preserve"> in 202</w:t>
      </w:r>
      <w:r w:rsidR="00FB4E36" w:rsidRPr="00205DD5">
        <w:rPr>
          <w:rFonts w:eastAsia="Calibri"/>
        </w:rPr>
        <w:t>4</w:t>
      </w:r>
      <w:r w:rsidRPr="00205DD5">
        <w:rPr>
          <w:rFonts w:eastAsia="Calibri"/>
        </w:rPr>
        <w:t>–2</w:t>
      </w:r>
      <w:r w:rsidR="00887EA3" w:rsidRPr="00205DD5">
        <w:rPr>
          <w:rFonts w:eastAsia="Calibri"/>
        </w:rPr>
        <w:t>5</w:t>
      </w:r>
      <w:r w:rsidRPr="00205DD5">
        <w:rPr>
          <w:rFonts w:eastAsia="Calibri"/>
        </w:rPr>
        <w:t xml:space="preserve"> largely reflects </w:t>
      </w:r>
      <w:r w:rsidR="00EF71C0" w:rsidRPr="00205DD5">
        <w:rPr>
          <w:rFonts w:eastAsia="Calibri"/>
        </w:rPr>
        <w:t>weaker mining sector profits</w:t>
      </w:r>
      <w:r w:rsidR="00AF301A" w:rsidRPr="00205DD5">
        <w:rPr>
          <w:rFonts w:eastAsia="Calibri"/>
        </w:rPr>
        <w:t xml:space="preserve"> due </w:t>
      </w:r>
      <w:r w:rsidR="009E7C74" w:rsidRPr="00205DD5">
        <w:rPr>
          <w:rFonts w:eastAsia="Calibri"/>
        </w:rPr>
        <w:t xml:space="preserve">to lower export </w:t>
      </w:r>
      <w:r w:rsidR="00896B6E" w:rsidRPr="00205DD5">
        <w:rPr>
          <w:rFonts w:eastAsia="Calibri"/>
        </w:rPr>
        <w:t>volumes</w:t>
      </w:r>
      <w:r w:rsidR="00437F22" w:rsidRPr="00205DD5">
        <w:rPr>
          <w:rFonts w:eastAsia="Calibri"/>
        </w:rPr>
        <w:t xml:space="preserve"> and a lower </w:t>
      </w:r>
      <w:r w:rsidR="005B3EA7" w:rsidRPr="00205DD5">
        <w:rPr>
          <w:rFonts w:eastAsia="Calibri"/>
        </w:rPr>
        <w:t>assumed</w:t>
      </w:r>
      <w:r w:rsidR="00437F22" w:rsidRPr="00205DD5">
        <w:rPr>
          <w:rFonts w:eastAsia="Calibri"/>
        </w:rPr>
        <w:t xml:space="preserve"> oil price</w:t>
      </w:r>
      <w:r w:rsidRPr="00205DD5">
        <w:rPr>
          <w:rFonts w:eastAsia="Calibri"/>
        </w:rPr>
        <w:t xml:space="preserve">. </w:t>
      </w:r>
    </w:p>
    <w:p w14:paraId="0CAACC96" w14:textId="559635EC" w:rsidR="00D63C70" w:rsidRPr="00205DD5" w:rsidRDefault="00D63C70" w:rsidP="00D63C70">
      <w:pPr>
        <w:rPr>
          <w:rFonts w:eastAsia="Calibri"/>
        </w:rPr>
      </w:pPr>
      <w:r w:rsidRPr="00205DD5">
        <w:rPr>
          <w:rFonts w:eastAsia="Calibri"/>
        </w:rPr>
        <w:t xml:space="preserve">Superannuation fund tax receipts have been revised </w:t>
      </w:r>
      <w:r w:rsidR="00A42E20" w:rsidRPr="00205DD5">
        <w:rPr>
          <w:rFonts w:eastAsia="Calibri"/>
        </w:rPr>
        <w:t>up</w:t>
      </w:r>
      <w:r w:rsidRPr="00205DD5">
        <w:rPr>
          <w:rFonts w:eastAsia="Calibri"/>
        </w:rPr>
        <w:t xml:space="preserve"> by </w:t>
      </w:r>
      <w:r w:rsidR="00FF796A" w:rsidRPr="00205DD5">
        <w:rPr>
          <w:rFonts w:eastAsia="Calibri"/>
        </w:rPr>
        <w:t>$</w:t>
      </w:r>
      <w:r w:rsidR="003C3A4C" w:rsidRPr="00205DD5">
        <w:rPr>
          <w:rFonts w:eastAsia="Calibri"/>
        </w:rPr>
        <w:t>2.1</w:t>
      </w:r>
      <w:r w:rsidR="00D9022D" w:rsidRPr="00205DD5">
        <w:rPr>
          <w:rFonts w:eastAsia="Calibri"/>
        </w:rPr>
        <w:t> </w:t>
      </w:r>
      <w:r w:rsidRPr="00205DD5">
        <w:rPr>
          <w:rFonts w:eastAsia="Calibri"/>
        </w:rPr>
        <w:t>billion in 202</w:t>
      </w:r>
      <w:r w:rsidR="00A42E20" w:rsidRPr="00205DD5">
        <w:rPr>
          <w:rFonts w:eastAsia="Calibri"/>
        </w:rPr>
        <w:t>4</w:t>
      </w:r>
      <w:r w:rsidRPr="00205DD5">
        <w:rPr>
          <w:rFonts w:eastAsia="Calibri"/>
        </w:rPr>
        <w:t>–2</w:t>
      </w:r>
      <w:r w:rsidR="00A42E20" w:rsidRPr="00205DD5">
        <w:rPr>
          <w:rFonts w:eastAsia="Calibri"/>
        </w:rPr>
        <w:t>5</w:t>
      </w:r>
      <w:r w:rsidRPr="00205DD5">
        <w:rPr>
          <w:rFonts w:eastAsia="Calibri"/>
        </w:rPr>
        <w:t xml:space="preserve"> and </w:t>
      </w:r>
      <w:r w:rsidR="00FF796A" w:rsidRPr="00205DD5">
        <w:rPr>
          <w:rFonts w:eastAsia="Calibri"/>
        </w:rPr>
        <w:t>$</w:t>
      </w:r>
      <w:r w:rsidR="00E90219" w:rsidRPr="00205DD5">
        <w:rPr>
          <w:rFonts w:eastAsia="Calibri"/>
        </w:rPr>
        <w:t>5.3</w:t>
      </w:r>
      <w:r w:rsidR="00D9022D" w:rsidRPr="00205DD5">
        <w:rPr>
          <w:rFonts w:eastAsia="Calibri"/>
        </w:rPr>
        <w:t> </w:t>
      </w:r>
      <w:r w:rsidRPr="00205DD5">
        <w:rPr>
          <w:rFonts w:eastAsia="Calibri"/>
        </w:rPr>
        <w:t>billion over the four years to 202</w:t>
      </w:r>
      <w:r w:rsidR="009D7BA8" w:rsidRPr="00205DD5">
        <w:rPr>
          <w:rFonts w:eastAsia="Calibri"/>
        </w:rPr>
        <w:t>7</w:t>
      </w:r>
      <w:r w:rsidRPr="00205DD5">
        <w:rPr>
          <w:rFonts w:eastAsia="Calibri"/>
        </w:rPr>
        <w:t>–2</w:t>
      </w:r>
      <w:r w:rsidR="009D7BA8" w:rsidRPr="00205DD5">
        <w:rPr>
          <w:rFonts w:eastAsia="Calibri"/>
        </w:rPr>
        <w:t>8</w:t>
      </w:r>
      <w:r w:rsidRPr="00205DD5">
        <w:rPr>
          <w:rFonts w:eastAsia="Calibri"/>
        </w:rPr>
        <w:t xml:space="preserve">. The </w:t>
      </w:r>
      <w:r w:rsidR="002D459A" w:rsidRPr="00205DD5">
        <w:rPr>
          <w:rFonts w:eastAsia="Calibri"/>
        </w:rPr>
        <w:t>upwards revision in the near</w:t>
      </w:r>
      <w:r w:rsidR="00331BDE" w:rsidRPr="00205DD5">
        <w:rPr>
          <w:rFonts w:eastAsia="Calibri"/>
        </w:rPr>
        <w:noBreakHyphen/>
      </w:r>
      <w:r w:rsidR="002D459A" w:rsidRPr="00205DD5">
        <w:rPr>
          <w:rFonts w:eastAsia="Calibri"/>
        </w:rPr>
        <w:t xml:space="preserve">term </w:t>
      </w:r>
      <w:r w:rsidR="004B578F" w:rsidRPr="00205DD5">
        <w:rPr>
          <w:rFonts w:eastAsia="Calibri"/>
        </w:rPr>
        <w:t xml:space="preserve">reflects </w:t>
      </w:r>
      <w:r w:rsidR="00267EA9" w:rsidRPr="00205DD5">
        <w:rPr>
          <w:rFonts w:eastAsia="Calibri"/>
        </w:rPr>
        <w:t>an improved</w:t>
      </w:r>
      <w:r w:rsidRPr="00205DD5">
        <w:rPr>
          <w:rFonts w:eastAsia="Calibri"/>
        </w:rPr>
        <w:t xml:space="preserve"> </w:t>
      </w:r>
      <w:r w:rsidR="00656CDA" w:rsidRPr="00205DD5">
        <w:rPr>
          <w:rFonts w:eastAsia="Calibri"/>
        </w:rPr>
        <w:t xml:space="preserve">outlook for </w:t>
      </w:r>
      <w:r w:rsidR="00FB666B" w:rsidRPr="00205DD5">
        <w:rPr>
          <w:rFonts w:eastAsia="Calibri"/>
        </w:rPr>
        <w:t xml:space="preserve">tax on earnings driven by </w:t>
      </w:r>
      <w:r w:rsidR="00D616B1" w:rsidRPr="00205DD5">
        <w:rPr>
          <w:rFonts w:eastAsia="Calibri"/>
        </w:rPr>
        <w:t xml:space="preserve">lower </w:t>
      </w:r>
      <w:r w:rsidR="009069FB" w:rsidRPr="00205DD5">
        <w:rPr>
          <w:rFonts w:eastAsia="Calibri"/>
        </w:rPr>
        <w:t xml:space="preserve">dividends and </w:t>
      </w:r>
      <w:r w:rsidR="00D616B1" w:rsidRPr="00205DD5">
        <w:rPr>
          <w:rFonts w:eastAsia="Calibri"/>
        </w:rPr>
        <w:t>franking credits</w:t>
      </w:r>
      <w:r w:rsidR="002B77FC" w:rsidRPr="00205DD5">
        <w:rPr>
          <w:rFonts w:eastAsia="Calibri"/>
        </w:rPr>
        <w:t>.</w:t>
      </w:r>
      <w:r w:rsidR="001A7D12" w:rsidRPr="00205DD5">
        <w:rPr>
          <w:rFonts w:eastAsia="Calibri"/>
        </w:rPr>
        <w:t xml:space="preserve"> </w:t>
      </w:r>
      <w:r w:rsidR="007C3215" w:rsidRPr="00205DD5">
        <w:rPr>
          <w:rFonts w:eastAsia="Calibri"/>
        </w:rPr>
        <w:t xml:space="preserve">The </w:t>
      </w:r>
      <w:r w:rsidR="006E1812" w:rsidRPr="00205DD5">
        <w:rPr>
          <w:rFonts w:eastAsia="Calibri"/>
        </w:rPr>
        <w:t>size of the</w:t>
      </w:r>
      <w:r w:rsidR="007C3215" w:rsidRPr="00205DD5">
        <w:rPr>
          <w:rFonts w:eastAsia="Calibri"/>
        </w:rPr>
        <w:t xml:space="preserve"> upgrade decreases over the forward estimates </w:t>
      </w:r>
      <w:r w:rsidR="0005723A" w:rsidRPr="00205DD5">
        <w:rPr>
          <w:rFonts w:eastAsia="Calibri"/>
        </w:rPr>
        <w:t>due to lower expected tax on earning</w:t>
      </w:r>
      <w:r w:rsidR="00211AFD" w:rsidRPr="00205DD5">
        <w:rPr>
          <w:rFonts w:eastAsia="Calibri"/>
        </w:rPr>
        <w:t xml:space="preserve">s, </w:t>
      </w:r>
      <w:r w:rsidR="007C3215" w:rsidRPr="00205DD5">
        <w:rPr>
          <w:rFonts w:eastAsia="Calibri"/>
        </w:rPr>
        <w:t>as a</w:t>
      </w:r>
      <w:r w:rsidR="00DC23D2" w:rsidRPr="00205DD5">
        <w:rPr>
          <w:rFonts w:eastAsia="Calibri"/>
        </w:rPr>
        <w:t>n improved</w:t>
      </w:r>
      <w:r w:rsidR="007C3215" w:rsidRPr="00205DD5">
        <w:rPr>
          <w:rFonts w:eastAsia="Calibri"/>
        </w:rPr>
        <w:t xml:space="preserve"> outlook for dividends in later years </w:t>
      </w:r>
      <w:r w:rsidR="00C26231" w:rsidRPr="00205DD5">
        <w:rPr>
          <w:rFonts w:eastAsia="Calibri"/>
        </w:rPr>
        <w:t>leads</w:t>
      </w:r>
      <w:r w:rsidR="00810721" w:rsidRPr="00205DD5">
        <w:rPr>
          <w:rFonts w:eastAsia="Calibri"/>
        </w:rPr>
        <w:t xml:space="preserve"> to higher franking </w:t>
      </w:r>
      <w:r w:rsidR="00C26231" w:rsidRPr="00205DD5">
        <w:rPr>
          <w:rFonts w:eastAsia="Calibri"/>
        </w:rPr>
        <w:t xml:space="preserve">credit offsets. </w:t>
      </w:r>
    </w:p>
    <w:p w14:paraId="0F774BFF" w14:textId="66D2EE0B" w:rsidR="00D63C70" w:rsidRPr="00205DD5" w:rsidRDefault="00D63C70" w:rsidP="00D63C70">
      <w:pPr>
        <w:rPr>
          <w:rFonts w:eastAsia="Calibri"/>
        </w:rPr>
      </w:pPr>
      <w:r w:rsidRPr="00205DD5">
        <w:rPr>
          <w:rFonts w:eastAsia="Calibri"/>
        </w:rPr>
        <w:t xml:space="preserve">Fringe benefits tax receipts have been revised up by </w:t>
      </w:r>
      <w:r w:rsidR="00FF796A" w:rsidRPr="00205DD5">
        <w:rPr>
          <w:rFonts w:eastAsia="Calibri"/>
        </w:rPr>
        <w:t>$</w:t>
      </w:r>
      <w:r w:rsidR="007D30B4" w:rsidRPr="00205DD5">
        <w:rPr>
          <w:rFonts w:eastAsia="Calibri"/>
        </w:rPr>
        <w:t>0.7</w:t>
      </w:r>
      <w:r w:rsidR="00FF796A" w:rsidRPr="00205DD5">
        <w:rPr>
          <w:rFonts w:eastAsia="Calibri"/>
        </w:rPr>
        <w:t xml:space="preserve"> </w:t>
      </w:r>
      <w:r w:rsidRPr="00205DD5">
        <w:rPr>
          <w:rFonts w:eastAsia="Calibri"/>
        </w:rPr>
        <w:t xml:space="preserve">billion in </w:t>
      </w:r>
      <w:r w:rsidR="00F82148" w:rsidRPr="00205DD5">
        <w:rPr>
          <w:rFonts w:eastAsia="Calibri"/>
        </w:rPr>
        <w:t>2024</w:t>
      </w:r>
      <w:r w:rsidR="00E22E3E" w:rsidRPr="00205DD5">
        <w:rPr>
          <w:rFonts w:eastAsia="Calibri"/>
        </w:rPr>
        <w:t>–</w:t>
      </w:r>
      <w:r w:rsidR="00F82148" w:rsidRPr="00205DD5">
        <w:rPr>
          <w:rFonts w:eastAsia="Calibri"/>
        </w:rPr>
        <w:t xml:space="preserve">25 </w:t>
      </w:r>
      <w:r w:rsidRPr="00205DD5">
        <w:rPr>
          <w:rFonts w:eastAsia="Calibri"/>
        </w:rPr>
        <w:t xml:space="preserve">and </w:t>
      </w:r>
      <w:r w:rsidR="00FF796A" w:rsidRPr="00205DD5">
        <w:rPr>
          <w:rFonts w:eastAsia="Calibri"/>
        </w:rPr>
        <w:t>$</w:t>
      </w:r>
      <w:r w:rsidR="007D30B4" w:rsidRPr="00205DD5">
        <w:rPr>
          <w:rFonts w:eastAsia="Calibri"/>
        </w:rPr>
        <w:t>3.3</w:t>
      </w:r>
      <w:r w:rsidR="00D9022D" w:rsidRPr="00205DD5">
        <w:rPr>
          <w:rFonts w:eastAsia="Calibri"/>
        </w:rPr>
        <w:t> </w:t>
      </w:r>
      <w:r w:rsidRPr="00205DD5">
        <w:rPr>
          <w:rFonts w:eastAsia="Calibri"/>
        </w:rPr>
        <w:t>billion over the four years to 202</w:t>
      </w:r>
      <w:r w:rsidR="007329F0" w:rsidRPr="00205DD5">
        <w:rPr>
          <w:rFonts w:eastAsia="Calibri"/>
        </w:rPr>
        <w:t>7</w:t>
      </w:r>
      <w:r w:rsidRPr="00205DD5">
        <w:rPr>
          <w:rFonts w:eastAsia="Calibri"/>
        </w:rPr>
        <w:t>–2</w:t>
      </w:r>
      <w:r w:rsidR="007329F0" w:rsidRPr="00205DD5">
        <w:rPr>
          <w:rFonts w:eastAsia="Calibri"/>
        </w:rPr>
        <w:t>8</w:t>
      </w:r>
      <w:r w:rsidRPr="00205DD5">
        <w:rPr>
          <w:rFonts w:eastAsia="Calibri"/>
        </w:rPr>
        <w:t xml:space="preserve">, </w:t>
      </w:r>
      <w:r w:rsidR="00243397" w:rsidRPr="00205DD5">
        <w:rPr>
          <w:rFonts w:eastAsia="Calibri"/>
        </w:rPr>
        <w:t>reflecting</w:t>
      </w:r>
      <w:r w:rsidRPr="00205DD5">
        <w:rPr>
          <w:rFonts w:eastAsia="Calibri"/>
        </w:rPr>
        <w:t xml:space="preserve"> </w:t>
      </w:r>
      <w:r w:rsidR="001B48C3" w:rsidRPr="00205DD5">
        <w:rPr>
          <w:rFonts w:eastAsia="Calibri"/>
        </w:rPr>
        <w:t>strength</w:t>
      </w:r>
      <w:r w:rsidR="00053916" w:rsidRPr="00205DD5">
        <w:rPr>
          <w:rFonts w:eastAsia="Calibri"/>
        </w:rPr>
        <w:t xml:space="preserve"> in current year</w:t>
      </w:r>
      <w:r w:rsidRPr="00205DD5">
        <w:rPr>
          <w:rFonts w:eastAsia="Calibri"/>
        </w:rPr>
        <w:t xml:space="preserve"> collections.</w:t>
      </w:r>
    </w:p>
    <w:p w14:paraId="6EAB1D45" w14:textId="13237E56" w:rsidR="00D63C70" w:rsidRPr="00205DD5" w:rsidRDefault="00D63C70" w:rsidP="00D63C70">
      <w:pPr>
        <w:rPr>
          <w:rFonts w:eastAsia="Calibri"/>
        </w:rPr>
      </w:pPr>
      <w:r w:rsidRPr="00205DD5">
        <w:rPr>
          <w:rFonts w:eastAsia="Calibri"/>
        </w:rPr>
        <w:lastRenderedPageBreak/>
        <w:t xml:space="preserve">Petroleum resource rent tax receipts have been revised down by </w:t>
      </w:r>
      <w:r w:rsidR="00FF796A" w:rsidRPr="00205DD5">
        <w:rPr>
          <w:rFonts w:eastAsia="Calibri"/>
        </w:rPr>
        <w:t>$</w:t>
      </w:r>
      <w:r w:rsidR="00857FE5" w:rsidRPr="00205DD5">
        <w:rPr>
          <w:rFonts w:eastAsia="Calibri"/>
        </w:rPr>
        <w:t>1.3</w:t>
      </w:r>
      <w:r w:rsidR="00D9022D" w:rsidRPr="00205DD5">
        <w:rPr>
          <w:rFonts w:eastAsia="Calibri"/>
        </w:rPr>
        <w:t> </w:t>
      </w:r>
      <w:r w:rsidRPr="00205DD5">
        <w:rPr>
          <w:rFonts w:eastAsia="Calibri"/>
        </w:rPr>
        <w:t>billion in 202</w:t>
      </w:r>
      <w:r w:rsidR="004F51B9" w:rsidRPr="00205DD5">
        <w:rPr>
          <w:rFonts w:eastAsia="Calibri"/>
        </w:rPr>
        <w:t>4</w:t>
      </w:r>
      <w:r w:rsidRPr="00205DD5">
        <w:rPr>
          <w:rFonts w:eastAsia="Calibri"/>
        </w:rPr>
        <w:t>–2</w:t>
      </w:r>
      <w:r w:rsidR="004F51B9" w:rsidRPr="00205DD5">
        <w:rPr>
          <w:rFonts w:eastAsia="Calibri"/>
        </w:rPr>
        <w:t>5</w:t>
      </w:r>
      <w:r w:rsidRPr="00205DD5">
        <w:rPr>
          <w:rFonts w:eastAsia="Calibri"/>
        </w:rPr>
        <w:t xml:space="preserve"> and </w:t>
      </w:r>
      <w:r w:rsidR="00FF796A" w:rsidRPr="00205DD5">
        <w:rPr>
          <w:rFonts w:eastAsia="Calibri"/>
        </w:rPr>
        <w:t>$</w:t>
      </w:r>
      <w:r w:rsidR="00445A1B" w:rsidRPr="00205DD5">
        <w:rPr>
          <w:rFonts w:eastAsia="Calibri"/>
        </w:rPr>
        <w:t>2.0</w:t>
      </w:r>
      <w:r w:rsidR="00D9022D" w:rsidRPr="00205DD5">
        <w:rPr>
          <w:rFonts w:eastAsia="Calibri"/>
        </w:rPr>
        <w:t> </w:t>
      </w:r>
      <w:r w:rsidRPr="00205DD5">
        <w:rPr>
          <w:rFonts w:eastAsia="Calibri"/>
        </w:rPr>
        <w:t xml:space="preserve">billion over the four years to </w:t>
      </w:r>
      <w:r w:rsidR="003746D2" w:rsidRPr="00205DD5">
        <w:rPr>
          <w:rFonts w:eastAsia="Calibri"/>
        </w:rPr>
        <w:t>2027</w:t>
      </w:r>
      <w:r w:rsidRPr="00205DD5">
        <w:rPr>
          <w:rFonts w:eastAsia="Calibri"/>
        </w:rPr>
        <w:t>–</w:t>
      </w:r>
      <w:r w:rsidR="003746D2" w:rsidRPr="00205DD5">
        <w:rPr>
          <w:rFonts w:eastAsia="Calibri"/>
        </w:rPr>
        <w:t>28</w:t>
      </w:r>
      <w:r w:rsidRPr="00205DD5">
        <w:rPr>
          <w:rFonts w:eastAsia="Calibri"/>
        </w:rPr>
        <w:t xml:space="preserve">. </w:t>
      </w:r>
      <w:r w:rsidR="00186B78" w:rsidRPr="00205DD5">
        <w:rPr>
          <w:rFonts w:eastAsia="Calibri"/>
        </w:rPr>
        <w:t xml:space="preserve">A large part of the </w:t>
      </w:r>
      <w:r w:rsidR="00C34DE7" w:rsidRPr="00205DD5">
        <w:rPr>
          <w:rFonts w:eastAsia="Calibri"/>
        </w:rPr>
        <w:t>downgrade</w:t>
      </w:r>
      <w:r w:rsidR="00186B78" w:rsidRPr="00205DD5">
        <w:rPr>
          <w:rFonts w:eastAsia="Calibri"/>
        </w:rPr>
        <w:t xml:space="preserve"> </w:t>
      </w:r>
      <w:r w:rsidR="000F3419" w:rsidRPr="00205DD5">
        <w:rPr>
          <w:rFonts w:eastAsia="Calibri"/>
        </w:rPr>
        <w:t>to 2024</w:t>
      </w:r>
      <w:r w:rsidR="00E22E3E" w:rsidRPr="00205DD5">
        <w:rPr>
          <w:rFonts w:eastAsia="Calibri"/>
        </w:rPr>
        <w:t>–</w:t>
      </w:r>
      <w:r w:rsidR="000F3419" w:rsidRPr="00205DD5">
        <w:rPr>
          <w:rFonts w:eastAsia="Calibri"/>
        </w:rPr>
        <w:t xml:space="preserve">25 </w:t>
      </w:r>
      <w:r w:rsidR="00E93E7D" w:rsidRPr="00205DD5">
        <w:rPr>
          <w:rFonts w:eastAsia="Calibri"/>
        </w:rPr>
        <w:t>is</w:t>
      </w:r>
      <w:r w:rsidR="00321605" w:rsidRPr="00205DD5">
        <w:rPr>
          <w:rFonts w:eastAsia="Calibri"/>
        </w:rPr>
        <w:t xml:space="preserve"> </w:t>
      </w:r>
      <w:r w:rsidR="0089423B" w:rsidRPr="00205DD5">
        <w:rPr>
          <w:rFonts w:eastAsia="Calibri"/>
        </w:rPr>
        <w:t>due to</w:t>
      </w:r>
      <w:r w:rsidR="00561666" w:rsidRPr="00205DD5">
        <w:rPr>
          <w:rFonts w:eastAsia="Calibri"/>
        </w:rPr>
        <w:t xml:space="preserve"> </w:t>
      </w:r>
      <w:r w:rsidR="00ED1ED5" w:rsidRPr="00205DD5">
        <w:rPr>
          <w:rFonts w:eastAsia="Calibri"/>
        </w:rPr>
        <w:t xml:space="preserve">a change in </w:t>
      </w:r>
      <w:r w:rsidR="006D1FD2" w:rsidRPr="00205DD5">
        <w:rPr>
          <w:rFonts w:eastAsia="Calibri"/>
        </w:rPr>
        <w:t xml:space="preserve">the </w:t>
      </w:r>
      <w:r w:rsidR="00561666" w:rsidRPr="00205DD5">
        <w:rPr>
          <w:rFonts w:eastAsia="Calibri"/>
        </w:rPr>
        <w:t>timing</w:t>
      </w:r>
      <w:r w:rsidR="006D1FD2" w:rsidRPr="00205DD5">
        <w:rPr>
          <w:rFonts w:eastAsia="Calibri"/>
        </w:rPr>
        <w:t xml:space="preserve"> of </w:t>
      </w:r>
      <w:r w:rsidR="00561666" w:rsidRPr="00205DD5">
        <w:rPr>
          <w:rFonts w:eastAsia="Calibri"/>
        </w:rPr>
        <w:t xml:space="preserve">when </w:t>
      </w:r>
      <w:r w:rsidR="00195F58" w:rsidRPr="00205DD5">
        <w:rPr>
          <w:rFonts w:eastAsia="Calibri"/>
        </w:rPr>
        <w:t xml:space="preserve">some </w:t>
      </w:r>
      <w:r w:rsidR="00561666" w:rsidRPr="00205DD5">
        <w:rPr>
          <w:rFonts w:eastAsia="Calibri"/>
        </w:rPr>
        <w:t xml:space="preserve">PRRT </w:t>
      </w:r>
      <w:r w:rsidR="00E93E7D" w:rsidRPr="00205DD5">
        <w:rPr>
          <w:rFonts w:eastAsia="Calibri"/>
        </w:rPr>
        <w:t>is expected to be payable.</w:t>
      </w:r>
      <w:r w:rsidR="009813FB" w:rsidRPr="00205DD5">
        <w:rPr>
          <w:rFonts w:eastAsia="Calibri"/>
        </w:rPr>
        <w:t xml:space="preserve"> The dow</w:t>
      </w:r>
      <w:r w:rsidR="002667DB" w:rsidRPr="00205DD5">
        <w:rPr>
          <w:rFonts w:eastAsia="Calibri"/>
        </w:rPr>
        <w:t>nward revision beyond 2024</w:t>
      </w:r>
      <w:r w:rsidR="00207139" w:rsidRPr="00205DD5">
        <w:rPr>
          <w:rFonts w:eastAsia="Calibri"/>
        </w:rPr>
        <w:t>–</w:t>
      </w:r>
      <w:r w:rsidR="002667DB" w:rsidRPr="00205DD5">
        <w:rPr>
          <w:rFonts w:eastAsia="Calibri"/>
        </w:rPr>
        <w:t xml:space="preserve">25 reflects </w:t>
      </w:r>
      <w:r w:rsidR="00FC38C8" w:rsidRPr="00205DD5">
        <w:rPr>
          <w:rFonts w:eastAsia="Calibri"/>
        </w:rPr>
        <w:t>lower oil prices.</w:t>
      </w:r>
      <w:bookmarkStart w:id="36" w:name="_Hlk149229257"/>
    </w:p>
    <w:bookmarkEnd w:id="36"/>
    <w:p w14:paraId="674C89C7" w14:textId="18104F7E" w:rsidR="000F1652" w:rsidRPr="00205DD5" w:rsidRDefault="000F1652" w:rsidP="00D63C70">
      <w:pPr>
        <w:rPr>
          <w:rFonts w:eastAsia="Calibri"/>
        </w:rPr>
      </w:pPr>
      <w:r w:rsidRPr="00205DD5">
        <w:rPr>
          <w:rFonts w:eastAsia="Calibri"/>
        </w:rPr>
        <w:t xml:space="preserve">Total excise and customs duty receipts have been revised down by </w:t>
      </w:r>
      <w:r w:rsidR="00FF796A" w:rsidRPr="00205DD5">
        <w:rPr>
          <w:rFonts w:eastAsia="Calibri"/>
        </w:rPr>
        <w:t>$</w:t>
      </w:r>
      <w:r w:rsidR="00876E41" w:rsidRPr="00205DD5">
        <w:rPr>
          <w:rFonts w:eastAsia="Calibri"/>
        </w:rPr>
        <w:t>3.3</w:t>
      </w:r>
      <w:r w:rsidR="00D9022D" w:rsidRPr="00205DD5">
        <w:rPr>
          <w:rFonts w:eastAsia="Calibri"/>
        </w:rPr>
        <w:t> </w:t>
      </w:r>
      <w:r w:rsidRPr="00205DD5">
        <w:rPr>
          <w:rFonts w:eastAsia="Calibri"/>
        </w:rPr>
        <w:t xml:space="preserve">billion in 2024–25 and </w:t>
      </w:r>
      <w:r w:rsidR="00FF796A" w:rsidRPr="00205DD5">
        <w:rPr>
          <w:rFonts w:eastAsia="Calibri"/>
        </w:rPr>
        <w:t>$</w:t>
      </w:r>
      <w:r w:rsidR="00F256E7" w:rsidRPr="00205DD5">
        <w:rPr>
          <w:rFonts w:eastAsia="Calibri"/>
        </w:rPr>
        <w:t>13.3</w:t>
      </w:r>
      <w:r w:rsidR="00D9022D" w:rsidRPr="00205DD5">
        <w:rPr>
          <w:rFonts w:eastAsia="Calibri"/>
        </w:rPr>
        <w:t> </w:t>
      </w:r>
      <w:r w:rsidRPr="00205DD5">
        <w:rPr>
          <w:rFonts w:eastAsia="Calibri"/>
        </w:rPr>
        <w:t xml:space="preserve">billion over the four years to 2027–28. This largely reflects lower tobacco excise receipts, which have been downgraded by </w:t>
      </w:r>
      <w:r w:rsidR="00FF796A" w:rsidRPr="00205DD5">
        <w:rPr>
          <w:rFonts w:eastAsia="Calibri"/>
        </w:rPr>
        <w:t>$</w:t>
      </w:r>
      <w:r w:rsidR="00F256E7" w:rsidRPr="00205DD5">
        <w:rPr>
          <w:rFonts w:eastAsia="Calibri"/>
        </w:rPr>
        <w:t>2.8</w:t>
      </w:r>
      <w:r w:rsidR="00D9022D" w:rsidRPr="00205DD5">
        <w:rPr>
          <w:rFonts w:eastAsia="Calibri"/>
        </w:rPr>
        <w:t> </w:t>
      </w:r>
      <w:r w:rsidRPr="00205DD5">
        <w:rPr>
          <w:rFonts w:eastAsia="Calibri"/>
        </w:rPr>
        <w:t>billion in 2024</w:t>
      </w:r>
      <w:r w:rsidR="00E22E3E" w:rsidRPr="00205DD5">
        <w:rPr>
          <w:rFonts w:eastAsia="Calibri"/>
        </w:rPr>
        <w:t>–</w:t>
      </w:r>
      <w:r w:rsidRPr="00205DD5">
        <w:rPr>
          <w:rFonts w:eastAsia="Calibri"/>
        </w:rPr>
        <w:t xml:space="preserve">25 and </w:t>
      </w:r>
      <w:r w:rsidR="00FF796A" w:rsidRPr="00205DD5">
        <w:rPr>
          <w:rFonts w:eastAsia="Calibri"/>
        </w:rPr>
        <w:t>$</w:t>
      </w:r>
      <w:r w:rsidR="00F256E7" w:rsidRPr="00205DD5">
        <w:rPr>
          <w:rFonts w:eastAsia="Calibri"/>
        </w:rPr>
        <w:t>10.7</w:t>
      </w:r>
      <w:r w:rsidR="00D9022D" w:rsidRPr="00205DD5">
        <w:rPr>
          <w:rFonts w:eastAsia="Calibri"/>
        </w:rPr>
        <w:t> </w:t>
      </w:r>
      <w:r w:rsidRPr="00205DD5">
        <w:rPr>
          <w:rFonts w:eastAsia="Calibri"/>
        </w:rPr>
        <w:t>billion over the four years to 2027</w:t>
      </w:r>
      <w:r w:rsidR="00207139" w:rsidRPr="00205DD5">
        <w:rPr>
          <w:rFonts w:eastAsia="Calibri"/>
        </w:rPr>
        <w:t>–</w:t>
      </w:r>
      <w:r w:rsidRPr="00205DD5">
        <w:rPr>
          <w:rFonts w:eastAsia="Calibri"/>
        </w:rPr>
        <w:t>28</w:t>
      </w:r>
      <w:r w:rsidR="00A86F78" w:rsidRPr="00205DD5">
        <w:rPr>
          <w:rFonts w:eastAsia="Calibri"/>
        </w:rPr>
        <w:t>, owing to l</w:t>
      </w:r>
      <w:r w:rsidR="00A52836" w:rsidRPr="00205DD5">
        <w:rPr>
          <w:rFonts w:eastAsia="Calibri"/>
        </w:rPr>
        <w:t>ower</w:t>
      </w:r>
      <w:r w:rsidR="00331BDE" w:rsidRPr="00205DD5">
        <w:rPr>
          <w:rFonts w:eastAsia="Calibri"/>
        </w:rPr>
        <w:noBreakHyphen/>
      </w:r>
      <w:r w:rsidR="00A52836" w:rsidRPr="00205DD5">
        <w:rPr>
          <w:rFonts w:eastAsia="Calibri"/>
        </w:rPr>
        <w:t>than</w:t>
      </w:r>
      <w:r w:rsidR="00331BDE" w:rsidRPr="00205DD5">
        <w:rPr>
          <w:rFonts w:eastAsia="Calibri"/>
        </w:rPr>
        <w:noBreakHyphen/>
      </w:r>
      <w:r w:rsidR="00EE2B34" w:rsidRPr="00205DD5">
        <w:rPr>
          <w:rFonts w:eastAsia="Calibri"/>
        </w:rPr>
        <w:t xml:space="preserve">expected tobacco excise collections and </w:t>
      </w:r>
      <w:r w:rsidR="00BF0BA0" w:rsidRPr="00205DD5">
        <w:rPr>
          <w:rFonts w:eastAsia="Calibri"/>
        </w:rPr>
        <w:t>a</w:t>
      </w:r>
      <w:r w:rsidR="00B05A78" w:rsidRPr="00205DD5">
        <w:rPr>
          <w:rFonts w:eastAsia="Calibri"/>
        </w:rPr>
        <w:t xml:space="preserve"> downgrade to</w:t>
      </w:r>
      <w:r w:rsidR="00DA44E8" w:rsidRPr="00205DD5">
        <w:rPr>
          <w:rFonts w:eastAsia="Calibri"/>
        </w:rPr>
        <w:t xml:space="preserve"> the</w:t>
      </w:r>
      <w:r w:rsidR="00B05A78" w:rsidRPr="00205DD5">
        <w:rPr>
          <w:rFonts w:eastAsia="Calibri"/>
        </w:rPr>
        <w:t xml:space="preserve"> tobacco consumption outlook</w:t>
      </w:r>
      <w:r w:rsidRPr="00205DD5">
        <w:rPr>
          <w:rFonts w:eastAsia="Calibri"/>
        </w:rPr>
        <w:t>.</w:t>
      </w:r>
    </w:p>
    <w:p w14:paraId="358EE3A4" w14:textId="103117CC" w:rsidR="00D63C70" w:rsidRPr="000D64BA" w:rsidRDefault="00D63C70" w:rsidP="00D63C70">
      <w:pPr>
        <w:rPr>
          <w:rFonts w:eastAsia="Calibri"/>
        </w:rPr>
      </w:pPr>
      <w:r w:rsidRPr="00205DD5">
        <w:rPr>
          <w:rFonts w:eastAsia="Calibri"/>
        </w:rPr>
        <w:t xml:space="preserve">GST receipts have been revised </w:t>
      </w:r>
      <w:r w:rsidR="006974A7" w:rsidRPr="00205DD5">
        <w:rPr>
          <w:rFonts w:eastAsia="Calibri"/>
        </w:rPr>
        <w:t>up</w:t>
      </w:r>
      <w:r w:rsidRPr="00205DD5">
        <w:rPr>
          <w:rFonts w:eastAsia="Calibri"/>
        </w:rPr>
        <w:t xml:space="preserve"> by </w:t>
      </w:r>
      <w:r w:rsidR="00FF796A" w:rsidRPr="00205DD5">
        <w:rPr>
          <w:rFonts w:eastAsia="Calibri"/>
        </w:rPr>
        <w:t>$</w:t>
      </w:r>
      <w:r w:rsidR="00853CAA" w:rsidRPr="00205DD5">
        <w:rPr>
          <w:rFonts w:eastAsia="Calibri"/>
        </w:rPr>
        <w:t>2.1</w:t>
      </w:r>
      <w:r w:rsidR="00D9022D" w:rsidRPr="00205DD5">
        <w:rPr>
          <w:rFonts w:eastAsia="Calibri"/>
        </w:rPr>
        <w:t> </w:t>
      </w:r>
      <w:r w:rsidRPr="00205DD5">
        <w:rPr>
          <w:rFonts w:eastAsia="Calibri"/>
        </w:rPr>
        <w:t>billion in 202</w:t>
      </w:r>
      <w:r w:rsidR="006974A7" w:rsidRPr="00205DD5">
        <w:rPr>
          <w:rFonts w:eastAsia="Calibri"/>
        </w:rPr>
        <w:t>4</w:t>
      </w:r>
      <w:r w:rsidRPr="00205DD5">
        <w:rPr>
          <w:rFonts w:eastAsia="Calibri"/>
        </w:rPr>
        <w:t>–2</w:t>
      </w:r>
      <w:r w:rsidR="006974A7" w:rsidRPr="00205DD5">
        <w:rPr>
          <w:rFonts w:eastAsia="Calibri"/>
        </w:rPr>
        <w:t>5</w:t>
      </w:r>
      <w:r w:rsidRPr="00205DD5">
        <w:rPr>
          <w:rFonts w:eastAsia="Calibri"/>
        </w:rPr>
        <w:t xml:space="preserve"> and </w:t>
      </w:r>
      <w:r w:rsidR="00FF796A" w:rsidRPr="00205DD5">
        <w:rPr>
          <w:rFonts w:eastAsia="Calibri"/>
        </w:rPr>
        <w:t>$</w:t>
      </w:r>
      <w:r w:rsidR="00F85019" w:rsidRPr="00205DD5">
        <w:rPr>
          <w:rFonts w:eastAsia="Calibri"/>
        </w:rPr>
        <w:t>6.8</w:t>
      </w:r>
      <w:r w:rsidR="00D9022D" w:rsidRPr="00205DD5">
        <w:rPr>
          <w:rFonts w:eastAsia="Calibri"/>
        </w:rPr>
        <w:t> </w:t>
      </w:r>
      <w:r w:rsidRPr="00205DD5">
        <w:rPr>
          <w:rFonts w:eastAsia="Calibri"/>
        </w:rPr>
        <w:t>billion over the four years to 202</w:t>
      </w:r>
      <w:r w:rsidR="00545227" w:rsidRPr="00205DD5">
        <w:rPr>
          <w:rFonts w:eastAsia="Calibri"/>
        </w:rPr>
        <w:t>7</w:t>
      </w:r>
      <w:r w:rsidRPr="00205DD5">
        <w:rPr>
          <w:rFonts w:eastAsia="Calibri"/>
        </w:rPr>
        <w:t>–2</w:t>
      </w:r>
      <w:r w:rsidR="00545227" w:rsidRPr="00205DD5">
        <w:rPr>
          <w:rFonts w:eastAsia="Calibri"/>
        </w:rPr>
        <w:t>8</w:t>
      </w:r>
      <w:r w:rsidRPr="00205DD5">
        <w:rPr>
          <w:rFonts w:eastAsia="Calibri"/>
        </w:rPr>
        <w:t xml:space="preserve">. </w:t>
      </w:r>
      <w:r w:rsidR="001813D0" w:rsidRPr="00205DD5">
        <w:rPr>
          <w:rFonts w:eastAsia="Calibri"/>
        </w:rPr>
        <w:t>This reflects stronger</w:t>
      </w:r>
      <w:r w:rsidR="001813D0" w:rsidRPr="00205DD5">
        <w:rPr>
          <w:rFonts w:eastAsia="Calibri"/>
        </w:rPr>
        <w:noBreakHyphen/>
        <w:t>than</w:t>
      </w:r>
      <w:r w:rsidR="001813D0" w:rsidRPr="00205DD5">
        <w:rPr>
          <w:rFonts w:eastAsia="Calibri"/>
        </w:rPr>
        <w:noBreakHyphen/>
        <w:t xml:space="preserve">expected </w:t>
      </w:r>
      <w:r w:rsidR="000D64BA" w:rsidRPr="00205DD5">
        <w:rPr>
          <w:rFonts w:eastAsia="Calibri"/>
        </w:rPr>
        <w:t>GST collections, and an upgrade to the outlook for nominal consumption subject to GST and nominal private dwelling investment, partially offset by lower net travel services.</w:t>
      </w:r>
      <w:r w:rsidRPr="000D64BA">
        <w:rPr>
          <w:rFonts w:eastAsia="Calibri"/>
        </w:rPr>
        <w:t xml:space="preserve"> </w:t>
      </w:r>
    </w:p>
    <w:p w14:paraId="6A88DA19" w14:textId="6AC4850C" w:rsidR="004913B0" w:rsidRPr="00E44B74" w:rsidRDefault="00867C7B" w:rsidP="00846070">
      <w:pPr>
        <w:rPr>
          <w:rStyle w:val="Emphasis"/>
          <w:rFonts w:eastAsia="Calibri"/>
        </w:rPr>
      </w:pPr>
      <w:r w:rsidRPr="00205DD5">
        <w:rPr>
          <w:rFonts w:eastAsia="Calibri"/>
          <w:lang w:val="en-US"/>
        </w:rPr>
        <w:t>Since the 2024–25 Budget, parameter and other variations are expected to increase non</w:t>
      </w:r>
      <w:r w:rsidR="004913B0" w:rsidRPr="00205DD5">
        <w:rPr>
          <w:rFonts w:eastAsia="Calibri"/>
          <w:lang w:val="en-US"/>
        </w:rPr>
        <w:noBreakHyphen/>
      </w:r>
      <w:r w:rsidRPr="00205DD5">
        <w:rPr>
          <w:rFonts w:eastAsia="Calibri"/>
          <w:lang w:val="en-US"/>
        </w:rPr>
        <w:t>taxation</w:t>
      </w:r>
      <w:r w:rsidR="00C7439B" w:rsidRPr="00205DD5">
        <w:rPr>
          <w:rFonts w:eastAsia="Calibri"/>
          <w:lang w:val="en-US"/>
        </w:rPr>
        <w:t xml:space="preserve"> </w:t>
      </w:r>
      <w:r w:rsidRPr="00205DD5">
        <w:rPr>
          <w:rFonts w:eastAsia="Calibri"/>
          <w:lang w:val="en-US"/>
        </w:rPr>
        <w:t>receipts by $2.5 billion in 2024–25 and by $4.6 billion over the four years to 2027–28. This increase is predominately driven by higher earnings from the Future Fund and other Australian Government Investment Funds, and higher-than-expected interest earnings related to Commonwealth Debt Management. This increase is reduced by lower repayment estimates of Higher Education Loan Program debts, partially driven by implementation of the 2024</w:t>
      </w:r>
      <w:r w:rsidR="005A144E" w:rsidRPr="00205DD5">
        <w:t>–</w:t>
      </w:r>
      <w:r w:rsidRPr="00205DD5">
        <w:rPr>
          <w:rFonts w:eastAsia="Calibri"/>
          <w:lang w:val="en-US"/>
        </w:rPr>
        <w:t xml:space="preserve">25 Budget measure </w:t>
      </w:r>
      <w:r w:rsidRPr="00205DD5">
        <w:rPr>
          <w:rStyle w:val="Emphasis"/>
          <w:rFonts w:eastAsia="Calibri"/>
        </w:rPr>
        <w:t>Australian Universities Accord – tertiary education system reforms</w:t>
      </w:r>
      <w:r w:rsidR="004F3E48" w:rsidRPr="00205DD5">
        <w:rPr>
          <w:rStyle w:val="Emphasis"/>
          <w:rFonts w:eastAsia="Calibri"/>
        </w:rPr>
        <w:t>.</w:t>
      </w:r>
      <w:r w:rsidR="00432232" w:rsidRPr="00205DD5">
        <w:rPr>
          <w:rStyle w:val="Emphasis"/>
          <w:rFonts w:eastAsia="Calibri"/>
        </w:rPr>
        <w:t xml:space="preserve"> </w:t>
      </w:r>
    </w:p>
    <w:p w14:paraId="2A769E13" w14:textId="75C9016D" w:rsidR="00D63C70" w:rsidRPr="00205DD5" w:rsidRDefault="00D63C70" w:rsidP="00D63C70">
      <w:pPr>
        <w:pStyle w:val="Heading3"/>
        <w:spacing w:before="0" w:after="240"/>
      </w:pPr>
      <w:r w:rsidRPr="00205DD5">
        <w:t xml:space="preserve">Payments estimates and </w:t>
      </w:r>
      <w:proofErr w:type="gramStart"/>
      <w:r w:rsidRPr="00205DD5">
        <w:t>projections</w:t>
      </w:r>
      <w:bookmarkEnd w:id="34"/>
      <w:bookmarkEnd w:id="35"/>
      <w:proofErr w:type="gramEnd"/>
      <w:r w:rsidR="008458C1" w:rsidRPr="00205DD5">
        <w:t xml:space="preserve"> </w:t>
      </w:r>
    </w:p>
    <w:p w14:paraId="239B05B6" w14:textId="350E0455" w:rsidR="00D63C70" w:rsidRPr="00001F96" w:rsidRDefault="00D63C70" w:rsidP="00D63C70">
      <w:r w:rsidRPr="00205DD5">
        <w:t xml:space="preserve">Since the </w:t>
      </w:r>
      <w:r w:rsidR="0024353B" w:rsidRPr="00205DD5">
        <w:t xml:space="preserve">2024–25 </w:t>
      </w:r>
      <w:r w:rsidRPr="00205DD5">
        <w:t>Budget, total payments have increased by $</w:t>
      </w:r>
      <w:r w:rsidR="009F4379" w:rsidRPr="00205DD5">
        <w:t>4.4</w:t>
      </w:r>
      <w:r w:rsidRPr="00205DD5">
        <w:t xml:space="preserve"> billion in </w:t>
      </w:r>
      <w:r w:rsidR="009A2FBB" w:rsidRPr="00205DD5">
        <w:t>2024</w:t>
      </w:r>
      <w:r w:rsidRPr="00205DD5">
        <w:t>–</w:t>
      </w:r>
      <w:r w:rsidR="009A2FBB" w:rsidRPr="00205DD5">
        <w:t xml:space="preserve">25 </w:t>
      </w:r>
      <w:r w:rsidRPr="00205DD5">
        <w:t>and by $</w:t>
      </w:r>
      <w:r w:rsidR="00513FC3" w:rsidRPr="00205DD5">
        <w:t>42.</w:t>
      </w:r>
      <w:r w:rsidR="00287DC3" w:rsidRPr="00205DD5">
        <w:t>2</w:t>
      </w:r>
      <w:r w:rsidRPr="00205DD5">
        <w:t xml:space="preserve"> billion over four years to </w:t>
      </w:r>
      <w:r w:rsidR="009A2FBB" w:rsidRPr="00205DD5">
        <w:t>2027</w:t>
      </w:r>
      <w:r w:rsidRPr="00205DD5">
        <w:t>–</w:t>
      </w:r>
      <w:r w:rsidR="009A2FBB" w:rsidRPr="00205DD5">
        <w:t>28</w:t>
      </w:r>
      <w:r w:rsidRPr="00205DD5">
        <w:t>.</w:t>
      </w:r>
      <w:r w:rsidRPr="0058018F">
        <w:t xml:space="preserve"> </w:t>
      </w:r>
      <w:r w:rsidRPr="00205DD5">
        <w:t xml:space="preserve">Real payments growth </w:t>
      </w:r>
      <w:r w:rsidR="005B44C5" w:rsidRPr="00205DD5">
        <w:rPr>
          <w:szCs w:val="19"/>
        </w:rPr>
        <w:t xml:space="preserve">since coming to government and over the forward estimates period is expected to be </w:t>
      </w:r>
      <w:r w:rsidR="008B0D15" w:rsidRPr="00205DD5">
        <w:rPr>
          <w:szCs w:val="19"/>
        </w:rPr>
        <w:t>1.5</w:t>
      </w:r>
      <w:r w:rsidR="005B44C5" w:rsidRPr="00205DD5">
        <w:rPr>
          <w:szCs w:val="19"/>
        </w:rPr>
        <w:t xml:space="preserve"> per cent per year</w:t>
      </w:r>
      <w:r w:rsidR="005B44C5" w:rsidRPr="00205DD5">
        <w:t>, around half of the 30-year average of 3.2 per cent.</w:t>
      </w:r>
      <w:r w:rsidR="008458C1" w:rsidRPr="0058018F">
        <w:t xml:space="preserve"> </w:t>
      </w:r>
    </w:p>
    <w:p w14:paraId="0D36E38C" w14:textId="3AB32259" w:rsidR="00D63C70" w:rsidRPr="00205DD5" w:rsidRDefault="00D63C70" w:rsidP="00D63C70">
      <w:pPr>
        <w:pStyle w:val="Heading4"/>
      </w:pPr>
      <w:bookmarkStart w:id="37" w:name="_Toc148428071"/>
      <w:r w:rsidRPr="00205DD5">
        <w:t>Payment policy decisions over the forward estimates</w:t>
      </w:r>
      <w:bookmarkEnd w:id="37"/>
    </w:p>
    <w:p w14:paraId="14FB0B37" w14:textId="1AA1B174" w:rsidR="00FB55B0" w:rsidRPr="00205DD5" w:rsidRDefault="00FB55B0" w:rsidP="00FB55B0">
      <w:r w:rsidRPr="00205DD5">
        <w:t>New policy decisions since the 2024</w:t>
      </w:r>
      <w:r w:rsidR="005A144E" w:rsidRPr="00205DD5">
        <w:t>–</w:t>
      </w:r>
      <w:r w:rsidRPr="00205DD5">
        <w:t>25 Budget have increased total payments by $2.5</w:t>
      </w:r>
      <w:r w:rsidR="00A21964" w:rsidRPr="00205DD5">
        <w:t> </w:t>
      </w:r>
      <w:r w:rsidR="001A1EC1" w:rsidRPr="00205DD5">
        <w:t>b</w:t>
      </w:r>
      <w:r w:rsidRPr="00205DD5">
        <w:t>illion in 2024</w:t>
      </w:r>
      <w:r w:rsidR="005A144E" w:rsidRPr="00205DD5">
        <w:t>–</w:t>
      </w:r>
      <w:r w:rsidRPr="00205DD5">
        <w:t>25 and by $19.1 billion over four years from 2024</w:t>
      </w:r>
      <w:r w:rsidR="005A144E" w:rsidRPr="00205DD5">
        <w:t>–</w:t>
      </w:r>
      <w:r w:rsidRPr="00205DD5">
        <w:t>25 to 2027</w:t>
      </w:r>
      <w:r w:rsidR="005A144E" w:rsidRPr="00205DD5">
        <w:t>–</w:t>
      </w:r>
      <w:r w:rsidRPr="00205DD5">
        <w:t xml:space="preserve">28. </w:t>
      </w:r>
    </w:p>
    <w:p w14:paraId="6A2384C0" w14:textId="6207671C" w:rsidR="00FB55B0" w:rsidRPr="00205DD5" w:rsidRDefault="00FB55B0" w:rsidP="00FB55B0">
      <w:r w:rsidRPr="00205DD5">
        <w:t>Major policy decisions since the 2024</w:t>
      </w:r>
      <w:r w:rsidR="005A144E" w:rsidRPr="00205DD5">
        <w:t>–</w:t>
      </w:r>
      <w:r w:rsidRPr="00205DD5">
        <w:t>25 Budget that have increased payments include:</w:t>
      </w:r>
    </w:p>
    <w:p w14:paraId="6FA8A0D9" w14:textId="77777777" w:rsidR="00FB55B0" w:rsidRPr="00205DD5" w:rsidRDefault="00FB55B0" w:rsidP="001A1EC1">
      <w:pPr>
        <w:pStyle w:val="Bullet"/>
      </w:pPr>
      <w:r w:rsidRPr="00205DD5">
        <w:t>funding to support a wage increase for the early childhood education and care workforce through a worker retention payment, which is expected to increase payments by $3.6 billion over four years from 2024–</w:t>
      </w:r>
      <w:proofErr w:type="gramStart"/>
      <w:r w:rsidRPr="00205DD5">
        <w:t>25</w:t>
      </w:r>
      <w:proofErr w:type="gramEnd"/>
    </w:p>
    <w:p w14:paraId="7DEA0AAD" w14:textId="5F87DAD2" w:rsidR="00FB55B0" w:rsidRPr="00205DD5" w:rsidRDefault="00FB55B0" w:rsidP="001A1EC1">
      <w:pPr>
        <w:pStyle w:val="Bullet"/>
      </w:pPr>
      <w:r w:rsidRPr="00205DD5">
        <w:t>funding for new and amended listings on the Pharmaceutical Benefits Scheme, Repatriation Pharmaceutical Benefits Scheme, Life Saving Drugs Program, National Epidermolysis Bullosa Dressing Scheme and Stoma Appliance Scheme, which is expected to increase payments by $2.5 billion over five years from 2023</w:t>
      </w:r>
      <w:r w:rsidR="005A144E" w:rsidRPr="00205DD5">
        <w:t>–</w:t>
      </w:r>
      <w:proofErr w:type="gramStart"/>
      <w:r w:rsidRPr="00205DD5">
        <w:t>24</w:t>
      </w:r>
      <w:proofErr w:type="gramEnd"/>
      <w:r w:rsidRPr="00205DD5">
        <w:t xml:space="preserve"> </w:t>
      </w:r>
    </w:p>
    <w:p w14:paraId="457F2028" w14:textId="2C90E9B6" w:rsidR="00FB55B0" w:rsidRPr="00205DD5" w:rsidRDefault="00FB55B0" w:rsidP="00224061">
      <w:pPr>
        <w:pStyle w:val="Bullet"/>
      </w:pPr>
      <w:r w:rsidRPr="00205DD5">
        <w:lastRenderedPageBreak/>
        <w:t xml:space="preserve">funding for the effective and sustainable operation of the National Disability Insurance Scheme and to support the implementation of the </w:t>
      </w:r>
      <w:r w:rsidRPr="00205DD5">
        <w:rPr>
          <w:rStyle w:val="Emphasis"/>
        </w:rPr>
        <w:t>National Disability Insurance Scheme Amendment (Getting the NDIS Back on Track No.1) Act 2024</w:t>
      </w:r>
      <w:r w:rsidRPr="00205DD5">
        <w:rPr>
          <w:i/>
        </w:rPr>
        <w:t xml:space="preserve"> </w:t>
      </w:r>
      <w:r w:rsidRPr="00205DD5">
        <w:t>which is expected to increase payments by $939.5</w:t>
      </w:r>
      <w:r w:rsidR="00B613EC" w:rsidRPr="00205DD5">
        <w:t xml:space="preserve"> </w:t>
      </w:r>
      <w:r w:rsidRPr="00205DD5">
        <w:t>m</w:t>
      </w:r>
      <w:r w:rsidR="00B613EC" w:rsidRPr="00205DD5">
        <w:t>illion</w:t>
      </w:r>
      <w:r w:rsidRPr="00205DD5">
        <w:t xml:space="preserve"> over four years from 2024</w:t>
      </w:r>
      <w:r w:rsidR="005A144E" w:rsidRPr="00205DD5">
        <w:t>–</w:t>
      </w:r>
      <w:proofErr w:type="gramStart"/>
      <w:r w:rsidRPr="00205DD5">
        <w:t>25</w:t>
      </w:r>
      <w:proofErr w:type="gramEnd"/>
    </w:p>
    <w:p w14:paraId="3901694F" w14:textId="77777777" w:rsidR="00FB55B0" w:rsidRPr="00205DD5" w:rsidRDefault="00FB55B0" w:rsidP="00224061">
      <w:pPr>
        <w:pStyle w:val="Bullet"/>
      </w:pPr>
      <w:r w:rsidRPr="00205DD5">
        <w:t>funding to improve access to Early Childhood Education and Care (ECEC), which is expected to increase payments by $839.9 million over four years from 2024–</w:t>
      </w:r>
      <w:proofErr w:type="gramStart"/>
      <w:r w:rsidRPr="00205DD5">
        <w:t>25</w:t>
      </w:r>
      <w:proofErr w:type="gramEnd"/>
      <w:r w:rsidRPr="00205DD5">
        <w:t xml:space="preserve"> </w:t>
      </w:r>
    </w:p>
    <w:p w14:paraId="0631E02F" w14:textId="6D3519BF" w:rsidR="00FB55B0" w:rsidRPr="00205DD5" w:rsidRDefault="00FB55B0" w:rsidP="00224061">
      <w:pPr>
        <w:pStyle w:val="Bullet"/>
      </w:pPr>
      <w:r w:rsidRPr="00205DD5">
        <w:t>funding to support actions to accelerate a reliable and secure energy transition across Australia, which is expected to increase payments by $764.2 million over four years from 2024</w:t>
      </w:r>
      <w:r w:rsidR="00031D5D" w:rsidRPr="00205DD5">
        <w:t>–</w:t>
      </w:r>
      <w:proofErr w:type="gramStart"/>
      <w:r w:rsidRPr="00205DD5">
        <w:t>25</w:t>
      </w:r>
      <w:proofErr w:type="gramEnd"/>
    </w:p>
    <w:p w14:paraId="42720E71" w14:textId="36B94C5F" w:rsidR="00FB55B0" w:rsidRPr="00205DD5" w:rsidRDefault="00FB55B0" w:rsidP="00224061">
      <w:pPr>
        <w:pStyle w:val="Bullet"/>
      </w:pPr>
      <w:r w:rsidRPr="00205DD5">
        <w:t>funding for road and rail infrastructure priorities to support productivity and jobs</w:t>
      </w:r>
      <w:r w:rsidR="00224061" w:rsidRPr="00205DD5">
        <w:t xml:space="preserve"> </w:t>
      </w:r>
      <w:r w:rsidR="00A60E0A" w:rsidRPr="00205DD5">
        <w:t xml:space="preserve">and </w:t>
      </w:r>
      <w:r w:rsidR="00EC4BD8" w:rsidRPr="00205DD5">
        <w:t xml:space="preserve">address unavoidable </w:t>
      </w:r>
      <w:r w:rsidR="008C50B4" w:rsidRPr="00205DD5">
        <w:t>cost pressures within the Infrastructure Investment Program</w:t>
      </w:r>
      <w:r w:rsidRPr="00205DD5">
        <w:t>, which is expected to increase payments by $726.5 million over four years from 2024</w:t>
      </w:r>
      <w:r w:rsidR="00031D5D" w:rsidRPr="00205DD5">
        <w:t>–</w:t>
      </w:r>
      <w:proofErr w:type="gramStart"/>
      <w:r w:rsidRPr="00205DD5">
        <w:t>25</w:t>
      </w:r>
      <w:proofErr w:type="gramEnd"/>
    </w:p>
    <w:p w14:paraId="2CA0D4B3" w14:textId="77777777" w:rsidR="00FB55B0" w:rsidRPr="00205DD5" w:rsidRDefault="00FB55B0" w:rsidP="00224061">
      <w:pPr>
        <w:pStyle w:val="Bullet"/>
      </w:pPr>
      <w:r w:rsidRPr="00205DD5">
        <w:t>funding to provide better access and more affordable health care which is expected to increase payments by $622.7 million over four years from 2024–</w:t>
      </w:r>
      <w:proofErr w:type="gramStart"/>
      <w:r w:rsidRPr="00205DD5">
        <w:t>25</w:t>
      </w:r>
      <w:proofErr w:type="gramEnd"/>
    </w:p>
    <w:p w14:paraId="310CB417" w14:textId="6CA670C4" w:rsidR="00FB55B0" w:rsidRPr="00205DD5" w:rsidRDefault="00FB55B0" w:rsidP="00224061">
      <w:pPr>
        <w:pStyle w:val="Bullet"/>
      </w:pPr>
      <w:r w:rsidRPr="00205DD5">
        <w:t>funding to establish a new National Access to Justice Partnership from 1 July 2025 following the expiry of the National Legal Assistance Partnership, which is expected to increase payments by $616.1 million over three years from 2025</w:t>
      </w:r>
      <w:r w:rsidR="00031D5D" w:rsidRPr="00205DD5">
        <w:t>–</w:t>
      </w:r>
      <w:proofErr w:type="gramStart"/>
      <w:r w:rsidRPr="00205DD5">
        <w:t>26</w:t>
      </w:r>
      <w:proofErr w:type="gramEnd"/>
    </w:p>
    <w:p w14:paraId="4F65A0C2" w14:textId="47CD2678" w:rsidR="00FB55B0" w:rsidRPr="00205DD5" w:rsidRDefault="00FB55B0" w:rsidP="00224061">
      <w:pPr>
        <w:pStyle w:val="Bullet"/>
      </w:pPr>
      <w:r w:rsidRPr="00205DD5">
        <w:t xml:space="preserve">funding to implement a new remote employment services program to replace the </w:t>
      </w:r>
      <w:r w:rsidRPr="00205DD5">
        <w:rPr>
          <w:rStyle w:val="Emphasis"/>
        </w:rPr>
        <w:t>Community Development Program</w:t>
      </w:r>
      <w:r w:rsidRPr="00205DD5">
        <w:t xml:space="preserve"> which is expected to increase payments by $</w:t>
      </w:r>
      <w:r w:rsidRPr="003721EC">
        <w:t>461.</w:t>
      </w:r>
      <w:r w:rsidR="00C14CC5" w:rsidRPr="003721EC">
        <w:t>4</w:t>
      </w:r>
      <w:r w:rsidR="00224061" w:rsidRPr="003721EC">
        <w:t> </w:t>
      </w:r>
      <w:r w:rsidR="00224061" w:rsidRPr="00205DD5">
        <w:t>m</w:t>
      </w:r>
      <w:r w:rsidRPr="00205DD5">
        <w:t>illion over four years from 2024</w:t>
      </w:r>
      <w:r w:rsidR="00031D5D" w:rsidRPr="00205DD5">
        <w:t>–</w:t>
      </w:r>
      <w:r w:rsidRPr="00205DD5">
        <w:t>25.</w:t>
      </w:r>
    </w:p>
    <w:p w14:paraId="560FF7A7" w14:textId="7E42913D" w:rsidR="00FB55B0" w:rsidRPr="00205DD5" w:rsidRDefault="00FB55B0" w:rsidP="00FB55B0">
      <w:r w:rsidRPr="00205DD5">
        <w:t>Major policy decisions since the 2024</w:t>
      </w:r>
      <w:r w:rsidR="00031D5D" w:rsidRPr="00205DD5">
        <w:t>–</w:t>
      </w:r>
      <w:r w:rsidRPr="00205DD5">
        <w:t>25 Budget that have decreased payments include:</w:t>
      </w:r>
    </w:p>
    <w:p w14:paraId="3D9CB44F" w14:textId="77777777" w:rsidR="00FB55B0" w:rsidRPr="00205DD5" w:rsidRDefault="00FB55B0" w:rsidP="00224061">
      <w:pPr>
        <w:pStyle w:val="Bullet"/>
      </w:pPr>
      <w:r w:rsidRPr="00205DD5">
        <w:t>renegotiating the terms of the advance purchase agreement entered into with Novavax, Inc for the purchase of COVID</w:t>
      </w:r>
      <w:r w:rsidRPr="00205DD5">
        <w:rPr>
          <w:rFonts w:ascii="Times New Roman" w:hAnsi="Times New Roman"/>
        </w:rPr>
        <w:t>‑</w:t>
      </w:r>
      <w:r w:rsidRPr="00205DD5">
        <w:t>19 vaccines, which is expected to decrease payments by $206.7 million over two years from 2024</w:t>
      </w:r>
      <w:r w:rsidRPr="00205DD5">
        <w:rPr>
          <w:rFonts w:cs="Book Antiqua"/>
        </w:rPr>
        <w:t>–</w:t>
      </w:r>
      <w:proofErr w:type="gramStart"/>
      <w:r w:rsidRPr="00205DD5">
        <w:t>25</w:t>
      </w:r>
      <w:proofErr w:type="gramEnd"/>
    </w:p>
    <w:p w14:paraId="311EF5DF" w14:textId="5788EB2E" w:rsidR="00D63C70" w:rsidRPr="00FD4AC2" w:rsidRDefault="00FB55B0" w:rsidP="00207139">
      <w:pPr>
        <w:pStyle w:val="Bullet"/>
      </w:pPr>
      <w:r w:rsidRPr="00205DD5">
        <w:t xml:space="preserve">reprioritising funding within the Department of Education by ceasing the unallocated </w:t>
      </w:r>
      <w:r w:rsidRPr="00205DD5">
        <w:rPr>
          <w:rStyle w:val="Emphasis"/>
        </w:rPr>
        <w:t>Innovative Places</w:t>
      </w:r>
      <w:r w:rsidRPr="00205DD5">
        <w:t xml:space="preserve"> program on 31 December 2026 and reforming the </w:t>
      </w:r>
      <w:r w:rsidR="00FF0803" w:rsidRPr="00205DD5">
        <w:t xml:space="preserve">undersubscribed </w:t>
      </w:r>
      <w:r w:rsidRPr="00205DD5">
        <w:rPr>
          <w:rStyle w:val="Emphasis"/>
        </w:rPr>
        <w:t>Tertiary Access Payment</w:t>
      </w:r>
      <w:r w:rsidRPr="00205DD5">
        <w:t>, which is expected to decrease payments by $197.1 million over four years from 2024–25.</w:t>
      </w:r>
      <w:r w:rsidR="00D63C70" w:rsidRPr="00FD4AC2">
        <w:t xml:space="preserve"> </w:t>
      </w:r>
    </w:p>
    <w:p w14:paraId="0BCB4BEC" w14:textId="338384C3" w:rsidR="00D63C70" w:rsidRPr="00205DD5" w:rsidRDefault="00D63C70" w:rsidP="00D63C70">
      <w:pPr>
        <w:pStyle w:val="Heading4"/>
      </w:pPr>
      <w:r w:rsidRPr="00205DD5">
        <w:t>Payment parameter and other variations over the forward estimates</w:t>
      </w:r>
      <w:r w:rsidR="00AF603C" w:rsidRPr="00205DD5">
        <w:t xml:space="preserve"> </w:t>
      </w:r>
    </w:p>
    <w:p w14:paraId="7D7EA64F" w14:textId="70A697AC" w:rsidR="004F1E04" w:rsidRPr="00205DD5" w:rsidRDefault="004F1E04" w:rsidP="004F1E04">
      <w:r w:rsidRPr="00205DD5">
        <w:t xml:space="preserve">Parameter and other variations since the Budget have increased payments by $1.9 billion in 2024–25 and $23.0 billion over </w:t>
      </w:r>
      <w:r w:rsidR="005E35E8" w:rsidRPr="00205DD5">
        <w:t>four</w:t>
      </w:r>
      <w:r w:rsidRPr="00205DD5">
        <w:t xml:space="preserve"> years from 2024–25 to 2027–28. </w:t>
      </w:r>
    </w:p>
    <w:p w14:paraId="7EBF3083" w14:textId="1E39B9DA" w:rsidR="004F1E04" w:rsidRPr="00205DD5" w:rsidRDefault="004F1E04" w:rsidP="004F1E04">
      <w:r w:rsidRPr="00205DD5">
        <w:t xml:space="preserve">This is primarily driven by higher payments for aged care and </w:t>
      </w:r>
      <w:proofErr w:type="gramStart"/>
      <w:r w:rsidRPr="00205DD5">
        <w:t>a number of</w:t>
      </w:r>
      <w:proofErr w:type="gramEnd"/>
      <w:r w:rsidRPr="00205DD5">
        <w:t xml:space="preserve"> demand-driven programs, higher GST entitlements for the states and territories and higher debt servicing costs. These are partially offset by lower estimated payments related to the National</w:t>
      </w:r>
      <w:r w:rsidR="00461C69" w:rsidRPr="00205DD5">
        <w:t> </w:t>
      </w:r>
      <w:r w:rsidRPr="00205DD5">
        <w:t>Disability</w:t>
      </w:r>
      <w:r w:rsidR="0041255A" w:rsidRPr="00205DD5">
        <w:t> </w:t>
      </w:r>
      <w:r w:rsidRPr="00205DD5">
        <w:t>Insurance</w:t>
      </w:r>
      <w:r w:rsidR="0041255A" w:rsidRPr="00205DD5">
        <w:t> </w:t>
      </w:r>
      <w:r w:rsidRPr="00205DD5">
        <w:t>Scheme (NDIS).</w:t>
      </w:r>
    </w:p>
    <w:p w14:paraId="07B50FB3" w14:textId="1A3A3418" w:rsidR="004F1E04" w:rsidRPr="00205DD5" w:rsidRDefault="004F1E04" w:rsidP="004F1E04">
      <w:r w:rsidRPr="00205DD5">
        <w:lastRenderedPageBreak/>
        <w:t>Major increases in payments from parameter and other variations since the 2024</w:t>
      </w:r>
      <w:r w:rsidR="00031D5D" w:rsidRPr="00205DD5">
        <w:t>–</w:t>
      </w:r>
      <w:r w:rsidRPr="00205DD5">
        <w:t>25</w:t>
      </w:r>
      <w:r w:rsidR="0041255A" w:rsidRPr="00205DD5">
        <w:t> </w:t>
      </w:r>
      <w:r w:rsidRPr="00205DD5">
        <w:t xml:space="preserve">Budget include: </w:t>
      </w:r>
    </w:p>
    <w:p w14:paraId="16A89CEA" w14:textId="2B35F76D" w:rsidR="004F1E04" w:rsidRPr="00205DD5" w:rsidRDefault="004F1E04" w:rsidP="00101A8B">
      <w:pPr>
        <w:pStyle w:val="Bullet"/>
      </w:pPr>
      <w:r w:rsidRPr="00205DD5">
        <w:t>payments related to the Aged Care Services program, which are expected to increase by $808.3 million in 2024</w:t>
      </w:r>
      <w:r w:rsidR="00031D5D" w:rsidRPr="00205DD5">
        <w:t>–</w:t>
      </w:r>
      <w:r w:rsidRPr="00205DD5">
        <w:t>25 and $8.4 billion over four years to 2027</w:t>
      </w:r>
      <w:r w:rsidR="00031D5D" w:rsidRPr="00205DD5">
        <w:t>–</w:t>
      </w:r>
      <w:r w:rsidRPr="00205DD5">
        <w:t>28, largely due to increased funding for wages as a result of the Fair Work Commission Aged Care Work Value Case, the setting of the Australian National Aged Care Classification (AN-ACC) price for residential aged care for 2024</w:t>
      </w:r>
      <w:r w:rsidR="00031D5D" w:rsidRPr="00205DD5">
        <w:t>–</w:t>
      </w:r>
      <w:r w:rsidRPr="00205DD5">
        <w:t>25, and an update to the AN-ACC funding model, including updated AN</w:t>
      </w:r>
      <w:r w:rsidR="00101A8B" w:rsidRPr="00205DD5">
        <w:t>-</w:t>
      </w:r>
      <w:r w:rsidRPr="00205DD5">
        <w:t>ACC price growth assumptions. The budget impact of this increase is partially offset by funding provisioned in the Contingency Reserve for the Aged Care Work Value Case outcome.</w:t>
      </w:r>
    </w:p>
    <w:p w14:paraId="3EE6AF31" w14:textId="0E309F97" w:rsidR="004F1E04" w:rsidRPr="00205DD5" w:rsidRDefault="004F1E04" w:rsidP="00101A8B">
      <w:pPr>
        <w:pStyle w:val="Bullet"/>
      </w:pPr>
      <w:r w:rsidRPr="00205DD5">
        <w:t>payments related to the provision of GST to the states and territories (including Horizontal Fiscal Equalisation transition payments), which are expected to increase by $1.4 billion in 2024</w:t>
      </w:r>
      <w:r w:rsidR="00031D5D" w:rsidRPr="00205DD5">
        <w:t>–</w:t>
      </w:r>
      <w:r w:rsidRPr="00205DD5">
        <w:t>25 and $6.7 billion over four years to 2027</w:t>
      </w:r>
      <w:r w:rsidR="00031D5D" w:rsidRPr="00205DD5">
        <w:t>–</w:t>
      </w:r>
      <w:proofErr w:type="gramStart"/>
      <w:r w:rsidRPr="00205DD5">
        <w:t>28, and</w:t>
      </w:r>
      <w:proofErr w:type="gramEnd"/>
      <w:r w:rsidRPr="00205DD5">
        <w:t xml:space="preserve"> are largely offset by an increase in GST receipts.</w:t>
      </w:r>
    </w:p>
    <w:p w14:paraId="5D987F78" w14:textId="7A3563D6" w:rsidR="004F1E04" w:rsidRPr="00205DD5" w:rsidRDefault="004F1E04" w:rsidP="00101A8B">
      <w:pPr>
        <w:pStyle w:val="Bullet"/>
      </w:pPr>
      <w:r w:rsidRPr="00205DD5">
        <w:t>payments related to Commonwealth Debt Management, which are expected to increase by $557.0 million in 2024</w:t>
      </w:r>
      <w:r w:rsidR="00031D5D" w:rsidRPr="00205DD5">
        <w:t>–</w:t>
      </w:r>
      <w:r w:rsidRPr="00205DD5">
        <w:t>25 and $4.2 billion over four years to 2027</w:t>
      </w:r>
      <w:r w:rsidR="00031D5D" w:rsidRPr="00205DD5">
        <w:t>–</w:t>
      </w:r>
      <w:r w:rsidRPr="00205DD5">
        <w:t>28, largely reflecting increased borrowing requirements, combined with higher bond yields.</w:t>
      </w:r>
    </w:p>
    <w:p w14:paraId="35E5444D" w14:textId="6D31EB31" w:rsidR="004F1E04" w:rsidRPr="00205DD5" w:rsidRDefault="004F1E04" w:rsidP="00634660">
      <w:pPr>
        <w:pStyle w:val="Bullet"/>
      </w:pPr>
      <w:r w:rsidRPr="00205DD5">
        <w:t>payments related to the Support for Seniors program, which are expected to increase by $486.9 million in 2024</w:t>
      </w:r>
      <w:r w:rsidR="00031D5D" w:rsidRPr="00205DD5">
        <w:t>–</w:t>
      </w:r>
      <w:r w:rsidRPr="00205DD5">
        <w:t>25 and $3.6 billion over four years to 2027</w:t>
      </w:r>
      <w:r w:rsidR="00031D5D" w:rsidRPr="00205DD5">
        <w:t>–</w:t>
      </w:r>
      <w:r w:rsidRPr="00205DD5">
        <w:t>28, largely reflecting a higher-than-projected rate of indexation for the Age Pension.</w:t>
      </w:r>
    </w:p>
    <w:p w14:paraId="0B53AC8A" w14:textId="389DD17B" w:rsidR="004F1E04" w:rsidRPr="00205DD5" w:rsidRDefault="004F1E04" w:rsidP="004374DB">
      <w:pPr>
        <w:pStyle w:val="Bullet"/>
      </w:pPr>
      <w:r w:rsidRPr="00205DD5">
        <w:t>payments related to the Financial Support for People with Disability program, which are expected to increase by $624.4 million in 2024</w:t>
      </w:r>
      <w:r w:rsidR="00031D5D" w:rsidRPr="00205DD5">
        <w:t>–</w:t>
      </w:r>
      <w:r w:rsidRPr="00205DD5">
        <w:t>25 and $3.6 billion over four years to 2027</w:t>
      </w:r>
      <w:r w:rsidR="00031D5D" w:rsidRPr="00205DD5">
        <w:t>–</w:t>
      </w:r>
      <w:r w:rsidRPr="00205DD5">
        <w:t xml:space="preserve">28, largely reflecting increases in the projected number of Disability Support Pension (DSP) recipients, </w:t>
      </w:r>
      <w:r w:rsidR="00637358" w:rsidRPr="00205DD5">
        <w:t>a higher-than-projected rate of indexation for the DSP, higher</w:t>
      </w:r>
      <w:r w:rsidR="0041255A" w:rsidRPr="00205DD5">
        <w:noBreakHyphen/>
      </w:r>
      <w:r w:rsidR="00637358" w:rsidRPr="00205DD5">
        <w:t>than-projected average payment rates,</w:t>
      </w:r>
      <w:r w:rsidRPr="00205DD5">
        <w:t xml:space="preserve"> along with the gradual resolution of the claims backlog.</w:t>
      </w:r>
    </w:p>
    <w:p w14:paraId="240EEAA6" w14:textId="593EFEFE" w:rsidR="004F1E04" w:rsidRPr="00205DD5" w:rsidRDefault="004F1E04" w:rsidP="004374DB">
      <w:pPr>
        <w:pStyle w:val="Bullet"/>
      </w:pPr>
      <w:r w:rsidRPr="00205DD5">
        <w:t xml:space="preserve">payments related to the </w:t>
      </w:r>
      <w:proofErr w:type="gramStart"/>
      <w:r w:rsidRPr="00205DD5">
        <w:t>Child Care</w:t>
      </w:r>
      <w:proofErr w:type="gramEnd"/>
      <w:r w:rsidRPr="00205DD5">
        <w:t xml:space="preserve"> Subsidy program, which are expected to increase by $686.6 million in 2024</w:t>
      </w:r>
      <w:r w:rsidR="00031D5D" w:rsidRPr="00205DD5">
        <w:t>–</w:t>
      </w:r>
      <w:r w:rsidRPr="00205DD5">
        <w:t>25 and $3.1 billion over four years to 2027</w:t>
      </w:r>
      <w:r w:rsidR="00031D5D" w:rsidRPr="00205DD5">
        <w:t>–</w:t>
      </w:r>
      <w:r w:rsidRPr="00205DD5">
        <w:t xml:space="preserve">28, largely reflecting additional support flowing to families </w:t>
      </w:r>
      <w:r w:rsidR="00390D88" w:rsidRPr="00205DD5">
        <w:t xml:space="preserve">in line with changes in the cost </w:t>
      </w:r>
      <w:r w:rsidRPr="00205DD5">
        <w:t xml:space="preserve">of providing care and increases in projected child care usage by families. This is partially offset by the fee constraint condition of the ECEC worker retention payment. </w:t>
      </w:r>
    </w:p>
    <w:p w14:paraId="0A261E5F" w14:textId="100EA2E4" w:rsidR="004F1E04" w:rsidRPr="00205DD5" w:rsidRDefault="004F1E04" w:rsidP="004374DB">
      <w:pPr>
        <w:pStyle w:val="Bullet"/>
      </w:pPr>
      <w:r w:rsidRPr="00205DD5">
        <w:t>payments related to the Job Seeker Income Support program, which are expected to increase by $386.9 million in 2024</w:t>
      </w:r>
      <w:r w:rsidR="00031D5D" w:rsidRPr="00205DD5">
        <w:t>–</w:t>
      </w:r>
      <w:r w:rsidRPr="00205DD5">
        <w:t>25 and $2.1 billion over four years to 2027</w:t>
      </w:r>
      <w:r w:rsidR="00031D5D" w:rsidRPr="00205DD5">
        <w:t>–</w:t>
      </w:r>
      <w:r w:rsidRPr="00205DD5">
        <w:t>28, largely reflecting upward revisions to the expected number of recipients and to average payment rates driven by changes to the composition of payment recipients.</w:t>
      </w:r>
    </w:p>
    <w:p w14:paraId="6B4CA4D7" w14:textId="30C5EDD2" w:rsidR="004F1E04" w:rsidRPr="00205DD5" w:rsidRDefault="004F1E04" w:rsidP="00CD79A4">
      <w:pPr>
        <w:pStyle w:val="Bullet"/>
      </w:pPr>
      <w:r w:rsidRPr="00205DD5">
        <w:t>payments related to Non-Government Schools, which are expected to increase by $648.9</w:t>
      </w:r>
      <w:r w:rsidR="00CD79A4" w:rsidRPr="00205DD5">
        <w:t> </w:t>
      </w:r>
      <w:r w:rsidRPr="00205DD5">
        <w:t>million in 2024</w:t>
      </w:r>
      <w:r w:rsidR="00031D5D" w:rsidRPr="00205DD5">
        <w:t>–</w:t>
      </w:r>
      <w:r w:rsidRPr="00205DD5">
        <w:t>25 and $2.1 billion over four years to 2027</w:t>
      </w:r>
      <w:r w:rsidR="00031D5D" w:rsidRPr="00205DD5">
        <w:t>–</w:t>
      </w:r>
      <w:r w:rsidRPr="00205DD5">
        <w:t>28, largely reflecting an increase in non-government school enrolments, and an increase in the number of students with a disability eligible to attract a higher level of funding.</w:t>
      </w:r>
    </w:p>
    <w:p w14:paraId="6F641548" w14:textId="0F8A8B64" w:rsidR="004F1E04" w:rsidRPr="00205DD5" w:rsidRDefault="004F1E04" w:rsidP="004374DB">
      <w:pPr>
        <w:pStyle w:val="Bullet"/>
      </w:pPr>
      <w:r w:rsidRPr="00205DD5">
        <w:lastRenderedPageBreak/>
        <w:t>payments related to the Military Rehabilitation Compensation Acts – Income Support and Compensation program are expected to increase by $1.5 billion in 2024</w:t>
      </w:r>
      <w:r w:rsidR="00031D5D" w:rsidRPr="00205DD5">
        <w:t>–</w:t>
      </w:r>
      <w:r w:rsidRPr="00205DD5">
        <w:t>25 and $1.8</w:t>
      </w:r>
      <w:r w:rsidR="00CD79A4" w:rsidRPr="00205DD5">
        <w:t> </w:t>
      </w:r>
      <w:r w:rsidRPr="00205DD5">
        <w:t>billion over four years to 2027</w:t>
      </w:r>
      <w:r w:rsidR="00031D5D" w:rsidRPr="00205DD5">
        <w:t>–</w:t>
      </w:r>
      <w:r w:rsidRPr="00205DD5">
        <w:t>28, largely reflecting an increase in the number of claims lodged and accepted</w:t>
      </w:r>
      <w:r w:rsidR="00522DE1" w:rsidRPr="00205DD5">
        <w:t>,</w:t>
      </w:r>
      <w:r w:rsidR="00F53FAB" w:rsidRPr="00205DD5">
        <w:t xml:space="preserve"> </w:t>
      </w:r>
      <w:r w:rsidR="00DD08AB" w:rsidRPr="00205DD5">
        <w:t xml:space="preserve">including as a result </w:t>
      </w:r>
      <w:r w:rsidR="00F53FAB" w:rsidRPr="00205DD5" w:rsidDel="00742395">
        <w:t xml:space="preserve">of the </w:t>
      </w:r>
      <w:r w:rsidR="00DD08AB" w:rsidRPr="00205DD5">
        <w:t xml:space="preserve">Government’s investments in the Department of Veterans Affairs to clear the claims </w:t>
      </w:r>
      <w:r w:rsidR="00F53FAB" w:rsidRPr="00205DD5" w:rsidDel="00742395">
        <w:t>backlog</w:t>
      </w:r>
      <w:r w:rsidR="001D3901" w:rsidRPr="00205DD5">
        <w:t>,</w:t>
      </w:r>
      <w:r w:rsidR="00DD08AB" w:rsidRPr="00205DD5" w:rsidDel="00742395">
        <w:t xml:space="preserve"> </w:t>
      </w:r>
      <w:r w:rsidRPr="00205DD5">
        <w:t>which will result in increased payments to veterans.</w:t>
      </w:r>
    </w:p>
    <w:p w14:paraId="7A3249BA" w14:textId="16D0EB31" w:rsidR="004F1E04" w:rsidRPr="00205DD5" w:rsidRDefault="004F1E04" w:rsidP="001A48BA">
      <w:pPr>
        <w:pStyle w:val="Bullet"/>
      </w:pPr>
      <w:r w:rsidRPr="00205DD5">
        <w:t>payments related to the National Partnership Payments – Natural Disaster Relief program, which are expected to decrease by $2.0 billion in 2024</w:t>
      </w:r>
      <w:r w:rsidR="00031D5D" w:rsidRPr="00205DD5">
        <w:t>–</w:t>
      </w:r>
      <w:r w:rsidRPr="00205DD5">
        <w:t>25 and increase by $1.8</w:t>
      </w:r>
      <w:r w:rsidR="00CD79A4" w:rsidRPr="00205DD5">
        <w:t> </w:t>
      </w:r>
      <w:r w:rsidRPr="00205DD5">
        <w:t>billion over four years to 2027</w:t>
      </w:r>
      <w:r w:rsidR="00031D5D" w:rsidRPr="00205DD5">
        <w:t>–</w:t>
      </w:r>
      <w:r w:rsidRPr="00205DD5">
        <w:t>28, largely reflecting updated estimates from the states related to past disaster events including New South Wales and Queensland flooding events between 2021 and 2023, Tropical Cyclone Jasper in 2023, and severe storm and rainfall events in Queensland in 2023 and 2024.</w:t>
      </w:r>
    </w:p>
    <w:p w14:paraId="76436D16" w14:textId="7A6263A8" w:rsidR="004F1E04" w:rsidRPr="00205DD5" w:rsidRDefault="004F1E04" w:rsidP="002F1A2D">
      <w:pPr>
        <w:pStyle w:val="Bullet"/>
      </w:pPr>
      <w:r w:rsidRPr="00205DD5">
        <w:t>payments related to the Medical Benefits program, which are expected to increase by $292.2 million in 2024</w:t>
      </w:r>
      <w:r w:rsidR="00031D5D" w:rsidRPr="00205DD5">
        <w:t>–</w:t>
      </w:r>
      <w:r w:rsidRPr="00205DD5">
        <w:t>25 and $1.2 billion over four years to 2027</w:t>
      </w:r>
      <w:r w:rsidR="00031D5D" w:rsidRPr="00205DD5">
        <w:t>–</w:t>
      </w:r>
      <w:r w:rsidRPr="00205DD5">
        <w:t xml:space="preserve">28, largely reflecting higher than expected demand for medical services. </w:t>
      </w:r>
    </w:p>
    <w:p w14:paraId="119B679C" w14:textId="76356F99" w:rsidR="004F1E04" w:rsidRPr="00205DD5" w:rsidRDefault="004F1E04" w:rsidP="002F1A2D">
      <w:pPr>
        <w:pStyle w:val="Bullet"/>
      </w:pPr>
      <w:r w:rsidRPr="00205DD5">
        <w:t>payments related to the Pharmaceutical Benefits Scheme, which are expected to increase by $632.3 million in 2024</w:t>
      </w:r>
      <w:r w:rsidR="00031D5D" w:rsidRPr="00205DD5">
        <w:t>–</w:t>
      </w:r>
      <w:r w:rsidRPr="00205DD5">
        <w:t>25 and $1.2 billion over four years to 2027</w:t>
      </w:r>
      <w:r w:rsidR="00031D5D" w:rsidRPr="00205DD5">
        <w:t>–</w:t>
      </w:r>
      <w:r w:rsidRPr="00205DD5">
        <w:t xml:space="preserve">28, largely reflecting higher than projected prescription volumes and updated pharmaceutical pricing assumptions. </w:t>
      </w:r>
    </w:p>
    <w:p w14:paraId="11E28B24" w14:textId="729CBC99" w:rsidR="004F1E04" w:rsidRPr="00205DD5" w:rsidRDefault="004F1E04" w:rsidP="004F1E04">
      <w:r w:rsidRPr="00205DD5">
        <w:t>Major decreases in payments from parameter and other variations since the 2024</w:t>
      </w:r>
      <w:r w:rsidR="00031D5D" w:rsidRPr="00205DD5">
        <w:t>–</w:t>
      </w:r>
      <w:r w:rsidRPr="00205DD5">
        <w:t>25 Budget include:</w:t>
      </w:r>
    </w:p>
    <w:p w14:paraId="3B0091C9" w14:textId="509F30B3" w:rsidR="004F1E04" w:rsidRPr="00205DD5" w:rsidRDefault="004F1E04" w:rsidP="002F1A2D">
      <w:pPr>
        <w:pStyle w:val="Bullet"/>
      </w:pPr>
      <w:r w:rsidRPr="00205DD5">
        <w:t>payments related to the NDIS, which are expected to decrease by $126.7 million in 2024</w:t>
      </w:r>
      <w:r w:rsidR="0041255A" w:rsidRPr="00205DD5">
        <w:rPr>
          <w:rFonts w:ascii="Times New Roman" w:hAnsi="Times New Roman"/>
        </w:rPr>
        <w:t>‍</w:t>
      </w:r>
      <w:r w:rsidR="00031D5D" w:rsidRPr="00205DD5">
        <w:t>–</w:t>
      </w:r>
      <w:r w:rsidR="0041255A" w:rsidRPr="00205DD5">
        <w:rPr>
          <w:rFonts w:ascii="Times New Roman" w:hAnsi="Times New Roman"/>
        </w:rPr>
        <w:t>‍</w:t>
      </w:r>
      <w:r w:rsidRPr="00205DD5">
        <w:t xml:space="preserve">25 and $1.4 billion over four years, largely reflecting revised projections from the NDIS Actuary’s June 2024 projections, which project lower than previously forecast growth in participant numbers and a decrease in average value of participant plans. The updated projections incorporate impacts from the </w:t>
      </w:r>
      <w:r w:rsidRPr="00205DD5">
        <w:rPr>
          <w:rStyle w:val="Emphasis"/>
        </w:rPr>
        <w:t>National Disability Insurance Scheme Amendment (Getting the NDIS Back on Track No. 1) Act 2024</w:t>
      </w:r>
      <w:r w:rsidRPr="00205DD5">
        <w:t xml:space="preserve"> which commenced 3</w:t>
      </w:r>
      <w:r w:rsidR="0041255A" w:rsidRPr="00205DD5">
        <w:t> </w:t>
      </w:r>
      <w:r w:rsidRPr="00205DD5">
        <w:t>October</w:t>
      </w:r>
      <w:r w:rsidR="0041255A" w:rsidRPr="00205DD5">
        <w:t> </w:t>
      </w:r>
      <w:r w:rsidRPr="00205DD5">
        <w:t>2024.</w:t>
      </w:r>
    </w:p>
    <w:p w14:paraId="7E087DFA" w14:textId="77777777" w:rsidR="00BF69D1" w:rsidRPr="00205DD5" w:rsidRDefault="00BF69D1" w:rsidP="00BF69D1">
      <w:pPr>
        <w:pStyle w:val="Bullet"/>
      </w:pPr>
      <w:r w:rsidRPr="00205DD5">
        <w:t xml:space="preserve">payments related to road and rail transport projects under the Infrastructure Investment Program, which are expected to decrease by $1.4 billion in 2024–25 and $1.3 billion over four years to 2027–28, largely reflecting the application of a slippage adjustment to total Infrastructure Investment Program funding to take account of historical experience, including the timing of states claiming payments against milestones and the complexity of delivery and the impact of revised project delivery schedules for some projects. This is partially offset by the Government’s investments in road and rail priorities under the measure </w:t>
      </w:r>
      <w:r w:rsidRPr="00205DD5">
        <w:rPr>
          <w:rStyle w:val="Emphasis"/>
        </w:rPr>
        <w:t>Building Australia’s Future – Building a Better Future Through Considered Infrastructure Investment.</w:t>
      </w:r>
    </w:p>
    <w:p w14:paraId="1B3E4333" w14:textId="00C2B45B" w:rsidR="004F1E04" w:rsidRPr="00205DD5" w:rsidRDefault="004F1E04" w:rsidP="004374DB">
      <w:pPr>
        <w:pStyle w:val="Bullet"/>
      </w:pPr>
      <w:r w:rsidRPr="00205DD5">
        <w:t>payments related to the Defence Force Superannuation Benefits program, which are expected to decrease by $132.2 million in 2024</w:t>
      </w:r>
      <w:r w:rsidR="00031D5D" w:rsidRPr="00205DD5">
        <w:t>–</w:t>
      </w:r>
      <w:r w:rsidRPr="00205DD5">
        <w:t>25 and $400.0 million over four years to 2027</w:t>
      </w:r>
      <w:r w:rsidR="00031D5D" w:rsidRPr="00205DD5">
        <w:t>–</w:t>
      </w:r>
      <w:r w:rsidRPr="00205DD5">
        <w:t>28, largely reflecting changed assumptions used by the Australian</w:t>
      </w:r>
      <w:r w:rsidR="0041255A" w:rsidRPr="00205DD5">
        <w:t> </w:t>
      </w:r>
      <w:r w:rsidRPr="00205DD5">
        <w:t>Government Actuary to project the unfunded liability for the military superannuation schemes.</w:t>
      </w:r>
    </w:p>
    <w:p w14:paraId="13BCE366" w14:textId="027311D7" w:rsidR="004F1E04" w:rsidRPr="00205DD5" w:rsidRDefault="004F1E04" w:rsidP="004374DB">
      <w:pPr>
        <w:pStyle w:val="Bullet"/>
      </w:pPr>
      <w:r w:rsidRPr="00205DD5">
        <w:lastRenderedPageBreak/>
        <w:t>payments related to the Insurance and Risk Management program, which are expected to decrease by $222.8 million in 2024</w:t>
      </w:r>
      <w:r w:rsidR="00031D5D" w:rsidRPr="00205DD5">
        <w:t>–</w:t>
      </w:r>
      <w:r w:rsidRPr="00205DD5">
        <w:t>25 and $274.5 million over four years to 2027</w:t>
      </w:r>
      <w:r w:rsidR="0041255A" w:rsidRPr="00205DD5">
        <w:rPr>
          <w:rFonts w:ascii="Times New Roman" w:hAnsi="Times New Roman"/>
        </w:rPr>
        <w:t>‍</w:t>
      </w:r>
      <w:r w:rsidR="00031D5D" w:rsidRPr="00205DD5">
        <w:t>–</w:t>
      </w:r>
      <w:r w:rsidR="0041255A" w:rsidRPr="00205DD5">
        <w:rPr>
          <w:rFonts w:ascii="Times New Roman" w:hAnsi="Times New Roman"/>
        </w:rPr>
        <w:t>‍</w:t>
      </w:r>
      <w:r w:rsidRPr="00205DD5">
        <w:t xml:space="preserve">28, largely reflecting a reduction in the number of claims expected to be paid from the </w:t>
      </w:r>
      <w:proofErr w:type="spellStart"/>
      <w:r w:rsidRPr="00205DD5">
        <w:t>Comcover</w:t>
      </w:r>
      <w:proofErr w:type="spellEnd"/>
      <w:r w:rsidRPr="00205DD5">
        <w:t xml:space="preserve"> special account and revised timing for expected significant claims.</w:t>
      </w:r>
    </w:p>
    <w:p w14:paraId="69EE768C" w14:textId="28467F04" w:rsidR="00D63C70" w:rsidRPr="00D65F88" w:rsidRDefault="004F1E04" w:rsidP="00D65F88">
      <w:pPr>
        <w:rPr>
          <w:rStyle w:val="Heading3Char"/>
          <w:rFonts w:ascii="Book Antiqua" w:hAnsi="Book Antiqua"/>
          <w:b w:val="0"/>
        </w:rPr>
      </w:pPr>
      <w:r w:rsidRPr="00205DD5">
        <w:t xml:space="preserve">Consistent with past budgets, the underlying cash balance has been improved by regular draw down of the conservative bias allowance. Details of this draw down are provided at Appendix B: </w:t>
      </w:r>
      <w:r w:rsidRPr="00205DD5">
        <w:rPr>
          <w:rStyle w:val="Emphasis"/>
        </w:rPr>
        <w:t>Supplementary expenses table and the Contingency Reserve</w:t>
      </w:r>
      <w:r w:rsidR="00D168B0" w:rsidRPr="00205DD5">
        <w:t>.</w:t>
      </w:r>
      <w:r w:rsidR="00F43383" w:rsidRPr="00205DD5">
        <w:t xml:space="preserve"> </w:t>
      </w:r>
      <w:bookmarkStart w:id="38" w:name="_Toc117356562"/>
      <w:bookmarkStart w:id="39" w:name="_Toc134093765"/>
      <w:bookmarkStart w:id="40" w:name="_Toc148428073"/>
      <w:r w:rsidR="00D63C70" w:rsidRPr="00A93A32">
        <w:rPr>
          <w:rStyle w:val="Heading3Char"/>
          <w:color w:val="BFBFBF" w:themeColor="background1" w:themeShade="BF"/>
        </w:rPr>
        <w:br w:type="page"/>
      </w:r>
    </w:p>
    <w:p w14:paraId="7C46BEAF" w14:textId="03D54862" w:rsidR="00D63C70" w:rsidRPr="00205DD5" w:rsidRDefault="00B26C50" w:rsidP="00D63C70">
      <w:pPr>
        <w:pStyle w:val="Heading3"/>
      </w:pPr>
      <w:r w:rsidRPr="00205DD5">
        <w:rPr>
          <w:rStyle w:val="Heading3Char"/>
        </w:rPr>
        <w:lastRenderedPageBreak/>
        <w:t>Headline</w:t>
      </w:r>
      <w:r w:rsidR="00601F2A" w:rsidRPr="00205DD5">
        <w:rPr>
          <w:rStyle w:val="Heading3Char"/>
        </w:rPr>
        <w:t xml:space="preserve"> </w:t>
      </w:r>
      <w:r w:rsidR="00D63C70" w:rsidRPr="00205DD5">
        <w:rPr>
          <w:rStyle w:val="Heading3Char"/>
        </w:rPr>
        <w:t>cash balance estimates</w:t>
      </w:r>
      <w:bookmarkEnd w:id="38"/>
      <w:bookmarkEnd w:id="39"/>
      <w:bookmarkEnd w:id="40"/>
      <w:r w:rsidR="00AF603C" w:rsidRPr="00205DD5">
        <w:rPr>
          <w:rStyle w:val="Heading3Char"/>
        </w:rPr>
        <w:t xml:space="preserve"> </w:t>
      </w:r>
    </w:p>
    <w:p w14:paraId="410E3A02" w14:textId="3C7A1B10" w:rsidR="00D63C70" w:rsidRPr="00205DD5" w:rsidRDefault="00D63C70" w:rsidP="00D63C70">
      <w:r w:rsidRPr="00205DD5">
        <w:t>The headline cash balance adjusts the underlying cash balance to include net cash flows from investments in financial assets for policy purposes</w:t>
      </w:r>
      <w:r w:rsidR="00C738A7" w:rsidRPr="00205DD5">
        <w:t xml:space="preserve"> (IFAPPs)</w:t>
      </w:r>
      <w:r w:rsidRPr="00205DD5">
        <w:t xml:space="preserve">. </w:t>
      </w:r>
      <w:r w:rsidR="00D042E7" w:rsidRPr="00205DD5">
        <w:t xml:space="preserve">This includes Specialist Investment Vehicles </w:t>
      </w:r>
      <w:r w:rsidR="00A5679D" w:rsidRPr="00205DD5">
        <w:t xml:space="preserve">which invest in projects that </w:t>
      </w:r>
      <w:r w:rsidR="00361A99" w:rsidRPr="00205DD5">
        <w:t>deliver</w:t>
      </w:r>
      <w:r w:rsidR="00A5679D" w:rsidRPr="00205DD5">
        <w:t xml:space="preserve"> </w:t>
      </w:r>
      <w:r w:rsidR="00361A99" w:rsidRPr="00205DD5">
        <w:t>public</w:t>
      </w:r>
      <w:r w:rsidR="00A5679D" w:rsidRPr="00205DD5">
        <w:t xml:space="preserve"> </w:t>
      </w:r>
      <w:r w:rsidR="00361A99" w:rsidRPr="00205DD5">
        <w:t>value</w:t>
      </w:r>
      <w:r w:rsidR="00A5679D" w:rsidRPr="00205DD5">
        <w:t xml:space="preserve"> and a financial return to taxpayers</w:t>
      </w:r>
      <w:r w:rsidR="00361A99" w:rsidRPr="00205DD5">
        <w:t xml:space="preserve">. </w:t>
      </w:r>
      <w:r w:rsidRPr="00205DD5">
        <w:t xml:space="preserve">For example, Clean Energy Finance Corporation (CEFC) loans and equity investments </w:t>
      </w:r>
      <w:r w:rsidR="0008794C" w:rsidRPr="00205DD5">
        <w:t xml:space="preserve">impact </w:t>
      </w:r>
      <w:r w:rsidRPr="00205DD5">
        <w:t>the headline cash balance but not the underlying cash balance. Table 3.</w:t>
      </w:r>
      <w:r w:rsidR="00CB5DE8" w:rsidRPr="00205DD5">
        <w:t>7</w:t>
      </w:r>
      <w:r w:rsidRPr="00205DD5">
        <w:t xml:space="preserve"> provides further details of differences between the underlying and headline cash balance estimates. </w:t>
      </w:r>
    </w:p>
    <w:p w14:paraId="59D43112" w14:textId="31AF4375" w:rsidR="00D63C70" w:rsidRPr="00205DD5" w:rsidRDefault="00D63C70" w:rsidP="00D63C70">
      <w:r w:rsidRPr="00205DD5">
        <w:t>A headline cash deficit of $</w:t>
      </w:r>
      <w:r w:rsidR="009B155E" w:rsidRPr="00205DD5">
        <w:t>47.8</w:t>
      </w:r>
      <w:r w:rsidRPr="00205DD5">
        <w:t xml:space="preserve"> billion </w:t>
      </w:r>
      <w:r w:rsidR="00EB5D47" w:rsidRPr="00205DD5">
        <w:t xml:space="preserve">(1.7 per cent of GDP) </w:t>
      </w:r>
      <w:r w:rsidRPr="00205DD5">
        <w:t>is estimated in 202</w:t>
      </w:r>
      <w:r w:rsidR="00C0121F" w:rsidRPr="00205DD5">
        <w:t>4</w:t>
      </w:r>
      <w:r w:rsidRPr="00205DD5">
        <w:t>–2</w:t>
      </w:r>
      <w:r w:rsidR="00C0121F" w:rsidRPr="00205DD5">
        <w:t>5</w:t>
      </w:r>
      <w:r w:rsidRPr="00205DD5">
        <w:t>, compared to an estimated deficit of $</w:t>
      </w:r>
      <w:r w:rsidR="00450330" w:rsidRPr="00205DD5">
        <w:t>47.2</w:t>
      </w:r>
      <w:r w:rsidRPr="00205DD5">
        <w:t> billion</w:t>
      </w:r>
      <w:r w:rsidRPr="00205DD5" w:rsidDel="00E62F13">
        <w:t xml:space="preserve"> </w:t>
      </w:r>
      <w:r w:rsidRPr="00205DD5">
        <w:t>in the 202</w:t>
      </w:r>
      <w:r w:rsidR="006C4B89" w:rsidRPr="00205DD5">
        <w:t>4</w:t>
      </w:r>
      <w:r w:rsidRPr="00205DD5">
        <w:t>–2</w:t>
      </w:r>
      <w:r w:rsidR="006C4B89" w:rsidRPr="00205DD5">
        <w:t>5</w:t>
      </w:r>
      <w:r w:rsidRPr="00205DD5">
        <w:t xml:space="preserve"> Budget. </w:t>
      </w:r>
      <w:r w:rsidR="009317CD" w:rsidRPr="00205DD5">
        <w:t xml:space="preserve">The headline cash balance </w:t>
      </w:r>
      <w:r w:rsidR="00CF6877" w:rsidRPr="00205DD5">
        <w:t xml:space="preserve">decreases to an estimated deficit of </w:t>
      </w:r>
      <w:r w:rsidR="00C13569" w:rsidRPr="00205DD5">
        <w:t>$70.3 billion in 2025</w:t>
      </w:r>
      <w:r w:rsidR="00031D5D" w:rsidRPr="00205DD5">
        <w:t>–</w:t>
      </w:r>
      <w:r w:rsidR="00C13569" w:rsidRPr="00205DD5">
        <w:t xml:space="preserve">26, before </w:t>
      </w:r>
      <w:r w:rsidR="009317CD" w:rsidRPr="00205DD5">
        <w:t>moderat</w:t>
      </w:r>
      <w:r w:rsidR="00C13569" w:rsidRPr="00205DD5">
        <w:t>ing</w:t>
      </w:r>
      <w:r w:rsidR="009317CD" w:rsidRPr="00205DD5">
        <w:t xml:space="preserve"> to an estimated deficit of $</w:t>
      </w:r>
      <w:r w:rsidR="00FC3900" w:rsidRPr="00205DD5">
        <w:t>52.5</w:t>
      </w:r>
      <w:r w:rsidR="00D9022D" w:rsidRPr="00205DD5">
        <w:t> </w:t>
      </w:r>
      <w:r w:rsidR="009317CD" w:rsidRPr="00205DD5">
        <w:t>billion</w:t>
      </w:r>
      <w:r w:rsidR="00E34C88" w:rsidRPr="00205DD5">
        <w:t xml:space="preserve"> (</w:t>
      </w:r>
      <w:r w:rsidR="00F43C93" w:rsidRPr="00205DD5">
        <w:t>1.7</w:t>
      </w:r>
      <w:r w:rsidR="00D35AB9" w:rsidRPr="00205DD5">
        <w:t> </w:t>
      </w:r>
      <w:r w:rsidR="000A6F3F" w:rsidRPr="00205DD5">
        <w:t>per</w:t>
      </w:r>
      <w:r w:rsidR="00D35AB9" w:rsidRPr="00205DD5">
        <w:t> </w:t>
      </w:r>
      <w:r w:rsidR="000A6F3F" w:rsidRPr="00205DD5">
        <w:t xml:space="preserve">cent of GDP) </w:t>
      </w:r>
      <w:r w:rsidR="009A76B3" w:rsidRPr="00205DD5">
        <w:t>in 2027</w:t>
      </w:r>
      <w:r w:rsidR="007D61B3" w:rsidRPr="00205DD5">
        <w:t>–</w:t>
      </w:r>
      <w:r w:rsidR="009A76B3" w:rsidRPr="00205DD5">
        <w:t>28.</w:t>
      </w:r>
      <w:r w:rsidR="00BA3115" w:rsidRPr="00205DD5">
        <w:t xml:space="preserve"> The lower headline cash balance over the forward estimates compared to the 2024</w:t>
      </w:r>
      <w:r w:rsidR="00031D5D" w:rsidRPr="00205DD5">
        <w:t>–</w:t>
      </w:r>
      <w:r w:rsidR="00BA3115" w:rsidRPr="00205DD5">
        <w:t>25 Budget is largely driven by the change in underlying cash balance.</w:t>
      </w:r>
    </w:p>
    <w:p w14:paraId="3B60CCC5" w14:textId="5832AAE1" w:rsidR="00F6748E" w:rsidRPr="00205DD5" w:rsidRDefault="00D63C70" w:rsidP="00D63C70">
      <w:bookmarkStart w:id="41" w:name="_Hlk184733482"/>
      <w:r w:rsidRPr="00205DD5">
        <w:t xml:space="preserve">Estimated net cash outflows </w:t>
      </w:r>
      <w:r w:rsidR="00CE77A3" w:rsidRPr="00205DD5">
        <w:t>for</w:t>
      </w:r>
      <w:r w:rsidRPr="00205DD5">
        <w:t xml:space="preserve"> </w:t>
      </w:r>
      <w:r w:rsidR="00B40656" w:rsidRPr="00205DD5">
        <w:t>IFAPPs</w:t>
      </w:r>
      <w:r w:rsidRPr="00205DD5">
        <w:t xml:space="preserve"> increased by $</w:t>
      </w:r>
      <w:r w:rsidR="00746661" w:rsidRPr="00205DD5">
        <w:t>11.9</w:t>
      </w:r>
      <w:r w:rsidRPr="00205DD5">
        <w:t> billion over four years to 202</w:t>
      </w:r>
      <w:r w:rsidR="00B35382" w:rsidRPr="00205DD5">
        <w:t>7</w:t>
      </w:r>
      <w:r w:rsidR="0041255A" w:rsidRPr="00205DD5">
        <w:rPr>
          <w:rFonts w:ascii="Times New Roman" w:hAnsi="Times New Roman"/>
        </w:rPr>
        <w:t>‍</w:t>
      </w:r>
      <w:r w:rsidRPr="00205DD5">
        <w:t>–</w:t>
      </w:r>
      <w:r w:rsidR="0041255A" w:rsidRPr="00205DD5">
        <w:rPr>
          <w:rFonts w:ascii="Times New Roman" w:hAnsi="Times New Roman"/>
        </w:rPr>
        <w:t>‍</w:t>
      </w:r>
      <w:r w:rsidRPr="00205DD5">
        <w:t>2</w:t>
      </w:r>
      <w:r w:rsidR="00B35382" w:rsidRPr="00205DD5">
        <w:t>8</w:t>
      </w:r>
      <w:r w:rsidRPr="00205DD5">
        <w:t xml:space="preserve"> compared to the 202</w:t>
      </w:r>
      <w:r w:rsidR="00B35382" w:rsidRPr="00205DD5">
        <w:t>4</w:t>
      </w:r>
      <w:r w:rsidR="00031D5D" w:rsidRPr="00205DD5">
        <w:t>–</w:t>
      </w:r>
      <w:r w:rsidRPr="00205DD5">
        <w:t>2</w:t>
      </w:r>
      <w:r w:rsidR="00B35382" w:rsidRPr="00205DD5">
        <w:t>5</w:t>
      </w:r>
      <w:r w:rsidRPr="00205DD5">
        <w:t xml:space="preserve"> Budget. This is primarily </w:t>
      </w:r>
      <w:r w:rsidR="008E57D2" w:rsidRPr="00205DD5">
        <w:t>due to</w:t>
      </w:r>
      <w:r w:rsidRPr="00205DD5">
        <w:t xml:space="preserve"> </w:t>
      </w:r>
      <w:r w:rsidR="004B34F0" w:rsidRPr="00205DD5">
        <w:t xml:space="preserve">lower repayments of </w:t>
      </w:r>
      <w:r w:rsidR="003F74C8" w:rsidRPr="00205DD5">
        <w:t>student loans</w:t>
      </w:r>
      <w:r w:rsidR="00437D6A" w:rsidRPr="00205DD5">
        <w:t xml:space="preserve">, </w:t>
      </w:r>
      <w:r w:rsidR="00F6748E" w:rsidRPr="00205DD5">
        <w:t>driven by a combination of:</w:t>
      </w:r>
    </w:p>
    <w:p w14:paraId="20B0CE7D" w14:textId="5061CB44" w:rsidR="001D231C" w:rsidRPr="00205DD5" w:rsidRDefault="003F74C8" w:rsidP="001D231C">
      <w:pPr>
        <w:pStyle w:val="Bullet"/>
      </w:pPr>
      <w:r w:rsidRPr="00205DD5">
        <w:t xml:space="preserve">the </w:t>
      </w:r>
      <w:r w:rsidR="006A42E0" w:rsidRPr="00205DD5">
        <w:t>2024</w:t>
      </w:r>
      <w:r w:rsidR="007D61B3" w:rsidRPr="00205DD5">
        <w:t>–</w:t>
      </w:r>
      <w:r w:rsidR="006A42E0" w:rsidRPr="00205DD5">
        <w:t xml:space="preserve">25 MYEFO measure </w:t>
      </w:r>
      <w:r w:rsidR="00624FF6" w:rsidRPr="00205DD5">
        <w:rPr>
          <w:rStyle w:val="Emphasis"/>
          <w:rFonts w:eastAsiaTheme="minorHAnsi"/>
        </w:rPr>
        <w:t xml:space="preserve">Building Australia's Future </w:t>
      </w:r>
      <w:r w:rsidR="00CD2126" w:rsidRPr="00205DD5">
        <w:rPr>
          <w:rStyle w:val="Emphasis"/>
          <w:rFonts w:eastAsiaTheme="minorHAnsi"/>
        </w:rPr>
        <w:softHyphen/>
      </w:r>
      <w:r w:rsidR="001A5EC2" w:rsidRPr="00205DD5">
        <w:rPr>
          <w:rStyle w:val="Emphasis"/>
          <w:rFonts w:eastAsiaTheme="minorHAnsi"/>
        </w:rPr>
        <w:t>–</w:t>
      </w:r>
      <w:r w:rsidR="00624FF6" w:rsidRPr="00205DD5">
        <w:rPr>
          <w:rStyle w:val="Emphasis"/>
          <w:rFonts w:eastAsiaTheme="minorHAnsi"/>
        </w:rPr>
        <w:t xml:space="preserve"> a fairer deal for students</w:t>
      </w:r>
      <w:r w:rsidR="00624FF6" w:rsidRPr="00205DD5">
        <w:t>,</w:t>
      </w:r>
      <w:r w:rsidR="00FE5190" w:rsidRPr="00205DD5">
        <w:t xml:space="preserve"> which increases net cash outflows for IFAPPs by $</w:t>
      </w:r>
      <w:r w:rsidR="00294AA4" w:rsidRPr="00205DD5">
        <w:t>50</w:t>
      </w:r>
      <w:r w:rsidR="00294AA4">
        <w:t>4</w:t>
      </w:r>
      <w:r w:rsidR="00FE5190" w:rsidRPr="00205DD5">
        <w:t xml:space="preserve"> million in 2024</w:t>
      </w:r>
      <w:r w:rsidR="00031D5D" w:rsidRPr="00205DD5">
        <w:t>–</w:t>
      </w:r>
      <w:r w:rsidR="00FE5190" w:rsidRPr="00205DD5">
        <w:t xml:space="preserve">25 and by $3.3 billion over the forward estimates. </w:t>
      </w:r>
    </w:p>
    <w:p w14:paraId="41544942" w14:textId="303FB7B6" w:rsidR="000E0B8C" w:rsidRPr="00205DD5" w:rsidRDefault="001D231C" w:rsidP="001D231C">
      <w:pPr>
        <w:pStyle w:val="Bullet"/>
      </w:pPr>
      <w:r w:rsidRPr="00205DD5">
        <w:t>r</w:t>
      </w:r>
      <w:r w:rsidR="00C43C36" w:rsidRPr="00205DD5">
        <w:t xml:space="preserve">evised </w:t>
      </w:r>
      <w:r w:rsidR="005C6BCF" w:rsidRPr="00205DD5">
        <w:t xml:space="preserve">estimates of </w:t>
      </w:r>
      <w:r w:rsidR="00CD5BD6" w:rsidRPr="00205DD5">
        <w:t xml:space="preserve">student loan </w:t>
      </w:r>
      <w:r w:rsidR="008E57D2" w:rsidRPr="00205DD5">
        <w:t>repayments</w:t>
      </w:r>
      <w:r w:rsidR="00CA5F92" w:rsidRPr="00205DD5">
        <w:t xml:space="preserve"> more broadly.</w:t>
      </w:r>
      <w:r w:rsidR="00A42DDE" w:rsidRPr="00205DD5">
        <w:t xml:space="preserve"> </w:t>
      </w:r>
    </w:p>
    <w:bookmarkEnd w:id="41"/>
    <w:p w14:paraId="2245D739" w14:textId="492C8BEE" w:rsidR="008C537C" w:rsidRPr="00205DD5" w:rsidRDefault="0045153A" w:rsidP="00D63C70">
      <w:r w:rsidRPr="00205DD5">
        <w:t xml:space="preserve">Also contributing to the higher net cash outflows </w:t>
      </w:r>
      <w:r w:rsidR="00F43C93" w:rsidRPr="00205DD5">
        <w:t>are</w:t>
      </w:r>
      <w:r w:rsidRPr="00205DD5">
        <w:t xml:space="preserve"> additional </w:t>
      </w:r>
      <w:r w:rsidR="005E05A0" w:rsidRPr="00205DD5">
        <w:t>investment</w:t>
      </w:r>
      <w:r w:rsidR="000A3524" w:rsidRPr="00205DD5">
        <w:t>s</w:t>
      </w:r>
      <w:r w:rsidR="005E05A0" w:rsidRPr="00205DD5">
        <w:t xml:space="preserve"> as part of the 2024</w:t>
      </w:r>
      <w:r w:rsidR="00873622" w:rsidRPr="00205DD5">
        <w:t>–</w:t>
      </w:r>
      <w:r w:rsidR="005E05A0" w:rsidRPr="00205DD5">
        <w:t xml:space="preserve">25 MYEFO measure </w:t>
      </w:r>
      <w:r w:rsidR="005E05A0" w:rsidRPr="00205DD5">
        <w:rPr>
          <w:rStyle w:val="Emphasis"/>
        </w:rPr>
        <w:t>Nuclear-Powered Submarine Program – infrastructure and capacity investment</w:t>
      </w:r>
      <w:r w:rsidR="00D40849" w:rsidRPr="00205DD5">
        <w:rPr>
          <w:i/>
        </w:rPr>
        <w:t>.</w:t>
      </w:r>
      <w:r w:rsidR="00B84BDE" w:rsidRPr="00205DD5">
        <w:rPr>
          <w:i/>
        </w:rPr>
        <w:t xml:space="preserve"> </w:t>
      </w:r>
      <w:r w:rsidR="00B84BDE" w:rsidRPr="00205DD5">
        <w:t xml:space="preserve">The financial implications of </w:t>
      </w:r>
      <w:r w:rsidR="000A3524" w:rsidRPr="00205DD5">
        <w:t>th</w:t>
      </w:r>
      <w:r w:rsidR="00EB5D47" w:rsidRPr="00205DD5">
        <w:t>e</w:t>
      </w:r>
      <w:r w:rsidR="000A3524" w:rsidRPr="00205DD5">
        <w:t xml:space="preserve">se investments are </w:t>
      </w:r>
      <w:r w:rsidR="00B934C4" w:rsidRPr="00205DD5">
        <w:t xml:space="preserve">not </w:t>
      </w:r>
      <w:r w:rsidR="00235892" w:rsidRPr="00205DD5">
        <w:t xml:space="preserve">itemised in Table </w:t>
      </w:r>
      <w:r w:rsidR="00B37A95" w:rsidRPr="00205DD5">
        <w:t>3.</w:t>
      </w:r>
      <w:r w:rsidR="00CB5DE8" w:rsidRPr="00205DD5">
        <w:t>7</w:t>
      </w:r>
      <w:r w:rsidR="00B934C4" w:rsidRPr="00205DD5">
        <w:t xml:space="preserve"> due to commercial sensitivities.</w:t>
      </w:r>
    </w:p>
    <w:p w14:paraId="00E5A6A9" w14:textId="1003FB88" w:rsidR="00D63C70" w:rsidRPr="00D65F88" w:rsidRDefault="00DC3549" w:rsidP="00D63C70">
      <w:pPr>
        <w:rPr>
          <w:i/>
        </w:rPr>
      </w:pPr>
      <w:r w:rsidRPr="00205DD5">
        <w:t>The increase in net cash outflows in 2024</w:t>
      </w:r>
      <w:r w:rsidR="00031D5D" w:rsidRPr="00205DD5">
        <w:t>–</w:t>
      </w:r>
      <w:r w:rsidRPr="00205DD5">
        <w:t xml:space="preserve">25 is </w:t>
      </w:r>
      <w:r w:rsidR="008C537C" w:rsidRPr="00205DD5">
        <w:t xml:space="preserve">partially offset by lower utilisation of the Affordable Housing Bond </w:t>
      </w:r>
      <w:r w:rsidR="00376D8A" w:rsidRPr="00205DD5">
        <w:t>A</w:t>
      </w:r>
      <w:r w:rsidR="008C537C" w:rsidRPr="00205DD5">
        <w:t>ggregator line of credit by Housing Australia.</w:t>
      </w:r>
      <w:r w:rsidR="00376D8A" w:rsidRPr="00205DD5">
        <w:t xml:space="preserve"> Further information </w:t>
      </w:r>
      <w:r w:rsidR="00D7149E" w:rsidRPr="00205DD5">
        <w:t>about th</w:t>
      </w:r>
      <w:r w:rsidR="000601AC" w:rsidRPr="00205DD5">
        <w:t>e line of credit</w:t>
      </w:r>
      <w:r w:rsidR="00D7149E" w:rsidRPr="00205DD5">
        <w:t xml:space="preserve"> </w:t>
      </w:r>
      <w:r w:rsidR="002C2DFB" w:rsidRPr="00205DD5">
        <w:t xml:space="preserve">is available in </w:t>
      </w:r>
      <w:r w:rsidR="002C2DFB" w:rsidRPr="00205DD5">
        <w:rPr>
          <w:rStyle w:val="Emphasis"/>
        </w:rPr>
        <w:t>Part 6: Statement of Risks</w:t>
      </w:r>
      <w:r w:rsidR="002C2DFB" w:rsidRPr="00205DD5">
        <w:rPr>
          <w:i/>
        </w:rPr>
        <w:t>.</w:t>
      </w:r>
      <w:r w:rsidR="00D63C70" w:rsidRPr="001D7A0A">
        <w:br w:type="page"/>
      </w:r>
    </w:p>
    <w:p w14:paraId="0F1F6401" w14:textId="2AF83B34" w:rsidR="002207AB" w:rsidRPr="00205DD5" w:rsidRDefault="00D63C70" w:rsidP="002F542A">
      <w:pPr>
        <w:pStyle w:val="TableHeading"/>
        <w:rPr>
          <w:rFonts w:asciiTheme="minorHAnsi" w:eastAsiaTheme="minorHAnsi" w:hAnsiTheme="minorHAnsi" w:cstheme="minorBidi"/>
          <w:b w:val="0"/>
          <w:sz w:val="22"/>
          <w:szCs w:val="22"/>
          <w:lang w:eastAsia="en-US"/>
        </w:rPr>
      </w:pPr>
      <w:r w:rsidRPr="00205DD5">
        <w:lastRenderedPageBreak/>
        <w:t>Table 3.</w:t>
      </w:r>
      <w:r w:rsidR="00CB5DE8" w:rsidRPr="00205DD5">
        <w:t>7</w:t>
      </w:r>
      <w:r w:rsidRPr="00205DD5">
        <w:t>: Reconciliation of general government sector underlying and headline cash balance estimates</w:t>
      </w:r>
    </w:p>
    <w:tbl>
      <w:tblPr>
        <w:tblW w:w="5000" w:type="pct"/>
        <w:tblCellMar>
          <w:left w:w="0" w:type="dxa"/>
          <w:right w:w="28" w:type="dxa"/>
        </w:tblCellMar>
        <w:tblLook w:val="04A0" w:firstRow="1" w:lastRow="0" w:firstColumn="1" w:lastColumn="0" w:noHBand="0" w:noVBand="1"/>
      </w:tblPr>
      <w:tblGrid>
        <w:gridCol w:w="3856"/>
        <w:gridCol w:w="743"/>
        <w:gridCol w:w="742"/>
        <w:gridCol w:w="742"/>
        <w:gridCol w:w="742"/>
        <w:gridCol w:w="143"/>
        <w:gridCol w:w="742"/>
      </w:tblGrid>
      <w:tr w:rsidR="002207AB" w:rsidRPr="00FF1D21" w14:paraId="60178C46" w14:textId="77777777" w:rsidTr="002207AB">
        <w:trPr>
          <w:trHeight w:hRule="exact" w:val="226"/>
        </w:trPr>
        <w:tc>
          <w:tcPr>
            <w:tcW w:w="2500" w:type="pct"/>
            <w:tcBorders>
              <w:top w:val="single" w:sz="4" w:space="0" w:color="293F5B"/>
              <w:left w:val="nil"/>
              <w:bottom w:val="nil"/>
              <w:right w:val="nil"/>
            </w:tcBorders>
            <w:shd w:val="clear" w:color="000000" w:fill="FFFFFF"/>
            <w:noWrap/>
            <w:vAlign w:val="bottom"/>
            <w:hideMark/>
          </w:tcPr>
          <w:p w14:paraId="05AD7DA0" w14:textId="556E3088"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1925" w:type="pct"/>
            <w:gridSpan w:val="4"/>
            <w:tcBorders>
              <w:top w:val="single" w:sz="4" w:space="0" w:color="293F5B"/>
              <w:left w:val="nil"/>
              <w:bottom w:val="nil"/>
              <w:right w:val="nil"/>
            </w:tcBorders>
            <w:shd w:val="clear" w:color="auto" w:fill="auto"/>
            <w:noWrap/>
            <w:vAlign w:val="bottom"/>
            <w:hideMark/>
          </w:tcPr>
          <w:p w14:paraId="6BB91686" w14:textId="77777777" w:rsidR="002207AB" w:rsidRPr="00FF1D21" w:rsidRDefault="002207AB" w:rsidP="002207AB">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Estimates</w:t>
            </w:r>
          </w:p>
        </w:tc>
        <w:tc>
          <w:tcPr>
            <w:tcW w:w="93" w:type="pct"/>
            <w:tcBorders>
              <w:top w:val="single" w:sz="4" w:space="0" w:color="293F5B"/>
              <w:left w:val="nil"/>
              <w:bottom w:val="nil"/>
              <w:right w:val="nil"/>
            </w:tcBorders>
            <w:shd w:val="clear" w:color="000000" w:fill="FFFFFF"/>
            <w:noWrap/>
            <w:vAlign w:val="bottom"/>
            <w:hideMark/>
          </w:tcPr>
          <w:p w14:paraId="36A203BF"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single" w:sz="4" w:space="0" w:color="293F5B"/>
              <w:left w:val="nil"/>
              <w:bottom w:val="nil"/>
              <w:right w:val="nil"/>
            </w:tcBorders>
            <w:shd w:val="clear" w:color="000000" w:fill="FFFFFF"/>
            <w:noWrap/>
            <w:vAlign w:val="bottom"/>
            <w:hideMark/>
          </w:tcPr>
          <w:p w14:paraId="007693FA"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18DA3EAF"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026D4AF4"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2" w:type="pct"/>
            <w:tcBorders>
              <w:top w:val="single" w:sz="4" w:space="0" w:color="293F5B"/>
              <w:left w:val="nil"/>
              <w:bottom w:val="nil"/>
              <w:right w:val="nil"/>
            </w:tcBorders>
            <w:shd w:val="clear" w:color="000000" w:fill="E6F2FF"/>
            <w:noWrap/>
            <w:vAlign w:val="center"/>
            <w:hideMark/>
          </w:tcPr>
          <w:p w14:paraId="35E1125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2024–25</w:t>
            </w:r>
          </w:p>
        </w:tc>
        <w:tc>
          <w:tcPr>
            <w:tcW w:w="481" w:type="pct"/>
            <w:tcBorders>
              <w:top w:val="single" w:sz="4" w:space="0" w:color="293F5B"/>
              <w:left w:val="nil"/>
              <w:bottom w:val="nil"/>
              <w:right w:val="nil"/>
            </w:tcBorders>
            <w:shd w:val="clear" w:color="000000" w:fill="FFFFFF"/>
            <w:noWrap/>
            <w:vAlign w:val="center"/>
            <w:hideMark/>
          </w:tcPr>
          <w:p w14:paraId="168940B8"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2025–26</w:t>
            </w:r>
          </w:p>
        </w:tc>
        <w:tc>
          <w:tcPr>
            <w:tcW w:w="481" w:type="pct"/>
            <w:tcBorders>
              <w:top w:val="single" w:sz="4" w:space="0" w:color="293F5B"/>
              <w:left w:val="nil"/>
              <w:bottom w:val="nil"/>
              <w:right w:val="nil"/>
            </w:tcBorders>
            <w:shd w:val="clear" w:color="000000" w:fill="FFFFFF"/>
            <w:noWrap/>
            <w:vAlign w:val="center"/>
            <w:hideMark/>
          </w:tcPr>
          <w:p w14:paraId="2A84844C"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2026–27</w:t>
            </w:r>
          </w:p>
        </w:tc>
        <w:tc>
          <w:tcPr>
            <w:tcW w:w="481" w:type="pct"/>
            <w:tcBorders>
              <w:top w:val="single" w:sz="4" w:space="0" w:color="293F5B"/>
              <w:left w:val="nil"/>
              <w:bottom w:val="nil"/>
              <w:right w:val="nil"/>
            </w:tcBorders>
            <w:shd w:val="clear" w:color="000000" w:fill="FFFFFF"/>
            <w:noWrap/>
            <w:vAlign w:val="center"/>
            <w:hideMark/>
          </w:tcPr>
          <w:p w14:paraId="38D42CF4"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2027–28</w:t>
            </w:r>
          </w:p>
        </w:tc>
        <w:tc>
          <w:tcPr>
            <w:tcW w:w="93" w:type="pct"/>
            <w:tcBorders>
              <w:top w:val="nil"/>
              <w:left w:val="nil"/>
              <w:bottom w:val="nil"/>
              <w:right w:val="nil"/>
            </w:tcBorders>
            <w:shd w:val="clear" w:color="000000" w:fill="FFFFFF"/>
            <w:noWrap/>
            <w:vAlign w:val="bottom"/>
            <w:hideMark/>
          </w:tcPr>
          <w:p w14:paraId="3ECD6236"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single" w:sz="4" w:space="0" w:color="293F5B"/>
              <w:left w:val="nil"/>
              <w:bottom w:val="nil"/>
              <w:right w:val="nil"/>
            </w:tcBorders>
            <w:shd w:val="clear" w:color="000000" w:fill="FFFFFF"/>
            <w:noWrap/>
            <w:vAlign w:val="bottom"/>
            <w:hideMark/>
          </w:tcPr>
          <w:p w14:paraId="683D75BA"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Total</w:t>
            </w:r>
          </w:p>
        </w:tc>
      </w:tr>
      <w:tr w:rsidR="002207AB" w:rsidRPr="00FF1D21" w14:paraId="22C242F0"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07A37873"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2" w:type="pct"/>
            <w:tcBorders>
              <w:top w:val="nil"/>
              <w:left w:val="nil"/>
              <w:bottom w:val="nil"/>
              <w:right w:val="nil"/>
            </w:tcBorders>
            <w:shd w:val="clear" w:color="000000" w:fill="E6F2FF"/>
            <w:noWrap/>
            <w:vAlign w:val="bottom"/>
            <w:hideMark/>
          </w:tcPr>
          <w:p w14:paraId="2550821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481" w:type="pct"/>
            <w:tcBorders>
              <w:top w:val="nil"/>
              <w:left w:val="nil"/>
              <w:bottom w:val="nil"/>
              <w:right w:val="nil"/>
            </w:tcBorders>
            <w:shd w:val="clear" w:color="000000" w:fill="FFFFFF"/>
            <w:noWrap/>
            <w:vAlign w:val="bottom"/>
            <w:hideMark/>
          </w:tcPr>
          <w:p w14:paraId="1C9B433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481" w:type="pct"/>
            <w:tcBorders>
              <w:top w:val="nil"/>
              <w:left w:val="nil"/>
              <w:bottom w:val="nil"/>
              <w:right w:val="nil"/>
            </w:tcBorders>
            <w:shd w:val="clear" w:color="000000" w:fill="FFFFFF"/>
            <w:noWrap/>
            <w:vAlign w:val="bottom"/>
            <w:hideMark/>
          </w:tcPr>
          <w:p w14:paraId="0B6E317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481" w:type="pct"/>
            <w:tcBorders>
              <w:top w:val="nil"/>
              <w:left w:val="nil"/>
              <w:bottom w:val="nil"/>
              <w:right w:val="nil"/>
            </w:tcBorders>
            <w:shd w:val="clear" w:color="000000" w:fill="FFFFFF"/>
            <w:noWrap/>
            <w:vAlign w:val="bottom"/>
            <w:hideMark/>
          </w:tcPr>
          <w:p w14:paraId="1D6C09E2"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93" w:type="pct"/>
            <w:tcBorders>
              <w:top w:val="nil"/>
              <w:left w:val="nil"/>
              <w:bottom w:val="nil"/>
              <w:right w:val="nil"/>
            </w:tcBorders>
            <w:shd w:val="clear" w:color="000000" w:fill="FFFFFF"/>
            <w:noWrap/>
            <w:vAlign w:val="bottom"/>
            <w:hideMark/>
          </w:tcPr>
          <w:p w14:paraId="54C3D54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77DADFA2"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$m</w:t>
            </w:r>
          </w:p>
        </w:tc>
      </w:tr>
      <w:tr w:rsidR="002207AB" w:rsidRPr="00FF1D21" w14:paraId="1F1BE070"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118EB90C"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MYEFO underlying cash balance</w:t>
            </w:r>
          </w:p>
        </w:tc>
        <w:tc>
          <w:tcPr>
            <w:tcW w:w="482" w:type="pct"/>
            <w:tcBorders>
              <w:top w:val="single" w:sz="4" w:space="0" w:color="293F5B"/>
              <w:left w:val="nil"/>
              <w:bottom w:val="nil"/>
              <w:right w:val="nil"/>
            </w:tcBorders>
            <w:shd w:val="clear" w:color="000000" w:fill="E6F2FF"/>
            <w:noWrap/>
            <w:vAlign w:val="bottom"/>
            <w:hideMark/>
          </w:tcPr>
          <w:p w14:paraId="2B5DBC41"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-26,949</w:t>
            </w:r>
          </w:p>
        </w:tc>
        <w:tc>
          <w:tcPr>
            <w:tcW w:w="481" w:type="pct"/>
            <w:tcBorders>
              <w:top w:val="single" w:sz="4" w:space="0" w:color="293F5B"/>
              <w:left w:val="nil"/>
              <w:bottom w:val="nil"/>
              <w:right w:val="nil"/>
            </w:tcBorders>
            <w:shd w:val="clear" w:color="000000" w:fill="FFFFFF"/>
            <w:noWrap/>
            <w:vAlign w:val="bottom"/>
            <w:hideMark/>
          </w:tcPr>
          <w:p w14:paraId="460BDA9C"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-46,915</w:t>
            </w:r>
          </w:p>
        </w:tc>
        <w:tc>
          <w:tcPr>
            <w:tcW w:w="481" w:type="pct"/>
            <w:tcBorders>
              <w:top w:val="single" w:sz="4" w:space="0" w:color="293F5B"/>
              <w:left w:val="nil"/>
              <w:bottom w:val="nil"/>
              <w:right w:val="nil"/>
            </w:tcBorders>
            <w:shd w:val="clear" w:color="000000" w:fill="FFFFFF"/>
            <w:noWrap/>
            <w:vAlign w:val="bottom"/>
            <w:hideMark/>
          </w:tcPr>
          <w:p w14:paraId="4FCE7A13"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-38,353</w:t>
            </w:r>
          </w:p>
        </w:tc>
        <w:tc>
          <w:tcPr>
            <w:tcW w:w="481" w:type="pct"/>
            <w:tcBorders>
              <w:top w:val="single" w:sz="4" w:space="0" w:color="293F5B"/>
              <w:left w:val="nil"/>
              <w:bottom w:val="nil"/>
              <w:right w:val="nil"/>
            </w:tcBorders>
            <w:shd w:val="clear" w:color="000000" w:fill="FFFFFF"/>
            <w:noWrap/>
            <w:vAlign w:val="bottom"/>
            <w:hideMark/>
          </w:tcPr>
          <w:p w14:paraId="3F2DF7DB"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-31,671</w:t>
            </w:r>
          </w:p>
        </w:tc>
        <w:tc>
          <w:tcPr>
            <w:tcW w:w="93" w:type="pct"/>
            <w:tcBorders>
              <w:top w:val="nil"/>
              <w:left w:val="nil"/>
              <w:bottom w:val="nil"/>
              <w:right w:val="nil"/>
            </w:tcBorders>
            <w:shd w:val="clear" w:color="000000" w:fill="FFFFFF"/>
            <w:noWrap/>
            <w:vAlign w:val="bottom"/>
            <w:hideMark/>
          </w:tcPr>
          <w:p w14:paraId="618A54F0"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single" w:sz="4" w:space="0" w:color="293F5B"/>
              <w:left w:val="nil"/>
              <w:bottom w:val="nil"/>
              <w:right w:val="nil"/>
            </w:tcBorders>
            <w:shd w:val="clear" w:color="000000" w:fill="FFFFFF"/>
            <w:noWrap/>
            <w:vAlign w:val="bottom"/>
            <w:hideMark/>
          </w:tcPr>
          <w:p w14:paraId="12E966DD" w14:textId="77777777" w:rsidR="002207AB" w:rsidRPr="00205DD5" w:rsidRDefault="002207AB" w:rsidP="002207AB">
            <w:pPr>
              <w:spacing w:before="0" w:after="0" w:line="240" w:lineRule="auto"/>
              <w:jc w:val="right"/>
              <w:rPr>
                <w:rFonts w:ascii="Arial" w:hAnsi="Arial" w:cs="Arial"/>
                <w:b/>
                <w:sz w:val="16"/>
                <w:szCs w:val="16"/>
              </w:rPr>
            </w:pPr>
            <w:r w:rsidRPr="00205DD5">
              <w:rPr>
                <w:rFonts w:ascii="Arial" w:hAnsi="Arial" w:cs="Arial"/>
                <w:b/>
                <w:sz w:val="16"/>
                <w:szCs w:val="16"/>
              </w:rPr>
              <w:t>-143,888</w:t>
            </w:r>
          </w:p>
        </w:tc>
      </w:tr>
      <w:tr w:rsidR="002207AB" w:rsidRPr="00FF1D21" w14:paraId="4D0EF19C" w14:textId="77777777" w:rsidTr="002207AB">
        <w:trPr>
          <w:trHeight w:hRule="exact" w:val="60"/>
        </w:trPr>
        <w:tc>
          <w:tcPr>
            <w:tcW w:w="2500" w:type="pct"/>
            <w:tcBorders>
              <w:top w:val="nil"/>
              <w:left w:val="nil"/>
              <w:bottom w:val="nil"/>
              <w:right w:val="nil"/>
            </w:tcBorders>
            <w:shd w:val="clear" w:color="000000" w:fill="FFFFFF"/>
            <w:noWrap/>
            <w:vAlign w:val="bottom"/>
            <w:hideMark/>
          </w:tcPr>
          <w:p w14:paraId="0B7DEC5A"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2" w:type="pct"/>
            <w:tcBorders>
              <w:top w:val="nil"/>
              <w:left w:val="nil"/>
              <w:bottom w:val="nil"/>
              <w:right w:val="nil"/>
            </w:tcBorders>
            <w:shd w:val="clear" w:color="000000" w:fill="E6F2FF"/>
            <w:noWrap/>
            <w:vAlign w:val="bottom"/>
            <w:hideMark/>
          </w:tcPr>
          <w:p w14:paraId="78E0ECFE"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nil"/>
              <w:left w:val="nil"/>
              <w:bottom w:val="nil"/>
              <w:right w:val="nil"/>
            </w:tcBorders>
            <w:shd w:val="clear" w:color="000000" w:fill="FFFFFF"/>
            <w:noWrap/>
            <w:vAlign w:val="bottom"/>
            <w:hideMark/>
          </w:tcPr>
          <w:p w14:paraId="67F0C43B"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nil"/>
              <w:left w:val="nil"/>
              <w:bottom w:val="nil"/>
              <w:right w:val="nil"/>
            </w:tcBorders>
            <w:shd w:val="clear" w:color="000000" w:fill="FFFFFF"/>
            <w:noWrap/>
            <w:vAlign w:val="bottom"/>
            <w:hideMark/>
          </w:tcPr>
          <w:p w14:paraId="1AA5044C"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nil"/>
              <w:left w:val="nil"/>
              <w:bottom w:val="nil"/>
              <w:right w:val="nil"/>
            </w:tcBorders>
            <w:shd w:val="clear" w:color="000000" w:fill="FFFFFF"/>
            <w:noWrap/>
            <w:vAlign w:val="bottom"/>
            <w:hideMark/>
          </w:tcPr>
          <w:p w14:paraId="47A28A8F"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93" w:type="pct"/>
            <w:tcBorders>
              <w:top w:val="nil"/>
              <w:left w:val="nil"/>
              <w:bottom w:val="nil"/>
              <w:right w:val="nil"/>
            </w:tcBorders>
            <w:shd w:val="clear" w:color="000000" w:fill="FFFFFF"/>
            <w:noWrap/>
            <w:vAlign w:val="bottom"/>
            <w:hideMark/>
          </w:tcPr>
          <w:p w14:paraId="41AA7D92"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nil"/>
              <w:left w:val="nil"/>
              <w:bottom w:val="nil"/>
              <w:right w:val="nil"/>
            </w:tcBorders>
            <w:shd w:val="clear" w:color="000000" w:fill="FFFFFF"/>
            <w:noWrap/>
            <w:vAlign w:val="bottom"/>
            <w:hideMark/>
          </w:tcPr>
          <w:p w14:paraId="44A019EA" w14:textId="77777777" w:rsidR="002207AB" w:rsidRPr="00205DD5" w:rsidRDefault="002207AB" w:rsidP="002207AB">
            <w:pPr>
              <w:spacing w:before="0" w:after="0" w:line="240" w:lineRule="auto"/>
              <w:rPr>
                <w:rFonts w:ascii="Arial" w:hAnsi="Arial" w:cs="Arial"/>
                <w:b/>
                <w:sz w:val="16"/>
                <w:szCs w:val="16"/>
              </w:rPr>
            </w:pPr>
            <w:r w:rsidRPr="00205DD5">
              <w:rPr>
                <w:rFonts w:ascii="Arial" w:hAnsi="Arial" w:cs="Arial"/>
                <w:b/>
                <w:sz w:val="16"/>
                <w:szCs w:val="16"/>
              </w:rPr>
              <w:t> </w:t>
            </w:r>
          </w:p>
        </w:tc>
      </w:tr>
      <w:tr w:rsidR="002207AB" w:rsidRPr="00FF1D21" w14:paraId="30DA162E"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5157D213" w14:textId="77777777" w:rsidR="002207AB" w:rsidRPr="00FF1D21" w:rsidRDefault="002207AB" w:rsidP="002207AB">
            <w:pPr>
              <w:spacing w:before="0" w:after="0" w:line="240" w:lineRule="auto"/>
              <w:rPr>
                <w:rFonts w:ascii="Arial" w:hAnsi="Arial" w:cs="Arial"/>
                <w:b/>
                <w:color w:val="00FFFF"/>
                <w:sz w:val="16"/>
                <w:szCs w:val="16"/>
                <w:highlight w:val="darkCyan"/>
              </w:rPr>
            </w:pPr>
            <w:proofErr w:type="gramStart"/>
            <w:r w:rsidRPr="00205DD5">
              <w:rPr>
                <w:rFonts w:ascii="Arial" w:hAnsi="Arial" w:cs="Arial"/>
                <w:b/>
                <w:i/>
                <w:sz w:val="16"/>
                <w:szCs w:val="16"/>
              </w:rPr>
              <w:t>plus</w:t>
            </w:r>
            <w:proofErr w:type="gramEnd"/>
            <w:r w:rsidRPr="00205DD5">
              <w:rPr>
                <w:rFonts w:ascii="Arial" w:hAnsi="Arial" w:cs="Arial"/>
                <w:b/>
                <w:sz w:val="16"/>
                <w:szCs w:val="16"/>
              </w:rPr>
              <w:t xml:space="preserve"> Net cash flows from investments in</w:t>
            </w:r>
          </w:p>
        </w:tc>
        <w:tc>
          <w:tcPr>
            <w:tcW w:w="482" w:type="pct"/>
            <w:tcBorders>
              <w:top w:val="nil"/>
              <w:left w:val="nil"/>
              <w:bottom w:val="nil"/>
              <w:right w:val="nil"/>
            </w:tcBorders>
            <w:shd w:val="clear" w:color="000000" w:fill="E6F2FF"/>
            <w:noWrap/>
            <w:vAlign w:val="bottom"/>
            <w:hideMark/>
          </w:tcPr>
          <w:p w14:paraId="31230C07"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28913C51"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6C3A5BF"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7ABA84AC"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 w:type="pct"/>
            <w:tcBorders>
              <w:top w:val="nil"/>
              <w:left w:val="nil"/>
              <w:bottom w:val="nil"/>
              <w:right w:val="nil"/>
            </w:tcBorders>
            <w:shd w:val="clear" w:color="000000" w:fill="FFFFFF"/>
            <w:noWrap/>
            <w:vAlign w:val="bottom"/>
            <w:hideMark/>
          </w:tcPr>
          <w:p w14:paraId="6080B717"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44FCC9E4"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15600935"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3991C132" w14:textId="77777777" w:rsidR="002207AB" w:rsidRPr="00FF1D21" w:rsidRDefault="002207AB" w:rsidP="002207AB">
            <w:pPr>
              <w:spacing w:before="0" w:after="0" w:line="240" w:lineRule="auto"/>
              <w:ind w:left="170"/>
              <w:rPr>
                <w:rFonts w:ascii="Arial" w:hAnsi="Arial" w:cs="Arial"/>
                <w:b/>
                <w:color w:val="00FFFF"/>
                <w:sz w:val="16"/>
                <w:szCs w:val="16"/>
                <w:highlight w:val="darkCyan"/>
              </w:rPr>
            </w:pPr>
            <w:r w:rsidRPr="00205DD5">
              <w:rPr>
                <w:rFonts w:ascii="Arial" w:hAnsi="Arial" w:cs="Arial"/>
                <w:b/>
                <w:sz w:val="16"/>
                <w:szCs w:val="16"/>
              </w:rPr>
              <w:t xml:space="preserve"> financial assets for policy purposes(a)</w:t>
            </w:r>
          </w:p>
        </w:tc>
        <w:tc>
          <w:tcPr>
            <w:tcW w:w="482" w:type="pct"/>
            <w:tcBorders>
              <w:top w:val="nil"/>
              <w:left w:val="nil"/>
              <w:bottom w:val="nil"/>
              <w:right w:val="nil"/>
            </w:tcBorders>
            <w:shd w:val="clear" w:color="000000" w:fill="E6F2FF"/>
            <w:noWrap/>
            <w:vAlign w:val="bottom"/>
            <w:hideMark/>
          </w:tcPr>
          <w:p w14:paraId="27AD76E1"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44B655C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22067EE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E4021B0"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 w:type="pct"/>
            <w:tcBorders>
              <w:top w:val="nil"/>
              <w:left w:val="nil"/>
              <w:bottom w:val="nil"/>
              <w:right w:val="nil"/>
            </w:tcBorders>
            <w:shd w:val="clear" w:color="000000" w:fill="FFFFFF"/>
            <w:noWrap/>
            <w:vAlign w:val="bottom"/>
            <w:hideMark/>
          </w:tcPr>
          <w:p w14:paraId="2D5943BE"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4888B97"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6A14CD85"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204DF891"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Student loans(b)</w:t>
            </w:r>
          </w:p>
        </w:tc>
        <w:tc>
          <w:tcPr>
            <w:tcW w:w="482" w:type="pct"/>
            <w:tcBorders>
              <w:top w:val="nil"/>
              <w:left w:val="nil"/>
              <w:bottom w:val="nil"/>
              <w:right w:val="nil"/>
            </w:tcBorders>
            <w:shd w:val="clear" w:color="000000" w:fill="E6F2FF"/>
            <w:noWrap/>
            <w:vAlign w:val="bottom"/>
            <w:hideMark/>
          </w:tcPr>
          <w:p w14:paraId="6A45A2FF"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-4,057</w:t>
            </w:r>
          </w:p>
        </w:tc>
        <w:tc>
          <w:tcPr>
            <w:tcW w:w="481" w:type="pct"/>
            <w:tcBorders>
              <w:top w:val="nil"/>
              <w:left w:val="nil"/>
              <w:bottom w:val="nil"/>
              <w:right w:val="nil"/>
            </w:tcBorders>
            <w:shd w:val="clear" w:color="000000" w:fill="FFFFFF"/>
            <w:noWrap/>
            <w:vAlign w:val="bottom"/>
            <w:hideMark/>
          </w:tcPr>
          <w:p w14:paraId="0C8B060E"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-4,857</w:t>
            </w:r>
          </w:p>
        </w:tc>
        <w:tc>
          <w:tcPr>
            <w:tcW w:w="481" w:type="pct"/>
            <w:tcBorders>
              <w:top w:val="nil"/>
              <w:left w:val="nil"/>
              <w:bottom w:val="nil"/>
              <w:right w:val="nil"/>
            </w:tcBorders>
            <w:shd w:val="clear" w:color="000000" w:fill="FFFFFF"/>
            <w:noWrap/>
            <w:vAlign w:val="bottom"/>
            <w:hideMark/>
          </w:tcPr>
          <w:p w14:paraId="4C73EC6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-5,324</w:t>
            </w:r>
          </w:p>
        </w:tc>
        <w:tc>
          <w:tcPr>
            <w:tcW w:w="481" w:type="pct"/>
            <w:tcBorders>
              <w:top w:val="nil"/>
              <w:left w:val="nil"/>
              <w:bottom w:val="nil"/>
              <w:right w:val="nil"/>
            </w:tcBorders>
            <w:shd w:val="clear" w:color="000000" w:fill="FFFFFF"/>
            <w:noWrap/>
            <w:vAlign w:val="bottom"/>
            <w:hideMark/>
          </w:tcPr>
          <w:p w14:paraId="1640F06E"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-5,727</w:t>
            </w:r>
          </w:p>
        </w:tc>
        <w:tc>
          <w:tcPr>
            <w:tcW w:w="93" w:type="pct"/>
            <w:tcBorders>
              <w:top w:val="nil"/>
              <w:left w:val="nil"/>
              <w:bottom w:val="nil"/>
              <w:right w:val="nil"/>
            </w:tcBorders>
            <w:shd w:val="clear" w:color="000000" w:fill="FFFFFF"/>
            <w:noWrap/>
            <w:vAlign w:val="bottom"/>
            <w:hideMark/>
          </w:tcPr>
          <w:p w14:paraId="54546A9A"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458A6A17"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-19,965</w:t>
            </w:r>
          </w:p>
        </w:tc>
      </w:tr>
      <w:tr w:rsidR="002207AB" w:rsidRPr="00FF1D21" w14:paraId="786638D7"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3B1D4700"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NBN Investment</w:t>
            </w:r>
          </w:p>
        </w:tc>
        <w:tc>
          <w:tcPr>
            <w:tcW w:w="482" w:type="pct"/>
            <w:tcBorders>
              <w:top w:val="nil"/>
              <w:left w:val="nil"/>
              <w:bottom w:val="nil"/>
              <w:right w:val="nil"/>
            </w:tcBorders>
            <w:shd w:val="clear" w:color="000000" w:fill="E6F2FF"/>
            <w:noWrap/>
            <w:vAlign w:val="bottom"/>
            <w:hideMark/>
          </w:tcPr>
          <w:p w14:paraId="6D39A31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-1,227</w:t>
            </w:r>
          </w:p>
        </w:tc>
        <w:tc>
          <w:tcPr>
            <w:tcW w:w="481" w:type="pct"/>
            <w:tcBorders>
              <w:top w:val="nil"/>
              <w:left w:val="nil"/>
              <w:bottom w:val="nil"/>
              <w:right w:val="nil"/>
            </w:tcBorders>
            <w:shd w:val="clear" w:color="000000" w:fill="FFFFFF"/>
            <w:noWrap/>
            <w:vAlign w:val="bottom"/>
            <w:hideMark/>
          </w:tcPr>
          <w:p w14:paraId="573380C0"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-97</w:t>
            </w:r>
          </w:p>
        </w:tc>
        <w:tc>
          <w:tcPr>
            <w:tcW w:w="481" w:type="pct"/>
            <w:tcBorders>
              <w:top w:val="nil"/>
              <w:left w:val="nil"/>
              <w:bottom w:val="nil"/>
              <w:right w:val="nil"/>
            </w:tcBorders>
            <w:shd w:val="clear" w:color="000000" w:fill="FFFFFF"/>
            <w:noWrap/>
            <w:vAlign w:val="bottom"/>
            <w:hideMark/>
          </w:tcPr>
          <w:p w14:paraId="6DDF314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481" w:type="pct"/>
            <w:tcBorders>
              <w:top w:val="nil"/>
              <w:left w:val="nil"/>
              <w:bottom w:val="nil"/>
              <w:right w:val="nil"/>
            </w:tcBorders>
            <w:shd w:val="clear" w:color="000000" w:fill="FFFFFF"/>
            <w:noWrap/>
            <w:vAlign w:val="bottom"/>
            <w:hideMark/>
          </w:tcPr>
          <w:p w14:paraId="26721702"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93" w:type="pct"/>
            <w:tcBorders>
              <w:top w:val="nil"/>
              <w:left w:val="nil"/>
              <w:bottom w:val="nil"/>
              <w:right w:val="nil"/>
            </w:tcBorders>
            <w:shd w:val="clear" w:color="000000" w:fill="FFFFFF"/>
            <w:noWrap/>
            <w:vAlign w:val="bottom"/>
            <w:hideMark/>
          </w:tcPr>
          <w:p w14:paraId="01E973C8"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740B8124"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-1,324</w:t>
            </w:r>
          </w:p>
        </w:tc>
      </w:tr>
      <w:tr w:rsidR="002207AB" w:rsidRPr="00FF1D21" w14:paraId="3FB8E777"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049F7D21"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Snowy Hydro Limited loan</w:t>
            </w:r>
          </w:p>
        </w:tc>
        <w:tc>
          <w:tcPr>
            <w:tcW w:w="482" w:type="pct"/>
            <w:tcBorders>
              <w:top w:val="nil"/>
              <w:left w:val="nil"/>
              <w:bottom w:val="nil"/>
              <w:right w:val="nil"/>
            </w:tcBorders>
            <w:shd w:val="clear" w:color="000000" w:fill="E6F2FF"/>
            <w:noWrap/>
            <w:vAlign w:val="bottom"/>
            <w:hideMark/>
          </w:tcPr>
          <w:p w14:paraId="7590198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-150</w:t>
            </w:r>
          </w:p>
        </w:tc>
        <w:tc>
          <w:tcPr>
            <w:tcW w:w="481" w:type="pct"/>
            <w:tcBorders>
              <w:top w:val="nil"/>
              <w:left w:val="nil"/>
              <w:bottom w:val="nil"/>
              <w:right w:val="nil"/>
            </w:tcBorders>
            <w:shd w:val="clear" w:color="000000" w:fill="FFFFFF"/>
            <w:noWrap/>
            <w:vAlign w:val="bottom"/>
            <w:hideMark/>
          </w:tcPr>
          <w:p w14:paraId="343129C3"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-1,450</w:t>
            </w:r>
          </w:p>
        </w:tc>
        <w:tc>
          <w:tcPr>
            <w:tcW w:w="481" w:type="pct"/>
            <w:tcBorders>
              <w:top w:val="nil"/>
              <w:left w:val="nil"/>
              <w:bottom w:val="nil"/>
              <w:right w:val="nil"/>
            </w:tcBorders>
            <w:shd w:val="clear" w:color="000000" w:fill="FFFFFF"/>
            <w:noWrap/>
            <w:vAlign w:val="bottom"/>
            <w:hideMark/>
          </w:tcPr>
          <w:p w14:paraId="5D1BFB4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-1,450</w:t>
            </w:r>
          </w:p>
        </w:tc>
        <w:tc>
          <w:tcPr>
            <w:tcW w:w="481" w:type="pct"/>
            <w:tcBorders>
              <w:top w:val="nil"/>
              <w:left w:val="nil"/>
              <w:bottom w:val="nil"/>
              <w:right w:val="nil"/>
            </w:tcBorders>
            <w:shd w:val="clear" w:color="000000" w:fill="FFFFFF"/>
            <w:noWrap/>
            <w:vAlign w:val="bottom"/>
            <w:hideMark/>
          </w:tcPr>
          <w:p w14:paraId="158399AE"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-1,450</w:t>
            </w:r>
          </w:p>
        </w:tc>
        <w:tc>
          <w:tcPr>
            <w:tcW w:w="93" w:type="pct"/>
            <w:tcBorders>
              <w:top w:val="nil"/>
              <w:left w:val="nil"/>
              <w:bottom w:val="nil"/>
              <w:right w:val="nil"/>
            </w:tcBorders>
            <w:shd w:val="clear" w:color="000000" w:fill="FFFFFF"/>
            <w:noWrap/>
            <w:vAlign w:val="bottom"/>
            <w:hideMark/>
          </w:tcPr>
          <w:p w14:paraId="74AB553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BF20BBB"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-4,500</w:t>
            </w:r>
          </w:p>
        </w:tc>
      </w:tr>
      <w:tr w:rsidR="002207AB" w:rsidRPr="00FF1D21" w14:paraId="3F43BC6B"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339494AD"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Snowy Hydro Limited investment</w:t>
            </w:r>
          </w:p>
        </w:tc>
        <w:tc>
          <w:tcPr>
            <w:tcW w:w="482" w:type="pct"/>
            <w:tcBorders>
              <w:top w:val="nil"/>
              <w:left w:val="nil"/>
              <w:bottom w:val="nil"/>
              <w:right w:val="nil"/>
            </w:tcBorders>
            <w:shd w:val="clear" w:color="000000" w:fill="E6F2FF"/>
            <w:noWrap/>
            <w:vAlign w:val="bottom"/>
            <w:hideMark/>
          </w:tcPr>
          <w:p w14:paraId="66187F8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-1,625</w:t>
            </w:r>
          </w:p>
        </w:tc>
        <w:tc>
          <w:tcPr>
            <w:tcW w:w="481" w:type="pct"/>
            <w:tcBorders>
              <w:top w:val="nil"/>
              <w:left w:val="nil"/>
              <w:bottom w:val="nil"/>
              <w:right w:val="nil"/>
            </w:tcBorders>
            <w:shd w:val="clear" w:color="000000" w:fill="FFFFFF"/>
            <w:noWrap/>
            <w:vAlign w:val="bottom"/>
            <w:hideMark/>
          </w:tcPr>
          <w:p w14:paraId="54E106E1"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-975</w:t>
            </w:r>
          </w:p>
        </w:tc>
        <w:tc>
          <w:tcPr>
            <w:tcW w:w="481" w:type="pct"/>
            <w:tcBorders>
              <w:top w:val="nil"/>
              <w:left w:val="nil"/>
              <w:bottom w:val="nil"/>
              <w:right w:val="nil"/>
            </w:tcBorders>
            <w:shd w:val="clear" w:color="000000" w:fill="FFFFFF"/>
            <w:noWrap/>
            <w:vAlign w:val="bottom"/>
            <w:hideMark/>
          </w:tcPr>
          <w:p w14:paraId="57D1BF5A"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481" w:type="pct"/>
            <w:tcBorders>
              <w:top w:val="nil"/>
              <w:left w:val="nil"/>
              <w:bottom w:val="nil"/>
              <w:right w:val="nil"/>
            </w:tcBorders>
            <w:shd w:val="clear" w:color="000000" w:fill="FFFFFF"/>
            <w:noWrap/>
            <w:vAlign w:val="bottom"/>
            <w:hideMark/>
          </w:tcPr>
          <w:p w14:paraId="24A6C2D4"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93" w:type="pct"/>
            <w:tcBorders>
              <w:top w:val="nil"/>
              <w:left w:val="nil"/>
              <w:bottom w:val="nil"/>
              <w:right w:val="nil"/>
            </w:tcBorders>
            <w:shd w:val="clear" w:color="000000" w:fill="FFFFFF"/>
            <w:noWrap/>
            <w:vAlign w:val="bottom"/>
            <w:hideMark/>
          </w:tcPr>
          <w:p w14:paraId="2C8CFE68"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3808A8E2"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-2,600</w:t>
            </w:r>
          </w:p>
        </w:tc>
      </w:tr>
      <w:tr w:rsidR="002207AB" w:rsidRPr="00FF1D21" w14:paraId="5254A27E"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24A0384E"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Australian apprenticeship support loans(b)(c)</w:t>
            </w:r>
          </w:p>
        </w:tc>
        <w:tc>
          <w:tcPr>
            <w:tcW w:w="482" w:type="pct"/>
            <w:tcBorders>
              <w:top w:val="nil"/>
              <w:left w:val="nil"/>
              <w:bottom w:val="nil"/>
              <w:right w:val="nil"/>
            </w:tcBorders>
            <w:shd w:val="clear" w:color="000000" w:fill="E6F2FF"/>
            <w:noWrap/>
            <w:vAlign w:val="bottom"/>
            <w:hideMark/>
          </w:tcPr>
          <w:p w14:paraId="319CBD3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-114</w:t>
            </w:r>
          </w:p>
        </w:tc>
        <w:tc>
          <w:tcPr>
            <w:tcW w:w="481" w:type="pct"/>
            <w:tcBorders>
              <w:top w:val="nil"/>
              <w:left w:val="nil"/>
              <w:bottom w:val="nil"/>
              <w:right w:val="nil"/>
            </w:tcBorders>
            <w:shd w:val="clear" w:color="000000" w:fill="FFFFFF"/>
            <w:noWrap/>
            <w:vAlign w:val="bottom"/>
            <w:hideMark/>
          </w:tcPr>
          <w:p w14:paraId="651489C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-149</w:t>
            </w:r>
          </w:p>
        </w:tc>
        <w:tc>
          <w:tcPr>
            <w:tcW w:w="481" w:type="pct"/>
            <w:tcBorders>
              <w:top w:val="nil"/>
              <w:left w:val="nil"/>
              <w:bottom w:val="nil"/>
              <w:right w:val="nil"/>
            </w:tcBorders>
            <w:shd w:val="clear" w:color="000000" w:fill="FFFFFF"/>
            <w:noWrap/>
            <w:vAlign w:val="bottom"/>
            <w:hideMark/>
          </w:tcPr>
          <w:p w14:paraId="5FF66F1B"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-157</w:t>
            </w:r>
          </w:p>
        </w:tc>
        <w:tc>
          <w:tcPr>
            <w:tcW w:w="481" w:type="pct"/>
            <w:tcBorders>
              <w:top w:val="nil"/>
              <w:left w:val="nil"/>
              <w:bottom w:val="nil"/>
              <w:right w:val="nil"/>
            </w:tcBorders>
            <w:shd w:val="clear" w:color="000000" w:fill="FFFFFF"/>
            <w:noWrap/>
            <w:vAlign w:val="bottom"/>
            <w:hideMark/>
          </w:tcPr>
          <w:p w14:paraId="0C115A8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-157</w:t>
            </w:r>
          </w:p>
        </w:tc>
        <w:tc>
          <w:tcPr>
            <w:tcW w:w="93" w:type="pct"/>
            <w:tcBorders>
              <w:top w:val="nil"/>
              <w:left w:val="nil"/>
              <w:bottom w:val="nil"/>
              <w:right w:val="nil"/>
            </w:tcBorders>
            <w:shd w:val="clear" w:color="000000" w:fill="FFFFFF"/>
            <w:noWrap/>
            <w:vAlign w:val="bottom"/>
            <w:hideMark/>
          </w:tcPr>
          <w:p w14:paraId="10CA4F86"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3C598BCA"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-578</w:t>
            </w:r>
          </w:p>
        </w:tc>
      </w:tr>
      <w:tr w:rsidR="002207AB" w:rsidRPr="00FF1D21" w14:paraId="704288D2"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13EA9B03"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CEFC loans and investments</w:t>
            </w:r>
          </w:p>
        </w:tc>
        <w:tc>
          <w:tcPr>
            <w:tcW w:w="482" w:type="pct"/>
            <w:tcBorders>
              <w:top w:val="nil"/>
              <w:left w:val="nil"/>
              <w:bottom w:val="nil"/>
              <w:right w:val="nil"/>
            </w:tcBorders>
            <w:shd w:val="clear" w:color="000000" w:fill="E6F2FF"/>
            <w:noWrap/>
            <w:vAlign w:val="bottom"/>
            <w:hideMark/>
          </w:tcPr>
          <w:p w14:paraId="2A49706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-3,916</w:t>
            </w:r>
          </w:p>
        </w:tc>
        <w:tc>
          <w:tcPr>
            <w:tcW w:w="481" w:type="pct"/>
            <w:tcBorders>
              <w:top w:val="nil"/>
              <w:left w:val="nil"/>
              <w:bottom w:val="nil"/>
              <w:right w:val="nil"/>
            </w:tcBorders>
            <w:shd w:val="clear" w:color="000000" w:fill="FFFFFF"/>
            <w:noWrap/>
            <w:vAlign w:val="bottom"/>
            <w:hideMark/>
          </w:tcPr>
          <w:p w14:paraId="5E69B64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-4,548</w:t>
            </w:r>
          </w:p>
        </w:tc>
        <w:tc>
          <w:tcPr>
            <w:tcW w:w="481" w:type="pct"/>
            <w:tcBorders>
              <w:top w:val="nil"/>
              <w:left w:val="nil"/>
              <w:bottom w:val="nil"/>
              <w:right w:val="nil"/>
            </w:tcBorders>
            <w:shd w:val="clear" w:color="000000" w:fill="FFFFFF"/>
            <w:noWrap/>
            <w:vAlign w:val="bottom"/>
            <w:hideMark/>
          </w:tcPr>
          <w:p w14:paraId="18825E4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-5,343</w:t>
            </w:r>
          </w:p>
        </w:tc>
        <w:tc>
          <w:tcPr>
            <w:tcW w:w="481" w:type="pct"/>
            <w:tcBorders>
              <w:top w:val="nil"/>
              <w:left w:val="nil"/>
              <w:bottom w:val="nil"/>
              <w:right w:val="nil"/>
            </w:tcBorders>
            <w:shd w:val="clear" w:color="000000" w:fill="FFFFFF"/>
            <w:noWrap/>
            <w:vAlign w:val="bottom"/>
            <w:hideMark/>
          </w:tcPr>
          <w:p w14:paraId="5C673171"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-5,473</w:t>
            </w:r>
          </w:p>
        </w:tc>
        <w:tc>
          <w:tcPr>
            <w:tcW w:w="93" w:type="pct"/>
            <w:tcBorders>
              <w:top w:val="nil"/>
              <w:left w:val="nil"/>
              <w:bottom w:val="nil"/>
              <w:right w:val="nil"/>
            </w:tcBorders>
            <w:shd w:val="clear" w:color="000000" w:fill="FFFFFF"/>
            <w:noWrap/>
            <w:vAlign w:val="bottom"/>
            <w:hideMark/>
          </w:tcPr>
          <w:p w14:paraId="7DE0949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2BB23FB3"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-19,280</w:t>
            </w:r>
          </w:p>
        </w:tc>
      </w:tr>
      <w:tr w:rsidR="002207AB" w:rsidRPr="00FF1D21" w14:paraId="255C2E0C"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4387D57A"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Northern Australia Infrastructure Facility</w:t>
            </w:r>
          </w:p>
        </w:tc>
        <w:tc>
          <w:tcPr>
            <w:tcW w:w="482" w:type="pct"/>
            <w:tcBorders>
              <w:top w:val="nil"/>
              <w:left w:val="nil"/>
              <w:bottom w:val="nil"/>
              <w:right w:val="nil"/>
            </w:tcBorders>
            <w:shd w:val="clear" w:color="000000" w:fill="E6F2FF"/>
            <w:noWrap/>
            <w:vAlign w:val="bottom"/>
            <w:hideMark/>
          </w:tcPr>
          <w:p w14:paraId="4D15867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-872</w:t>
            </w:r>
          </w:p>
        </w:tc>
        <w:tc>
          <w:tcPr>
            <w:tcW w:w="481" w:type="pct"/>
            <w:tcBorders>
              <w:top w:val="nil"/>
              <w:left w:val="nil"/>
              <w:bottom w:val="nil"/>
              <w:right w:val="nil"/>
            </w:tcBorders>
            <w:shd w:val="clear" w:color="000000" w:fill="FFFFFF"/>
            <w:noWrap/>
            <w:vAlign w:val="bottom"/>
            <w:hideMark/>
          </w:tcPr>
          <w:p w14:paraId="4DD407E0"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-959</w:t>
            </w:r>
          </w:p>
        </w:tc>
        <w:tc>
          <w:tcPr>
            <w:tcW w:w="481" w:type="pct"/>
            <w:tcBorders>
              <w:top w:val="nil"/>
              <w:left w:val="nil"/>
              <w:bottom w:val="nil"/>
              <w:right w:val="nil"/>
            </w:tcBorders>
            <w:shd w:val="clear" w:color="000000" w:fill="FFFFFF"/>
            <w:noWrap/>
            <w:vAlign w:val="bottom"/>
            <w:hideMark/>
          </w:tcPr>
          <w:p w14:paraId="5A3F0041"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-820</w:t>
            </w:r>
          </w:p>
        </w:tc>
        <w:tc>
          <w:tcPr>
            <w:tcW w:w="481" w:type="pct"/>
            <w:tcBorders>
              <w:top w:val="nil"/>
              <w:left w:val="nil"/>
              <w:bottom w:val="nil"/>
              <w:right w:val="nil"/>
            </w:tcBorders>
            <w:shd w:val="clear" w:color="000000" w:fill="FFFFFF"/>
            <w:noWrap/>
            <w:vAlign w:val="bottom"/>
            <w:hideMark/>
          </w:tcPr>
          <w:p w14:paraId="3DF99C53"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-508</w:t>
            </w:r>
          </w:p>
        </w:tc>
        <w:tc>
          <w:tcPr>
            <w:tcW w:w="93" w:type="pct"/>
            <w:tcBorders>
              <w:top w:val="nil"/>
              <w:left w:val="nil"/>
              <w:bottom w:val="nil"/>
              <w:right w:val="nil"/>
            </w:tcBorders>
            <w:shd w:val="clear" w:color="000000" w:fill="FFFFFF"/>
            <w:noWrap/>
            <w:vAlign w:val="bottom"/>
            <w:hideMark/>
          </w:tcPr>
          <w:p w14:paraId="2BEEE668"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0709FDD9"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-3,160</w:t>
            </w:r>
          </w:p>
        </w:tc>
      </w:tr>
      <w:tr w:rsidR="002207AB" w:rsidRPr="00FF1D21" w14:paraId="7C3DF8BC"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5C5F4F62"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NRFC loans and investments</w:t>
            </w:r>
          </w:p>
        </w:tc>
        <w:tc>
          <w:tcPr>
            <w:tcW w:w="482" w:type="pct"/>
            <w:tcBorders>
              <w:top w:val="nil"/>
              <w:left w:val="nil"/>
              <w:bottom w:val="nil"/>
              <w:right w:val="nil"/>
            </w:tcBorders>
            <w:shd w:val="clear" w:color="000000" w:fill="E6F2FF"/>
            <w:noWrap/>
            <w:vAlign w:val="bottom"/>
            <w:hideMark/>
          </w:tcPr>
          <w:p w14:paraId="4F755850"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-550</w:t>
            </w:r>
          </w:p>
        </w:tc>
        <w:tc>
          <w:tcPr>
            <w:tcW w:w="481" w:type="pct"/>
            <w:tcBorders>
              <w:top w:val="nil"/>
              <w:left w:val="nil"/>
              <w:bottom w:val="nil"/>
              <w:right w:val="nil"/>
            </w:tcBorders>
            <w:shd w:val="clear" w:color="000000" w:fill="FFFFFF"/>
            <w:noWrap/>
            <w:vAlign w:val="bottom"/>
            <w:hideMark/>
          </w:tcPr>
          <w:p w14:paraId="63C9DC9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-1,050</w:t>
            </w:r>
          </w:p>
        </w:tc>
        <w:tc>
          <w:tcPr>
            <w:tcW w:w="481" w:type="pct"/>
            <w:tcBorders>
              <w:top w:val="nil"/>
              <w:left w:val="nil"/>
              <w:bottom w:val="nil"/>
              <w:right w:val="nil"/>
            </w:tcBorders>
            <w:shd w:val="clear" w:color="000000" w:fill="FFFFFF"/>
            <w:noWrap/>
            <w:vAlign w:val="bottom"/>
            <w:hideMark/>
          </w:tcPr>
          <w:p w14:paraId="52214DEC"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-2,505</w:t>
            </w:r>
          </w:p>
        </w:tc>
        <w:tc>
          <w:tcPr>
            <w:tcW w:w="481" w:type="pct"/>
            <w:tcBorders>
              <w:top w:val="nil"/>
              <w:left w:val="nil"/>
              <w:bottom w:val="nil"/>
              <w:right w:val="nil"/>
            </w:tcBorders>
            <w:shd w:val="clear" w:color="000000" w:fill="FFFFFF"/>
            <w:noWrap/>
            <w:vAlign w:val="bottom"/>
            <w:hideMark/>
          </w:tcPr>
          <w:p w14:paraId="62B73D3C"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-3,050</w:t>
            </w:r>
          </w:p>
        </w:tc>
        <w:tc>
          <w:tcPr>
            <w:tcW w:w="93" w:type="pct"/>
            <w:tcBorders>
              <w:top w:val="nil"/>
              <w:left w:val="nil"/>
              <w:bottom w:val="nil"/>
              <w:right w:val="nil"/>
            </w:tcBorders>
            <w:shd w:val="clear" w:color="000000" w:fill="FFFFFF"/>
            <w:noWrap/>
            <w:vAlign w:val="bottom"/>
            <w:hideMark/>
          </w:tcPr>
          <w:p w14:paraId="2AB51338"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7FAF1ECF"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-7,155</w:t>
            </w:r>
          </w:p>
        </w:tc>
      </w:tr>
      <w:tr w:rsidR="002207AB" w:rsidRPr="00FF1D21" w14:paraId="252D0792"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707C4924"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Australian Business Securitisation Fund</w:t>
            </w:r>
          </w:p>
        </w:tc>
        <w:tc>
          <w:tcPr>
            <w:tcW w:w="482" w:type="pct"/>
            <w:tcBorders>
              <w:top w:val="nil"/>
              <w:left w:val="nil"/>
              <w:bottom w:val="nil"/>
              <w:right w:val="nil"/>
            </w:tcBorders>
            <w:shd w:val="clear" w:color="000000" w:fill="E6F2FF"/>
            <w:noWrap/>
            <w:vAlign w:val="bottom"/>
            <w:hideMark/>
          </w:tcPr>
          <w:p w14:paraId="6B0EEC3A"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-562</w:t>
            </w:r>
          </w:p>
        </w:tc>
        <w:tc>
          <w:tcPr>
            <w:tcW w:w="481" w:type="pct"/>
            <w:tcBorders>
              <w:top w:val="nil"/>
              <w:left w:val="nil"/>
              <w:bottom w:val="nil"/>
              <w:right w:val="nil"/>
            </w:tcBorders>
            <w:shd w:val="clear" w:color="000000" w:fill="FFFFFF"/>
            <w:noWrap/>
            <w:vAlign w:val="bottom"/>
            <w:hideMark/>
          </w:tcPr>
          <w:p w14:paraId="36895A8B"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-151</w:t>
            </w:r>
          </w:p>
        </w:tc>
        <w:tc>
          <w:tcPr>
            <w:tcW w:w="481" w:type="pct"/>
            <w:tcBorders>
              <w:top w:val="nil"/>
              <w:left w:val="nil"/>
              <w:bottom w:val="nil"/>
              <w:right w:val="nil"/>
            </w:tcBorders>
            <w:shd w:val="clear" w:color="000000" w:fill="FFFFFF"/>
            <w:noWrap/>
            <w:vAlign w:val="bottom"/>
            <w:hideMark/>
          </w:tcPr>
          <w:p w14:paraId="4E634882"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-101</w:t>
            </w:r>
          </w:p>
        </w:tc>
        <w:tc>
          <w:tcPr>
            <w:tcW w:w="481" w:type="pct"/>
            <w:tcBorders>
              <w:top w:val="nil"/>
              <w:left w:val="nil"/>
              <w:bottom w:val="nil"/>
              <w:right w:val="nil"/>
            </w:tcBorders>
            <w:shd w:val="clear" w:color="000000" w:fill="FFFFFF"/>
            <w:noWrap/>
            <w:vAlign w:val="bottom"/>
            <w:hideMark/>
          </w:tcPr>
          <w:p w14:paraId="51E17E0A"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-102</w:t>
            </w:r>
          </w:p>
        </w:tc>
        <w:tc>
          <w:tcPr>
            <w:tcW w:w="93" w:type="pct"/>
            <w:tcBorders>
              <w:top w:val="nil"/>
              <w:left w:val="nil"/>
              <w:bottom w:val="nil"/>
              <w:right w:val="nil"/>
            </w:tcBorders>
            <w:shd w:val="clear" w:color="000000" w:fill="FFFFFF"/>
            <w:noWrap/>
            <w:vAlign w:val="bottom"/>
            <w:hideMark/>
          </w:tcPr>
          <w:p w14:paraId="52AD252A"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777ACCD"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-915</w:t>
            </w:r>
          </w:p>
        </w:tc>
      </w:tr>
      <w:tr w:rsidR="002207AB" w:rsidRPr="00FF1D21" w14:paraId="6C9E5ACD"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4B883060"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Structured Finance Support Fund</w:t>
            </w:r>
          </w:p>
        </w:tc>
        <w:tc>
          <w:tcPr>
            <w:tcW w:w="482" w:type="pct"/>
            <w:tcBorders>
              <w:top w:val="nil"/>
              <w:left w:val="nil"/>
              <w:bottom w:val="nil"/>
              <w:right w:val="nil"/>
            </w:tcBorders>
            <w:shd w:val="clear" w:color="000000" w:fill="E6F2FF"/>
            <w:noWrap/>
            <w:vAlign w:val="bottom"/>
            <w:hideMark/>
          </w:tcPr>
          <w:p w14:paraId="42B49F87"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98</w:t>
            </w:r>
          </w:p>
        </w:tc>
        <w:tc>
          <w:tcPr>
            <w:tcW w:w="481" w:type="pct"/>
            <w:tcBorders>
              <w:top w:val="nil"/>
              <w:left w:val="nil"/>
              <w:bottom w:val="nil"/>
              <w:right w:val="nil"/>
            </w:tcBorders>
            <w:shd w:val="clear" w:color="000000" w:fill="FFFFFF"/>
            <w:noWrap/>
            <w:vAlign w:val="bottom"/>
            <w:hideMark/>
          </w:tcPr>
          <w:p w14:paraId="2658D0EA"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54</w:t>
            </w:r>
          </w:p>
        </w:tc>
        <w:tc>
          <w:tcPr>
            <w:tcW w:w="481" w:type="pct"/>
            <w:tcBorders>
              <w:top w:val="nil"/>
              <w:left w:val="nil"/>
              <w:bottom w:val="nil"/>
              <w:right w:val="nil"/>
            </w:tcBorders>
            <w:shd w:val="clear" w:color="000000" w:fill="FFFFFF"/>
            <w:noWrap/>
            <w:vAlign w:val="bottom"/>
            <w:hideMark/>
          </w:tcPr>
          <w:p w14:paraId="385376C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481" w:type="pct"/>
            <w:tcBorders>
              <w:top w:val="nil"/>
              <w:left w:val="nil"/>
              <w:bottom w:val="nil"/>
              <w:right w:val="nil"/>
            </w:tcBorders>
            <w:shd w:val="clear" w:color="000000" w:fill="FFFFFF"/>
            <w:noWrap/>
            <w:vAlign w:val="bottom"/>
            <w:hideMark/>
          </w:tcPr>
          <w:p w14:paraId="75016F7C"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93" w:type="pct"/>
            <w:tcBorders>
              <w:top w:val="nil"/>
              <w:left w:val="nil"/>
              <w:bottom w:val="nil"/>
              <w:right w:val="nil"/>
            </w:tcBorders>
            <w:shd w:val="clear" w:color="000000" w:fill="FFFFFF"/>
            <w:noWrap/>
            <w:vAlign w:val="bottom"/>
            <w:hideMark/>
          </w:tcPr>
          <w:p w14:paraId="531EE028"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28A3EF6"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153</w:t>
            </w:r>
          </w:p>
        </w:tc>
      </w:tr>
      <w:tr w:rsidR="002207AB" w:rsidRPr="00FF1D21" w14:paraId="060C4D0F"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120E58D8"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Drought and rural assistance loans</w:t>
            </w:r>
          </w:p>
        </w:tc>
        <w:tc>
          <w:tcPr>
            <w:tcW w:w="482" w:type="pct"/>
            <w:tcBorders>
              <w:top w:val="nil"/>
              <w:left w:val="nil"/>
              <w:bottom w:val="nil"/>
              <w:right w:val="nil"/>
            </w:tcBorders>
            <w:shd w:val="clear" w:color="000000" w:fill="E6F2FF"/>
            <w:noWrap/>
            <w:vAlign w:val="bottom"/>
            <w:hideMark/>
          </w:tcPr>
          <w:p w14:paraId="4B731F60"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-334</w:t>
            </w:r>
          </w:p>
        </w:tc>
        <w:tc>
          <w:tcPr>
            <w:tcW w:w="481" w:type="pct"/>
            <w:tcBorders>
              <w:top w:val="nil"/>
              <w:left w:val="nil"/>
              <w:bottom w:val="nil"/>
              <w:right w:val="nil"/>
            </w:tcBorders>
            <w:shd w:val="clear" w:color="000000" w:fill="FFFFFF"/>
            <w:noWrap/>
            <w:vAlign w:val="bottom"/>
            <w:hideMark/>
          </w:tcPr>
          <w:p w14:paraId="1A87759A"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-281</w:t>
            </w:r>
          </w:p>
        </w:tc>
        <w:tc>
          <w:tcPr>
            <w:tcW w:w="481" w:type="pct"/>
            <w:tcBorders>
              <w:top w:val="nil"/>
              <w:left w:val="nil"/>
              <w:bottom w:val="nil"/>
              <w:right w:val="nil"/>
            </w:tcBorders>
            <w:shd w:val="clear" w:color="000000" w:fill="FFFFFF"/>
            <w:noWrap/>
            <w:vAlign w:val="bottom"/>
            <w:hideMark/>
          </w:tcPr>
          <w:p w14:paraId="59B7529C"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147</w:t>
            </w:r>
          </w:p>
        </w:tc>
        <w:tc>
          <w:tcPr>
            <w:tcW w:w="481" w:type="pct"/>
            <w:tcBorders>
              <w:top w:val="nil"/>
              <w:left w:val="nil"/>
              <w:bottom w:val="nil"/>
              <w:right w:val="nil"/>
            </w:tcBorders>
            <w:shd w:val="clear" w:color="000000" w:fill="FFFFFF"/>
            <w:noWrap/>
            <w:vAlign w:val="bottom"/>
            <w:hideMark/>
          </w:tcPr>
          <w:p w14:paraId="68E91751"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163</w:t>
            </w:r>
          </w:p>
        </w:tc>
        <w:tc>
          <w:tcPr>
            <w:tcW w:w="93" w:type="pct"/>
            <w:tcBorders>
              <w:top w:val="nil"/>
              <w:left w:val="nil"/>
              <w:bottom w:val="nil"/>
              <w:right w:val="nil"/>
            </w:tcBorders>
            <w:shd w:val="clear" w:color="000000" w:fill="FFFFFF"/>
            <w:noWrap/>
            <w:vAlign w:val="bottom"/>
            <w:hideMark/>
          </w:tcPr>
          <w:p w14:paraId="513066C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48E4A149"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-304</w:t>
            </w:r>
          </w:p>
        </w:tc>
      </w:tr>
      <w:tr w:rsidR="002207AB" w:rsidRPr="00FF1D21" w14:paraId="46897DEB"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20F4DC44"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 xml:space="preserve">Official Development Assistance </w:t>
            </w:r>
          </w:p>
        </w:tc>
        <w:tc>
          <w:tcPr>
            <w:tcW w:w="482" w:type="pct"/>
            <w:tcBorders>
              <w:top w:val="nil"/>
              <w:left w:val="nil"/>
              <w:bottom w:val="nil"/>
              <w:right w:val="nil"/>
            </w:tcBorders>
            <w:shd w:val="clear" w:color="000000" w:fill="E6F2FF"/>
            <w:noWrap/>
            <w:vAlign w:val="bottom"/>
            <w:hideMark/>
          </w:tcPr>
          <w:p w14:paraId="6CB2EFCC"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27A64FCF"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325084DA"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6057211"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 w:type="pct"/>
            <w:tcBorders>
              <w:top w:val="nil"/>
              <w:left w:val="nil"/>
              <w:bottom w:val="nil"/>
              <w:right w:val="nil"/>
            </w:tcBorders>
            <w:shd w:val="clear" w:color="000000" w:fill="FFFFFF"/>
            <w:noWrap/>
            <w:vAlign w:val="bottom"/>
            <w:hideMark/>
          </w:tcPr>
          <w:p w14:paraId="29F5CBF8"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59EC21C"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00778205"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23B080BB" w14:textId="77777777" w:rsidR="002207AB" w:rsidRPr="00FF1D21" w:rsidRDefault="002207AB" w:rsidP="002207AB">
            <w:pPr>
              <w:spacing w:before="0" w:after="0" w:line="240" w:lineRule="auto"/>
              <w:ind w:left="510"/>
              <w:rPr>
                <w:rFonts w:ascii="Arial" w:hAnsi="Arial" w:cs="Arial"/>
                <w:color w:val="00FFFF"/>
                <w:sz w:val="16"/>
                <w:szCs w:val="16"/>
                <w:highlight w:val="darkCyan"/>
              </w:rPr>
            </w:pPr>
            <w:r w:rsidRPr="00205DD5">
              <w:rPr>
                <w:rFonts w:ascii="Arial" w:hAnsi="Arial" w:cs="Arial"/>
                <w:sz w:val="16"/>
                <w:szCs w:val="16"/>
              </w:rPr>
              <w:t>- Australian Development Investments</w:t>
            </w:r>
          </w:p>
        </w:tc>
        <w:tc>
          <w:tcPr>
            <w:tcW w:w="482" w:type="pct"/>
            <w:tcBorders>
              <w:top w:val="nil"/>
              <w:left w:val="nil"/>
              <w:bottom w:val="nil"/>
              <w:right w:val="nil"/>
            </w:tcBorders>
            <w:shd w:val="clear" w:color="000000" w:fill="E6F2FF"/>
            <w:noWrap/>
            <w:vAlign w:val="bottom"/>
            <w:hideMark/>
          </w:tcPr>
          <w:p w14:paraId="4547500A"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-102</w:t>
            </w:r>
          </w:p>
        </w:tc>
        <w:tc>
          <w:tcPr>
            <w:tcW w:w="481" w:type="pct"/>
            <w:tcBorders>
              <w:top w:val="nil"/>
              <w:left w:val="nil"/>
              <w:bottom w:val="nil"/>
              <w:right w:val="nil"/>
            </w:tcBorders>
            <w:shd w:val="clear" w:color="000000" w:fill="FFFFFF"/>
            <w:noWrap/>
            <w:vAlign w:val="bottom"/>
            <w:hideMark/>
          </w:tcPr>
          <w:p w14:paraId="5BD65BC2"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-37</w:t>
            </w:r>
          </w:p>
        </w:tc>
        <w:tc>
          <w:tcPr>
            <w:tcW w:w="481" w:type="pct"/>
            <w:tcBorders>
              <w:top w:val="nil"/>
              <w:left w:val="nil"/>
              <w:bottom w:val="nil"/>
              <w:right w:val="nil"/>
            </w:tcBorders>
            <w:shd w:val="clear" w:color="000000" w:fill="FFFFFF"/>
            <w:noWrap/>
            <w:vAlign w:val="bottom"/>
            <w:hideMark/>
          </w:tcPr>
          <w:p w14:paraId="498B104C"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w:t>
            </w:r>
          </w:p>
        </w:tc>
        <w:tc>
          <w:tcPr>
            <w:tcW w:w="481" w:type="pct"/>
            <w:tcBorders>
              <w:top w:val="nil"/>
              <w:left w:val="nil"/>
              <w:bottom w:val="nil"/>
              <w:right w:val="nil"/>
            </w:tcBorders>
            <w:shd w:val="clear" w:color="000000" w:fill="FFFFFF"/>
            <w:noWrap/>
            <w:vAlign w:val="bottom"/>
            <w:hideMark/>
          </w:tcPr>
          <w:p w14:paraId="76FCFFE2"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93" w:type="pct"/>
            <w:tcBorders>
              <w:top w:val="nil"/>
              <w:left w:val="nil"/>
              <w:bottom w:val="nil"/>
              <w:right w:val="nil"/>
            </w:tcBorders>
            <w:shd w:val="clear" w:color="000000" w:fill="FFFFFF"/>
            <w:noWrap/>
            <w:vAlign w:val="bottom"/>
            <w:hideMark/>
          </w:tcPr>
          <w:p w14:paraId="62F17DDB"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5762508"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-146</w:t>
            </w:r>
          </w:p>
        </w:tc>
      </w:tr>
      <w:tr w:rsidR="002207AB" w:rsidRPr="00FF1D21" w14:paraId="4D5FAAFE"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03C3B2B1"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 xml:space="preserve">Official Development Assistance </w:t>
            </w:r>
          </w:p>
        </w:tc>
        <w:tc>
          <w:tcPr>
            <w:tcW w:w="482" w:type="pct"/>
            <w:tcBorders>
              <w:top w:val="nil"/>
              <w:left w:val="nil"/>
              <w:bottom w:val="nil"/>
              <w:right w:val="nil"/>
            </w:tcBorders>
            <w:shd w:val="clear" w:color="000000" w:fill="E6F2FF"/>
            <w:noWrap/>
            <w:vAlign w:val="bottom"/>
            <w:hideMark/>
          </w:tcPr>
          <w:p w14:paraId="05AADE9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072ACF64"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1062D2D3"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3A3EA01A"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 w:type="pct"/>
            <w:tcBorders>
              <w:top w:val="nil"/>
              <w:left w:val="nil"/>
              <w:bottom w:val="nil"/>
              <w:right w:val="nil"/>
            </w:tcBorders>
            <w:shd w:val="clear" w:color="000000" w:fill="FFFFFF"/>
            <w:noWrap/>
            <w:vAlign w:val="bottom"/>
            <w:hideMark/>
          </w:tcPr>
          <w:p w14:paraId="0F90C8CF"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40746BFD"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152CDCF0"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6A2FA332" w14:textId="77777777" w:rsidR="002207AB" w:rsidRPr="00FF1D21" w:rsidRDefault="002207AB" w:rsidP="002207AB">
            <w:pPr>
              <w:spacing w:before="0" w:after="0" w:line="240" w:lineRule="auto"/>
              <w:ind w:left="510"/>
              <w:rPr>
                <w:rFonts w:ascii="Arial" w:hAnsi="Arial" w:cs="Arial"/>
                <w:color w:val="00FFFF"/>
                <w:sz w:val="16"/>
                <w:szCs w:val="16"/>
                <w:highlight w:val="darkCyan"/>
              </w:rPr>
            </w:pPr>
            <w:r w:rsidRPr="00205DD5">
              <w:rPr>
                <w:rFonts w:ascii="Arial" w:hAnsi="Arial" w:cs="Arial"/>
                <w:sz w:val="16"/>
                <w:szCs w:val="16"/>
              </w:rPr>
              <w:t>- Multilateral Replenishment</w:t>
            </w:r>
          </w:p>
        </w:tc>
        <w:tc>
          <w:tcPr>
            <w:tcW w:w="482" w:type="pct"/>
            <w:tcBorders>
              <w:top w:val="nil"/>
              <w:left w:val="nil"/>
              <w:bottom w:val="nil"/>
              <w:right w:val="nil"/>
            </w:tcBorders>
            <w:shd w:val="clear" w:color="000000" w:fill="E6F2FF"/>
            <w:noWrap/>
            <w:vAlign w:val="bottom"/>
            <w:hideMark/>
          </w:tcPr>
          <w:p w14:paraId="40949599"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-142</w:t>
            </w:r>
          </w:p>
        </w:tc>
        <w:tc>
          <w:tcPr>
            <w:tcW w:w="481" w:type="pct"/>
            <w:tcBorders>
              <w:top w:val="nil"/>
              <w:left w:val="nil"/>
              <w:bottom w:val="nil"/>
              <w:right w:val="nil"/>
            </w:tcBorders>
            <w:shd w:val="clear" w:color="000000" w:fill="FFFFFF"/>
            <w:noWrap/>
            <w:vAlign w:val="bottom"/>
            <w:hideMark/>
          </w:tcPr>
          <w:p w14:paraId="1F3BDFA8"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-195</w:t>
            </w:r>
          </w:p>
        </w:tc>
        <w:tc>
          <w:tcPr>
            <w:tcW w:w="481" w:type="pct"/>
            <w:tcBorders>
              <w:top w:val="nil"/>
              <w:left w:val="nil"/>
              <w:bottom w:val="nil"/>
              <w:right w:val="nil"/>
            </w:tcBorders>
            <w:shd w:val="clear" w:color="000000" w:fill="FFFFFF"/>
            <w:noWrap/>
            <w:vAlign w:val="bottom"/>
            <w:hideMark/>
          </w:tcPr>
          <w:p w14:paraId="56FFF809"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-170</w:t>
            </w:r>
          </w:p>
        </w:tc>
        <w:tc>
          <w:tcPr>
            <w:tcW w:w="481" w:type="pct"/>
            <w:tcBorders>
              <w:top w:val="nil"/>
              <w:left w:val="nil"/>
              <w:bottom w:val="nil"/>
              <w:right w:val="nil"/>
            </w:tcBorders>
            <w:shd w:val="clear" w:color="000000" w:fill="FFFFFF"/>
            <w:noWrap/>
            <w:vAlign w:val="bottom"/>
            <w:hideMark/>
          </w:tcPr>
          <w:p w14:paraId="34DB6077"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-186</w:t>
            </w:r>
          </w:p>
        </w:tc>
        <w:tc>
          <w:tcPr>
            <w:tcW w:w="93" w:type="pct"/>
            <w:tcBorders>
              <w:top w:val="nil"/>
              <w:left w:val="nil"/>
              <w:bottom w:val="nil"/>
              <w:right w:val="nil"/>
            </w:tcBorders>
            <w:shd w:val="clear" w:color="000000" w:fill="FFFFFF"/>
            <w:noWrap/>
            <w:vAlign w:val="bottom"/>
            <w:hideMark/>
          </w:tcPr>
          <w:p w14:paraId="5F107DFC"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16BE14B3"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-693</w:t>
            </w:r>
          </w:p>
        </w:tc>
      </w:tr>
      <w:tr w:rsidR="002207AB" w:rsidRPr="00FF1D21" w14:paraId="2FDD769E"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7524A8B8"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Home Equity Access Scheme</w:t>
            </w:r>
          </w:p>
        </w:tc>
        <w:tc>
          <w:tcPr>
            <w:tcW w:w="482" w:type="pct"/>
            <w:tcBorders>
              <w:top w:val="nil"/>
              <w:left w:val="nil"/>
              <w:bottom w:val="nil"/>
              <w:right w:val="nil"/>
            </w:tcBorders>
            <w:shd w:val="clear" w:color="000000" w:fill="E6F2FF"/>
            <w:noWrap/>
            <w:vAlign w:val="bottom"/>
            <w:hideMark/>
          </w:tcPr>
          <w:p w14:paraId="1A698A44"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-197</w:t>
            </w:r>
          </w:p>
        </w:tc>
        <w:tc>
          <w:tcPr>
            <w:tcW w:w="481" w:type="pct"/>
            <w:tcBorders>
              <w:top w:val="nil"/>
              <w:left w:val="nil"/>
              <w:bottom w:val="nil"/>
              <w:right w:val="nil"/>
            </w:tcBorders>
            <w:shd w:val="clear" w:color="000000" w:fill="FFFFFF"/>
            <w:noWrap/>
            <w:vAlign w:val="bottom"/>
            <w:hideMark/>
          </w:tcPr>
          <w:p w14:paraId="5DEA0A13"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-255</w:t>
            </w:r>
          </w:p>
        </w:tc>
        <w:tc>
          <w:tcPr>
            <w:tcW w:w="481" w:type="pct"/>
            <w:tcBorders>
              <w:top w:val="nil"/>
              <w:left w:val="nil"/>
              <w:bottom w:val="nil"/>
              <w:right w:val="nil"/>
            </w:tcBorders>
            <w:shd w:val="clear" w:color="000000" w:fill="FFFFFF"/>
            <w:noWrap/>
            <w:vAlign w:val="bottom"/>
            <w:hideMark/>
          </w:tcPr>
          <w:p w14:paraId="76915DA8"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-318</w:t>
            </w:r>
          </w:p>
        </w:tc>
        <w:tc>
          <w:tcPr>
            <w:tcW w:w="481" w:type="pct"/>
            <w:tcBorders>
              <w:top w:val="nil"/>
              <w:left w:val="nil"/>
              <w:bottom w:val="nil"/>
              <w:right w:val="nil"/>
            </w:tcBorders>
            <w:shd w:val="clear" w:color="000000" w:fill="FFFFFF"/>
            <w:noWrap/>
            <w:vAlign w:val="bottom"/>
            <w:hideMark/>
          </w:tcPr>
          <w:p w14:paraId="41C2DF4E"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-368</w:t>
            </w:r>
          </w:p>
        </w:tc>
        <w:tc>
          <w:tcPr>
            <w:tcW w:w="93" w:type="pct"/>
            <w:tcBorders>
              <w:top w:val="nil"/>
              <w:left w:val="nil"/>
              <w:bottom w:val="nil"/>
              <w:right w:val="nil"/>
            </w:tcBorders>
            <w:shd w:val="clear" w:color="000000" w:fill="FFFFFF"/>
            <w:noWrap/>
            <w:vAlign w:val="bottom"/>
            <w:hideMark/>
          </w:tcPr>
          <w:p w14:paraId="6BFD951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7A4E7B4F"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-1,137</w:t>
            </w:r>
          </w:p>
        </w:tc>
      </w:tr>
      <w:tr w:rsidR="002207AB" w:rsidRPr="00FF1D21" w14:paraId="514A5FE4"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5E1C5B0C"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Housing Australia</w:t>
            </w:r>
          </w:p>
        </w:tc>
        <w:tc>
          <w:tcPr>
            <w:tcW w:w="482" w:type="pct"/>
            <w:tcBorders>
              <w:top w:val="nil"/>
              <w:left w:val="nil"/>
              <w:bottom w:val="nil"/>
              <w:right w:val="nil"/>
            </w:tcBorders>
            <w:shd w:val="clear" w:color="000000" w:fill="E6F2FF"/>
            <w:noWrap/>
            <w:vAlign w:val="bottom"/>
            <w:hideMark/>
          </w:tcPr>
          <w:p w14:paraId="00DDB86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-711</w:t>
            </w:r>
          </w:p>
        </w:tc>
        <w:tc>
          <w:tcPr>
            <w:tcW w:w="481" w:type="pct"/>
            <w:tcBorders>
              <w:top w:val="nil"/>
              <w:left w:val="nil"/>
              <w:bottom w:val="nil"/>
              <w:right w:val="nil"/>
            </w:tcBorders>
            <w:shd w:val="clear" w:color="000000" w:fill="FFFFFF"/>
            <w:noWrap/>
            <w:vAlign w:val="bottom"/>
            <w:hideMark/>
          </w:tcPr>
          <w:p w14:paraId="54F8D1A3"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-1,721</w:t>
            </w:r>
          </w:p>
        </w:tc>
        <w:tc>
          <w:tcPr>
            <w:tcW w:w="481" w:type="pct"/>
            <w:tcBorders>
              <w:top w:val="nil"/>
              <w:left w:val="nil"/>
              <w:bottom w:val="nil"/>
              <w:right w:val="nil"/>
            </w:tcBorders>
            <w:shd w:val="clear" w:color="000000" w:fill="FFFFFF"/>
            <w:noWrap/>
            <w:vAlign w:val="bottom"/>
            <w:hideMark/>
          </w:tcPr>
          <w:p w14:paraId="688F4237"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-3,193</w:t>
            </w:r>
          </w:p>
        </w:tc>
        <w:tc>
          <w:tcPr>
            <w:tcW w:w="481" w:type="pct"/>
            <w:tcBorders>
              <w:top w:val="nil"/>
              <w:left w:val="nil"/>
              <w:bottom w:val="nil"/>
              <w:right w:val="nil"/>
            </w:tcBorders>
            <w:shd w:val="clear" w:color="000000" w:fill="FFFFFF"/>
            <w:noWrap/>
            <w:vAlign w:val="bottom"/>
            <w:hideMark/>
          </w:tcPr>
          <w:p w14:paraId="5AEC21C7"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-666</w:t>
            </w:r>
          </w:p>
        </w:tc>
        <w:tc>
          <w:tcPr>
            <w:tcW w:w="93" w:type="pct"/>
            <w:tcBorders>
              <w:top w:val="nil"/>
              <w:left w:val="nil"/>
              <w:bottom w:val="nil"/>
              <w:right w:val="nil"/>
            </w:tcBorders>
            <w:shd w:val="clear" w:color="000000" w:fill="FFFFFF"/>
            <w:noWrap/>
            <w:vAlign w:val="bottom"/>
            <w:hideMark/>
          </w:tcPr>
          <w:p w14:paraId="2FD8BB6A"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289AAF78"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-6,291</w:t>
            </w:r>
          </w:p>
        </w:tc>
      </w:tr>
      <w:tr w:rsidR="002207AB" w:rsidRPr="00FF1D21" w14:paraId="3C2CC56E"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2D4D8ABE"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National Interest Account</w:t>
            </w:r>
          </w:p>
        </w:tc>
        <w:tc>
          <w:tcPr>
            <w:tcW w:w="482" w:type="pct"/>
            <w:tcBorders>
              <w:top w:val="nil"/>
              <w:left w:val="nil"/>
              <w:bottom w:val="nil"/>
              <w:right w:val="nil"/>
            </w:tcBorders>
            <w:shd w:val="clear" w:color="000000" w:fill="E6F2FF"/>
            <w:noWrap/>
            <w:vAlign w:val="bottom"/>
            <w:hideMark/>
          </w:tcPr>
          <w:p w14:paraId="12D0577E"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DB946A7"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27D85241"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30D85C6F"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 w:type="pct"/>
            <w:tcBorders>
              <w:top w:val="nil"/>
              <w:left w:val="nil"/>
              <w:bottom w:val="nil"/>
              <w:right w:val="nil"/>
            </w:tcBorders>
            <w:shd w:val="clear" w:color="000000" w:fill="FFFFFF"/>
            <w:noWrap/>
            <w:vAlign w:val="bottom"/>
            <w:hideMark/>
          </w:tcPr>
          <w:p w14:paraId="775ED979"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0CC9FE48"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754A0874"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1C9EEC6C" w14:textId="77777777" w:rsidR="002207AB" w:rsidRPr="00FF1D21" w:rsidRDefault="002207AB" w:rsidP="002207AB">
            <w:pPr>
              <w:spacing w:before="0" w:after="0" w:line="240" w:lineRule="auto"/>
              <w:ind w:left="510"/>
              <w:rPr>
                <w:rFonts w:ascii="Arial" w:hAnsi="Arial" w:cs="Arial"/>
                <w:color w:val="00FFFF"/>
                <w:sz w:val="16"/>
                <w:szCs w:val="16"/>
                <w:highlight w:val="darkCyan"/>
              </w:rPr>
            </w:pPr>
            <w:r w:rsidRPr="00205DD5">
              <w:rPr>
                <w:rFonts w:ascii="Arial" w:hAnsi="Arial" w:cs="Arial"/>
                <w:sz w:val="16"/>
                <w:szCs w:val="16"/>
              </w:rPr>
              <w:t>loans and investments</w:t>
            </w:r>
          </w:p>
        </w:tc>
        <w:tc>
          <w:tcPr>
            <w:tcW w:w="482" w:type="pct"/>
            <w:tcBorders>
              <w:top w:val="nil"/>
              <w:left w:val="nil"/>
              <w:bottom w:val="nil"/>
              <w:right w:val="nil"/>
            </w:tcBorders>
            <w:shd w:val="clear" w:color="000000" w:fill="E6F2FF"/>
            <w:noWrap/>
            <w:vAlign w:val="bottom"/>
            <w:hideMark/>
          </w:tcPr>
          <w:p w14:paraId="17E0AE73"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-886</w:t>
            </w:r>
          </w:p>
        </w:tc>
        <w:tc>
          <w:tcPr>
            <w:tcW w:w="481" w:type="pct"/>
            <w:tcBorders>
              <w:top w:val="nil"/>
              <w:left w:val="nil"/>
              <w:bottom w:val="nil"/>
              <w:right w:val="nil"/>
            </w:tcBorders>
            <w:shd w:val="clear" w:color="000000" w:fill="FFFFFF"/>
            <w:noWrap/>
            <w:vAlign w:val="bottom"/>
            <w:hideMark/>
          </w:tcPr>
          <w:p w14:paraId="219122A2"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-1,097</w:t>
            </w:r>
          </w:p>
        </w:tc>
        <w:tc>
          <w:tcPr>
            <w:tcW w:w="481" w:type="pct"/>
            <w:tcBorders>
              <w:top w:val="nil"/>
              <w:left w:val="nil"/>
              <w:bottom w:val="nil"/>
              <w:right w:val="nil"/>
            </w:tcBorders>
            <w:shd w:val="clear" w:color="000000" w:fill="FFFFFF"/>
            <w:noWrap/>
            <w:vAlign w:val="bottom"/>
            <w:hideMark/>
          </w:tcPr>
          <w:p w14:paraId="57EA64CF"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-530</w:t>
            </w:r>
          </w:p>
        </w:tc>
        <w:tc>
          <w:tcPr>
            <w:tcW w:w="481" w:type="pct"/>
            <w:tcBorders>
              <w:top w:val="nil"/>
              <w:left w:val="nil"/>
              <w:bottom w:val="nil"/>
              <w:right w:val="nil"/>
            </w:tcBorders>
            <w:shd w:val="clear" w:color="000000" w:fill="FFFFFF"/>
            <w:noWrap/>
            <w:vAlign w:val="bottom"/>
            <w:hideMark/>
          </w:tcPr>
          <w:p w14:paraId="562A4FBC"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w:t>
            </w:r>
          </w:p>
        </w:tc>
        <w:tc>
          <w:tcPr>
            <w:tcW w:w="93" w:type="pct"/>
            <w:tcBorders>
              <w:top w:val="nil"/>
              <w:left w:val="nil"/>
              <w:bottom w:val="nil"/>
              <w:right w:val="nil"/>
            </w:tcBorders>
            <w:shd w:val="clear" w:color="000000" w:fill="FFFFFF"/>
            <w:noWrap/>
            <w:vAlign w:val="bottom"/>
            <w:hideMark/>
          </w:tcPr>
          <w:p w14:paraId="3041C6C6"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6736DD9"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-2,504</w:t>
            </w:r>
          </w:p>
        </w:tc>
      </w:tr>
      <w:tr w:rsidR="002207AB" w:rsidRPr="00FF1D21" w14:paraId="54138AD2"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34333630"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COVID-19 Support for Indonesia - loan</w:t>
            </w:r>
          </w:p>
        </w:tc>
        <w:tc>
          <w:tcPr>
            <w:tcW w:w="482" w:type="pct"/>
            <w:tcBorders>
              <w:top w:val="nil"/>
              <w:left w:val="nil"/>
              <w:bottom w:val="nil"/>
              <w:right w:val="nil"/>
            </w:tcBorders>
            <w:shd w:val="clear" w:color="000000" w:fill="E6F2FF"/>
            <w:noWrap/>
            <w:vAlign w:val="bottom"/>
            <w:hideMark/>
          </w:tcPr>
          <w:p w14:paraId="2BB2A69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100</w:t>
            </w:r>
          </w:p>
        </w:tc>
        <w:tc>
          <w:tcPr>
            <w:tcW w:w="481" w:type="pct"/>
            <w:tcBorders>
              <w:top w:val="nil"/>
              <w:left w:val="nil"/>
              <w:bottom w:val="nil"/>
              <w:right w:val="nil"/>
            </w:tcBorders>
            <w:shd w:val="clear" w:color="000000" w:fill="FFFFFF"/>
            <w:noWrap/>
            <w:vAlign w:val="bottom"/>
            <w:hideMark/>
          </w:tcPr>
          <w:p w14:paraId="7FAD5F1E"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100</w:t>
            </w:r>
          </w:p>
        </w:tc>
        <w:tc>
          <w:tcPr>
            <w:tcW w:w="481" w:type="pct"/>
            <w:tcBorders>
              <w:top w:val="nil"/>
              <w:left w:val="nil"/>
              <w:bottom w:val="nil"/>
              <w:right w:val="nil"/>
            </w:tcBorders>
            <w:shd w:val="clear" w:color="000000" w:fill="FFFFFF"/>
            <w:noWrap/>
            <w:vAlign w:val="bottom"/>
            <w:hideMark/>
          </w:tcPr>
          <w:p w14:paraId="3926FC8F"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100</w:t>
            </w:r>
          </w:p>
        </w:tc>
        <w:tc>
          <w:tcPr>
            <w:tcW w:w="481" w:type="pct"/>
            <w:tcBorders>
              <w:top w:val="nil"/>
              <w:left w:val="nil"/>
              <w:bottom w:val="nil"/>
              <w:right w:val="nil"/>
            </w:tcBorders>
            <w:shd w:val="clear" w:color="000000" w:fill="FFFFFF"/>
            <w:noWrap/>
            <w:vAlign w:val="bottom"/>
            <w:hideMark/>
          </w:tcPr>
          <w:p w14:paraId="27B3BAC4"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100</w:t>
            </w:r>
          </w:p>
        </w:tc>
        <w:tc>
          <w:tcPr>
            <w:tcW w:w="93" w:type="pct"/>
            <w:tcBorders>
              <w:top w:val="nil"/>
              <w:left w:val="nil"/>
              <w:bottom w:val="nil"/>
              <w:right w:val="nil"/>
            </w:tcBorders>
            <w:shd w:val="clear" w:color="000000" w:fill="FFFFFF"/>
            <w:noWrap/>
            <w:vAlign w:val="bottom"/>
            <w:hideMark/>
          </w:tcPr>
          <w:p w14:paraId="3510A940"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B39D0FE"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400</w:t>
            </w:r>
          </w:p>
        </w:tc>
      </w:tr>
      <w:tr w:rsidR="002207AB" w:rsidRPr="00FF1D21" w14:paraId="73F7ECD1"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0CC17F5F"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Financial Assistance to</w:t>
            </w:r>
          </w:p>
        </w:tc>
        <w:tc>
          <w:tcPr>
            <w:tcW w:w="482" w:type="pct"/>
            <w:tcBorders>
              <w:top w:val="nil"/>
              <w:left w:val="nil"/>
              <w:bottom w:val="nil"/>
              <w:right w:val="nil"/>
            </w:tcBorders>
            <w:shd w:val="clear" w:color="000000" w:fill="E6F2FF"/>
            <w:noWrap/>
            <w:vAlign w:val="bottom"/>
            <w:hideMark/>
          </w:tcPr>
          <w:p w14:paraId="76401442"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13562363"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A9846BB"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EDE75DB"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 w:type="pct"/>
            <w:tcBorders>
              <w:top w:val="nil"/>
              <w:left w:val="nil"/>
              <w:bottom w:val="nil"/>
              <w:right w:val="nil"/>
            </w:tcBorders>
            <w:shd w:val="clear" w:color="000000" w:fill="FFFFFF"/>
            <w:noWrap/>
            <w:vAlign w:val="bottom"/>
            <w:hideMark/>
          </w:tcPr>
          <w:p w14:paraId="675C5169"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BAC16EA"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4A2CA056"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0944F7A7" w14:textId="77777777" w:rsidR="002207AB" w:rsidRPr="00FF1D21" w:rsidRDefault="002207AB" w:rsidP="002207AB">
            <w:pPr>
              <w:spacing w:before="0" w:after="0" w:line="240" w:lineRule="auto"/>
              <w:ind w:left="510"/>
              <w:rPr>
                <w:rFonts w:ascii="Arial" w:hAnsi="Arial" w:cs="Arial"/>
                <w:color w:val="00FFFF"/>
                <w:sz w:val="16"/>
                <w:szCs w:val="16"/>
                <w:highlight w:val="darkCyan"/>
              </w:rPr>
            </w:pPr>
            <w:r w:rsidRPr="00205DD5">
              <w:rPr>
                <w:rFonts w:ascii="Arial" w:hAnsi="Arial" w:cs="Arial"/>
                <w:sz w:val="16"/>
                <w:szCs w:val="16"/>
              </w:rPr>
              <w:t>Papua New Guinea - loan</w:t>
            </w:r>
          </w:p>
        </w:tc>
        <w:tc>
          <w:tcPr>
            <w:tcW w:w="482" w:type="pct"/>
            <w:tcBorders>
              <w:top w:val="nil"/>
              <w:left w:val="nil"/>
              <w:bottom w:val="nil"/>
              <w:right w:val="nil"/>
            </w:tcBorders>
            <w:shd w:val="clear" w:color="000000" w:fill="E6F2FF"/>
            <w:noWrap/>
            <w:vAlign w:val="bottom"/>
            <w:hideMark/>
          </w:tcPr>
          <w:p w14:paraId="35DD8089"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141</w:t>
            </w:r>
          </w:p>
        </w:tc>
        <w:tc>
          <w:tcPr>
            <w:tcW w:w="481" w:type="pct"/>
            <w:tcBorders>
              <w:top w:val="nil"/>
              <w:left w:val="nil"/>
              <w:bottom w:val="nil"/>
              <w:right w:val="nil"/>
            </w:tcBorders>
            <w:shd w:val="clear" w:color="000000" w:fill="FFFFFF"/>
            <w:noWrap/>
            <w:vAlign w:val="bottom"/>
            <w:hideMark/>
          </w:tcPr>
          <w:p w14:paraId="0D98CA7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141</w:t>
            </w:r>
          </w:p>
        </w:tc>
        <w:tc>
          <w:tcPr>
            <w:tcW w:w="481" w:type="pct"/>
            <w:tcBorders>
              <w:top w:val="nil"/>
              <w:left w:val="nil"/>
              <w:bottom w:val="nil"/>
              <w:right w:val="nil"/>
            </w:tcBorders>
            <w:shd w:val="clear" w:color="000000" w:fill="FFFFFF"/>
            <w:noWrap/>
            <w:vAlign w:val="bottom"/>
            <w:hideMark/>
          </w:tcPr>
          <w:p w14:paraId="399BB74E"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141</w:t>
            </w:r>
          </w:p>
        </w:tc>
        <w:tc>
          <w:tcPr>
            <w:tcW w:w="481" w:type="pct"/>
            <w:tcBorders>
              <w:top w:val="nil"/>
              <w:left w:val="nil"/>
              <w:bottom w:val="nil"/>
              <w:right w:val="nil"/>
            </w:tcBorders>
            <w:shd w:val="clear" w:color="000000" w:fill="FFFFFF"/>
            <w:noWrap/>
            <w:vAlign w:val="bottom"/>
            <w:hideMark/>
          </w:tcPr>
          <w:p w14:paraId="25D40C25"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141</w:t>
            </w:r>
          </w:p>
        </w:tc>
        <w:tc>
          <w:tcPr>
            <w:tcW w:w="93" w:type="pct"/>
            <w:tcBorders>
              <w:top w:val="nil"/>
              <w:left w:val="nil"/>
              <w:bottom w:val="nil"/>
              <w:right w:val="nil"/>
            </w:tcBorders>
            <w:shd w:val="clear" w:color="000000" w:fill="FFFFFF"/>
            <w:noWrap/>
            <w:vAlign w:val="bottom"/>
            <w:hideMark/>
          </w:tcPr>
          <w:p w14:paraId="52E2B4FE"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5E464E09"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563</w:t>
            </w:r>
          </w:p>
        </w:tc>
      </w:tr>
      <w:tr w:rsidR="002207AB" w:rsidRPr="00FF1D21" w14:paraId="36F6E45D"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2D0FE0C1" w14:textId="77777777" w:rsidR="002207AB" w:rsidRPr="00FF1D21" w:rsidRDefault="002207AB" w:rsidP="002207A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Net other(d)</w:t>
            </w:r>
          </w:p>
        </w:tc>
        <w:tc>
          <w:tcPr>
            <w:tcW w:w="482" w:type="pct"/>
            <w:tcBorders>
              <w:top w:val="nil"/>
              <w:left w:val="nil"/>
              <w:bottom w:val="nil"/>
              <w:right w:val="nil"/>
            </w:tcBorders>
            <w:shd w:val="clear" w:color="000000" w:fill="E6F2FF"/>
            <w:noWrap/>
            <w:vAlign w:val="bottom"/>
            <w:hideMark/>
          </w:tcPr>
          <w:p w14:paraId="552E19F6"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-5,712</w:t>
            </w:r>
          </w:p>
        </w:tc>
        <w:tc>
          <w:tcPr>
            <w:tcW w:w="481" w:type="pct"/>
            <w:tcBorders>
              <w:top w:val="nil"/>
              <w:left w:val="nil"/>
              <w:bottom w:val="nil"/>
              <w:right w:val="nil"/>
            </w:tcBorders>
            <w:shd w:val="clear" w:color="000000" w:fill="FFFFFF"/>
            <w:noWrap/>
            <w:vAlign w:val="bottom"/>
            <w:hideMark/>
          </w:tcPr>
          <w:p w14:paraId="64A6E801"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-5,836</w:t>
            </w:r>
          </w:p>
        </w:tc>
        <w:tc>
          <w:tcPr>
            <w:tcW w:w="481" w:type="pct"/>
            <w:tcBorders>
              <w:top w:val="nil"/>
              <w:left w:val="nil"/>
              <w:bottom w:val="nil"/>
              <w:right w:val="nil"/>
            </w:tcBorders>
            <w:shd w:val="clear" w:color="000000" w:fill="FFFFFF"/>
            <w:noWrap/>
            <w:vAlign w:val="bottom"/>
            <w:hideMark/>
          </w:tcPr>
          <w:p w14:paraId="721F4EF1"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-5,018</w:t>
            </w:r>
          </w:p>
        </w:tc>
        <w:tc>
          <w:tcPr>
            <w:tcW w:w="481" w:type="pct"/>
            <w:tcBorders>
              <w:top w:val="nil"/>
              <w:left w:val="nil"/>
              <w:bottom w:val="nil"/>
              <w:right w:val="nil"/>
            </w:tcBorders>
            <w:shd w:val="clear" w:color="000000" w:fill="FFFFFF"/>
            <w:noWrap/>
            <w:vAlign w:val="bottom"/>
            <w:hideMark/>
          </w:tcPr>
          <w:p w14:paraId="362478ED" w14:textId="77777777" w:rsidR="002207AB" w:rsidRPr="00FF1D21" w:rsidRDefault="002207AB" w:rsidP="002207A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-3,565</w:t>
            </w:r>
          </w:p>
        </w:tc>
        <w:tc>
          <w:tcPr>
            <w:tcW w:w="93" w:type="pct"/>
            <w:tcBorders>
              <w:top w:val="nil"/>
              <w:left w:val="nil"/>
              <w:bottom w:val="nil"/>
              <w:right w:val="nil"/>
            </w:tcBorders>
            <w:shd w:val="clear" w:color="000000" w:fill="FFFFFF"/>
            <w:noWrap/>
            <w:vAlign w:val="bottom"/>
            <w:hideMark/>
          </w:tcPr>
          <w:p w14:paraId="303FDBDD"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1CE276DE" w14:textId="77777777" w:rsidR="002207AB" w:rsidRPr="00205DD5" w:rsidRDefault="002207AB" w:rsidP="002207AB">
            <w:pPr>
              <w:spacing w:before="0" w:after="0" w:line="240" w:lineRule="auto"/>
              <w:jc w:val="right"/>
              <w:rPr>
                <w:rFonts w:ascii="Arial" w:hAnsi="Arial" w:cs="Arial"/>
                <w:sz w:val="16"/>
                <w:szCs w:val="16"/>
              </w:rPr>
            </w:pPr>
            <w:r w:rsidRPr="00205DD5">
              <w:rPr>
                <w:rFonts w:ascii="Arial" w:hAnsi="Arial" w:cs="Arial"/>
                <w:sz w:val="16"/>
                <w:szCs w:val="16"/>
              </w:rPr>
              <w:t>-20,131</w:t>
            </w:r>
          </w:p>
        </w:tc>
      </w:tr>
      <w:tr w:rsidR="002207AB" w:rsidRPr="00FF1D21" w14:paraId="37498ABF" w14:textId="77777777" w:rsidTr="002207AB">
        <w:trPr>
          <w:trHeight w:hRule="exact" w:val="226"/>
        </w:trPr>
        <w:tc>
          <w:tcPr>
            <w:tcW w:w="2500" w:type="pct"/>
            <w:tcBorders>
              <w:top w:val="nil"/>
              <w:left w:val="nil"/>
              <w:bottom w:val="nil"/>
              <w:right w:val="nil"/>
            </w:tcBorders>
            <w:shd w:val="clear" w:color="000000" w:fill="FFFFFF"/>
            <w:noWrap/>
            <w:vAlign w:val="bottom"/>
            <w:hideMark/>
          </w:tcPr>
          <w:p w14:paraId="38A382BA"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Total net cash flows from investments in</w:t>
            </w:r>
          </w:p>
        </w:tc>
        <w:tc>
          <w:tcPr>
            <w:tcW w:w="482" w:type="pct"/>
            <w:tcBorders>
              <w:top w:val="nil"/>
              <w:left w:val="nil"/>
              <w:bottom w:val="nil"/>
              <w:right w:val="nil"/>
            </w:tcBorders>
            <w:shd w:val="clear" w:color="000000" w:fill="E6F2FF"/>
            <w:noWrap/>
            <w:vAlign w:val="bottom"/>
            <w:hideMark/>
          </w:tcPr>
          <w:p w14:paraId="73DAE339"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2F4BF0C1"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0F5FD716"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6ACB1898"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 w:type="pct"/>
            <w:tcBorders>
              <w:top w:val="nil"/>
              <w:left w:val="nil"/>
              <w:bottom w:val="nil"/>
              <w:right w:val="nil"/>
            </w:tcBorders>
            <w:shd w:val="clear" w:color="000000" w:fill="FFFFFF"/>
            <w:noWrap/>
            <w:vAlign w:val="bottom"/>
            <w:hideMark/>
          </w:tcPr>
          <w:p w14:paraId="0C7B6281"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747E95E6" w14:textId="77777777" w:rsidR="002207AB" w:rsidRPr="00205DD5" w:rsidRDefault="002207AB" w:rsidP="002207AB">
            <w:pPr>
              <w:spacing w:before="0" w:after="0" w:line="240" w:lineRule="auto"/>
              <w:rPr>
                <w:rFonts w:ascii="Arial" w:hAnsi="Arial" w:cs="Arial"/>
                <w:sz w:val="16"/>
                <w:szCs w:val="16"/>
              </w:rPr>
            </w:pPr>
            <w:r w:rsidRPr="00205DD5">
              <w:rPr>
                <w:rFonts w:ascii="Arial" w:hAnsi="Arial" w:cs="Arial"/>
                <w:sz w:val="16"/>
                <w:szCs w:val="16"/>
              </w:rPr>
              <w:t> </w:t>
            </w:r>
          </w:p>
        </w:tc>
      </w:tr>
      <w:tr w:rsidR="002207AB" w:rsidRPr="00FF1D21" w14:paraId="3904B885" w14:textId="77777777" w:rsidTr="002207AB">
        <w:trPr>
          <w:trHeight w:hRule="exact" w:val="224"/>
        </w:trPr>
        <w:tc>
          <w:tcPr>
            <w:tcW w:w="2500" w:type="pct"/>
            <w:tcBorders>
              <w:top w:val="nil"/>
              <w:left w:val="nil"/>
              <w:bottom w:val="nil"/>
              <w:right w:val="nil"/>
            </w:tcBorders>
            <w:shd w:val="clear" w:color="000000" w:fill="FFFFFF"/>
            <w:noWrap/>
            <w:vAlign w:val="bottom"/>
            <w:hideMark/>
          </w:tcPr>
          <w:p w14:paraId="1B5C9456" w14:textId="77777777" w:rsidR="002207AB" w:rsidRPr="00FF1D21" w:rsidRDefault="002207AB" w:rsidP="002207AB">
            <w:pPr>
              <w:spacing w:before="0" w:after="0" w:line="240" w:lineRule="auto"/>
              <w:ind w:left="170"/>
              <w:rPr>
                <w:rFonts w:ascii="Arial" w:hAnsi="Arial" w:cs="Arial"/>
                <w:b/>
                <w:color w:val="00FFFF"/>
                <w:sz w:val="16"/>
                <w:szCs w:val="16"/>
                <w:highlight w:val="darkCyan"/>
              </w:rPr>
            </w:pPr>
            <w:r w:rsidRPr="00205DD5">
              <w:rPr>
                <w:rFonts w:ascii="Arial" w:hAnsi="Arial" w:cs="Arial"/>
                <w:b/>
                <w:sz w:val="16"/>
                <w:szCs w:val="16"/>
              </w:rPr>
              <w:t xml:space="preserve"> financial assets for policy purposes</w:t>
            </w:r>
          </w:p>
        </w:tc>
        <w:tc>
          <w:tcPr>
            <w:tcW w:w="482" w:type="pct"/>
            <w:tcBorders>
              <w:top w:val="nil"/>
              <w:left w:val="nil"/>
              <w:bottom w:val="single" w:sz="4" w:space="0" w:color="293F5B"/>
              <w:right w:val="nil"/>
            </w:tcBorders>
            <w:shd w:val="clear" w:color="000000" w:fill="E6F2FF"/>
            <w:noWrap/>
            <w:vAlign w:val="bottom"/>
            <w:hideMark/>
          </w:tcPr>
          <w:p w14:paraId="49B35DA4"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-20,816</w:t>
            </w:r>
          </w:p>
        </w:tc>
        <w:tc>
          <w:tcPr>
            <w:tcW w:w="481" w:type="pct"/>
            <w:tcBorders>
              <w:top w:val="nil"/>
              <w:left w:val="nil"/>
              <w:bottom w:val="single" w:sz="4" w:space="0" w:color="293F5B"/>
              <w:right w:val="nil"/>
            </w:tcBorders>
            <w:shd w:val="clear" w:color="000000" w:fill="FFFFFF"/>
            <w:noWrap/>
            <w:vAlign w:val="bottom"/>
            <w:hideMark/>
          </w:tcPr>
          <w:p w14:paraId="011C317A"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-23,363</w:t>
            </w:r>
          </w:p>
        </w:tc>
        <w:tc>
          <w:tcPr>
            <w:tcW w:w="481" w:type="pct"/>
            <w:tcBorders>
              <w:top w:val="nil"/>
              <w:left w:val="nil"/>
              <w:bottom w:val="single" w:sz="4" w:space="0" w:color="293F5B"/>
              <w:right w:val="nil"/>
            </w:tcBorders>
            <w:shd w:val="clear" w:color="000000" w:fill="FFFFFF"/>
            <w:noWrap/>
            <w:vAlign w:val="bottom"/>
            <w:hideMark/>
          </w:tcPr>
          <w:p w14:paraId="31A2C114"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-24,549</w:t>
            </w:r>
          </w:p>
        </w:tc>
        <w:tc>
          <w:tcPr>
            <w:tcW w:w="481" w:type="pct"/>
            <w:tcBorders>
              <w:top w:val="nil"/>
              <w:left w:val="nil"/>
              <w:bottom w:val="single" w:sz="4" w:space="0" w:color="293F5B"/>
              <w:right w:val="nil"/>
            </w:tcBorders>
            <w:shd w:val="clear" w:color="000000" w:fill="FFFFFF"/>
            <w:noWrap/>
            <w:vAlign w:val="bottom"/>
            <w:hideMark/>
          </w:tcPr>
          <w:p w14:paraId="4BD5F91A"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-20,839</w:t>
            </w:r>
          </w:p>
        </w:tc>
        <w:tc>
          <w:tcPr>
            <w:tcW w:w="93" w:type="pct"/>
            <w:tcBorders>
              <w:top w:val="nil"/>
              <w:left w:val="nil"/>
              <w:bottom w:val="nil"/>
              <w:right w:val="nil"/>
            </w:tcBorders>
            <w:shd w:val="clear" w:color="000000" w:fill="FFFFFF"/>
            <w:noWrap/>
            <w:vAlign w:val="bottom"/>
            <w:hideMark/>
          </w:tcPr>
          <w:p w14:paraId="6AC241CE"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single" w:sz="4" w:space="0" w:color="293F5B"/>
              <w:right w:val="nil"/>
            </w:tcBorders>
            <w:shd w:val="clear" w:color="000000" w:fill="FFFFFF"/>
            <w:noWrap/>
            <w:vAlign w:val="bottom"/>
            <w:hideMark/>
          </w:tcPr>
          <w:p w14:paraId="39637ED0" w14:textId="77777777" w:rsidR="002207AB" w:rsidRPr="00205DD5" w:rsidRDefault="002207AB" w:rsidP="002207AB">
            <w:pPr>
              <w:spacing w:before="0" w:after="0" w:line="240" w:lineRule="auto"/>
              <w:jc w:val="right"/>
              <w:rPr>
                <w:rFonts w:ascii="Arial" w:hAnsi="Arial" w:cs="Arial"/>
                <w:b/>
                <w:sz w:val="16"/>
                <w:szCs w:val="16"/>
              </w:rPr>
            </w:pPr>
            <w:r w:rsidRPr="00205DD5">
              <w:rPr>
                <w:rFonts w:ascii="Arial" w:hAnsi="Arial" w:cs="Arial"/>
                <w:b/>
                <w:sz w:val="16"/>
                <w:szCs w:val="16"/>
              </w:rPr>
              <w:t>-89,566</w:t>
            </w:r>
          </w:p>
        </w:tc>
      </w:tr>
      <w:tr w:rsidR="002207AB" w:rsidRPr="00FF1D21" w14:paraId="0D56B35B" w14:textId="77777777" w:rsidTr="002207AB">
        <w:trPr>
          <w:trHeight w:hRule="exact" w:val="60"/>
        </w:trPr>
        <w:tc>
          <w:tcPr>
            <w:tcW w:w="2500" w:type="pct"/>
            <w:tcBorders>
              <w:top w:val="nil"/>
              <w:left w:val="nil"/>
              <w:bottom w:val="nil"/>
              <w:right w:val="nil"/>
            </w:tcBorders>
            <w:shd w:val="clear" w:color="000000" w:fill="FFFFFF"/>
            <w:noWrap/>
            <w:vAlign w:val="bottom"/>
            <w:hideMark/>
          </w:tcPr>
          <w:p w14:paraId="0527A0AF" w14:textId="77777777" w:rsidR="002207AB" w:rsidRPr="00FF1D21" w:rsidRDefault="002207AB" w:rsidP="002207AB">
            <w:pPr>
              <w:spacing w:before="0" w:after="0" w:line="240" w:lineRule="auto"/>
              <w:ind w:left="170"/>
              <w:rPr>
                <w:rFonts w:ascii="Arial" w:hAnsi="Arial" w:cs="Arial"/>
                <w:b/>
                <w:color w:val="00FFFF"/>
                <w:sz w:val="16"/>
                <w:szCs w:val="16"/>
                <w:highlight w:val="darkCyan"/>
              </w:rPr>
            </w:pPr>
            <w:r w:rsidRPr="00205DD5">
              <w:rPr>
                <w:rFonts w:ascii="Arial" w:hAnsi="Arial" w:cs="Arial"/>
                <w:b/>
                <w:sz w:val="16"/>
                <w:szCs w:val="16"/>
              </w:rPr>
              <w:t> </w:t>
            </w:r>
          </w:p>
        </w:tc>
        <w:tc>
          <w:tcPr>
            <w:tcW w:w="482" w:type="pct"/>
            <w:tcBorders>
              <w:top w:val="nil"/>
              <w:left w:val="nil"/>
              <w:bottom w:val="nil"/>
              <w:right w:val="nil"/>
            </w:tcBorders>
            <w:shd w:val="clear" w:color="000000" w:fill="E6F2FF"/>
            <w:noWrap/>
            <w:vAlign w:val="bottom"/>
            <w:hideMark/>
          </w:tcPr>
          <w:p w14:paraId="5C4C0F4C"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nil"/>
              <w:left w:val="nil"/>
              <w:bottom w:val="nil"/>
              <w:right w:val="nil"/>
            </w:tcBorders>
            <w:shd w:val="clear" w:color="000000" w:fill="FFFFFF"/>
            <w:noWrap/>
            <w:vAlign w:val="bottom"/>
            <w:hideMark/>
          </w:tcPr>
          <w:p w14:paraId="6CF3B983"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nil"/>
              <w:left w:val="nil"/>
              <w:bottom w:val="nil"/>
              <w:right w:val="nil"/>
            </w:tcBorders>
            <w:shd w:val="clear" w:color="000000" w:fill="FFFFFF"/>
            <w:noWrap/>
            <w:vAlign w:val="bottom"/>
            <w:hideMark/>
          </w:tcPr>
          <w:p w14:paraId="5D20CDCD"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481" w:type="pct"/>
            <w:tcBorders>
              <w:top w:val="nil"/>
              <w:left w:val="nil"/>
              <w:bottom w:val="nil"/>
              <w:right w:val="nil"/>
            </w:tcBorders>
            <w:shd w:val="clear" w:color="000000" w:fill="FFFFFF"/>
            <w:noWrap/>
            <w:vAlign w:val="bottom"/>
            <w:hideMark/>
          </w:tcPr>
          <w:p w14:paraId="4E840B03"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93" w:type="pct"/>
            <w:tcBorders>
              <w:top w:val="nil"/>
              <w:left w:val="nil"/>
              <w:bottom w:val="nil"/>
              <w:right w:val="nil"/>
            </w:tcBorders>
            <w:shd w:val="clear" w:color="000000" w:fill="FFFFFF"/>
            <w:noWrap/>
            <w:vAlign w:val="bottom"/>
            <w:hideMark/>
          </w:tcPr>
          <w:p w14:paraId="3AA74E41"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nil"/>
              <w:right w:val="nil"/>
            </w:tcBorders>
            <w:shd w:val="clear" w:color="000000" w:fill="FFFFFF"/>
            <w:noWrap/>
            <w:vAlign w:val="bottom"/>
            <w:hideMark/>
          </w:tcPr>
          <w:p w14:paraId="3F71D720" w14:textId="77777777" w:rsidR="002207AB" w:rsidRPr="00205DD5" w:rsidRDefault="002207AB" w:rsidP="002207AB">
            <w:pPr>
              <w:spacing w:before="0" w:after="0" w:line="240" w:lineRule="auto"/>
              <w:rPr>
                <w:rFonts w:ascii="Arial" w:hAnsi="Arial" w:cs="Arial"/>
                <w:b/>
                <w:sz w:val="16"/>
                <w:szCs w:val="16"/>
              </w:rPr>
            </w:pPr>
            <w:r w:rsidRPr="00205DD5">
              <w:rPr>
                <w:rFonts w:ascii="Arial" w:hAnsi="Arial" w:cs="Arial"/>
                <w:b/>
                <w:sz w:val="16"/>
                <w:szCs w:val="16"/>
              </w:rPr>
              <w:t> </w:t>
            </w:r>
          </w:p>
        </w:tc>
      </w:tr>
      <w:tr w:rsidR="002207AB" w:rsidRPr="00FF1D21" w14:paraId="2EE1E063" w14:textId="77777777" w:rsidTr="002207AB">
        <w:trPr>
          <w:trHeight w:hRule="exact" w:val="226"/>
        </w:trPr>
        <w:tc>
          <w:tcPr>
            <w:tcW w:w="2500" w:type="pct"/>
            <w:tcBorders>
              <w:top w:val="nil"/>
              <w:left w:val="nil"/>
              <w:bottom w:val="single" w:sz="4" w:space="0" w:color="293F5B"/>
              <w:right w:val="nil"/>
            </w:tcBorders>
            <w:shd w:val="clear" w:color="000000" w:fill="FFFFFF"/>
            <w:noWrap/>
            <w:vAlign w:val="bottom"/>
            <w:hideMark/>
          </w:tcPr>
          <w:p w14:paraId="522B5D89" w14:textId="77777777" w:rsidR="002207AB" w:rsidRPr="00FF1D21" w:rsidRDefault="002207AB" w:rsidP="002207A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MYEFO headline cash balance</w:t>
            </w:r>
          </w:p>
        </w:tc>
        <w:tc>
          <w:tcPr>
            <w:tcW w:w="482" w:type="pct"/>
            <w:tcBorders>
              <w:top w:val="nil"/>
              <w:left w:val="nil"/>
              <w:bottom w:val="single" w:sz="4" w:space="0" w:color="293F5B"/>
              <w:right w:val="nil"/>
            </w:tcBorders>
            <w:shd w:val="clear" w:color="000000" w:fill="E6F2FF"/>
            <w:noWrap/>
            <w:vAlign w:val="bottom"/>
            <w:hideMark/>
          </w:tcPr>
          <w:p w14:paraId="64B02271"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-47,764</w:t>
            </w:r>
          </w:p>
        </w:tc>
        <w:tc>
          <w:tcPr>
            <w:tcW w:w="481" w:type="pct"/>
            <w:tcBorders>
              <w:top w:val="nil"/>
              <w:left w:val="nil"/>
              <w:bottom w:val="single" w:sz="4" w:space="0" w:color="293F5B"/>
              <w:right w:val="nil"/>
            </w:tcBorders>
            <w:shd w:val="clear" w:color="000000" w:fill="FFFFFF"/>
            <w:noWrap/>
            <w:vAlign w:val="bottom"/>
            <w:hideMark/>
          </w:tcPr>
          <w:p w14:paraId="54262270"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-70,278</w:t>
            </w:r>
          </w:p>
        </w:tc>
        <w:tc>
          <w:tcPr>
            <w:tcW w:w="481" w:type="pct"/>
            <w:tcBorders>
              <w:top w:val="nil"/>
              <w:left w:val="nil"/>
              <w:bottom w:val="single" w:sz="4" w:space="0" w:color="293F5B"/>
              <w:right w:val="nil"/>
            </w:tcBorders>
            <w:shd w:val="clear" w:color="000000" w:fill="FFFFFF"/>
            <w:noWrap/>
            <w:vAlign w:val="bottom"/>
            <w:hideMark/>
          </w:tcPr>
          <w:p w14:paraId="56041746"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-62,902</w:t>
            </w:r>
          </w:p>
        </w:tc>
        <w:tc>
          <w:tcPr>
            <w:tcW w:w="481" w:type="pct"/>
            <w:tcBorders>
              <w:top w:val="nil"/>
              <w:left w:val="nil"/>
              <w:bottom w:val="single" w:sz="4" w:space="0" w:color="293F5B"/>
              <w:right w:val="nil"/>
            </w:tcBorders>
            <w:shd w:val="clear" w:color="000000" w:fill="FFFFFF"/>
            <w:noWrap/>
            <w:vAlign w:val="bottom"/>
            <w:hideMark/>
          </w:tcPr>
          <w:p w14:paraId="75FDCA8B" w14:textId="77777777" w:rsidR="002207AB" w:rsidRPr="00FF1D21" w:rsidRDefault="002207AB" w:rsidP="002207A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-52,510</w:t>
            </w:r>
          </w:p>
        </w:tc>
        <w:tc>
          <w:tcPr>
            <w:tcW w:w="93" w:type="pct"/>
            <w:tcBorders>
              <w:top w:val="nil"/>
              <w:left w:val="nil"/>
              <w:bottom w:val="single" w:sz="4" w:space="0" w:color="293F5B"/>
              <w:right w:val="nil"/>
            </w:tcBorders>
            <w:shd w:val="clear" w:color="000000" w:fill="FFFFFF"/>
            <w:noWrap/>
            <w:vAlign w:val="bottom"/>
            <w:hideMark/>
          </w:tcPr>
          <w:p w14:paraId="245028D7" w14:textId="77777777" w:rsidR="002207AB" w:rsidRPr="00FF1D21" w:rsidRDefault="002207AB" w:rsidP="002207A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81" w:type="pct"/>
            <w:tcBorders>
              <w:top w:val="nil"/>
              <w:left w:val="nil"/>
              <w:bottom w:val="single" w:sz="4" w:space="0" w:color="293F5B"/>
              <w:right w:val="nil"/>
            </w:tcBorders>
            <w:shd w:val="clear" w:color="000000" w:fill="FFFFFF"/>
            <w:noWrap/>
            <w:vAlign w:val="bottom"/>
            <w:hideMark/>
          </w:tcPr>
          <w:p w14:paraId="323B7AC7" w14:textId="77777777" w:rsidR="002207AB" w:rsidRPr="00205DD5" w:rsidRDefault="002207AB" w:rsidP="002207AB">
            <w:pPr>
              <w:spacing w:before="0" w:after="0" w:line="240" w:lineRule="auto"/>
              <w:jc w:val="right"/>
              <w:rPr>
                <w:rFonts w:ascii="Arial" w:hAnsi="Arial" w:cs="Arial"/>
                <w:b/>
                <w:sz w:val="16"/>
                <w:szCs w:val="16"/>
              </w:rPr>
            </w:pPr>
            <w:r w:rsidRPr="00205DD5">
              <w:rPr>
                <w:rFonts w:ascii="Arial" w:hAnsi="Arial" w:cs="Arial"/>
                <w:b/>
                <w:sz w:val="16"/>
                <w:szCs w:val="16"/>
              </w:rPr>
              <w:t>-233,455</w:t>
            </w:r>
          </w:p>
        </w:tc>
      </w:tr>
    </w:tbl>
    <w:p w14:paraId="645ACEC6" w14:textId="43FF0F3C" w:rsidR="00AB7209" w:rsidRDefault="00457E7F" w:rsidP="00AB7209">
      <w:pPr>
        <w:pStyle w:val="ChartandTableFootnoteAlpha"/>
        <w:numPr>
          <w:ilvl w:val="0"/>
          <w:numId w:val="19"/>
        </w:numPr>
        <w:rPr>
          <w:rFonts w:eastAsiaTheme="minorHAnsi"/>
          <w:color w:val="auto"/>
        </w:rPr>
      </w:pPr>
      <w:r w:rsidRPr="00205DD5">
        <w:rPr>
          <w:rFonts w:eastAsiaTheme="minorHAnsi"/>
          <w:color w:val="auto"/>
        </w:rPr>
        <w:t>A positive number denote</w:t>
      </w:r>
      <w:r w:rsidR="007079C9" w:rsidRPr="00205DD5">
        <w:rPr>
          <w:rFonts w:eastAsiaTheme="minorHAnsi"/>
          <w:color w:val="auto"/>
        </w:rPr>
        <w:t>s</w:t>
      </w:r>
      <w:r w:rsidRPr="00205DD5">
        <w:rPr>
          <w:rFonts w:eastAsiaTheme="minorHAnsi"/>
          <w:color w:val="auto"/>
        </w:rPr>
        <w:t xml:space="preserve"> a cash inflow; a negative number denotes a cash outflow.</w:t>
      </w:r>
      <w:bookmarkStart w:id="42" w:name="_Hlk184733598"/>
    </w:p>
    <w:p w14:paraId="5FC7D4E9" w14:textId="77777777" w:rsidR="00AB7209" w:rsidRDefault="00514529" w:rsidP="00AB7209">
      <w:pPr>
        <w:pStyle w:val="ChartandTableFootnoteAlpha"/>
        <w:numPr>
          <w:ilvl w:val="0"/>
          <w:numId w:val="19"/>
        </w:numPr>
        <w:rPr>
          <w:rFonts w:eastAsiaTheme="minorHAnsi"/>
          <w:color w:val="auto"/>
        </w:rPr>
      </w:pPr>
      <w:r w:rsidRPr="00AB7209">
        <w:rPr>
          <w:rFonts w:eastAsiaTheme="minorHAnsi"/>
        </w:rPr>
        <w:t>The estimated cash flows for student loans from 2024</w:t>
      </w:r>
      <w:r w:rsidR="00031D5D" w:rsidRPr="00205DD5">
        <w:t>–</w:t>
      </w:r>
      <w:r w:rsidRPr="00AB7209">
        <w:rPr>
          <w:rFonts w:eastAsiaTheme="minorHAnsi"/>
        </w:rPr>
        <w:t xml:space="preserve">25 includes the impact of the </w:t>
      </w:r>
      <w:r w:rsidRPr="00AB7209">
        <w:rPr>
          <w:rStyle w:val="Emphasis"/>
          <w:rFonts w:eastAsiaTheme="minorHAnsi"/>
          <w:color w:val="auto"/>
        </w:rPr>
        <w:t xml:space="preserve">Building Australia's Future - a fairer deal for </w:t>
      </w:r>
      <w:proofErr w:type="gramStart"/>
      <w:r w:rsidRPr="00AB7209">
        <w:rPr>
          <w:rStyle w:val="Emphasis"/>
          <w:rFonts w:eastAsiaTheme="minorHAnsi"/>
          <w:color w:val="auto"/>
        </w:rPr>
        <w:t>students</w:t>
      </w:r>
      <w:proofErr w:type="gramEnd"/>
      <w:r w:rsidRPr="00AB7209">
        <w:rPr>
          <w:rStyle w:val="Emphasis"/>
          <w:rFonts w:eastAsiaTheme="minorHAnsi"/>
          <w:i w:val="0"/>
          <w:color w:val="auto"/>
        </w:rPr>
        <w:t xml:space="preserve"> </w:t>
      </w:r>
      <w:r w:rsidRPr="00AB7209">
        <w:rPr>
          <w:rFonts w:eastAsiaTheme="minorHAnsi"/>
        </w:rPr>
        <w:t>measure.</w:t>
      </w:r>
      <w:bookmarkEnd w:id="42"/>
    </w:p>
    <w:p w14:paraId="3ADB3753" w14:textId="77777777" w:rsidR="00AB7209" w:rsidRDefault="0087375E" w:rsidP="00AB7209">
      <w:pPr>
        <w:pStyle w:val="ChartandTableFootnoteAlpha"/>
        <w:numPr>
          <w:ilvl w:val="0"/>
          <w:numId w:val="19"/>
        </w:numPr>
        <w:rPr>
          <w:rFonts w:eastAsiaTheme="minorHAnsi"/>
          <w:color w:val="auto"/>
        </w:rPr>
      </w:pPr>
      <w:r w:rsidRPr="00AB7209">
        <w:rPr>
          <w:rFonts w:eastAsiaTheme="minorHAnsi"/>
          <w:color w:val="auto"/>
        </w:rPr>
        <w:t>In January 2024, trade support loans were renamed Australian apprenticeship support loans</w:t>
      </w:r>
      <w:r w:rsidR="00457E7F" w:rsidRPr="00AB7209">
        <w:rPr>
          <w:rFonts w:eastAsiaTheme="minorHAnsi"/>
          <w:color w:val="auto"/>
        </w:rPr>
        <w:t>.</w:t>
      </w:r>
    </w:p>
    <w:p w14:paraId="2CFC60F4" w14:textId="27C73EEE" w:rsidR="00457E7F" w:rsidRPr="00AB7209" w:rsidRDefault="00457E7F" w:rsidP="00AB7209">
      <w:pPr>
        <w:pStyle w:val="ChartandTableFootnoteAlpha"/>
        <w:numPr>
          <w:ilvl w:val="0"/>
          <w:numId w:val="19"/>
        </w:numPr>
        <w:rPr>
          <w:rFonts w:eastAsiaTheme="minorHAnsi"/>
          <w:color w:val="auto"/>
        </w:rPr>
      </w:pPr>
      <w:r w:rsidRPr="00AB7209">
        <w:rPr>
          <w:rFonts w:eastAsiaTheme="minorHAnsi"/>
          <w:color w:val="auto"/>
        </w:rPr>
        <w:t>Net other includes amounts that have not been itemised</w:t>
      </w:r>
      <w:r w:rsidR="00A65426" w:rsidRPr="00AB7209">
        <w:rPr>
          <w:rFonts w:eastAsiaTheme="minorHAnsi"/>
          <w:color w:val="auto"/>
        </w:rPr>
        <w:t>,</w:t>
      </w:r>
      <w:r w:rsidRPr="00AB7209">
        <w:rPr>
          <w:rFonts w:eastAsiaTheme="minorHAnsi"/>
          <w:color w:val="auto"/>
        </w:rPr>
        <w:t xml:space="preserve"> for commercial</w:t>
      </w:r>
      <w:r w:rsidRPr="00AB7209">
        <w:rPr>
          <w:rFonts w:eastAsiaTheme="minorHAnsi"/>
          <w:color w:val="auto"/>
        </w:rPr>
        <w:noBreakHyphen/>
        <w:t>in</w:t>
      </w:r>
      <w:r w:rsidRPr="00AB7209">
        <w:rPr>
          <w:rFonts w:eastAsiaTheme="minorHAnsi"/>
          <w:color w:val="auto"/>
        </w:rPr>
        <w:noBreakHyphen/>
        <w:t>confidence reasons.</w:t>
      </w:r>
    </w:p>
    <w:p w14:paraId="1718F0CF" w14:textId="77777777" w:rsidR="00D63C70" w:rsidRPr="00DF3DF1" w:rsidRDefault="00D63C70" w:rsidP="00E658F0">
      <w:pPr>
        <w:pStyle w:val="TableLine"/>
        <w:rPr>
          <w:rFonts w:eastAsiaTheme="minorHAnsi"/>
        </w:rPr>
      </w:pPr>
    </w:p>
    <w:p w14:paraId="32DAEC33" w14:textId="77777777" w:rsidR="00D63C70" w:rsidRPr="001D7A0A" w:rsidRDefault="00D63C70" w:rsidP="00D65F88">
      <w:pPr>
        <w:pStyle w:val="SingleParagraph"/>
        <w:rPr>
          <w:rFonts w:ascii="Arial" w:hAnsi="Arial"/>
          <w:sz w:val="16"/>
        </w:rPr>
      </w:pPr>
      <w:r w:rsidRPr="001D7A0A">
        <w:br w:type="page"/>
      </w:r>
    </w:p>
    <w:p w14:paraId="13A42072" w14:textId="307230CF" w:rsidR="00D63C70" w:rsidRPr="00205DD5" w:rsidRDefault="00D63C70" w:rsidP="00D63C70">
      <w:pPr>
        <w:pStyle w:val="Heading2"/>
      </w:pPr>
      <w:bookmarkStart w:id="43" w:name="_Toc117356563"/>
      <w:bookmarkStart w:id="44" w:name="_Toc134093766"/>
      <w:bookmarkStart w:id="45" w:name="_Toc148428074"/>
      <w:r w:rsidRPr="00205DD5">
        <w:lastRenderedPageBreak/>
        <w:t>The Government’s balance sheet</w:t>
      </w:r>
      <w:bookmarkEnd w:id="43"/>
      <w:bookmarkEnd w:id="44"/>
      <w:bookmarkEnd w:id="45"/>
      <w:r w:rsidR="00AF603C" w:rsidRPr="00205DD5">
        <w:t xml:space="preserve"> </w:t>
      </w:r>
    </w:p>
    <w:p w14:paraId="4B04802D" w14:textId="77777777" w:rsidR="00D63C70" w:rsidRPr="00205DD5" w:rsidRDefault="00D63C70" w:rsidP="00D63C70">
      <w:r w:rsidRPr="00205DD5">
        <w:t xml:space="preserve">The balance sheet measures the value of the Government’s assets and liabilities. Changes in the balance sheet reflect movements in the underlying cash balance, additional balance sheet commitments, and market valuation effects including from changes in yields. </w:t>
      </w:r>
    </w:p>
    <w:p w14:paraId="57D4A882" w14:textId="77777777" w:rsidR="00D63C70" w:rsidRPr="00205DD5" w:rsidRDefault="00D63C70" w:rsidP="00D63C70">
      <w:r w:rsidRPr="00205DD5">
        <w:t xml:space="preserve">Different balance sheet metrics measure different groupings of assets and liabilities. </w:t>
      </w:r>
    </w:p>
    <w:p w14:paraId="14516948" w14:textId="5324364B" w:rsidR="00D63C70" w:rsidRPr="00205DD5" w:rsidRDefault="00D63C70" w:rsidP="00D63C70">
      <w:pPr>
        <w:pStyle w:val="Bullet"/>
        <w:numPr>
          <w:ilvl w:val="0"/>
          <w:numId w:val="3"/>
        </w:numPr>
        <w:ind w:left="284" w:hanging="284"/>
      </w:pPr>
      <w:r w:rsidRPr="00205DD5">
        <w:rPr>
          <w:rStyle w:val="Strong"/>
        </w:rPr>
        <w:t>Gross debt</w:t>
      </w:r>
      <w:r w:rsidRPr="00205DD5">
        <w:t xml:space="preserve"> measures the face value of Australian</w:t>
      </w:r>
      <w:r w:rsidR="00E64792" w:rsidRPr="00205DD5">
        <w:t> </w:t>
      </w:r>
      <w:r w:rsidRPr="00205DD5">
        <w:t xml:space="preserve">Government Securities (AGS) on issue. This is the amount that the Government pays back to investors at maturity, independent of fluctuations in market prices. </w:t>
      </w:r>
    </w:p>
    <w:p w14:paraId="1240B1C5" w14:textId="77777777" w:rsidR="00D63C70" w:rsidRPr="00205DD5" w:rsidRDefault="00D63C70" w:rsidP="00D63C70">
      <w:pPr>
        <w:pStyle w:val="Bullet"/>
        <w:numPr>
          <w:ilvl w:val="0"/>
          <w:numId w:val="3"/>
        </w:numPr>
        <w:ind w:left="284" w:hanging="284"/>
      </w:pPr>
      <w:r w:rsidRPr="00205DD5">
        <w:rPr>
          <w:rStyle w:val="Strong"/>
        </w:rPr>
        <w:t>Net debt</w:t>
      </w:r>
      <w:r w:rsidRPr="00205DD5">
        <w:t xml:space="preserve"> is measured at market value and incorporates specific financial assets and liabilities and provides a broader measure of the financial obligations of the Government than gross debt.</w:t>
      </w:r>
    </w:p>
    <w:p w14:paraId="56F09866" w14:textId="77777777" w:rsidR="00D63C70" w:rsidRPr="00205DD5" w:rsidRDefault="00D63C70" w:rsidP="00D63C70">
      <w:pPr>
        <w:pStyle w:val="Bullet"/>
        <w:numPr>
          <w:ilvl w:val="0"/>
          <w:numId w:val="3"/>
        </w:numPr>
        <w:ind w:left="284" w:hanging="284"/>
      </w:pPr>
      <w:r w:rsidRPr="00205DD5">
        <w:rPr>
          <w:rStyle w:val="Strong"/>
        </w:rPr>
        <w:t>Net financial worth</w:t>
      </w:r>
      <w:r w:rsidRPr="00205DD5">
        <w:t xml:space="preserve"> is the sum of all financial assets less all financial liabilities. The assets of the Future Fund and the public sector superannuation liability that the Future Fund will finance are included in net financial worth.</w:t>
      </w:r>
    </w:p>
    <w:p w14:paraId="671365FB" w14:textId="77310936" w:rsidR="00D63C70" w:rsidRPr="00205DD5" w:rsidRDefault="00D63C70" w:rsidP="00D63C70">
      <w:pPr>
        <w:pStyle w:val="Bullet"/>
        <w:numPr>
          <w:ilvl w:val="0"/>
          <w:numId w:val="3"/>
        </w:numPr>
        <w:ind w:left="284" w:hanging="284"/>
      </w:pPr>
      <w:r w:rsidRPr="00205DD5">
        <w:rPr>
          <w:rStyle w:val="Strong"/>
        </w:rPr>
        <w:t>Net worth</w:t>
      </w:r>
      <w:r w:rsidRPr="00205DD5">
        <w:t xml:space="preserve"> is the sum of all assets less all liabilities. It includes non</w:t>
      </w:r>
      <w:r w:rsidR="00A82CE7" w:rsidRPr="00205DD5">
        <w:t>-</w:t>
      </w:r>
      <w:r w:rsidRPr="00205DD5">
        <w:t>financial assets such as buildings and plant, equipment, and infrastructure.</w:t>
      </w:r>
    </w:p>
    <w:p w14:paraId="6E3C41B8" w14:textId="3EAA9064" w:rsidR="00D63C70" w:rsidRPr="00BB186A" w:rsidRDefault="00D63C70" w:rsidP="00D63C70">
      <w:pPr>
        <w:rPr>
          <w:rStyle w:val="Emphasis"/>
        </w:rPr>
      </w:pPr>
      <w:r w:rsidRPr="00205DD5">
        <w:t xml:space="preserve">Further information on definitions is available in </w:t>
      </w:r>
      <w:r w:rsidRPr="00205DD5">
        <w:rPr>
          <w:rStyle w:val="Emphasis"/>
          <w:rFonts w:eastAsia="Calibri"/>
        </w:rPr>
        <w:t>Part 7:</w:t>
      </w:r>
      <w:r w:rsidRPr="00205DD5">
        <w:rPr>
          <w:rStyle w:val="Emphasis"/>
        </w:rPr>
        <w:t xml:space="preserve"> </w:t>
      </w:r>
      <w:r w:rsidRPr="00205DD5">
        <w:rPr>
          <w:rStyle w:val="Emphasis"/>
          <w:rFonts w:eastAsia="Calibri"/>
        </w:rPr>
        <w:t>Australian</w:t>
      </w:r>
      <w:r w:rsidR="00E64792" w:rsidRPr="00205DD5">
        <w:rPr>
          <w:rStyle w:val="Emphasis"/>
          <w:rFonts w:eastAsia="Calibri"/>
        </w:rPr>
        <w:t> </w:t>
      </w:r>
      <w:r w:rsidRPr="00205DD5">
        <w:rPr>
          <w:rStyle w:val="Emphasis"/>
          <w:rFonts w:eastAsia="Calibri"/>
        </w:rPr>
        <w:t>Government Budget Financial Statements</w:t>
      </w:r>
      <w:r w:rsidRPr="00205DD5">
        <w:rPr>
          <w:rStyle w:val="Emphasis"/>
        </w:rPr>
        <w:t>.</w:t>
      </w:r>
    </w:p>
    <w:p w14:paraId="18B2337F" w14:textId="5F93A840" w:rsidR="00D63C70" w:rsidRPr="00205DD5" w:rsidRDefault="00D63C70" w:rsidP="00D63C70">
      <w:pPr>
        <w:pStyle w:val="Heading3"/>
      </w:pPr>
      <w:bookmarkStart w:id="46" w:name="_Toc117356564"/>
      <w:bookmarkStart w:id="47" w:name="_Toc134093767"/>
      <w:bookmarkStart w:id="48" w:name="_Toc148428075"/>
      <w:r w:rsidRPr="00205DD5">
        <w:t xml:space="preserve">Gross debt estimates and </w:t>
      </w:r>
      <w:proofErr w:type="gramStart"/>
      <w:r w:rsidRPr="00205DD5">
        <w:t>projections</w:t>
      </w:r>
      <w:bookmarkEnd w:id="46"/>
      <w:bookmarkEnd w:id="47"/>
      <w:bookmarkEnd w:id="48"/>
      <w:proofErr w:type="gramEnd"/>
    </w:p>
    <w:p w14:paraId="076E4829" w14:textId="3264B432" w:rsidR="00D63C70" w:rsidRPr="00205DD5" w:rsidRDefault="00D63C70" w:rsidP="00D63C70">
      <w:r w:rsidRPr="00205DD5">
        <w:t xml:space="preserve">The Government’s responsible budget management </w:t>
      </w:r>
      <w:r w:rsidR="00587847" w:rsidRPr="00205DD5">
        <w:t>is lowering debt</w:t>
      </w:r>
      <w:r w:rsidRPr="00205DD5">
        <w:t xml:space="preserve"> </w:t>
      </w:r>
      <w:r w:rsidR="00FE1D39" w:rsidRPr="00205DD5">
        <w:t xml:space="preserve">as a </w:t>
      </w:r>
      <w:r w:rsidRPr="00205DD5">
        <w:t>share of the economy</w:t>
      </w:r>
      <w:r w:rsidRPr="00205DD5" w:rsidDel="00886F4A">
        <w:t xml:space="preserve"> </w:t>
      </w:r>
      <w:r w:rsidR="00587847" w:rsidRPr="00205DD5">
        <w:t>compared to the</w:t>
      </w:r>
      <w:r w:rsidRPr="00205DD5">
        <w:t xml:space="preserve"> </w:t>
      </w:r>
      <w:r w:rsidR="008F7384" w:rsidRPr="00205DD5">
        <w:t xml:space="preserve">PEFO </w:t>
      </w:r>
      <w:r w:rsidRPr="00205DD5">
        <w:t xml:space="preserve">in </w:t>
      </w:r>
      <w:r w:rsidR="00587847" w:rsidRPr="00205DD5">
        <w:t xml:space="preserve">every </w:t>
      </w:r>
      <w:r w:rsidRPr="00205DD5">
        <w:t xml:space="preserve">year of the </w:t>
      </w:r>
      <w:r w:rsidR="00587847" w:rsidRPr="00205DD5">
        <w:t>forward estimates and medium term</w:t>
      </w:r>
      <w:r w:rsidRPr="00205DD5">
        <w:t>.</w:t>
      </w:r>
      <w:r w:rsidR="00E02029" w:rsidRPr="00205DD5">
        <w:t xml:space="preserve"> </w:t>
      </w:r>
    </w:p>
    <w:p w14:paraId="785BDB4E" w14:textId="1B4C7791" w:rsidR="004530AE" w:rsidRPr="007E0A3B" w:rsidRDefault="00AB4FDB" w:rsidP="004530AE">
      <w:r w:rsidRPr="00205DD5">
        <w:t xml:space="preserve">Improvements to the budget position mean gross debt is estimated to </w:t>
      </w:r>
      <w:r w:rsidR="00844756" w:rsidRPr="00205DD5">
        <w:t>stabilise</w:t>
      </w:r>
      <w:r w:rsidRPr="00205DD5">
        <w:t xml:space="preserve"> at </w:t>
      </w:r>
      <w:r w:rsidR="00B21DB3" w:rsidRPr="00205DD5">
        <w:t>36.7 </w:t>
      </w:r>
      <w:r w:rsidRPr="00205DD5">
        <w:t>per</w:t>
      </w:r>
      <w:r w:rsidR="00B21DB3" w:rsidRPr="00205DD5">
        <w:t> </w:t>
      </w:r>
      <w:r w:rsidRPr="00205DD5">
        <w:t xml:space="preserve">cent of GDP </w:t>
      </w:r>
      <w:r w:rsidR="00A35623" w:rsidRPr="00205DD5">
        <w:t xml:space="preserve">from </w:t>
      </w:r>
      <w:r w:rsidR="00B934BE" w:rsidRPr="00205DD5">
        <w:t>30 June 20</w:t>
      </w:r>
      <w:r w:rsidR="00D7453A" w:rsidRPr="00205DD5">
        <w:t>2</w:t>
      </w:r>
      <w:r w:rsidR="00B21DB3" w:rsidRPr="00205DD5">
        <w:t>7</w:t>
      </w:r>
      <w:r w:rsidRPr="00205DD5">
        <w:t xml:space="preserve">, which is </w:t>
      </w:r>
      <w:r w:rsidR="00380B39" w:rsidRPr="00205DD5">
        <w:t>8.</w:t>
      </w:r>
      <w:r w:rsidR="00CF0369" w:rsidRPr="00205DD5">
        <w:t>2</w:t>
      </w:r>
      <w:r w:rsidRPr="00205DD5">
        <w:t xml:space="preserve"> percentage points lower than the estimate</w:t>
      </w:r>
      <w:r w:rsidR="00FE6C38" w:rsidRPr="00205DD5">
        <w:t>d peak</w:t>
      </w:r>
      <w:r w:rsidRPr="00205DD5">
        <w:t xml:space="preserve"> of 44.9 per cent of GDP forecast at the PEFO.</w:t>
      </w:r>
      <w:r w:rsidR="00E36CCA" w:rsidRPr="00DE52F4">
        <w:t xml:space="preserve"> </w:t>
      </w:r>
      <w:r w:rsidR="004530AE" w:rsidRPr="00205DD5">
        <w:t xml:space="preserve">Gross debt is then projected to reduce to </w:t>
      </w:r>
      <w:r w:rsidR="00F46122" w:rsidRPr="00205DD5">
        <w:t>31.4</w:t>
      </w:r>
      <w:r w:rsidR="004530AE" w:rsidRPr="00205DD5">
        <w:t xml:space="preserve"> per cent of GDP by </w:t>
      </w:r>
      <w:r w:rsidR="00B934BE" w:rsidRPr="00205DD5">
        <w:t>30 June 20</w:t>
      </w:r>
      <w:r w:rsidR="004530AE" w:rsidRPr="00205DD5">
        <w:rPr>
          <w:rFonts w:ascii="Times New Roman" w:hAnsi="Times New Roman"/>
        </w:rPr>
        <w:t>‍</w:t>
      </w:r>
      <w:r w:rsidR="004530AE" w:rsidRPr="00205DD5">
        <w:t xml:space="preserve">35, </w:t>
      </w:r>
      <w:r w:rsidR="00F46122" w:rsidRPr="00205DD5">
        <w:t>1.2</w:t>
      </w:r>
      <w:r w:rsidR="004530AE" w:rsidRPr="00205DD5">
        <w:t xml:space="preserve"> percentage points higher than projected at the 2024–</w:t>
      </w:r>
      <w:r w:rsidR="00F46122" w:rsidRPr="00205DD5">
        <w:rPr>
          <w:rFonts w:ascii="Times New Roman" w:hAnsi="Times New Roman" w:hint="eastAsia"/>
        </w:rPr>
        <w:t>‍</w:t>
      </w:r>
      <w:r w:rsidR="004530AE" w:rsidRPr="00205DD5">
        <w:t>25 Budget.</w:t>
      </w:r>
    </w:p>
    <w:p w14:paraId="2CD30923" w14:textId="62C6494B" w:rsidR="00D63C70" w:rsidRPr="00205DD5" w:rsidRDefault="00AB4FDB" w:rsidP="00D63C70">
      <w:proofErr w:type="gramStart"/>
      <w:r w:rsidRPr="00205DD5">
        <w:t>At</w:t>
      </w:r>
      <w:proofErr w:type="gramEnd"/>
      <w:r w:rsidRPr="00205DD5">
        <w:t xml:space="preserve"> </w:t>
      </w:r>
      <w:r w:rsidR="00B85B06" w:rsidRPr="00205DD5">
        <w:t>30 June 20</w:t>
      </w:r>
      <w:r w:rsidRPr="00205DD5">
        <w:t>25</w:t>
      </w:r>
      <w:r w:rsidR="00524381" w:rsidRPr="00205DD5">
        <w:t>,</w:t>
      </w:r>
      <w:r w:rsidRPr="00205DD5">
        <w:t xml:space="preserve"> gross debt is forecast to be </w:t>
      </w:r>
      <w:r w:rsidR="00FB4217" w:rsidRPr="00205DD5">
        <w:t>34.0</w:t>
      </w:r>
      <w:r w:rsidR="00F12EB2" w:rsidRPr="00205DD5">
        <w:t> </w:t>
      </w:r>
      <w:r w:rsidRPr="00205DD5">
        <w:t xml:space="preserve">per cent of GDP, </w:t>
      </w:r>
      <w:r w:rsidR="00FB4217" w:rsidRPr="00205DD5">
        <w:t>10.9</w:t>
      </w:r>
      <w:r w:rsidRPr="00205DD5">
        <w:t xml:space="preserve"> percentage points lower than the estimate of 44.9 per cent of GDP ($1,117 billion) at the PEFO. </w:t>
      </w:r>
      <w:r w:rsidR="00CF6A13" w:rsidRPr="00205DD5">
        <w:t>Compared to the 2024</w:t>
      </w:r>
      <w:r w:rsidR="00531B26" w:rsidRPr="00205DD5">
        <w:t>–</w:t>
      </w:r>
      <w:r w:rsidR="00CF6A13" w:rsidRPr="00205DD5">
        <w:t>25 Budget, g</w:t>
      </w:r>
      <w:r w:rsidR="00D63C70" w:rsidRPr="00205DD5">
        <w:t xml:space="preserve">ross debt </w:t>
      </w:r>
      <w:proofErr w:type="gramStart"/>
      <w:r w:rsidR="0072040F" w:rsidRPr="00205DD5">
        <w:t>at</w:t>
      </w:r>
      <w:proofErr w:type="gramEnd"/>
      <w:r w:rsidR="0072040F" w:rsidRPr="00205DD5">
        <w:t xml:space="preserve"> </w:t>
      </w:r>
      <w:r w:rsidR="008368B5" w:rsidRPr="00205DD5">
        <w:t>30 June 20</w:t>
      </w:r>
      <w:r w:rsidR="0072040F" w:rsidRPr="00205DD5">
        <w:t>25</w:t>
      </w:r>
      <w:r w:rsidR="00D63C70" w:rsidRPr="00205DD5">
        <w:t xml:space="preserve"> is estimated to be </w:t>
      </w:r>
      <w:r w:rsidR="00FB4217" w:rsidRPr="00205DD5">
        <w:t>0.</w:t>
      </w:r>
      <w:r w:rsidR="002B6F98" w:rsidRPr="00205DD5">
        <w:t>1 </w:t>
      </w:r>
      <w:r w:rsidR="003771F8" w:rsidRPr="00205DD5">
        <w:t>percent</w:t>
      </w:r>
      <w:r w:rsidR="00C35ED6" w:rsidRPr="00205DD5">
        <w:t>age points</w:t>
      </w:r>
      <w:r w:rsidR="00D63C70" w:rsidRPr="00205DD5">
        <w:t xml:space="preserve"> </w:t>
      </w:r>
      <w:r w:rsidR="00A259CE" w:rsidRPr="00205DD5">
        <w:t xml:space="preserve">higher </w:t>
      </w:r>
      <w:r w:rsidR="00D63C70" w:rsidRPr="00205DD5">
        <w:t xml:space="preserve">than the estimate of </w:t>
      </w:r>
      <w:r w:rsidR="00DF3032" w:rsidRPr="00205DD5">
        <w:t>3</w:t>
      </w:r>
      <w:r w:rsidR="006572F4" w:rsidRPr="00205DD5">
        <w:t>3.9</w:t>
      </w:r>
      <w:r w:rsidR="00D63C70" w:rsidRPr="00205DD5">
        <w:t> per cent of GDP ($</w:t>
      </w:r>
      <w:r w:rsidR="006572F4" w:rsidRPr="00205DD5">
        <w:t>934</w:t>
      </w:r>
      <w:r w:rsidR="00D63C70" w:rsidRPr="00205DD5">
        <w:t> billion</w:t>
      </w:r>
      <w:r w:rsidR="003771F8" w:rsidRPr="00205DD5">
        <w:t>)</w:t>
      </w:r>
      <w:r w:rsidR="00D63C70" w:rsidRPr="00205DD5">
        <w:t xml:space="preserve">. </w:t>
      </w:r>
    </w:p>
    <w:p w14:paraId="3CB3BC5E" w14:textId="4E6DBBB1" w:rsidR="00AB4FDB" w:rsidRPr="0058018F" w:rsidRDefault="00AB4FDB" w:rsidP="00AB4FDB">
      <w:r w:rsidRPr="00205DD5">
        <w:t xml:space="preserve">Interest payments have increased since the 2024–25 Budget, driven by a combination of higher estimated debt and higher yields. Over the forward estimates, bond yields are assumed to remain fixed at a recent average of daily spot rates at the time of the MYEFO update. Since the 2024–25 Budget, the </w:t>
      </w:r>
      <w:r w:rsidRPr="00205DD5">
        <w:rPr>
          <w:rFonts w:eastAsia="Book Antiqua" w:cs="Book Antiqua"/>
        </w:rPr>
        <w:t>assumed weighted average cost of borrowing</w:t>
      </w:r>
      <w:r w:rsidRPr="00205DD5" w:rsidDel="00912E98">
        <w:t xml:space="preserve"> </w:t>
      </w:r>
      <w:r w:rsidRPr="00205DD5">
        <w:rPr>
          <w:rFonts w:eastAsia="Book Antiqua" w:cs="Book Antiqua"/>
        </w:rPr>
        <w:t xml:space="preserve">for </w:t>
      </w:r>
      <w:r w:rsidRPr="00205DD5">
        <w:rPr>
          <w:rFonts w:eastAsia="Book Antiqua" w:cs="Book Antiqua"/>
        </w:rPr>
        <w:lastRenderedPageBreak/>
        <w:t>issuance of Treasury Bonds in the forward estimates has increased from 4.2 to 4.</w:t>
      </w:r>
      <w:r w:rsidR="009746EE" w:rsidRPr="00205DD5">
        <w:rPr>
          <w:rFonts w:eastAsia="Book Antiqua" w:cs="Book Antiqua"/>
        </w:rPr>
        <w:t>4</w:t>
      </w:r>
      <w:r w:rsidRPr="00205DD5">
        <w:rPr>
          <w:rFonts w:eastAsia="Book Antiqua" w:cs="Book Antiqua"/>
        </w:rPr>
        <w:t xml:space="preserve"> per cent, broadly </w:t>
      </w:r>
      <w:r w:rsidRPr="00205DD5">
        <w:t xml:space="preserve">reflecting </w:t>
      </w:r>
      <w:r w:rsidR="003225A8" w:rsidRPr="00205DD5">
        <w:t>volatility in</w:t>
      </w:r>
      <w:r w:rsidRPr="00205DD5">
        <w:t xml:space="preserve"> yields globally.</w:t>
      </w:r>
    </w:p>
    <w:p w14:paraId="564E3385" w14:textId="74FAA3E0" w:rsidR="00AB4FDB" w:rsidRPr="00205DD5" w:rsidRDefault="00AB4FDB" w:rsidP="00AB4FDB">
      <w:pPr>
        <w:rPr>
          <w:i/>
        </w:rPr>
      </w:pPr>
      <w:r w:rsidRPr="00205DD5">
        <w:t xml:space="preserve">The increase in yields since Budget adds around $2 billion in interest payments </w:t>
      </w:r>
      <w:r w:rsidR="00E05D00" w:rsidRPr="00E05D00">
        <w:t>over the forward estimates</w:t>
      </w:r>
      <w:r w:rsidR="00E05D00">
        <w:t xml:space="preserve"> </w:t>
      </w:r>
      <w:r w:rsidRPr="00205DD5">
        <w:t>and increases gross debt by around $</w:t>
      </w:r>
      <w:r w:rsidR="00E05D00" w:rsidRPr="00205DD5">
        <w:t xml:space="preserve">8 </w:t>
      </w:r>
      <w:r w:rsidRPr="00205DD5">
        <w:t xml:space="preserve">billion by the end of the forward estimates. </w:t>
      </w:r>
    </w:p>
    <w:p w14:paraId="111B5933" w14:textId="0174B2C3" w:rsidR="00AB4FDB" w:rsidRDefault="009746EE" w:rsidP="00AB4FDB">
      <w:r w:rsidRPr="00205DD5">
        <w:t xml:space="preserve">Total interest </w:t>
      </w:r>
      <w:r w:rsidR="00AB4FDB" w:rsidRPr="00205DD5">
        <w:t xml:space="preserve">payments are estimated to be </w:t>
      </w:r>
      <w:r w:rsidRPr="00205DD5">
        <w:t>0.9</w:t>
      </w:r>
      <w:r w:rsidR="00AB4FDB" w:rsidRPr="00205DD5">
        <w:t xml:space="preserve"> per cent of GDP in 2024–25, the same as at the 2024–25 Budget. Interest payments are estimated to rise and </w:t>
      </w:r>
      <w:r w:rsidR="0081777A" w:rsidRPr="00205DD5">
        <w:t>peak</w:t>
      </w:r>
      <w:r w:rsidR="00AB4FDB" w:rsidRPr="00205DD5">
        <w:t xml:space="preserve"> at </w:t>
      </w:r>
      <w:r w:rsidR="0081777A" w:rsidRPr="00205DD5">
        <w:t>1.6</w:t>
      </w:r>
      <w:r w:rsidR="00AB4FDB" w:rsidRPr="00205DD5">
        <w:t xml:space="preserve"> per cent of GDP </w:t>
      </w:r>
      <w:r w:rsidR="0081777A" w:rsidRPr="00205DD5">
        <w:t>in</w:t>
      </w:r>
      <w:r w:rsidR="00AB4FDB" w:rsidRPr="00205DD5">
        <w:t xml:space="preserve"> 20</w:t>
      </w:r>
      <w:r w:rsidR="0081777A" w:rsidRPr="00205DD5">
        <w:t>32</w:t>
      </w:r>
      <w:r w:rsidR="00AB4FDB" w:rsidRPr="00205DD5">
        <w:t>–</w:t>
      </w:r>
      <w:r w:rsidR="0081777A" w:rsidRPr="00205DD5">
        <w:t>33</w:t>
      </w:r>
      <w:r w:rsidR="00AB4FDB" w:rsidRPr="00205DD5">
        <w:t xml:space="preserve">. By the end of the medium term, interest payments are </w:t>
      </w:r>
      <w:r w:rsidR="00A13FEB" w:rsidRPr="00205DD5">
        <w:t>0.1</w:t>
      </w:r>
      <w:r w:rsidR="00AB4FDB" w:rsidRPr="00205DD5">
        <w:t xml:space="preserve"> percentage points higher than projected at the 2024–25 Budget. </w:t>
      </w:r>
    </w:p>
    <w:p w14:paraId="6B8A2E84" w14:textId="04DA715F" w:rsidR="00D63C70" w:rsidRPr="006028C8" w:rsidRDefault="00D63C70" w:rsidP="00D63C70">
      <w:r w:rsidRPr="00205DD5">
        <w:rPr>
          <w:rStyle w:val="Emphasis"/>
        </w:rPr>
        <w:t>Part 4</w:t>
      </w:r>
      <w:r w:rsidRPr="00205DD5">
        <w:rPr>
          <w:rStyle w:val="Emphasis"/>
          <w:rFonts w:eastAsia="Calibri"/>
        </w:rPr>
        <w:t>: Debt Statement</w:t>
      </w:r>
      <w:r w:rsidRPr="00205DD5">
        <w:t xml:space="preserve"> contains further information on yield assumptions and interest payments.</w:t>
      </w:r>
      <w:r w:rsidRPr="006028C8">
        <w:t xml:space="preserve"> </w:t>
      </w:r>
      <w:r w:rsidRPr="00205DD5">
        <w:rPr>
          <w:rStyle w:val="Emphasis"/>
        </w:rPr>
        <w:t xml:space="preserve">Part 5: </w:t>
      </w:r>
      <w:r w:rsidRPr="00205DD5">
        <w:rPr>
          <w:rStyle w:val="Emphasis"/>
          <w:rFonts w:eastAsia="Calibri"/>
        </w:rPr>
        <w:t>Sensitivity Analysis</w:t>
      </w:r>
      <w:r w:rsidRPr="00205DD5">
        <w:t xml:space="preserve"> contains information on the impact on the underlying cash balance and gross debt if the future trajectory for yields is higher or lower than assumed. </w:t>
      </w:r>
    </w:p>
    <w:p w14:paraId="2F275EB0" w14:textId="1908DF32" w:rsidR="00D63C70" w:rsidRPr="00205DD5" w:rsidRDefault="00D63C70" w:rsidP="00D63C70">
      <w:pPr>
        <w:pStyle w:val="Heading3"/>
      </w:pPr>
      <w:bookmarkStart w:id="49" w:name="_Toc117356565"/>
      <w:bookmarkStart w:id="50" w:name="_Toc134093768"/>
      <w:bookmarkStart w:id="51" w:name="_Toc148428076"/>
      <w:r w:rsidRPr="00205DD5">
        <w:t xml:space="preserve">Net debt estimates and </w:t>
      </w:r>
      <w:proofErr w:type="gramStart"/>
      <w:r w:rsidRPr="00205DD5">
        <w:t>projections</w:t>
      </w:r>
      <w:bookmarkEnd w:id="49"/>
      <w:bookmarkEnd w:id="50"/>
      <w:bookmarkEnd w:id="51"/>
      <w:proofErr w:type="gramEnd"/>
      <w:r w:rsidRPr="00205DD5">
        <w:t xml:space="preserve"> </w:t>
      </w:r>
    </w:p>
    <w:p w14:paraId="14684C99" w14:textId="34781BE6" w:rsidR="00D63C70" w:rsidRPr="00205DD5" w:rsidRDefault="00D63C70" w:rsidP="00D63C70">
      <w:r w:rsidRPr="00205DD5">
        <w:t xml:space="preserve">Net debt is estimated to be </w:t>
      </w:r>
      <w:r w:rsidR="00511F3D" w:rsidRPr="00205DD5">
        <w:t>19.6</w:t>
      </w:r>
      <w:r w:rsidR="00F41AB3" w:rsidRPr="00205DD5">
        <w:t> </w:t>
      </w:r>
      <w:r w:rsidRPr="00205DD5">
        <w:t>per cent of GDP ($</w:t>
      </w:r>
      <w:r w:rsidR="00511F3D" w:rsidRPr="00205DD5">
        <w:t>540</w:t>
      </w:r>
      <w:r w:rsidRPr="00205DD5">
        <w:t xml:space="preserve"> billion) </w:t>
      </w:r>
      <w:proofErr w:type="gramStart"/>
      <w:r w:rsidR="00101790" w:rsidRPr="00205DD5">
        <w:t>at</w:t>
      </w:r>
      <w:proofErr w:type="gramEnd"/>
      <w:r w:rsidR="00101790" w:rsidRPr="00205DD5">
        <w:t xml:space="preserve"> </w:t>
      </w:r>
      <w:r w:rsidR="004851E1" w:rsidRPr="00205DD5">
        <w:t>30 June 20</w:t>
      </w:r>
      <w:r w:rsidRPr="00205DD5">
        <w:t>2</w:t>
      </w:r>
      <w:r w:rsidR="00F13961" w:rsidRPr="00205DD5">
        <w:t>5</w:t>
      </w:r>
      <w:r w:rsidRPr="00205DD5">
        <w:t xml:space="preserve"> (Table 3.</w:t>
      </w:r>
      <w:r w:rsidR="00CB5DE8" w:rsidRPr="00205DD5">
        <w:t>8</w:t>
      </w:r>
      <w:r w:rsidRPr="00205DD5">
        <w:t xml:space="preserve">), lower than the estimate of </w:t>
      </w:r>
      <w:r w:rsidR="0046266F" w:rsidRPr="00205DD5">
        <w:t>20.0</w:t>
      </w:r>
      <w:r w:rsidRPr="00205DD5">
        <w:t> per cent of GDP ($</w:t>
      </w:r>
      <w:r w:rsidR="0046266F" w:rsidRPr="00205DD5">
        <w:t>552.5</w:t>
      </w:r>
      <w:r w:rsidRPr="00205DD5">
        <w:t> billion) in the 202</w:t>
      </w:r>
      <w:r w:rsidR="00F13961" w:rsidRPr="00205DD5">
        <w:t>4</w:t>
      </w:r>
      <w:r w:rsidRPr="00205DD5">
        <w:t>–2</w:t>
      </w:r>
      <w:r w:rsidR="00F13961" w:rsidRPr="00205DD5">
        <w:t>5</w:t>
      </w:r>
      <w:r w:rsidRPr="00205DD5">
        <w:t> Budget. The improvement since the 202</w:t>
      </w:r>
      <w:r w:rsidR="0085681E" w:rsidRPr="00205DD5">
        <w:t>4</w:t>
      </w:r>
      <w:r w:rsidRPr="00205DD5">
        <w:t>–2</w:t>
      </w:r>
      <w:r w:rsidR="0085681E" w:rsidRPr="00205DD5">
        <w:t>5</w:t>
      </w:r>
      <w:r w:rsidRPr="00205DD5">
        <w:t> Budget reflects a fall in the market value of existing debt.</w:t>
      </w:r>
    </w:p>
    <w:p w14:paraId="004F4814" w14:textId="2DAE769B" w:rsidR="00D63C70" w:rsidRPr="00C3503A" w:rsidRDefault="00D63C70" w:rsidP="00D63C70">
      <w:r w:rsidRPr="00205DD5">
        <w:t xml:space="preserve">Yields have risen since the Budget, making the fixed income stream from existing bonds relatively less attractive to investors. This decreases the market value of existing bonds and hence net debt. </w:t>
      </w:r>
    </w:p>
    <w:p w14:paraId="7C8CC71B" w14:textId="65ACB527" w:rsidR="00D63C70" w:rsidRPr="009346AB" w:rsidRDefault="00D63C70" w:rsidP="00D63C70">
      <w:r w:rsidRPr="00205DD5">
        <w:t xml:space="preserve">Net debt as a percentage of GDP is projected to be </w:t>
      </w:r>
      <w:r w:rsidR="00B81D15" w:rsidRPr="00205DD5">
        <w:t>higher</w:t>
      </w:r>
      <w:r w:rsidRPr="00205DD5">
        <w:t xml:space="preserve"> across the medium term compared to the 202</w:t>
      </w:r>
      <w:r w:rsidR="00D21ADE" w:rsidRPr="00205DD5">
        <w:t>4</w:t>
      </w:r>
      <w:r w:rsidRPr="00205DD5">
        <w:t>–2</w:t>
      </w:r>
      <w:r w:rsidR="00D21ADE" w:rsidRPr="00205DD5">
        <w:t>5</w:t>
      </w:r>
      <w:r w:rsidRPr="00205DD5">
        <w:t xml:space="preserve"> Budget, reaching </w:t>
      </w:r>
      <w:r w:rsidR="002C3C50" w:rsidRPr="00205DD5">
        <w:t>19.2</w:t>
      </w:r>
      <w:r w:rsidRPr="00205DD5">
        <w:t xml:space="preserve"> per cent of GDP </w:t>
      </w:r>
      <w:proofErr w:type="gramStart"/>
      <w:r w:rsidR="00101790" w:rsidRPr="00205DD5">
        <w:t>at</w:t>
      </w:r>
      <w:proofErr w:type="gramEnd"/>
      <w:r w:rsidR="00101790" w:rsidRPr="00205DD5">
        <w:t xml:space="preserve"> </w:t>
      </w:r>
      <w:r w:rsidR="00DB7108" w:rsidRPr="00205DD5">
        <w:t>30 June 20</w:t>
      </w:r>
      <w:r w:rsidRPr="00205DD5">
        <w:t>3</w:t>
      </w:r>
      <w:r w:rsidR="00D21ADE" w:rsidRPr="00205DD5">
        <w:t>5</w:t>
      </w:r>
      <w:r w:rsidRPr="00205DD5">
        <w:t xml:space="preserve">, </w:t>
      </w:r>
      <w:r w:rsidR="006234E1" w:rsidRPr="00205DD5">
        <w:t>0.5</w:t>
      </w:r>
      <w:r w:rsidR="00A42EA0" w:rsidRPr="00205DD5">
        <w:t> </w:t>
      </w:r>
      <w:r w:rsidRPr="00205DD5">
        <w:t xml:space="preserve">percentage points </w:t>
      </w:r>
      <w:r w:rsidR="006234E1" w:rsidRPr="00205DD5">
        <w:t>higher</w:t>
      </w:r>
      <w:r w:rsidRPr="00205DD5">
        <w:t xml:space="preserve"> than at the 202</w:t>
      </w:r>
      <w:r w:rsidR="00D21ADE" w:rsidRPr="00205DD5">
        <w:t>4</w:t>
      </w:r>
      <w:r w:rsidRPr="00205DD5">
        <w:t>–2</w:t>
      </w:r>
      <w:r w:rsidR="00D21ADE" w:rsidRPr="00205DD5">
        <w:t>5</w:t>
      </w:r>
      <w:r w:rsidRPr="00205DD5">
        <w:t xml:space="preserve"> Budget (Chart 3.</w:t>
      </w:r>
      <w:r w:rsidR="00A43115" w:rsidRPr="00205DD5">
        <w:t>7</w:t>
      </w:r>
      <w:r w:rsidRPr="00205DD5">
        <w:t>).</w:t>
      </w:r>
      <w:r w:rsidRPr="009346AB">
        <w:t xml:space="preserve"> </w:t>
      </w:r>
    </w:p>
    <w:p w14:paraId="3CCB5539" w14:textId="6173AA50" w:rsidR="006A74E0" w:rsidRDefault="00D63C70" w:rsidP="00D63C70">
      <w:pPr>
        <w:pStyle w:val="ChartMainHeading"/>
      </w:pPr>
      <w:r w:rsidRPr="00205DD5">
        <w:lastRenderedPageBreak/>
        <w:t>Chart 3.</w:t>
      </w:r>
      <w:r w:rsidR="00A43115" w:rsidRPr="00205DD5">
        <w:t>7</w:t>
      </w:r>
      <w:r w:rsidRPr="00205DD5">
        <w:t>: Net debt</w:t>
      </w:r>
    </w:p>
    <w:p w14:paraId="3FBF5E95" w14:textId="473BAB23" w:rsidR="00D63C70" w:rsidRPr="00E05F41" w:rsidRDefault="00297A33" w:rsidP="00BA3F4E">
      <w:pPr>
        <w:pStyle w:val="ChartGraphic"/>
      </w:pPr>
      <w:bookmarkStart w:id="52" w:name="_1795509562"/>
      <w:bookmarkStart w:id="53" w:name="_1795519299"/>
      <w:bookmarkEnd w:id="52"/>
      <w:bookmarkEnd w:id="53"/>
      <w:r>
        <w:pict w14:anchorId="536AE763">
          <v:shape id="_x0000_i1029" type="#_x0000_t75" alt="This line chart compares projections of net debt as a share of GDP at the 2024-25 MYEFO and the 2024-25 Budget. In the 2024-25 MYEFO, net debt is projected to increase from 19.6 per cent of GDP in 2024-25 to 23.0 per cent of GDP by 2029-30, before declining to 19.2 per cent of GDP by 2034-35. Net debt is higher than Budget from 2026-27." style="width:369.4pt;height:199.15pt">
            <v:imagedata r:id="rId13" o:title=""/>
          </v:shape>
        </w:pict>
      </w:r>
    </w:p>
    <w:p w14:paraId="2479C35C" w14:textId="6B1AD441" w:rsidR="00D63C70" w:rsidRPr="00E05F41" w:rsidRDefault="00D63C70" w:rsidP="00D63C70">
      <w:pPr>
        <w:pStyle w:val="ChartandTableFootnote"/>
        <w:rPr>
          <w:color w:val="auto"/>
        </w:rPr>
      </w:pPr>
      <w:bookmarkStart w:id="54" w:name="_1763536625"/>
      <w:bookmarkStart w:id="55" w:name="_1763626579"/>
      <w:bookmarkEnd w:id="54"/>
      <w:bookmarkEnd w:id="55"/>
      <w:r w:rsidRPr="00205DD5">
        <w:rPr>
          <w:color w:val="auto"/>
        </w:rPr>
        <w:t>Source:</w:t>
      </w:r>
      <w:r w:rsidRPr="00205DD5">
        <w:rPr>
          <w:color w:val="auto"/>
        </w:rPr>
        <w:tab/>
        <w:t>Treasury.</w:t>
      </w:r>
      <w:r w:rsidRPr="00E05F41">
        <w:rPr>
          <w:color w:val="auto"/>
        </w:rPr>
        <w:t xml:space="preserve"> </w:t>
      </w:r>
    </w:p>
    <w:p w14:paraId="6E485625" w14:textId="77777777" w:rsidR="00D63C70" w:rsidRPr="00E05F41" w:rsidRDefault="00D63C70" w:rsidP="00D63C70">
      <w:pPr>
        <w:pStyle w:val="ChartLine"/>
      </w:pPr>
    </w:p>
    <w:p w14:paraId="681DAC58" w14:textId="5D08CD30" w:rsidR="00D63C70" w:rsidRPr="009957C5" w:rsidRDefault="00D63C70" w:rsidP="00D63C70">
      <w:r w:rsidRPr="00205DD5">
        <w:t xml:space="preserve">Further information on gross debt and net debt estimates across the forward estimates is provided in </w:t>
      </w:r>
      <w:r w:rsidRPr="00205DD5">
        <w:rPr>
          <w:rStyle w:val="Emphasis"/>
          <w:rFonts w:eastAsia="Calibri"/>
        </w:rPr>
        <w:t>Part 4: Debt Statement</w:t>
      </w:r>
      <w:r w:rsidRPr="00205DD5">
        <w:t>.</w:t>
      </w:r>
      <w:r w:rsidRPr="009957C5">
        <w:t xml:space="preserve"> </w:t>
      </w:r>
    </w:p>
    <w:p w14:paraId="5569A32E" w14:textId="2F296C26" w:rsidR="00D63C70" w:rsidRPr="00205DD5" w:rsidRDefault="00D63C70" w:rsidP="00D63C70">
      <w:pPr>
        <w:pStyle w:val="Heading3"/>
      </w:pPr>
      <w:bookmarkStart w:id="56" w:name="_Toc134093769"/>
      <w:bookmarkStart w:id="57" w:name="_Toc148428077"/>
      <w:r w:rsidRPr="00205DD5">
        <w:t xml:space="preserve">Net financial worth and net worth estimates and </w:t>
      </w:r>
      <w:proofErr w:type="gramStart"/>
      <w:r w:rsidRPr="00205DD5">
        <w:t>projections</w:t>
      </w:r>
      <w:bookmarkEnd w:id="56"/>
      <w:bookmarkEnd w:id="57"/>
      <w:proofErr w:type="gramEnd"/>
      <w:r w:rsidRPr="00205DD5">
        <w:t xml:space="preserve"> </w:t>
      </w:r>
    </w:p>
    <w:p w14:paraId="50A5F52D" w14:textId="7CA3B37B" w:rsidR="00D63C70" w:rsidRPr="009346AB" w:rsidRDefault="00D63C70" w:rsidP="00D63C70">
      <w:pPr>
        <w:rPr>
          <w:lang w:eastAsia="en-US"/>
        </w:rPr>
      </w:pPr>
      <w:r w:rsidRPr="00205DD5">
        <w:rPr>
          <w:lang w:eastAsia="en-US"/>
        </w:rPr>
        <w:t xml:space="preserve">Net financial worth is estimated to be minus </w:t>
      </w:r>
      <w:r w:rsidR="00056E56" w:rsidRPr="00205DD5">
        <w:t>28.6</w:t>
      </w:r>
      <w:r w:rsidRPr="00205DD5">
        <w:rPr>
          <w:lang w:eastAsia="en-US"/>
        </w:rPr>
        <w:t> per cent of GDP (minus $</w:t>
      </w:r>
      <w:r w:rsidR="00974DF5" w:rsidRPr="00205DD5">
        <w:t>791.2</w:t>
      </w:r>
      <w:r w:rsidRPr="00205DD5">
        <w:rPr>
          <w:lang w:eastAsia="en-US"/>
        </w:rPr>
        <w:t xml:space="preserve"> billion) </w:t>
      </w:r>
      <w:proofErr w:type="gramStart"/>
      <w:r w:rsidR="00101790" w:rsidRPr="00205DD5">
        <w:rPr>
          <w:lang w:eastAsia="en-US"/>
        </w:rPr>
        <w:t>at</w:t>
      </w:r>
      <w:proofErr w:type="gramEnd"/>
      <w:r w:rsidR="00101790" w:rsidRPr="00205DD5">
        <w:rPr>
          <w:lang w:eastAsia="en-US"/>
        </w:rPr>
        <w:t xml:space="preserve"> </w:t>
      </w:r>
      <w:r w:rsidR="00EF7CA4" w:rsidRPr="00205DD5">
        <w:rPr>
          <w:lang w:eastAsia="en-US"/>
        </w:rPr>
        <w:t>30 June 20</w:t>
      </w:r>
      <w:r w:rsidR="00772701" w:rsidRPr="00205DD5">
        <w:rPr>
          <w:rFonts w:ascii="Times New Roman" w:hAnsi="Times New Roman"/>
          <w:lang w:eastAsia="en-US"/>
        </w:rPr>
        <w:t>‍</w:t>
      </w:r>
      <w:r w:rsidRPr="00205DD5">
        <w:rPr>
          <w:lang w:eastAsia="en-US"/>
        </w:rPr>
        <w:t>2</w:t>
      </w:r>
      <w:r w:rsidR="0007261C" w:rsidRPr="00205DD5">
        <w:rPr>
          <w:lang w:eastAsia="en-US"/>
        </w:rPr>
        <w:t>5</w:t>
      </w:r>
      <w:r w:rsidRPr="00205DD5">
        <w:rPr>
          <w:lang w:eastAsia="en-US"/>
        </w:rPr>
        <w:t xml:space="preserve"> </w:t>
      </w:r>
      <w:r w:rsidRPr="00205DD5">
        <w:t>(Table 3.</w:t>
      </w:r>
      <w:r w:rsidR="001F4B47" w:rsidRPr="00205DD5">
        <w:t>8</w:t>
      </w:r>
      <w:r w:rsidRPr="00205DD5">
        <w:t>)</w:t>
      </w:r>
      <w:r w:rsidRPr="00205DD5">
        <w:rPr>
          <w:lang w:eastAsia="en-US"/>
        </w:rPr>
        <w:t xml:space="preserve">, compared with the estimate of minus </w:t>
      </w:r>
      <w:r w:rsidR="00A35DC5" w:rsidRPr="00205DD5">
        <w:t>27.7</w:t>
      </w:r>
      <w:r w:rsidRPr="00205DD5">
        <w:rPr>
          <w:lang w:eastAsia="en-US"/>
        </w:rPr>
        <w:t> per cent of GDP (minus</w:t>
      </w:r>
      <w:r w:rsidR="00BB186A" w:rsidRPr="00205DD5">
        <w:rPr>
          <w:lang w:eastAsia="en-US"/>
        </w:rPr>
        <w:t> </w:t>
      </w:r>
      <w:r w:rsidRPr="00205DD5">
        <w:rPr>
          <w:lang w:eastAsia="en-US"/>
        </w:rPr>
        <w:t>$</w:t>
      </w:r>
      <w:r w:rsidR="002C203B" w:rsidRPr="00205DD5">
        <w:t>764.5</w:t>
      </w:r>
      <w:r w:rsidRPr="00205DD5">
        <w:rPr>
          <w:lang w:eastAsia="en-US"/>
        </w:rPr>
        <w:t> billion) at the 202</w:t>
      </w:r>
      <w:r w:rsidR="00582384" w:rsidRPr="00205DD5">
        <w:rPr>
          <w:lang w:eastAsia="en-US"/>
        </w:rPr>
        <w:t>4</w:t>
      </w:r>
      <w:r w:rsidRPr="00205DD5">
        <w:rPr>
          <w:lang w:eastAsia="en-US"/>
        </w:rPr>
        <w:t>–2</w:t>
      </w:r>
      <w:r w:rsidR="00582384" w:rsidRPr="00205DD5">
        <w:rPr>
          <w:lang w:eastAsia="en-US"/>
        </w:rPr>
        <w:t>5</w:t>
      </w:r>
      <w:r w:rsidRPr="00205DD5">
        <w:rPr>
          <w:lang w:eastAsia="en-US"/>
        </w:rPr>
        <w:t xml:space="preserve"> Budget.</w:t>
      </w:r>
      <w:r w:rsidRPr="009346AB">
        <w:rPr>
          <w:lang w:eastAsia="en-US"/>
        </w:rPr>
        <w:t xml:space="preserve"> </w:t>
      </w:r>
    </w:p>
    <w:p w14:paraId="09BB948B" w14:textId="05D5F84F" w:rsidR="00D63C70" w:rsidRPr="00DE19C5" w:rsidRDefault="00D63C70" w:rsidP="00D63C70">
      <w:r w:rsidRPr="00205DD5">
        <w:t xml:space="preserve">Net financial worth is projected to deteriorate to minus </w:t>
      </w:r>
      <w:r w:rsidR="00E47DD0" w:rsidRPr="00205DD5">
        <w:t>30.2</w:t>
      </w:r>
      <w:r w:rsidRPr="00205DD5">
        <w:t xml:space="preserve"> per cent of GDP </w:t>
      </w:r>
      <w:r w:rsidR="00701994" w:rsidRPr="00205DD5">
        <w:t>by</w:t>
      </w:r>
      <w:r w:rsidR="00101790" w:rsidRPr="00205DD5">
        <w:t xml:space="preserve"> </w:t>
      </w:r>
      <w:r w:rsidR="00EF7CA4" w:rsidRPr="00205DD5">
        <w:t>30</w:t>
      </w:r>
      <w:r w:rsidR="0086612B" w:rsidRPr="00205DD5">
        <w:t> </w:t>
      </w:r>
      <w:r w:rsidR="00EF7CA4" w:rsidRPr="00205DD5">
        <w:t>June</w:t>
      </w:r>
      <w:r w:rsidR="0086612B" w:rsidRPr="00205DD5">
        <w:t> </w:t>
      </w:r>
      <w:r w:rsidR="00EF7CA4" w:rsidRPr="00205DD5">
        <w:t>20</w:t>
      </w:r>
      <w:r w:rsidR="00E47DD0" w:rsidRPr="00205DD5">
        <w:rPr>
          <w:rFonts w:ascii="Times New Roman" w:hAnsi="Times New Roman"/>
        </w:rPr>
        <w:t>27</w:t>
      </w:r>
      <w:r w:rsidR="0007261C" w:rsidRPr="00205DD5">
        <w:t xml:space="preserve"> </w:t>
      </w:r>
      <w:r w:rsidRPr="00205DD5">
        <w:t xml:space="preserve">before improving to minus </w:t>
      </w:r>
      <w:r w:rsidR="00A15DCE" w:rsidRPr="00205DD5">
        <w:t>23.6</w:t>
      </w:r>
      <w:r w:rsidR="00D35AB9" w:rsidRPr="00205DD5">
        <w:t> </w:t>
      </w:r>
      <w:r w:rsidRPr="00205DD5">
        <w:t>per</w:t>
      </w:r>
      <w:r w:rsidR="00D35AB9" w:rsidRPr="00205DD5">
        <w:t> </w:t>
      </w:r>
      <w:r w:rsidRPr="00205DD5">
        <w:t xml:space="preserve">cent of GDP by </w:t>
      </w:r>
      <w:r w:rsidR="001668E1" w:rsidRPr="00205DD5">
        <w:t>30 June 20</w:t>
      </w:r>
      <w:r w:rsidRPr="00205DD5">
        <w:t>3</w:t>
      </w:r>
      <w:r w:rsidR="009178D0" w:rsidRPr="00205DD5">
        <w:t>5</w:t>
      </w:r>
      <w:r w:rsidRPr="00205DD5">
        <w:t xml:space="preserve"> (Chart 3.</w:t>
      </w:r>
      <w:r w:rsidR="001406FC" w:rsidRPr="00205DD5">
        <w:t>8</w:t>
      </w:r>
      <w:r w:rsidRPr="00205DD5">
        <w:t>).</w:t>
      </w:r>
      <w:r w:rsidRPr="00DE19C5">
        <w:rPr>
          <w:lang w:eastAsia="en-US"/>
        </w:rPr>
        <w:t xml:space="preserve"> </w:t>
      </w:r>
    </w:p>
    <w:p w14:paraId="7C3E6020" w14:textId="7C3D91DE" w:rsidR="00D63C70" w:rsidRPr="000B2CFD" w:rsidRDefault="00D63C70" w:rsidP="00D63C70">
      <w:pPr>
        <w:pStyle w:val="ChartMainHeading"/>
      </w:pPr>
      <w:r w:rsidRPr="00205DD5">
        <w:lastRenderedPageBreak/>
        <w:t>Chart 3.</w:t>
      </w:r>
      <w:r w:rsidR="00C72F65" w:rsidRPr="00205DD5">
        <w:t>8</w:t>
      </w:r>
      <w:r w:rsidRPr="00205DD5">
        <w:t>: Net financial worth</w:t>
      </w:r>
    </w:p>
    <w:p w14:paraId="7FFA9E56" w14:textId="2EAB9529" w:rsidR="00D63C70" w:rsidRPr="00412D75" w:rsidRDefault="00297A33" w:rsidP="00D63C70">
      <w:pPr>
        <w:pStyle w:val="ChartGraphic"/>
      </w:pPr>
      <w:bookmarkStart w:id="58" w:name="_1763536646"/>
      <w:bookmarkStart w:id="59" w:name="_1763626751"/>
      <w:bookmarkStart w:id="60" w:name="_1795519301"/>
      <w:bookmarkEnd w:id="58"/>
      <w:bookmarkEnd w:id="59"/>
      <w:bookmarkEnd w:id="60"/>
      <w:r>
        <w:pict w14:anchorId="0D4BC404">
          <v:shape id="_x0000_i1030" type="#_x0000_t75" alt="This line chart compares projections of net financial worth as a share of GDP at the 2024-25 MYEFO and the 2024-25 Budget. Net financial worth is estimated to be -28.6 per cent of GDP in 2024-25. It is expected to improve throughout the medium term to -23.6 per cent in 2034-35. Net financial worth is lower in every year of the forward estimates and medium term than at the 2024-25 Budget." style="width:368.65pt;height:197.25pt">
            <v:imagedata r:id="rId14" o:title=""/>
          </v:shape>
        </w:pict>
      </w:r>
    </w:p>
    <w:p w14:paraId="4C994D0A" w14:textId="0088AFEB" w:rsidR="00D63C70" w:rsidRPr="00412D75" w:rsidRDefault="00D63C70" w:rsidP="00D63C70">
      <w:pPr>
        <w:pStyle w:val="ChartandTableFootnote"/>
        <w:rPr>
          <w:color w:val="auto"/>
        </w:rPr>
      </w:pPr>
      <w:r w:rsidRPr="00205DD5">
        <w:rPr>
          <w:color w:val="auto"/>
        </w:rPr>
        <w:t xml:space="preserve">Source: </w:t>
      </w:r>
      <w:r w:rsidRPr="00205DD5">
        <w:rPr>
          <w:color w:val="auto"/>
        </w:rPr>
        <w:tab/>
        <w:t>Treasury.</w:t>
      </w:r>
      <w:r w:rsidRPr="00412D75">
        <w:rPr>
          <w:color w:val="auto"/>
          <w:lang w:eastAsia="en-US"/>
        </w:rPr>
        <w:t xml:space="preserve"> </w:t>
      </w:r>
    </w:p>
    <w:p w14:paraId="302D65F4" w14:textId="77777777" w:rsidR="00D63C70" w:rsidRPr="00412D75" w:rsidRDefault="00D63C70" w:rsidP="00D63C70">
      <w:pPr>
        <w:pStyle w:val="ChartLine"/>
        <w:rPr>
          <w:lang w:eastAsia="en-US"/>
        </w:rPr>
      </w:pPr>
    </w:p>
    <w:p w14:paraId="58AD1C01" w14:textId="5183F6BB" w:rsidR="00D63C70" w:rsidRPr="009346AB" w:rsidRDefault="00D63C70" w:rsidP="00D63C70">
      <w:pPr>
        <w:rPr>
          <w:lang w:eastAsia="en-US"/>
        </w:rPr>
      </w:pPr>
      <w:r w:rsidRPr="00205DD5">
        <w:rPr>
          <w:lang w:eastAsia="en-US"/>
        </w:rPr>
        <w:t xml:space="preserve">Net worth is estimated to be minus </w:t>
      </w:r>
      <w:r w:rsidR="004C68AA" w:rsidRPr="00205DD5">
        <w:t>20.7</w:t>
      </w:r>
      <w:r w:rsidRPr="00205DD5">
        <w:rPr>
          <w:lang w:eastAsia="en-US"/>
        </w:rPr>
        <w:t> per cent of GDP (minus $</w:t>
      </w:r>
      <w:r w:rsidR="004C68AA" w:rsidRPr="00205DD5">
        <w:t>570.6</w:t>
      </w:r>
      <w:r w:rsidRPr="00205DD5">
        <w:rPr>
          <w:lang w:eastAsia="en-US"/>
        </w:rPr>
        <w:t xml:space="preserve"> billion) </w:t>
      </w:r>
      <w:proofErr w:type="gramStart"/>
      <w:r w:rsidR="00037F0C" w:rsidRPr="00205DD5">
        <w:rPr>
          <w:lang w:eastAsia="en-US"/>
        </w:rPr>
        <w:t>at</w:t>
      </w:r>
      <w:proofErr w:type="gramEnd"/>
      <w:r w:rsidR="00037F0C" w:rsidRPr="00205DD5">
        <w:rPr>
          <w:lang w:eastAsia="en-US"/>
        </w:rPr>
        <w:t xml:space="preserve"> </w:t>
      </w:r>
      <w:r w:rsidR="00F47158" w:rsidRPr="00205DD5">
        <w:rPr>
          <w:lang w:eastAsia="en-US"/>
        </w:rPr>
        <w:t>30</w:t>
      </w:r>
      <w:r w:rsidR="00BB186A" w:rsidRPr="00205DD5">
        <w:rPr>
          <w:lang w:eastAsia="en-US"/>
        </w:rPr>
        <w:t> </w:t>
      </w:r>
      <w:r w:rsidR="00F47158" w:rsidRPr="00205DD5">
        <w:rPr>
          <w:lang w:eastAsia="en-US"/>
        </w:rPr>
        <w:t>June</w:t>
      </w:r>
      <w:r w:rsidR="00BB186A" w:rsidRPr="00205DD5">
        <w:rPr>
          <w:lang w:eastAsia="en-US"/>
        </w:rPr>
        <w:t> </w:t>
      </w:r>
      <w:r w:rsidR="00F47158" w:rsidRPr="00205DD5">
        <w:rPr>
          <w:lang w:eastAsia="en-US"/>
        </w:rPr>
        <w:t>20</w:t>
      </w:r>
      <w:r w:rsidRPr="00205DD5">
        <w:rPr>
          <w:lang w:eastAsia="en-US"/>
        </w:rPr>
        <w:t>2</w:t>
      </w:r>
      <w:r w:rsidR="00023ED7" w:rsidRPr="00205DD5">
        <w:rPr>
          <w:lang w:eastAsia="en-US"/>
        </w:rPr>
        <w:t>5</w:t>
      </w:r>
      <w:r w:rsidRPr="00205DD5">
        <w:rPr>
          <w:lang w:eastAsia="en-US"/>
        </w:rPr>
        <w:t xml:space="preserve"> </w:t>
      </w:r>
      <w:r w:rsidRPr="00205DD5">
        <w:t>(Table 3.</w:t>
      </w:r>
      <w:r w:rsidR="001F4B47" w:rsidRPr="00205DD5">
        <w:t>8</w:t>
      </w:r>
      <w:r w:rsidRPr="00205DD5">
        <w:t>)</w:t>
      </w:r>
      <w:r w:rsidRPr="00205DD5">
        <w:rPr>
          <w:lang w:eastAsia="en-US"/>
        </w:rPr>
        <w:t xml:space="preserve">, </w:t>
      </w:r>
      <w:r w:rsidRPr="00205DD5">
        <w:t>compared</w:t>
      </w:r>
      <w:r w:rsidRPr="00205DD5">
        <w:rPr>
          <w:lang w:eastAsia="en-US"/>
        </w:rPr>
        <w:t xml:space="preserve"> with the estimate of minus </w:t>
      </w:r>
      <w:r w:rsidR="003E67B9" w:rsidRPr="00205DD5">
        <w:t>19.8</w:t>
      </w:r>
      <w:r w:rsidRPr="00205DD5">
        <w:rPr>
          <w:lang w:eastAsia="en-US"/>
        </w:rPr>
        <w:t> per cent of GDP (minus</w:t>
      </w:r>
      <w:r w:rsidR="00BB186A" w:rsidRPr="00205DD5">
        <w:rPr>
          <w:lang w:eastAsia="en-US"/>
        </w:rPr>
        <w:t> </w:t>
      </w:r>
      <w:r w:rsidRPr="00205DD5">
        <w:rPr>
          <w:lang w:eastAsia="en-US"/>
        </w:rPr>
        <w:t>$</w:t>
      </w:r>
      <w:r w:rsidR="003E67B9" w:rsidRPr="00205DD5">
        <w:t>545.1</w:t>
      </w:r>
      <w:r w:rsidRPr="00205DD5">
        <w:rPr>
          <w:lang w:eastAsia="en-US"/>
        </w:rPr>
        <w:t> billion) at the 202</w:t>
      </w:r>
      <w:r w:rsidR="00023ED7" w:rsidRPr="00205DD5">
        <w:rPr>
          <w:lang w:eastAsia="en-US"/>
        </w:rPr>
        <w:t>4</w:t>
      </w:r>
      <w:r w:rsidRPr="00205DD5">
        <w:rPr>
          <w:lang w:eastAsia="en-US"/>
        </w:rPr>
        <w:t>–2</w:t>
      </w:r>
      <w:r w:rsidR="00023ED7" w:rsidRPr="00205DD5">
        <w:rPr>
          <w:lang w:eastAsia="en-US"/>
        </w:rPr>
        <w:t>5</w:t>
      </w:r>
      <w:r w:rsidRPr="00205DD5">
        <w:rPr>
          <w:lang w:eastAsia="en-US"/>
        </w:rPr>
        <w:t xml:space="preserve"> Budget.</w:t>
      </w:r>
      <w:r w:rsidRPr="009346AB">
        <w:rPr>
          <w:lang w:eastAsia="en-US"/>
        </w:rPr>
        <w:t xml:space="preserve"> </w:t>
      </w:r>
      <w:r w:rsidRPr="00205DD5">
        <w:rPr>
          <w:lang w:eastAsia="en-US"/>
        </w:rPr>
        <w:t>Net worth is projected to deteriorate to minus</w:t>
      </w:r>
      <w:r w:rsidR="004D19BE" w:rsidRPr="00205DD5">
        <w:rPr>
          <w:lang w:eastAsia="en-US"/>
        </w:rPr>
        <w:t> </w:t>
      </w:r>
      <w:r w:rsidR="005B4E10" w:rsidRPr="00205DD5">
        <w:t>22.4</w:t>
      </w:r>
      <w:r w:rsidRPr="00205DD5">
        <w:rPr>
          <w:lang w:eastAsia="en-US"/>
        </w:rPr>
        <w:t xml:space="preserve"> per cent of GDP </w:t>
      </w:r>
      <w:r w:rsidRPr="00205DD5">
        <w:t xml:space="preserve">by </w:t>
      </w:r>
      <w:r w:rsidR="00F47158" w:rsidRPr="00205DD5">
        <w:t>30 June 20</w:t>
      </w:r>
      <w:r w:rsidR="005B4E10" w:rsidRPr="00205DD5">
        <w:t>2</w:t>
      </w:r>
      <w:r w:rsidR="005B4E10" w:rsidRPr="00205DD5">
        <w:rPr>
          <w:lang w:eastAsia="en-US"/>
        </w:rPr>
        <w:t>8</w:t>
      </w:r>
      <w:r w:rsidRPr="00205DD5">
        <w:rPr>
          <w:lang w:eastAsia="en-US"/>
        </w:rPr>
        <w:t xml:space="preserve"> before improving over the medium term.</w:t>
      </w:r>
    </w:p>
    <w:p w14:paraId="04182E74" w14:textId="631AECF3" w:rsidR="00D63C70" w:rsidRPr="001D7A0A" w:rsidRDefault="0036270B" w:rsidP="00D63C70">
      <w:r w:rsidRPr="00205DD5">
        <w:t xml:space="preserve">The deterioration in net worth and net financial worth since the Budget largely reflects </w:t>
      </w:r>
      <w:r w:rsidR="008D0430" w:rsidRPr="00205DD5">
        <w:t>increases in debt and</w:t>
      </w:r>
      <w:r w:rsidR="005F2B41" w:rsidRPr="00205DD5">
        <w:t xml:space="preserve"> revised estimates of the liabilities for the Military Compensation Scheme as </w:t>
      </w:r>
      <w:proofErr w:type="gramStart"/>
      <w:r w:rsidR="005F2B41" w:rsidRPr="00205DD5">
        <w:t>at</w:t>
      </w:r>
      <w:proofErr w:type="gramEnd"/>
      <w:r w:rsidR="005F2B41" w:rsidRPr="00205DD5">
        <w:t xml:space="preserve"> 30 June 2024. These liability provisions are based on the current Australian Defence Force and veteran population and the likelihood of claims being lodged and accepted for income support, </w:t>
      </w:r>
      <w:proofErr w:type="gramStart"/>
      <w:r w:rsidR="005F2B41" w:rsidRPr="00205DD5">
        <w:t>compensation</w:t>
      </w:r>
      <w:proofErr w:type="gramEnd"/>
      <w:r w:rsidR="005F2B41" w:rsidRPr="00205DD5">
        <w:t xml:space="preserve"> and health services. Th</w:t>
      </w:r>
      <w:r w:rsidR="00A9453A" w:rsidRPr="00205DD5">
        <w:t>ese</w:t>
      </w:r>
      <w:r w:rsidR="005F2B41" w:rsidRPr="00205DD5">
        <w:t xml:space="preserve"> </w:t>
      </w:r>
      <w:r w:rsidR="00A9453A" w:rsidRPr="00205DD5">
        <w:t>are</w:t>
      </w:r>
      <w:r w:rsidR="005F2B41" w:rsidRPr="00205DD5">
        <w:t xml:space="preserve"> partially offset by an increase in financial assets</w:t>
      </w:r>
      <w:r w:rsidRPr="00205DD5">
        <w:t>.</w:t>
      </w:r>
      <w:r w:rsidR="00D63C70" w:rsidRPr="001D7A0A">
        <w:t xml:space="preserve"> </w:t>
      </w:r>
    </w:p>
    <w:p w14:paraId="2EBAD4AF" w14:textId="77777777" w:rsidR="00D63C70" w:rsidRPr="00DF3DF1" w:rsidRDefault="00D63C70" w:rsidP="00D63C70">
      <w:r w:rsidRPr="001D7A0A">
        <w:br w:type="page"/>
      </w:r>
    </w:p>
    <w:p w14:paraId="683C8B3F" w14:textId="4DDEC21F" w:rsidR="004C11E4" w:rsidRPr="00205DD5" w:rsidRDefault="00D63C70" w:rsidP="004862AA">
      <w:pPr>
        <w:pStyle w:val="TableHeading"/>
        <w:rPr>
          <w:rFonts w:asciiTheme="minorHAnsi" w:eastAsiaTheme="minorHAnsi" w:hAnsiTheme="minorHAnsi" w:cstheme="minorBidi"/>
          <w:b w:val="0"/>
          <w:sz w:val="22"/>
          <w:szCs w:val="22"/>
          <w:lang w:eastAsia="en-US"/>
        </w:rPr>
      </w:pPr>
      <w:r w:rsidRPr="00205DD5">
        <w:lastRenderedPageBreak/>
        <w:t>Table 3.</w:t>
      </w:r>
      <w:r w:rsidR="00742304" w:rsidRPr="00205DD5">
        <w:t>8</w:t>
      </w:r>
      <w:r w:rsidRPr="00205DD5">
        <w:t xml:space="preserve">: </w:t>
      </w:r>
      <w:r w:rsidR="00E64792" w:rsidRPr="00205DD5">
        <w:t>Australian Government</w:t>
      </w:r>
      <w:r w:rsidRPr="00205DD5">
        <w:t xml:space="preserve"> general government sector balance sheet aggregate</w:t>
      </w:r>
      <w:r w:rsidRPr="00205DD5" w:rsidDel="000B4240">
        <w:t>s</w:t>
      </w:r>
    </w:p>
    <w:tbl>
      <w:tblPr>
        <w:tblW w:w="5000" w:type="pct"/>
        <w:tblCellMar>
          <w:left w:w="0" w:type="dxa"/>
          <w:right w:w="28" w:type="dxa"/>
        </w:tblCellMar>
        <w:tblLook w:val="04A0" w:firstRow="1" w:lastRow="0" w:firstColumn="1" w:lastColumn="0" w:noHBand="0" w:noVBand="1"/>
      </w:tblPr>
      <w:tblGrid>
        <w:gridCol w:w="1920"/>
        <w:gridCol w:w="725"/>
        <w:gridCol w:w="723"/>
        <w:gridCol w:w="723"/>
        <w:gridCol w:w="725"/>
        <w:gridCol w:w="723"/>
        <w:gridCol w:w="725"/>
        <w:gridCol w:w="723"/>
        <w:gridCol w:w="723"/>
      </w:tblGrid>
      <w:tr w:rsidR="004C11E4" w:rsidRPr="00FF1D21" w14:paraId="4AD0AE2E" w14:textId="77777777" w:rsidTr="004C11E4">
        <w:trPr>
          <w:trHeight w:hRule="exact" w:val="226"/>
        </w:trPr>
        <w:tc>
          <w:tcPr>
            <w:tcW w:w="1245" w:type="pct"/>
            <w:tcBorders>
              <w:top w:val="single" w:sz="4" w:space="0" w:color="293F5B"/>
              <w:left w:val="nil"/>
              <w:bottom w:val="nil"/>
              <w:right w:val="nil"/>
            </w:tcBorders>
            <w:shd w:val="clear" w:color="000000" w:fill="FFFFFF"/>
            <w:noWrap/>
            <w:vAlign w:val="center"/>
            <w:hideMark/>
          </w:tcPr>
          <w:p w14:paraId="49BD848C" w14:textId="71D7124C"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3755" w:type="pct"/>
            <w:gridSpan w:val="8"/>
            <w:tcBorders>
              <w:top w:val="single" w:sz="4" w:space="0" w:color="293F5B"/>
              <w:left w:val="nil"/>
              <w:bottom w:val="single" w:sz="4" w:space="0" w:color="293F5B"/>
              <w:right w:val="nil"/>
            </w:tcBorders>
            <w:shd w:val="clear" w:color="000000" w:fill="FFFFFF"/>
            <w:vAlign w:val="center"/>
            <w:hideMark/>
          </w:tcPr>
          <w:p w14:paraId="0692DA63" w14:textId="77777777" w:rsidR="004C11E4" w:rsidRPr="00205DD5" w:rsidRDefault="004C11E4" w:rsidP="004C11E4">
            <w:pPr>
              <w:spacing w:before="0" w:after="0" w:line="240" w:lineRule="auto"/>
              <w:jc w:val="center"/>
              <w:rPr>
                <w:rFonts w:ascii="Arial" w:hAnsi="Arial" w:cs="Arial"/>
                <w:sz w:val="16"/>
                <w:szCs w:val="16"/>
              </w:rPr>
            </w:pPr>
            <w:r w:rsidRPr="00205DD5">
              <w:rPr>
                <w:rFonts w:ascii="Arial" w:hAnsi="Arial" w:cs="Arial"/>
                <w:sz w:val="16"/>
                <w:szCs w:val="16"/>
              </w:rPr>
              <w:t>Estimates</w:t>
            </w:r>
          </w:p>
        </w:tc>
      </w:tr>
      <w:tr w:rsidR="004C11E4" w:rsidRPr="00FF1D21" w14:paraId="5523B4D5"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42B6E69D"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39" w:type="pct"/>
            <w:gridSpan w:val="2"/>
            <w:tcBorders>
              <w:top w:val="single" w:sz="4" w:space="0" w:color="293F5B"/>
              <w:left w:val="nil"/>
              <w:bottom w:val="nil"/>
              <w:right w:val="nil"/>
            </w:tcBorders>
            <w:shd w:val="clear" w:color="000000" w:fill="E6F2FF"/>
            <w:noWrap/>
            <w:vAlign w:val="center"/>
            <w:hideMark/>
          </w:tcPr>
          <w:p w14:paraId="7DB9EEF2" w14:textId="77777777" w:rsidR="004C11E4" w:rsidRPr="00FF1D21" w:rsidRDefault="004C11E4" w:rsidP="004C11E4">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2024–25</w:t>
            </w:r>
          </w:p>
        </w:tc>
        <w:tc>
          <w:tcPr>
            <w:tcW w:w="939" w:type="pct"/>
            <w:gridSpan w:val="2"/>
            <w:tcBorders>
              <w:top w:val="single" w:sz="4" w:space="0" w:color="293F5B"/>
              <w:left w:val="nil"/>
              <w:bottom w:val="single" w:sz="4" w:space="0" w:color="293F5B"/>
              <w:right w:val="nil"/>
            </w:tcBorders>
            <w:shd w:val="clear" w:color="000000" w:fill="FFFFFF"/>
            <w:noWrap/>
            <w:vAlign w:val="center"/>
            <w:hideMark/>
          </w:tcPr>
          <w:p w14:paraId="6110B8EA" w14:textId="77777777" w:rsidR="004C11E4" w:rsidRPr="00FF1D21" w:rsidRDefault="004C11E4" w:rsidP="004C11E4">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2025–26</w:t>
            </w:r>
          </w:p>
        </w:tc>
        <w:tc>
          <w:tcPr>
            <w:tcW w:w="939" w:type="pct"/>
            <w:gridSpan w:val="2"/>
            <w:tcBorders>
              <w:top w:val="single" w:sz="4" w:space="0" w:color="293F5B"/>
              <w:left w:val="nil"/>
              <w:bottom w:val="single" w:sz="4" w:space="0" w:color="293F5B"/>
              <w:right w:val="nil"/>
            </w:tcBorders>
            <w:shd w:val="clear" w:color="000000" w:fill="FFFFFF"/>
            <w:noWrap/>
            <w:vAlign w:val="center"/>
            <w:hideMark/>
          </w:tcPr>
          <w:p w14:paraId="5992E4B7" w14:textId="77777777" w:rsidR="004C11E4" w:rsidRPr="00FF1D21" w:rsidRDefault="004C11E4" w:rsidP="004C11E4">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2026–27</w:t>
            </w:r>
          </w:p>
        </w:tc>
        <w:tc>
          <w:tcPr>
            <w:tcW w:w="939" w:type="pct"/>
            <w:gridSpan w:val="2"/>
            <w:tcBorders>
              <w:top w:val="single" w:sz="4" w:space="0" w:color="293F5B"/>
              <w:left w:val="nil"/>
              <w:bottom w:val="single" w:sz="4" w:space="0" w:color="293F5B"/>
              <w:right w:val="nil"/>
            </w:tcBorders>
            <w:shd w:val="clear" w:color="000000" w:fill="FFFFFF"/>
            <w:noWrap/>
            <w:vAlign w:val="center"/>
            <w:hideMark/>
          </w:tcPr>
          <w:p w14:paraId="735D160C" w14:textId="77777777" w:rsidR="004C11E4" w:rsidRPr="00205DD5" w:rsidRDefault="004C11E4" w:rsidP="004C11E4">
            <w:pPr>
              <w:spacing w:before="0" w:after="0" w:line="240" w:lineRule="auto"/>
              <w:jc w:val="center"/>
              <w:rPr>
                <w:rFonts w:ascii="Arial" w:hAnsi="Arial" w:cs="Arial"/>
                <w:sz w:val="16"/>
                <w:szCs w:val="16"/>
              </w:rPr>
            </w:pPr>
            <w:r w:rsidRPr="00205DD5">
              <w:rPr>
                <w:rFonts w:ascii="Arial" w:hAnsi="Arial" w:cs="Arial"/>
                <w:sz w:val="16"/>
                <w:szCs w:val="16"/>
              </w:rPr>
              <w:t>2027–28</w:t>
            </w:r>
          </w:p>
        </w:tc>
      </w:tr>
      <w:tr w:rsidR="004C11E4" w:rsidRPr="00FF1D21" w14:paraId="32C90898"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5DD2D90"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70" w:type="pct"/>
            <w:tcBorders>
              <w:top w:val="single" w:sz="4" w:space="0" w:color="293F5B"/>
              <w:left w:val="nil"/>
              <w:bottom w:val="single" w:sz="4" w:space="0" w:color="293F5B"/>
              <w:right w:val="nil"/>
            </w:tcBorders>
            <w:shd w:val="clear" w:color="000000" w:fill="E6F2FF"/>
            <w:noWrap/>
            <w:vAlign w:val="center"/>
            <w:hideMark/>
          </w:tcPr>
          <w:p w14:paraId="2129D38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$b</w:t>
            </w:r>
          </w:p>
        </w:tc>
        <w:tc>
          <w:tcPr>
            <w:tcW w:w="469" w:type="pct"/>
            <w:tcBorders>
              <w:top w:val="single" w:sz="4" w:space="0" w:color="293F5B"/>
              <w:left w:val="nil"/>
              <w:bottom w:val="single" w:sz="4" w:space="0" w:color="293F5B"/>
              <w:right w:val="nil"/>
            </w:tcBorders>
            <w:shd w:val="clear" w:color="000000" w:fill="E6F2FF"/>
            <w:noWrap/>
            <w:vAlign w:val="center"/>
            <w:hideMark/>
          </w:tcPr>
          <w:p w14:paraId="5CA43F80"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GDP</w:t>
            </w:r>
          </w:p>
        </w:tc>
        <w:tc>
          <w:tcPr>
            <w:tcW w:w="469" w:type="pct"/>
            <w:tcBorders>
              <w:top w:val="nil"/>
              <w:left w:val="nil"/>
              <w:bottom w:val="single" w:sz="4" w:space="0" w:color="293F5B"/>
              <w:right w:val="nil"/>
            </w:tcBorders>
            <w:shd w:val="clear" w:color="000000" w:fill="FFFFFF"/>
            <w:noWrap/>
            <w:vAlign w:val="center"/>
            <w:hideMark/>
          </w:tcPr>
          <w:p w14:paraId="2424F575"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$b</w:t>
            </w:r>
          </w:p>
        </w:tc>
        <w:tc>
          <w:tcPr>
            <w:tcW w:w="469" w:type="pct"/>
            <w:tcBorders>
              <w:top w:val="nil"/>
              <w:left w:val="nil"/>
              <w:bottom w:val="single" w:sz="4" w:space="0" w:color="293F5B"/>
              <w:right w:val="nil"/>
            </w:tcBorders>
            <w:shd w:val="clear" w:color="000000" w:fill="FFFFFF"/>
            <w:noWrap/>
            <w:vAlign w:val="center"/>
            <w:hideMark/>
          </w:tcPr>
          <w:p w14:paraId="38E948D2"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GDP</w:t>
            </w:r>
          </w:p>
        </w:tc>
        <w:tc>
          <w:tcPr>
            <w:tcW w:w="469" w:type="pct"/>
            <w:tcBorders>
              <w:top w:val="nil"/>
              <w:left w:val="nil"/>
              <w:bottom w:val="single" w:sz="4" w:space="0" w:color="293F5B"/>
              <w:right w:val="nil"/>
            </w:tcBorders>
            <w:shd w:val="clear" w:color="000000" w:fill="FFFFFF"/>
            <w:noWrap/>
            <w:vAlign w:val="center"/>
            <w:hideMark/>
          </w:tcPr>
          <w:p w14:paraId="689B666B"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$b</w:t>
            </w:r>
          </w:p>
        </w:tc>
        <w:tc>
          <w:tcPr>
            <w:tcW w:w="469" w:type="pct"/>
            <w:tcBorders>
              <w:top w:val="nil"/>
              <w:left w:val="nil"/>
              <w:bottom w:val="single" w:sz="4" w:space="0" w:color="293F5B"/>
              <w:right w:val="nil"/>
            </w:tcBorders>
            <w:shd w:val="clear" w:color="000000" w:fill="FFFFFF"/>
            <w:noWrap/>
            <w:vAlign w:val="center"/>
            <w:hideMark/>
          </w:tcPr>
          <w:p w14:paraId="2CB517AD"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GDP</w:t>
            </w:r>
          </w:p>
        </w:tc>
        <w:tc>
          <w:tcPr>
            <w:tcW w:w="469" w:type="pct"/>
            <w:tcBorders>
              <w:top w:val="nil"/>
              <w:left w:val="nil"/>
              <w:bottom w:val="single" w:sz="4" w:space="0" w:color="293F5B"/>
              <w:right w:val="nil"/>
            </w:tcBorders>
            <w:shd w:val="clear" w:color="000000" w:fill="FFFFFF"/>
            <w:noWrap/>
            <w:vAlign w:val="center"/>
            <w:hideMark/>
          </w:tcPr>
          <w:p w14:paraId="3A5A048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$b</w:t>
            </w:r>
          </w:p>
        </w:tc>
        <w:tc>
          <w:tcPr>
            <w:tcW w:w="469" w:type="pct"/>
            <w:tcBorders>
              <w:top w:val="nil"/>
              <w:left w:val="nil"/>
              <w:bottom w:val="single" w:sz="4" w:space="0" w:color="293F5B"/>
              <w:right w:val="nil"/>
            </w:tcBorders>
            <w:shd w:val="clear" w:color="000000" w:fill="FFFFFF"/>
            <w:noWrap/>
            <w:vAlign w:val="center"/>
            <w:hideMark/>
          </w:tcPr>
          <w:p w14:paraId="2A6D00EB"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GDP</w:t>
            </w:r>
          </w:p>
        </w:tc>
      </w:tr>
      <w:tr w:rsidR="004C11E4" w:rsidRPr="00FF1D21" w14:paraId="185F2CC3"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655B8529"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Financial assets</w:t>
            </w:r>
          </w:p>
        </w:tc>
        <w:tc>
          <w:tcPr>
            <w:tcW w:w="470" w:type="pct"/>
            <w:tcBorders>
              <w:top w:val="nil"/>
              <w:left w:val="nil"/>
              <w:bottom w:val="nil"/>
              <w:right w:val="nil"/>
            </w:tcBorders>
            <w:shd w:val="clear" w:color="000000" w:fill="E6F2FF"/>
            <w:noWrap/>
            <w:vAlign w:val="center"/>
            <w:hideMark/>
          </w:tcPr>
          <w:p w14:paraId="03105CDA"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25C6BA57"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53E7565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6CE894C2"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319FBD0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58248F30"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0D95FAC2"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4DC1A18B"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49977736"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1644F176"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6DEFED5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630.9</w:t>
            </w:r>
          </w:p>
        </w:tc>
        <w:tc>
          <w:tcPr>
            <w:tcW w:w="469" w:type="pct"/>
            <w:tcBorders>
              <w:top w:val="nil"/>
              <w:left w:val="nil"/>
              <w:bottom w:val="nil"/>
              <w:right w:val="nil"/>
            </w:tcBorders>
            <w:shd w:val="clear" w:color="000000" w:fill="E6F2FF"/>
            <w:noWrap/>
            <w:vAlign w:val="center"/>
            <w:hideMark/>
          </w:tcPr>
          <w:p w14:paraId="28703822"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22.8</w:t>
            </w:r>
          </w:p>
        </w:tc>
        <w:tc>
          <w:tcPr>
            <w:tcW w:w="469" w:type="pct"/>
            <w:tcBorders>
              <w:top w:val="nil"/>
              <w:left w:val="nil"/>
              <w:bottom w:val="nil"/>
              <w:right w:val="nil"/>
            </w:tcBorders>
            <w:shd w:val="clear" w:color="000000" w:fill="FFFFFF"/>
            <w:noWrap/>
            <w:vAlign w:val="center"/>
            <w:hideMark/>
          </w:tcPr>
          <w:p w14:paraId="742645F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671.8</w:t>
            </w:r>
          </w:p>
        </w:tc>
        <w:tc>
          <w:tcPr>
            <w:tcW w:w="469" w:type="pct"/>
            <w:tcBorders>
              <w:top w:val="nil"/>
              <w:left w:val="nil"/>
              <w:bottom w:val="nil"/>
              <w:right w:val="nil"/>
            </w:tcBorders>
            <w:shd w:val="clear" w:color="000000" w:fill="FFFFFF"/>
            <w:noWrap/>
            <w:vAlign w:val="center"/>
            <w:hideMark/>
          </w:tcPr>
          <w:p w14:paraId="7B5812B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23.5</w:t>
            </w:r>
          </w:p>
        </w:tc>
        <w:tc>
          <w:tcPr>
            <w:tcW w:w="469" w:type="pct"/>
            <w:tcBorders>
              <w:top w:val="nil"/>
              <w:left w:val="nil"/>
              <w:bottom w:val="nil"/>
              <w:right w:val="nil"/>
            </w:tcBorders>
            <w:shd w:val="clear" w:color="000000" w:fill="FFFFFF"/>
            <w:noWrap/>
            <w:vAlign w:val="center"/>
            <w:hideMark/>
          </w:tcPr>
          <w:p w14:paraId="7CD2D09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707.5</w:t>
            </w:r>
          </w:p>
        </w:tc>
        <w:tc>
          <w:tcPr>
            <w:tcW w:w="469" w:type="pct"/>
            <w:tcBorders>
              <w:top w:val="nil"/>
              <w:left w:val="nil"/>
              <w:bottom w:val="nil"/>
              <w:right w:val="nil"/>
            </w:tcBorders>
            <w:shd w:val="clear" w:color="000000" w:fill="FFFFFF"/>
            <w:noWrap/>
            <w:vAlign w:val="center"/>
            <w:hideMark/>
          </w:tcPr>
          <w:p w14:paraId="3E9A2B05"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23.6</w:t>
            </w:r>
          </w:p>
        </w:tc>
        <w:tc>
          <w:tcPr>
            <w:tcW w:w="469" w:type="pct"/>
            <w:tcBorders>
              <w:top w:val="nil"/>
              <w:left w:val="nil"/>
              <w:bottom w:val="nil"/>
              <w:right w:val="nil"/>
            </w:tcBorders>
            <w:shd w:val="clear" w:color="000000" w:fill="FFFFFF"/>
            <w:noWrap/>
            <w:vAlign w:val="center"/>
            <w:hideMark/>
          </w:tcPr>
          <w:p w14:paraId="3B712EC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744.0</w:t>
            </w:r>
          </w:p>
        </w:tc>
        <w:tc>
          <w:tcPr>
            <w:tcW w:w="469" w:type="pct"/>
            <w:tcBorders>
              <w:top w:val="nil"/>
              <w:left w:val="nil"/>
              <w:bottom w:val="nil"/>
              <w:right w:val="nil"/>
            </w:tcBorders>
            <w:shd w:val="clear" w:color="000000" w:fill="FFFFFF"/>
            <w:noWrap/>
            <w:vAlign w:val="center"/>
            <w:hideMark/>
          </w:tcPr>
          <w:p w14:paraId="001BE7C7"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23.5</w:t>
            </w:r>
          </w:p>
        </w:tc>
      </w:tr>
      <w:tr w:rsidR="004C11E4" w:rsidRPr="00FF1D21" w14:paraId="7AD94AA7"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2C53C1E"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73A02988"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618.2</w:t>
            </w:r>
          </w:p>
        </w:tc>
        <w:tc>
          <w:tcPr>
            <w:tcW w:w="469" w:type="pct"/>
            <w:tcBorders>
              <w:top w:val="nil"/>
              <w:left w:val="nil"/>
              <w:bottom w:val="nil"/>
              <w:right w:val="nil"/>
            </w:tcBorders>
            <w:shd w:val="clear" w:color="000000" w:fill="E6F2FF"/>
            <w:noWrap/>
            <w:vAlign w:val="center"/>
            <w:hideMark/>
          </w:tcPr>
          <w:p w14:paraId="6266300E"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22.4</w:t>
            </w:r>
          </w:p>
        </w:tc>
        <w:tc>
          <w:tcPr>
            <w:tcW w:w="469" w:type="pct"/>
            <w:tcBorders>
              <w:top w:val="nil"/>
              <w:left w:val="nil"/>
              <w:bottom w:val="nil"/>
              <w:right w:val="nil"/>
            </w:tcBorders>
            <w:shd w:val="clear" w:color="000000" w:fill="FFFFFF"/>
            <w:noWrap/>
            <w:vAlign w:val="center"/>
            <w:hideMark/>
          </w:tcPr>
          <w:p w14:paraId="054E676D"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650.6</w:t>
            </w:r>
          </w:p>
        </w:tc>
        <w:tc>
          <w:tcPr>
            <w:tcW w:w="469" w:type="pct"/>
            <w:tcBorders>
              <w:top w:val="nil"/>
              <w:left w:val="nil"/>
              <w:bottom w:val="nil"/>
              <w:right w:val="nil"/>
            </w:tcBorders>
            <w:shd w:val="clear" w:color="000000" w:fill="FFFFFF"/>
            <w:noWrap/>
            <w:vAlign w:val="center"/>
            <w:hideMark/>
          </w:tcPr>
          <w:p w14:paraId="2BE2680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22.7</w:t>
            </w:r>
          </w:p>
        </w:tc>
        <w:tc>
          <w:tcPr>
            <w:tcW w:w="469" w:type="pct"/>
            <w:tcBorders>
              <w:top w:val="nil"/>
              <w:left w:val="nil"/>
              <w:bottom w:val="nil"/>
              <w:right w:val="nil"/>
            </w:tcBorders>
            <w:shd w:val="clear" w:color="000000" w:fill="FFFFFF"/>
            <w:noWrap/>
            <w:vAlign w:val="center"/>
            <w:hideMark/>
          </w:tcPr>
          <w:p w14:paraId="27BD0366"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685.1</w:t>
            </w:r>
          </w:p>
        </w:tc>
        <w:tc>
          <w:tcPr>
            <w:tcW w:w="469" w:type="pct"/>
            <w:tcBorders>
              <w:top w:val="nil"/>
              <w:left w:val="nil"/>
              <w:bottom w:val="nil"/>
              <w:right w:val="nil"/>
            </w:tcBorders>
            <w:shd w:val="clear" w:color="000000" w:fill="FFFFFF"/>
            <w:noWrap/>
            <w:vAlign w:val="center"/>
            <w:hideMark/>
          </w:tcPr>
          <w:p w14:paraId="19381E66"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22.7</w:t>
            </w:r>
          </w:p>
        </w:tc>
        <w:tc>
          <w:tcPr>
            <w:tcW w:w="469" w:type="pct"/>
            <w:tcBorders>
              <w:top w:val="nil"/>
              <w:left w:val="nil"/>
              <w:bottom w:val="nil"/>
              <w:right w:val="nil"/>
            </w:tcBorders>
            <w:shd w:val="clear" w:color="000000" w:fill="FFFFFF"/>
            <w:noWrap/>
            <w:vAlign w:val="center"/>
            <w:hideMark/>
          </w:tcPr>
          <w:p w14:paraId="18F2E75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717.5</w:t>
            </w:r>
          </w:p>
        </w:tc>
        <w:tc>
          <w:tcPr>
            <w:tcW w:w="469" w:type="pct"/>
            <w:tcBorders>
              <w:top w:val="nil"/>
              <w:left w:val="nil"/>
              <w:bottom w:val="nil"/>
              <w:right w:val="nil"/>
            </w:tcBorders>
            <w:shd w:val="clear" w:color="000000" w:fill="FFFFFF"/>
            <w:noWrap/>
            <w:vAlign w:val="center"/>
            <w:hideMark/>
          </w:tcPr>
          <w:p w14:paraId="39A144CD"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22.5</w:t>
            </w:r>
          </w:p>
        </w:tc>
      </w:tr>
      <w:tr w:rsidR="004C11E4" w:rsidRPr="00FF1D21" w14:paraId="2A7D6ED1"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7D11F53B"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Non-financial assets</w:t>
            </w:r>
          </w:p>
        </w:tc>
        <w:tc>
          <w:tcPr>
            <w:tcW w:w="470" w:type="pct"/>
            <w:tcBorders>
              <w:top w:val="nil"/>
              <w:left w:val="nil"/>
              <w:bottom w:val="nil"/>
              <w:right w:val="nil"/>
            </w:tcBorders>
            <w:shd w:val="clear" w:color="000000" w:fill="E6F2FF"/>
            <w:noWrap/>
            <w:vAlign w:val="center"/>
            <w:hideMark/>
          </w:tcPr>
          <w:p w14:paraId="34F9CF59"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6E9446FF"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49749148"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17F65FAF"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61C17EF5"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57307AA8"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79DE7052"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6587EC34"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32A1B590"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29111F4B"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10EA5225"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220.6</w:t>
            </w:r>
          </w:p>
        </w:tc>
        <w:tc>
          <w:tcPr>
            <w:tcW w:w="469" w:type="pct"/>
            <w:tcBorders>
              <w:top w:val="nil"/>
              <w:left w:val="nil"/>
              <w:bottom w:val="nil"/>
              <w:right w:val="nil"/>
            </w:tcBorders>
            <w:shd w:val="clear" w:color="000000" w:fill="E6F2FF"/>
            <w:noWrap/>
            <w:vAlign w:val="center"/>
            <w:hideMark/>
          </w:tcPr>
          <w:p w14:paraId="085E1D60"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8.0</w:t>
            </w:r>
          </w:p>
        </w:tc>
        <w:tc>
          <w:tcPr>
            <w:tcW w:w="469" w:type="pct"/>
            <w:tcBorders>
              <w:top w:val="nil"/>
              <w:left w:val="nil"/>
              <w:bottom w:val="nil"/>
              <w:right w:val="nil"/>
            </w:tcBorders>
            <w:shd w:val="clear" w:color="000000" w:fill="FFFFFF"/>
            <w:noWrap/>
            <w:vAlign w:val="center"/>
            <w:hideMark/>
          </w:tcPr>
          <w:p w14:paraId="1D99ADBD"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227.8</w:t>
            </w:r>
          </w:p>
        </w:tc>
        <w:tc>
          <w:tcPr>
            <w:tcW w:w="469" w:type="pct"/>
            <w:tcBorders>
              <w:top w:val="nil"/>
              <w:left w:val="nil"/>
              <w:bottom w:val="nil"/>
              <w:right w:val="nil"/>
            </w:tcBorders>
            <w:shd w:val="clear" w:color="000000" w:fill="FFFFFF"/>
            <w:noWrap/>
            <w:vAlign w:val="center"/>
            <w:hideMark/>
          </w:tcPr>
          <w:p w14:paraId="2BAAF88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8.0</w:t>
            </w:r>
          </w:p>
        </w:tc>
        <w:tc>
          <w:tcPr>
            <w:tcW w:w="469" w:type="pct"/>
            <w:tcBorders>
              <w:top w:val="nil"/>
              <w:left w:val="nil"/>
              <w:bottom w:val="nil"/>
              <w:right w:val="nil"/>
            </w:tcBorders>
            <w:shd w:val="clear" w:color="000000" w:fill="FFFFFF"/>
            <w:noWrap/>
            <w:vAlign w:val="center"/>
            <w:hideMark/>
          </w:tcPr>
          <w:p w14:paraId="590D878B"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235.2</w:t>
            </w:r>
          </w:p>
        </w:tc>
        <w:tc>
          <w:tcPr>
            <w:tcW w:w="469" w:type="pct"/>
            <w:tcBorders>
              <w:top w:val="nil"/>
              <w:left w:val="nil"/>
              <w:bottom w:val="nil"/>
              <w:right w:val="nil"/>
            </w:tcBorders>
            <w:shd w:val="clear" w:color="000000" w:fill="FFFFFF"/>
            <w:noWrap/>
            <w:vAlign w:val="center"/>
            <w:hideMark/>
          </w:tcPr>
          <w:p w14:paraId="7715CF4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7.8</w:t>
            </w:r>
          </w:p>
        </w:tc>
        <w:tc>
          <w:tcPr>
            <w:tcW w:w="469" w:type="pct"/>
            <w:tcBorders>
              <w:top w:val="nil"/>
              <w:left w:val="nil"/>
              <w:bottom w:val="nil"/>
              <w:right w:val="nil"/>
            </w:tcBorders>
            <w:shd w:val="clear" w:color="000000" w:fill="FFFFFF"/>
            <w:noWrap/>
            <w:vAlign w:val="center"/>
            <w:hideMark/>
          </w:tcPr>
          <w:p w14:paraId="1ABE240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245.6</w:t>
            </w:r>
          </w:p>
        </w:tc>
        <w:tc>
          <w:tcPr>
            <w:tcW w:w="469" w:type="pct"/>
            <w:tcBorders>
              <w:top w:val="nil"/>
              <w:left w:val="nil"/>
              <w:bottom w:val="nil"/>
              <w:right w:val="nil"/>
            </w:tcBorders>
            <w:shd w:val="clear" w:color="000000" w:fill="FFFFFF"/>
            <w:noWrap/>
            <w:vAlign w:val="center"/>
            <w:hideMark/>
          </w:tcPr>
          <w:p w14:paraId="0B78C171"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7.8</w:t>
            </w:r>
          </w:p>
        </w:tc>
      </w:tr>
      <w:tr w:rsidR="004C11E4" w:rsidRPr="00FF1D21" w14:paraId="21EB46C3"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00BF20EB"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3F5E9569"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219.4</w:t>
            </w:r>
          </w:p>
        </w:tc>
        <w:tc>
          <w:tcPr>
            <w:tcW w:w="469" w:type="pct"/>
            <w:tcBorders>
              <w:top w:val="nil"/>
              <w:left w:val="nil"/>
              <w:bottom w:val="nil"/>
              <w:right w:val="nil"/>
            </w:tcBorders>
            <w:shd w:val="clear" w:color="000000" w:fill="E6F2FF"/>
            <w:noWrap/>
            <w:vAlign w:val="center"/>
            <w:hideMark/>
          </w:tcPr>
          <w:p w14:paraId="2A96C646"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8.0</w:t>
            </w:r>
          </w:p>
        </w:tc>
        <w:tc>
          <w:tcPr>
            <w:tcW w:w="469" w:type="pct"/>
            <w:tcBorders>
              <w:top w:val="nil"/>
              <w:left w:val="nil"/>
              <w:bottom w:val="nil"/>
              <w:right w:val="nil"/>
            </w:tcBorders>
            <w:shd w:val="clear" w:color="000000" w:fill="FFFFFF"/>
            <w:noWrap/>
            <w:vAlign w:val="center"/>
            <w:hideMark/>
          </w:tcPr>
          <w:p w14:paraId="7541244C"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226.5</w:t>
            </w:r>
          </w:p>
        </w:tc>
        <w:tc>
          <w:tcPr>
            <w:tcW w:w="469" w:type="pct"/>
            <w:tcBorders>
              <w:top w:val="nil"/>
              <w:left w:val="nil"/>
              <w:bottom w:val="nil"/>
              <w:right w:val="nil"/>
            </w:tcBorders>
            <w:shd w:val="clear" w:color="000000" w:fill="FFFFFF"/>
            <w:noWrap/>
            <w:vAlign w:val="center"/>
            <w:hideMark/>
          </w:tcPr>
          <w:p w14:paraId="5F1A72A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7.9</w:t>
            </w:r>
          </w:p>
        </w:tc>
        <w:tc>
          <w:tcPr>
            <w:tcW w:w="469" w:type="pct"/>
            <w:tcBorders>
              <w:top w:val="nil"/>
              <w:left w:val="nil"/>
              <w:bottom w:val="nil"/>
              <w:right w:val="nil"/>
            </w:tcBorders>
            <w:shd w:val="clear" w:color="000000" w:fill="FFFFFF"/>
            <w:noWrap/>
            <w:vAlign w:val="center"/>
            <w:hideMark/>
          </w:tcPr>
          <w:p w14:paraId="14ACE150"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234.6</w:t>
            </w:r>
          </w:p>
        </w:tc>
        <w:tc>
          <w:tcPr>
            <w:tcW w:w="469" w:type="pct"/>
            <w:tcBorders>
              <w:top w:val="nil"/>
              <w:left w:val="nil"/>
              <w:bottom w:val="nil"/>
              <w:right w:val="nil"/>
            </w:tcBorders>
            <w:shd w:val="clear" w:color="000000" w:fill="FFFFFF"/>
            <w:noWrap/>
            <w:vAlign w:val="center"/>
            <w:hideMark/>
          </w:tcPr>
          <w:p w14:paraId="474C6479"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7.8</w:t>
            </w:r>
          </w:p>
        </w:tc>
        <w:tc>
          <w:tcPr>
            <w:tcW w:w="469" w:type="pct"/>
            <w:tcBorders>
              <w:top w:val="nil"/>
              <w:left w:val="nil"/>
              <w:bottom w:val="nil"/>
              <w:right w:val="nil"/>
            </w:tcBorders>
            <w:shd w:val="clear" w:color="000000" w:fill="FFFFFF"/>
            <w:noWrap/>
            <w:vAlign w:val="center"/>
            <w:hideMark/>
          </w:tcPr>
          <w:p w14:paraId="58B7487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245.7</w:t>
            </w:r>
          </w:p>
        </w:tc>
        <w:tc>
          <w:tcPr>
            <w:tcW w:w="469" w:type="pct"/>
            <w:tcBorders>
              <w:top w:val="nil"/>
              <w:left w:val="nil"/>
              <w:bottom w:val="nil"/>
              <w:right w:val="nil"/>
            </w:tcBorders>
            <w:shd w:val="clear" w:color="000000" w:fill="FFFFFF"/>
            <w:noWrap/>
            <w:vAlign w:val="center"/>
            <w:hideMark/>
          </w:tcPr>
          <w:p w14:paraId="0A636375"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7.7</w:t>
            </w:r>
          </w:p>
        </w:tc>
      </w:tr>
      <w:tr w:rsidR="004C11E4" w:rsidRPr="00FF1D21" w14:paraId="7253F9C2"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A0676B6"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Total assets</w:t>
            </w:r>
          </w:p>
        </w:tc>
        <w:tc>
          <w:tcPr>
            <w:tcW w:w="470" w:type="pct"/>
            <w:tcBorders>
              <w:top w:val="nil"/>
              <w:left w:val="nil"/>
              <w:bottom w:val="nil"/>
              <w:right w:val="nil"/>
            </w:tcBorders>
            <w:shd w:val="clear" w:color="000000" w:fill="E6F2FF"/>
            <w:noWrap/>
            <w:vAlign w:val="center"/>
            <w:hideMark/>
          </w:tcPr>
          <w:p w14:paraId="45051615"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6F2D0808"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2D9A0408"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08997AC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0306FB6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3DE78E9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7755E71C"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35900D1E"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61B781FC"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1AA17AB8"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3FEDA668"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851.5</w:t>
            </w:r>
          </w:p>
        </w:tc>
        <w:tc>
          <w:tcPr>
            <w:tcW w:w="469" w:type="pct"/>
            <w:tcBorders>
              <w:top w:val="nil"/>
              <w:left w:val="nil"/>
              <w:bottom w:val="nil"/>
              <w:right w:val="nil"/>
            </w:tcBorders>
            <w:shd w:val="clear" w:color="000000" w:fill="E6F2FF"/>
            <w:noWrap/>
            <w:vAlign w:val="center"/>
            <w:hideMark/>
          </w:tcPr>
          <w:p w14:paraId="1B15BB2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30.8</w:t>
            </w:r>
          </w:p>
        </w:tc>
        <w:tc>
          <w:tcPr>
            <w:tcW w:w="469" w:type="pct"/>
            <w:tcBorders>
              <w:top w:val="nil"/>
              <w:left w:val="nil"/>
              <w:bottom w:val="nil"/>
              <w:right w:val="nil"/>
            </w:tcBorders>
            <w:shd w:val="clear" w:color="000000" w:fill="FFFFFF"/>
            <w:noWrap/>
            <w:vAlign w:val="center"/>
            <w:hideMark/>
          </w:tcPr>
          <w:p w14:paraId="2BB972B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899.7</w:t>
            </w:r>
          </w:p>
        </w:tc>
        <w:tc>
          <w:tcPr>
            <w:tcW w:w="469" w:type="pct"/>
            <w:tcBorders>
              <w:top w:val="nil"/>
              <w:left w:val="nil"/>
              <w:bottom w:val="nil"/>
              <w:right w:val="nil"/>
            </w:tcBorders>
            <w:shd w:val="clear" w:color="000000" w:fill="FFFFFF"/>
            <w:noWrap/>
            <w:vAlign w:val="center"/>
            <w:hideMark/>
          </w:tcPr>
          <w:p w14:paraId="04722B53"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31.5</w:t>
            </w:r>
          </w:p>
        </w:tc>
        <w:tc>
          <w:tcPr>
            <w:tcW w:w="469" w:type="pct"/>
            <w:tcBorders>
              <w:top w:val="nil"/>
              <w:left w:val="nil"/>
              <w:bottom w:val="nil"/>
              <w:right w:val="nil"/>
            </w:tcBorders>
            <w:shd w:val="clear" w:color="000000" w:fill="FFFFFF"/>
            <w:noWrap/>
            <w:vAlign w:val="center"/>
            <w:hideMark/>
          </w:tcPr>
          <w:p w14:paraId="2AF4D10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942.7</w:t>
            </w:r>
          </w:p>
        </w:tc>
        <w:tc>
          <w:tcPr>
            <w:tcW w:w="469" w:type="pct"/>
            <w:tcBorders>
              <w:top w:val="nil"/>
              <w:left w:val="nil"/>
              <w:bottom w:val="nil"/>
              <w:right w:val="nil"/>
            </w:tcBorders>
            <w:shd w:val="clear" w:color="000000" w:fill="FFFFFF"/>
            <w:noWrap/>
            <w:vAlign w:val="center"/>
            <w:hideMark/>
          </w:tcPr>
          <w:p w14:paraId="0D035355"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31.4</w:t>
            </w:r>
          </w:p>
        </w:tc>
        <w:tc>
          <w:tcPr>
            <w:tcW w:w="469" w:type="pct"/>
            <w:tcBorders>
              <w:top w:val="nil"/>
              <w:left w:val="nil"/>
              <w:bottom w:val="nil"/>
              <w:right w:val="nil"/>
            </w:tcBorders>
            <w:shd w:val="clear" w:color="000000" w:fill="FFFFFF"/>
            <w:noWrap/>
            <w:vAlign w:val="center"/>
            <w:hideMark/>
          </w:tcPr>
          <w:p w14:paraId="53A0A54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989.7</w:t>
            </w:r>
          </w:p>
        </w:tc>
        <w:tc>
          <w:tcPr>
            <w:tcW w:w="469" w:type="pct"/>
            <w:tcBorders>
              <w:top w:val="nil"/>
              <w:left w:val="nil"/>
              <w:bottom w:val="nil"/>
              <w:right w:val="nil"/>
            </w:tcBorders>
            <w:shd w:val="clear" w:color="000000" w:fill="FFFFFF"/>
            <w:noWrap/>
            <w:vAlign w:val="center"/>
            <w:hideMark/>
          </w:tcPr>
          <w:p w14:paraId="54F1F7AD"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31.3</w:t>
            </w:r>
          </w:p>
        </w:tc>
      </w:tr>
      <w:tr w:rsidR="004C11E4" w:rsidRPr="00FF1D21" w14:paraId="0E4EF034"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8028E17"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7511F79F"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837.6</w:t>
            </w:r>
          </w:p>
        </w:tc>
        <w:tc>
          <w:tcPr>
            <w:tcW w:w="469" w:type="pct"/>
            <w:tcBorders>
              <w:top w:val="nil"/>
              <w:left w:val="nil"/>
              <w:bottom w:val="nil"/>
              <w:right w:val="nil"/>
            </w:tcBorders>
            <w:shd w:val="clear" w:color="000000" w:fill="E6F2FF"/>
            <w:noWrap/>
            <w:vAlign w:val="center"/>
            <w:hideMark/>
          </w:tcPr>
          <w:p w14:paraId="4D5584D9"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30.4</w:t>
            </w:r>
          </w:p>
        </w:tc>
        <w:tc>
          <w:tcPr>
            <w:tcW w:w="469" w:type="pct"/>
            <w:tcBorders>
              <w:top w:val="nil"/>
              <w:left w:val="nil"/>
              <w:bottom w:val="nil"/>
              <w:right w:val="nil"/>
            </w:tcBorders>
            <w:shd w:val="clear" w:color="000000" w:fill="FFFFFF"/>
            <w:noWrap/>
            <w:vAlign w:val="center"/>
            <w:hideMark/>
          </w:tcPr>
          <w:p w14:paraId="64D65CDC"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877.1</w:t>
            </w:r>
          </w:p>
        </w:tc>
        <w:tc>
          <w:tcPr>
            <w:tcW w:w="469" w:type="pct"/>
            <w:tcBorders>
              <w:top w:val="nil"/>
              <w:left w:val="nil"/>
              <w:bottom w:val="nil"/>
              <w:right w:val="nil"/>
            </w:tcBorders>
            <w:shd w:val="clear" w:color="000000" w:fill="FFFFFF"/>
            <w:noWrap/>
            <w:vAlign w:val="center"/>
            <w:hideMark/>
          </w:tcPr>
          <w:p w14:paraId="0EB55092"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30.6</w:t>
            </w:r>
          </w:p>
        </w:tc>
        <w:tc>
          <w:tcPr>
            <w:tcW w:w="469" w:type="pct"/>
            <w:tcBorders>
              <w:top w:val="nil"/>
              <w:left w:val="nil"/>
              <w:bottom w:val="nil"/>
              <w:right w:val="nil"/>
            </w:tcBorders>
            <w:shd w:val="clear" w:color="000000" w:fill="FFFFFF"/>
            <w:noWrap/>
            <w:vAlign w:val="center"/>
            <w:hideMark/>
          </w:tcPr>
          <w:p w14:paraId="5CE0B30D"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919.6</w:t>
            </w:r>
          </w:p>
        </w:tc>
        <w:tc>
          <w:tcPr>
            <w:tcW w:w="469" w:type="pct"/>
            <w:tcBorders>
              <w:top w:val="nil"/>
              <w:left w:val="nil"/>
              <w:bottom w:val="nil"/>
              <w:right w:val="nil"/>
            </w:tcBorders>
            <w:shd w:val="clear" w:color="000000" w:fill="FFFFFF"/>
            <w:noWrap/>
            <w:vAlign w:val="center"/>
            <w:hideMark/>
          </w:tcPr>
          <w:p w14:paraId="3341D489"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30.4</w:t>
            </w:r>
          </w:p>
        </w:tc>
        <w:tc>
          <w:tcPr>
            <w:tcW w:w="469" w:type="pct"/>
            <w:tcBorders>
              <w:top w:val="nil"/>
              <w:left w:val="nil"/>
              <w:bottom w:val="nil"/>
              <w:right w:val="nil"/>
            </w:tcBorders>
            <w:shd w:val="clear" w:color="000000" w:fill="FFFFFF"/>
            <w:noWrap/>
            <w:vAlign w:val="center"/>
            <w:hideMark/>
          </w:tcPr>
          <w:p w14:paraId="7F836B4D"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963.2</w:t>
            </w:r>
          </w:p>
        </w:tc>
        <w:tc>
          <w:tcPr>
            <w:tcW w:w="469" w:type="pct"/>
            <w:tcBorders>
              <w:top w:val="nil"/>
              <w:left w:val="nil"/>
              <w:bottom w:val="nil"/>
              <w:right w:val="nil"/>
            </w:tcBorders>
            <w:shd w:val="clear" w:color="000000" w:fill="FFFFFF"/>
            <w:noWrap/>
            <w:vAlign w:val="center"/>
            <w:hideMark/>
          </w:tcPr>
          <w:p w14:paraId="6FB85983"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30.3</w:t>
            </w:r>
          </w:p>
        </w:tc>
      </w:tr>
      <w:tr w:rsidR="004C11E4" w:rsidRPr="00FF1D21" w14:paraId="7F066908"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0561A6E1"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Total liabilities</w:t>
            </w:r>
          </w:p>
        </w:tc>
        <w:tc>
          <w:tcPr>
            <w:tcW w:w="470" w:type="pct"/>
            <w:tcBorders>
              <w:top w:val="nil"/>
              <w:left w:val="nil"/>
              <w:bottom w:val="nil"/>
              <w:right w:val="nil"/>
            </w:tcBorders>
            <w:shd w:val="clear" w:color="000000" w:fill="E6F2FF"/>
            <w:noWrap/>
            <w:vAlign w:val="center"/>
            <w:hideMark/>
          </w:tcPr>
          <w:p w14:paraId="0E4BAAC2"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07E27D9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16F9BF2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06275A8B"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2EC94763"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7AC45FF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5AA2F0C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37FCF9C2"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468E387F"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33F844C7"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56735D4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1,422.1</w:t>
            </w:r>
          </w:p>
        </w:tc>
        <w:tc>
          <w:tcPr>
            <w:tcW w:w="469" w:type="pct"/>
            <w:tcBorders>
              <w:top w:val="nil"/>
              <w:left w:val="nil"/>
              <w:bottom w:val="nil"/>
              <w:right w:val="nil"/>
            </w:tcBorders>
            <w:shd w:val="clear" w:color="000000" w:fill="E6F2FF"/>
            <w:noWrap/>
            <w:vAlign w:val="center"/>
            <w:hideMark/>
          </w:tcPr>
          <w:p w14:paraId="22CE8EF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51.5</w:t>
            </w:r>
          </w:p>
        </w:tc>
        <w:tc>
          <w:tcPr>
            <w:tcW w:w="469" w:type="pct"/>
            <w:tcBorders>
              <w:top w:val="nil"/>
              <w:left w:val="nil"/>
              <w:bottom w:val="nil"/>
              <w:right w:val="nil"/>
            </w:tcBorders>
            <w:shd w:val="clear" w:color="000000" w:fill="FFFFFF"/>
            <w:noWrap/>
            <w:vAlign w:val="center"/>
            <w:hideMark/>
          </w:tcPr>
          <w:p w14:paraId="694E69B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1,528.6</w:t>
            </w:r>
          </w:p>
        </w:tc>
        <w:tc>
          <w:tcPr>
            <w:tcW w:w="469" w:type="pct"/>
            <w:tcBorders>
              <w:top w:val="nil"/>
              <w:left w:val="nil"/>
              <w:bottom w:val="nil"/>
              <w:right w:val="nil"/>
            </w:tcBorders>
            <w:shd w:val="clear" w:color="000000" w:fill="FFFFFF"/>
            <w:noWrap/>
            <w:vAlign w:val="center"/>
            <w:hideMark/>
          </w:tcPr>
          <w:p w14:paraId="003AC490"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53.5</w:t>
            </w:r>
          </w:p>
        </w:tc>
        <w:tc>
          <w:tcPr>
            <w:tcW w:w="469" w:type="pct"/>
            <w:tcBorders>
              <w:top w:val="nil"/>
              <w:left w:val="nil"/>
              <w:bottom w:val="nil"/>
              <w:right w:val="nil"/>
            </w:tcBorders>
            <w:shd w:val="clear" w:color="000000" w:fill="FFFFFF"/>
            <w:noWrap/>
            <w:vAlign w:val="center"/>
            <w:hideMark/>
          </w:tcPr>
          <w:p w14:paraId="6993806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1,614.7</w:t>
            </w:r>
          </w:p>
        </w:tc>
        <w:tc>
          <w:tcPr>
            <w:tcW w:w="469" w:type="pct"/>
            <w:tcBorders>
              <w:top w:val="nil"/>
              <w:left w:val="nil"/>
              <w:bottom w:val="nil"/>
              <w:right w:val="nil"/>
            </w:tcBorders>
            <w:shd w:val="clear" w:color="000000" w:fill="FFFFFF"/>
            <w:noWrap/>
            <w:vAlign w:val="center"/>
            <w:hideMark/>
          </w:tcPr>
          <w:p w14:paraId="5AB2FE0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53.8</w:t>
            </w:r>
          </w:p>
        </w:tc>
        <w:tc>
          <w:tcPr>
            <w:tcW w:w="469" w:type="pct"/>
            <w:tcBorders>
              <w:top w:val="nil"/>
              <w:left w:val="nil"/>
              <w:bottom w:val="nil"/>
              <w:right w:val="nil"/>
            </w:tcBorders>
            <w:shd w:val="clear" w:color="000000" w:fill="FFFFFF"/>
            <w:noWrap/>
            <w:vAlign w:val="center"/>
            <w:hideMark/>
          </w:tcPr>
          <w:p w14:paraId="1FC8941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1,698.2</w:t>
            </w:r>
          </w:p>
        </w:tc>
        <w:tc>
          <w:tcPr>
            <w:tcW w:w="469" w:type="pct"/>
            <w:tcBorders>
              <w:top w:val="nil"/>
              <w:left w:val="nil"/>
              <w:bottom w:val="nil"/>
              <w:right w:val="nil"/>
            </w:tcBorders>
            <w:shd w:val="clear" w:color="000000" w:fill="FFFFFF"/>
            <w:noWrap/>
            <w:vAlign w:val="center"/>
            <w:hideMark/>
          </w:tcPr>
          <w:p w14:paraId="6CE5CA49"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53.7</w:t>
            </w:r>
          </w:p>
        </w:tc>
      </w:tr>
      <w:tr w:rsidR="004C11E4" w:rsidRPr="00FF1D21" w14:paraId="57F617B0"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91A4237"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5F6B2F4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1,382.7</w:t>
            </w:r>
          </w:p>
        </w:tc>
        <w:tc>
          <w:tcPr>
            <w:tcW w:w="469" w:type="pct"/>
            <w:tcBorders>
              <w:top w:val="nil"/>
              <w:left w:val="nil"/>
              <w:bottom w:val="nil"/>
              <w:right w:val="nil"/>
            </w:tcBorders>
            <w:shd w:val="clear" w:color="000000" w:fill="E6F2FF"/>
            <w:noWrap/>
            <w:vAlign w:val="center"/>
            <w:hideMark/>
          </w:tcPr>
          <w:p w14:paraId="2E01242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50.1</w:t>
            </w:r>
          </w:p>
        </w:tc>
        <w:tc>
          <w:tcPr>
            <w:tcW w:w="469" w:type="pct"/>
            <w:tcBorders>
              <w:top w:val="nil"/>
              <w:left w:val="nil"/>
              <w:bottom w:val="nil"/>
              <w:right w:val="nil"/>
            </w:tcBorders>
            <w:shd w:val="clear" w:color="000000" w:fill="FFFFFF"/>
            <w:noWrap/>
            <w:vAlign w:val="center"/>
            <w:hideMark/>
          </w:tcPr>
          <w:p w14:paraId="7CD423C9"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1,470.2</w:t>
            </w:r>
          </w:p>
        </w:tc>
        <w:tc>
          <w:tcPr>
            <w:tcW w:w="469" w:type="pct"/>
            <w:tcBorders>
              <w:top w:val="nil"/>
              <w:left w:val="nil"/>
              <w:bottom w:val="nil"/>
              <w:right w:val="nil"/>
            </w:tcBorders>
            <w:shd w:val="clear" w:color="000000" w:fill="FFFFFF"/>
            <w:noWrap/>
            <w:vAlign w:val="center"/>
            <w:hideMark/>
          </w:tcPr>
          <w:p w14:paraId="716DC46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51.2</w:t>
            </w:r>
          </w:p>
        </w:tc>
        <w:tc>
          <w:tcPr>
            <w:tcW w:w="469" w:type="pct"/>
            <w:tcBorders>
              <w:top w:val="nil"/>
              <w:left w:val="nil"/>
              <w:bottom w:val="nil"/>
              <w:right w:val="nil"/>
            </w:tcBorders>
            <w:shd w:val="clear" w:color="000000" w:fill="FFFFFF"/>
            <w:noWrap/>
            <w:vAlign w:val="center"/>
            <w:hideMark/>
          </w:tcPr>
          <w:p w14:paraId="1B13F93C"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1,541.8</w:t>
            </w:r>
          </w:p>
        </w:tc>
        <w:tc>
          <w:tcPr>
            <w:tcW w:w="469" w:type="pct"/>
            <w:tcBorders>
              <w:top w:val="nil"/>
              <w:left w:val="nil"/>
              <w:bottom w:val="nil"/>
              <w:right w:val="nil"/>
            </w:tcBorders>
            <w:shd w:val="clear" w:color="000000" w:fill="FFFFFF"/>
            <w:noWrap/>
            <w:vAlign w:val="center"/>
            <w:hideMark/>
          </w:tcPr>
          <w:p w14:paraId="684D4298"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51.0</w:t>
            </w:r>
          </w:p>
        </w:tc>
        <w:tc>
          <w:tcPr>
            <w:tcW w:w="469" w:type="pct"/>
            <w:tcBorders>
              <w:top w:val="nil"/>
              <w:left w:val="nil"/>
              <w:bottom w:val="nil"/>
              <w:right w:val="nil"/>
            </w:tcBorders>
            <w:shd w:val="clear" w:color="000000" w:fill="FFFFFF"/>
            <w:noWrap/>
            <w:vAlign w:val="center"/>
            <w:hideMark/>
          </w:tcPr>
          <w:p w14:paraId="7700AC37"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1,606.2</w:t>
            </w:r>
          </w:p>
        </w:tc>
        <w:tc>
          <w:tcPr>
            <w:tcW w:w="469" w:type="pct"/>
            <w:tcBorders>
              <w:top w:val="nil"/>
              <w:left w:val="nil"/>
              <w:bottom w:val="nil"/>
              <w:right w:val="nil"/>
            </w:tcBorders>
            <w:shd w:val="clear" w:color="000000" w:fill="FFFFFF"/>
            <w:noWrap/>
            <w:vAlign w:val="center"/>
            <w:hideMark/>
          </w:tcPr>
          <w:p w14:paraId="6FDBA281"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50.5</w:t>
            </w:r>
          </w:p>
        </w:tc>
      </w:tr>
      <w:tr w:rsidR="004C11E4" w:rsidRPr="00FF1D21" w14:paraId="1C49E5BD"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16F79946"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Net worth</w:t>
            </w:r>
          </w:p>
        </w:tc>
        <w:tc>
          <w:tcPr>
            <w:tcW w:w="470" w:type="pct"/>
            <w:tcBorders>
              <w:top w:val="nil"/>
              <w:left w:val="nil"/>
              <w:bottom w:val="nil"/>
              <w:right w:val="nil"/>
            </w:tcBorders>
            <w:shd w:val="clear" w:color="000000" w:fill="E6F2FF"/>
            <w:noWrap/>
            <w:vAlign w:val="center"/>
            <w:hideMark/>
          </w:tcPr>
          <w:p w14:paraId="33BFE035"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6309198F"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6F2667A6"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2F63504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100C83B3"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B2528D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6B9BBC01"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508869A6"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005E88B5"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9FF54BB"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3362784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-570.6</w:t>
            </w:r>
          </w:p>
        </w:tc>
        <w:tc>
          <w:tcPr>
            <w:tcW w:w="469" w:type="pct"/>
            <w:tcBorders>
              <w:top w:val="nil"/>
              <w:left w:val="nil"/>
              <w:bottom w:val="nil"/>
              <w:right w:val="nil"/>
            </w:tcBorders>
            <w:shd w:val="clear" w:color="000000" w:fill="E6F2FF"/>
            <w:noWrap/>
            <w:vAlign w:val="center"/>
            <w:hideMark/>
          </w:tcPr>
          <w:p w14:paraId="63AE112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-20.7</w:t>
            </w:r>
          </w:p>
        </w:tc>
        <w:tc>
          <w:tcPr>
            <w:tcW w:w="469" w:type="pct"/>
            <w:tcBorders>
              <w:top w:val="nil"/>
              <w:left w:val="nil"/>
              <w:bottom w:val="nil"/>
              <w:right w:val="nil"/>
            </w:tcBorders>
            <w:shd w:val="clear" w:color="000000" w:fill="FFFFFF"/>
            <w:noWrap/>
            <w:vAlign w:val="center"/>
            <w:hideMark/>
          </w:tcPr>
          <w:p w14:paraId="27D5676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-628.9</w:t>
            </w:r>
          </w:p>
        </w:tc>
        <w:tc>
          <w:tcPr>
            <w:tcW w:w="469" w:type="pct"/>
            <w:tcBorders>
              <w:top w:val="nil"/>
              <w:left w:val="nil"/>
              <w:bottom w:val="nil"/>
              <w:right w:val="nil"/>
            </w:tcBorders>
            <w:shd w:val="clear" w:color="000000" w:fill="FFFFFF"/>
            <w:noWrap/>
            <w:vAlign w:val="center"/>
            <w:hideMark/>
          </w:tcPr>
          <w:p w14:paraId="40EBB607"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-22.0</w:t>
            </w:r>
          </w:p>
        </w:tc>
        <w:tc>
          <w:tcPr>
            <w:tcW w:w="469" w:type="pct"/>
            <w:tcBorders>
              <w:top w:val="nil"/>
              <w:left w:val="nil"/>
              <w:bottom w:val="nil"/>
              <w:right w:val="nil"/>
            </w:tcBorders>
            <w:shd w:val="clear" w:color="000000" w:fill="FFFFFF"/>
            <w:noWrap/>
            <w:vAlign w:val="center"/>
            <w:hideMark/>
          </w:tcPr>
          <w:p w14:paraId="2DB2F07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-671.9</w:t>
            </w:r>
          </w:p>
        </w:tc>
        <w:tc>
          <w:tcPr>
            <w:tcW w:w="469" w:type="pct"/>
            <w:tcBorders>
              <w:top w:val="nil"/>
              <w:left w:val="nil"/>
              <w:bottom w:val="nil"/>
              <w:right w:val="nil"/>
            </w:tcBorders>
            <w:shd w:val="clear" w:color="000000" w:fill="FFFFFF"/>
            <w:noWrap/>
            <w:vAlign w:val="center"/>
            <w:hideMark/>
          </w:tcPr>
          <w:p w14:paraId="44BF57AD"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-22.4</w:t>
            </w:r>
          </w:p>
        </w:tc>
        <w:tc>
          <w:tcPr>
            <w:tcW w:w="469" w:type="pct"/>
            <w:tcBorders>
              <w:top w:val="nil"/>
              <w:left w:val="nil"/>
              <w:bottom w:val="nil"/>
              <w:right w:val="nil"/>
            </w:tcBorders>
            <w:shd w:val="clear" w:color="000000" w:fill="FFFFFF"/>
            <w:noWrap/>
            <w:vAlign w:val="center"/>
            <w:hideMark/>
          </w:tcPr>
          <w:p w14:paraId="7B9350E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-708.5</w:t>
            </w:r>
          </w:p>
        </w:tc>
        <w:tc>
          <w:tcPr>
            <w:tcW w:w="469" w:type="pct"/>
            <w:tcBorders>
              <w:top w:val="nil"/>
              <w:left w:val="nil"/>
              <w:bottom w:val="nil"/>
              <w:right w:val="nil"/>
            </w:tcBorders>
            <w:shd w:val="clear" w:color="000000" w:fill="FFFFFF"/>
            <w:noWrap/>
            <w:vAlign w:val="center"/>
            <w:hideMark/>
          </w:tcPr>
          <w:p w14:paraId="5D938B94"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-22.4</w:t>
            </w:r>
          </w:p>
        </w:tc>
      </w:tr>
      <w:tr w:rsidR="004C11E4" w:rsidRPr="00FF1D21" w14:paraId="0B950EF9"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45AF365C"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6DC5408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-545.1</w:t>
            </w:r>
          </w:p>
        </w:tc>
        <w:tc>
          <w:tcPr>
            <w:tcW w:w="469" w:type="pct"/>
            <w:tcBorders>
              <w:top w:val="nil"/>
              <w:left w:val="nil"/>
              <w:bottom w:val="nil"/>
              <w:right w:val="nil"/>
            </w:tcBorders>
            <w:shd w:val="clear" w:color="000000" w:fill="E6F2FF"/>
            <w:noWrap/>
            <w:vAlign w:val="center"/>
            <w:hideMark/>
          </w:tcPr>
          <w:p w14:paraId="4348C8B1"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-19.8</w:t>
            </w:r>
          </w:p>
        </w:tc>
        <w:tc>
          <w:tcPr>
            <w:tcW w:w="469" w:type="pct"/>
            <w:tcBorders>
              <w:top w:val="nil"/>
              <w:left w:val="nil"/>
              <w:bottom w:val="nil"/>
              <w:right w:val="nil"/>
            </w:tcBorders>
            <w:shd w:val="clear" w:color="000000" w:fill="FFFFFF"/>
            <w:noWrap/>
            <w:vAlign w:val="center"/>
            <w:hideMark/>
          </w:tcPr>
          <w:p w14:paraId="5A4805BE"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-593.1</w:t>
            </w:r>
          </w:p>
        </w:tc>
        <w:tc>
          <w:tcPr>
            <w:tcW w:w="469" w:type="pct"/>
            <w:tcBorders>
              <w:top w:val="nil"/>
              <w:left w:val="nil"/>
              <w:bottom w:val="nil"/>
              <w:right w:val="nil"/>
            </w:tcBorders>
            <w:shd w:val="clear" w:color="000000" w:fill="FFFFFF"/>
            <w:noWrap/>
            <w:vAlign w:val="center"/>
            <w:hideMark/>
          </w:tcPr>
          <w:p w14:paraId="181122E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-20.7</w:t>
            </w:r>
          </w:p>
        </w:tc>
        <w:tc>
          <w:tcPr>
            <w:tcW w:w="469" w:type="pct"/>
            <w:tcBorders>
              <w:top w:val="nil"/>
              <w:left w:val="nil"/>
              <w:bottom w:val="nil"/>
              <w:right w:val="nil"/>
            </w:tcBorders>
            <w:shd w:val="clear" w:color="000000" w:fill="FFFFFF"/>
            <w:noWrap/>
            <w:vAlign w:val="center"/>
            <w:hideMark/>
          </w:tcPr>
          <w:p w14:paraId="647448A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-622.1</w:t>
            </w:r>
          </w:p>
        </w:tc>
        <w:tc>
          <w:tcPr>
            <w:tcW w:w="469" w:type="pct"/>
            <w:tcBorders>
              <w:top w:val="nil"/>
              <w:left w:val="nil"/>
              <w:bottom w:val="nil"/>
              <w:right w:val="nil"/>
            </w:tcBorders>
            <w:shd w:val="clear" w:color="000000" w:fill="FFFFFF"/>
            <w:noWrap/>
            <w:vAlign w:val="center"/>
            <w:hideMark/>
          </w:tcPr>
          <w:p w14:paraId="5C137DD0"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-20.6</w:t>
            </w:r>
          </w:p>
        </w:tc>
        <w:tc>
          <w:tcPr>
            <w:tcW w:w="469" w:type="pct"/>
            <w:tcBorders>
              <w:top w:val="nil"/>
              <w:left w:val="nil"/>
              <w:bottom w:val="nil"/>
              <w:right w:val="nil"/>
            </w:tcBorders>
            <w:shd w:val="clear" w:color="000000" w:fill="FFFFFF"/>
            <w:noWrap/>
            <w:vAlign w:val="center"/>
            <w:hideMark/>
          </w:tcPr>
          <w:p w14:paraId="72CE8447"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-643.0</w:t>
            </w:r>
          </w:p>
        </w:tc>
        <w:tc>
          <w:tcPr>
            <w:tcW w:w="469" w:type="pct"/>
            <w:tcBorders>
              <w:top w:val="nil"/>
              <w:left w:val="nil"/>
              <w:bottom w:val="nil"/>
              <w:right w:val="nil"/>
            </w:tcBorders>
            <w:shd w:val="clear" w:color="000000" w:fill="FFFFFF"/>
            <w:noWrap/>
            <w:vAlign w:val="center"/>
            <w:hideMark/>
          </w:tcPr>
          <w:p w14:paraId="77B59153"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-20.2</w:t>
            </w:r>
          </w:p>
        </w:tc>
      </w:tr>
      <w:tr w:rsidR="004C11E4" w:rsidRPr="00FF1D21" w14:paraId="4045F5BC"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706C16A2"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xml:space="preserve">Net financial worth(a) </w:t>
            </w:r>
          </w:p>
        </w:tc>
        <w:tc>
          <w:tcPr>
            <w:tcW w:w="470" w:type="pct"/>
            <w:tcBorders>
              <w:top w:val="nil"/>
              <w:left w:val="nil"/>
              <w:bottom w:val="nil"/>
              <w:right w:val="nil"/>
            </w:tcBorders>
            <w:shd w:val="clear" w:color="000000" w:fill="E6F2FF"/>
            <w:noWrap/>
            <w:vAlign w:val="center"/>
            <w:hideMark/>
          </w:tcPr>
          <w:p w14:paraId="7DAD3D2F"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7A11297C"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7F716C29"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D4F534F"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273BE5A0"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FE5027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F9D6DAB"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6585276A"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76464A63"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6F0FA2C"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75BA51C2"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-791.2</w:t>
            </w:r>
          </w:p>
        </w:tc>
        <w:tc>
          <w:tcPr>
            <w:tcW w:w="469" w:type="pct"/>
            <w:tcBorders>
              <w:top w:val="nil"/>
              <w:left w:val="nil"/>
              <w:bottom w:val="nil"/>
              <w:right w:val="nil"/>
            </w:tcBorders>
            <w:shd w:val="clear" w:color="000000" w:fill="E6F2FF"/>
            <w:noWrap/>
            <w:vAlign w:val="center"/>
            <w:hideMark/>
          </w:tcPr>
          <w:p w14:paraId="07DF6F4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-28.6</w:t>
            </w:r>
          </w:p>
        </w:tc>
        <w:tc>
          <w:tcPr>
            <w:tcW w:w="469" w:type="pct"/>
            <w:tcBorders>
              <w:top w:val="nil"/>
              <w:left w:val="nil"/>
              <w:bottom w:val="nil"/>
              <w:right w:val="nil"/>
            </w:tcBorders>
            <w:shd w:val="clear" w:color="000000" w:fill="FFFFFF"/>
            <w:noWrap/>
            <w:vAlign w:val="center"/>
            <w:hideMark/>
          </w:tcPr>
          <w:p w14:paraId="21BC8435"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-856.8</w:t>
            </w:r>
          </w:p>
        </w:tc>
        <w:tc>
          <w:tcPr>
            <w:tcW w:w="469" w:type="pct"/>
            <w:tcBorders>
              <w:top w:val="nil"/>
              <w:left w:val="nil"/>
              <w:bottom w:val="nil"/>
              <w:right w:val="nil"/>
            </w:tcBorders>
            <w:shd w:val="clear" w:color="000000" w:fill="FFFFFF"/>
            <w:noWrap/>
            <w:vAlign w:val="center"/>
            <w:hideMark/>
          </w:tcPr>
          <w:p w14:paraId="5828AC6F"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-30.0</w:t>
            </w:r>
          </w:p>
        </w:tc>
        <w:tc>
          <w:tcPr>
            <w:tcW w:w="469" w:type="pct"/>
            <w:tcBorders>
              <w:top w:val="nil"/>
              <w:left w:val="nil"/>
              <w:bottom w:val="nil"/>
              <w:right w:val="nil"/>
            </w:tcBorders>
            <w:shd w:val="clear" w:color="000000" w:fill="FFFFFF"/>
            <w:noWrap/>
            <w:vAlign w:val="center"/>
            <w:hideMark/>
          </w:tcPr>
          <w:p w14:paraId="2B6C0D98"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-907.2</w:t>
            </w:r>
          </w:p>
        </w:tc>
        <w:tc>
          <w:tcPr>
            <w:tcW w:w="469" w:type="pct"/>
            <w:tcBorders>
              <w:top w:val="nil"/>
              <w:left w:val="nil"/>
              <w:bottom w:val="nil"/>
              <w:right w:val="nil"/>
            </w:tcBorders>
            <w:shd w:val="clear" w:color="000000" w:fill="FFFFFF"/>
            <w:noWrap/>
            <w:vAlign w:val="center"/>
            <w:hideMark/>
          </w:tcPr>
          <w:p w14:paraId="6B524FF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-30.2</w:t>
            </w:r>
          </w:p>
        </w:tc>
        <w:tc>
          <w:tcPr>
            <w:tcW w:w="469" w:type="pct"/>
            <w:tcBorders>
              <w:top w:val="nil"/>
              <w:left w:val="nil"/>
              <w:bottom w:val="nil"/>
              <w:right w:val="nil"/>
            </w:tcBorders>
            <w:shd w:val="clear" w:color="000000" w:fill="FFFFFF"/>
            <w:noWrap/>
            <w:vAlign w:val="center"/>
            <w:hideMark/>
          </w:tcPr>
          <w:p w14:paraId="4FD1B49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-954.2</w:t>
            </w:r>
          </w:p>
        </w:tc>
        <w:tc>
          <w:tcPr>
            <w:tcW w:w="469" w:type="pct"/>
            <w:tcBorders>
              <w:top w:val="nil"/>
              <w:left w:val="nil"/>
              <w:bottom w:val="nil"/>
              <w:right w:val="nil"/>
            </w:tcBorders>
            <w:shd w:val="clear" w:color="000000" w:fill="FFFFFF"/>
            <w:noWrap/>
            <w:vAlign w:val="center"/>
            <w:hideMark/>
          </w:tcPr>
          <w:p w14:paraId="3B097E7D"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-30.2</w:t>
            </w:r>
          </w:p>
        </w:tc>
      </w:tr>
      <w:tr w:rsidR="004C11E4" w:rsidRPr="00FF1D21" w14:paraId="73E2BFA5"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01A0B506"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0D4D60CE"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-764.5</w:t>
            </w:r>
          </w:p>
        </w:tc>
        <w:tc>
          <w:tcPr>
            <w:tcW w:w="469" w:type="pct"/>
            <w:tcBorders>
              <w:top w:val="nil"/>
              <w:left w:val="nil"/>
              <w:bottom w:val="nil"/>
              <w:right w:val="nil"/>
            </w:tcBorders>
            <w:shd w:val="clear" w:color="000000" w:fill="E6F2FF"/>
            <w:noWrap/>
            <w:vAlign w:val="center"/>
            <w:hideMark/>
          </w:tcPr>
          <w:p w14:paraId="6C876619"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-27.7</w:t>
            </w:r>
          </w:p>
        </w:tc>
        <w:tc>
          <w:tcPr>
            <w:tcW w:w="469" w:type="pct"/>
            <w:tcBorders>
              <w:top w:val="nil"/>
              <w:left w:val="nil"/>
              <w:bottom w:val="nil"/>
              <w:right w:val="nil"/>
            </w:tcBorders>
            <w:shd w:val="clear" w:color="000000" w:fill="FFFFFF"/>
            <w:noWrap/>
            <w:vAlign w:val="center"/>
            <w:hideMark/>
          </w:tcPr>
          <w:p w14:paraId="2164B951"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-819.6</w:t>
            </w:r>
          </w:p>
        </w:tc>
        <w:tc>
          <w:tcPr>
            <w:tcW w:w="469" w:type="pct"/>
            <w:tcBorders>
              <w:top w:val="nil"/>
              <w:left w:val="nil"/>
              <w:bottom w:val="nil"/>
              <w:right w:val="nil"/>
            </w:tcBorders>
            <w:shd w:val="clear" w:color="000000" w:fill="FFFFFF"/>
            <w:noWrap/>
            <w:vAlign w:val="center"/>
            <w:hideMark/>
          </w:tcPr>
          <w:p w14:paraId="30262DC5"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-28.6</w:t>
            </w:r>
          </w:p>
        </w:tc>
        <w:tc>
          <w:tcPr>
            <w:tcW w:w="469" w:type="pct"/>
            <w:tcBorders>
              <w:top w:val="nil"/>
              <w:left w:val="nil"/>
              <w:bottom w:val="nil"/>
              <w:right w:val="nil"/>
            </w:tcBorders>
            <w:shd w:val="clear" w:color="000000" w:fill="FFFFFF"/>
            <w:noWrap/>
            <w:vAlign w:val="center"/>
            <w:hideMark/>
          </w:tcPr>
          <w:p w14:paraId="43B6B422"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-856.7</w:t>
            </w:r>
          </w:p>
        </w:tc>
        <w:tc>
          <w:tcPr>
            <w:tcW w:w="469" w:type="pct"/>
            <w:tcBorders>
              <w:top w:val="nil"/>
              <w:left w:val="nil"/>
              <w:bottom w:val="nil"/>
              <w:right w:val="nil"/>
            </w:tcBorders>
            <w:shd w:val="clear" w:color="000000" w:fill="FFFFFF"/>
            <w:noWrap/>
            <w:vAlign w:val="center"/>
            <w:hideMark/>
          </w:tcPr>
          <w:p w14:paraId="532966D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-28.3</w:t>
            </w:r>
          </w:p>
        </w:tc>
        <w:tc>
          <w:tcPr>
            <w:tcW w:w="469" w:type="pct"/>
            <w:tcBorders>
              <w:top w:val="nil"/>
              <w:left w:val="nil"/>
              <w:bottom w:val="nil"/>
              <w:right w:val="nil"/>
            </w:tcBorders>
            <w:shd w:val="clear" w:color="000000" w:fill="FFFFFF"/>
            <w:noWrap/>
            <w:vAlign w:val="center"/>
            <w:hideMark/>
          </w:tcPr>
          <w:p w14:paraId="765A8AC2"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-888.7</w:t>
            </w:r>
          </w:p>
        </w:tc>
        <w:tc>
          <w:tcPr>
            <w:tcW w:w="469" w:type="pct"/>
            <w:tcBorders>
              <w:top w:val="nil"/>
              <w:left w:val="nil"/>
              <w:bottom w:val="nil"/>
              <w:right w:val="nil"/>
            </w:tcBorders>
            <w:shd w:val="clear" w:color="000000" w:fill="FFFFFF"/>
            <w:noWrap/>
            <w:vAlign w:val="center"/>
            <w:hideMark/>
          </w:tcPr>
          <w:p w14:paraId="0A8A3A14"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-27.9</w:t>
            </w:r>
          </w:p>
        </w:tc>
      </w:tr>
      <w:tr w:rsidR="004C11E4" w:rsidRPr="00FF1D21" w14:paraId="5474E190"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CDF077D" w14:textId="023BEF95" w:rsidR="004C11E4" w:rsidRPr="0043146B" w:rsidRDefault="004C11E4" w:rsidP="004C11E4">
            <w:pPr>
              <w:spacing w:before="0" w:after="0" w:line="240" w:lineRule="auto"/>
              <w:rPr>
                <w:rFonts w:ascii="Arial" w:hAnsi="Arial" w:cs="Arial"/>
                <w:b/>
                <w:sz w:val="16"/>
                <w:szCs w:val="16"/>
                <w:highlight w:val="cyan"/>
              </w:rPr>
            </w:pPr>
            <w:r w:rsidRPr="00205DD5">
              <w:rPr>
                <w:rFonts w:ascii="Arial" w:hAnsi="Arial" w:cs="Arial"/>
                <w:b/>
                <w:sz w:val="16"/>
                <w:szCs w:val="16"/>
              </w:rPr>
              <w:t>Gross debt(b)</w:t>
            </w:r>
          </w:p>
        </w:tc>
        <w:tc>
          <w:tcPr>
            <w:tcW w:w="470" w:type="pct"/>
            <w:tcBorders>
              <w:top w:val="nil"/>
              <w:left w:val="nil"/>
              <w:bottom w:val="nil"/>
              <w:right w:val="nil"/>
            </w:tcBorders>
            <w:shd w:val="clear" w:color="000000" w:fill="E6F2FF"/>
            <w:noWrap/>
            <w:vAlign w:val="center"/>
            <w:hideMark/>
          </w:tcPr>
          <w:p w14:paraId="732F2BA3"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73A9F543"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5A32FEA7"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71603B7C"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13D6F6B1"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8C2947B"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1BC704A8"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D0A6FEE"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39023C6D"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22FE44EE" w14:textId="77777777" w:rsidR="004C11E4" w:rsidRPr="0043146B" w:rsidRDefault="004C11E4" w:rsidP="004C11E4">
            <w:pPr>
              <w:spacing w:before="0" w:after="0" w:line="240" w:lineRule="auto"/>
              <w:ind w:left="170"/>
              <w:rPr>
                <w:rFonts w:ascii="Arial" w:hAnsi="Arial" w:cs="Arial"/>
                <w:sz w:val="16"/>
                <w:szCs w:val="16"/>
                <w:highlight w:val="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0FA71C5B"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940.0</w:t>
            </w:r>
          </w:p>
        </w:tc>
        <w:tc>
          <w:tcPr>
            <w:tcW w:w="469" w:type="pct"/>
            <w:tcBorders>
              <w:top w:val="nil"/>
              <w:left w:val="nil"/>
              <w:bottom w:val="nil"/>
              <w:right w:val="nil"/>
            </w:tcBorders>
            <w:shd w:val="clear" w:color="000000" w:fill="E6F2FF"/>
            <w:noWrap/>
            <w:vAlign w:val="center"/>
            <w:hideMark/>
          </w:tcPr>
          <w:p w14:paraId="18F783E3"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34.0</w:t>
            </w:r>
          </w:p>
        </w:tc>
        <w:tc>
          <w:tcPr>
            <w:tcW w:w="469" w:type="pct"/>
            <w:tcBorders>
              <w:top w:val="nil"/>
              <w:left w:val="nil"/>
              <w:bottom w:val="nil"/>
              <w:right w:val="nil"/>
            </w:tcBorders>
            <w:shd w:val="clear" w:color="000000" w:fill="FFFFFF"/>
            <w:noWrap/>
            <w:vAlign w:val="center"/>
            <w:hideMark/>
          </w:tcPr>
          <w:p w14:paraId="6A8B511C"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1,028.0</w:t>
            </w:r>
          </w:p>
        </w:tc>
        <w:tc>
          <w:tcPr>
            <w:tcW w:w="469" w:type="pct"/>
            <w:tcBorders>
              <w:top w:val="nil"/>
              <w:left w:val="nil"/>
              <w:bottom w:val="nil"/>
              <w:right w:val="nil"/>
            </w:tcBorders>
            <w:shd w:val="clear" w:color="000000" w:fill="FFFFFF"/>
            <w:noWrap/>
            <w:vAlign w:val="center"/>
            <w:hideMark/>
          </w:tcPr>
          <w:p w14:paraId="7DB3A178"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36.0</w:t>
            </w:r>
          </w:p>
        </w:tc>
        <w:tc>
          <w:tcPr>
            <w:tcW w:w="469" w:type="pct"/>
            <w:tcBorders>
              <w:top w:val="nil"/>
              <w:left w:val="nil"/>
              <w:bottom w:val="nil"/>
              <w:right w:val="nil"/>
            </w:tcBorders>
            <w:shd w:val="clear" w:color="000000" w:fill="FFFFFF"/>
            <w:noWrap/>
            <w:vAlign w:val="center"/>
            <w:hideMark/>
          </w:tcPr>
          <w:p w14:paraId="6F4673EC"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1,100.0</w:t>
            </w:r>
          </w:p>
        </w:tc>
        <w:tc>
          <w:tcPr>
            <w:tcW w:w="469" w:type="pct"/>
            <w:tcBorders>
              <w:top w:val="nil"/>
              <w:left w:val="nil"/>
              <w:bottom w:val="nil"/>
              <w:right w:val="nil"/>
            </w:tcBorders>
            <w:shd w:val="clear" w:color="000000" w:fill="FFFFFF"/>
            <w:noWrap/>
            <w:vAlign w:val="center"/>
            <w:hideMark/>
          </w:tcPr>
          <w:p w14:paraId="7CDA2455"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36.7</w:t>
            </w:r>
          </w:p>
        </w:tc>
        <w:tc>
          <w:tcPr>
            <w:tcW w:w="469" w:type="pct"/>
            <w:tcBorders>
              <w:top w:val="nil"/>
              <w:left w:val="nil"/>
              <w:bottom w:val="nil"/>
              <w:right w:val="nil"/>
            </w:tcBorders>
            <w:shd w:val="clear" w:color="000000" w:fill="FFFFFF"/>
            <w:noWrap/>
            <w:vAlign w:val="center"/>
            <w:hideMark/>
          </w:tcPr>
          <w:p w14:paraId="57B0DDF8" w14:textId="77777777" w:rsidR="004C11E4" w:rsidRPr="0043146B" w:rsidRDefault="004C11E4" w:rsidP="004C11E4">
            <w:pPr>
              <w:spacing w:before="0" w:after="0" w:line="240" w:lineRule="auto"/>
              <w:jc w:val="right"/>
              <w:rPr>
                <w:rFonts w:ascii="Arial" w:hAnsi="Arial" w:cs="Arial"/>
                <w:sz w:val="16"/>
                <w:szCs w:val="16"/>
                <w:highlight w:val="cyan"/>
              </w:rPr>
            </w:pPr>
            <w:r w:rsidRPr="00205DD5">
              <w:rPr>
                <w:rFonts w:ascii="Arial" w:hAnsi="Arial" w:cs="Arial"/>
                <w:sz w:val="16"/>
                <w:szCs w:val="16"/>
              </w:rPr>
              <w:t>1,161.0</w:t>
            </w:r>
          </w:p>
        </w:tc>
        <w:tc>
          <w:tcPr>
            <w:tcW w:w="469" w:type="pct"/>
            <w:tcBorders>
              <w:top w:val="nil"/>
              <w:left w:val="nil"/>
              <w:bottom w:val="nil"/>
              <w:right w:val="nil"/>
            </w:tcBorders>
            <w:shd w:val="clear" w:color="000000" w:fill="FFFFFF"/>
            <w:noWrap/>
            <w:vAlign w:val="center"/>
            <w:hideMark/>
          </w:tcPr>
          <w:p w14:paraId="37404E22"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36.7</w:t>
            </w:r>
          </w:p>
        </w:tc>
      </w:tr>
      <w:tr w:rsidR="004C11E4" w:rsidRPr="00FF1D21" w14:paraId="30AADA68"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25D505C7" w14:textId="77777777" w:rsidR="004C11E4" w:rsidRPr="0043146B" w:rsidRDefault="004C11E4" w:rsidP="004C11E4">
            <w:pPr>
              <w:spacing w:before="0" w:after="0" w:line="240" w:lineRule="auto"/>
              <w:ind w:left="170"/>
              <w:rPr>
                <w:rFonts w:ascii="Arial" w:hAnsi="Arial" w:cs="Arial"/>
                <w:i/>
                <w:sz w:val="16"/>
                <w:szCs w:val="16"/>
                <w:highlight w:val="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784B7782" w14:textId="77777777" w:rsidR="004C11E4" w:rsidRPr="0043146B" w:rsidRDefault="004C11E4" w:rsidP="004C11E4">
            <w:pPr>
              <w:spacing w:before="0" w:after="0" w:line="240" w:lineRule="auto"/>
              <w:jc w:val="right"/>
              <w:rPr>
                <w:rFonts w:ascii="Arial" w:hAnsi="Arial" w:cs="Arial"/>
                <w:i/>
                <w:sz w:val="16"/>
                <w:szCs w:val="16"/>
                <w:highlight w:val="cyan"/>
              </w:rPr>
            </w:pPr>
            <w:r w:rsidRPr="00205DD5">
              <w:rPr>
                <w:rFonts w:ascii="Arial" w:hAnsi="Arial" w:cs="Arial"/>
                <w:i/>
                <w:sz w:val="16"/>
                <w:szCs w:val="16"/>
              </w:rPr>
              <w:t>934.0</w:t>
            </w:r>
          </w:p>
        </w:tc>
        <w:tc>
          <w:tcPr>
            <w:tcW w:w="469" w:type="pct"/>
            <w:tcBorders>
              <w:top w:val="nil"/>
              <w:left w:val="nil"/>
              <w:bottom w:val="nil"/>
              <w:right w:val="nil"/>
            </w:tcBorders>
            <w:shd w:val="clear" w:color="000000" w:fill="E6F2FF"/>
            <w:noWrap/>
            <w:vAlign w:val="center"/>
            <w:hideMark/>
          </w:tcPr>
          <w:p w14:paraId="0234BCBA" w14:textId="77777777" w:rsidR="004C11E4" w:rsidRPr="0043146B" w:rsidRDefault="004C11E4" w:rsidP="004C11E4">
            <w:pPr>
              <w:spacing w:before="0" w:after="0" w:line="240" w:lineRule="auto"/>
              <w:jc w:val="right"/>
              <w:rPr>
                <w:rFonts w:ascii="Arial" w:hAnsi="Arial" w:cs="Arial"/>
                <w:i/>
                <w:sz w:val="16"/>
                <w:szCs w:val="16"/>
                <w:highlight w:val="cyan"/>
              </w:rPr>
            </w:pPr>
            <w:r w:rsidRPr="00205DD5">
              <w:rPr>
                <w:rFonts w:ascii="Arial" w:hAnsi="Arial" w:cs="Arial"/>
                <w:i/>
                <w:sz w:val="16"/>
                <w:szCs w:val="16"/>
              </w:rPr>
              <w:t>33.9</w:t>
            </w:r>
          </w:p>
        </w:tc>
        <w:tc>
          <w:tcPr>
            <w:tcW w:w="469" w:type="pct"/>
            <w:tcBorders>
              <w:top w:val="nil"/>
              <w:left w:val="nil"/>
              <w:bottom w:val="nil"/>
              <w:right w:val="nil"/>
            </w:tcBorders>
            <w:shd w:val="clear" w:color="000000" w:fill="FFFFFF"/>
            <w:noWrap/>
            <w:vAlign w:val="center"/>
            <w:hideMark/>
          </w:tcPr>
          <w:p w14:paraId="3C38E0D8" w14:textId="77777777" w:rsidR="004C11E4" w:rsidRPr="0043146B" w:rsidRDefault="004C11E4" w:rsidP="004C11E4">
            <w:pPr>
              <w:spacing w:before="0" w:after="0" w:line="240" w:lineRule="auto"/>
              <w:jc w:val="right"/>
              <w:rPr>
                <w:rFonts w:ascii="Arial" w:hAnsi="Arial" w:cs="Arial"/>
                <w:i/>
                <w:sz w:val="16"/>
                <w:szCs w:val="16"/>
                <w:highlight w:val="cyan"/>
              </w:rPr>
            </w:pPr>
            <w:r w:rsidRPr="00205DD5">
              <w:rPr>
                <w:rFonts w:ascii="Arial" w:hAnsi="Arial" w:cs="Arial"/>
                <w:i/>
                <w:sz w:val="16"/>
                <w:szCs w:val="16"/>
              </w:rPr>
              <w:t>1,007.0</w:t>
            </w:r>
          </w:p>
        </w:tc>
        <w:tc>
          <w:tcPr>
            <w:tcW w:w="469" w:type="pct"/>
            <w:tcBorders>
              <w:top w:val="nil"/>
              <w:left w:val="nil"/>
              <w:bottom w:val="nil"/>
              <w:right w:val="nil"/>
            </w:tcBorders>
            <w:shd w:val="clear" w:color="000000" w:fill="FFFFFF"/>
            <w:noWrap/>
            <w:vAlign w:val="center"/>
            <w:hideMark/>
          </w:tcPr>
          <w:p w14:paraId="6D169DED" w14:textId="77777777" w:rsidR="004C11E4" w:rsidRPr="0043146B" w:rsidRDefault="004C11E4" w:rsidP="004C11E4">
            <w:pPr>
              <w:spacing w:before="0" w:after="0" w:line="240" w:lineRule="auto"/>
              <w:jc w:val="right"/>
              <w:rPr>
                <w:rFonts w:ascii="Arial" w:hAnsi="Arial" w:cs="Arial"/>
                <w:i/>
                <w:sz w:val="16"/>
                <w:szCs w:val="16"/>
                <w:highlight w:val="cyan"/>
              </w:rPr>
            </w:pPr>
            <w:r w:rsidRPr="00205DD5">
              <w:rPr>
                <w:rFonts w:ascii="Arial" w:hAnsi="Arial" w:cs="Arial"/>
                <w:i/>
                <w:sz w:val="16"/>
                <w:szCs w:val="16"/>
              </w:rPr>
              <w:t>35.1</w:t>
            </w:r>
          </w:p>
        </w:tc>
        <w:tc>
          <w:tcPr>
            <w:tcW w:w="469" w:type="pct"/>
            <w:tcBorders>
              <w:top w:val="nil"/>
              <w:left w:val="nil"/>
              <w:bottom w:val="nil"/>
              <w:right w:val="nil"/>
            </w:tcBorders>
            <w:shd w:val="clear" w:color="000000" w:fill="FFFFFF"/>
            <w:noWrap/>
            <w:vAlign w:val="center"/>
            <w:hideMark/>
          </w:tcPr>
          <w:p w14:paraId="17B58DAD" w14:textId="77777777" w:rsidR="004C11E4" w:rsidRPr="0043146B" w:rsidRDefault="004C11E4" w:rsidP="004C11E4">
            <w:pPr>
              <w:spacing w:before="0" w:after="0" w:line="240" w:lineRule="auto"/>
              <w:jc w:val="right"/>
              <w:rPr>
                <w:rFonts w:ascii="Arial" w:hAnsi="Arial" w:cs="Arial"/>
                <w:i/>
                <w:sz w:val="16"/>
                <w:szCs w:val="16"/>
                <w:highlight w:val="cyan"/>
              </w:rPr>
            </w:pPr>
            <w:r w:rsidRPr="00205DD5">
              <w:rPr>
                <w:rFonts w:ascii="Arial" w:hAnsi="Arial" w:cs="Arial"/>
                <w:i/>
                <w:sz w:val="16"/>
                <w:szCs w:val="16"/>
              </w:rPr>
              <w:t>1,064.0</w:t>
            </w:r>
          </w:p>
        </w:tc>
        <w:tc>
          <w:tcPr>
            <w:tcW w:w="469" w:type="pct"/>
            <w:tcBorders>
              <w:top w:val="nil"/>
              <w:left w:val="nil"/>
              <w:bottom w:val="nil"/>
              <w:right w:val="nil"/>
            </w:tcBorders>
            <w:shd w:val="clear" w:color="000000" w:fill="FFFFFF"/>
            <w:noWrap/>
            <w:vAlign w:val="center"/>
            <w:hideMark/>
          </w:tcPr>
          <w:p w14:paraId="2B08F400" w14:textId="77777777" w:rsidR="004C11E4" w:rsidRPr="0043146B" w:rsidRDefault="004C11E4" w:rsidP="004C11E4">
            <w:pPr>
              <w:spacing w:before="0" w:after="0" w:line="240" w:lineRule="auto"/>
              <w:jc w:val="right"/>
              <w:rPr>
                <w:rFonts w:ascii="Arial" w:hAnsi="Arial" w:cs="Arial"/>
                <w:i/>
                <w:sz w:val="16"/>
                <w:szCs w:val="16"/>
                <w:highlight w:val="cyan"/>
              </w:rPr>
            </w:pPr>
            <w:r w:rsidRPr="00205DD5">
              <w:rPr>
                <w:rFonts w:ascii="Arial" w:hAnsi="Arial" w:cs="Arial"/>
                <w:i/>
                <w:sz w:val="16"/>
                <w:szCs w:val="16"/>
              </w:rPr>
              <w:t>35.2</w:t>
            </w:r>
          </w:p>
        </w:tc>
        <w:tc>
          <w:tcPr>
            <w:tcW w:w="469" w:type="pct"/>
            <w:tcBorders>
              <w:top w:val="nil"/>
              <w:left w:val="nil"/>
              <w:bottom w:val="nil"/>
              <w:right w:val="nil"/>
            </w:tcBorders>
            <w:shd w:val="clear" w:color="000000" w:fill="FFFFFF"/>
            <w:noWrap/>
            <w:vAlign w:val="center"/>
            <w:hideMark/>
          </w:tcPr>
          <w:p w14:paraId="118568CA" w14:textId="77777777" w:rsidR="004C11E4" w:rsidRPr="0043146B" w:rsidRDefault="004C11E4" w:rsidP="004C11E4">
            <w:pPr>
              <w:spacing w:before="0" w:after="0" w:line="240" w:lineRule="auto"/>
              <w:jc w:val="right"/>
              <w:rPr>
                <w:rFonts w:ascii="Arial" w:hAnsi="Arial" w:cs="Arial"/>
                <w:i/>
                <w:sz w:val="16"/>
                <w:szCs w:val="16"/>
                <w:highlight w:val="cyan"/>
              </w:rPr>
            </w:pPr>
            <w:r w:rsidRPr="00205DD5">
              <w:rPr>
                <w:rFonts w:ascii="Arial" w:hAnsi="Arial" w:cs="Arial"/>
                <w:i/>
                <w:sz w:val="16"/>
                <w:szCs w:val="16"/>
              </w:rPr>
              <w:t>1,112.0</w:t>
            </w:r>
          </w:p>
        </w:tc>
        <w:tc>
          <w:tcPr>
            <w:tcW w:w="469" w:type="pct"/>
            <w:tcBorders>
              <w:top w:val="nil"/>
              <w:left w:val="nil"/>
              <w:bottom w:val="nil"/>
              <w:right w:val="nil"/>
            </w:tcBorders>
            <w:shd w:val="clear" w:color="000000" w:fill="FFFFFF"/>
            <w:noWrap/>
            <w:vAlign w:val="center"/>
            <w:hideMark/>
          </w:tcPr>
          <w:p w14:paraId="4611B71E"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34.9</w:t>
            </w:r>
          </w:p>
        </w:tc>
      </w:tr>
      <w:tr w:rsidR="004C11E4" w:rsidRPr="00FF1D21" w14:paraId="77AFA379"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25899FD3"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Net debt(c)</w:t>
            </w:r>
          </w:p>
        </w:tc>
        <w:tc>
          <w:tcPr>
            <w:tcW w:w="470" w:type="pct"/>
            <w:tcBorders>
              <w:top w:val="nil"/>
              <w:left w:val="nil"/>
              <w:bottom w:val="nil"/>
              <w:right w:val="nil"/>
            </w:tcBorders>
            <w:shd w:val="clear" w:color="000000" w:fill="E6F2FF"/>
            <w:noWrap/>
            <w:vAlign w:val="center"/>
            <w:hideMark/>
          </w:tcPr>
          <w:p w14:paraId="2BC5258A"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453DE85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730716D6"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720409A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1FF31387"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B40DD03"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126B940F"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41BC05E"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16D57662"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281F442E"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52876FDA"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540.0</w:t>
            </w:r>
          </w:p>
        </w:tc>
        <w:tc>
          <w:tcPr>
            <w:tcW w:w="469" w:type="pct"/>
            <w:tcBorders>
              <w:top w:val="nil"/>
              <w:left w:val="nil"/>
              <w:bottom w:val="nil"/>
              <w:right w:val="nil"/>
            </w:tcBorders>
            <w:shd w:val="clear" w:color="000000" w:fill="E6F2FF"/>
            <w:noWrap/>
            <w:vAlign w:val="center"/>
            <w:hideMark/>
          </w:tcPr>
          <w:p w14:paraId="30DAE18D"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19.6</w:t>
            </w:r>
          </w:p>
        </w:tc>
        <w:tc>
          <w:tcPr>
            <w:tcW w:w="469" w:type="pct"/>
            <w:tcBorders>
              <w:top w:val="nil"/>
              <w:left w:val="nil"/>
              <w:bottom w:val="nil"/>
              <w:right w:val="nil"/>
            </w:tcBorders>
            <w:shd w:val="clear" w:color="000000" w:fill="FFFFFF"/>
            <w:noWrap/>
            <w:vAlign w:val="center"/>
            <w:hideMark/>
          </w:tcPr>
          <w:p w14:paraId="580BB28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609.3</w:t>
            </w:r>
          </w:p>
        </w:tc>
        <w:tc>
          <w:tcPr>
            <w:tcW w:w="469" w:type="pct"/>
            <w:tcBorders>
              <w:top w:val="nil"/>
              <w:left w:val="nil"/>
              <w:bottom w:val="nil"/>
              <w:right w:val="nil"/>
            </w:tcBorders>
            <w:shd w:val="clear" w:color="000000" w:fill="FFFFFF"/>
            <w:noWrap/>
            <w:vAlign w:val="center"/>
            <w:hideMark/>
          </w:tcPr>
          <w:p w14:paraId="53CC590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21.3</w:t>
            </w:r>
          </w:p>
        </w:tc>
        <w:tc>
          <w:tcPr>
            <w:tcW w:w="469" w:type="pct"/>
            <w:tcBorders>
              <w:top w:val="nil"/>
              <w:left w:val="nil"/>
              <w:bottom w:val="nil"/>
              <w:right w:val="nil"/>
            </w:tcBorders>
            <w:shd w:val="clear" w:color="000000" w:fill="FFFFFF"/>
            <w:noWrap/>
            <w:vAlign w:val="center"/>
            <w:hideMark/>
          </w:tcPr>
          <w:p w14:paraId="61814587"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669.2</w:t>
            </w:r>
          </w:p>
        </w:tc>
        <w:tc>
          <w:tcPr>
            <w:tcW w:w="469" w:type="pct"/>
            <w:tcBorders>
              <w:top w:val="nil"/>
              <w:left w:val="nil"/>
              <w:bottom w:val="nil"/>
              <w:right w:val="nil"/>
            </w:tcBorders>
            <w:shd w:val="clear" w:color="000000" w:fill="FFFFFF"/>
            <w:noWrap/>
            <w:vAlign w:val="center"/>
            <w:hideMark/>
          </w:tcPr>
          <w:p w14:paraId="375524E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22.3</w:t>
            </w:r>
          </w:p>
        </w:tc>
        <w:tc>
          <w:tcPr>
            <w:tcW w:w="469" w:type="pct"/>
            <w:tcBorders>
              <w:top w:val="nil"/>
              <w:left w:val="nil"/>
              <w:bottom w:val="nil"/>
              <w:right w:val="nil"/>
            </w:tcBorders>
            <w:shd w:val="clear" w:color="000000" w:fill="FFFFFF"/>
            <w:noWrap/>
            <w:vAlign w:val="center"/>
            <w:hideMark/>
          </w:tcPr>
          <w:p w14:paraId="5875C27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708.6</w:t>
            </w:r>
          </w:p>
        </w:tc>
        <w:tc>
          <w:tcPr>
            <w:tcW w:w="469" w:type="pct"/>
            <w:tcBorders>
              <w:top w:val="nil"/>
              <w:left w:val="nil"/>
              <w:bottom w:val="nil"/>
              <w:right w:val="nil"/>
            </w:tcBorders>
            <w:shd w:val="clear" w:color="000000" w:fill="FFFFFF"/>
            <w:noWrap/>
            <w:vAlign w:val="center"/>
            <w:hideMark/>
          </w:tcPr>
          <w:p w14:paraId="38B1C4BE"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22.4</w:t>
            </w:r>
          </w:p>
        </w:tc>
      </w:tr>
      <w:tr w:rsidR="004C11E4" w:rsidRPr="00FF1D21" w14:paraId="549773BD"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162B3A69"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136C997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552.5</w:t>
            </w:r>
          </w:p>
        </w:tc>
        <w:tc>
          <w:tcPr>
            <w:tcW w:w="469" w:type="pct"/>
            <w:tcBorders>
              <w:top w:val="nil"/>
              <w:left w:val="nil"/>
              <w:bottom w:val="nil"/>
              <w:right w:val="nil"/>
            </w:tcBorders>
            <w:shd w:val="clear" w:color="000000" w:fill="E6F2FF"/>
            <w:noWrap/>
            <w:vAlign w:val="center"/>
            <w:hideMark/>
          </w:tcPr>
          <w:p w14:paraId="4847994F"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20.0</w:t>
            </w:r>
          </w:p>
        </w:tc>
        <w:tc>
          <w:tcPr>
            <w:tcW w:w="469" w:type="pct"/>
            <w:tcBorders>
              <w:top w:val="nil"/>
              <w:left w:val="nil"/>
              <w:bottom w:val="nil"/>
              <w:right w:val="nil"/>
            </w:tcBorders>
            <w:shd w:val="clear" w:color="000000" w:fill="FFFFFF"/>
            <w:noWrap/>
            <w:vAlign w:val="center"/>
            <w:hideMark/>
          </w:tcPr>
          <w:p w14:paraId="7DD13EF1"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615.5</w:t>
            </w:r>
          </w:p>
        </w:tc>
        <w:tc>
          <w:tcPr>
            <w:tcW w:w="469" w:type="pct"/>
            <w:tcBorders>
              <w:top w:val="nil"/>
              <w:left w:val="nil"/>
              <w:bottom w:val="nil"/>
              <w:right w:val="nil"/>
            </w:tcBorders>
            <w:shd w:val="clear" w:color="000000" w:fill="FFFFFF"/>
            <w:noWrap/>
            <w:vAlign w:val="center"/>
            <w:hideMark/>
          </w:tcPr>
          <w:p w14:paraId="5F689C2F"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21.5</w:t>
            </w:r>
          </w:p>
        </w:tc>
        <w:tc>
          <w:tcPr>
            <w:tcW w:w="469" w:type="pct"/>
            <w:tcBorders>
              <w:top w:val="nil"/>
              <w:left w:val="nil"/>
              <w:bottom w:val="nil"/>
              <w:right w:val="nil"/>
            </w:tcBorders>
            <w:shd w:val="clear" w:color="000000" w:fill="FFFFFF"/>
            <w:noWrap/>
            <w:vAlign w:val="center"/>
            <w:hideMark/>
          </w:tcPr>
          <w:p w14:paraId="4B3CA1FF"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660.0</w:t>
            </w:r>
          </w:p>
        </w:tc>
        <w:tc>
          <w:tcPr>
            <w:tcW w:w="469" w:type="pct"/>
            <w:tcBorders>
              <w:top w:val="nil"/>
              <w:left w:val="nil"/>
              <w:bottom w:val="nil"/>
              <w:right w:val="nil"/>
            </w:tcBorders>
            <w:shd w:val="clear" w:color="000000" w:fill="FFFFFF"/>
            <w:noWrap/>
            <w:vAlign w:val="center"/>
            <w:hideMark/>
          </w:tcPr>
          <w:p w14:paraId="701F9531"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21.8</w:t>
            </w:r>
          </w:p>
        </w:tc>
        <w:tc>
          <w:tcPr>
            <w:tcW w:w="469" w:type="pct"/>
            <w:tcBorders>
              <w:top w:val="nil"/>
              <w:left w:val="nil"/>
              <w:bottom w:val="nil"/>
              <w:right w:val="nil"/>
            </w:tcBorders>
            <w:shd w:val="clear" w:color="000000" w:fill="FFFFFF"/>
            <w:noWrap/>
            <w:vAlign w:val="center"/>
            <w:hideMark/>
          </w:tcPr>
          <w:p w14:paraId="06AB65AD"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697.5</w:t>
            </w:r>
          </w:p>
        </w:tc>
        <w:tc>
          <w:tcPr>
            <w:tcW w:w="469" w:type="pct"/>
            <w:tcBorders>
              <w:top w:val="nil"/>
              <w:left w:val="nil"/>
              <w:bottom w:val="nil"/>
              <w:right w:val="nil"/>
            </w:tcBorders>
            <w:shd w:val="clear" w:color="000000" w:fill="FFFFFF"/>
            <w:noWrap/>
            <w:vAlign w:val="center"/>
            <w:hideMark/>
          </w:tcPr>
          <w:p w14:paraId="78684E79"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21.9</w:t>
            </w:r>
          </w:p>
        </w:tc>
      </w:tr>
      <w:tr w:rsidR="004C11E4" w:rsidRPr="00FF1D21" w14:paraId="7454FB4A"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13FF632"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Total interest payments</w:t>
            </w:r>
          </w:p>
        </w:tc>
        <w:tc>
          <w:tcPr>
            <w:tcW w:w="470" w:type="pct"/>
            <w:tcBorders>
              <w:top w:val="nil"/>
              <w:left w:val="nil"/>
              <w:bottom w:val="nil"/>
              <w:right w:val="nil"/>
            </w:tcBorders>
            <w:shd w:val="clear" w:color="000000" w:fill="E6F2FF"/>
            <w:noWrap/>
            <w:vAlign w:val="center"/>
            <w:hideMark/>
          </w:tcPr>
          <w:p w14:paraId="1DD4C285"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0637207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0BE44467"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F20E37B"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BC3CB23"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6154D54E"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0E87F82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114738A6"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30D76D28"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7B392E8E"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5BBBF45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24.6</w:t>
            </w:r>
          </w:p>
        </w:tc>
        <w:tc>
          <w:tcPr>
            <w:tcW w:w="469" w:type="pct"/>
            <w:tcBorders>
              <w:top w:val="nil"/>
              <w:left w:val="nil"/>
              <w:bottom w:val="nil"/>
              <w:right w:val="nil"/>
            </w:tcBorders>
            <w:shd w:val="clear" w:color="000000" w:fill="E6F2FF"/>
            <w:noWrap/>
            <w:vAlign w:val="center"/>
            <w:hideMark/>
          </w:tcPr>
          <w:p w14:paraId="5499D06C"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0.9</w:t>
            </w:r>
          </w:p>
        </w:tc>
        <w:tc>
          <w:tcPr>
            <w:tcW w:w="469" w:type="pct"/>
            <w:tcBorders>
              <w:top w:val="nil"/>
              <w:left w:val="nil"/>
              <w:bottom w:val="nil"/>
              <w:right w:val="nil"/>
            </w:tcBorders>
            <w:shd w:val="clear" w:color="000000" w:fill="FFFFFF"/>
            <w:noWrap/>
            <w:vAlign w:val="center"/>
            <w:hideMark/>
          </w:tcPr>
          <w:p w14:paraId="2BDDB420"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28.1</w:t>
            </w:r>
          </w:p>
        </w:tc>
        <w:tc>
          <w:tcPr>
            <w:tcW w:w="469" w:type="pct"/>
            <w:tcBorders>
              <w:top w:val="nil"/>
              <w:left w:val="nil"/>
              <w:bottom w:val="nil"/>
              <w:right w:val="nil"/>
            </w:tcBorders>
            <w:shd w:val="clear" w:color="000000" w:fill="FFFFFF"/>
            <w:noWrap/>
            <w:vAlign w:val="center"/>
            <w:hideMark/>
          </w:tcPr>
          <w:p w14:paraId="7353F0E2"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w:t>
            </w:r>
          </w:p>
        </w:tc>
        <w:tc>
          <w:tcPr>
            <w:tcW w:w="469" w:type="pct"/>
            <w:tcBorders>
              <w:top w:val="nil"/>
              <w:left w:val="nil"/>
              <w:bottom w:val="nil"/>
              <w:right w:val="nil"/>
            </w:tcBorders>
            <w:shd w:val="clear" w:color="000000" w:fill="FFFFFF"/>
            <w:noWrap/>
            <w:vAlign w:val="center"/>
            <w:hideMark/>
          </w:tcPr>
          <w:p w14:paraId="764D165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30.8</w:t>
            </w:r>
          </w:p>
        </w:tc>
        <w:tc>
          <w:tcPr>
            <w:tcW w:w="469" w:type="pct"/>
            <w:tcBorders>
              <w:top w:val="nil"/>
              <w:left w:val="nil"/>
              <w:bottom w:val="nil"/>
              <w:right w:val="nil"/>
            </w:tcBorders>
            <w:shd w:val="clear" w:color="000000" w:fill="FFFFFF"/>
            <w:noWrap/>
            <w:vAlign w:val="center"/>
            <w:hideMark/>
          </w:tcPr>
          <w:p w14:paraId="065E2A53"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w:t>
            </w:r>
          </w:p>
        </w:tc>
        <w:tc>
          <w:tcPr>
            <w:tcW w:w="469" w:type="pct"/>
            <w:tcBorders>
              <w:top w:val="nil"/>
              <w:left w:val="nil"/>
              <w:bottom w:val="nil"/>
              <w:right w:val="nil"/>
            </w:tcBorders>
            <w:shd w:val="clear" w:color="000000" w:fill="FFFFFF"/>
            <w:noWrap/>
            <w:vAlign w:val="center"/>
            <w:hideMark/>
          </w:tcPr>
          <w:p w14:paraId="658A603B"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37.6</w:t>
            </w:r>
          </w:p>
        </w:tc>
        <w:tc>
          <w:tcPr>
            <w:tcW w:w="469" w:type="pct"/>
            <w:tcBorders>
              <w:top w:val="nil"/>
              <w:left w:val="nil"/>
              <w:bottom w:val="nil"/>
              <w:right w:val="nil"/>
            </w:tcBorders>
            <w:shd w:val="clear" w:color="000000" w:fill="FFFFFF"/>
            <w:noWrap/>
            <w:vAlign w:val="center"/>
            <w:hideMark/>
          </w:tcPr>
          <w:p w14:paraId="089AAC7A"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1.2</w:t>
            </w:r>
          </w:p>
        </w:tc>
      </w:tr>
      <w:tr w:rsidR="004C11E4" w:rsidRPr="00FF1D21" w14:paraId="188832F3"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53837125"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nil"/>
              <w:right w:val="nil"/>
            </w:tcBorders>
            <w:shd w:val="clear" w:color="000000" w:fill="E6F2FF"/>
            <w:noWrap/>
            <w:vAlign w:val="center"/>
            <w:hideMark/>
          </w:tcPr>
          <w:p w14:paraId="74987B92"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23.8</w:t>
            </w:r>
          </w:p>
        </w:tc>
        <w:tc>
          <w:tcPr>
            <w:tcW w:w="469" w:type="pct"/>
            <w:tcBorders>
              <w:top w:val="nil"/>
              <w:left w:val="nil"/>
              <w:bottom w:val="nil"/>
              <w:right w:val="nil"/>
            </w:tcBorders>
            <w:shd w:val="clear" w:color="000000" w:fill="E6F2FF"/>
            <w:noWrap/>
            <w:vAlign w:val="center"/>
            <w:hideMark/>
          </w:tcPr>
          <w:p w14:paraId="18C975CB"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0.9</w:t>
            </w:r>
          </w:p>
        </w:tc>
        <w:tc>
          <w:tcPr>
            <w:tcW w:w="469" w:type="pct"/>
            <w:tcBorders>
              <w:top w:val="nil"/>
              <w:left w:val="nil"/>
              <w:bottom w:val="nil"/>
              <w:right w:val="nil"/>
            </w:tcBorders>
            <w:shd w:val="clear" w:color="000000" w:fill="FFFFFF"/>
            <w:noWrap/>
            <w:vAlign w:val="center"/>
            <w:hideMark/>
          </w:tcPr>
          <w:p w14:paraId="03B8BA00"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27.5</w:t>
            </w:r>
          </w:p>
        </w:tc>
        <w:tc>
          <w:tcPr>
            <w:tcW w:w="469" w:type="pct"/>
            <w:tcBorders>
              <w:top w:val="nil"/>
              <w:left w:val="nil"/>
              <w:bottom w:val="nil"/>
              <w:right w:val="nil"/>
            </w:tcBorders>
            <w:shd w:val="clear" w:color="000000" w:fill="FFFFFF"/>
            <w:noWrap/>
            <w:vAlign w:val="center"/>
            <w:hideMark/>
          </w:tcPr>
          <w:p w14:paraId="60C44FE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w:t>
            </w:r>
          </w:p>
        </w:tc>
        <w:tc>
          <w:tcPr>
            <w:tcW w:w="469" w:type="pct"/>
            <w:tcBorders>
              <w:top w:val="nil"/>
              <w:left w:val="nil"/>
              <w:bottom w:val="nil"/>
              <w:right w:val="nil"/>
            </w:tcBorders>
            <w:shd w:val="clear" w:color="000000" w:fill="FFFFFF"/>
            <w:noWrap/>
            <w:vAlign w:val="center"/>
            <w:hideMark/>
          </w:tcPr>
          <w:p w14:paraId="6639B90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29.8</w:t>
            </w:r>
          </w:p>
        </w:tc>
        <w:tc>
          <w:tcPr>
            <w:tcW w:w="469" w:type="pct"/>
            <w:tcBorders>
              <w:top w:val="nil"/>
              <w:left w:val="nil"/>
              <w:bottom w:val="nil"/>
              <w:right w:val="nil"/>
            </w:tcBorders>
            <w:shd w:val="clear" w:color="000000" w:fill="FFFFFF"/>
            <w:noWrap/>
            <w:vAlign w:val="center"/>
            <w:hideMark/>
          </w:tcPr>
          <w:p w14:paraId="4F7BAA77"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w:t>
            </w:r>
          </w:p>
        </w:tc>
        <w:tc>
          <w:tcPr>
            <w:tcW w:w="469" w:type="pct"/>
            <w:tcBorders>
              <w:top w:val="nil"/>
              <w:left w:val="nil"/>
              <w:bottom w:val="nil"/>
              <w:right w:val="nil"/>
            </w:tcBorders>
            <w:shd w:val="clear" w:color="000000" w:fill="FFFFFF"/>
            <w:noWrap/>
            <w:vAlign w:val="center"/>
            <w:hideMark/>
          </w:tcPr>
          <w:p w14:paraId="5647732B"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35.6</w:t>
            </w:r>
          </w:p>
        </w:tc>
        <w:tc>
          <w:tcPr>
            <w:tcW w:w="469" w:type="pct"/>
            <w:tcBorders>
              <w:top w:val="nil"/>
              <w:left w:val="nil"/>
              <w:bottom w:val="nil"/>
              <w:right w:val="nil"/>
            </w:tcBorders>
            <w:shd w:val="clear" w:color="000000" w:fill="FFFFFF"/>
            <w:noWrap/>
            <w:vAlign w:val="center"/>
            <w:hideMark/>
          </w:tcPr>
          <w:p w14:paraId="0E1A0D98"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1.1</w:t>
            </w:r>
          </w:p>
        </w:tc>
      </w:tr>
      <w:tr w:rsidR="004C11E4" w:rsidRPr="00FF1D21" w14:paraId="1D40FAC9"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3C1746A1" w14:textId="77777777" w:rsidR="004C11E4" w:rsidRPr="00FF1D21" w:rsidRDefault="004C11E4" w:rsidP="004C11E4">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Net interest payments(d)</w:t>
            </w:r>
          </w:p>
        </w:tc>
        <w:tc>
          <w:tcPr>
            <w:tcW w:w="470" w:type="pct"/>
            <w:tcBorders>
              <w:top w:val="nil"/>
              <w:left w:val="nil"/>
              <w:bottom w:val="nil"/>
              <w:right w:val="nil"/>
            </w:tcBorders>
            <w:shd w:val="clear" w:color="000000" w:fill="E6F2FF"/>
            <w:noWrap/>
            <w:vAlign w:val="center"/>
            <w:hideMark/>
          </w:tcPr>
          <w:p w14:paraId="63FD6AB9" w14:textId="77777777" w:rsidR="004C11E4" w:rsidRPr="00FF1D21" w:rsidRDefault="004C11E4" w:rsidP="004C11E4">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000000" w:fill="E6F2FF"/>
            <w:noWrap/>
            <w:vAlign w:val="center"/>
            <w:hideMark/>
          </w:tcPr>
          <w:p w14:paraId="0BF42C0D"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314AB75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1A67EBBB"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1FCB331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517397C7"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469" w:type="pct"/>
            <w:tcBorders>
              <w:top w:val="nil"/>
              <w:left w:val="nil"/>
              <w:bottom w:val="nil"/>
              <w:right w:val="nil"/>
            </w:tcBorders>
            <w:shd w:val="clear" w:color="auto" w:fill="auto"/>
            <w:noWrap/>
            <w:vAlign w:val="center"/>
            <w:hideMark/>
          </w:tcPr>
          <w:p w14:paraId="5A927D64" w14:textId="77777777" w:rsidR="004C11E4" w:rsidRPr="00FF1D21" w:rsidRDefault="004C11E4" w:rsidP="004C11E4">
            <w:pPr>
              <w:spacing w:before="0" w:after="0" w:line="240" w:lineRule="auto"/>
              <w:jc w:val="right"/>
              <w:rPr>
                <w:rFonts w:ascii="Arial" w:hAnsi="Arial" w:cs="Arial"/>
                <w:color w:val="00FFFF"/>
                <w:sz w:val="16"/>
                <w:szCs w:val="16"/>
                <w:highlight w:val="darkCyan"/>
              </w:rPr>
            </w:pPr>
          </w:p>
        </w:tc>
        <w:tc>
          <w:tcPr>
            <w:tcW w:w="469" w:type="pct"/>
            <w:tcBorders>
              <w:top w:val="nil"/>
              <w:left w:val="nil"/>
              <w:bottom w:val="nil"/>
              <w:right w:val="nil"/>
            </w:tcBorders>
            <w:shd w:val="clear" w:color="000000" w:fill="FFFFFF"/>
            <w:noWrap/>
            <w:vAlign w:val="center"/>
            <w:hideMark/>
          </w:tcPr>
          <w:p w14:paraId="40E145D6"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 </w:t>
            </w:r>
          </w:p>
        </w:tc>
      </w:tr>
      <w:tr w:rsidR="004C11E4" w:rsidRPr="00FF1D21" w14:paraId="5AB6DAAC" w14:textId="77777777" w:rsidTr="004C11E4">
        <w:trPr>
          <w:trHeight w:hRule="exact" w:val="226"/>
        </w:trPr>
        <w:tc>
          <w:tcPr>
            <w:tcW w:w="1245" w:type="pct"/>
            <w:tcBorders>
              <w:top w:val="nil"/>
              <w:left w:val="nil"/>
              <w:bottom w:val="nil"/>
              <w:right w:val="nil"/>
            </w:tcBorders>
            <w:shd w:val="clear" w:color="000000" w:fill="FFFFFF"/>
            <w:noWrap/>
            <w:vAlign w:val="center"/>
            <w:hideMark/>
          </w:tcPr>
          <w:p w14:paraId="60E1B4E7" w14:textId="77777777" w:rsidR="004C11E4" w:rsidRPr="00FF1D21" w:rsidRDefault="004C11E4" w:rsidP="004C11E4">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MYEFO</w:t>
            </w:r>
          </w:p>
        </w:tc>
        <w:tc>
          <w:tcPr>
            <w:tcW w:w="470" w:type="pct"/>
            <w:tcBorders>
              <w:top w:val="nil"/>
              <w:left w:val="nil"/>
              <w:bottom w:val="nil"/>
              <w:right w:val="nil"/>
            </w:tcBorders>
            <w:shd w:val="clear" w:color="000000" w:fill="E6F2FF"/>
            <w:noWrap/>
            <w:vAlign w:val="center"/>
            <w:hideMark/>
          </w:tcPr>
          <w:p w14:paraId="4DE5F17C"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14.6</w:t>
            </w:r>
          </w:p>
        </w:tc>
        <w:tc>
          <w:tcPr>
            <w:tcW w:w="469" w:type="pct"/>
            <w:tcBorders>
              <w:top w:val="nil"/>
              <w:left w:val="nil"/>
              <w:bottom w:val="nil"/>
              <w:right w:val="nil"/>
            </w:tcBorders>
            <w:shd w:val="clear" w:color="000000" w:fill="E6F2FF"/>
            <w:noWrap/>
            <w:vAlign w:val="center"/>
            <w:hideMark/>
          </w:tcPr>
          <w:p w14:paraId="096E0DA6"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0.5</w:t>
            </w:r>
          </w:p>
        </w:tc>
        <w:tc>
          <w:tcPr>
            <w:tcW w:w="469" w:type="pct"/>
            <w:tcBorders>
              <w:top w:val="nil"/>
              <w:left w:val="nil"/>
              <w:bottom w:val="nil"/>
              <w:right w:val="nil"/>
            </w:tcBorders>
            <w:shd w:val="clear" w:color="000000" w:fill="FFFFFF"/>
            <w:noWrap/>
            <w:vAlign w:val="center"/>
            <w:hideMark/>
          </w:tcPr>
          <w:p w14:paraId="5E0E467C"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18.5</w:t>
            </w:r>
          </w:p>
        </w:tc>
        <w:tc>
          <w:tcPr>
            <w:tcW w:w="469" w:type="pct"/>
            <w:tcBorders>
              <w:top w:val="nil"/>
              <w:left w:val="nil"/>
              <w:bottom w:val="nil"/>
              <w:right w:val="nil"/>
            </w:tcBorders>
            <w:shd w:val="clear" w:color="000000" w:fill="FFFFFF"/>
            <w:noWrap/>
            <w:vAlign w:val="center"/>
            <w:hideMark/>
          </w:tcPr>
          <w:p w14:paraId="64B2F131"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0.6</w:t>
            </w:r>
          </w:p>
        </w:tc>
        <w:tc>
          <w:tcPr>
            <w:tcW w:w="469" w:type="pct"/>
            <w:tcBorders>
              <w:top w:val="nil"/>
              <w:left w:val="nil"/>
              <w:bottom w:val="nil"/>
              <w:right w:val="nil"/>
            </w:tcBorders>
            <w:shd w:val="clear" w:color="000000" w:fill="FFFFFF"/>
            <w:noWrap/>
            <w:vAlign w:val="center"/>
            <w:hideMark/>
          </w:tcPr>
          <w:p w14:paraId="3FDBBF17"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21.6</w:t>
            </w:r>
          </w:p>
        </w:tc>
        <w:tc>
          <w:tcPr>
            <w:tcW w:w="469" w:type="pct"/>
            <w:tcBorders>
              <w:top w:val="nil"/>
              <w:left w:val="nil"/>
              <w:bottom w:val="nil"/>
              <w:right w:val="nil"/>
            </w:tcBorders>
            <w:shd w:val="clear" w:color="000000" w:fill="FFFFFF"/>
            <w:noWrap/>
            <w:vAlign w:val="center"/>
            <w:hideMark/>
          </w:tcPr>
          <w:p w14:paraId="6C3EAA79"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0.7</w:t>
            </w:r>
          </w:p>
        </w:tc>
        <w:tc>
          <w:tcPr>
            <w:tcW w:w="469" w:type="pct"/>
            <w:tcBorders>
              <w:top w:val="nil"/>
              <w:left w:val="nil"/>
              <w:bottom w:val="nil"/>
              <w:right w:val="nil"/>
            </w:tcBorders>
            <w:shd w:val="clear" w:color="000000" w:fill="FFFFFF"/>
            <w:noWrap/>
            <w:vAlign w:val="center"/>
            <w:hideMark/>
          </w:tcPr>
          <w:p w14:paraId="3B1ECAFC" w14:textId="77777777" w:rsidR="004C11E4" w:rsidRPr="00FF1D21" w:rsidRDefault="004C11E4" w:rsidP="004C11E4">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27.5</w:t>
            </w:r>
          </w:p>
        </w:tc>
        <w:tc>
          <w:tcPr>
            <w:tcW w:w="469" w:type="pct"/>
            <w:tcBorders>
              <w:top w:val="nil"/>
              <w:left w:val="nil"/>
              <w:bottom w:val="nil"/>
              <w:right w:val="nil"/>
            </w:tcBorders>
            <w:shd w:val="clear" w:color="000000" w:fill="FFFFFF"/>
            <w:noWrap/>
            <w:vAlign w:val="center"/>
            <w:hideMark/>
          </w:tcPr>
          <w:p w14:paraId="275DF619" w14:textId="77777777" w:rsidR="004C11E4" w:rsidRPr="00205DD5" w:rsidRDefault="004C11E4" w:rsidP="004C11E4">
            <w:pPr>
              <w:spacing w:before="0" w:after="0" w:line="240" w:lineRule="auto"/>
              <w:jc w:val="right"/>
              <w:rPr>
                <w:rFonts w:ascii="Arial" w:hAnsi="Arial" w:cs="Arial"/>
                <w:sz w:val="16"/>
                <w:szCs w:val="16"/>
              </w:rPr>
            </w:pPr>
            <w:r w:rsidRPr="00205DD5">
              <w:rPr>
                <w:rFonts w:ascii="Arial" w:hAnsi="Arial" w:cs="Arial"/>
                <w:sz w:val="16"/>
                <w:szCs w:val="16"/>
              </w:rPr>
              <w:t>0.9</w:t>
            </w:r>
          </w:p>
        </w:tc>
      </w:tr>
      <w:tr w:rsidR="004C11E4" w:rsidRPr="00FF1D21" w14:paraId="5A36398E" w14:textId="77777777" w:rsidTr="004C11E4">
        <w:trPr>
          <w:trHeight w:hRule="exact" w:val="226"/>
        </w:trPr>
        <w:tc>
          <w:tcPr>
            <w:tcW w:w="1245" w:type="pct"/>
            <w:tcBorders>
              <w:top w:val="nil"/>
              <w:left w:val="nil"/>
              <w:bottom w:val="single" w:sz="4" w:space="0" w:color="293F5B"/>
              <w:right w:val="nil"/>
            </w:tcBorders>
            <w:shd w:val="clear" w:color="000000" w:fill="FFFFFF"/>
            <w:noWrap/>
            <w:vAlign w:val="center"/>
            <w:hideMark/>
          </w:tcPr>
          <w:p w14:paraId="33EFDE2A" w14:textId="77777777" w:rsidR="004C11E4" w:rsidRPr="00FF1D21" w:rsidRDefault="004C11E4" w:rsidP="004C11E4">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Budget</w:t>
            </w:r>
          </w:p>
        </w:tc>
        <w:tc>
          <w:tcPr>
            <w:tcW w:w="470" w:type="pct"/>
            <w:tcBorders>
              <w:top w:val="nil"/>
              <w:left w:val="nil"/>
              <w:bottom w:val="single" w:sz="4" w:space="0" w:color="293F5B"/>
              <w:right w:val="nil"/>
            </w:tcBorders>
            <w:shd w:val="clear" w:color="000000" w:fill="E6F2FF"/>
            <w:noWrap/>
            <w:vAlign w:val="center"/>
            <w:hideMark/>
          </w:tcPr>
          <w:p w14:paraId="142AB765"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14.5</w:t>
            </w:r>
          </w:p>
        </w:tc>
        <w:tc>
          <w:tcPr>
            <w:tcW w:w="469" w:type="pct"/>
            <w:tcBorders>
              <w:top w:val="nil"/>
              <w:left w:val="nil"/>
              <w:bottom w:val="single" w:sz="4" w:space="0" w:color="293F5B"/>
              <w:right w:val="nil"/>
            </w:tcBorders>
            <w:shd w:val="clear" w:color="000000" w:fill="E6F2FF"/>
            <w:noWrap/>
            <w:vAlign w:val="center"/>
            <w:hideMark/>
          </w:tcPr>
          <w:p w14:paraId="45CA51C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0.5</w:t>
            </w:r>
          </w:p>
        </w:tc>
        <w:tc>
          <w:tcPr>
            <w:tcW w:w="469" w:type="pct"/>
            <w:tcBorders>
              <w:top w:val="nil"/>
              <w:left w:val="nil"/>
              <w:bottom w:val="single" w:sz="4" w:space="0" w:color="293F5B"/>
              <w:right w:val="nil"/>
            </w:tcBorders>
            <w:shd w:val="clear" w:color="000000" w:fill="FFFFFF"/>
            <w:noWrap/>
            <w:vAlign w:val="center"/>
            <w:hideMark/>
          </w:tcPr>
          <w:p w14:paraId="7DAFAF41"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18.8</w:t>
            </w:r>
          </w:p>
        </w:tc>
        <w:tc>
          <w:tcPr>
            <w:tcW w:w="469" w:type="pct"/>
            <w:tcBorders>
              <w:top w:val="nil"/>
              <w:left w:val="nil"/>
              <w:bottom w:val="single" w:sz="4" w:space="0" w:color="293F5B"/>
              <w:right w:val="nil"/>
            </w:tcBorders>
            <w:shd w:val="clear" w:color="000000" w:fill="FFFFFF"/>
            <w:noWrap/>
            <w:vAlign w:val="center"/>
            <w:hideMark/>
          </w:tcPr>
          <w:p w14:paraId="57E355C2"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0.7</w:t>
            </w:r>
          </w:p>
        </w:tc>
        <w:tc>
          <w:tcPr>
            <w:tcW w:w="469" w:type="pct"/>
            <w:tcBorders>
              <w:top w:val="nil"/>
              <w:left w:val="nil"/>
              <w:bottom w:val="single" w:sz="4" w:space="0" w:color="293F5B"/>
              <w:right w:val="nil"/>
            </w:tcBorders>
            <w:shd w:val="clear" w:color="000000" w:fill="FFFFFF"/>
            <w:noWrap/>
            <w:vAlign w:val="center"/>
            <w:hideMark/>
          </w:tcPr>
          <w:p w14:paraId="475DEB23"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20.8</w:t>
            </w:r>
          </w:p>
        </w:tc>
        <w:tc>
          <w:tcPr>
            <w:tcW w:w="469" w:type="pct"/>
            <w:tcBorders>
              <w:top w:val="nil"/>
              <w:left w:val="nil"/>
              <w:bottom w:val="single" w:sz="4" w:space="0" w:color="293F5B"/>
              <w:right w:val="nil"/>
            </w:tcBorders>
            <w:shd w:val="clear" w:color="000000" w:fill="FFFFFF"/>
            <w:noWrap/>
            <w:vAlign w:val="center"/>
            <w:hideMark/>
          </w:tcPr>
          <w:p w14:paraId="79127A9F"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0.7</w:t>
            </w:r>
          </w:p>
        </w:tc>
        <w:tc>
          <w:tcPr>
            <w:tcW w:w="469" w:type="pct"/>
            <w:tcBorders>
              <w:top w:val="nil"/>
              <w:left w:val="nil"/>
              <w:bottom w:val="single" w:sz="4" w:space="0" w:color="293F5B"/>
              <w:right w:val="nil"/>
            </w:tcBorders>
            <w:shd w:val="clear" w:color="000000" w:fill="FFFFFF"/>
            <w:noWrap/>
            <w:vAlign w:val="center"/>
            <w:hideMark/>
          </w:tcPr>
          <w:p w14:paraId="54F72EF4" w14:textId="77777777" w:rsidR="004C11E4" w:rsidRPr="00FF1D21" w:rsidRDefault="004C11E4" w:rsidP="004C11E4">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26.0</w:t>
            </w:r>
          </w:p>
        </w:tc>
        <w:tc>
          <w:tcPr>
            <w:tcW w:w="469" w:type="pct"/>
            <w:tcBorders>
              <w:top w:val="nil"/>
              <w:left w:val="nil"/>
              <w:bottom w:val="single" w:sz="4" w:space="0" w:color="293F5B"/>
              <w:right w:val="nil"/>
            </w:tcBorders>
            <w:shd w:val="clear" w:color="000000" w:fill="FFFFFF"/>
            <w:noWrap/>
            <w:vAlign w:val="center"/>
            <w:hideMark/>
          </w:tcPr>
          <w:p w14:paraId="29D136F6" w14:textId="77777777" w:rsidR="004C11E4" w:rsidRPr="00205DD5" w:rsidRDefault="004C11E4" w:rsidP="004C11E4">
            <w:pPr>
              <w:spacing w:before="0" w:after="0" w:line="240" w:lineRule="auto"/>
              <w:jc w:val="right"/>
              <w:rPr>
                <w:rFonts w:ascii="Arial" w:hAnsi="Arial" w:cs="Arial"/>
                <w:i/>
                <w:sz w:val="16"/>
                <w:szCs w:val="16"/>
              </w:rPr>
            </w:pPr>
            <w:r w:rsidRPr="00205DD5">
              <w:rPr>
                <w:rFonts w:ascii="Arial" w:hAnsi="Arial" w:cs="Arial"/>
                <w:i/>
                <w:sz w:val="16"/>
                <w:szCs w:val="16"/>
              </w:rPr>
              <w:t>0.8</w:t>
            </w:r>
          </w:p>
        </w:tc>
      </w:tr>
    </w:tbl>
    <w:p w14:paraId="3BD22B25" w14:textId="3FBCED0C" w:rsidR="00AB7209" w:rsidRDefault="00284D48" w:rsidP="00AB7209">
      <w:pPr>
        <w:pStyle w:val="ChartandTableFootnoteAlpha"/>
        <w:numPr>
          <w:ilvl w:val="0"/>
          <w:numId w:val="18"/>
        </w:numPr>
      </w:pPr>
      <w:r w:rsidRPr="00205DD5">
        <w:rPr>
          <w:color w:val="auto"/>
        </w:rPr>
        <w:t>Net financial worth equals total financial assets minus total liabilities</w:t>
      </w:r>
      <w:r w:rsidRPr="00F51A49">
        <w:t>.</w:t>
      </w:r>
    </w:p>
    <w:p w14:paraId="29F94C9D" w14:textId="0B3E6E1F" w:rsidR="00AB7209" w:rsidRDefault="00284D48" w:rsidP="00AB7209">
      <w:pPr>
        <w:pStyle w:val="ChartandTableFootnoteAlpha"/>
        <w:numPr>
          <w:ilvl w:val="0"/>
          <w:numId w:val="18"/>
        </w:numPr>
      </w:pPr>
      <w:r w:rsidRPr="00AB7209">
        <w:rPr>
          <w:color w:val="auto"/>
        </w:rPr>
        <w:t>Gross debt measures the face value of Australian Government Securities (AGS) on issue.</w:t>
      </w:r>
    </w:p>
    <w:p w14:paraId="7632EA6B" w14:textId="19B4BCEE" w:rsidR="00AB7209" w:rsidRDefault="00284D48" w:rsidP="00AB7209">
      <w:pPr>
        <w:pStyle w:val="ChartandTableFootnoteAlpha"/>
        <w:numPr>
          <w:ilvl w:val="0"/>
          <w:numId w:val="18"/>
        </w:numPr>
      </w:pPr>
      <w:r w:rsidRPr="00AB7209">
        <w:rPr>
          <w:color w:val="auto"/>
        </w:rPr>
        <w:t xml:space="preserve">Net debt is the sum of </w:t>
      </w:r>
      <w:proofErr w:type="gramStart"/>
      <w:r w:rsidRPr="00AB7209">
        <w:rPr>
          <w:color w:val="auto"/>
        </w:rPr>
        <w:t>interest bearing</w:t>
      </w:r>
      <w:proofErr w:type="gramEnd"/>
      <w:r w:rsidRPr="00AB7209">
        <w:rPr>
          <w:color w:val="auto"/>
        </w:rPr>
        <w:t xml:space="preserve"> liabilities (which includes AGS on issue measured at market value) less the sum of selected financial assets (cash and deposits, advances paid and investments, loans and placements).</w:t>
      </w:r>
    </w:p>
    <w:p w14:paraId="1F29FADC" w14:textId="51143DCF" w:rsidR="000B4240" w:rsidRPr="00AB7209" w:rsidRDefault="00BE5CFF" w:rsidP="00AB7209">
      <w:pPr>
        <w:pStyle w:val="ChartandTableFootnoteAlpha"/>
        <w:numPr>
          <w:ilvl w:val="0"/>
          <w:numId w:val="18"/>
        </w:numPr>
      </w:pPr>
      <w:r w:rsidRPr="00AB7209">
        <w:rPr>
          <w:color w:val="auto"/>
        </w:rPr>
        <w:t>Net interest payments are equal to the difference between interest payments and interest receipts.</w:t>
      </w:r>
    </w:p>
    <w:p w14:paraId="546F3252" w14:textId="77777777" w:rsidR="00D63C70" w:rsidRPr="00DF3DF1" w:rsidRDefault="00D63C70" w:rsidP="006B564F">
      <w:pPr>
        <w:pStyle w:val="TableLine"/>
      </w:pPr>
    </w:p>
    <w:p w14:paraId="48EA4DA1" w14:textId="77777777" w:rsidR="00D63C70" w:rsidRPr="001D7A0A" w:rsidRDefault="00D63C70" w:rsidP="005B0742">
      <w:pPr>
        <w:pStyle w:val="SingleParagraph"/>
      </w:pPr>
      <w:r w:rsidRPr="00DF3DF1">
        <w:br w:type="page"/>
      </w:r>
    </w:p>
    <w:p w14:paraId="5FB0EB29" w14:textId="52E0229F" w:rsidR="00D63C70" w:rsidRPr="00205DD5" w:rsidRDefault="00D63C70" w:rsidP="00D63C70">
      <w:pPr>
        <w:pStyle w:val="Heading2"/>
      </w:pPr>
      <w:bookmarkStart w:id="61" w:name="_Toc148428078"/>
      <w:r w:rsidRPr="00205DD5">
        <w:lastRenderedPageBreak/>
        <w:t>Other fiscal aggregates</w:t>
      </w:r>
      <w:bookmarkEnd w:id="61"/>
    </w:p>
    <w:p w14:paraId="213A5D49" w14:textId="72AA2556" w:rsidR="00D63C70" w:rsidRPr="00205DD5" w:rsidRDefault="00D63C70" w:rsidP="00D63C70">
      <w:r w:rsidRPr="00205DD5">
        <w:t xml:space="preserve">The following section presents alternative measures of the Government’s fiscal position. </w:t>
      </w:r>
    </w:p>
    <w:p w14:paraId="571987BE" w14:textId="77777777" w:rsidR="00D63C70" w:rsidRPr="00205DD5" w:rsidRDefault="00D63C70" w:rsidP="00D63C70">
      <w:pPr>
        <w:pStyle w:val="Heading2"/>
      </w:pPr>
      <w:bookmarkStart w:id="62" w:name="_Toc148428079"/>
      <w:r w:rsidRPr="00205DD5">
        <w:t>Accrual aggregates</w:t>
      </w:r>
      <w:bookmarkEnd w:id="62"/>
    </w:p>
    <w:p w14:paraId="09797625" w14:textId="2473AFA7" w:rsidR="00D63C70" w:rsidRPr="00205DD5" w:rsidRDefault="00D63C70" w:rsidP="00D63C70">
      <w:r w:rsidRPr="00205DD5">
        <w:t xml:space="preserve">Accrual accounting records income and costs at the time they are incurred. Cash accounting records income and costs at the time of the associated actual cash flow. Differences in estimates arise where there is a difference between the timing of an activity and the associated cash flow. </w:t>
      </w:r>
    </w:p>
    <w:p w14:paraId="13B60F0F" w14:textId="77777777" w:rsidR="00D63C70" w:rsidRPr="00205DD5" w:rsidRDefault="00D63C70" w:rsidP="00D63C70">
      <w:pPr>
        <w:pStyle w:val="Heading3"/>
      </w:pPr>
      <w:bookmarkStart w:id="63" w:name="_Toc148428080"/>
      <w:r w:rsidRPr="00205DD5">
        <w:t>Net operating balance estimates</w:t>
      </w:r>
      <w:bookmarkEnd w:id="63"/>
    </w:p>
    <w:p w14:paraId="4A6C6CF8" w14:textId="0452D692" w:rsidR="00D63C70" w:rsidRPr="00205DD5" w:rsidRDefault="00D63C70" w:rsidP="00D63C70">
      <w:r w:rsidRPr="00205DD5">
        <w:t>The net operating balance is an accrual measure, reflecting revenue minus expenses. It excludes the fiscal impact of the Commonwealth’s net new capital expenditure.</w:t>
      </w:r>
    </w:p>
    <w:p w14:paraId="3C9D3A9D" w14:textId="31C99944" w:rsidR="00D63C70" w:rsidRPr="00205DD5" w:rsidRDefault="00D63C70" w:rsidP="00D63C70">
      <w:r w:rsidRPr="00205DD5">
        <w:t xml:space="preserve">The net operating balance is expected to be a </w:t>
      </w:r>
      <w:r w:rsidR="00734F31" w:rsidRPr="00205DD5">
        <w:t>deficit</w:t>
      </w:r>
      <w:r w:rsidRPr="00205DD5">
        <w:t xml:space="preserve"> of $</w:t>
      </w:r>
      <w:bookmarkStart w:id="64" w:name="_Hlk184125906"/>
      <w:r w:rsidR="00030077" w:rsidRPr="00205DD5">
        <w:t>40</w:t>
      </w:r>
      <w:r w:rsidR="00734F31" w:rsidRPr="00205DD5">
        <w:t>.</w:t>
      </w:r>
      <w:r w:rsidR="00030077" w:rsidRPr="00205DD5">
        <w:t>4</w:t>
      </w:r>
      <w:bookmarkEnd w:id="64"/>
      <w:r w:rsidRPr="00205DD5">
        <w:t> billion (</w:t>
      </w:r>
      <w:r w:rsidR="00030077" w:rsidRPr="00205DD5">
        <w:t>1.5</w:t>
      </w:r>
      <w:r w:rsidRPr="00205DD5">
        <w:t> per cent of GDP) in 202</w:t>
      </w:r>
      <w:r w:rsidR="00734F31" w:rsidRPr="00205DD5">
        <w:t>4</w:t>
      </w:r>
      <w:r w:rsidRPr="00205DD5">
        <w:t>–2</w:t>
      </w:r>
      <w:r w:rsidR="00734F31" w:rsidRPr="00205DD5">
        <w:t>5</w:t>
      </w:r>
      <w:r w:rsidRPr="00205DD5">
        <w:t xml:space="preserve"> (Table </w:t>
      </w:r>
      <w:r w:rsidR="00734F31" w:rsidRPr="00205DD5">
        <w:t>3.</w:t>
      </w:r>
      <w:r w:rsidR="00964AAF" w:rsidRPr="00205DD5">
        <w:t>9</w:t>
      </w:r>
      <w:r w:rsidRPr="00205DD5">
        <w:t>), compared to an expected deficit of $</w:t>
      </w:r>
      <w:r w:rsidR="001F7BF2" w:rsidRPr="00205DD5">
        <w:t>23.0</w:t>
      </w:r>
      <w:r w:rsidRPr="00205DD5">
        <w:t> billion (</w:t>
      </w:r>
      <w:r w:rsidR="001F7BF2" w:rsidRPr="00205DD5">
        <w:t>0.8</w:t>
      </w:r>
      <w:r w:rsidRPr="00205DD5">
        <w:t> per cent of GDP) in the 202</w:t>
      </w:r>
      <w:r w:rsidR="00734F31" w:rsidRPr="00205DD5">
        <w:t>4</w:t>
      </w:r>
      <w:r w:rsidRPr="00205DD5">
        <w:t>–2</w:t>
      </w:r>
      <w:r w:rsidR="00734F31" w:rsidRPr="00205DD5">
        <w:t>5</w:t>
      </w:r>
      <w:r w:rsidRPr="00205DD5">
        <w:t xml:space="preserve"> Budget. </w:t>
      </w:r>
    </w:p>
    <w:p w14:paraId="77B01B84" w14:textId="77777777" w:rsidR="00CF7608" w:rsidRPr="00205DD5" w:rsidRDefault="00CF7608">
      <w:pPr>
        <w:spacing w:before="0" w:after="160" w:line="259" w:lineRule="auto"/>
        <w:rPr>
          <w:rFonts w:ascii="Arial Bold" w:hAnsi="Arial Bold"/>
          <w:b/>
          <w:sz w:val="22"/>
        </w:rPr>
      </w:pPr>
      <w:bookmarkStart w:id="65" w:name="_Toc148428081"/>
      <w:r w:rsidRPr="00205DD5">
        <w:br w:type="page"/>
      </w:r>
    </w:p>
    <w:p w14:paraId="76DE6EAD" w14:textId="5A9A976D" w:rsidR="00D63C70" w:rsidRPr="00205DD5" w:rsidRDefault="00D63C70" w:rsidP="00D63C70">
      <w:pPr>
        <w:pStyle w:val="Heading3"/>
      </w:pPr>
      <w:r w:rsidRPr="00205DD5">
        <w:lastRenderedPageBreak/>
        <w:t>Fiscal balance estimates</w:t>
      </w:r>
      <w:bookmarkEnd w:id="65"/>
    </w:p>
    <w:p w14:paraId="4E48D44A" w14:textId="22C40798" w:rsidR="00D63C70" w:rsidRPr="00205DD5" w:rsidRDefault="00D63C70" w:rsidP="00D63C70">
      <w:r w:rsidRPr="00205DD5">
        <w:t xml:space="preserve">The fiscal balance is the accrual equivalent of the underlying cash balance and equals the net operating balance </w:t>
      </w:r>
      <w:r w:rsidR="00964CFF" w:rsidRPr="00205DD5">
        <w:t>less</w:t>
      </w:r>
      <w:r w:rsidRPr="00205DD5">
        <w:t xml:space="preserve"> net new capital expenditure. </w:t>
      </w:r>
    </w:p>
    <w:p w14:paraId="6838AE5C" w14:textId="18F6E5F2" w:rsidR="00D63C70" w:rsidRDefault="00D63C70" w:rsidP="00D63C70">
      <w:r w:rsidRPr="00205DD5">
        <w:t xml:space="preserve">The fiscal balance is expected to be a </w:t>
      </w:r>
      <w:r w:rsidR="00734F31" w:rsidRPr="00205DD5">
        <w:t>deficit</w:t>
      </w:r>
      <w:r w:rsidRPr="00205DD5">
        <w:t xml:space="preserve"> of $</w:t>
      </w:r>
      <w:r w:rsidR="0002558B" w:rsidRPr="00205DD5">
        <w:t>45.9</w:t>
      </w:r>
      <w:r w:rsidRPr="00205DD5">
        <w:t> billion (</w:t>
      </w:r>
      <w:r w:rsidR="0002558B" w:rsidRPr="00205DD5">
        <w:t>1.7</w:t>
      </w:r>
      <w:r w:rsidRPr="00205DD5">
        <w:t> per cent of GDP) in 202</w:t>
      </w:r>
      <w:r w:rsidR="00734F31" w:rsidRPr="00205DD5">
        <w:t>4</w:t>
      </w:r>
      <w:r w:rsidR="0086612B" w:rsidRPr="00205DD5">
        <w:rPr>
          <w:rFonts w:ascii="Times New Roman" w:hAnsi="Times New Roman"/>
        </w:rPr>
        <w:t>‍</w:t>
      </w:r>
      <w:r w:rsidRPr="00205DD5">
        <w:t>–</w:t>
      </w:r>
      <w:r w:rsidRPr="00205DD5">
        <w:rPr>
          <w:rFonts w:ascii="Times New Roman" w:hAnsi="Times New Roman"/>
        </w:rPr>
        <w:t>‍</w:t>
      </w:r>
      <w:r w:rsidRPr="00205DD5">
        <w:t>2</w:t>
      </w:r>
      <w:r w:rsidR="00734F31" w:rsidRPr="00205DD5">
        <w:t>5</w:t>
      </w:r>
      <w:r w:rsidRPr="00205DD5">
        <w:t xml:space="preserve"> (Table 3.</w:t>
      </w:r>
      <w:r w:rsidR="00964AAF" w:rsidRPr="00205DD5">
        <w:t>9</w:t>
      </w:r>
      <w:r w:rsidRPr="00205DD5">
        <w:t>), compared to an expected deficit of $</w:t>
      </w:r>
      <w:r w:rsidR="0002558B" w:rsidRPr="00205DD5">
        <w:t>29.3</w:t>
      </w:r>
      <w:r w:rsidRPr="00205DD5">
        <w:t> billion (</w:t>
      </w:r>
      <w:r w:rsidR="0002558B" w:rsidRPr="00205DD5">
        <w:t>1.1</w:t>
      </w:r>
      <w:r w:rsidRPr="00205DD5">
        <w:t> per cent of GDP) in the 202</w:t>
      </w:r>
      <w:r w:rsidR="00734F31" w:rsidRPr="00205DD5">
        <w:t>4</w:t>
      </w:r>
      <w:r w:rsidRPr="00205DD5">
        <w:t>–2</w:t>
      </w:r>
      <w:r w:rsidR="00734F31" w:rsidRPr="00205DD5">
        <w:t>5</w:t>
      </w:r>
      <w:r w:rsidRPr="00205DD5">
        <w:t xml:space="preserve"> Budget.</w:t>
      </w:r>
      <w:r w:rsidRPr="0058018F">
        <w:t xml:space="preserve"> </w:t>
      </w:r>
    </w:p>
    <w:p w14:paraId="3444E2D8" w14:textId="038824C2" w:rsidR="00D741AE" w:rsidRPr="00D741AE" w:rsidRDefault="00D63C70" w:rsidP="00D741AE">
      <w:pPr>
        <w:pStyle w:val="TableHeading"/>
      </w:pPr>
      <w:r w:rsidRPr="00205DD5">
        <w:t>Table 3.</w:t>
      </w:r>
      <w:r w:rsidR="00964AAF" w:rsidRPr="00205DD5">
        <w:t>9</w:t>
      </w:r>
      <w:r w:rsidRPr="00205DD5">
        <w:t xml:space="preserve">: </w:t>
      </w:r>
      <w:r w:rsidR="00E64792" w:rsidRPr="00205DD5">
        <w:t>Australian Government</w:t>
      </w:r>
      <w:r w:rsidRPr="00205DD5">
        <w:t xml:space="preserve"> general government sector accrual aggregates</w:t>
      </w:r>
    </w:p>
    <w:tbl>
      <w:tblPr>
        <w:tblW w:w="5000" w:type="pct"/>
        <w:tblCellMar>
          <w:left w:w="0" w:type="dxa"/>
          <w:right w:w="28" w:type="dxa"/>
        </w:tblCellMar>
        <w:tblLook w:val="04A0" w:firstRow="1" w:lastRow="0" w:firstColumn="1" w:lastColumn="0" w:noHBand="0" w:noVBand="1"/>
      </w:tblPr>
      <w:tblGrid>
        <w:gridCol w:w="1892"/>
        <w:gridCol w:w="631"/>
        <w:gridCol w:w="823"/>
        <w:gridCol w:w="631"/>
        <w:gridCol w:w="823"/>
        <w:gridCol w:w="631"/>
        <w:gridCol w:w="823"/>
        <w:gridCol w:w="631"/>
        <w:gridCol w:w="825"/>
      </w:tblGrid>
      <w:tr w:rsidR="00343EC8" w:rsidRPr="00D741AE" w14:paraId="38881A1E" w14:textId="77777777" w:rsidTr="00D741AE">
        <w:trPr>
          <w:trHeight w:hRule="exact" w:val="226"/>
        </w:trPr>
        <w:tc>
          <w:tcPr>
            <w:tcW w:w="1227" w:type="pct"/>
            <w:tcBorders>
              <w:top w:val="single" w:sz="4" w:space="0" w:color="293F5B"/>
              <w:left w:val="nil"/>
              <w:bottom w:val="nil"/>
              <w:right w:val="nil"/>
            </w:tcBorders>
            <w:shd w:val="clear" w:color="000000" w:fill="FFFFFF"/>
            <w:noWrap/>
            <w:vAlign w:val="center"/>
            <w:hideMark/>
          </w:tcPr>
          <w:p w14:paraId="68509FED" w14:textId="02680458"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3773" w:type="pct"/>
            <w:gridSpan w:val="8"/>
            <w:tcBorders>
              <w:top w:val="single" w:sz="4" w:space="0" w:color="293F5B"/>
              <w:left w:val="nil"/>
              <w:bottom w:val="single" w:sz="4" w:space="0" w:color="auto"/>
              <w:right w:val="nil"/>
            </w:tcBorders>
            <w:shd w:val="clear" w:color="000000" w:fill="FFFFFF"/>
            <w:vAlign w:val="center"/>
            <w:hideMark/>
          </w:tcPr>
          <w:p w14:paraId="7814297A" w14:textId="77777777" w:rsidR="00D741AE" w:rsidRPr="00D741AE" w:rsidRDefault="00D741AE" w:rsidP="00D741AE">
            <w:pPr>
              <w:spacing w:before="0" w:after="0" w:line="240" w:lineRule="auto"/>
              <w:jc w:val="center"/>
              <w:rPr>
                <w:rFonts w:ascii="Arial" w:hAnsi="Arial" w:cs="Arial"/>
                <w:color w:val="000000"/>
                <w:sz w:val="16"/>
                <w:szCs w:val="16"/>
              </w:rPr>
            </w:pPr>
            <w:r w:rsidRPr="00D741AE">
              <w:rPr>
                <w:rFonts w:ascii="Arial" w:hAnsi="Arial" w:cs="Arial"/>
                <w:color w:val="000000"/>
                <w:sz w:val="16"/>
                <w:szCs w:val="16"/>
              </w:rPr>
              <w:t>Estimates</w:t>
            </w:r>
          </w:p>
        </w:tc>
      </w:tr>
      <w:tr w:rsidR="00343EC8" w:rsidRPr="00D741AE" w14:paraId="3EBBF254"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585EC0D9"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943" w:type="pct"/>
            <w:gridSpan w:val="2"/>
            <w:tcBorders>
              <w:top w:val="single" w:sz="4" w:space="0" w:color="auto"/>
              <w:left w:val="nil"/>
              <w:bottom w:val="nil"/>
              <w:right w:val="nil"/>
            </w:tcBorders>
            <w:shd w:val="clear" w:color="000000" w:fill="E6F2FF"/>
            <w:noWrap/>
            <w:vAlign w:val="center"/>
            <w:hideMark/>
          </w:tcPr>
          <w:p w14:paraId="46191767" w14:textId="77777777" w:rsidR="00D741AE" w:rsidRPr="00D741AE" w:rsidRDefault="00D741AE" w:rsidP="00D741AE">
            <w:pPr>
              <w:spacing w:before="0" w:after="0" w:line="240" w:lineRule="auto"/>
              <w:jc w:val="center"/>
              <w:rPr>
                <w:rFonts w:ascii="Arial" w:hAnsi="Arial" w:cs="Arial"/>
                <w:color w:val="000000"/>
                <w:sz w:val="16"/>
                <w:szCs w:val="16"/>
              </w:rPr>
            </w:pPr>
            <w:r w:rsidRPr="00D741AE">
              <w:rPr>
                <w:rFonts w:ascii="Arial" w:hAnsi="Arial" w:cs="Arial"/>
                <w:color w:val="000000"/>
                <w:sz w:val="16"/>
                <w:szCs w:val="16"/>
              </w:rPr>
              <w:t>2024–25</w:t>
            </w:r>
          </w:p>
        </w:tc>
        <w:tc>
          <w:tcPr>
            <w:tcW w:w="943" w:type="pct"/>
            <w:gridSpan w:val="2"/>
            <w:tcBorders>
              <w:top w:val="single" w:sz="4" w:space="0" w:color="auto"/>
              <w:left w:val="nil"/>
              <w:bottom w:val="single" w:sz="4" w:space="0" w:color="auto"/>
              <w:right w:val="nil"/>
            </w:tcBorders>
            <w:shd w:val="clear" w:color="000000" w:fill="FFFFFF"/>
            <w:noWrap/>
            <w:vAlign w:val="center"/>
            <w:hideMark/>
          </w:tcPr>
          <w:p w14:paraId="4BA3AAB3" w14:textId="77777777" w:rsidR="00D741AE" w:rsidRPr="00D741AE" w:rsidRDefault="00D741AE" w:rsidP="00D741AE">
            <w:pPr>
              <w:spacing w:before="0" w:after="0" w:line="240" w:lineRule="auto"/>
              <w:jc w:val="center"/>
              <w:rPr>
                <w:rFonts w:ascii="Arial" w:hAnsi="Arial" w:cs="Arial"/>
                <w:color w:val="000000"/>
                <w:sz w:val="16"/>
                <w:szCs w:val="16"/>
              </w:rPr>
            </w:pPr>
            <w:r w:rsidRPr="00D741AE">
              <w:rPr>
                <w:rFonts w:ascii="Arial" w:hAnsi="Arial" w:cs="Arial"/>
                <w:color w:val="000000"/>
                <w:sz w:val="16"/>
                <w:szCs w:val="16"/>
              </w:rPr>
              <w:t>2025–26</w:t>
            </w:r>
          </w:p>
        </w:tc>
        <w:tc>
          <w:tcPr>
            <w:tcW w:w="943" w:type="pct"/>
            <w:gridSpan w:val="2"/>
            <w:tcBorders>
              <w:top w:val="single" w:sz="4" w:space="0" w:color="auto"/>
              <w:left w:val="nil"/>
              <w:bottom w:val="single" w:sz="4" w:space="0" w:color="auto"/>
              <w:right w:val="nil"/>
            </w:tcBorders>
            <w:shd w:val="clear" w:color="000000" w:fill="FFFFFF"/>
            <w:noWrap/>
            <w:vAlign w:val="center"/>
            <w:hideMark/>
          </w:tcPr>
          <w:p w14:paraId="60D87E86" w14:textId="77777777" w:rsidR="00D741AE" w:rsidRPr="00D741AE" w:rsidRDefault="00D741AE" w:rsidP="00D741AE">
            <w:pPr>
              <w:spacing w:before="0" w:after="0" w:line="240" w:lineRule="auto"/>
              <w:jc w:val="center"/>
              <w:rPr>
                <w:rFonts w:ascii="Arial" w:hAnsi="Arial" w:cs="Arial"/>
                <w:color w:val="000000"/>
                <w:sz w:val="16"/>
                <w:szCs w:val="16"/>
              </w:rPr>
            </w:pPr>
            <w:r w:rsidRPr="00D741AE">
              <w:rPr>
                <w:rFonts w:ascii="Arial" w:hAnsi="Arial" w:cs="Arial"/>
                <w:color w:val="000000"/>
                <w:sz w:val="16"/>
                <w:szCs w:val="16"/>
              </w:rPr>
              <w:t>2026–27</w:t>
            </w:r>
          </w:p>
        </w:tc>
        <w:tc>
          <w:tcPr>
            <w:tcW w:w="943" w:type="pct"/>
            <w:gridSpan w:val="2"/>
            <w:tcBorders>
              <w:top w:val="single" w:sz="4" w:space="0" w:color="auto"/>
              <w:left w:val="nil"/>
              <w:bottom w:val="single" w:sz="4" w:space="0" w:color="auto"/>
              <w:right w:val="nil"/>
            </w:tcBorders>
            <w:shd w:val="clear" w:color="000000" w:fill="FFFFFF"/>
            <w:noWrap/>
            <w:vAlign w:val="center"/>
            <w:hideMark/>
          </w:tcPr>
          <w:p w14:paraId="6C7AD14A" w14:textId="77777777" w:rsidR="00D741AE" w:rsidRPr="00D741AE" w:rsidRDefault="00D741AE" w:rsidP="00D741AE">
            <w:pPr>
              <w:spacing w:before="0" w:after="0" w:line="240" w:lineRule="auto"/>
              <w:jc w:val="center"/>
              <w:rPr>
                <w:rFonts w:ascii="Arial" w:hAnsi="Arial" w:cs="Arial"/>
                <w:color w:val="000000"/>
                <w:sz w:val="16"/>
                <w:szCs w:val="16"/>
              </w:rPr>
            </w:pPr>
            <w:r w:rsidRPr="00D741AE">
              <w:rPr>
                <w:rFonts w:ascii="Arial" w:hAnsi="Arial" w:cs="Arial"/>
                <w:color w:val="000000"/>
                <w:sz w:val="16"/>
                <w:szCs w:val="16"/>
              </w:rPr>
              <w:t>2027–28</w:t>
            </w:r>
          </w:p>
        </w:tc>
      </w:tr>
      <w:tr w:rsidR="00343EC8" w:rsidRPr="00D741AE" w14:paraId="3A80E3BA" w14:textId="77777777" w:rsidTr="00D741AE">
        <w:trPr>
          <w:trHeight w:hRule="exact" w:val="224"/>
        </w:trPr>
        <w:tc>
          <w:tcPr>
            <w:tcW w:w="1227" w:type="pct"/>
            <w:tcBorders>
              <w:top w:val="nil"/>
              <w:left w:val="nil"/>
              <w:bottom w:val="nil"/>
              <w:right w:val="nil"/>
            </w:tcBorders>
            <w:shd w:val="clear" w:color="000000" w:fill="FFFFFF"/>
            <w:noWrap/>
            <w:vAlign w:val="center"/>
            <w:hideMark/>
          </w:tcPr>
          <w:p w14:paraId="4B4C5077"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409" w:type="pct"/>
            <w:tcBorders>
              <w:top w:val="single" w:sz="4" w:space="0" w:color="000000"/>
              <w:left w:val="nil"/>
              <w:bottom w:val="single" w:sz="4" w:space="0" w:color="auto"/>
              <w:right w:val="nil"/>
            </w:tcBorders>
            <w:shd w:val="clear" w:color="000000" w:fill="E6F2FF"/>
            <w:noWrap/>
            <w:vAlign w:val="center"/>
            <w:hideMark/>
          </w:tcPr>
          <w:p w14:paraId="49B7B7CD"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$b</w:t>
            </w:r>
          </w:p>
        </w:tc>
        <w:tc>
          <w:tcPr>
            <w:tcW w:w="534" w:type="pct"/>
            <w:tcBorders>
              <w:top w:val="single" w:sz="4" w:space="0" w:color="auto"/>
              <w:left w:val="nil"/>
              <w:bottom w:val="single" w:sz="4" w:space="0" w:color="auto"/>
              <w:right w:val="nil"/>
            </w:tcBorders>
            <w:shd w:val="clear" w:color="000000" w:fill="E6F2FF"/>
            <w:noWrap/>
            <w:vAlign w:val="center"/>
            <w:hideMark/>
          </w:tcPr>
          <w:p w14:paraId="281313C2"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GDP</w:t>
            </w:r>
          </w:p>
        </w:tc>
        <w:tc>
          <w:tcPr>
            <w:tcW w:w="409" w:type="pct"/>
            <w:tcBorders>
              <w:top w:val="nil"/>
              <w:left w:val="nil"/>
              <w:bottom w:val="single" w:sz="4" w:space="0" w:color="auto"/>
              <w:right w:val="nil"/>
            </w:tcBorders>
            <w:shd w:val="clear" w:color="000000" w:fill="FFFFFF"/>
            <w:noWrap/>
            <w:vAlign w:val="center"/>
            <w:hideMark/>
          </w:tcPr>
          <w:p w14:paraId="7EE9BC9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$b</w:t>
            </w:r>
          </w:p>
        </w:tc>
        <w:tc>
          <w:tcPr>
            <w:tcW w:w="534" w:type="pct"/>
            <w:tcBorders>
              <w:top w:val="nil"/>
              <w:left w:val="nil"/>
              <w:bottom w:val="single" w:sz="4" w:space="0" w:color="auto"/>
              <w:right w:val="nil"/>
            </w:tcBorders>
            <w:shd w:val="clear" w:color="000000" w:fill="FFFFFF"/>
            <w:noWrap/>
            <w:vAlign w:val="center"/>
            <w:hideMark/>
          </w:tcPr>
          <w:p w14:paraId="67F5A348"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GDP</w:t>
            </w:r>
          </w:p>
        </w:tc>
        <w:tc>
          <w:tcPr>
            <w:tcW w:w="409" w:type="pct"/>
            <w:tcBorders>
              <w:top w:val="nil"/>
              <w:left w:val="nil"/>
              <w:bottom w:val="single" w:sz="4" w:space="0" w:color="auto"/>
              <w:right w:val="nil"/>
            </w:tcBorders>
            <w:shd w:val="clear" w:color="000000" w:fill="FFFFFF"/>
            <w:noWrap/>
            <w:vAlign w:val="center"/>
            <w:hideMark/>
          </w:tcPr>
          <w:p w14:paraId="5585EFAD"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$b</w:t>
            </w:r>
          </w:p>
        </w:tc>
        <w:tc>
          <w:tcPr>
            <w:tcW w:w="534" w:type="pct"/>
            <w:tcBorders>
              <w:top w:val="nil"/>
              <w:left w:val="nil"/>
              <w:bottom w:val="single" w:sz="4" w:space="0" w:color="auto"/>
              <w:right w:val="nil"/>
            </w:tcBorders>
            <w:shd w:val="clear" w:color="000000" w:fill="FFFFFF"/>
            <w:noWrap/>
            <w:vAlign w:val="center"/>
            <w:hideMark/>
          </w:tcPr>
          <w:p w14:paraId="0E48969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GDP</w:t>
            </w:r>
          </w:p>
        </w:tc>
        <w:tc>
          <w:tcPr>
            <w:tcW w:w="409" w:type="pct"/>
            <w:tcBorders>
              <w:top w:val="nil"/>
              <w:left w:val="nil"/>
              <w:bottom w:val="single" w:sz="4" w:space="0" w:color="auto"/>
              <w:right w:val="nil"/>
            </w:tcBorders>
            <w:shd w:val="clear" w:color="000000" w:fill="FFFFFF"/>
            <w:noWrap/>
            <w:vAlign w:val="center"/>
            <w:hideMark/>
          </w:tcPr>
          <w:p w14:paraId="11C6EBEA"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$b</w:t>
            </w:r>
          </w:p>
        </w:tc>
        <w:tc>
          <w:tcPr>
            <w:tcW w:w="534" w:type="pct"/>
            <w:tcBorders>
              <w:top w:val="nil"/>
              <w:left w:val="nil"/>
              <w:bottom w:val="single" w:sz="4" w:space="0" w:color="auto"/>
              <w:right w:val="nil"/>
            </w:tcBorders>
            <w:shd w:val="clear" w:color="000000" w:fill="FFFFFF"/>
            <w:noWrap/>
            <w:vAlign w:val="center"/>
            <w:hideMark/>
          </w:tcPr>
          <w:p w14:paraId="1755328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GDP</w:t>
            </w:r>
          </w:p>
        </w:tc>
      </w:tr>
      <w:tr w:rsidR="00D741AE" w:rsidRPr="00D741AE" w14:paraId="74DA5899" w14:textId="77777777" w:rsidTr="00D741AE">
        <w:trPr>
          <w:trHeight w:hRule="exact" w:val="60"/>
        </w:trPr>
        <w:tc>
          <w:tcPr>
            <w:tcW w:w="1227" w:type="pct"/>
            <w:tcBorders>
              <w:top w:val="nil"/>
              <w:left w:val="nil"/>
              <w:bottom w:val="nil"/>
              <w:right w:val="nil"/>
            </w:tcBorders>
            <w:shd w:val="clear" w:color="000000" w:fill="FFFFFF"/>
            <w:noWrap/>
            <w:vAlign w:val="center"/>
            <w:hideMark/>
          </w:tcPr>
          <w:p w14:paraId="7DAD1941"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E6F2FF"/>
            <w:noWrap/>
            <w:vAlign w:val="center"/>
            <w:hideMark/>
          </w:tcPr>
          <w:p w14:paraId="74AEC5C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E6F2FF"/>
            <w:noWrap/>
            <w:vAlign w:val="center"/>
            <w:hideMark/>
          </w:tcPr>
          <w:p w14:paraId="6FE6442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6FD246F0"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70F8683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04C3BA2A"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63C9942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47468805"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77DD037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602AD3EB"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7785CF4E"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Revenue</w:t>
            </w:r>
          </w:p>
        </w:tc>
        <w:tc>
          <w:tcPr>
            <w:tcW w:w="409" w:type="pct"/>
            <w:tcBorders>
              <w:top w:val="nil"/>
              <w:left w:val="nil"/>
              <w:bottom w:val="nil"/>
              <w:right w:val="nil"/>
            </w:tcBorders>
            <w:shd w:val="clear" w:color="000000" w:fill="E6F2FF"/>
            <w:noWrap/>
            <w:vAlign w:val="center"/>
            <w:hideMark/>
          </w:tcPr>
          <w:p w14:paraId="636EC890"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E6F2FF"/>
            <w:noWrap/>
            <w:vAlign w:val="center"/>
            <w:hideMark/>
          </w:tcPr>
          <w:p w14:paraId="2C112570" w14:textId="77777777" w:rsidR="00D741AE" w:rsidRPr="00D741AE" w:rsidRDefault="00D741AE" w:rsidP="00D741AE">
            <w:pPr>
              <w:spacing w:before="0" w:after="0" w:line="240" w:lineRule="auto"/>
              <w:jc w:val="right"/>
              <w:rPr>
                <w:rFonts w:ascii="Arial" w:hAnsi="Arial" w:cs="Arial"/>
                <w:b/>
                <w:bCs/>
                <w:color w:val="000000"/>
                <w:sz w:val="16"/>
                <w:szCs w:val="16"/>
              </w:rPr>
            </w:pPr>
            <w:r w:rsidRPr="00D741AE">
              <w:rPr>
                <w:rFonts w:ascii="Arial" w:hAnsi="Arial" w:cs="Arial"/>
                <w:b/>
                <w:bCs/>
                <w:color w:val="000000"/>
                <w:sz w:val="16"/>
                <w:szCs w:val="16"/>
              </w:rPr>
              <w:t> </w:t>
            </w:r>
          </w:p>
        </w:tc>
        <w:tc>
          <w:tcPr>
            <w:tcW w:w="409" w:type="pct"/>
            <w:tcBorders>
              <w:top w:val="nil"/>
              <w:left w:val="nil"/>
              <w:bottom w:val="nil"/>
              <w:right w:val="nil"/>
            </w:tcBorders>
            <w:shd w:val="clear" w:color="000000" w:fill="FFFFFF"/>
            <w:noWrap/>
            <w:vAlign w:val="center"/>
            <w:hideMark/>
          </w:tcPr>
          <w:p w14:paraId="28D60D76"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36CF1E31" w14:textId="77777777" w:rsidR="00D741AE" w:rsidRPr="00D741AE" w:rsidRDefault="00D741AE" w:rsidP="00D741AE">
            <w:pPr>
              <w:spacing w:before="0" w:after="0" w:line="240" w:lineRule="auto"/>
              <w:jc w:val="right"/>
              <w:rPr>
                <w:rFonts w:ascii="Arial" w:hAnsi="Arial" w:cs="Arial"/>
                <w:b/>
                <w:bCs/>
                <w:color w:val="000000"/>
                <w:sz w:val="16"/>
                <w:szCs w:val="16"/>
              </w:rPr>
            </w:pPr>
            <w:r w:rsidRPr="00D741AE">
              <w:rPr>
                <w:rFonts w:ascii="Arial" w:hAnsi="Arial" w:cs="Arial"/>
                <w:b/>
                <w:bCs/>
                <w:color w:val="000000"/>
                <w:sz w:val="16"/>
                <w:szCs w:val="16"/>
              </w:rPr>
              <w:t> </w:t>
            </w:r>
          </w:p>
        </w:tc>
        <w:tc>
          <w:tcPr>
            <w:tcW w:w="409" w:type="pct"/>
            <w:tcBorders>
              <w:top w:val="nil"/>
              <w:left w:val="nil"/>
              <w:bottom w:val="nil"/>
              <w:right w:val="nil"/>
            </w:tcBorders>
            <w:shd w:val="clear" w:color="000000" w:fill="FFFFFF"/>
            <w:noWrap/>
            <w:vAlign w:val="center"/>
            <w:hideMark/>
          </w:tcPr>
          <w:p w14:paraId="42C60BBA"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42BCB4D0" w14:textId="77777777" w:rsidR="00D741AE" w:rsidRPr="00D741AE" w:rsidRDefault="00D741AE" w:rsidP="00D741AE">
            <w:pPr>
              <w:spacing w:before="0" w:after="0" w:line="240" w:lineRule="auto"/>
              <w:jc w:val="right"/>
              <w:rPr>
                <w:rFonts w:ascii="Arial" w:hAnsi="Arial" w:cs="Arial"/>
                <w:b/>
                <w:bCs/>
                <w:color w:val="000000"/>
                <w:sz w:val="16"/>
                <w:szCs w:val="16"/>
              </w:rPr>
            </w:pPr>
            <w:r w:rsidRPr="00D741AE">
              <w:rPr>
                <w:rFonts w:ascii="Arial" w:hAnsi="Arial" w:cs="Arial"/>
                <w:b/>
                <w:bCs/>
                <w:color w:val="000000"/>
                <w:sz w:val="16"/>
                <w:szCs w:val="16"/>
              </w:rPr>
              <w:t> </w:t>
            </w:r>
          </w:p>
        </w:tc>
        <w:tc>
          <w:tcPr>
            <w:tcW w:w="409" w:type="pct"/>
            <w:tcBorders>
              <w:top w:val="nil"/>
              <w:left w:val="nil"/>
              <w:bottom w:val="nil"/>
              <w:right w:val="nil"/>
            </w:tcBorders>
            <w:shd w:val="clear" w:color="000000" w:fill="FFFFFF"/>
            <w:noWrap/>
            <w:vAlign w:val="center"/>
            <w:hideMark/>
          </w:tcPr>
          <w:p w14:paraId="5C716C06"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064A0191" w14:textId="77777777" w:rsidR="00D741AE" w:rsidRPr="00D741AE" w:rsidRDefault="00D741AE" w:rsidP="00D741AE">
            <w:pPr>
              <w:spacing w:before="0" w:after="0" w:line="240" w:lineRule="auto"/>
              <w:jc w:val="right"/>
              <w:rPr>
                <w:rFonts w:ascii="Arial" w:hAnsi="Arial" w:cs="Arial"/>
                <w:b/>
                <w:bCs/>
                <w:color w:val="000000"/>
                <w:sz w:val="16"/>
                <w:szCs w:val="16"/>
              </w:rPr>
            </w:pPr>
            <w:r w:rsidRPr="00D741AE">
              <w:rPr>
                <w:rFonts w:ascii="Arial" w:hAnsi="Arial" w:cs="Arial"/>
                <w:b/>
                <w:bCs/>
                <w:color w:val="000000"/>
                <w:sz w:val="16"/>
                <w:szCs w:val="16"/>
              </w:rPr>
              <w:t> </w:t>
            </w:r>
          </w:p>
        </w:tc>
      </w:tr>
      <w:tr w:rsidR="00D741AE" w:rsidRPr="00D741AE" w14:paraId="4C2A7ECD"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6610B9B5" w14:textId="77777777" w:rsidR="00D741AE" w:rsidRPr="00D741AE" w:rsidRDefault="00D741AE" w:rsidP="00D741AE">
            <w:pPr>
              <w:spacing w:before="0" w:after="0" w:line="240" w:lineRule="auto"/>
              <w:ind w:left="340"/>
              <w:rPr>
                <w:rFonts w:ascii="Arial" w:hAnsi="Arial" w:cs="Arial"/>
                <w:color w:val="000000"/>
                <w:sz w:val="16"/>
                <w:szCs w:val="16"/>
              </w:rPr>
            </w:pPr>
            <w:r w:rsidRPr="00D741AE">
              <w:rPr>
                <w:rFonts w:ascii="Arial" w:hAnsi="Arial" w:cs="Arial"/>
                <w:color w:val="000000"/>
                <w:sz w:val="16"/>
                <w:szCs w:val="16"/>
              </w:rPr>
              <w:t>MYEFO</w:t>
            </w:r>
          </w:p>
        </w:tc>
        <w:tc>
          <w:tcPr>
            <w:tcW w:w="409" w:type="pct"/>
            <w:tcBorders>
              <w:top w:val="nil"/>
              <w:left w:val="nil"/>
              <w:bottom w:val="nil"/>
              <w:right w:val="nil"/>
            </w:tcBorders>
            <w:shd w:val="clear" w:color="000000" w:fill="E6F2FF"/>
            <w:noWrap/>
            <w:vAlign w:val="center"/>
            <w:hideMark/>
          </w:tcPr>
          <w:p w14:paraId="2AB13EB4"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718.3</w:t>
            </w:r>
          </w:p>
        </w:tc>
        <w:tc>
          <w:tcPr>
            <w:tcW w:w="534" w:type="pct"/>
            <w:tcBorders>
              <w:top w:val="nil"/>
              <w:left w:val="nil"/>
              <w:bottom w:val="nil"/>
              <w:right w:val="nil"/>
            </w:tcBorders>
            <w:shd w:val="clear" w:color="000000" w:fill="E6F2FF"/>
            <w:noWrap/>
            <w:vAlign w:val="center"/>
            <w:hideMark/>
          </w:tcPr>
          <w:p w14:paraId="6CBF5315"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26.0</w:t>
            </w:r>
          </w:p>
        </w:tc>
        <w:tc>
          <w:tcPr>
            <w:tcW w:w="409" w:type="pct"/>
            <w:tcBorders>
              <w:top w:val="nil"/>
              <w:left w:val="nil"/>
              <w:bottom w:val="nil"/>
              <w:right w:val="nil"/>
            </w:tcBorders>
            <w:shd w:val="clear" w:color="000000" w:fill="FFFFFF"/>
            <w:noWrap/>
            <w:vAlign w:val="center"/>
            <w:hideMark/>
          </w:tcPr>
          <w:p w14:paraId="02E348B7"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743.2</w:t>
            </w:r>
          </w:p>
        </w:tc>
        <w:tc>
          <w:tcPr>
            <w:tcW w:w="534" w:type="pct"/>
            <w:tcBorders>
              <w:top w:val="nil"/>
              <w:left w:val="nil"/>
              <w:bottom w:val="nil"/>
              <w:right w:val="nil"/>
            </w:tcBorders>
            <w:shd w:val="clear" w:color="000000" w:fill="FFFFFF"/>
            <w:noWrap/>
            <w:vAlign w:val="center"/>
            <w:hideMark/>
          </w:tcPr>
          <w:p w14:paraId="6469402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26.0</w:t>
            </w:r>
          </w:p>
        </w:tc>
        <w:tc>
          <w:tcPr>
            <w:tcW w:w="409" w:type="pct"/>
            <w:tcBorders>
              <w:top w:val="nil"/>
              <w:left w:val="nil"/>
              <w:bottom w:val="nil"/>
              <w:right w:val="nil"/>
            </w:tcBorders>
            <w:shd w:val="clear" w:color="000000" w:fill="FFFFFF"/>
            <w:noWrap/>
            <w:vAlign w:val="center"/>
            <w:hideMark/>
          </w:tcPr>
          <w:p w14:paraId="34CF6121"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781.0</w:t>
            </w:r>
          </w:p>
        </w:tc>
        <w:tc>
          <w:tcPr>
            <w:tcW w:w="534" w:type="pct"/>
            <w:tcBorders>
              <w:top w:val="nil"/>
              <w:left w:val="nil"/>
              <w:bottom w:val="nil"/>
              <w:right w:val="nil"/>
            </w:tcBorders>
            <w:shd w:val="clear" w:color="000000" w:fill="FFFFFF"/>
            <w:noWrap/>
            <w:vAlign w:val="center"/>
            <w:hideMark/>
          </w:tcPr>
          <w:p w14:paraId="12CDFF9D"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26.0</w:t>
            </w:r>
          </w:p>
        </w:tc>
        <w:tc>
          <w:tcPr>
            <w:tcW w:w="409" w:type="pct"/>
            <w:tcBorders>
              <w:top w:val="nil"/>
              <w:left w:val="nil"/>
              <w:bottom w:val="nil"/>
              <w:right w:val="nil"/>
            </w:tcBorders>
            <w:shd w:val="clear" w:color="000000" w:fill="FFFFFF"/>
            <w:noWrap/>
            <w:vAlign w:val="center"/>
            <w:hideMark/>
          </w:tcPr>
          <w:p w14:paraId="03D3EE9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822.4</w:t>
            </w:r>
          </w:p>
        </w:tc>
        <w:tc>
          <w:tcPr>
            <w:tcW w:w="534" w:type="pct"/>
            <w:tcBorders>
              <w:top w:val="nil"/>
              <w:left w:val="nil"/>
              <w:bottom w:val="nil"/>
              <w:right w:val="nil"/>
            </w:tcBorders>
            <w:shd w:val="clear" w:color="000000" w:fill="FFFFFF"/>
            <w:noWrap/>
            <w:vAlign w:val="center"/>
            <w:hideMark/>
          </w:tcPr>
          <w:p w14:paraId="74751EC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26.0</w:t>
            </w:r>
          </w:p>
        </w:tc>
      </w:tr>
      <w:tr w:rsidR="00D741AE" w:rsidRPr="00D741AE" w14:paraId="25620391"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154F5578" w14:textId="77777777" w:rsidR="00D741AE" w:rsidRPr="00D741AE" w:rsidRDefault="00D741AE" w:rsidP="00D741AE">
            <w:pPr>
              <w:spacing w:before="0" w:after="0" w:line="240" w:lineRule="auto"/>
              <w:ind w:left="340"/>
              <w:rPr>
                <w:rFonts w:ascii="Arial" w:hAnsi="Arial" w:cs="Arial"/>
                <w:i/>
                <w:iCs/>
                <w:color w:val="000000"/>
                <w:sz w:val="16"/>
                <w:szCs w:val="16"/>
              </w:rPr>
            </w:pPr>
            <w:r w:rsidRPr="00D741AE">
              <w:rPr>
                <w:rFonts w:ascii="Arial" w:hAnsi="Arial" w:cs="Arial"/>
                <w:i/>
                <w:iCs/>
                <w:color w:val="000000"/>
                <w:sz w:val="16"/>
                <w:szCs w:val="16"/>
              </w:rPr>
              <w:t>Budget</w:t>
            </w:r>
          </w:p>
        </w:tc>
        <w:tc>
          <w:tcPr>
            <w:tcW w:w="409" w:type="pct"/>
            <w:tcBorders>
              <w:top w:val="nil"/>
              <w:left w:val="nil"/>
              <w:bottom w:val="nil"/>
              <w:right w:val="nil"/>
            </w:tcBorders>
            <w:shd w:val="clear" w:color="000000" w:fill="E6F2FF"/>
            <w:noWrap/>
            <w:vAlign w:val="center"/>
            <w:hideMark/>
          </w:tcPr>
          <w:p w14:paraId="1F8E8BA7"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711.5</w:t>
            </w:r>
          </w:p>
        </w:tc>
        <w:tc>
          <w:tcPr>
            <w:tcW w:w="534" w:type="pct"/>
            <w:tcBorders>
              <w:top w:val="nil"/>
              <w:left w:val="nil"/>
              <w:bottom w:val="nil"/>
              <w:right w:val="nil"/>
            </w:tcBorders>
            <w:shd w:val="clear" w:color="000000" w:fill="E6F2FF"/>
            <w:noWrap/>
            <w:vAlign w:val="center"/>
            <w:hideMark/>
          </w:tcPr>
          <w:p w14:paraId="3A903BD7"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25.8</w:t>
            </w:r>
          </w:p>
        </w:tc>
        <w:tc>
          <w:tcPr>
            <w:tcW w:w="409" w:type="pct"/>
            <w:tcBorders>
              <w:top w:val="nil"/>
              <w:left w:val="nil"/>
              <w:bottom w:val="nil"/>
              <w:right w:val="nil"/>
            </w:tcBorders>
            <w:shd w:val="clear" w:color="000000" w:fill="FFFFFF"/>
            <w:noWrap/>
            <w:vAlign w:val="center"/>
            <w:hideMark/>
          </w:tcPr>
          <w:p w14:paraId="4A548D75"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732.7</w:t>
            </w:r>
          </w:p>
        </w:tc>
        <w:tc>
          <w:tcPr>
            <w:tcW w:w="534" w:type="pct"/>
            <w:tcBorders>
              <w:top w:val="nil"/>
              <w:left w:val="nil"/>
              <w:bottom w:val="nil"/>
              <w:right w:val="nil"/>
            </w:tcBorders>
            <w:shd w:val="clear" w:color="000000" w:fill="FFFFFF"/>
            <w:noWrap/>
            <w:vAlign w:val="center"/>
            <w:hideMark/>
          </w:tcPr>
          <w:p w14:paraId="28C39FFD"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25.5</w:t>
            </w:r>
          </w:p>
        </w:tc>
        <w:tc>
          <w:tcPr>
            <w:tcW w:w="409" w:type="pct"/>
            <w:tcBorders>
              <w:top w:val="nil"/>
              <w:left w:val="nil"/>
              <w:bottom w:val="nil"/>
              <w:right w:val="nil"/>
            </w:tcBorders>
            <w:shd w:val="clear" w:color="000000" w:fill="FFFFFF"/>
            <w:noWrap/>
            <w:vAlign w:val="center"/>
            <w:hideMark/>
          </w:tcPr>
          <w:p w14:paraId="73DD889F"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776.2</w:t>
            </w:r>
          </w:p>
        </w:tc>
        <w:tc>
          <w:tcPr>
            <w:tcW w:w="534" w:type="pct"/>
            <w:tcBorders>
              <w:top w:val="nil"/>
              <w:left w:val="nil"/>
              <w:bottom w:val="nil"/>
              <w:right w:val="nil"/>
            </w:tcBorders>
            <w:shd w:val="clear" w:color="000000" w:fill="FFFFFF"/>
            <w:noWrap/>
            <w:vAlign w:val="center"/>
            <w:hideMark/>
          </w:tcPr>
          <w:p w14:paraId="14CF2231"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25.7</w:t>
            </w:r>
          </w:p>
        </w:tc>
        <w:tc>
          <w:tcPr>
            <w:tcW w:w="409" w:type="pct"/>
            <w:tcBorders>
              <w:top w:val="nil"/>
              <w:left w:val="nil"/>
              <w:bottom w:val="nil"/>
              <w:right w:val="nil"/>
            </w:tcBorders>
            <w:shd w:val="clear" w:color="000000" w:fill="FFFFFF"/>
            <w:noWrap/>
            <w:vAlign w:val="center"/>
            <w:hideMark/>
          </w:tcPr>
          <w:p w14:paraId="695F70F7"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819.6</w:t>
            </w:r>
          </w:p>
        </w:tc>
        <w:tc>
          <w:tcPr>
            <w:tcW w:w="534" w:type="pct"/>
            <w:tcBorders>
              <w:top w:val="nil"/>
              <w:left w:val="nil"/>
              <w:bottom w:val="nil"/>
              <w:right w:val="nil"/>
            </w:tcBorders>
            <w:shd w:val="clear" w:color="000000" w:fill="FFFFFF"/>
            <w:noWrap/>
            <w:vAlign w:val="center"/>
            <w:hideMark/>
          </w:tcPr>
          <w:p w14:paraId="0D7D924B"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25.8</w:t>
            </w:r>
          </w:p>
        </w:tc>
      </w:tr>
      <w:tr w:rsidR="00D741AE" w:rsidRPr="00D741AE" w14:paraId="29BA056C" w14:textId="77777777" w:rsidTr="00D741AE">
        <w:trPr>
          <w:trHeight w:hRule="exact" w:val="60"/>
        </w:trPr>
        <w:tc>
          <w:tcPr>
            <w:tcW w:w="1227" w:type="pct"/>
            <w:tcBorders>
              <w:top w:val="nil"/>
              <w:left w:val="nil"/>
              <w:bottom w:val="nil"/>
              <w:right w:val="nil"/>
            </w:tcBorders>
            <w:shd w:val="clear" w:color="000000" w:fill="FFFFFF"/>
            <w:noWrap/>
            <w:vAlign w:val="center"/>
            <w:hideMark/>
          </w:tcPr>
          <w:p w14:paraId="3C2F8D9E"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E6F2FF"/>
            <w:noWrap/>
            <w:vAlign w:val="center"/>
            <w:hideMark/>
          </w:tcPr>
          <w:p w14:paraId="0758CC3B"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E6F2FF"/>
            <w:noWrap/>
            <w:vAlign w:val="center"/>
            <w:hideMark/>
          </w:tcPr>
          <w:p w14:paraId="749FA12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2AF5B447"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2F11C54F"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57CB4668"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2C58F46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6BA4C71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2B77B07A"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28736D7B"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606ED68D"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Expenses</w:t>
            </w:r>
          </w:p>
        </w:tc>
        <w:tc>
          <w:tcPr>
            <w:tcW w:w="409" w:type="pct"/>
            <w:tcBorders>
              <w:top w:val="nil"/>
              <w:left w:val="nil"/>
              <w:bottom w:val="nil"/>
              <w:right w:val="nil"/>
            </w:tcBorders>
            <w:shd w:val="clear" w:color="000000" w:fill="E6F2FF"/>
            <w:noWrap/>
            <w:vAlign w:val="center"/>
            <w:hideMark/>
          </w:tcPr>
          <w:p w14:paraId="1729C2A8"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E6F2FF"/>
            <w:noWrap/>
            <w:vAlign w:val="center"/>
            <w:hideMark/>
          </w:tcPr>
          <w:p w14:paraId="381D5BE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595C9C71"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50EA72D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4D4583FE"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7EE57CD7"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44F32E94"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404EC1F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6F2D5200"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6F3BD83B" w14:textId="77777777" w:rsidR="00D741AE" w:rsidRPr="00D741AE" w:rsidRDefault="00D741AE" w:rsidP="00D741AE">
            <w:pPr>
              <w:spacing w:before="0" w:after="0" w:line="240" w:lineRule="auto"/>
              <w:ind w:left="340"/>
              <w:rPr>
                <w:rFonts w:ascii="Arial" w:hAnsi="Arial" w:cs="Arial"/>
                <w:color w:val="000000"/>
                <w:sz w:val="16"/>
                <w:szCs w:val="16"/>
              </w:rPr>
            </w:pPr>
            <w:r w:rsidRPr="00D741AE">
              <w:rPr>
                <w:rFonts w:ascii="Arial" w:hAnsi="Arial" w:cs="Arial"/>
                <w:color w:val="000000"/>
                <w:sz w:val="16"/>
                <w:szCs w:val="16"/>
              </w:rPr>
              <w:t>MYEFO</w:t>
            </w:r>
          </w:p>
        </w:tc>
        <w:tc>
          <w:tcPr>
            <w:tcW w:w="409" w:type="pct"/>
            <w:tcBorders>
              <w:top w:val="nil"/>
              <w:left w:val="nil"/>
              <w:bottom w:val="nil"/>
              <w:right w:val="nil"/>
            </w:tcBorders>
            <w:shd w:val="clear" w:color="000000" w:fill="E6F2FF"/>
            <w:noWrap/>
            <w:vAlign w:val="center"/>
            <w:hideMark/>
          </w:tcPr>
          <w:p w14:paraId="65E3336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758.6</w:t>
            </w:r>
          </w:p>
        </w:tc>
        <w:tc>
          <w:tcPr>
            <w:tcW w:w="534" w:type="pct"/>
            <w:tcBorders>
              <w:top w:val="nil"/>
              <w:left w:val="nil"/>
              <w:bottom w:val="nil"/>
              <w:right w:val="nil"/>
            </w:tcBorders>
            <w:shd w:val="clear" w:color="000000" w:fill="E6F2FF"/>
            <w:noWrap/>
            <w:vAlign w:val="center"/>
            <w:hideMark/>
          </w:tcPr>
          <w:p w14:paraId="583742CB"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27.5</w:t>
            </w:r>
          </w:p>
        </w:tc>
        <w:tc>
          <w:tcPr>
            <w:tcW w:w="409" w:type="pct"/>
            <w:tcBorders>
              <w:top w:val="nil"/>
              <w:left w:val="nil"/>
              <w:bottom w:val="nil"/>
              <w:right w:val="nil"/>
            </w:tcBorders>
            <w:shd w:val="clear" w:color="000000" w:fill="FFFFFF"/>
            <w:noWrap/>
            <w:vAlign w:val="center"/>
            <w:hideMark/>
          </w:tcPr>
          <w:p w14:paraId="5B0A39D0"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784.6</w:t>
            </w:r>
          </w:p>
        </w:tc>
        <w:tc>
          <w:tcPr>
            <w:tcW w:w="534" w:type="pct"/>
            <w:tcBorders>
              <w:top w:val="nil"/>
              <w:left w:val="nil"/>
              <w:bottom w:val="nil"/>
              <w:right w:val="nil"/>
            </w:tcBorders>
            <w:shd w:val="clear" w:color="000000" w:fill="FFFFFF"/>
            <w:noWrap/>
            <w:vAlign w:val="center"/>
            <w:hideMark/>
          </w:tcPr>
          <w:p w14:paraId="3258D920"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27.5</w:t>
            </w:r>
          </w:p>
        </w:tc>
        <w:tc>
          <w:tcPr>
            <w:tcW w:w="409" w:type="pct"/>
            <w:tcBorders>
              <w:top w:val="nil"/>
              <w:left w:val="nil"/>
              <w:bottom w:val="nil"/>
              <w:right w:val="nil"/>
            </w:tcBorders>
            <w:shd w:val="clear" w:color="000000" w:fill="FFFFFF"/>
            <w:noWrap/>
            <w:vAlign w:val="center"/>
            <w:hideMark/>
          </w:tcPr>
          <w:p w14:paraId="158E5E12"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809.0</w:t>
            </w:r>
          </w:p>
        </w:tc>
        <w:tc>
          <w:tcPr>
            <w:tcW w:w="534" w:type="pct"/>
            <w:tcBorders>
              <w:top w:val="nil"/>
              <w:left w:val="nil"/>
              <w:bottom w:val="nil"/>
              <w:right w:val="nil"/>
            </w:tcBorders>
            <w:shd w:val="clear" w:color="000000" w:fill="FFFFFF"/>
            <w:noWrap/>
            <w:vAlign w:val="center"/>
            <w:hideMark/>
          </w:tcPr>
          <w:p w14:paraId="11BB89E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27.0</w:t>
            </w:r>
          </w:p>
        </w:tc>
        <w:tc>
          <w:tcPr>
            <w:tcW w:w="409" w:type="pct"/>
            <w:tcBorders>
              <w:top w:val="nil"/>
              <w:left w:val="nil"/>
              <w:bottom w:val="nil"/>
              <w:right w:val="nil"/>
            </w:tcBorders>
            <w:shd w:val="clear" w:color="000000" w:fill="FFFFFF"/>
            <w:noWrap/>
            <w:vAlign w:val="center"/>
            <w:hideMark/>
          </w:tcPr>
          <w:p w14:paraId="62A6CABF"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844.6</w:t>
            </w:r>
          </w:p>
        </w:tc>
        <w:tc>
          <w:tcPr>
            <w:tcW w:w="534" w:type="pct"/>
            <w:tcBorders>
              <w:top w:val="nil"/>
              <w:left w:val="nil"/>
              <w:bottom w:val="nil"/>
              <w:right w:val="nil"/>
            </w:tcBorders>
            <w:shd w:val="clear" w:color="000000" w:fill="FFFFFF"/>
            <w:noWrap/>
            <w:vAlign w:val="center"/>
            <w:hideMark/>
          </w:tcPr>
          <w:p w14:paraId="33BCDB14"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26.7</w:t>
            </w:r>
          </w:p>
        </w:tc>
      </w:tr>
      <w:tr w:rsidR="00D741AE" w:rsidRPr="00D741AE" w14:paraId="194DF3E6"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38AFABA2" w14:textId="77777777" w:rsidR="00D741AE" w:rsidRPr="00D741AE" w:rsidRDefault="00D741AE" w:rsidP="00D741AE">
            <w:pPr>
              <w:spacing w:before="0" w:after="0" w:line="240" w:lineRule="auto"/>
              <w:ind w:left="340"/>
              <w:rPr>
                <w:rFonts w:ascii="Arial" w:hAnsi="Arial" w:cs="Arial"/>
                <w:i/>
                <w:iCs/>
                <w:color w:val="000000"/>
                <w:sz w:val="16"/>
                <w:szCs w:val="16"/>
              </w:rPr>
            </w:pPr>
            <w:r w:rsidRPr="00D741AE">
              <w:rPr>
                <w:rFonts w:ascii="Arial" w:hAnsi="Arial" w:cs="Arial"/>
                <w:i/>
                <w:iCs/>
                <w:color w:val="000000"/>
                <w:sz w:val="16"/>
                <w:szCs w:val="16"/>
              </w:rPr>
              <w:t>Budget</w:t>
            </w:r>
          </w:p>
        </w:tc>
        <w:tc>
          <w:tcPr>
            <w:tcW w:w="409" w:type="pct"/>
            <w:tcBorders>
              <w:top w:val="nil"/>
              <w:left w:val="nil"/>
              <w:bottom w:val="nil"/>
              <w:right w:val="nil"/>
            </w:tcBorders>
            <w:shd w:val="clear" w:color="000000" w:fill="E6F2FF"/>
            <w:noWrap/>
            <w:vAlign w:val="center"/>
            <w:hideMark/>
          </w:tcPr>
          <w:p w14:paraId="46583367"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734.5</w:t>
            </w:r>
          </w:p>
        </w:tc>
        <w:tc>
          <w:tcPr>
            <w:tcW w:w="534" w:type="pct"/>
            <w:tcBorders>
              <w:top w:val="nil"/>
              <w:left w:val="nil"/>
              <w:bottom w:val="nil"/>
              <w:right w:val="nil"/>
            </w:tcBorders>
            <w:shd w:val="clear" w:color="000000" w:fill="E6F2FF"/>
            <w:noWrap/>
            <w:vAlign w:val="center"/>
            <w:hideMark/>
          </w:tcPr>
          <w:p w14:paraId="40B8D02F"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26.6</w:t>
            </w:r>
          </w:p>
        </w:tc>
        <w:tc>
          <w:tcPr>
            <w:tcW w:w="409" w:type="pct"/>
            <w:tcBorders>
              <w:top w:val="nil"/>
              <w:left w:val="nil"/>
              <w:bottom w:val="nil"/>
              <w:right w:val="nil"/>
            </w:tcBorders>
            <w:shd w:val="clear" w:color="000000" w:fill="FFFFFF"/>
            <w:noWrap/>
            <w:vAlign w:val="center"/>
            <w:hideMark/>
          </w:tcPr>
          <w:p w14:paraId="0D1765C8"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767.3</w:t>
            </w:r>
          </w:p>
        </w:tc>
        <w:tc>
          <w:tcPr>
            <w:tcW w:w="534" w:type="pct"/>
            <w:tcBorders>
              <w:top w:val="nil"/>
              <w:left w:val="nil"/>
              <w:bottom w:val="nil"/>
              <w:right w:val="nil"/>
            </w:tcBorders>
            <w:shd w:val="clear" w:color="000000" w:fill="FFFFFF"/>
            <w:noWrap/>
            <w:vAlign w:val="center"/>
            <w:hideMark/>
          </w:tcPr>
          <w:p w14:paraId="55A860CD"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26.7</w:t>
            </w:r>
          </w:p>
        </w:tc>
        <w:tc>
          <w:tcPr>
            <w:tcW w:w="409" w:type="pct"/>
            <w:tcBorders>
              <w:top w:val="nil"/>
              <w:left w:val="nil"/>
              <w:bottom w:val="nil"/>
              <w:right w:val="nil"/>
            </w:tcBorders>
            <w:shd w:val="clear" w:color="000000" w:fill="FFFFFF"/>
            <w:noWrap/>
            <w:vAlign w:val="center"/>
            <w:hideMark/>
          </w:tcPr>
          <w:p w14:paraId="37968CB0"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793.8</w:t>
            </w:r>
          </w:p>
        </w:tc>
        <w:tc>
          <w:tcPr>
            <w:tcW w:w="534" w:type="pct"/>
            <w:tcBorders>
              <w:top w:val="nil"/>
              <w:left w:val="nil"/>
              <w:bottom w:val="nil"/>
              <w:right w:val="nil"/>
            </w:tcBorders>
            <w:shd w:val="clear" w:color="000000" w:fill="FFFFFF"/>
            <w:noWrap/>
            <w:vAlign w:val="center"/>
            <w:hideMark/>
          </w:tcPr>
          <w:p w14:paraId="25A00B37"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26.3</w:t>
            </w:r>
          </w:p>
        </w:tc>
        <w:tc>
          <w:tcPr>
            <w:tcW w:w="409" w:type="pct"/>
            <w:tcBorders>
              <w:top w:val="nil"/>
              <w:left w:val="nil"/>
              <w:bottom w:val="nil"/>
              <w:right w:val="nil"/>
            </w:tcBorders>
            <w:shd w:val="clear" w:color="000000" w:fill="FFFFFF"/>
            <w:noWrap/>
            <w:vAlign w:val="center"/>
            <w:hideMark/>
          </w:tcPr>
          <w:p w14:paraId="07DAF734"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829.8</w:t>
            </w:r>
          </w:p>
        </w:tc>
        <w:tc>
          <w:tcPr>
            <w:tcW w:w="534" w:type="pct"/>
            <w:tcBorders>
              <w:top w:val="nil"/>
              <w:left w:val="nil"/>
              <w:bottom w:val="nil"/>
              <w:right w:val="nil"/>
            </w:tcBorders>
            <w:shd w:val="clear" w:color="000000" w:fill="FFFFFF"/>
            <w:noWrap/>
            <w:vAlign w:val="center"/>
            <w:hideMark/>
          </w:tcPr>
          <w:p w14:paraId="764A3E89"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26.1</w:t>
            </w:r>
          </w:p>
        </w:tc>
      </w:tr>
      <w:tr w:rsidR="00D741AE" w:rsidRPr="00D741AE" w14:paraId="0069CFB7" w14:textId="77777777" w:rsidTr="00D741AE">
        <w:trPr>
          <w:trHeight w:hRule="exact" w:val="60"/>
        </w:trPr>
        <w:tc>
          <w:tcPr>
            <w:tcW w:w="1227" w:type="pct"/>
            <w:tcBorders>
              <w:top w:val="nil"/>
              <w:left w:val="nil"/>
              <w:bottom w:val="nil"/>
              <w:right w:val="nil"/>
            </w:tcBorders>
            <w:shd w:val="clear" w:color="000000" w:fill="FFFFFF"/>
            <w:noWrap/>
            <w:vAlign w:val="center"/>
            <w:hideMark/>
          </w:tcPr>
          <w:p w14:paraId="5E928835"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E6F2FF"/>
            <w:noWrap/>
            <w:vAlign w:val="center"/>
            <w:hideMark/>
          </w:tcPr>
          <w:p w14:paraId="3680484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E6F2FF"/>
            <w:noWrap/>
            <w:vAlign w:val="center"/>
            <w:hideMark/>
          </w:tcPr>
          <w:p w14:paraId="72626CCA"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44F471C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70BDA47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365AC2B8"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52ECD8E5"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6349B10A"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1D19C36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3762856F"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765240AC"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Net operating balance</w:t>
            </w:r>
          </w:p>
        </w:tc>
        <w:tc>
          <w:tcPr>
            <w:tcW w:w="409" w:type="pct"/>
            <w:tcBorders>
              <w:top w:val="nil"/>
              <w:left w:val="nil"/>
              <w:bottom w:val="nil"/>
              <w:right w:val="nil"/>
            </w:tcBorders>
            <w:shd w:val="clear" w:color="000000" w:fill="E6F2FF"/>
            <w:noWrap/>
            <w:vAlign w:val="center"/>
            <w:hideMark/>
          </w:tcPr>
          <w:p w14:paraId="4C87F23B"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E6F2FF"/>
            <w:noWrap/>
            <w:vAlign w:val="center"/>
            <w:hideMark/>
          </w:tcPr>
          <w:p w14:paraId="1664B14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2FF2B815"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0D8CC0B1"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6BC90F94"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1B679355"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6F8BF360"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67049F5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4B4977DF"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59A5B436" w14:textId="77777777" w:rsidR="00D741AE" w:rsidRPr="00D741AE" w:rsidRDefault="00D741AE" w:rsidP="00D741AE">
            <w:pPr>
              <w:spacing w:before="0" w:after="0" w:line="240" w:lineRule="auto"/>
              <w:ind w:left="340"/>
              <w:rPr>
                <w:rFonts w:ascii="Arial" w:hAnsi="Arial" w:cs="Arial"/>
                <w:color w:val="000000"/>
                <w:sz w:val="16"/>
                <w:szCs w:val="16"/>
              </w:rPr>
            </w:pPr>
            <w:r w:rsidRPr="00D741AE">
              <w:rPr>
                <w:rFonts w:ascii="Arial" w:hAnsi="Arial" w:cs="Arial"/>
                <w:color w:val="000000"/>
                <w:sz w:val="16"/>
                <w:szCs w:val="16"/>
              </w:rPr>
              <w:t>MYEFO</w:t>
            </w:r>
          </w:p>
        </w:tc>
        <w:tc>
          <w:tcPr>
            <w:tcW w:w="409" w:type="pct"/>
            <w:tcBorders>
              <w:top w:val="nil"/>
              <w:left w:val="nil"/>
              <w:bottom w:val="nil"/>
              <w:right w:val="nil"/>
            </w:tcBorders>
            <w:shd w:val="clear" w:color="000000" w:fill="E6F2FF"/>
            <w:noWrap/>
            <w:vAlign w:val="center"/>
            <w:hideMark/>
          </w:tcPr>
          <w:p w14:paraId="44FF60FF"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-40.4</w:t>
            </w:r>
          </w:p>
        </w:tc>
        <w:tc>
          <w:tcPr>
            <w:tcW w:w="534" w:type="pct"/>
            <w:tcBorders>
              <w:top w:val="nil"/>
              <w:left w:val="nil"/>
              <w:bottom w:val="nil"/>
              <w:right w:val="nil"/>
            </w:tcBorders>
            <w:shd w:val="clear" w:color="000000" w:fill="E6F2FF"/>
            <w:noWrap/>
            <w:vAlign w:val="center"/>
            <w:hideMark/>
          </w:tcPr>
          <w:p w14:paraId="1438E74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-1.5</w:t>
            </w:r>
          </w:p>
        </w:tc>
        <w:tc>
          <w:tcPr>
            <w:tcW w:w="409" w:type="pct"/>
            <w:tcBorders>
              <w:top w:val="nil"/>
              <w:left w:val="nil"/>
              <w:bottom w:val="nil"/>
              <w:right w:val="nil"/>
            </w:tcBorders>
            <w:shd w:val="clear" w:color="000000" w:fill="FFFFFF"/>
            <w:noWrap/>
            <w:vAlign w:val="center"/>
            <w:hideMark/>
          </w:tcPr>
          <w:p w14:paraId="660CB9E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-41.4</w:t>
            </w:r>
          </w:p>
        </w:tc>
        <w:tc>
          <w:tcPr>
            <w:tcW w:w="534" w:type="pct"/>
            <w:tcBorders>
              <w:top w:val="nil"/>
              <w:left w:val="nil"/>
              <w:bottom w:val="nil"/>
              <w:right w:val="nil"/>
            </w:tcBorders>
            <w:shd w:val="clear" w:color="000000" w:fill="FFFFFF"/>
            <w:noWrap/>
            <w:vAlign w:val="center"/>
            <w:hideMark/>
          </w:tcPr>
          <w:p w14:paraId="11448E1D"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-1.5</w:t>
            </w:r>
          </w:p>
        </w:tc>
        <w:tc>
          <w:tcPr>
            <w:tcW w:w="409" w:type="pct"/>
            <w:tcBorders>
              <w:top w:val="nil"/>
              <w:left w:val="nil"/>
              <w:bottom w:val="nil"/>
              <w:right w:val="nil"/>
            </w:tcBorders>
            <w:shd w:val="clear" w:color="000000" w:fill="FFFFFF"/>
            <w:noWrap/>
            <w:vAlign w:val="center"/>
            <w:hideMark/>
          </w:tcPr>
          <w:p w14:paraId="0E0CB50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-28.0</w:t>
            </w:r>
          </w:p>
        </w:tc>
        <w:tc>
          <w:tcPr>
            <w:tcW w:w="534" w:type="pct"/>
            <w:tcBorders>
              <w:top w:val="nil"/>
              <w:left w:val="nil"/>
              <w:bottom w:val="nil"/>
              <w:right w:val="nil"/>
            </w:tcBorders>
            <w:shd w:val="clear" w:color="000000" w:fill="FFFFFF"/>
            <w:noWrap/>
            <w:vAlign w:val="center"/>
            <w:hideMark/>
          </w:tcPr>
          <w:p w14:paraId="188A3DEA"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-0.9</w:t>
            </w:r>
          </w:p>
        </w:tc>
        <w:tc>
          <w:tcPr>
            <w:tcW w:w="409" w:type="pct"/>
            <w:tcBorders>
              <w:top w:val="nil"/>
              <w:left w:val="nil"/>
              <w:bottom w:val="nil"/>
              <w:right w:val="nil"/>
            </w:tcBorders>
            <w:shd w:val="clear" w:color="000000" w:fill="FFFFFF"/>
            <w:noWrap/>
            <w:vAlign w:val="center"/>
            <w:hideMark/>
          </w:tcPr>
          <w:p w14:paraId="0A76087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-22.2</w:t>
            </w:r>
          </w:p>
        </w:tc>
        <w:tc>
          <w:tcPr>
            <w:tcW w:w="534" w:type="pct"/>
            <w:tcBorders>
              <w:top w:val="nil"/>
              <w:left w:val="nil"/>
              <w:bottom w:val="nil"/>
              <w:right w:val="nil"/>
            </w:tcBorders>
            <w:shd w:val="clear" w:color="000000" w:fill="FFFFFF"/>
            <w:noWrap/>
            <w:vAlign w:val="center"/>
            <w:hideMark/>
          </w:tcPr>
          <w:p w14:paraId="6D2F512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-0.7</w:t>
            </w:r>
          </w:p>
        </w:tc>
      </w:tr>
      <w:tr w:rsidR="00D741AE" w:rsidRPr="00D741AE" w14:paraId="3812CE92"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5C888817" w14:textId="77777777" w:rsidR="00D741AE" w:rsidRPr="00D741AE" w:rsidRDefault="00D741AE" w:rsidP="00D741AE">
            <w:pPr>
              <w:spacing w:before="0" w:after="0" w:line="240" w:lineRule="auto"/>
              <w:ind w:left="340"/>
              <w:rPr>
                <w:rFonts w:ascii="Arial" w:hAnsi="Arial" w:cs="Arial"/>
                <w:i/>
                <w:iCs/>
                <w:color w:val="000000"/>
                <w:sz w:val="16"/>
                <w:szCs w:val="16"/>
              </w:rPr>
            </w:pPr>
            <w:r w:rsidRPr="00D741AE">
              <w:rPr>
                <w:rFonts w:ascii="Arial" w:hAnsi="Arial" w:cs="Arial"/>
                <w:i/>
                <w:iCs/>
                <w:color w:val="000000"/>
                <w:sz w:val="16"/>
                <w:szCs w:val="16"/>
              </w:rPr>
              <w:t>Budget</w:t>
            </w:r>
          </w:p>
        </w:tc>
        <w:tc>
          <w:tcPr>
            <w:tcW w:w="409" w:type="pct"/>
            <w:tcBorders>
              <w:top w:val="nil"/>
              <w:left w:val="nil"/>
              <w:bottom w:val="nil"/>
              <w:right w:val="nil"/>
            </w:tcBorders>
            <w:shd w:val="clear" w:color="000000" w:fill="E6F2FF"/>
            <w:noWrap/>
            <w:vAlign w:val="center"/>
            <w:hideMark/>
          </w:tcPr>
          <w:p w14:paraId="7CD9D1A3"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-23.0</w:t>
            </w:r>
          </w:p>
        </w:tc>
        <w:tc>
          <w:tcPr>
            <w:tcW w:w="534" w:type="pct"/>
            <w:tcBorders>
              <w:top w:val="nil"/>
              <w:left w:val="nil"/>
              <w:bottom w:val="nil"/>
              <w:right w:val="nil"/>
            </w:tcBorders>
            <w:shd w:val="clear" w:color="000000" w:fill="E6F2FF"/>
            <w:noWrap/>
            <w:vAlign w:val="center"/>
            <w:hideMark/>
          </w:tcPr>
          <w:p w14:paraId="4B4C6103"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-0.8</w:t>
            </w:r>
          </w:p>
        </w:tc>
        <w:tc>
          <w:tcPr>
            <w:tcW w:w="409" w:type="pct"/>
            <w:tcBorders>
              <w:top w:val="nil"/>
              <w:left w:val="nil"/>
              <w:bottom w:val="nil"/>
              <w:right w:val="nil"/>
            </w:tcBorders>
            <w:shd w:val="clear" w:color="000000" w:fill="FFFFFF"/>
            <w:noWrap/>
            <w:vAlign w:val="center"/>
            <w:hideMark/>
          </w:tcPr>
          <w:p w14:paraId="4C32813D"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-34.5</w:t>
            </w:r>
          </w:p>
        </w:tc>
        <w:tc>
          <w:tcPr>
            <w:tcW w:w="534" w:type="pct"/>
            <w:tcBorders>
              <w:top w:val="nil"/>
              <w:left w:val="nil"/>
              <w:bottom w:val="nil"/>
              <w:right w:val="nil"/>
            </w:tcBorders>
            <w:shd w:val="clear" w:color="000000" w:fill="FFFFFF"/>
            <w:noWrap/>
            <w:vAlign w:val="center"/>
            <w:hideMark/>
          </w:tcPr>
          <w:p w14:paraId="4894D022"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-1.2</w:t>
            </w:r>
          </w:p>
        </w:tc>
        <w:tc>
          <w:tcPr>
            <w:tcW w:w="409" w:type="pct"/>
            <w:tcBorders>
              <w:top w:val="nil"/>
              <w:left w:val="nil"/>
              <w:bottom w:val="nil"/>
              <w:right w:val="nil"/>
            </w:tcBorders>
            <w:shd w:val="clear" w:color="000000" w:fill="FFFFFF"/>
            <w:noWrap/>
            <w:vAlign w:val="center"/>
            <w:hideMark/>
          </w:tcPr>
          <w:p w14:paraId="1001936D"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-17.5</w:t>
            </w:r>
          </w:p>
        </w:tc>
        <w:tc>
          <w:tcPr>
            <w:tcW w:w="534" w:type="pct"/>
            <w:tcBorders>
              <w:top w:val="nil"/>
              <w:left w:val="nil"/>
              <w:bottom w:val="nil"/>
              <w:right w:val="nil"/>
            </w:tcBorders>
            <w:shd w:val="clear" w:color="000000" w:fill="FFFFFF"/>
            <w:noWrap/>
            <w:vAlign w:val="center"/>
            <w:hideMark/>
          </w:tcPr>
          <w:p w14:paraId="278185BB"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-0.6</w:t>
            </w:r>
          </w:p>
        </w:tc>
        <w:tc>
          <w:tcPr>
            <w:tcW w:w="409" w:type="pct"/>
            <w:tcBorders>
              <w:top w:val="nil"/>
              <w:left w:val="nil"/>
              <w:bottom w:val="nil"/>
              <w:right w:val="nil"/>
            </w:tcBorders>
            <w:shd w:val="clear" w:color="000000" w:fill="FFFFFF"/>
            <w:noWrap/>
            <w:vAlign w:val="center"/>
            <w:hideMark/>
          </w:tcPr>
          <w:p w14:paraId="2EF41533"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-10.1</w:t>
            </w:r>
          </w:p>
        </w:tc>
        <w:tc>
          <w:tcPr>
            <w:tcW w:w="534" w:type="pct"/>
            <w:tcBorders>
              <w:top w:val="nil"/>
              <w:left w:val="nil"/>
              <w:bottom w:val="nil"/>
              <w:right w:val="nil"/>
            </w:tcBorders>
            <w:shd w:val="clear" w:color="000000" w:fill="FFFFFF"/>
            <w:noWrap/>
            <w:vAlign w:val="center"/>
            <w:hideMark/>
          </w:tcPr>
          <w:p w14:paraId="64DE1D31"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-0.3</w:t>
            </w:r>
          </w:p>
        </w:tc>
      </w:tr>
      <w:tr w:rsidR="00D741AE" w:rsidRPr="00D741AE" w14:paraId="5F184604" w14:textId="77777777" w:rsidTr="00D741AE">
        <w:trPr>
          <w:trHeight w:hRule="exact" w:val="60"/>
        </w:trPr>
        <w:tc>
          <w:tcPr>
            <w:tcW w:w="1227" w:type="pct"/>
            <w:tcBorders>
              <w:top w:val="nil"/>
              <w:left w:val="nil"/>
              <w:bottom w:val="nil"/>
              <w:right w:val="nil"/>
            </w:tcBorders>
            <w:shd w:val="clear" w:color="000000" w:fill="FFFFFF"/>
            <w:noWrap/>
            <w:vAlign w:val="center"/>
            <w:hideMark/>
          </w:tcPr>
          <w:p w14:paraId="448B94D9"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E6F2FF"/>
            <w:noWrap/>
            <w:vAlign w:val="center"/>
            <w:hideMark/>
          </w:tcPr>
          <w:p w14:paraId="39DA328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E6F2FF"/>
            <w:noWrap/>
            <w:vAlign w:val="center"/>
            <w:hideMark/>
          </w:tcPr>
          <w:p w14:paraId="02D256B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5A5672BD"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417CB3F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6810425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52CE3EB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4D484838"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69077B7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2106E110"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4142F3BA"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Net capital investment</w:t>
            </w:r>
          </w:p>
        </w:tc>
        <w:tc>
          <w:tcPr>
            <w:tcW w:w="409" w:type="pct"/>
            <w:tcBorders>
              <w:top w:val="nil"/>
              <w:left w:val="nil"/>
              <w:bottom w:val="nil"/>
              <w:right w:val="nil"/>
            </w:tcBorders>
            <w:shd w:val="clear" w:color="000000" w:fill="E6F2FF"/>
            <w:noWrap/>
            <w:vAlign w:val="center"/>
            <w:hideMark/>
          </w:tcPr>
          <w:p w14:paraId="408CEC1B"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E6F2FF"/>
            <w:noWrap/>
            <w:vAlign w:val="center"/>
            <w:hideMark/>
          </w:tcPr>
          <w:p w14:paraId="794A90D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3CA44BF2"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06025EDB"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23FDA62B"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54DC725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281B990D"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45CB3D9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02B135B6"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1FF4EB6C" w14:textId="77777777" w:rsidR="00D741AE" w:rsidRPr="00D741AE" w:rsidRDefault="00D741AE" w:rsidP="00D741AE">
            <w:pPr>
              <w:spacing w:before="0" w:after="0" w:line="240" w:lineRule="auto"/>
              <w:ind w:left="340"/>
              <w:rPr>
                <w:rFonts w:ascii="Arial" w:hAnsi="Arial" w:cs="Arial"/>
                <w:color w:val="000000"/>
                <w:sz w:val="16"/>
                <w:szCs w:val="16"/>
              </w:rPr>
            </w:pPr>
            <w:r w:rsidRPr="00D741AE">
              <w:rPr>
                <w:rFonts w:ascii="Arial" w:hAnsi="Arial" w:cs="Arial"/>
                <w:color w:val="000000"/>
                <w:sz w:val="16"/>
                <w:szCs w:val="16"/>
              </w:rPr>
              <w:t>MYEFO</w:t>
            </w:r>
          </w:p>
        </w:tc>
        <w:tc>
          <w:tcPr>
            <w:tcW w:w="409" w:type="pct"/>
            <w:tcBorders>
              <w:top w:val="nil"/>
              <w:left w:val="nil"/>
              <w:bottom w:val="nil"/>
              <w:right w:val="nil"/>
            </w:tcBorders>
            <w:shd w:val="clear" w:color="000000" w:fill="E6F2FF"/>
            <w:noWrap/>
            <w:vAlign w:val="center"/>
            <w:hideMark/>
          </w:tcPr>
          <w:p w14:paraId="11F84217"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5.5</w:t>
            </w:r>
          </w:p>
        </w:tc>
        <w:tc>
          <w:tcPr>
            <w:tcW w:w="534" w:type="pct"/>
            <w:tcBorders>
              <w:top w:val="nil"/>
              <w:left w:val="nil"/>
              <w:bottom w:val="nil"/>
              <w:right w:val="nil"/>
            </w:tcBorders>
            <w:shd w:val="clear" w:color="000000" w:fill="E6F2FF"/>
            <w:noWrap/>
            <w:vAlign w:val="center"/>
            <w:hideMark/>
          </w:tcPr>
          <w:p w14:paraId="7C0C1424"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0.2</w:t>
            </w:r>
          </w:p>
        </w:tc>
        <w:tc>
          <w:tcPr>
            <w:tcW w:w="409" w:type="pct"/>
            <w:tcBorders>
              <w:top w:val="nil"/>
              <w:left w:val="nil"/>
              <w:bottom w:val="nil"/>
              <w:right w:val="nil"/>
            </w:tcBorders>
            <w:shd w:val="clear" w:color="000000" w:fill="FFFFFF"/>
            <w:noWrap/>
            <w:vAlign w:val="center"/>
            <w:hideMark/>
          </w:tcPr>
          <w:p w14:paraId="766D943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8.3</w:t>
            </w:r>
          </w:p>
        </w:tc>
        <w:tc>
          <w:tcPr>
            <w:tcW w:w="534" w:type="pct"/>
            <w:tcBorders>
              <w:top w:val="nil"/>
              <w:left w:val="nil"/>
              <w:bottom w:val="nil"/>
              <w:right w:val="nil"/>
            </w:tcBorders>
            <w:shd w:val="clear" w:color="000000" w:fill="FFFFFF"/>
            <w:noWrap/>
            <w:vAlign w:val="center"/>
            <w:hideMark/>
          </w:tcPr>
          <w:p w14:paraId="64DC4551"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0.3</w:t>
            </w:r>
          </w:p>
        </w:tc>
        <w:tc>
          <w:tcPr>
            <w:tcW w:w="409" w:type="pct"/>
            <w:tcBorders>
              <w:top w:val="nil"/>
              <w:left w:val="nil"/>
              <w:bottom w:val="nil"/>
              <w:right w:val="nil"/>
            </w:tcBorders>
            <w:shd w:val="clear" w:color="000000" w:fill="FFFFFF"/>
            <w:noWrap/>
            <w:vAlign w:val="center"/>
            <w:hideMark/>
          </w:tcPr>
          <w:p w14:paraId="715C22F1"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8.4</w:t>
            </w:r>
          </w:p>
        </w:tc>
        <w:tc>
          <w:tcPr>
            <w:tcW w:w="534" w:type="pct"/>
            <w:tcBorders>
              <w:top w:val="nil"/>
              <w:left w:val="nil"/>
              <w:bottom w:val="nil"/>
              <w:right w:val="nil"/>
            </w:tcBorders>
            <w:shd w:val="clear" w:color="000000" w:fill="FFFFFF"/>
            <w:noWrap/>
            <w:vAlign w:val="center"/>
            <w:hideMark/>
          </w:tcPr>
          <w:p w14:paraId="76B574A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0.3</w:t>
            </w:r>
          </w:p>
        </w:tc>
        <w:tc>
          <w:tcPr>
            <w:tcW w:w="409" w:type="pct"/>
            <w:tcBorders>
              <w:top w:val="nil"/>
              <w:left w:val="nil"/>
              <w:bottom w:val="nil"/>
              <w:right w:val="nil"/>
            </w:tcBorders>
            <w:shd w:val="clear" w:color="000000" w:fill="FFFFFF"/>
            <w:noWrap/>
            <w:vAlign w:val="center"/>
            <w:hideMark/>
          </w:tcPr>
          <w:p w14:paraId="2A4A1E3D"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11.2</w:t>
            </w:r>
          </w:p>
        </w:tc>
        <w:tc>
          <w:tcPr>
            <w:tcW w:w="534" w:type="pct"/>
            <w:tcBorders>
              <w:top w:val="nil"/>
              <w:left w:val="nil"/>
              <w:bottom w:val="nil"/>
              <w:right w:val="nil"/>
            </w:tcBorders>
            <w:shd w:val="clear" w:color="000000" w:fill="FFFFFF"/>
            <w:noWrap/>
            <w:vAlign w:val="center"/>
            <w:hideMark/>
          </w:tcPr>
          <w:p w14:paraId="7876DAB4"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0.4</w:t>
            </w:r>
          </w:p>
        </w:tc>
      </w:tr>
      <w:tr w:rsidR="00D741AE" w:rsidRPr="00D741AE" w14:paraId="6DED9F55"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63664694" w14:textId="77777777" w:rsidR="00D741AE" w:rsidRPr="00D741AE" w:rsidRDefault="00D741AE" w:rsidP="00D741AE">
            <w:pPr>
              <w:spacing w:before="0" w:after="0" w:line="240" w:lineRule="auto"/>
              <w:ind w:left="340"/>
              <w:rPr>
                <w:rFonts w:ascii="Arial" w:hAnsi="Arial" w:cs="Arial"/>
                <w:i/>
                <w:iCs/>
                <w:color w:val="000000"/>
                <w:sz w:val="16"/>
                <w:szCs w:val="16"/>
              </w:rPr>
            </w:pPr>
            <w:r w:rsidRPr="00D741AE">
              <w:rPr>
                <w:rFonts w:ascii="Arial" w:hAnsi="Arial" w:cs="Arial"/>
                <w:i/>
                <w:iCs/>
                <w:color w:val="000000"/>
                <w:sz w:val="16"/>
                <w:szCs w:val="16"/>
              </w:rPr>
              <w:t>Budget</w:t>
            </w:r>
          </w:p>
        </w:tc>
        <w:tc>
          <w:tcPr>
            <w:tcW w:w="409" w:type="pct"/>
            <w:tcBorders>
              <w:top w:val="nil"/>
              <w:left w:val="nil"/>
              <w:bottom w:val="nil"/>
              <w:right w:val="nil"/>
            </w:tcBorders>
            <w:shd w:val="clear" w:color="000000" w:fill="E6F2FF"/>
            <w:noWrap/>
            <w:vAlign w:val="center"/>
            <w:hideMark/>
          </w:tcPr>
          <w:p w14:paraId="65AE9633"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6.3</w:t>
            </w:r>
          </w:p>
        </w:tc>
        <w:tc>
          <w:tcPr>
            <w:tcW w:w="534" w:type="pct"/>
            <w:tcBorders>
              <w:top w:val="nil"/>
              <w:left w:val="nil"/>
              <w:bottom w:val="nil"/>
              <w:right w:val="nil"/>
            </w:tcBorders>
            <w:shd w:val="clear" w:color="000000" w:fill="E6F2FF"/>
            <w:noWrap/>
            <w:vAlign w:val="center"/>
            <w:hideMark/>
          </w:tcPr>
          <w:p w14:paraId="75C50BB9"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0.2</w:t>
            </w:r>
          </w:p>
        </w:tc>
        <w:tc>
          <w:tcPr>
            <w:tcW w:w="409" w:type="pct"/>
            <w:tcBorders>
              <w:top w:val="nil"/>
              <w:left w:val="nil"/>
              <w:bottom w:val="nil"/>
              <w:right w:val="nil"/>
            </w:tcBorders>
            <w:shd w:val="clear" w:color="000000" w:fill="FFFFFF"/>
            <w:noWrap/>
            <w:vAlign w:val="center"/>
            <w:hideMark/>
          </w:tcPr>
          <w:p w14:paraId="235FB950"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8.1</w:t>
            </w:r>
          </w:p>
        </w:tc>
        <w:tc>
          <w:tcPr>
            <w:tcW w:w="534" w:type="pct"/>
            <w:tcBorders>
              <w:top w:val="nil"/>
              <w:left w:val="nil"/>
              <w:bottom w:val="nil"/>
              <w:right w:val="nil"/>
            </w:tcBorders>
            <w:shd w:val="clear" w:color="000000" w:fill="FFFFFF"/>
            <w:noWrap/>
            <w:vAlign w:val="center"/>
            <w:hideMark/>
          </w:tcPr>
          <w:p w14:paraId="2A54E457"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0.3</w:t>
            </w:r>
          </w:p>
        </w:tc>
        <w:tc>
          <w:tcPr>
            <w:tcW w:w="409" w:type="pct"/>
            <w:tcBorders>
              <w:top w:val="nil"/>
              <w:left w:val="nil"/>
              <w:bottom w:val="nil"/>
              <w:right w:val="nil"/>
            </w:tcBorders>
            <w:shd w:val="clear" w:color="000000" w:fill="FFFFFF"/>
            <w:noWrap/>
            <w:vAlign w:val="center"/>
            <w:hideMark/>
          </w:tcPr>
          <w:p w14:paraId="15C8B2E0"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9.0</w:t>
            </w:r>
          </w:p>
        </w:tc>
        <w:tc>
          <w:tcPr>
            <w:tcW w:w="534" w:type="pct"/>
            <w:tcBorders>
              <w:top w:val="nil"/>
              <w:left w:val="nil"/>
              <w:bottom w:val="nil"/>
              <w:right w:val="nil"/>
            </w:tcBorders>
            <w:shd w:val="clear" w:color="000000" w:fill="FFFFFF"/>
            <w:noWrap/>
            <w:vAlign w:val="center"/>
            <w:hideMark/>
          </w:tcPr>
          <w:p w14:paraId="4F8309F9"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0.3</w:t>
            </w:r>
          </w:p>
        </w:tc>
        <w:tc>
          <w:tcPr>
            <w:tcW w:w="409" w:type="pct"/>
            <w:tcBorders>
              <w:top w:val="nil"/>
              <w:left w:val="nil"/>
              <w:bottom w:val="nil"/>
              <w:right w:val="nil"/>
            </w:tcBorders>
            <w:shd w:val="clear" w:color="000000" w:fill="FFFFFF"/>
            <w:noWrap/>
            <w:vAlign w:val="center"/>
            <w:hideMark/>
          </w:tcPr>
          <w:p w14:paraId="7122840C"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11.9</w:t>
            </w:r>
          </w:p>
        </w:tc>
        <w:tc>
          <w:tcPr>
            <w:tcW w:w="534" w:type="pct"/>
            <w:tcBorders>
              <w:top w:val="nil"/>
              <w:left w:val="nil"/>
              <w:bottom w:val="nil"/>
              <w:right w:val="nil"/>
            </w:tcBorders>
            <w:shd w:val="clear" w:color="000000" w:fill="FFFFFF"/>
            <w:noWrap/>
            <w:vAlign w:val="center"/>
            <w:hideMark/>
          </w:tcPr>
          <w:p w14:paraId="5430C475"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0.4</w:t>
            </w:r>
          </w:p>
        </w:tc>
      </w:tr>
      <w:tr w:rsidR="00D741AE" w:rsidRPr="00D741AE" w14:paraId="1263D50C" w14:textId="77777777" w:rsidTr="00D741AE">
        <w:trPr>
          <w:trHeight w:hRule="exact" w:val="60"/>
        </w:trPr>
        <w:tc>
          <w:tcPr>
            <w:tcW w:w="1227" w:type="pct"/>
            <w:tcBorders>
              <w:top w:val="nil"/>
              <w:left w:val="nil"/>
              <w:bottom w:val="nil"/>
              <w:right w:val="nil"/>
            </w:tcBorders>
            <w:shd w:val="clear" w:color="000000" w:fill="FFFFFF"/>
            <w:noWrap/>
            <w:vAlign w:val="center"/>
            <w:hideMark/>
          </w:tcPr>
          <w:p w14:paraId="5006701F" w14:textId="77777777" w:rsidR="00D741AE" w:rsidRPr="00D741AE" w:rsidRDefault="00D741AE" w:rsidP="00D741AE">
            <w:pPr>
              <w:spacing w:before="0" w:after="0" w:line="240" w:lineRule="auto"/>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E6F2FF"/>
            <w:noWrap/>
            <w:vAlign w:val="center"/>
            <w:hideMark/>
          </w:tcPr>
          <w:p w14:paraId="22083300"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E6F2FF"/>
            <w:noWrap/>
            <w:vAlign w:val="center"/>
            <w:hideMark/>
          </w:tcPr>
          <w:p w14:paraId="2F994365"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25BB3C9B"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1B10C1A8"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6CE1F81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33F83F36"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559DC9F7"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534" w:type="pct"/>
            <w:tcBorders>
              <w:top w:val="nil"/>
              <w:left w:val="nil"/>
              <w:bottom w:val="nil"/>
              <w:right w:val="nil"/>
            </w:tcBorders>
            <w:shd w:val="clear" w:color="000000" w:fill="FFFFFF"/>
            <w:noWrap/>
            <w:vAlign w:val="center"/>
            <w:hideMark/>
          </w:tcPr>
          <w:p w14:paraId="2159F049"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7A5379B6"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1AF0ED80"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Fiscal balance</w:t>
            </w:r>
          </w:p>
        </w:tc>
        <w:tc>
          <w:tcPr>
            <w:tcW w:w="409" w:type="pct"/>
            <w:tcBorders>
              <w:top w:val="nil"/>
              <w:left w:val="nil"/>
              <w:bottom w:val="nil"/>
              <w:right w:val="nil"/>
            </w:tcBorders>
            <w:shd w:val="clear" w:color="000000" w:fill="E6F2FF"/>
            <w:noWrap/>
            <w:vAlign w:val="center"/>
            <w:hideMark/>
          </w:tcPr>
          <w:p w14:paraId="27D40D8F"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E6F2FF"/>
            <w:noWrap/>
            <w:vAlign w:val="center"/>
            <w:hideMark/>
          </w:tcPr>
          <w:p w14:paraId="0D18FA6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124BC20D"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7F6024C4"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266F6E50"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1BE7B753"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c>
          <w:tcPr>
            <w:tcW w:w="409" w:type="pct"/>
            <w:tcBorders>
              <w:top w:val="nil"/>
              <w:left w:val="nil"/>
              <w:bottom w:val="nil"/>
              <w:right w:val="nil"/>
            </w:tcBorders>
            <w:shd w:val="clear" w:color="000000" w:fill="FFFFFF"/>
            <w:noWrap/>
            <w:vAlign w:val="center"/>
            <w:hideMark/>
          </w:tcPr>
          <w:p w14:paraId="2370B0D6" w14:textId="77777777" w:rsidR="00D741AE" w:rsidRPr="00D741AE" w:rsidRDefault="00D741AE" w:rsidP="00D741AE">
            <w:pPr>
              <w:spacing w:before="0" w:after="0" w:line="240" w:lineRule="auto"/>
              <w:rPr>
                <w:rFonts w:ascii="Arial" w:hAnsi="Arial" w:cs="Arial"/>
                <w:b/>
                <w:bCs/>
                <w:color w:val="000000"/>
                <w:sz w:val="16"/>
                <w:szCs w:val="16"/>
              </w:rPr>
            </w:pPr>
            <w:r w:rsidRPr="00D741AE">
              <w:rPr>
                <w:rFonts w:ascii="Arial" w:hAnsi="Arial" w:cs="Arial"/>
                <w:b/>
                <w:bCs/>
                <w:color w:val="000000"/>
                <w:sz w:val="16"/>
                <w:szCs w:val="16"/>
              </w:rPr>
              <w:t> </w:t>
            </w:r>
          </w:p>
        </w:tc>
        <w:tc>
          <w:tcPr>
            <w:tcW w:w="534" w:type="pct"/>
            <w:tcBorders>
              <w:top w:val="nil"/>
              <w:left w:val="nil"/>
              <w:bottom w:val="nil"/>
              <w:right w:val="nil"/>
            </w:tcBorders>
            <w:shd w:val="clear" w:color="000000" w:fill="FFFFFF"/>
            <w:noWrap/>
            <w:vAlign w:val="center"/>
            <w:hideMark/>
          </w:tcPr>
          <w:p w14:paraId="353CD8BC"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 </w:t>
            </w:r>
          </w:p>
        </w:tc>
      </w:tr>
      <w:tr w:rsidR="00D741AE" w:rsidRPr="00D741AE" w14:paraId="0DFC4F8E" w14:textId="77777777" w:rsidTr="00D741AE">
        <w:trPr>
          <w:trHeight w:hRule="exact" w:val="226"/>
        </w:trPr>
        <w:tc>
          <w:tcPr>
            <w:tcW w:w="1227" w:type="pct"/>
            <w:tcBorders>
              <w:top w:val="nil"/>
              <w:left w:val="nil"/>
              <w:bottom w:val="nil"/>
              <w:right w:val="nil"/>
            </w:tcBorders>
            <w:shd w:val="clear" w:color="000000" w:fill="FFFFFF"/>
            <w:noWrap/>
            <w:vAlign w:val="center"/>
            <w:hideMark/>
          </w:tcPr>
          <w:p w14:paraId="6F713E04" w14:textId="77777777" w:rsidR="00D741AE" w:rsidRPr="00D741AE" w:rsidRDefault="00D741AE" w:rsidP="00D741AE">
            <w:pPr>
              <w:spacing w:before="0" w:after="0" w:line="240" w:lineRule="auto"/>
              <w:ind w:left="340"/>
              <w:rPr>
                <w:rFonts w:ascii="Arial" w:hAnsi="Arial" w:cs="Arial"/>
                <w:color w:val="000000"/>
                <w:sz w:val="16"/>
                <w:szCs w:val="16"/>
              </w:rPr>
            </w:pPr>
            <w:r w:rsidRPr="00D741AE">
              <w:rPr>
                <w:rFonts w:ascii="Arial" w:hAnsi="Arial" w:cs="Arial"/>
                <w:color w:val="000000"/>
                <w:sz w:val="16"/>
                <w:szCs w:val="16"/>
              </w:rPr>
              <w:t>MYEFO</w:t>
            </w:r>
          </w:p>
        </w:tc>
        <w:tc>
          <w:tcPr>
            <w:tcW w:w="409" w:type="pct"/>
            <w:tcBorders>
              <w:top w:val="nil"/>
              <w:left w:val="nil"/>
              <w:bottom w:val="nil"/>
              <w:right w:val="nil"/>
            </w:tcBorders>
            <w:shd w:val="clear" w:color="000000" w:fill="E6F2FF"/>
            <w:noWrap/>
            <w:vAlign w:val="center"/>
            <w:hideMark/>
          </w:tcPr>
          <w:p w14:paraId="666505E1"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-45.9</w:t>
            </w:r>
          </w:p>
        </w:tc>
        <w:tc>
          <w:tcPr>
            <w:tcW w:w="534" w:type="pct"/>
            <w:tcBorders>
              <w:top w:val="nil"/>
              <w:left w:val="nil"/>
              <w:bottom w:val="nil"/>
              <w:right w:val="nil"/>
            </w:tcBorders>
            <w:shd w:val="clear" w:color="000000" w:fill="E6F2FF"/>
            <w:noWrap/>
            <w:vAlign w:val="center"/>
            <w:hideMark/>
          </w:tcPr>
          <w:p w14:paraId="4C9F6E44"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-1.7</w:t>
            </w:r>
          </w:p>
        </w:tc>
        <w:tc>
          <w:tcPr>
            <w:tcW w:w="409" w:type="pct"/>
            <w:tcBorders>
              <w:top w:val="nil"/>
              <w:left w:val="nil"/>
              <w:bottom w:val="nil"/>
              <w:right w:val="nil"/>
            </w:tcBorders>
            <w:shd w:val="clear" w:color="000000" w:fill="FFFFFF"/>
            <w:noWrap/>
            <w:vAlign w:val="center"/>
            <w:hideMark/>
          </w:tcPr>
          <w:p w14:paraId="1B560544"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-49.7</w:t>
            </w:r>
          </w:p>
        </w:tc>
        <w:tc>
          <w:tcPr>
            <w:tcW w:w="534" w:type="pct"/>
            <w:tcBorders>
              <w:top w:val="nil"/>
              <w:left w:val="nil"/>
              <w:bottom w:val="nil"/>
              <w:right w:val="nil"/>
            </w:tcBorders>
            <w:shd w:val="clear" w:color="000000" w:fill="FFFFFF"/>
            <w:noWrap/>
            <w:vAlign w:val="center"/>
            <w:hideMark/>
          </w:tcPr>
          <w:p w14:paraId="4E14BE05"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-1.7</w:t>
            </w:r>
          </w:p>
        </w:tc>
        <w:tc>
          <w:tcPr>
            <w:tcW w:w="409" w:type="pct"/>
            <w:tcBorders>
              <w:top w:val="nil"/>
              <w:left w:val="nil"/>
              <w:bottom w:val="nil"/>
              <w:right w:val="nil"/>
            </w:tcBorders>
            <w:shd w:val="clear" w:color="000000" w:fill="FFFFFF"/>
            <w:noWrap/>
            <w:vAlign w:val="center"/>
            <w:hideMark/>
          </w:tcPr>
          <w:p w14:paraId="0CCAA820"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-36.3</w:t>
            </w:r>
          </w:p>
        </w:tc>
        <w:tc>
          <w:tcPr>
            <w:tcW w:w="534" w:type="pct"/>
            <w:tcBorders>
              <w:top w:val="nil"/>
              <w:left w:val="nil"/>
              <w:bottom w:val="nil"/>
              <w:right w:val="nil"/>
            </w:tcBorders>
            <w:shd w:val="clear" w:color="000000" w:fill="FFFFFF"/>
            <w:noWrap/>
            <w:vAlign w:val="center"/>
            <w:hideMark/>
          </w:tcPr>
          <w:p w14:paraId="55A09317"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-1.2</w:t>
            </w:r>
          </w:p>
        </w:tc>
        <w:tc>
          <w:tcPr>
            <w:tcW w:w="409" w:type="pct"/>
            <w:tcBorders>
              <w:top w:val="nil"/>
              <w:left w:val="nil"/>
              <w:bottom w:val="nil"/>
              <w:right w:val="nil"/>
            </w:tcBorders>
            <w:shd w:val="clear" w:color="000000" w:fill="FFFFFF"/>
            <w:noWrap/>
            <w:vAlign w:val="center"/>
            <w:hideMark/>
          </w:tcPr>
          <w:p w14:paraId="0C37AD6E"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-33.4</w:t>
            </w:r>
          </w:p>
        </w:tc>
        <w:tc>
          <w:tcPr>
            <w:tcW w:w="534" w:type="pct"/>
            <w:tcBorders>
              <w:top w:val="nil"/>
              <w:left w:val="nil"/>
              <w:bottom w:val="nil"/>
              <w:right w:val="nil"/>
            </w:tcBorders>
            <w:shd w:val="clear" w:color="000000" w:fill="FFFFFF"/>
            <w:noWrap/>
            <w:vAlign w:val="center"/>
            <w:hideMark/>
          </w:tcPr>
          <w:p w14:paraId="4F0500CB" w14:textId="77777777" w:rsidR="00D741AE" w:rsidRPr="00D741AE" w:rsidRDefault="00D741AE" w:rsidP="00D741AE">
            <w:pPr>
              <w:spacing w:before="0" w:after="0" w:line="240" w:lineRule="auto"/>
              <w:jc w:val="right"/>
              <w:rPr>
                <w:rFonts w:ascii="Arial" w:hAnsi="Arial" w:cs="Arial"/>
                <w:color w:val="000000"/>
                <w:sz w:val="16"/>
                <w:szCs w:val="16"/>
              </w:rPr>
            </w:pPr>
            <w:r w:rsidRPr="00D741AE">
              <w:rPr>
                <w:rFonts w:ascii="Arial" w:hAnsi="Arial" w:cs="Arial"/>
                <w:color w:val="000000"/>
                <w:sz w:val="16"/>
                <w:szCs w:val="16"/>
              </w:rPr>
              <w:t>-1.1</w:t>
            </w:r>
          </w:p>
        </w:tc>
      </w:tr>
      <w:tr w:rsidR="00D741AE" w:rsidRPr="00D741AE" w14:paraId="77E6752C" w14:textId="77777777" w:rsidTr="00D741AE">
        <w:trPr>
          <w:trHeight w:hRule="exact" w:val="226"/>
        </w:trPr>
        <w:tc>
          <w:tcPr>
            <w:tcW w:w="1227" w:type="pct"/>
            <w:tcBorders>
              <w:top w:val="nil"/>
              <w:left w:val="nil"/>
              <w:bottom w:val="single" w:sz="4" w:space="0" w:color="293F5B"/>
              <w:right w:val="nil"/>
            </w:tcBorders>
            <w:shd w:val="clear" w:color="000000" w:fill="FFFFFF"/>
            <w:noWrap/>
            <w:vAlign w:val="center"/>
            <w:hideMark/>
          </w:tcPr>
          <w:p w14:paraId="2384ABF7" w14:textId="77777777" w:rsidR="00D741AE" w:rsidRPr="00D741AE" w:rsidRDefault="00D741AE" w:rsidP="00D741AE">
            <w:pPr>
              <w:spacing w:before="0" w:after="0" w:line="240" w:lineRule="auto"/>
              <w:ind w:left="340"/>
              <w:rPr>
                <w:rFonts w:ascii="Arial" w:hAnsi="Arial" w:cs="Arial"/>
                <w:i/>
                <w:iCs/>
                <w:color w:val="000000"/>
                <w:sz w:val="16"/>
                <w:szCs w:val="16"/>
              </w:rPr>
            </w:pPr>
            <w:r w:rsidRPr="00D741AE">
              <w:rPr>
                <w:rFonts w:ascii="Arial" w:hAnsi="Arial" w:cs="Arial"/>
                <w:i/>
                <w:iCs/>
                <w:color w:val="000000"/>
                <w:sz w:val="16"/>
                <w:szCs w:val="16"/>
              </w:rPr>
              <w:t>Budget</w:t>
            </w:r>
          </w:p>
        </w:tc>
        <w:tc>
          <w:tcPr>
            <w:tcW w:w="409" w:type="pct"/>
            <w:tcBorders>
              <w:top w:val="nil"/>
              <w:left w:val="nil"/>
              <w:bottom w:val="single" w:sz="4" w:space="0" w:color="293F5B"/>
              <w:right w:val="nil"/>
            </w:tcBorders>
            <w:shd w:val="clear" w:color="000000" w:fill="E6F2FF"/>
            <w:noWrap/>
            <w:vAlign w:val="center"/>
            <w:hideMark/>
          </w:tcPr>
          <w:p w14:paraId="33C5F11B"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-29.3</w:t>
            </w:r>
          </w:p>
        </w:tc>
        <w:tc>
          <w:tcPr>
            <w:tcW w:w="534" w:type="pct"/>
            <w:tcBorders>
              <w:top w:val="nil"/>
              <w:left w:val="nil"/>
              <w:bottom w:val="single" w:sz="4" w:space="0" w:color="293F5B"/>
              <w:right w:val="nil"/>
            </w:tcBorders>
            <w:shd w:val="clear" w:color="000000" w:fill="E6F2FF"/>
            <w:noWrap/>
            <w:vAlign w:val="center"/>
            <w:hideMark/>
          </w:tcPr>
          <w:p w14:paraId="4BBF727F"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-1.1</w:t>
            </w:r>
          </w:p>
        </w:tc>
        <w:tc>
          <w:tcPr>
            <w:tcW w:w="409" w:type="pct"/>
            <w:tcBorders>
              <w:top w:val="nil"/>
              <w:left w:val="nil"/>
              <w:bottom w:val="single" w:sz="4" w:space="0" w:color="293F5B"/>
              <w:right w:val="nil"/>
            </w:tcBorders>
            <w:shd w:val="clear" w:color="000000" w:fill="FFFFFF"/>
            <w:noWrap/>
            <w:vAlign w:val="center"/>
            <w:hideMark/>
          </w:tcPr>
          <w:p w14:paraId="0A985C3D"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-42.6</w:t>
            </w:r>
          </w:p>
        </w:tc>
        <w:tc>
          <w:tcPr>
            <w:tcW w:w="534" w:type="pct"/>
            <w:tcBorders>
              <w:top w:val="nil"/>
              <w:left w:val="nil"/>
              <w:bottom w:val="single" w:sz="4" w:space="0" w:color="293F5B"/>
              <w:right w:val="nil"/>
            </w:tcBorders>
            <w:shd w:val="clear" w:color="000000" w:fill="FFFFFF"/>
            <w:noWrap/>
            <w:vAlign w:val="center"/>
            <w:hideMark/>
          </w:tcPr>
          <w:p w14:paraId="12174B6E"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-1.5</w:t>
            </w:r>
          </w:p>
        </w:tc>
        <w:tc>
          <w:tcPr>
            <w:tcW w:w="409" w:type="pct"/>
            <w:tcBorders>
              <w:top w:val="nil"/>
              <w:left w:val="nil"/>
              <w:bottom w:val="single" w:sz="4" w:space="0" w:color="293F5B"/>
              <w:right w:val="nil"/>
            </w:tcBorders>
            <w:shd w:val="clear" w:color="000000" w:fill="FFFFFF"/>
            <w:noWrap/>
            <w:vAlign w:val="center"/>
            <w:hideMark/>
          </w:tcPr>
          <w:p w14:paraId="22B58870"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-26.5</w:t>
            </w:r>
          </w:p>
        </w:tc>
        <w:tc>
          <w:tcPr>
            <w:tcW w:w="534" w:type="pct"/>
            <w:tcBorders>
              <w:top w:val="nil"/>
              <w:left w:val="nil"/>
              <w:bottom w:val="single" w:sz="4" w:space="0" w:color="293F5B"/>
              <w:right w:val="nil"/>
            </w:tcBorders>
            <w:shd w:val="clear" w:color="000000" w:fill="FFFFFF"/>
            <w:noWrap/>
            <w:vAlign w:val="center"/>
            <w:hideMark/>
          </w:tcPr>
          <w:p w14:paraId="2940037C"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-0.9</w:t>
            </w:r>
          </w:p>
        </w:tc>
        <w:tc>
          <w:tcPr>
            <w:tcW w:w="409" w:type="pct"/>
            <w:tcBorders>
              <w:top w:val="nil"/>
              <w:left w:val="nil"/>
              <w:bottom w:val="single" w:sz="4" w:space="0" w:color="293F5B"/>
              <w:right w:val="nil"/>
            </w:tcBorders>
            <w:shd w:val="clear" w:color="000000" w:fill="FFFFFF"/>
            <w:noWrap/>
            <w:vAlign w:val="center"/>
            <w:hideMark/>
          </w:tcPr>
          <w:p w14:paraId="17D27AE0"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-22.0</w:t>
            </w:r>
          </w:p>
        </w:tc>
        <w:tc>
          <w:tcPr>
            <w:tcW w:w="534" w:type="pct"/>
            <w:tcBorders>
              <w:top w:val="nil"/>
              <w:left w:val="nil"/>
              <w:bottom w:val="single" w:sz="4" w:space="0" w:color="293F5B"/>
              <w:right w:val="nil"/>
            </w:tcBorders>
            <w:shd w:val="clear" w:color="000000" w:fill="FFFFFF"/>
            <w:noWrap/>
            <w:vAlign w:val="center"/>
            <w:hideMark/>
          </w:tcPr>
          <w:p w14:paraId="00C09A27" w14:textId="77777777" w:rsidR="00D741AE" w:rsidRPr="00D741AE" w:rsidRDefault="00D741AE" w:rsidP="00D741AE">
            <w:pPr>
              <w:spacing w:before="0" w:after="0" w:line="240" w:lineRule="auto"/>
              <w:jc w:val="right"/>
              <w:rPr>
                <w:rFonts w:ascii="Arial" w:hAnsi="Arial" w:cs="Arial"/>
                <w:i/>
                <w:iCs/>
                <w:color w:val="000000"/>
                <w:sz w:val="16"/>
                <w:szCs w:val="16"/>
              </w:rPr>
            </w:pPr>
            <w:r w:rsidRPr="00D741AE">
              <w:rPr>
                <w:rFonts w:ascii="Arial" w:hAnsi="Arial" w:cs="Arial"/>
                <w:i/>
                <w:iCs/>
                <w:color w:val="000000"/>
                <w:sz w:val="16"/>
                <w:szCs w:val="16"/>
              </w:rPr>
              <w:t>-0.7</w:t>
            </w:r>
          </w:p>
        </w:tc>
      </w:tr>
    </w:tbl>
    <w:p w14:paraId="4569E380" w14:textId="5F2A233A" w:rsidR="00C70689" w:rsidRPr="001F4582" w:rsidRDefault="00C70689" w:rsidP="00845B1A">
      <w:pPr>
        <w:pStyle w:val="SingleParagraph"/>
        <w:rPr>
          <w:rFonts w:ascii="Arial" w:hAnsi="Arial" w:cs="Arial"/>
          <w:color w:val="000000"/>
          <w:sz w:val="16"/>
          <w:szCs w:val="16"/>
        </w:rPr>
      </w:pPr>
    </w:p>
    <w:p w14:paraId="7F121DC2" w14:textId="77777777" w:rsidR="00CF7608" w:rsidRDefault="00CF7608">
      <w:pPr>
        <w:spacing w:before="0" w:after="160" w:line="259" w:lineRule="auto"/>
      </w:pPr>
      <w:r>
        <w:br w:type="page"/>
      </w:r>
    </w:p>
    <w:p w14:paraId="3FD7AAE7" w14:textId="67DBB85E" w:rsidR="00D63C70" w:rsidRDefault="00D63C70" w:rsidP="00DD48D1">
      <w:r w:rsidRPr="00205DD5">
        <w:lastRenderedPageBreak/>
        <w:t>Table 3.</w:t>
      </w:r>
      <w:r w:rsidR="009334B4" w:rsidRPr="00205DD5">
        <w:t>1</w:t>
      </w:r>
      <w:r w:rsidR="008D5923" w:rsidRPr="00205DD5">
        <w:t>0</w:t>
      </w:r>
      <w:r w:rsidRPr="00205DD5">
        <w:t xml:space="preserve"> provides a reconciliation of fiscal balance estimates, including the impact of policy decisions and parameter and other variations on revenue and expenses since the 202</w:t>
      </w:r>
      <w:r w:rsidR="00A044DC" w:rsidRPr="00205DD5">
        <w:t>4</w:t>
      </w:r>
      <w:r w:rsidR="00B64D7A" w:rsidRPr="00205DD5">
        <w:rPr>
          <w:rFonts w:ascii="Times New Roman" w:hAnsi="Times New Roman"/>
        </w:rPr>
        <w:t>‍</w:t>
      </w:r>
      <w:r w:rsidRPr="00205DD5">
        <w:t>–</w:t>
      </w:r>
      <w:r w:rsidR="00B64D7A" w:rsidRPr="00205DD5">
        <w:rPr>
          <w:rFonts w:ascii="Times New Roman" w:hAnsi="Times New Roman"/>
        </w:rPr>
        <w:t>‍</w:t>
      </w:r>
      <w:r w:rsidRPr="00205DD5">
        <w:t>2</w:t>
      </w:r>
      <w:r w:rsidR="00A044DC" w:rsidRPr="00205DD5">
        <w:t>5</w:t>
      </w:r>
      <w:r w:rsidRPr="00205DD5">
        <w:t> Budget. The drivers of movements in the fiscal balance estimates are largely the same as for the underlying cash balance.</w:t>
      </w:r>
    </w:p>
    <w:p w14:paraId="3263E247" w14:textId="407EA13B" w:rsidR="004830F3" w:rsidRPr="00205DD5" w:rsidRDefault="00D63C70" w:rsidP="00A809BB">
      <w:pPr>
        <w:pStyle w:val="TableHeading"/>
        <w:rPr>
          <w:rFonts w:asciiTheme="minorHAnsi" w:eastAsiaTheme="minorHAnsi" w:hAnsiTheme="minorHAnsi" w:cstheme="minorBidi"/>
          <w:b w:val="0"/>
          <w:sz w:val="22"/>
          <w:szCs w:val="22"/>
          <w:lang w:eastAsia="en-US"/>
        </w:rPr>
      </w:pPr>
      <w:r w:rsidRPr="00A810D0">
        <w:t>Table 3.</w:t>
      </w:r>
      <w:r w:rsidR="009334B4">
        <w:t>1</w:t>
      </w:r>
      <w:r w:rsidR="008D5923">
        <w:t>0</w:t>
      </w:r>
      <w:r w:rsidRPr="00A810D0">
        <w:t xml:space="preserve">: </w:t>
      </w:r>
      <w:r w:rsidRPr="00205DD5">
        <w:t>Reconciliation of general government sector fiscal balance estimates</w:t>
      </w:r>
    </w:p>
    <w:tbl>
      <w:tblPr>
        <w:tblW w:w="5000" w:type="pct"/>
        <w:tblCellMar>
          <w:left w:w="0" w:type="dxa"/>
          <w:right w:w="28" w:type="dxa"/>
        </w:tblCellMar>
        <w:tblLook w:val="04A0" w:firstRow="1" w:lastRow="0" w:firstColumn="1" w:lastColumn="0" w:noHBand="0" w:noVBand="1"/>
      </w:tblPr>
      <w:tblGrid>
        <w:gridCol w:w="3541"/>
        <w:gridCol w:w="776"/>
        <w:gridCol w:w="776"/>
        <w:gridCol w:w="776"/>
        <w:gridCol w:w="776"/>
        <w:gridCol w:w="109"/>
        <w:gridCol w:w="956"/>
      </w:tblGrid>
      <w:tr w:rsidR="004830F3" w:rsidRPr="00FF1D21" w14:paraId="477FB032" w14:textId="77777777" w:rsidTr="004830F3">
        <w:trPr>
          <w:trHeight w:hRule="exact" w:val="226"/>
        </w:trPr>
        <w:tc>
          <w:tcPr>
            <w:tcW w:w="2297" w:type="pct"/>
            <w:tcBorders>
              <w:top w:val="single" w:sz="4" w:space="0" w:color="293F5B"/>
              <w:left w:val="nil"/>
              <w:bottom w:val="nil"/>
              <w:right w:val="nil"/>
            </w:tcBorders>
            <w:shd w:val="clear" w:color="000000" w:fill="FFFFFF"/>
            <w:noWrap/>
            <w:vAlign w:val="bottom"/>
            <w:hideMark/>
          </w:tcPr>
          <w:p w14:paraId="339FEEA9" w14:textId="64734FEB"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2012" w:type="pct"/>
            <w:gridSpan w:val="4"/>
            <w:tcBorders>
              <w:top w:val="single" w:sz="4" w:space="0" w:color="293F5B"/>
              <w:left w:val="nil"/>
              <w:bottom w:val="nil"/>
              <w:right w:val="nil"/>
            </w:tcBorders>
            <w:shd w:val="clear" w:color="000000" w:fill="FFFFFF"/>
            <w:noWrap/>
            <w:vAlign w:val="center"/>
            <w:hideMark/>
          </w:tcPr>
          <w:p w14:paraId="1993990C" w14:textId="77777777" w:rsidR="004830F3" w:rsidRPr="00FF1D21" w:rsidRDefault="004830F3" w:rsidP="004830F3">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Estimates</w:t>
            </w:r>
          </w:p>
        </w:tc>
        <w:tc>
          <w:tcPr>
            <w:tcW w:w="71" w:type="pct"/>
            <w:tcBorders>
              <w:top w:val="single" w:sz="4" w:space="0" w:color="293F5B"/>
              <w:left w:val="nil"/>
              <w:bottom w:val="nil"/>
              <w:right w:val="nil"/>
            </w:tcBorders>
            <w:shd w:val="clear" w:color="000000" w:fill="FFFFFF"/>
            <w:noWrap/>
            <w:vAlign w:val="center"/>
            <w:hideMark/>
          </w:tcPr>
          <w:p w14:paraId="4E63180E"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single" w:sz="4" w:space="0" w:color="293F5B"/>
              <w:left w:val="nil"/>
              <w:bottom w:val="nil"/>
              <w:right w:val="nil"/>
            </w:tcBorders>
            <w:shd w:val="clear" w:color="000000" w:fill="FFFFFF"/>
            <w:noWrap/>
            <w:vAlign w:val="center"/>
            <w:hideMark/>
          </w:tcPr>
          <w:p w14:paraId="4A9EC1DA" w14:textId="77777777" w:rsidR="004830F3" w:rsidRPr="00205DD5" w:rsidRDefault="004830F3" w:rsidP="004830F3">
            <w:pPr>
              <w:spacing w:before="0" w:after="0" w:line="240" w:lineRule="auto"/>
              <w:rPr>
                <w:rFonts w:ascii="Arial" w:hAnsi="Arial" w:cs="Arial"/>
                <w:sz w:val="16"/>
                <w:szCs w:val="16"/>
              </w:rPr>
            </w:pPr>
            <w:r w:rsidRPr="00205DD5">
              <w:rPr>
                <w:rFonts w:ascii="Arial" w:hAnsi="Arial" w:cs="Arial"/>
                <w:sz w:val="16"/>
                <w:szCs w:val="16"/>
              </w:rPr>
              <w:t> </w:t>
            </w:r>
          </w:p>
        </w:tc>
      </w:tr>
      <w:tr w:rsidR="004830F3" w:rsidRPr="00FF1D21" w14:paraId="7EBDEBDF" w14:textId="77777777" w:rsidTr="004830F3">
        <w:trPr>
          <w:trHeight w:hRule="exact" w:val="226"/>
        </w:trPr>
        <w:tc>
          <w:tcPr>
            <w:tcW w:w="2297" w:type="pct"/>
            <w:tcBorders>
              <w:top w:val="nil"/>
              <w:left w:val="nil"/>
              <w:bottom w:val="nil"/>
              <w:right w:val="nil"/>
            </w:tcBorders>
            <w:shd w:val="clear" w:color="000000" w:fill="FFFFFF"/>
            <w:noWrap/>
            <w:vAlign w:val="bottom"/>
            <w:hideMark/>
          </w:tcPr>
          <w:p w14:paraId="08974C81"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single" w:sz="4" w:space="0" w:color="293F5B"/>
              <w:left w:val="nil"/>
              <w:bottom w:val="nil"/>
              <w:right w:val="nil"/>
            </w:tcBorders>
            <w:shd w:val="clear" w:color="000000" w:fill="E6F2FF"/>
            <w:noWrap/>
            <w:vAlign w:val="center"/>
            <w:hideMark/>
          </w:tcPr>
          <w:p w14:paraId="2F5E9847"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2024–25</w:t>
            </w:r>
          </w:p>
        </w:tc>
        <w:tc>
          <w:tcPr>
            <w:tcW w:w="503" w:type="pct"/>
            <w:tcBorders>
              <w:top w:val="single" w:sz="4" w:space="0" w:color="293F5B"/>
              <w:left w:val="nil"/>
              <w:bottom w:val="nil"/>
              <w:right w:val="nil"/>
            </w:tcBorders>
            <w:shd w:val="clear" w:color="000000" w:fill="FFFFFF"/>
            <w:noWrap/>
            <w:vAlign w:val="center"/>
            <w:hideMark/>
          </w:tcPr>
          <w:p w14:paraId="5B04A419"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2025–26</w:t>
            </w:r>
          </w:p>
        </w:tc>
        <w:tc>
          <w:tcPr>
            <w:tcW w:w="503" w:type="pct"/>
            <w:tcBorders>
              <w:top w:val="single" w:sz="4" w:space="0" w:color="293F5B"/>
              <w:left w:val="nil"/>
              <w:bottom w:val="nil"/>
              <w:right w:val="nil"/>
            </w:tcBorders>
            <w:shd w:val="clear" w:color="000000" w:fill="FFFFFF"/>
            <w:noWrap/>
            <w:vAlign w:val="center"/>
            <w:hideMark/>
          </w:tcPr>
          <w:p w14:paraId="5C1837C9"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2026–27</w:t>
            </w:r>
          </w:p>
        </w:tc>
        <w:tc>
          <w:tcPr>
            <w:tcW w:w="503" w:type="pct"/>
            <w:tcBorders>
              <w:top w:val="single" w:sz="4" w:space="0" w:color="293F5B"/>
              <w:left w:val="nil"/>
              <w:bottom w:val="nil"/>
              <w:right w:val="nil"/>
            </w:tcBorders>
            <w:shd w:val="clear" w:color="000000" w:fill="FFFFFF"/>
            <w:noWrap/>
            <w:vAlign w:val="center"/>
            <w:hideMark/>
          </w:tcPr>
          <w:p w14:paraId="2820F8A8"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2027–28</w:t>
            </w:r>
          </w:p>
        </w:tc>
        <w:tc>
          <w:tcPr>
            <w:tcW w:w="71" w:type="pct"/>
            <w:tcBorders>
              <w:top w:val="nil"/>
              <w:left w:val="nil"/>
              <w:bottom w:val="nil"/>
              <w:right w:val="nil"/>
            </w:tcBorders>
            <w:shd w:val="clear" w:color="000000" w:fill="FFFFFF"/>
            <w:noWrap/>
            <w:vAlign w:val="center"/>
            <w:hideMark/>
          </w:tcPr>
          <w:p w14:paraId="13F00852"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single" w:sz="4" w:space="0" w:color="293F5B"/>
              <w:left w:val="nil"/>
              <w:bottom w:val="nil"/>
              <w:right w:val="nil"/>
            </w:tcBorders>
            <w:shd w:val="clear" w:color="000000" w:fill="FFFFFF"/>
            <w:noWrap/>
            <w:vAlign w:val="center"/>
            <w:hideMark/>
          </w:tcPr>
          <w:p w14:paraId="7A7BE99B"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Total</w:t>
            </w:r>
          </w:p>
        </w:tc>
      </w:tr>
      <w:tr w:rsidR="004830F3" w:rsidRPr="00FF1D21" w14:paraId="25CF4938"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570EC0EC"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single" w:sz="4" w:space="0" w:color="293F5B"/>
              <w:right w:val="nil"/>
            </w:tcBorders>
            <w:shd w:val="clear" w:color="000000" w:fill="E6F2FF"/>
            <w:noWrap/>
            <w:vAlign w:val="center"/>
            <w:hideMark/>
          </w:tcPr>
          <w:p w14:paraId="6C0C01C3"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03" w:type="pct"/>
            <w:tcBorders>
              <w:top w:val="nil"/>
              <w:left w:val="nil"/>
              <w:bottom w:val="single" w:sz="4" w:space="0" w:color="293F5B"/>
              <w:right w:val="nil"/>
            </w:tcBorders>
            <w:shd w:val="clear" w:color="000000" w:fill="FFFFFF"/>
            <w:noWrap/>
            <w:vAlign w:val="center"/>
            <w:hideMark/>
          </w:tcPr>
          <w:p w14:paraId="23AC827D"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03" w:type="pct"/>
            <w:tcBorders>
              <w:top w:val="nil"/>
              <w:left w:val="nil"/>
              <w:bottom w:val="single" w:sz="4" w:space="0" w:color="293F5B"/>
              <w:right w:val="nil"/>
            </w:tcBorders>
            <w:shd w:val="clear" w:color="000000" w:fill="FFFFFF"/>
            <w:noWrap/>
            <w:vAlign w:val="center"/>
            <w:hideMark/>
          </w:tcPr>
          <w:p w14:paraId="2C16B793"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03" w:type="pct"/>
            <w:tcBorders>
              <w:top w:val="nil"/>
              <w:left w:val="nil"/>
              <w:bottom w:val="single" w:sz="4" w:space="0" w:color="293F5B"/>
              <w:right w:val="nil"/>
            </w:tcBorders>
            <w:shd w:val="clear" w:color="000000" w:fill="FFFFFF"/>
            <w:noWrap/>
            <w:vAlign w:val="center"/>
            <w:hideMark/>
          </w:tcPr>
          <w:p w14:paraId="7E8D44C9"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71" w:type="pct"/>
            <w:tcBorders>
              <w:top w:val="nil"/>
              <w:left w:val="nil"/>
              <w:bottom w:val="nil"/>
              <w:right w:val="nil"/>
            </w:tcBorders>
            <w:shd w:val="clear" w:color="000000" w:fill="FFFFFF"/>
            <w:noWrap/>
            <w:vAlign w:val="center"/>
            <w:hideMark/>
          </w:tcPr>
          <w:p w14:paraId="0C94D0AE"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single" w:sz="4" w:space="0" w:color="293F5B"/>
              <w:right w:val="nil"/>
            </w:tcBorders>
            <w:shd w:val="clear" w:color="000000" w:fill="FFFFFF"/>
            <w:noWrap/>
            <w:vAlign w:val="center"/>
            <w:hideMark/>
          </w:tcPr>
          <w:p w14:paraId="441647DA"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$m</w:t>
            </w:r>
          </w:p>
        </w:tc>
      </w:tr>
      <w:tr w:rsidR="004830F3" w:rsidRPr="00FF1D21" w14:paraId="620F027B"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1C38A6B6" w14:textId="77777777" w:rsidR="004830F3" w:rsidRPr="00FF1D21" w:rsidRDefault="004830F3" w:rsidP="004830F3">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Budget fiscal balance</w:t>
            </w:r>
          </w:p>
        </w:tc>
        <w:tc>
          <w:tcPr>
            <w:tcW w:w="503" w:type="pct"/>
            <w:tcBorders>
              <w:top w:val="nil"/>
              <w:left w:val="nil"/>
              <w:bottom w:val="nil"/>
              <w:right w:val="nil"/>
            </w:tcBorders>
            <w:shd w:val="clear" w:color="000000" w:fill="E6F2FF"/>
            <w:noWrap/>
            <w:vAlign w:val="center"/>
            <w:hideMark/>
          </w:tcPr>
          <w:p w14:paraId="446064E4"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-29,316</w:t>
            </w:r>
          </w:p>
        </w:tc>
        <w:tc>
          <w:tcPr>
            <w:tcW w:w="503" w:type="pct"/>
            <w:tcBorders>
              <w:top w:val="nil"/>
              <w:left w:val="nil"/>
              <w:bottom w:val="nil"/>
              <w:right w:val="nil"/>
            </w:tcBorders>
            <w:shd w:val="clear" w:color="000000" w:fill="FFFFFF"/>
            <w:noWrap/>
            <w:vAlign w:val="center"/>
            <w:hideMark/>
          </w:tcPr>
          <w:p w14:paraId="410B5153"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-42,604</w:t>
            </w:r>
          </w:p>
        </w:tc>
        <w:tc>
          <w:tcPr>
            <w:tcW w:w="503" w:type="pct"/>
            <w:tcBorders>
              <w:top w:val="nil"/>
              <w:left w:val="nil"/>
              <w:bottom w:val="nil"/>
              <w:right w:val="nil"/>
            </w:tcBorders>
            <w:shd w:val="clear" w:color="000000" w:fill="FFFFFF"/>
            <w:noWrap/>
            <w:vAlign w:val="center"/>
            <w:hideMark/>
          </w:tcPr>
          <w:p w14:paraId="6A3BB677"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-26,514</w:t>
            </w:r>
          </w:p>
        </w:tc>
        <w:tc>
          <w:tcPr>
            <w:tcW w:w="503" w:type="pct"/>
            <w:tcBorders>
              <w:top w:val="nil"/>
              <w:left w:val="nil"/>
              <w:bottom w:val="nil"/>
              <w:right w:val="nil"/>
            </w:tcBorders>
            <w:shd w:val="clear" w:color="000000" w:fill="FFFFFF"/>
            <w:noWrap/>
            <w:vAlign w:val="center"/>
            <w:hideMark/>
          </w:tcPr>
          <w:p w14:paraId="0FD3E0DB"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-22,026</w:t>
            </w:r>
          </w:p>
        </w:tc>
        <w:tc>
          <w:tcPr>
            <w:tcW w:w="71" w:type="pct"/>
            <w:tcBorders>
              <w:top w:val="nil"/>
              <w:left w:val="nil"/>
              <w:bottom w:val="nil"/>
              <w:right w:val="nil"/>
            </w:tcBorders>
            <w:shd w:val="clear" w:color="000000" w:fill="FFFFFF"/>
            <w:noWrap/>
            <w:vAlign w:val="center"/>
            <w:hideMark/>
          </w:tcPr>
          <w:p w14:paraId="4E65DB11"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621" w:type="pct"/>
            <w:tcBorders>
              <w:top w:val="nil"/>
              <w:left w:val="nil"/>
              <w:bottom w:val="nil"/>
              <w:right w:val="nil"/>
            </w:tcBorders>
            <w:shd w:val="clear" w:color="000000" w:fill="FFFFFF"/>
            <w:noWrap/>
            <w:vAlign w:val="center"/>
            <w:hideMark/>
          </w:tcPr>
          <w:p w14:paraId="34920D25" w14:textId="77777777" w:rsidR="004830F3" w:rsidRPr="00205DD5" w:rsidRDefault="004830F3" w:rsidP="004830F3">
            <w:pPr>
              <w:spacing w:before="0" w:after="0" w:line="240" w:lineRule="auto"/>
              <w:jc w:val="right"/>
              <w:rPr>
                <w:rFonts w:ascii="Arial" w:hAnsi="Arial" w:cs="Arial"/>
                <w:b/>
                <w:sz w:val="16"/>
                <w:szCs w:val="16"/>
              </w:rPr>
            </w:pPr>
            <w:r w:rsidRPr="00205DD5">
              <w:rPr>
                <w:rFonts w:ascii="Arial" w:hAnsi="Arial" w:cs="Arial"/>
                <w:b/>
                <w:sz w:val="16"/>
                <w:szCs w:val="16"/>
              </w:rPr>
              <w:t>-120,461</w:t>
            </w:r>
          </w:p>
        </w:tc>
      </w:tr>
      <w:tr w:rsidR="004830F3" w:rsidRPr="00FF1D21" w14:paraId="5C4D0E86"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74DF11CE"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Per cent of GDP</w:t>
            </w:r>
          </w:p>
        </w:tc>
        <w:tc>
          <w:tcPr>
            <w:tcW w:w="503" w:type="pct"/>
            <w:tcBorders>
              <w:top w:val="nil"/>
              <w:left w:val="nil"/>
              <w:bottom w:val="nil"/>
              <w:right w:val="nil"/>
            </w:tcBorders>
            <w:shd w:val="clear" w:color="000000" w:fill="E6F2FF"/>
            <w:noWrap/>
            <w:vAlign w:val="center"/>
            <w:hideMark/>
          </w:tcPr>
          <w:p w14:paraId="2CBB05F8"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w:t>
            </w:r>
          </w:p>
        </w:tc>
        <w:tc>
          <w:tcPr>
            <w:tcW w:w="503" w:type="pct"/>
            <w:tcBorders>
              <w:top w:val="nil"/>
              <w:left w:val="nil"/>
              <w:bottom w:val="nil"/>
              <w:right w:val="nil"/>
            </w:tcBorders>
            <w:shd w:val="clear" w:color="000000" w:fill="FFFFFF"/>
            <w:noWrap/>
            <w:vAlign w:val="center"/>
            <w:hideMark/>
          </w:tcPr>
          <w:p w14:paraId="1DE0D7EF"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w:t>
            </w:r>
          </w:p>
        </w:tc>
        <w:tc>
          <w:tcPr>
            <w:tcW w:w="503" w:type="pct"/>
            <w:tcBorders>
              <w:top w:val="nil"/>
              <w:left w:val="nil"/>
              <w:bottom w:val="nil"/>
              <w:right w:val="nil"/>
            </w:tcBorders>
            <w:shd w:val="clear" w:color="000000" w:fill="FFFFFF"/>
            <w:noWrap/>
            <w:vAlign w:val="center"/>
            <w:hideMark/>
          </w:tcPr>
          <w:p w14:paraId="55C8A152"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-0.9</w:t>
            </w:r>
          </w:p>
        </w:tc>
        <w:tc>
          <w:tcPr>
            <w:tcW w:w="503" w:type="pct"/>
            <w:tcBorders>
              <w:top w:val="nil"/>
              <w:left w:val="nil"/>
              <w:bottom w:val="nil"/>
              <w:right w:val="nil"/>
            </w:tcBorders>
            <w:shd w:val="clear" w:color="000000" w:fill="FFFFFF"/>
            <w:noWrap/>
            <w:vAlign w:val="center"/>
            <w:hideMark/>
          </w:tcPr>
          <w:p w14:paraId="0CE1BB28"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-0.7</w:t>
            </w:r>
          </w:p>
        </w:tc>
        <w:tc>
          <w:tcPr>
            <w:tcW w:w="71" w:type="pct"/>
            <w:tcBorders>
              <w:top w:val="nil"/>
              <w:left w:val="nil"/>
              <w:bottom w:val="nil"/>
              <w:right w:val="nil"/>
            </w:tcBorders>
            <w:shd w:val="clear" w:color="000000" w:fill="FFFFFF"/>
            <w:noWrap/>
            <w:vAlign w:val="center"/>
            <w:hideMark/>
          </w:tcPr>
          <w:p w14:paraId="4AD5A461"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010FF595"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50B4B791" w14:textId="77777777" w:rsidTr="004830F3">
        <w:trPr>
          <w:trHeight w:hRule="exact" w:val="60"/>
        </w:trPr>
        <w:tc>
          <w:tcPr>
            <w:tcW w:w="2297" w:type="pct"/>
            <w:tcBorders>
              <w:top w:val="nil"/>
              <w:left w:val="nil"/>
              <w:bottom w:val="nil"/>
              <w:right w:val="nil"/>
            </w:tcBorders>
            <w:shd w:val="clear" w:color="000000" w:fill="FFFFFF"/>
            <w:noWrap/>
            <w:vAlign w:val="center"/>
            <w:hideMark/>
          </w:tcPr>
          <w:p w14:paraId="133309C5"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280A7667"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346D0ADC"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564671A9"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7835521"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noWrap/>
            <w:vAlign w:val="center"/>
            <w:hideMark/>
          </w:tcPr>
          <w:p w14:paraId="3465D30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415E10BB"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1F929ADF"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3FF30327" w14:textId="77777777" w:rsidR="004830F3" w:rsidRPr="00FF1D21" w:rsidRDefault="004830F3" w:rsidP="004830F3">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Changes from 2024-25 Budget</w:t>
            </w:r>
          </w:p>
        </w:tc>
        <w:tc>
          <w:tcPr>
            <w:tcW w:w="503" w:type="pct"/>
            <w:tcBorders>
              <w:top w:val="nil"/>
              <w:left w:val="nil"/>
              <w:bottom w:val="nil"/>
              <w:right w:val="nil"/>
            </w:tcBorders>
            <w:shd w:val="clear" w:color="000000" w:fill="E6F2FF"/>
            <w:noWrap/>
            <w:vAlign w:val="center"/>
            <w:hideMark/>
          </w:tcPr>
          <w:p w14:paraId="68CCC1F6"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1239EF8F"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53A7F7B9"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DD74594"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noWrap/>
            <w:vAlign w:val="center"/>
            <w:hideMark/>
          </w:tcPr>
          <w:p w14:paraId="769522A4"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525EF2BA"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3046CC82"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564C138F" w14:textId="77777777" w:rsidR="004830F3" w:rsidRPr="00FF1D21" w:rsidRDefault="004830F3" w:rsidP="004830F3">
            <w:pPr>
              <w:spacing w:before="0" w:after="0" w:line="240" w:lineRule="auto"/>
              <w:ind w:left="170"/>
              <w:rPr>
                <w:rFonts w:ascii="Arial" w:hAnsi="Arial" w:cs="Arial"/>
                <w:b/>
                <w:color w:val="00FFFF"/>
                <w:sz w:val="16"/>
                <w:szCs w:val="16"/>
                <w:highlight w:val="darkCyan"/>
              </w:rPr>
            </w:pPr>
            <w:r w:rsidRPr="00205DD5">
              <w:rPr>
                <w:rFonts w:ascii="Arial" w:hAnsi="Arial" w:cs="Arial"/>
                <w:b/>
                <w:sz w:val="16"/>
                <w:szCs w:val="16"/>
              </w:rPr>
              <w:t>to 2024-25 MYEFO</w:t>
            </w:r>
          </w:p>
        </w:tc>
        <w:tc>
          <w:tcPr>
            <w:tcW w:w="503" w:type="pct"/>
            <w:tcBorders>
              <w:top w:val="nil"/>
              <w:left w:val="nil"/>
              <w:bottom w:val="nil"/>
              <w:right w:val="nil"/>
            </w:tcBorders>
            <w:shd w:val="clear" w:color="000000" w:fill="E6F2FF"/>
            <w:noWrap/>
            <w:vAlign w:val="center"/>
            <w:hideMark/>
          </w:tcPr>
          <w:p w14:paraId="3F9737C8"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2743BD8A"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CCB0E5A"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4F28DE1"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noWrap/>
            <w:vAlign w:val="center"/>
            <w:hideMark/>
          </w:tcPr>
          <w:p w14:paraId="2839BBE5"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49E9FAC9"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49EADD7B"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272068C0"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policy decisions(a)(b)</w:t>
            </w:r>
          </w:p>
        </w:tc>
        <w:tc>
          <w:tcPr>
            <w:tcW w:w="503" w:type="pct"/>
            <w:tcBorders>
              <w:top w:val="nil"/>
              <w:left w:val="nil"/>
              <w:bottom w:val="nil"/>
              <w:right w:val="nil"/>
            </w:tcBorders>
            <w:shd w:val="clear" w:color="000000" w:fill="E6F2FF"/>
            <w:noWrap/>
            <w:vAlign w:val="center"/>
            <w:hideMark/>
          </w:tcPr>
          <w:p w14:paraId="215F5934"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1EDF65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0110F26E"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0231129F"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noWrap/>
            <w:vAlign w:val="center"/>
            <w:hideMark/>
          </w:tcPr>
          <w:p w14:paraId="2FA41B21"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45B19D43"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545BB91E"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523F9A70" w14:textId="77777777" w:rsidR="004830F3" w:rsidRPr="00FF1D21" w:rsidRDefault="004830F3" w:rsidP="004830F3">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Revenue</w:t>
            </w:r>
          </w:p>
        </w:tc>
        <w:tc>
          <w:tcPr>
            <w:tcW w:w="503" w:type="pct"/>
            <w:tcBorders>
              <w:top w:val="nil"/>
              <w:left w:val="nil"/>
              <w:bottom w:val="nil"/>
              <w:right w:val="nil"/>
            </w:tcBorders>
            <w:shd w:val="clear" w:color="000000" w:fill="E6F2FF"/>
            <w:noWrap/>
            <w:vAlign w:val="center"/>
            <w:hideMark/>
          </w:tcPr>
          <w:p w14:paraId="6D14A3F6"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118</w:t>
            </w:r>
          </w:p>
        </w:tc>
        <w:tc>
          <w:tcPr>
            <w:tcW w:w="503" w:type="pct"/>
            <w:tcBorders>
              <w:top w:val="nil"/>
              <w:left w:val="nil"/>
              <w:bottom w:val="nil"/>
              <w:right w:val="nil"/>
            </w:tcBorders>
            <w:shd w:val="clear" w:color="000000" w:fill="FFFFFF"/>
            <w:noWrap/>
            <w:vAlign w:val="center"/>
            <w:hideMark/>
          </w:tcPr>
          <w:p w14:paraId="4BE2F613"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225</w:t>
            </w:r>
          </w:p>
        </w:tc>
        <w:tc>
          <w:tcPr>
            <w:tcW w:w="503" w:type="pct"/>
            <w:tcBorders>
              <w:top w:val="nil"/>
              <w:left w:val="nil"/>
              <w:bottom w:val="nil"/>
              <w:right w:val="nil"/>
            </w:tcBorders>
            <w:shd w:val="clear" w:color="000000" w:fill="FFFFFF"/>
            <w:noWrap/>
            <w:vAlign w:val="center"/>
            <w:hideMark/>
          </w:tcPr>
          <w:p w14:paraId="5D070B58"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429</w:t>
            </w:r>
          </w:p>
        </w:tc>
        <w:tc>
          <w:tcPr>
            <w:tcW w:w="503" w:type="pct"/>
            <w:tcBorders>
              <w:top w:val="nil"/>
              <w:left w:val="nil"/>
              <w:bottom w:val="nil"/>
              <w:right w:val="nil"/>
            </w:tcBorders>
            <w:shd w:val="clear" w:color="000000" w:fill="FFFFFF"/>
            <w:noWrap/>
            <w:vAlign w:val="center"/>
            <w:hideMark/>
          </w:tcPr>
          <w:p w14:paraId="724B2401"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405</w:t>
            </w:r>
          </w:p>
        </w:tc>
        <w:tc>
          <w:tcPr>
            <w:tcW w:w="71" w:type="pct"/>
            <w:tcBorders>
              <w:top w:val="nil"/>
              <w:left w:val="nil"/>
              <w:bottom w:val="nil"/>
              <w:right w:val="nil"/>
            </w:tcBorders>
            <w:shd w:val="clear" w:color="000000" w:fill="FFFFFF"/>
            <w:noWrap/>
            <w:vAlign w:val="center"/>
            <w:hideMark/>
          </w:tcPr>
          <w:p w14:paraId="47B12FED"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621" w:type="pct"/>
            <w:tcBorders>
              <w:top w:val="nil"/>
              <w:left w:val="nil"/>
              <w:bottom w:val="nil"/>
              <w:right w:val="nil"/>
            </w:tcBorders>
            <w:shd w:val="clear" w:color="000000" w:fill="FFFFFF"/>
            <w:noWrap/>
            <w:vAlign w:val="center"/>
            <w:hideMark/>
          </w:tcPr>
          <w:p w14:paraId="738870C9" w14:textId="77777777" w:rsidR="004830F3" w:rsidRPr="00205DD5" w:rsidRDefault="004830F3" w:rsidP="004830F3">
            <w:pPr>
              <w:spacing w:before="0" w:after="0" w:line="240" w:lineRule="auto"/>
              <w:jc w:val="right"/>
              <w:rPr>
                <w:rFonts w:ascii="Arial" w:hAnsi="Arial" w:cs="Arial"/>
                <w:i/>
                <w:sz w:val="16"/>
                <w:szCs w:val="16"/>
              </w:rPr>
            </w:pPr>
            <w:r w:rsidRPr="00205DD5">
              <w:rPr>
                <w:rFonts w:ascii="Arial" w:hAnsi="Arial" w:cs="Arial"/>
                <w:i/>
                <w:sz w:val="16"/>
                <w:szCs w:val="16"/>
              </w:rPr>
              <w:t>1,176</w:t>
            </w:r>
          </w:p>
        </w:tc>
      </w:tr>
      <w:tr w:rsidR="004830F3" w:rsidRPr="00FF1D21" w14:paraId="58053848"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5DD99587" w14:textId="77777777" w:rsidR="004830F3" w:rsidRPr="00FF1D21" w:rsidRDefault="004830F3" w:rsidP="004830F3">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 xml:space="preserve">Expenses </w:t>
            </w:r>
          </w:p>
        </w:tc>
        <w:tc>
          <w:tcPr>
            <w:tcW w:w="503" w:type="pct"/>
            <w:tcBorders>
              <w:top w:val="nil"/>
              <w:left w:val="nil"/>
              <w:bottom w:val="nil"/>
              <w:right w:val="nil"/>
            </w:tcBorders>
            <w:shd w:val="clear" w:color="000000" w:fill="E6F2FF"/>
            <w:noWrap/>
            <w:vAlign w:val="center"/>
            <w:hideMark/>
          </w:tcPr>
          <w:p w14:paraId="7F4A4FE1"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12,739</w:t>
            </w:r>
          </w:p>
        </w:tc>
        <w:tc>
          <w:tcPr>
            <w:tcW w:w="503" w:type="pct"/>
            <w:tcBorders>
              <w:top w:val="nil"/>
              <w:left w:val="nil"/>
              <w:bottom w:val="nil"/>
              <w:right w:val="nil"/>
            </w:tcBorders>
            <w:shd w:val="clear" w:color="000000" w:fill="FFFFFF"/>
            <w:noWrap/>
            <w:vAlign w:val="center"/>
            <w:hideMark/>
          </w:tcPr>
          <w:p w14:paraId="60E763E5"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8,635</w:t>
            </w:r>
          </w:p>
        </w:tc>
        <w:tc>
          <w:tcPr>
            <w:tcW w:w="503" w:type="pct"/>
            <w:tcBorders>
              <w:top w:val="nil"/>
              <w:left w:val="nil"/>
              <w:bottom w:val="nil"/>
              <w:right w:val="nil"/>
            </w:tcBorders>
            <w:shd w:val="clear" w:color="000000" w:fill="FFFFFF"/>
            <w:noWrap/>
            <w:vAlign w:val="center"/>
            <w:hideMark/>
          </w:tcPr>
          <w:p w14:paraId="27F03D75"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6,188</w:t>
            </w:r>
          </w:p>
        </w:tc>
        <w:tc>
          <w:tcPr>
            <w:tcW w:w="503" w:type="pct"/>
            <w:tcBorders>
              <w:top w:val="nil"/>
              <w:left w:val="nil"/>
              <w:bottom w:val="nil"/>
              <w:right w:val="nil"/>
            </w:tcBorders>
            <w:shd w:val="clear" w:color="000000" w:fill="FFFFFF"/>
            <w:noWrap/>
            <w:vAlign w:val="center"/>
            <w:hideMark/>
          </w:tcPr>
          <w:p w14:paraId="46726F3F"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4,487</w:t>
            </w:r>
          </w:p>
        </w:tc>
        <w:tc>
          <w:tcPr>
            <w:tcW w:w="71" w:type="pct"/>
            <w:tcBorders>
              <w:top w:val="nil"/>
              <w:left w:val="nil"/>
              <w:bottom w:val="nil"/>
              <w:right w:val="nil"/>
            </w:tcBorders>
            <w:shd w:val="clear" w:color="000000" w:fill="FFFFFF"/>
            <w:noWrap/>
            <w:vAlign w:val="center"/>
            <w:hideMark/>
          </w:tcPr>
          <w:p w14:paraId="2F229124"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621" w:type="pct"/>
            <w:tcBorders>
              <w:top w:val="nil"/>
              <w:left w:val="nil"/>
              <w:bottom w:val="nil"/>
              <w:right w:val="nil"/>
            </w:tcBorders>
            <w:shd w:val="clear" w:color="000000" w:fill="FFFFFF"/>
            <w:noWrap/>
            <w:vAlign w:val="center"/>
            <w:hideMark/>
          </w:tcPr>
          <w:p w14:paraId="5C26CFF8" w14:textId="77777777" w:rsidR="004830F3" w:rsidRPr="00205DD5" w:rsidRDefault="004830F3" w:rsidP="004830F3">
            <w:pPr>
              <w:spacing w:before="0" w:after="0" w:line="240" w:lineRule="auto"/>
              <w:jc w:val="right"/>
              <w:rPr>
                <w:rFonts w:ascii="Arial" w:hAnsi="Arial" w:cs="Arial"/>
                <w:i/>
                <w:sz w:val="16"/>
                <w:szCs w:val="16"/>
              </w:rPr>
            </w:pPr>
            <w:r w:rsidRPr="00205DD5">
              <w:rPr>
                <w:rFonts w:ascii="Arial" w:hAnsi="Arial" w:cs="Arial"/>
                <w:i/>
                <w:sz w:val="16"/>
                <w:szCs w:val="16"/>
              </w:rPr>
              <w:t>32,049</w:t>
            </w:r>
          </w:p>
        </w:tc>
      </w:tr>
      <w:tr w:rsidR="004830F3" w:rsidRPr="00FF1D21" w14:paraId="704B2117"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5B4CFE2B" w14:textId="77777777" w:rsidR="004830F3" w:rsidRPr="00FF1D21" w:rsidRDefault="004830F3" w:rsidP="004830F3">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Net capital investment</w:t>
            </w:r>
          </w:p>
        </w:tc>
        <w:tc>
          <w:tcPr>
            <w:tcW w:w="503" w:type="pct"/>
            <w:tcBorders>
              <w:top w:val="nil"/>
              <w:left w:val="nil"/>
              <w:bottom w:val="nil"/>
              <w:right w:val="nil"/>
            </w:tcBorders>
            <w:shd w:val="clear" w:color="000000" w:fill="E6F2FF"/>
            <w:noWrap/>
            <w:vAlign w:val="center"/>
            <w:hideMark/>
          </w:tcPr>
          <w:p w14:paraId="33BF938F"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38</w:t>
            </w:r>
          </w:p>
        </w:tc>
        <w:tc>
          <w:tcPr>
            <w:tcW w:w="503" w:type="pct"/>
            <w:tcBorders>
              <w:top w:val="nil"/>
              <w:left w:val="nil"/>
              <w:bottom w:val="nil"/>
              <w:right w:val="nil"/>
            </w:tcBorders>
            <w:shd w:val="clear" w:color="000000" w:fill="FFFFFF"/>
            <w:noWrap/>
            <w:vAlign w:val="center"/>
            <w:hideMark/>
          </w:tcPr>
          <w:p w14:paraId="578CA9EB"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466</w:t>
            </w:r>
          </w:p>
        </w:tc>
        <w:tc>
          <w:tcPr>
            <w:tcW w:w="503" w:type="pct"/>
            <w:tcBorders>
              <w:top w:val="nil"/>
              <w:left w:val="nil"/>
              <w:bottom w:val="nil"/>
              <w:right w:val="nil"/>
            </w:tcBorders>
            <w:shd w:val="clear" w:color="000000" w:fill="FFFFFF"/>
            <w:noWrap/>
            <w:vAlign w:val="center"/>
            <w:hideMark/>
          </w:tcPr>
          <w:p w14:paraId="4A5F7576"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504</w:t>
            </w:r>
          </w:p>
        </w:tc>
        <w:tc>
          <w:tcPr>
            <w:tcW w:w="503" w:type="pct"/>
            <w:tcBorders>
              <w:top w:val="nil"/>
              <w:left w:val="nil"/>
              <w:bottom w:val="nil"/>
              <w:right w:val="nil"/>
            </w:tcBorders>
            <w:shd w:val="clear" w:color="000000" w:fill="FFFFFF"/>
            <w:noWrap/>
            <w:vAlign w:val="center"/>
            <w:hideMark/>
          </w:tcPr>
          <w:p w14:paraId="4B2A0895"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97</w:t>
            </w:r>
          </w:p>
        </w:tc>
        <w:tc>
          <w:tcPr>
            <w:tcW w:w="71" w:type="pct"/>
            <w:tcBorders>
              <w:top w:val="nil"/>
              <w:left w:val="nil"/>
              <w:bottom w:val="nil"/>
              <w:right w:val="nil"/>
            </w:tcBorders>
            <w:shd w:val="clear" w:color="000000" w:fill="FFFFFF"/>
            <w:noWrap/>
            <w:vAlign w:val="center"/>
            <w:hideMark/>
          </w:tcPr>
          <w:p w14:paraId="2698185E"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621" w:type="pct"/>
            <w:tcBorders>
              <w:top w:val="nil"/>
              <w:left w:val="nil"/>
              <w:bottom w:val="nil"/>
              <w:right w:val="nil"/>
            </w:tcBorders>
            <w:shd w:val="clear" w:color="000000" w:fill="FFFFFF"/>
            <w:noWrap/>
            <w:vAlign w:val="center"/>
            <w:hideMark/>
          </w:tcPr>
          <w:p w14:paraId="33EB98A1" w14:textId="77777777" w:rsidR="004830F3" w:rsidRPr="00205DD5" w:rsidRDefault="004830F3" w:rsidP="004830F3">
            <w:pPr>
              <w:spacing w:before="0" w:after="0" w:line="240" w:lineRule="auto"/>
              <w:jc w:val="right"/>
              <w:rPr>
                <w:rFonts w:ascii="Arial" w:hAnsi="Arial" w:cs="Arial"/>
                <w:i/>
                <w:sz w:val="16"/>
                <w:szCs w:val="16"/>
              </w:rPr>
            </w:pPr>
            <w:r w:rsidRPr="00205DD5">
              <w:rPr>
                <w:rFonts w:ascii="Arial" w:hAnsi="Arial" w:cs="Arial"/>
                <w:i/>
                <w:sz w:val="16"/>
                <w:szCs w:val="16"/>
              </w:rPr>
              <w:t>1,105</w:t>
            </w:r>
          </w:p>
        </w:tc>
      </w:tr>
      <w:tr w:rsidR="004830F3" w:rsidRPr="00FF1D21" w14:paraId="4789D5C0" w14:textId="77777777" w:rsidTr="004830F3">
        <w:trPr>
          <w:trHeight w:hRule="exact" w:val="226"/>
        </w:trPr>
        <w:tc>
          <w:tcPr>
            <w:tcW w:w="2297" w:type="pct"/>
            <w:tcBorders>
              <w:top w:val="nil"/>
              <w:left w:val="nil"/>
              <w:bottom w:val="nil"/>
              <w:right w:val="nil"/>
            </w:tcBorders>
            <w:shd w:val="clear" w:color="000000" w:fill="FFFFFF"/>
            <w:noWrap/>
            <w:vAlign w:val="bottom"/>
            <w:hideMark/>
          </w:tcPr>
          <w:p w14:paraId="0D416FF0"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Total policy decisions impact on fiscal balance</w:t>
            </w:r>
          </w:p>
        </w:tc>
        <w:tc>
          <w:tcPr>
            <w:tcW w:w="503" w:type="pct"/>
            <w:tcBorders>
              <w:top w:val="single" w:sz="4" w:space="0" w:color="293F5B"/>
              <w:left w:val="nil"/>
              <w:bottom w:val="single" w:sz="4" w:space="0" w:color="293F5B"/>
              <w:right w:val="nil"/>
            </w:tcBorders>
            <w:shd w:val="clear" w:color="000000" w:fill="E6F2FF"/>
            <w:vAlign w:val="center"/>
            <w:hideMark/>
          </w:tcPr>
          <w:p w14:paraId="226FF1FA"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-12,660</w:t>
            </w:r>
          </w:p>
        </w:tc>
        <w:tc>
          <w:tcPr>
            <w:tcW w:w="503" w:type="pct"/>
            <w:tcBorders>
              <w:top w:val="single" w:sz="4" w:space="0" w:color="293F5B"/>
              <w:left w:val="nil"/>
              <w:bottom w:val="single" w:sz="4" w:space="0" w:color="293F5B"/>
              <w:right w:val="nil"/>
            </w:tcBorders>
            <w:shd w:val="clear" w:color="000000" w:fill="FFFFFF"/>
            <w:vAlign w:val="center"/>
            <w:hideMark/>
          </w:tcPr>
          <w:p w14:paraId="3BA2C89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-8,875</w:t>
            </w:r>
          </w:p>
        </w:tc>
        <w:tc>
          <w:tcPr>
            <w:tcW w:w="503" w:type="pct"/>
            <w:tcBorders>
              <w:top w:val="single" w:sz="4" w:space="0" w:color="293F5B"/>
              <w:left w:val="nil"/>
              <w:bottom w:val="single" w:sz="4" w:space="0" w:color="293F5B"/>
              <w:right w:val="nil"/>
            </w:tcBorders>
            <w:shd w:val="clear" w:color="000000" w:fill="FFFFFF"/>
            <w:vAlign w:val="center"/>
            <w:hideMark/>
          </w:tcPr>
          <w:p w14:paraId="6EF6B268"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-6,264</w:t>
            </w:r>
          </w:p>
        </w:tc>
        <w:tc>
          <w:tcPr>
            <w:tcW w:w="503" w:type="pct"/>
            <w:tcBorders>
              <w:top w:val="single" w:sz="4" w:space="0" w:color="293F5B"/>
              <w:left w:val="nil"/>
              <w:bottom w:val="single" w:sz="4" w:space="0" w:color="293F5B"/>
              <w:right w:val="nil"/>
            </w:tcBorders>
            <w:shd w:val="clear" w:color="000000" w:fill="FFFFFF"/>
            <w:vAlign w:val="center"/>
            <w:hideMark/>
          </w:tcPr>
          <w:p w14:paraId="0927204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-4,179</w:t>
            </w:r>
          </w:p>
        </w:tc>
        <w:tc>
          <w:tcPr>
            <w:tcW w:w="71" w:type="pct"/>
            <w:tcBorders>
              <w:top w:val="nil"/>
              <w:left w:val="nil"/>
              <w:bottom w:val="nil"/>
              <w:right w:val="nil"/>
            </w:tcBorders>
            <w:shd w:val="clear" w:color="000000" w:fill="FFFFFF"/>
            <w:vAlign w:val="center"/>
            <w:hideMark/>
          </w:tcPr>
          <w:p w14:paraId="3D0E8EED"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single" w:sz="4" w:space="0" w:color="293F5B"/>
              <w:left w:val="nil"/>
              <w:bottom w:val="single" w:sz="4" w:space="0" w:color="293F5B"/>
              <w:right w:val="nil"/>
            </w:tcBorders>
            <w:shd w:val="clear" w:color="000000" w:fill="FFFFFF"/>
            <w:noWrap/>
            <w:vAlign w:val="center"/>
            <w:hideMark/>
          </w:tcPr>
          <w:p w14:paraId="728DDDFB"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-31,978</w:t>
            </w:r>
          </w:p>
        </w:tc>
      </w:tr>
      <w:tr w:rsidR="004830F3" w:rsidRPr="00FF1D21" w14:paraId="7A97C4BD" w14:textId="77777777" w:rsidTr="004830F3">
        <w:trPr>
          <w:trHeight w:hRule="exact" w:val="60"/>
        </w:trPr>
        <w:tc>
          <w:tcPr>
            <w:tcW w:w="2297" w:type="pct"/>
            <w:tcBorders>
              <w:top w:val="nil"/>
              <w:left w:val="nil"/>
              <w:bottom w:val="nil"/>
              <w:right w:val="nil"/>
            </w:tcBorders>
            <w:shd w:val="clear" w:color="000000" w:fill="FFFFFF"/>
            <w:noWrap/>
            <w:vAlign w:val="bottom"/>
            <w:hideMark/>
          </w:tcPr>
          <w:p w14:paraId="0DDA126D"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E6F2FF"/>
            <w:vAlign w:val="center"/>
            <w:hideMark/>
          </w:tcPr>
          <w:p w14:paraId="020193C0"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vAlign w:val="center"/>
            <w:hideMark/>
          </w:tcPr>
          <w:p w14:paraId="118DF06A"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vAlign w:val="center"/>
            <w:hideMark/>
          </w:tcPr>
          <w:p w14:paraId="0D4CC6D0"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vAlign w:val="center"/>
            <w:hideMark/>
          </w:tcPr>
          <w:p w14:paraId="5573DBCC"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vAlign w:val="center"/>
            <w:hideMark/>
          </w:tcPr>
          <w:p w14:paraId="58C410D4"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74C6682F"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5AC4A828"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2B6375A1"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parameter and other variations(b)</w:t>
            </w:r>
          </w:p>
        </w:tc>
        <w:tc>
          <w:tcPr>
            <w:tcW w:w="503" w:type="pct"/>
            <w:tcBorders>
              <w:top w:val="nil"/>
              <w:left w:val="nil"/>
              <w:bottom w:val="nil"/>
              <w:right w:val="nil"/>
            </w:tcBorders>
            <w:shd w:val="clear" w:color="000000" w:fill="E6F2FF"/>
            <w:noWrap/>
            <w:vAlign w:val="center"/>
            <w:hideMark/>
          </w:tcPr>
          <w:p w14:paraId="21A47BC7"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3E2D5669"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C58E12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28C32576"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noWrap/>
            <w:vAlign w:val="center"/>
            <w:hideMark/>
          </w:tcPr>
          <w:p w14:paraId="6180D6A3"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26B722F4"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4429CE33"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4573E53E" w14:textId="77777777" w:rsidR="004830F3" w:rsidRPr="00FF1D21" w:rsidRDefault="004830F3" w:rsidP="004830F3">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Revenue</w:t>
            </w:r>
          </w:p>
        </w:tc>
        <w:tc>
          <w:tcPr>
            <w:tcW w:w="503" w:type="pct"/>
            <w:tcBorders>
              <w:top w:val="nil"/>
              <w:left w:val="nil"/>
              <w:bottom w:val="nil"/>
              <w:right w:val="nil"/>
            </w:tcBorders>
            <w:shd w:val="clear" w:color="000000" w:fill="E6F2FF"/>
            <w:noWrap/>
            <w:vAlign w:val="center"/>
            <w:hideMark/>
          </w:tcPr>
          <w:p w14:paraId="0A2E45C8"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6,631</w:t>
            </w:r>
          </w:p>
        </w:tc>
        <w:tc>
          <w:tcPr>
            <w:tcW w:w="503" w:type="pct"/>
            <w:tcBorders>
              <w:top w:val="nil"/>
              <w:left w:val="nil"/>
              <w:bottom w:val="nil"/>
              <w:right w:val="nil"/>
            </w:tcBorders>
            <w:shd w:val="clear" w:color="000000" w:fill="FFFFFF"/>
            <w:noWrap/>
            <w:vAlign w:val="center"/>
            <w:hideMark/>
          </w:tcPr>
          <w:p w14:paraId="2C37BD5C"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10,245</w:t>
            </w:r>
          </w:p>
        </w:tc>
        <w:tc>
          <w:tcPr>
            <w:tcW w:w="503" w:type="pct"/>
            <w:tcBorders>
              <w:top w:val="nil"/>
              <w:left w:val="nil"/>
              <w:bottom w:val="nil"/>
              <w:right w:val="nil"/>
            </w:tcBorders>
            <w:shd w:val="clear" w:color="000000" w:fill="FFFFFF"/>
            <w:noWrap/>
            <w:vAlign w:val="center"/>
            <w:hideMark/>
          </w:tcPr>
          <w:p w14:paraId="716832A2"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4,361</w:t>
            </w:r>
          </w:p>
        </w:tc>
        <w:tc>
          <w:tcPr>
            <w:tcW w:w="503" w:type="pct"/>
            <w:tcBorders>
              <w:top w:val="nil"/>
              <w:left w:val="nil"/>
              <w:bottom w:val="nil"/>
              <w:right w:val="nil"/>
            </w:tcBorders>
            <w:shd w:val="clear" w:color="000000" w:fill="FFFFFF"/>
            <w:noWrap/>
            <w:vAlign w:val="center"/>
            <w:hideMark/>
          </w:tcPr>
          <w:p w14:paraId="456B643E"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2,406</w:t>
            </w:r>
          </w:p>
        </w:tc>
        <w:tc>
          <w:tcPr>
            <w:tcW w:w="71" w:type="pct"/>
            <w:tcBorders>
              <w:top w:val="nil"/>
              <w:left w:val="nil"/>
              <w:bottom w:val="nil"/>
              <w:right w:val="nil"/>
            </w:tcBorders>
            <w:shd w:val="clear" w:color="000000" w:fill="FFFFFF"/>
            <w:noWrap/>
            <w:vAlign w:val="center"/>
            <w:hideMark/>
          </w:tcPr>
          <w:p w14:paraId="43F16DDF"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621" w:type="pct"/>
            <w:tcBorders>
              <w:top w:val="nil"/>
              <w:left w:val="nil"/>
              <w:bottom w:val="nil"/>
              <w:right w:val="nil"/>
            </w:tcBorders>
            <w:shd w:val="clear" w:color="000000" w:fill="FFFFFF"/>
            <w:noWrap/>
            <w:vAlign w:val="center"/>
            <w:hideMark/>
          </w:tcPr>
          <w:p w14:paraId="2010EB91" w14:textId="77777777" w:rsidR="004830F3" w:rsidRPr="00205DD5" w:rsidRDefault="004830F3" w:rsidP="004830F3">
            <w:pPr>
              <w:spacing w:before="0" w:after="0" w:line="240" w:lineRule="auto"/>
              <w:jc w:val="right"/>
              <w:rPr>
                <w:rFonts w:ascii="Arial" w:hAnsi="Arial" w:cs="Arial"/>
                <w:i/>
                <w:sz w:val="16"/>
                <w:szCs w:val="16"/>
              </w:rPr>
            </w:pPr>
            <w:r w:rsidRPr="00205DD5">
              <w:rPr>
                <w:rFonts w:ascii="Arial" w:hAnsi="Arial" w:cs="Arial"/>
                <w:i/>
                <w:sz w:val="16"/>
                <w:szCs w:val="16"/>
              </w:rPr>
              <w:t>23,643</w:t>
            </w:r>
          </w:p>
        </w:tc>
      </w:tr>
      <w:tr w:rsidR="004830F3" w:rsidRPr="00FF1D21" w14:paraId="755D9352"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12D86108" w14:textId="77777777" w:rsidR="004830F3" w:rsidRPr="00FF1D21" w:rsidRDefault="004830F3" w:rsidP="004830F3">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 xml:space="preserve">Expenses </w:t>
            </w:r>
          </w:p>
        </w:tc>
        <w:tc>
          <w:tcPr>
            <w:tcW w:w="503" w:type="pct"/>
            <w:tcBorders>
              <w:top w:val="nil"/>
              <w:left w:val="nil"/>
              <w:bottom w:val="nil"/>
              <w:right w:val="nil"/>
            </w:tcBorders>
            <w:shd w:val="clear" w:color="000000" w:fill="E6F2FF"/>
            <w:noWrap/>
            <w:vAlign w:val="center"/>
            <w:hideMark/>
          </w:tcPr>
          <w:p w14:paraId="120F35F8"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11,390</w:t>
            </w:r>
          </w:p>
        </w:tc>
        <w:tc>
          <w:tcPr>
            <w:tcW w:w="503" w:type="pct"/>
            <w:tcBorders>
              <w:top w:val="nil"/>
              <w:left w:val="nil"/>
              <w:bottom w:val="nil"/>
              <w:right w:val="nil"/>
            </w:tcBorders>
            <w:shd w:val="clear" w:color="000000" w:fill="FFFFFF"/>
            <w:noWrap/>
            <w:vAlign w:val="center"/>
            <w:hideMark/>
          </w:tcPr>
          <w:p w14:paraId="6C961833"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8,693</w:t>
            </w:r>
          </w:p>
        </w:tc>
        <w:tc>
          <w:tcPr>
            <w:tcW w:w="503" w:type="pct"/>
            <w:tcBorders>
              <w:top w:val="nil"/>
              <w:left w:val="nil"/>
              <w:bottom w:val="nil"/>
              <w:right w:val="nil"/>
            </w:tcBorders>
            <w:shd w:val="clear" w:color="000000" w:fill="FFFFFF"/>
            <w:noWrap/>
            <w:vAlign w:val="center"/>
            <w:hideMark/>
          </w:tcPr>
          <w:p w14:paraId="552B43B4"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9,027</w:t>
            </w:r>
          </w:p>
        </w:tc>
        <w:tc>
          <w:tcPr>
            <w:tcW w:w="503" w:type="pct"/>
            <w:tcBorders>
              <w:top w:val="nil"/>
              <w:left w:val="nil"/>
              <w:bottom w:val="nil"/>
              <w:right w:val="nil"/>
            </w:tcBorders>
            <w:shd w:val="clear" w:color="000000" w:fill="FFFFFF"/>
            <w:noWrap/>
            <w:vAlign w:val="center"/>
            <w:hideMark/>
          </w:tcPr>
          <w:p w14:paraId="77D12EDF"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10,404</w:t>
            </w:r>
          </w:p>
        </w:tc>
        <w:tc>
          <w:tcPr>
            <w:tcW w:w="71" w:type="pct"/>
            <w:tcBorders>
              <w:top w:val="nil"/>
              <w:left w:val="nil"/>
              <w:bottom w:val="nil"/>
              <w:right w:val="nil"/>
            </w:tcBorders>
            <w:shd w:val="clear" w:color="000000" w:fill="FFFFFF"/>
            <w:noWrap/>
            <w:vAlign w:val="center"/>
            <w:hideMark/>
          </w:tcPr>
          <w:p w14:paraId="2F002317"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621" w:type="pct"/>
            <w:tcBorders>
              <w:top w:val="nil"/>
              <w:left w:val="nil"/>
              <w:bottom w:val="nil"/>
              <w:right w:val="nil"/>
            </w:tcBorders>
            <w:shd w:val="clear" w:color="000000" w:fill="FFFFFF"/>
            <w:noWrap/>
            <w:vAlign w:val="center"/>
            <w:hideMark/>
          </w:tcPr>
          <w:p w14:paraId="334EE96C" w14:textId="77777777" w:rsidR="004830F3" w:rsidRPr="00205DD5" w:rsidRDefault="004830F3" w:rsidP="004830F3">
            <w:pPr>
              <w:spacing w:before="0" w:after="0" w:line="240" w:lineRule="auto"/>
              <w:jc w:val="right"/>
              <w:rPr>
                <w:rFonts w:ascii="Arial" w:hAnsi="Arial" w:cs="Arial"/>
                <w:i/>
                <w:sz w:val="16"/>
                <w:szCs w:val="16"/>
              </w:rPr>
            </w:pPr>
            <w:r w:rsidRPr="00205DD5">
              <w:rPr>
                <w:rFonts w:ascii="Arial" w:hAnsi="Arial" w:cs="Arial"/>
                <w:i/>
                <w:sz w:val="16"/>
                <w:szCs w:val="16"/>
              </w:rPr>
              <w:t>39,514</w:t>
            </w:r>
          </w:p>
        </w:tc>
      </w:tr>
      <w:tr w:rsidR="004830F3" w:rsidRPr="00FF1D21" w14:paraId="1BF89C2B"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21E9AEBF" w14:textId="77777777" w:rsidR="004830F3" w:rsidRPr="00FF1D21" w:rsidRDefault="004830F3" w:rsidP="004830F3">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Net capital investment</w:t>
            </w:r>
          </w:p>
        </w:tc>
        <w:tc>
          <w:tcPr>
            <w:tcW w:w="503" w:type="pct"/>
            <w:tcBorders>
              <w:top w:val="nil"/>
              <w:left w:val="nil"/>
              <w:bottom w:val="nil"/>
              <w:right w:val="nil"/>
            </w:tcBorders>
            <w:shd w:val="clear" w:color="000000" w:fill="E6F2FF"/>
            <w:noWrap/>
            <w:vAlign w:val="center"/>
            <w:hideMark/>
          </w:tcPr>
          <w:p w14:paraId="1CE195E7"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-848</w:t>
            </w:r>
          </w:p>
        </w:tc>
        <w:tc>
          <w:tcPr>
            <w:tcW w:w="503" w:type="pct"/>
            <w:tcBorders>
              <w:top w:val="nil"/>
              <w:left w:val="nil"/>
              <w:bottom w:val="nil"/>
              <w:right w:val="nil"/>
            </w:tcBorders>
            <w:shd w:val="clear" w:color="000000" w:fill="FFFFFF"/>
            <w:noWrap/>
            <w:vAlign w:val="center"/>
            <w:hideMark/>
          </w:tcPr>
          <w:p w14:paraId="15408175"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-232</w:t>
            </w:r>
          </w:p>
        </w:tc>
        <w:tc>
          <w:tcPr>
            <w:tcW w:w="503" w:type="pct"/>
            <w:tcBorders>
              <w:top w:val="nil"/>
              <w:left w:val="nil"/>
              <w:bottom w:val="nil"/>
              <w:right w:val="nil"/>
            </w:tcBorders>
            <w:shd w:val="clear" w:color="000000" w:fill="FFFFFF"/>
            <w:noWrap/>
            <w:vAlign w:val="center"/>
            <w:hideMark/>
          </w:tcPr>
          <w:p w14:paraId="66B3245E"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-1,095</w:t>
            </w:r>
          </w:p>
        </w:tc>
        <w:tc>
          <w:tcPr>
            <w:tcW w:w="503" w:type="pct"/>
            <w:tcBorders>
              <w:top w:val="nil"/>
              <w:left w:val="nil"/>
              <w:bottom w:val="nil"/>
              <w:right w:val="nil"/>
            </w:tcBorders>
            <w:shd w:val="clear" w:color="000000" w:fill="FFFFFF"/>
            <w:noWrap/>
            <w:vAlign w:val="center"/>
            <w:hideMark/>
          </w:tcPr>
          <w:p w14:paraId="01871334"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-756</w:t>
            </w:r>
          </w:p>
        </w:tc>
        <w:tc>
          <w:tcPr>
            <w:tcW w:w="71" w:type="pct"/>
            <w:tcBorders>
              <w:top w:val="nil"/>
              <w:left w:val="nil"/>
              <w:bottom w:val="nil"/>
              <w:right w:val="nil"/>
            </w:tcBorders>
            <w:shd w:val="clear" w:color="000000" w:fill="FFFFFF"/>
            <w:noWrap/>
            <w:vAlign w:val="center"/>
            <w:hideMark/>
          </w:tcPr>
          <w:p w14:paraId="35F85854" w14:textId="77777777" w:rsidR="004830F3" w:rsidRPr="00FF1D21" w:rsidRDefault="004830F3" w:rsidP="004830F3">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621" w:type="pct"/>
            <w:tcBorders>
              <w:top w:val="nil"/>
              <w:left w:val="nil"/>
              <w:bottom w:val="nil"/>
              <w:right w:val="nil"/>
            </w:tcBorders>
            <w:shd w:val="clear" w:color="000000" w:fill="FFFFFF"/>
            <w:noWrap/>
            <w:vAlign w:val="center"/>
            <w:hideMark/>
          </w:tcPr>
          <w:p w14:paraId="13616F54" w14:textId="77777777" w:rsidR="004830F3" w:rsidRPr="00205DD5" w:rsidRDefault="004830F3" w:rsidP="004830F3">
            <w:pPr>
              <w:spacing w:before="0" w:after="0" w:line="240" w:lineRule="auto"/>
              <w:jc w:val="right"/>
              <w:rPr>
                <w:rFonts w:ascii="Arial" w:hAnsi="Arial" w:cs="Arial"/>
                <w:i/>
                <w:sz w:val="16"/>
                <w:szCs w:val="16"/>
              </w:rPr>
            </w:pPr>
            <w:r w:rsidRPr="00205DD5">
              <w:rPr>
                <w:rFonts w:ascii="Arial" w:hAnsi="Arial" w:cs="Arial"/>
                <w:i/>
                <w:sz w:val="16"/>
                <w:szCs w:val="16"/>
              </w:rPr>
              <w:t>-2,932</w:t>
            </w:r>
          </w:p>
        </w:tc>
      </w:tr>
      <w:tr w:rsidR="004830F3" w:rsidRPr="00FF1D21" w14:paraId="1431B022" w14:textId="77777777" w:rsidTr="004830F3">
        <w:trPr>
          <w:trHeight w:hRule="exact" w:val="226"/>
        </w:trPr>
        <w:tc>
          <w:tcPr>
            <w:tcW w:w="2297" w:type="pct"/>
            <w:tcBorders>
              <w:top w:val="nil"/>
              <w:left w:val="nil"/>
              <w:bottom w:val="nil"/>
              <w:right w:val="nil"/>
            </w:tcBorders>
            <w:shd w:val="clear" w:color="000000" w:fill="FFFFFF"/>
            <w:noWrap/>
            <w:vAlign w:val="bottom"/>
            <w:hideMark/>
          </w:tcPr>
          <w:p w14:paraId="2B8BEF5F"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xml:space="preserve">Total parameter and other variations impact on </w:t>
            </w:r>
          </w:p>
        </w:tc>
        <w:tc>
          <w:tcPr>
            <w:tcW w:w="503" w:type="pct"/>
            <w:tcBorders>
              <w:top w:val="single" w:sz="4" w:space="0" w:color="293F5B"/>
              <w:left w:val="nil"/>
              <w:bottom w:val="nil"/>
              <w:right w:val="nil"/>
            </w:tcBorders>
            <w:shd w:val="clear" w:color="000000" w:fill="E6F2FF"/>
            <w:noWrap/>
            <w:vAlign w:val="center"/>
            <w:hideMark/>
          </w:tcPr>
          <w:p w14:paraId="326AC982"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single" w:sz="4" w:space="0" w:color="293F5B"/>
              <w:left w:val="nil"/>
              <w:bottom w:val="nil"/>
              <w:right w:val="nil"/>
            </w:tcBorders>
            <w:shd w:val="clear" w:color="000000" w:fill="FFFFFF"/>
            <w:noWrap/>
            <w:vAlign w:val="center"/>
            <w:hideMark/>
          </w:tcPr>
          <w:p w14:paraId="45C14A55"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single" w:sz="4" w:space="0" w:color="293F5B"/>
              <w:left w:val="nil"/>
              <w:bottom w:val="nil"/>
              <w:right w:val="nil"/>
            </w:tcBorders>
            <w:shd w:val="clear" w:color="000000" w:fill="FFFFFF"/>
            <w:noWrap/>
            <w:vAlign w:val="center"/>
            <w:hideMark/>
          </w:tcPr>
          <w:p w14:paraId="234D6B02"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single" w:sz="4" w:space="0" w:color="293F5B"/>
              <w:left w:val="nil"/>
              <w:bottom w:val="nil"/>
              <w:right w:val="nil"/>
            </w:tcBorders>
            <w:shd w:val="clear" w:color="000000" w:fill="FFFFFF"/>
            <w:noWrap/>
            <w:vAlign w:val="center"/>
            <w:hideMark/>
          </w:tcPr>
          <w:p w14:paraId="6C0EF42E"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noWrap/>
            <w:vAlign w:val="center"/>
            <w:hideMark/>
          </w:tcPr>
          <w:p w14:paraId="14BA7B5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single" w:sz="4" w:space="0" w:color="293F5B"/>
              <w:left w:val="nil"/>
              <w:bottom w:val="nil"/>
              <w:right w:val="nil"/>
            </w:tcBorders>
            <w:shd w:val="clear" w:color="000000" w:fill="FFFFFF"/>
            <w:noWrap/>
            <w:vAlign w:val="center"/>
            <w:hideMark/>
          </w:tcPr>
          <w:p w14:paraId="511B023D"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1518F2E5" w14:textId="77777777" w:rsidTr="004830F3">
        <w:trPr>
          <w:trHeight w:hRule="exact" w:val="226"/>
        </w:trPr>
        <w:tc>
          <w:tcPr>
            <w:tcW w:w="2297" w:type="pct"/>
            <w:tcBorders>
              <w:top w:val="nil"/>
              <w:left w:val="nil"/>
              <w:bottom w:val="nil"/>
              <w:right w:val="nil"/>
            </w:tcBorders>
            <w:shd w:val="clear" w:color="000000" w:fill="FFFFFF"/>
            <w:noWrap/>
            <w:vAlign w:val="bottom"/>
            <w:hideMark/>
          </w:tcPr>
          <w:p w14:paraId="513ED740" w14:textId="77777777" w:rsidR="004830F3" w:rsidRPr="00FF1D21" w:rsidRDefault="004830F3" w:rsidP="004830F3">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fiscal balance</w:t>
            </w:r>
          </w:p>
        </w:tc>
        <w:tc>
          <w:tcPr>
            <w:tcW w:w="503" w:type="pct"/>
            <w:tcBorders>
              <w:top w:val="nil"/>
              <w:left w:val="nil"/>
              <w:bottom w:val="single" w:sz="4" w:space="0" w:color="293F5B"/>
              <w:right w:val="nil"/>
            </w:tcBorders>
            <w:shd w:val="clear" w:color="000000" w:fill="E6F2FF"/>
            <w:noWrap/>
            <w:vAlign w:val="center"/>
            <w:hideMark/>
          </w:tcPr>
          <w:p w14:paraId="72D4965A"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-3,911</w:t>
            </w:r>
          </w:p>
        </w:tc>
        <w:tc>
          <w:tcPr>
            <w:tcW w:w="503" w:type="pct"/>
            <w:tcBorders>
              <w:top w:val="nil"/>
              <w:left w:val="nil"/>
              <w:bottom w:val="single" w:sz="4" w:space="0" w:color="293F5B"/>
              <w:right w:val="nil"/>
            </w:tcBorders>
            <w:shd w:val="clear" w:color="000000" w:fill="FFFFFF"/>
            <w:noWrap/>
            <w:vAlign w:val="center"/>
            <w:hideMark/>
          </w:tcPr>
          <w:p w14:paraId="6098EE4F"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1,784</w:t>
            </w:r>
          </w:p>
        </w:tc>
        <w:tc>
          <w:tcPr>
            <w:tcW w:w="503" w:type="pct"/>
            <w:tcBorders>
              <w:top w:val="nil"/>
              <w:left w:val="nil"/>
              <w:bottom w:val="single" w:sz="4" w:space="0" w:color="293F5B"/>
              <w:right w:val="nil"/>
            </w:tcBorders>
            <w:shd w:val="clear" w:color="000000" w:fill="FFFFFF"/>
            <w:noWrap/>
            <w:vAlign w:val="center"/>
            <w:hideMark/>
          </w:tcPr>
          <w:p w14:paraId="65FB3107"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-3,570</w:t>
            </w:r>
          </w:p>
        </w:tc>
        <w:tc>
          <w:tcPr>
            <w:tcW w:w="503" w:type="pct"/>
            <w:tcBorders>
              <w:top w:val="nil"/>
              <w:left w:val="nil"/>
              <w:bottom w:val="single" w:sz="4" w:space="0" w:color="293F5B"/>
              <w:right w:val="nil"/>
            </w:tcBorders>
            <w:shd w:val="clear" w:color="000000" w:fill="FFFFFF"/>
            <w:noWrap/>
            <w:vAlign w:val="center"/>
            <w:hideMark/>
          </w:tcPr>
          <w:p w14:paraId="7094BBB2"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-7,243</w:t>
            </w:r>
          </w:p>
        </w:tc>
        <w:tc>
          <w:tcPr>
            <w:tcW w:w="71" w:type="pct"/>
            <w:tcBorders>
              <w:top w:val="nil"/>
              <w:left w:val="nil"/>
              <w:bottom w:val="nil"/>
              <w:right w:val="nil"/>
            </w:tcBorders>
            <w:shd w:val="clear" w:color="000000" w:fill="FFFFFF"/>
            <w:noWrap/>
            <w:vAlign w:val="center"/>
            <w:hideMark/>
          </w:tcPr>
          <w:p w14:paraId="14F199EC"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single" w:sz="4" w:space="0" w:color="293F5B"/>
              <w:right w:val="nil"/>
            </w:tcBorders>
            <w:shd w:val="clear" w:color="000000" w:fill="FFFFFF"/>
            <w:noWrap/>
            <w:vAlign w:val="center"/>
            <w:hideMark/>
          </w:tcPr>
          <w:p w14:paraId="13AAA8C3"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-12,939</w:t>
            </w:r>
          </w:p>
        </w:tc>
      </w:tr>
      <w:tr w:rsidR="004830F3" w:rsidRPr="00FF1D21" w14:paraId="7C31E235" w14:textId="77777777" w:rsidTr="004830F3">
        <w:trPr>
          <w:trHeight w:hRule="exact" w:val="60"/>
        </w:trPr>
        <w:tc>
          <w:tcPr>
            <w:tcW w:w="2297" w:type="pct"/>
            <w:tcBorders>
              <w:top w:val="nil"/>
              <w:left w:val="nil"/>
              <w:bottom w:val="nil"/>
              <w:right w:val="nil"/>
            </w:tcBorders>
            <w:shd w:val="clear" w:color="000000" w:fill="FFFFFF"/>
            <w:noWrap/>
            <w:vAlign w:val="center"/>
            <w:hideMark/>
          </w:tcPr>
          <w:p w14:paraId="792AFB8D"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0101518E"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2AA2557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30B61F8F"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55E5880D"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71" w:type="pct"/>
            <w:tcBorders>
              <w:top w:val="nil"/>
              <w:left w:val="nil"/>
              <w:bottom w:val="nil"/>
              <w:right w:val="nil"/>
            </w:tcBorders>
            <w:shd w:val="clear" w:color="000000" w:fill="FFFFFF"/>
            <w:noWrap/>
            <w:vAlign w:val="center"/>
            <w:hideMark/>
          </w:tcPr>
          <w:p w14:paraId="61A14DC6"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nil"/>
              <w:right w:val="nil"/>
            </w:tcBorders>
            <w:shd w:val="clear" w:color="000000" w:fill="FFFFFF"/>
            <w:noWrap/>
            <w:vAlign w:val="center"/>
            <w:hideMark/>
          </w:tcPr>
          <w:p w14:paraId="04318E6F"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r w:rsidR="004830F3" w:rsidRPr="00FF1D21" w14:paraId="4AA25146" w14:textId="77777777" w:rsidTr="004830F3">
        <w:trPr>
          <w:trHeight w:hRule="exact" w:val="226"/>
        </w:trPr>
        <w:tc>
          <w:tcPr>
            <w:tcW w:w="2297" w:type="pct"/>
            <w:tcBorders>
              <w:top w:val="nil"/>
              <w:left w:val="nil"/>
              <w:bottom w:val="nil"/>
              <w:right w:val="nil"/>
            </w:tcBorders>
            <w:shd w:val="clear" w:color="000000" w:fill="FFFFFF"/>
            <w:noWrap/>
            <w:vAlign w:val="center"/>
            <w:hideMark/>
          </w:tcPr>
          <w:p w14:paraId="20BFF9B3" w14:textId="77777777" w:rsidR="004830F3" w:rsidRPr="00FF1D21" w:rsidRDefault="004830F3" w:rsidP="004830F3">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MYEFO fiscal balance</w:t>
            </w:r>
          </w:p>
        </w:tc>
        <w:tc>
          <w:tcPr>
            <w:tcW w:w="503" w:type="pct"/>
            <w:tcBorders>
              <w:top w:val="nil"/>
              <w:left w:val="nil"/>
              <w:bottom w:val="nil"/>
              <w:right w:val="nil"/>
            </w:tcBorders>
            <w:shd w:val="clear" w:color="000000" w:fill="E6F2FF"/>
            <w:noWrap/>
            <w:vAlign w:val="center"/>
            <w:hideMark/>
          </w:tcPr>
          <w:p w14:paraId="7FDB17F9"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-45,887</w:t>
            </w:r>
          </w:p>
        </w:tc>
        <w:tc>
          <w:tcPr>
            <w:tcW w:w="503" w:type="pct"/>
            <w:tcBorders>
              <w:top w:val="nil"/>
              <w:left w:val="nil"/>
              <w:bottom w:val="nil"/>
              <w:right w:val="nil"/>
            </w:tcBorders>
            <w:shd w:val="clear" w:color="000000" w:fill="FFFFFF"/>
            <w:noWrap/>
            <w:vAlign w:val="center"/>
            <w:hideMark/>
          </w:tcPr>
          <w:p w14:paraId="1333A465"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-49,695</w:t>
            </w:r>
          </w:p>
        </w:tc>
        <w:tc>
          <w:tcPr>
            <w:tcW w:w="503" w:type="pct"/>
            <w:tcBorders>
              <w:top w:val="nil"/>
              <w:left w:val="nil"/>
              <w:bottom w:val="nil"/>
              <w:right w:val="nil"/>
            </w:tcBorders>
            <w:shd w:val="clear" w:color="000000" w:fill="FFFFFF"/>
            <w:noWrap/>
            <w:vAlign w:val="center"/>
            <w:hideMark/>
          </w:tcPr>
          <w:p w14:paraId="3F3670C3"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-36,347</w:t>
            </w:r>
          </w:p>
        </w:tc>
        <w:tc>
          <w:tcPr>
            <w:tcW w:w="503" w:type="pct"/>
            <w:tcBorders>
              <w:top w:val="nil"/>
              <w:left w:val="nil"/>
              <w:bottom w:val="nil"/>
              <w:right w:val="nil"/>
            </w:tcBorders>
            <w:shd w:val="clear" w:color="000000" w:fill="FFFFFF"/>
            <w:noWrap/>
            <w:vAlign w:val="center"/>
            <w:hideMark/>
          </w:tcPr>
          <w:p w14:paraId="2690B9EA"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-33,448</w:t>
            </w:r>
          </w:p>
        </w:tc>
        <w:tc>
          <w:tcPr>
            <w:tcW w:w="71" w:type="pct"/>
            <w:tcBorders>
              <w:top w:val="nil"/>
              <w:left w:val="nil"/>
              <w:bottom w:val="nil"/>
              <w:right w:val="nil"/>
            </w:tcBorders>
            <w:shd w:val="clear" w:color="000000" w:fill="FFFFFF"/>
            <w:noWrap/>
            <w:vAlign w:val="center"/>
            <w:hideMark/>
          </w:tcPr>
          <w:p w14:paraId="19390E04" w14:textId="77777777" w:rsidR="004830F3" w:rsidRPr="00FF1D21" w:rsidRDefault="004830F3" w:rsidP="004830F3">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621" w:type="pct"/>
            <w:tcBorders>
              <w:top w:val="nil"/>
              <w:left w:val="nil"/>
              <w:bottom w:val="nil"/>
              <w:right w:val="nil"/>
            </w:tcBorders>
            <w:shd w:val="clear" w:color="000000" w:fill="FFFFFF"/>
            <w:noWrap/>
            <w:vAlign w:val="center"/>
            <w:hideMark/>
          </w:tcPr>
          <w:p w14:paraId="3CDB7849" w14:textId="77777777" w:rsidR="004830F3" w:rsidRPr="00205DD5" w:rsidRDefault="004830F3" w:rsidP="004830F3">
            <w:pPr>
              <w:spacing w:before="0" w:after="0" w:line="240" w:lineRule="auto"/>
              <w:jc w:val="right"/>
              <w:rPr>
                <w:rFonts w:ascii="Arial" w:hAnsi="Arial" w:cs="Arial"/>
                <w:b/>
                <w:sz w:val="16"/>
                <w:szCs w:val="16"/>
              </w:rPr>
            </w:pPr>
            <w:r w:rsidRPr="00205DD5">
              <w:rPr>
                <w:rFonts w:ascii="Arial" w:hAnsi="Arial" w:cs="Arial"/>
                <w:b/>
                <w:sz w:val="16"/>
                <w:szCs w:val="16"/>
              </w:rPr>
              <w:t>-165,377</w:t>
            </w:r>
          </w:p>
        </w:tc>
      </w:tr>
      <w:tr w:rsidR="004830F3" w:rsidRPr="00FF1D21" w14:paraId="046A7641" w14:textId="77777777" w:rsidTr="004830F3">
        <w:trPr>
          <w:trHeight w:hRule="exact" w:val="226"/>
        </w:trPr>
        <w:tc>
          <w:tcPr>
            <w:tcW w:w="2297" w:type="pct"/>
            <w:tcBorders>
              <w:top w:val="nil"/>
              <w:left w:val="nil"/>
              <w:bottom w:val="single" w:sz="4" w:space="0" w:color="293F5B"/>
              <w:right w:val="nil"/>
            </w:tcBorders>
            <w:shd w:val="clear" w:color="000000" w:fill="FFFFFF"/>
            <w:noWrap/>
            <w:vAlign w:val="center"/>
            <w:hideMark/>
          </w:tcPr>
          <w:p w14:paraId="5014D294" w14:textId="77777777" w:rsidR="004830F3" w:rsidRPr="00FF1D21" w:rsidRDefault="004830F3" w:rsidP="004830F3">
            <w:pPr>
              <w:spacing w:before="0" w:after="0" w:line="240" w:lineRule="auto"/>
              <w:rPr>
                <w:rFonts w:ascii="Arial" w:hAnsi="Arial" w:cs="Arial"/>
                <w:color w:val="00FFFF"/>
                <w:sz w:val="16"/>
                <w:szCs w:val="16"/>
                <w:highlight w:val="darkCyan"/>
              </w:rPr>
            </w:pPr>
            <w:r w:rsidRPr="00205DD5">
              <w:rPr>
                <w:rFonts w:ascii="Arial" w:hAnsi="Arial" w:cs="Arial"/>
                <w:sz w:val="16"/>
                <w:szCs w:val="16"/>
              </w:rPr>
              <w:t>Per cent of GDP</w:t>
            </w:r>
          </w:p>
        </w:tc>
        <w:tc>
          <w:tcPr>
            <w:tcW w:w="503" w:type="pct"/>
            <w:tcBorders>
              <w:top w:val="nil"/>
              <w:left w:val="nil"/>
              <w:bottom w:val="single" w:sz="4" w:space="0" w:color="293F5B"/>
              <w:right w:val="nil"/>
            </w:tcBorders>
            <w:shd w:val="clear" w:color="000000" w:fill="E6F2FF"/>
            <w:noWrap/>
            <w:vAlign w:val="center"/>
            <w:hideMark/>
          </w:tcPr>
          <w:p w14:paraId="49DF6409"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w:t>
            </w:r>
          </w:p>
        </w:tc>
        <w:tc>
          <w:tcPr>
            <w:tcW w:w="503" w:type="pct"/>
            <w:tcBorders>
              <w:top w:val="nil"/>
              <w:left w:val="nil"/>
              <w:bottom w:val="single" w:sz="4" w:space="0" w:color="293F5B"/>
              <w:right w:val="nil"/>
            </w:tcBorders>
            <w:shd w:val="clear" w:color="000000" w:fill="FFFFFF"/>
            <w:noWrap/>
            <w:vAlign w:val="center"/>
            <w:hideMark/>
          </w:tcPr>
          <w:p w14:paraId="1A0D992B"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w:t>
            </w:r>
          </w:p>
        </w:tc>
        <w:tc>
          <w:tcPr>
            <w:tcW w:w="503" w:type="pct"/>
            <w:tcBorders>
              <w:top w:val="nil"/>
              <w:left w:val="nil"/>
              <w:bottom w:val="single" w:sz="4" w:space="0" w:color="293F5B"/>
              <w:right w:val="nil"/>
            </w:tcBorders>
            <w:shd w:val="clear" w:color="000000" w:fill="FFFFFF"/>
            <w:noWrap/>
            <w:vAlign w:val="center"/>
            <w:hideMark/>
          </w:tcPr>
          <w:p w14:paraId="16B9CFAE"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-1.2</w:t>
            </w:r>
          </w:p>
        </w:tc>
        <w:tc>
          <w:tcPr>
            <w:tcW w:w="503" w:type="pct"/>
            <w:tcBorders>
              <w:top w:val="nil"/>
              <w:left w:val="nil"/>
              <w:bottom w:val="single" w:sz="4" w:space="0" w:color="293F5B"/>
              <w:right w:val="nil"/>
            </w:tcBorders>
            <w:shd w:val="clear" w:color="000000" w:fill="FFFFFF"/>
            <w:noWrap/>
            <w:vAlign w:val="center"/>
            <w:hideMark/>
          </w:tcPr>
          <w:p w14:paraId="7160FD81"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w:t>
            </w:r>
          </w:p>
        </w:tc>
        <w:tc>
          <w:tcPr>
            <w:tcW w:w="71" w:type="pct"/>
            <w:tcBorders>
              <w:top w:val="nil"/>
              <w:left w:val="nil"/>
              <w:bottom w:val="single" w:sz="4" w:space="0" w:color="293F5B"/>
              <w:right w:val="nil"/>
            </w:tcBorders>
            <w:shd w:val="clear" w:color="000000" w:fill="FFFFFF"/>
            <w:noWrap/>
            <w:vAlign w:val="center"/>
            <w:hideMark/>
          </w:tcPr>
          <w:p w14:paraId="30EA4004" w14:textId="77777777" w:rsidR="004830F3" w:rsidRPr="00FF1D21" w:rsidRDefault="004830F3" w:rsidP="004830F3">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21" w:type="pct"/>
            <w:tcBorders>
              <w:top w:val="nil"/>
              <w:left w:val="nil"/>
              <w:bottom w:val="single" w:sz="4" w:space="0" w:color="293F5B"/>
              <w:right w:val="nil"/>
            </w:tcBorders>
            <w:shd w:val="clear" w:color="000000" w:fill="FFFFFF"/>
            <w:noWrap/>
            <w:vAlign w:val="center"/>
            <w:hideMark/>
          </w:tcPr>
          <w:p w14:paraId="25A6A090" w14:textId="77777777" w:rsidR="004830F3" w:rsidRPr="00205DD5" w:rsidRDefault="004830F3" w:rsidP="004830F3">
            <w:pPr>
              <w:spacing w:before="0" w:after="0" w:line="240" w:lineRule="auto"/>
              <w:jc w:val="right"/>
              <w:rPr>
                <w:rFonts w:ascii="Arial" w:hAnsi="Arial" w:cs="Arial"/>
                <w:sz w:val="16"/>
                <w:szCs w:val="16"/>
              </w:rPr>
            </w:pPr>
            <w:r w:rsidRPr="00205DD5">
              <w:rPr>
                <w:rFonts w:ascii="Arial" w:hAnsi="Arial" w:cs="Arial"/>
                <w:sz w:val="16"/>
                <w:szCs w:val="16"/>
              </w:rPr>
              <w:t> </w:t>
            </w:r>
          </w:p>
        </w:tc>
      </w:tr>
    </w:tbl>
    <w:p w14:paraId="4C572FA6" w14:textId="3B5B815D" w:rsidR="00AB7209" w:rsidRDefault="00513919" w:rsidP="00AB7209">
      <w:pPr>
        <w:pStyle w:val="ChartandTableFootnoteAlpha"/>
        <w:numPr>
          <w:ilvl w:val="0"/>
          <w:numId w:val="17"/>
        </w:numPr>
        <w:rPr>
          <w:rFonts w:eastAsiaTheme="minorHAnsi"/>
          <w:color w:val="auto"/>
        </w:rPr>
      </w:pPr>
      <w:r w:rsidRPr="00205DD5">
        <w:rPr>
          <w:rFonts w:eastAsiaTheme="minorHAnsi"/>
          <w:color w:val="auto"/>
        </w:rPr>
        <w:t>Excludes secondary impacts on public debt interest of policy decisions and offsets from the Contingency Reserve for decisions taken.</w:t>
      </w:r>
    </w:p>
    <w:p w14:paraId="022D4D37" w14:textId="35C21AF4" w:rsidR="00B20D49" w:rsidRPr="00AB7209" w:rsidRDefault="00B20D49" w:rsidP="00AB7209">
      <w:pPr>
        <w:pStyle w:val="ChartandTableFootnoteAlpha"/>
        <w:numPr>
          <w:ilvl w:val="0"/>
          <w:numId w:val="17"/>
        </w:numPr>
        <w:rPr>
          <w:rFonts w:eastAsiaTheme="minorHAnsi"/>
          <w:color w:val="auto"/>
        </w:rPr>
      </w:pPr>
      <w:r w:rsidRPr="00AB7209">
        <w:rPr>
          <w:rFonts w:eastAsiaTheme="minorHAnsi"/>
          <w:color w:val="auto"/>
        </w:rPr>
        <w:t>A positive number for revenue improves the fiscal balance, while a positive number for expenses and net capital investment worsens the fiscal balance.</w:t>
      </w:r>
    </w:p>
    <w:p w14:paraId="3874C74B" w14:textId="77777777" w:rsidR="00D63C70" w:rsidRPr="00DF3DF1" w:rsidRDefault="00D63C70" w:rsidP="006C260D">
      <w:pPr>
        <w:pStyle w:val="TableLine"/>
        <w:rPr>
          <w:rFonts w:eastAsiaTheme="minorHAnsi"/>
        </w:rPr>
      </w:pPr>
    </w:p>
    <w:p w14:paraId="730E648E" w14:textId="4FF2EEDB" w:rsidR="00D63C70" w:rsidRPr="00205DD5" w:rsidRDefault="00D63C70" w:rsidP="00D63C70">
      <w:pPr>
        <w:pStyle w:val="Heading4"/>
      </w:pPr>
      <w:bookmarkStart w:id="66" w:name="_Toc148428082"/>
      <w:r w:rsidRPr="00205DD5">
        <w:t xml:space="preserve">Revenue </w:t>
      </w:r>
      <w:r w:rsidRPr="00205DD5">
        <w:rPr>
          <w:rStyle w:val="Heading3Char"/>
        </w:rPr>
        <w:t>estimates</w:t>
      </w:r>
      <w:bookmarkEnd w:id="66"/>
    </w:p>
    <w:p w14:paraId="0A349366" w14:textId="2D9F364D" w:rsidR="00D63C70" w:rsidRPr="0058018F" w:rsidRDefault="00D63C70" w:rsidP="00D63C70">
      <w:r w:rsidRPr="00205DD5">
        <w:t>Revenue is the accrual accounting equivalent of cash</w:t>
      </w:r>
      <w:r w:rsidRPr="00205DD5">
        <w:noBreakHyphen/>
        <w:t>based receipts. Changes in revenue are generally driven by the same factors as receipts. Revenue amounts can be higher or lower than the cash equivalents as they include amounts that a taxpayer is liable to pay but has not paid. The differences between the accrual and cash amounts generally reflect timing differences.</w:t>
      </w:r>
      <w:r w:rsidRPr="0058018F">
        <w:t xml:space="preserve"> </w:t>
      </w:r>
    </w:p>
    <w:p w14:paraId="1F118C98" w14:textId="5E02D481" w:rsidR="00D63C70" w:rsidRPr="001D7A0A" w:rsidRDefault="00D63C70" w:rsidP="00DD48D1">
      <w:r w:rsidRPr="00205DD5">
        <w:t>Total revenue has been revised up by $</w:t>
      </w:r>
      <w:r w:rsidR="00480382" w:rsidRPr="00205DD5">
        <w:t>6.7</w:t>
      </w:r>
      <w:r w:rsidRPr="00205DD5">
        <w:t xml:space="preserve"> billion in </w:t>
      </w:r>
      <w:r w:rsidR="00761B9C" w:rsidRPr="00205DD5">
        <w:t>2024</w:t>
      </w:r>
      <w:r w:rsidRPr="00205DD5">
        <w:t>–</w:t>
      </w:r>
      <w:r w:rsidR="00761B9C" w:rsidRPr="00205DD5">
        <w:t xml:space="preserve">25 </w:t>
      </w:r>
      <w:r w:rsidRPr="00205DD5">
        <w:t xml:space="preserve">since the </w:t>
      </w:r>
      <w:r w:rsidR="009375EB" w:rsidRPr="00205DD5">
        <w:t>2024</w:t>
      </w:r>
      <w:r w:rsidRPr="00205DD5">
        <w:t>–</w:t>
      </w:r>
      <w:r w:rsidR="009375EB" w:rsidRPr="00205DD5">
        <w:t xml:space="preserve">25 </w:t>
      </w:r>
      <w:r w:rsidRPr="00205DD5">
        <w:t>Budget</w:t>
      </w:r>
      <w:r w:rsidR="00D43BDE" w:rsidRPr="00205DD5">
        <w:t xml:space="preserve"> (Table 3.11)</w:t>
      </w:r>
      <w:r w:rsidRPr="00205DD5">
        <w:t>.</w:t>
      </w:r>
      <w:r w:rsidRPr="0058018F">
        <w:t xml:space="preserve"> </w:t>
      </w:r>
      <w:r w:rsidRPr="001D7A0A">
        <w:br w:type="page"/>
      </w:r>
    </w:p>
    <w:p w14:paraId="2EDFA474" w14:textId="4C3373DB" w:rsidR="00035F3B" w:rsidRPr="00205DD5" w:rsidRDefault="00D63C70" w:rsidP="00EF2E7B">
      <w:pPr>
        <w:pStyle w:val="TableHeading"/>
        <w:rPr>
          <w:rFonts w:asciiTheme="minorHAnsi" w:eastAsiaTheme="minorHAnsi" w:hAnsiTheme="minorHAnsi" w:cstheme="minorBidi"/>
          <w:b w:val="0"/>
          <w:sz w:val="22"/>
          <w:szCs w:val="22"/>
          <w:lang w:eastAsia="en-US"/>
        </w:rPr>
      </w:pPr>
      <w:r w:rsidRPr="00205DD5">
        <w:lastRenderedPageBreak/>
        <w:t>Table 3.</w:t>
      </w:r>
      <w:r w:rsidR="002F3A04" w:rsidRPr="00205DD5">
        <w:t>1</w:t>
      </w:r>
      <w:r w:rsidR="0072599C" w:rsidRPr="00205DD5">
        <w:t>1</w:t>
      </w:r>
      <w:r w:rsidRPr="00205DD5">
        <w:t>: Reconciliation of 202</w:t>
      </w:r>
      <w:r w:rsidR="00736753" w:rsidRPr="00205DD5">
        <w:t>4</w:t>
      </w:r>
      <w:r w:rsidRPr="00205DD5">
        <w:t>–2</w:t>
      </w:r>
      <w:r w:rsidR="00736753" w:rsidRPr="00205DD5">
        <w:t>5</w:t>
      </w:r>
      <w:r w:rsidRPr="00205DD5">
        <w:t xml:space="preserve"> general government (accrual) revenue</w:t>
      </w:r>
    </w:p>
    <w:tbl>
      <w:tblPr>
        <w:tblW w:w="5000" w:type="pct"/>
        <w:tblCellMar>
          <w:left w:w="0" w:type="dxa"/>
          <w:right w:w="28" w:type="dxa"/>
        </w:tblCellMar>
        <w:tblLook w:val="04A0" w:firstRow="1" w:lastRow="0" w:firstColumn="1" w:lastColumn="0" w:noHBand="0" w:noVBand="1"/>
      </w:tblPr>
      <w:tblGrid>
        <w:gridCol w:w="4050"/>
        <w:gridCol w:w="938"/>
        <w:gridCol w:w="939"/>
        <w:gridCol w:w="150"/>
        <w:gridCol w:w="857"/>
        <w:gridCol w:w="776"/>
      </w:tblGrid>
      <w:tr w:rsidR="00343EC8" w:rsidRPr="00FF1D21" w14:paraId="0A4850DC" w14:textId="77777777" w:rsidTr="00035F3B">
        <w:trPr>
          <w:trHeight w:hRule="exact" w:val="226"/>
        </w:trPr>
        <w:tc>
          <w:tcPr>
            <w:tcW w:w="2627" w:type="pct"/>
            <w:tcBorders>
              <w:top w:val="single" w:sz="4" w:space="0" w:color="293F5B"/>
              <w:left w:val="nil"/>
              <w:bottom w:val="nil"/>
              <w:right w:val="nil"/>
            </w:tcBorders>
            <w:shd w:val="clear" w:color="000000" w:fill="FFFFFF"/>
            <w:noWrap/>
            <w:vAlign w:val="center"/>
            <w:hideMark/>
          </w:tcPr>
          <w:p w14:paraId="6916F8FC" w14:textId="28032C95"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1217" w:type="pct"/>
            <w:gridSpan w:val="2"/>
            <w:tcBorders>
              <w:top w:val="single" w:sz="4" w:space="0" w:color="293F5B"/>
              <w:left w:val="nil"/>
              <w:bottom w:val="single" w:sz="4" w:space="0" w:color="auto"/>
              <w:right w:val="nil"/>
            </w:tcBorders>
            <w:shd w:val="clear" w:color="000000" w:fill="FFFFFF"/>
            <w:noWrap/>
            <w:vAlign w:val="center"/>
            <w:hideMark/>
          </w:tcPr>
          <w:p w14:paraId="315AD3CF" w14:textId="77777777" w:rsidR="00035F3B" w:rsidRPr="00FF1D21" w:rsidRDefault="00035F3B" w:rsidP="00035F3B">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Estimates</w:t>
            </w:r>
          </w:p>
        </w:tc>
        <w:tc>
          <w:tcPr>
            <w:tcW w:w="97" w:type="pct"/>
            <w:tcBorders>
              <w:top w:val="single" w:sz="4" w:space="0" w:color="293F5B"/>
              <w:left w:val="nil"/>
              <w:bottom w:val="nil"/>
              <w:right w:val="nil"/>
            </w:tcBorders>
            <w:shd w:val="clear" w:color="000000" w:fill="FFFFFF"/>
            <w:noWrap/>
            <w:vAlign w:val="center"/>
            <w:hideMark/>
          </w:tcPr>
          <w:p w14:paraId="047C742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1059" w:type="pct"/>
            <w:gridSpan w:val="2"/>
            <w:tcBorders>
              <w:top w:val="single" w:sz="4" w:space="0" w:color="293F5B"/>
              <w:left w:val="nil"/>
              <w:bottom w:val="single" w:sz="4" w:space="0" w:color="000000"/>
              <w:right w:val="nil"/>
            </w:tcBorders>
            <w:shd w:val="clear" w:color="000000" w:fill="FFFFFF"/>
            <w:noWrap/>
            <w:vAlign w:val="center"/>
            <w:hideMark/>
          </w:tcPr>
          <w:p w14:paraId="357FFE37" w14:textId="77777777" w:rsidR="00035F3B" w:rsidRPr="00205DD5" w:rsidRDefault="00035F3B" w:rsidP="00035F3B">
            <w:pPr>
              <w:spacing w:before="0" w:after="0" w:line="240" w:lineRule="auto"/>
              <w:jc w:val="center"/>
              <w:rPr>
                <w:rFonts w:ascii="Arial" w:hAnsi="Arial" w:cs="Arial"/>
                <w:sz w:val="16"/>
                <w:szCs w:val="16"/>
              </w:rPr>
            </w:pPr>
            <w:r w:rsidRPr="00205DD5">
              <w:rPr>
                <w:rFonts w:ascii="Arial" w:hAnsi="Arial" w:cs="Arial"/>
                <w:sz w:val="16"/>
                <w:szCs w:val="16"/>
              </w:rPr>
              <w:t>Change on Budget</w:t>
            </w:r>
          </w:p>
        </w:tc>
      </w:tr>
      <w:tr w:rsidR="00343EC8" w:rsidRPr="00FF1D21" w14:paraId="6232F71B"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1352C956"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nil"/>
              <w:right w:val="nil"/>
            </w:tcBorders>
            <w:shd w:val="clear" w:color="000000" w:fill="FFFFFF"/>
            <w:noWrap/>
            <w:vAlign w:val="center"/>
            <w:hideMark/>
          </w:tcPr>
          <w:p w14:paraId="6A02B1A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Budget</w:t>
            </w:r>
          </w:p>
        </w:tc>
        <w:tc>
          <w:tcPr>
            <w:tcW w:w="608" w:type="pct"/>
            <w:tcBorders>
              <w:top w:val="nil"/>
              <w:left w:val="nil"/>
              <w:bottom w:val="nil"/>
              <w:right w:val="nil"/>
            </w:tcBorders>
            <w:shd w:val="clear" w:color="000000" w:fill="E6F2FF"/>
            <w:noWrap/>
            <w:vAlign w:val="center"/>
            <w:hideMark/>
          </w:tcPr>
          <w:p w14:paraId="0466EDA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MYEFO</w:t>
            </w:r>
          </w:p>
        </w:tc>
        <w:tc>
          <w:tcPr>
            <w:tcW w:w="97" w:type="pct"/>
            <w:tcBorders>
              <w:top w:val="nil"/>
              <w:left w:val="nil"/>
              <w:bottom w:val="nil"/>
              <w:right w:val="nil"/>
            </w:tcBorders>
            <w:shd w:val="clear" w:color="000000" w:fill="FFFFFF"/>
            <w:noWrap/>
            <w:vAlign w:val="center"/>
            <w:hideMark/>
          </w:tcPr>
          <w:p w14:paraId="7BB6DA4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1059" w:type="pct"/>
            <w:gridSpan w:val="2"/>
            <w:tcBorders>
              <w:top w:val="single" w:sz="4" w:space="0" w:color="auto"/>
              <w:left w:val="nil"/>
              <w:bottom w:val="nil"/>
              <w:right w:val="nil"/>
            </w:tcBorders>
            <w:shd w:val="clear" w:color="000000" w:fill="FFFFFF"/>
            <w:noWrap/>
            <w:vAlign w:val="center"/>
            <w:hideMark/>
          </w:tcPr>
          <w:p w14:paraId="30E1D19B" w14:textId="77777777" w:rsidR="00035F3B" w:rsidRPr="00205DD5" w:rsidRDefault="00035F3B" w:rsidP="00035F3B">
            <w:pPr>
              <w:spacing w:before="0" w:after="0" w:line="240" w:lineRule="auto"/>
              <w:jc w:val="center"/>
              <w:rPr>
                <w:rFonts w:ascii="Arial" w:hAnsi="Arial" w:cs="Arial"/>
                <w:sz w:val="16"/>
                <w:szCs w:val="16"/>
              </w:rPr>
            </w:pPr>
            <w:r w:rsidRPr="00205DD5">
              <w:rPr>
                <w:rFonts w:ascii="Arial" w:hAnsi="Arial" w:cs="Arial"/>
                <w:sz w:val="16"/>
                <w:szCs w:val="16"/>
              </w:rPr>
              <w:t xml:space="preserve"> </w:t>
            </w:r>
          </w:p>
        </w:tc>
      </w:tr>
      <w:tr w:rsidR="00035F3B" w:rsidRPr="00FF1D21" w14:paraId="0ADE1C3C" w14:textId="77777777" w:rsidTr="00035F3B">
        <w:trPr>
          <w:trHeight w:hRule="exact" w:val="226"/>
        </w:trPr>
        <w:tc>
          <w:tcPr>
            <w:tcW w:w="2627" w:type="pct"/>
            <w:tcBorders>
              <w:top w:val="nil"/>
              <w:left w:val="nil"/>
              <w:bottom w:val="nil"/>
              <w:right w:val="nil"/>
            </w:tcBorders>
            <w:shd w:val="clear" w:color="000000" w:fill="FFFFFF"/>
            <w:vAlign w:val="center"/>
            <w:hideMark/>
          </w:tcPr>
          <w:p w14:paraId="583EB1CE"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single" w:sz="4" w:space="0" w:color="auto"/>
              <w:right w:val="nil"/>
            </w:tcBorders>
            <w:shd w:val="clear" w:color="000000" w:fill="FFFFFF"/>
            <w:vAlign w:val="center"/>
            <w:hideMark/>
          </w:tcPr>
          <w:p w14:paraId="7838145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608" w:type="pct"/>
            <w:tcBorders>
              <w:top w:val="nil"/>
              <w:left w:val="nil"/>
              <w:bottom w:val="single" w:sz="4" w:space="0" w:color="auto"/>
              <w:right w:val="nil"/>
            </w:tcBorders>
            <w:shd w:val="clear" w:color="000000" w:fill="E6F2FF"/>
            <w:vAlign w:val="center"/>
            <w:hideMark/>
          </w:tcPr>
          <w:p w14:paraId="1A71F62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97" w:type="pct"/>
            <w:tcBorders>
              <w:top w:val="nil"/>
              <w:left w:val="nil"/>
              <w:bottom w:val="nil"/>
              <w:right w:val="nil"/>
            </w:tcBorders>
            <w:shd w:val="clear" w:color="000000" w:fill="FFFFFF"/>
            <w:vAlign w:val="center"/>
            <w:hideMark/>
          </w:tcPr>
          <w:p w14:paraId="20FDCD6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single" w:sz="4" w:space="0" w:color="auto"/>
              <w:right w:val="nil"/>
            </w:tcBorders>
            <w:shd w:val="clear" w:color="000000" w:fill="FFFFFF"/>
            <w:vAlign w:val="center"/>
            <w:hideMark/>
          </w:tcPr>
          <w:p w14:paraId="43BEA77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03" w:type="pct"/>
            <w:tcBorders>
              <w:top w:val="nil"/>
              <w:left w:val="nil"/>
              <w:bottom w:val="single" w:sz="4" w:space="0" w:color="auto"/>
              <w:right w:val="nil"/>
            </w:tcBorders>
            <w:shd w:val="clear" w:color="000000" w:fill="FFFFFF"/>
            <w:vAlign w:val="center"/>
            <w:hideMark/>
          </w:tcPr>
          <w:p w14:paraId="042B440B"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w:t>
            </w:r>
          </w:p>
        </w:tc>
      </w:tr>
      <w:tr w:rsidR="00035F3B" w:rsidRPr="00FF1D21" w14:paraId="24DFB12F"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05EDF328"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Individuals and other withholding taxes</w:t>
            </w:r>
          </w:p>
        </w:tc>
        <w:tc>
          <w:tcPr>
            <w:tcW w:w="608" w:type="pct"/>
            <w:tcBorders>
              <w:top w:val="nil"/>
              <w:left w:val="nil"/>
              <w:bottom w:val="nil"/>
              <w:right w:val="nil"/>
            </w:tcBorders>
            <w:shd w:val="clear" w:color="000000" w:fill="FFFFFF"/>
            <w:noWrap/>
            <w:vAlign w:val="center"/>
            <w:hideMark/>
          </w:tcPr>
          <w:p w14:paraId="1495F25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nil"/>
              <w:right w:val="nil"/>
            </w:tcBorders>
            <w:shd w:val="clear" w:color="000000" w:fill="E6F2FF"/>
            <w:noWrap/>
            <w:vAlign w:val="center"/>
            <w:hideMark/>
          </w:tcPr>
          <w:p w14:paraId="577EBEE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346EB92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16C2C69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949877D"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 </w:t>
            </w:r>
          </w:p>
        </w:tc>
      </w:tr>
      <w:tr w:rsidR="00035F3B" w:rsidRPr="00FF1D21" w14:paraId="0692BB48"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349D2BB2"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Gross income tax withholding</w:t>
            </w:r>
          </w:p>
        </w:tc>
        <w:tc>
          <w:tcPr>
            <w:tcW w:w="608" w:type="pct"/>
            <w:tcBorders>
              <w:top w:val="nil"/>
              <w:left w:val="nil"/>
              <w:bottom w:val="nil"/>
              <w:right w:val="nil"/>
            </w:tcBorders>
            <w:shd w:val="clear" w:color="000000" w:fill="FFFFFF"/>
            <w:noWrap/>
            <w:vAlign w:val="center"/>
            <w:hideMark/>
          </w:tcPr>
          <w:p w14:paraId="0CA21A6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293,700</w:t>
            </w:r>
          </w:p>
        </w:tc>
        <w:tc>
          <w:tcPr>
            <w:tcW w:w="608" w:type="pct"/>
            <w:tcBorders>
              <w:top w:val="nil"/>
              <w:left w:val="nil"/>
              <w:bottom w:val="nil"/>
              <w:right w:val="nil"/>
            </w:tcBorders>
            <w:shd w:val="clear" w:color="000000" w:fill="E6F2FF"/>
            <w:noWrap/>
            <w:vAlign w:val="center"/>
            <w:hideMark/>
          </w:tcPr>
          <w:p w14:paraId="41DC2AA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296,800</w:t>
            </w:r>
          </w:p>
        </w:tc>
        <w:tc>
          <w:tcPr>
            <w:tcW w:w="97" w:type="pct"/>
            <w:tcBorders>
              <w:top w:val="nil"/>
              <w:left w:val="nil"/>
              <w:bottom w:val="nil"/>
              <w:right w:val="nil"/>
            </w:tcBorders>
            <w:shd w:val="clear" w:color="000000" w:fill="FFFFFF"/>
            <w:noWrap/>
            <w:vAlign w:val="center"/>
            <w:hideMark/>
          </w:tcPr>
          <w:p w14:paraId="365E045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4FD9611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3,100</w:t>
            </w:r>
          </w:p>
        </w:tc>
        <w:tc>
          <w:tcPr>
            <w:tcW w:w="503" w:type="pct"/>
            <w:tcBorders>
              <w:top w:val="nil"/>
              <w:left w:val="nil"/>
              <w:bottom w:val="nil"/>
              <w:right w:val="nil"/>
            </w:tcBorders>
            <w:shd w:val="clear" w:color="000000" w:fill="FFFFFF"/>
            <w:noWrap/>
            <w:vAlign w:val="center"/>
            <w:hideMark/>
          </w:tcPr>
          <w:p w14:paraId="616F5167"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1.1</w:t>
            </w:r>
          </w:p>
        </w:tc>
      </w:tr>
      <w:tr w:rsidR="00035F3B" w:rsidRPr="00FF1D21" w14:paraId="059E10E0"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46276AFC"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Gross other individuals</w:t>
            </w:r>
          </w:p>
        </w:tc>
        <w:tc>
          <w:tcPr>
            <w:tcW w:w="608" w:type="pct"/>
            <w:tcBorders>
              <w:top w:val="nil"/>
              <w:left w:val="nil"/>
              <w:bottom w:val="nil"/>
              <w:right w:val="nil"/>
            </w:tcBorders>
            <w:shd w:val="clear" w:color="000000" w:fill="FFFFFF"/>
            <w:noWrap/>
            <w:vAlign w:val="center"/>
            <w:hideMark/>
          </w:tcPr>
          <w:p w14:paraId="7140175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82,500</w:t>
            </w:r>
          </w:p>
        </w:tc>
        <w:tc>
          <w:tcPr>
            <w:tcW w:w="608" w:type="pct"/>
            <w:tcBorders>
              <w:top w:val="nil"/>
              <w:left w:val="nil"/>
              <w:bottom w:val="nil"/>
              <w:right w:val="nil"/>
            </w:tcBorders>
            <w:shd w:val="clear" w:color="000000" w:fill="E6F2FF"/>
            <w:noWrap/>
            <w:vAlign w:val="center"/>
            <w:hideMark/>
          </w:tcPr>
          <w:p w14:paraId="42CD587A"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87,400</w:t>
            </w:r>
          </w:p>
        </w:tc>
        <w:tc>
          <w:tcPr>
            <w:tcW w:w="97" w:type="pct"/>
            <w:tcBorders>
              <w:top w:val="nil"/>
              <w:left w:val="nil"/>
              <w:bottom w:val="nil"/>
              <w:right w:val="nil"/>
            </w:tcBorders>
            <w:shd w:val="clear" w:color="000000" w:fill="FFFFFF"/>
            <w:noWrap/>
            <w:vAlign w:val="center"/>
            <w:hideMark/>
          </w:tcPr>
          <w:p w14:paraId="5AC8066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46A98AB5"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4,900</w:t>
            </w:r>
          </w:p>
        </w:tc>
        <w:tc>
          <w:tcPr>
            <w:tcW w:w="503" w:type="pct"/>
            <w:tcBorders>
              <w:top w:val="nil"/>
              <w:left w:val="nil"/>
              <w:bottom w:val="nil"/>
              <w:right w:val="nil"/>
            </w:tcBorders>
            <w:shd w:val="clear" w:color="000000" w:fill="FFFFFF"/>
            <w:noWrap/>
            <w:vAlign w:val="center"/>
            <w:hideMark/>
          </w:tcPr>
          <w:p w14:paraId="713B28ED"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5.9</w:t>
            </w:r>
          </w:p>
        </w:tc>
      </w:tr>
      <w:tr w:rsidR="00035F3B" w:rsidRPr="00FF1D21" w14:paraId="73EF2707"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1BFA0FC2" w14:textId="77777777" w:rsidR="00035F3B" w:rsidRPr="00FF1D21" w:rsidRDefault="00035F3B" w:rsidP="00035F3B">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less:</w:t>
            </w:r>
            <w:r w:rsidRPr="00205DD5">
              <w:rPr>
                <w:rFonts w:ascii="Arial" w:hAnsi="Arial" w:cs="Arial"/>
                <w:sz w:val="16"/>
                <w:szCs w:val="16"/>
              </w:rPr>
              <w:t xml:space="preserve"> Refunds</w:t>
            </w:r>
          </w:p>
        </w:tc>
        <w:tc>
          <w:tcPr>
            <w:tcW w:w="608" w:type="pct"/>
            <w:tcBorders>
              <w:top w:val="nil"/>
              <w:left w:val="nil"/>
              <w:bottom w:val="single" w:sz="4" w:space="0" w:color="auto"/>
              <w:right w:val="nil"/>
            </w:tcBorders>
            <w:shd w:val="clear" w:color="000000" w:fill="FFFFFF"/>
            <w:noWrap/>
            <w:vAlign w:val="center"/>
            <w:hideMark/>
          </w:tcPr>
          <w:p w14:paraId="633B49A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40,600</w:t>
            </w:r>
          </w:p>
        </w:tc>
        <w:tc>
          <w:tcPr>
            <w:tcW w:w="608" w:type="pct"/>
            <w:tcBorders>
              <w:top w:val="nil"/>
              <w:left w:val="nil"/>
              <w:bottom w:val="single" w:sz="4" w:space="0" w:color="auto"/>
              <w:right w:val="nil"/>
            </w:tcBorders>
            <w:shd w:val="clear" w:color="000000" w:fill="E6F2FF"/>
            <w:noWrap/>
            <w:vAlign w:val="center"/>
            <w:hideMark/>
          </w:tcPr>
          <w:p w14:paraId="7485BD7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39,900</w:t>
            </w:r>
          </w:p>
        </w:tc>
        <w:tc>
          <w:tcPr>
            <w:tcW w:w="97" w:type="pct"/>
            <w:tcBorders>
              <w:top w:val="nil"/>
              <w:left w:val="nil"/>
              <w:bottom w:val="nil"/>
              <w:right w:val="nil"/>
            </w:tcBorders>
            <w:shd w:val="clear" w:color="000000" w:fill="FFFFFF"/>
            <w:noWrap/>
            <w:vAlign w:val="center"/>
            <w:hideMark/>
          </w:tcPr>
          <w:p w14:paraId="49C2A61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single" w:sz="4" w:space="0" w:color="auto"/>
              <w:right w:val="nil"/>
            </w:tcBorders>
            <w:shd w:val="clear" w:color="000000" w:fill="FFFFFF"/>
            <w:noWrap/>
            <w:vAlign w:val="center"/>
            <w:hideMark/>
          </w:tcPr>
          <w:p w14:paraId="4B69D595"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-700</w:t>
            </w:r>
          </w:p>
        </w:tc>
        <w:tc>
          <w:tcPr>
            <w:tcW w:w="503" w:type="pct"/>
            <w:tcBorders>
              <w:top w:val="nil"/>
              <w:left w:val="nil"/>
              <w:bottom w:val="single" w:sz="4" w:space="0" w:color="auto"/>
              <w:right w:val="nil"/>
            </w:tcBorders>
            <w:shd w:val="clear" w:color="000000" w:fill="FFFFFF"/>
            <w:noWrap/>
            <w:vAlign w:val="center"/>
            <w:hideMark/>
          </w:tcPr>
          <w:p w14:paraId="36339530"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-1.7</w:t>
            </w:r>
          </w:p>
        </w:tc>
      </w:tr>
      <w:tr w:rsidR="00035F3B" w:rsidRPr="00FF1D21" w14:paraId="276F6F9D"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38B93A85"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Total individuals and other withholding tax</w:t>
            </w:r>
          </w:p>
        </w:tc>
        <w:tc>
          <w:tcPr>
            <w:tcW w:w="608" w:type="pct"/>
            <w:tcBorders>
              <w:top w:val="nil"/>
              <w:left w:val="nil"/>
              <w:bottom w:val="nil"/>
              <w:right w:val="nil"/>
            </w:tcBorders>
            <w:shd w:val="clear" w:color="000000" w:fill="FFFFFF"/>
            <w:noWrap/>
            <w:vAlign w:val="center"/>
            <w:hideMark/>
          </w:tcPr>
          <w:p w14:paraId="3506C74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335,600</w:t>
            </w:r>
          </w:p>
        </w:tc>
        <w:tc>
          <w:tcPr>
            <w:tcW w:w="608" w:type="pct"/>
            <w:tcBorders>
              <w:top w:val="nil"/>
              <w:left w:val="nil"/>
              <w:bottom w:val="nil"/>
              <w:right w:val="nil"/>
            </w:tcBorders>
            <w:shd w:val="clear" w:color="000000" w:fill="E6F2FF"/>
            <w:noWrap/>
            <w:vAlign w:val="center"/>
            <w:hideMark/>
          </w:tcPr>
          <w:p w14:paraId="6017A2C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344,300</w:t>
            </w:r>
          </w:p>
        </w:tc>
        <w:tc>
          <w:tcPr>
            <w:tcW w:w="97" w:type="pct"/>
            <w:tcBorders>
              <w:top w:val="nil"/>
              <w:left w:val="nil"/>
              <w:bottom w:val="nil"/>
              <w:right w:val="nil"/>
            </w:tcBorders>
            <w:shd w:val="clear" w:color="000000" w:fill="FFFFFF"/>
            <w:noWrap/>
            <w:vAlign w:val="center"/>
            <w:hideMark/>
          </w:tcPr>
          <w:p w14:paraId="05CD21D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2997CB4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8,700</w:t>
            </w:r>
          </w:p>
        </w:tc>
        <w:tc>
          <w:tcPr>
            <w:tcW w:w="503" w:type="pct"/>
            <w:tcBorders>
              <w:top w:val="nil"/>
              <w:left w:val="nil"/>
              <w:bottom w:val="nil"/>
              <w:right w:val="nil"/>
            </w:tcBorders>
            <w:shd w:val="clear" w:color="000000" w:fill="FFFFFF"/>
            <w:noWrap/>
            <w:vAlign w:val="center"/>
            <w:hideMark/>
          </w:tcPr>
          <w:p w14:paraId="3F5E805E"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2.6</w:t>
            </w:r>
          </w:p>
        </w:tc>
      </w:tr>
      <w:tr w:rsidR="00035F3B" w:rsidRPr="00FF1D21" w14:paraId="05D50F8C"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7919AF3A"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Fringe benefits tax</w:t>
            </w:r>
          </w:p>
        </w:tc>
        <w:tc>
          <w:tcPr>
            <w:tcW w:w="608" w:type="pct"/>
            <w:tcBorders>
              <w:top w:val="nil"/>
              <w:left w:val="nil"/>
              <w:bottom w:val="nil"/>
              <w:right w:val="nil"/>
            </w:tcBorders>
            <w:shd w:val="clear" w:color="000000" w:fill="FFFFFF"/>
            <w:noWrap/>
            <w:vAlign w:val="center"/>
            <w:hideMark/>
          </w:tcPr>
          <w:p w14:paraId="6964321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4,130</w:t>
            </w:r>
          </w:p>
        </w:tc>
        <w:tc>
          <w:tcPr>
            <w:tcW w:w="608" w:type="pct"/>
            <w:tcBorders>
              <w:top w:val="nil"/>
              <w:left w:val="nil"/>
              <w:bottom w:val="nil"/>
              <w:right w:val="nil"/>
            </w:tcBorders>
            <w:shd w:val="clear" w:color="000000" w:fill="E6F2FF"/>
            <w:noWrap/>
            <w:vAlign w:val="center"/>
            <w:hideMark/>
          </w:tcPr>
          <w:p w14:paraId="43E1828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5,030</w:t>
            </w:r>
          </w:p>
        </w:tc>
        <w:tc>
          <w:tcPr>
            <w:tcW w:w="97" w:type="pct"/>
            <w:tcBorders>
              <w:top w:val="nil"/>
              <w:left w:val="nil"/>
              <w:bottom w:val="nil"/>
              <w:right w:val="nil"/>
            </w:tcBorders>
            <w:shd w:val="clear" w:color="000000" w:fill="FFFFFF"/>
            <w:noWrap/>
            <w:vAlign w:val="center"/>
            <w:hideMark/>
          </w:tcPr>
          <w:p w14:paraId="3D59526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26BB1FB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900</w:t>
            </w:r>
          </w:p>
        </w:tc>
        <w:tc>
          <w:tcPr>
            <w:tcW w:w="503" w:type="pct"/>
            <w:tcBorders>
              <w:top w:val="nil"/>
              <w:left w:val="nil"/>
              <w:bottom w:val="nil"/>
              <w:right w:val="nil"/>
            </w:tcBorders>
            <w:shd w:val="clear" w:color="000000" w:fill="FFFFFF"/>
            <w:noWrap/>
            <w:vAlign w:val="center"/>
            <w:hideMark/>
          </w:tcPr>
          <w:p w14:paraId="73BBC72D"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21.8</w:t>
            </w:r>
          </w:p>
        </w:tc>
      </w:tr>
      <w:tr w:rsidR="00035F3B" w:rsidRPr="00FF1D21" w14:paraId="5DD742F9"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59C22D9F"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Company tax</w:t>
            </w:r>
          </w:p>
        </w:tc>
        <w:tc>
          <w:tcPr>
            <w:tcW w:w="608" w:type="pct"/>
            <w:tcBorders>
              <w:top w:val="nil"/>
              <w:left w:val="nil"/>
              <w:bottom w:val="nil"/>
              <w:right w:val="nil"/>
            </w:tcBorders>
            <w:shd w:val="clear" w:color="000000" w:fill="FFFFFF"/>
            <w:noWrap/>
            <w:vAlign w:val="center"/>
            <w:hideMark/>
          </w:tcPr>
          <w:p w14:paraId="095D1CB5"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141,200</w:t>
            </w:r>
          </w:p>
        </w:tc>
        <w:tc>
          <w:tcPr>
            <w:tcW w:w="608" w:type="pct"/>
            <w:tcBorders>
              <w:top w:val="nil"/>
              <w:left w:val="nil"/>
              <w:bottom w:val="nil"/>
              <w:right w:val="nil"/>
            </w:tcBorders>
            <w:shd w:val="clear" w:color="000000" w:fill="E6F2FF"/>
            <w:noWrap/>
            <w:vAlign w:val="center"/>
            <w:hideMark/>
          </w:tcPr>
          <w:p w14:paraId="54230D7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135,500</w:t>
            </w:r>
          </w:p>
        </w:tc>
        <w:tc>
          <w:tcPr>
            <w:tcW w:w="97" w:type="pct"/>
            <w:tcBorders>
              <w:top w:val="nil"/>
              <w:left w:val="nil"/>
              <w:bottom w:val="nil"/>
              <w:right w:val="nil"/>
            </w:tcBorders>
            <w:shd w:val="clear" w:color="000000" w:fill="FFFFFF"/>
            <w:noWrap/>
            <w:vAlign w:val="center"/>
            <w:hideMark/>
          </w:tcPr>
          <w:p w14:paraId="5FC8738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2805186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-5,700</w:t>
            </w:r>
          </w:p>
        </w:tc>
        <w:tc>
          <w:tcPr>
            <w:tcW w:w="503" w:type="pct"/>
            <w:tcBorders>
              <w:top w:val="nil"/>
              <w:left w:val="nil"/>
              <w:bottom w:val="nil"/>
              <w:right w:val="nil"/>
            </w:tcBorders>
            <w:shd w:val="clear" w:color="000000" w:fill="FFFFFF"/>
            <w:noWrap/>
            <w:vAlign w:val="center"/>
            <w:hideMark/>
          </w:tcPr>
          <w:p w14:paraId="6686D647"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-4.0</w:t>
            </w:r>
          </w:p>
        </w:tc>
      </w:tr>
      <w:tr w:rsidR="00035F3B" w:rsidRPr="00FF1D21" w14:paraId="76FF4228"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26313ADA"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Superannuation fund taxes</w:t>
            </w:r>
          </w:p>
        </w:tc>
        <w:tc>
          <w:tcPr>
            <w:tcW w:w="608" w:type="pct"/>
            <w:tcBorders>
              <w:top w:val="nil"/>
              <w:left w:val="nil"/>
              <w:bottom w:val="nil"/>
              <w:right w:val="nil"/>
            </w:tcBorders>
            <w:shd w:val="clear" w:color="000000" w:fill="FFFFFF"/>
            <w:noWrap/>
            <w:vAlign w:val="center"/>
            <w:hideMark/>
          </w:tcPr>
          <w:p w14:paraId="49AB825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19,830</w:t>
            </w:r>
          </w:p>
        </w:tc>
        <w:tc>
          <w:tcPr>
            <w:tcW w:w="608" w:type="pct"/>
            <w:tcBorders>
              <w:top w:val="nil"/>
              <w:left w:val="nil"/>
              <w:bottom w:val="nil"/>
              <w:right w:val="nil"/>
            </w:tcBorders>
            <w:shd w:val="clear" w:color="000000" w:fill="E6F2FF"/>
            <w:noWrap/>
            <w:vAlign w:val="center"/>
            <w:hideMark/>
          </w:tcPr>
          <w:p w14:paraId="53B4A9A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21,930</w:t>
            </w:r>
          </w:p>
        </w:tc>
        <w:tc>
          <w:tcPr>
            <w:tcW w:w="97" w:type="pct"/>
            <w:tcBorders>
              <w:top w:val="nil"/>
              <w:left w:val="nil"/>
              <w:bottom w:val="nil"/>
              <w:right w:val="nil"/>
            </w:tcBorders>
            <w:shd w:val="clear" w:color="000000" w:fill="FFFFFF"/>
            <w:noWrap/>
            <w:vAlign w:val="center"/>
            <w:hideMark/>
          </w:tcPr>
          <w:p w14:paraId="54DC9E1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2EAABED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2,100</w:t>
            </w:r>
          </w:p>
        </w:tc>
        <w:tc>
          <w:tcPr>
            <w:tcW w:w="503" w:type="pct"/>
            <w:tcBorders>
              <w:top w:val="nil"/>
              <w:left w:val="nil"/>
              <w:bottom w:val="nil"/>
              <w:right w:val="nil"/>
            </w:tcBorders>
            <w:shd w:val="clear" w:color="000000" w:fill="FFFFFF"/>
            <w:noWrap/>
            <w:vAlign w:val="center"/>
            <w:hideMark/>
          </w:tcPr>
          <w:p w14:paraId="67670A33"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10.6</w:t>
            </w:r>
          </w:p>
        </w:tc>
      </w:tr>
      <w:tr w:rsidR="00035F3B" w:rsidRPr="00FF1D21" w14:paraId="19DEBE58"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3999ED7F"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Petroleum resource rent tax</w:t>
            </w:r>
          </w:p>
        </w:tc>
        <w:tc>
          <w:tcPr>
            <w:tcW w:w="608" w:type="pct"/>
            <w:tcBorders>
              <w:top w:val="nil"/>
              <w:left w:val="nil"/>
              <w:bottom w:val="nil"/>
              <w:right w:val="nil"/>
            </w:tcBorders>
            <w:shd w:val="clear" w:color="000000" w:fill="FFFFFF"/>
            <w:noWrap/>
            <w:vAlign w:val="center"/>
            <w:hideMark/>
          </w:tcPr>
          <w:p w14:paraId="6138E97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2,590</w:t>
            </w:r>
          </w:p>
        </w:tc>
        <w:tc>
          <w:tcPr>
            <w:tcW w:w="608" w:type="pct"/>
            <w:tcBorders>
              <w:top w:val="nil"/>
              <w:left w:val="nil"/>
              <w:bottom w:val="nil"/>
              <w:right w:val="nil"/>
            </w:tcBorders>
            <w:shd w:val="clear" w:color="000000" w:fill="E6F2FF"/>
            <w:noWrap/>
            <w:vAlign w:val="center"/>
            <w:hideMark/>
          </w:tcPr>
          <w:p w14:paraId="5F6078C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1,400</w:t>
            </w:r>
          </w:p>
        </w:tc>
        <w:tc>
          <w:tcPr>
            <w:tcW w:w="97" w:type="pct"/>
            <w:tcBorders>
              <w:top w:val="nil"/>
              <w:left w:val="nil"/>
              <w:bottom w:val="nil"/>
              <w:right w:val="nil"/>
            </w:tcBorders>
            <w:shd w:val="clear" w:color="000000" w:fill="FFFFFF"/>
            <w:noWrap/>
            <w:vAlign w:val="center"/>
            <w:hideMark/>
          </w:tcPr>
          <w:p w14:paraId="130562C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single" w:sz="4" w:space="0" w:color="auto"/>
              <w:right w:val="nil"/>
            </w:tcBorders>
            <w:shd w:val="clear" w:color="000000" w:fill="FFFFFF"/>
            <w:noWrap/>
            <w:vAlign w:val="center"/>
            <w:hideMark/>
          </w:tcPr>
          <w:p w14:paraId="50AA230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-1,190</w:t>
            </w:r>
          </w:p>
        </w:tc>
        <w:tc>
          <w:tcPr>
            <w:tcW w:w="503" w:type="pct"/>
            <w:tcBorders>
              <w:top w:val="nil"/>
              <w:left w:val="nil"/>
              <w:bottom w:val="single" w:sz="4" w:space="0" w:color="auto"/>
              <w:right w:val="nil"/>
            </w:tcBorders>
            <w:shd w:val="clear" w:color="000000" w:fill="FFFFFF"/>
            <w:noWrap/>
            <w:vAlign w:val="center"/>
            <w:hideMark/>
          </w:tcPr>
          <w:p w14:paraId="2A0EEE75"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-45.9</w:t>
            </w:r>
          </w:p>
        </w:tc>
      </w:tr>
      <w:tr w:rsidR="00035F3B" w:rsidRPr="00FF1D21" w14:paraId="43BBB04F"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11390685"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Income taxation revenue</w:t>
            </w:r>
          </w:p>
        </w:tc>
        <w:tc>
          <w:tcPr>
            <w:tcW w:w="608" w:type="pct"/>
            <w:tcBorders>
              <w:top w:val="single" w:sz="4" w:space="0" w:color="auto"/>
              <w:left w:val="nil"/>
              <w:bottom w:val="single" w:sz="4" w:space="0" w:color="auto"/>
              <w:right w:val="nil"/>
            </w:tcBorders>
            <w:shd w:val="clear" w:color="000000" w:fill="FFFFFF"/>
            <w:noWrap/>
            <w:vAlign w:val="center"/>
            <w:hideMark/>
          </w:tcPr>
          <w:p w14:paraId="53BBD9E8"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503,350</w:t>
            </w:r>
          </w:p>
        </w:tc>
        <w:tc>
          <w:tcPr>
            <w:tcW w:w="608" w:type="pct"/>
            <w:tcBorders>
              <w:top w:val="single" w:sz="4" w:space="0" w:color="auto"/>
              <w:left w:val="nil"/>
              <w:bottom w:val="single" w:sz="4" w:space="0" w:color="auto"/>
              <w:right w:val="nil"/>
            </w:tcBorders>
            <w:shd w:val="clear" w:color="000000" w:fill="E6F2FF"/>
            <w:noWrap/>
            <w:vAlign w:val="center"/>
            <w:hideMark/>
          </w:tcPr>
          <w:p w14:paraId="68A37EF5"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508,160</w:t>
            </w:r>
          </w:p>
        </w:tc>
        <w:tc>
          <w:tcPr>
            <w:tcW w:w="97" w:type="pct"/>
            <w:tcBorders>
              <w:top w:val="nil"/>
              <w:left w:val="nil"/>
              <w:bottom w:val="nil"/>
              <w:right w:val="nil"/>
            </w:tcBorders>
            <w:shd w:val="clear" w:color="000000" w:fill="FFFFFF"/>
            <w:noWrap/>
            <w:vAlign w:val="center"/>
            <w:hideMark/>
          </w:tcPr>
          <w:p w14:paraId="634A6980"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single" w:sz="4" w:space="0" w:color="auto"/>
              <w:left w:val="nil"/>
              <w:bottom w:val="single" w:sz="4" w:space="0" w:color="auto"/>
              <w:right w:val="nil"/>
            </w:tcBorders>
            <w:shd w:val="clear" w:color="000000" w:fill="FFFFFF"/>
            <w:noWrap/>
            <w:vAlign w:val="center"/>
            <w:hideMark/>
          </w:tcPr>
          <w:p w14:paraId="38BE2DF0"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4,810</w:t>
            </w:r>
          </w:p>
        </w:tc>
        <w:tc>
          <w:tcPr>
            <w:tcW w:w="503" w:type="pct"/>
            <w:tcBorders>
              <w:top w:val="single" w:sz="4" w:space="0" w:color="auto"/>
              <w:left w:val="nil"/>
              <w:bottom w:val="single" w:sz="4" w:space="0" w:color="auto"/>
              <w:right w:val="nil"/>
            </w:tcBorders>
            <w:shd w:val="clear" w:color="000000" w:fill="FFFFFF"/>
            <w:noWrap/>
            <w:vAlign w:val="center"/>
            <w:hideMark/>
          </w:tcPr>
          <w:p w14:paraId="72F5333D" w14:textId="77777777" w:rsidR="00035F3B" w:rsidRPr="00205DD5" w:rsidRDefault="00035F3B" w:rsidP="00035F3B">
            <w:pPr>
              <w:spacing w:before="0" w:after="0" w:line="240" w:lineRule="auto"/>
              <w:jc w:val="right"/>
              <w:rPr>
                <w:rFonts w:ascii="Arial" w:hAnsi="Arial" w:cs="Arial"/>
                <w:b/>
                <w:sz w:val="16"/>
                <w:szCs w:val="16"/>
              </w:rPr>
            </w:pPr>
            <w:r w:rsidRPr="00205DD5">
              <w:rPr>
                <w:rFonts w:ascii="Arial" w:hAnsi="Arial" w:cs="Arial"/>
                <w:b/>
                <w:sz w:val="16"/>
                <w:szCs w:val="16"/>
              </w:rPr>
              <w:t>1.0</w:t>
            </w:r>
          </w:p>
        </w:tc>
      </w:tr>
      <w:tr w:rsidR="00035F3B" w:rsidRPr="00FF1D21" w14:paraId="3AD923FC" w14:textId="77777777" w:rsidTr="00035F3B">
        <w:trPr>
          <w:trHeight w:hRule="exact" w:val="60"/>
        </w:trPr>
        <w:tc>
          <w:tcPr>
            <w:tcW w:w="2627" w:type="pct"/>
            <w:tcBorders>
              <w:top w:val="nil"/>
              <w:left w:val="nil"/>
              <w:bottom w:val="nil"/>
              <w:right w:val="nil"/>
            </w:tcBorders>
            <w:shd w:val="clear" w:color="000000" w:fill="FFFFFF"/>
            <w:noWrap/>
            <w:vAlign w:val="center"/>
            <w:hideMark/>
          </w:tcPr>
          <w:p w14:paraId="12679800"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608" w:type="pct"/>
            <w:tcBorders>
              <w:top w:val="nil"/>
              <w:left w:val="nil"/>
              <w:bottom w:val="nil"/>
              <w:right w:val="nil"/>
            </w:tcBorders>
            <w:shd w:val="clear" w:color="000000" w:fill="FFFFFF"/>
            <w:noWrap/>
            <w:vAlign w:val="center"/>
            <w:hideMark/>
          </w:tcPr>
          <w:p w14:paraId="2B3EEE8D"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608" w:type="pct"/>
            <w:tcBorders>
              <w:top w:val="nil"/>
              <w:left w:val="nil"/>
              <w:bottom w:val="nil"/>
              <w:right w:val="nil"/>
            </w:tcBorders>
            <w:shd w:val="clear" w:color="000000" w:fill="E6F2FF"/>
            <w:noWrap/>
            <w:vAlign w:val="center"/>
            <w:hideMark/>
          </w:tcPr>
          <w:p w14:paraId="285253B1"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97" w:type="pct"/>
            <w:tcBorders>
              <w:top w:val="nil"/>
              <w:left w:val="nil"/>
              <w:bottom w:val="nil"/>
              <w:right w:val="nil"/>
            </w:tcBorders>
            <w:shd w:val="clear" w:color="000000" w:fill="FFFFFF"/>
            <w:noWrap/>
            <w:vAlign w:val="center"/>
            <w:hideMark/>
          </w:tcPr>
          <w:p w14:paraId="7961772D"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2B25FD4C"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03" w:type="pct"/>
            <w:tcBorders>
              <w:top w:val="nil"/>
              <w:left w:val="nil"/>
              <w:bottom w:val="nil"/>
              <w:right w:val="nil"/>
            </w:tcBorders>
            <w:shd w:val="clear" w:color="000000" w:fill="FFFFFF"/>
            <w:noWrap/>
            <w:vAlign w:val="center"/>
            <w:hideMark/>
          </w:tcPr>
          <w:p w14:paraId="6B732180" w14:textId="77777777" w:rsidR="00035F3B" w:rsidRPr="00205DD5" w:rsidRDefault="00035F3B" w:rsidP="00035F3B">
            <w:pPr>
              <w:spacing w:before="0" w:after="0" w:line="240" w:lineRule="auto"/>
              <w:jc w:val="right"/>
              <w:rPr>
                <w:rFonts w:ascii="Arial" w:hAnsi="Arial" w:cs="Arial"/>
                <w:b/>
                <w:sz w:val="16"/>
                <w:szCs w:val="16"/>
              </w:rPr>
            </w:pPr>
            <w:r w:rsidRPr="00205DD5">
              <w:rPr>
                <w:rFonts w:ascii="Arial" w:hAnsi="Arial" w:cs="Arial"/>
                <w:b/>
                <w:sz w:val="16"/>
                <w:szCs w:val="16"/>
              </w:rPr>
              <w:t> </w:t>
            </w:r>
          </w:p>
        </w:tc>
      </w:tr>
      <w:tr w:rsidR="00035F3B" w:rsidRPr="00FF1D21" w14:paraId="2CEEBC18"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37465762"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Goods and services tax</w:t>
            </w:r>
          </w:p>
        </w:tc>
        <w:tc>
          <w:tcPr>
            <w:tcW w:w="608" w:type="pct"/>
            <w:tcBorders>
              <w:top w:val="nil"/>
              <w:left w:val="nil"/>
              <w:bottom w:val="nil"/>
              <w:right w:val="nil"/>
            </w:tcBorders>
            <w:shd w:val="clear" w:color="000000" w:fill="FFFFFF"/>
            <w:noWrap/>
            <w:vAlign w:val="center"/>
            <w:hideMark/>
          </w:tcPr>
          <w:p w14:paraId="2093267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92,070</w:t>
            </w:r>
          </w:p>
        </w:tc>
        <w:tc>
          <w:tcPr>
            <w:tcW w:w="608" w:type="pct"/>
            <w:tcBorders>
              <w:top w:val="nil"/>
              <w:left w:val="nil"/>
              <w:bottom w:val="nil"/>
              <w:right w:val="nil"/>
            </w:tcBorders>
            <w:shd w:val="clear" w:color="000000" w:fill="E6F2FF"/>
            <w:noWrap/>
            <w:vAlign w:val="center"/>
            <w:hideMark/>
          </w:tcPr>
          <w:p w14:paraId="4837713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94,770</w:t>
            </w:r>
          </w:p>
        </w:tc>
        <w:tc>
          <w:tcPr>
            <w:tcW w:w="97" w:type="pct"/>
            <w:tcBorders>
              <w:top w:val="nil"/>
              <w:left w:val="nil"/>
              <w:bottom w:val="nil"/>
              <w:right w:val="nil"/>
            </w:tcBorders>
            <w:shd w:val="clear" w:color="000000" w:fill="FFFFFF"/>
            <w:noWrap/>
            <w:vAlign w:val="center"/>
            <w:hideMark/>
          </w:tcPr>
          <w:p w14:paraId="11FFC1A6"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1BB4AF4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2,700</w:t>
            </w:r>
          </w:p>
        </w:tc>
        <w:tc>
          <w:tcPr>
            <w:tcW w:w="503" w:type="pct"/>
            <w:tcBorders>
              <w:top w:val="nil"/>
              <w:left w:val="nil"/>
              <w:bottom w:val="nil"/>
              <w:right w:val="nil"/>
            </w:tcBorders>
            <w:shd w:val="clear" w:color="000000" w:fill="FFFFFF"/>
            <w:noWrap/>
            <w:vAlign w:val="center"/>
            <w:hideMark/>
          </w:tcPr>
          <w:p w14:paraId="7DB53CE9"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2.9</w:t>
            </w:r>
          </w:p>
        </w:tc>
      </w:tr>
      <w:tr w:rsidR="00035F3B" w:rsidRPr="00FF1D21" w14:paraId="3F5D00E9"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5DB2AB86"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Wine equalisation tax</w:t>
            </w:r>
          </w:p>
        </w:tc>
        <w:tc>
          <w:tcPr>
            <w:tcW w:w="608" w:type="pct"/>
            <w:tcBorders>
              <w:top w:val="nil"/>
              <w:left w:val="nil"/>
              <w:bottom w:val="nil"/>
              <w:right w:val="nil"/>
            </w:tcBorders>
            <w:shd w:val="clear" w:color="000000" w:fill="FFFFFF"/>
            <w:noWrap/>
            <w:vAlign w:val="center"/>
            <w:hideMark/>
          </w:tcPr>
          <w:p w14:paraId="2A6B267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1,150</w:t>
            </w:r>
          </w:p>
        </w:tc>
        <w:tc>
          <w:tcPr>
            <w:tcW w:w="608" w:type="pct"/>
            <w:tcBorders>
              <w:top w:val="nil"/>
              <w:left w:val="nil"/>
              <w:bottom w:val="nil"/>
              <w:right w:val="nil"/>
            </w:tcBorders>
            <w:shd w:val="clear" w:color="000000" w:fill="E6F2FF"/>
            <w:noWrap/>
            <w:vAlign w:val="center"/>
            <w:hideMark/>
          </w:tcPr>
          <w:p w14:paraId="6BAFADE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1,130</w:t>
            </w:r>
          </w:p>
        </w:tc>
        <w:tc>
          <w:tcPr>
            <w:tcW w:w="97" w:type="pct"/>
            <w:tcBorders>
              <w:top w:val="nil"/>
              <w:left w:val="nil"/>
              <w:bottom w:val="nil"/>
              <w:right w:val="nil"/>
            </w:tcBorders>
            <w:shd w:val="clear" w:color="000000" w:fill="FFFFFF"/>
            <w:noWrap/>
            <w:vAlign w:val="center"/>
            <w:hideMark/>
          </w:tcPr>
          <w:p w14:paraId="4DB018E4"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77B7BAD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w:t>
            </w:r>
          </w:p>
        </w:tc>
        <w:tc>
          <w:tcPr>
            <w:tcW w:w="503" w:type="pct"/>
            <w:tcBorders>
              <w:top w:val="nil"/>
              <w:left w:val="nil"/>
              <w:bottom w:val="nil"/>
              <w:right w:val="nil"/>
            </w:tcBorders>
            <w:shd w:val="clear" w:color="000000" w:fill="FFFFFF"/>
            <w:noWrap/>
            <w:vAlign w:val="center"/>
            <w:hideMark/>
          </w:tcPr>
          <w:p w14:paraId="5E88C0E5"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-1.7</w:t>
            </w:r>
          </w:p>
        </w:tc>
      </w:tr>
      <w:tr w:rsidR="00035F3B" w:rsidRPr="00FF1D21" w14:paraId="2CE5522E"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6DF8BDD0"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Luxury car tax</w:t>
            </w:r>
          </w:p>
        </w:tc>
        <w:tc>
          <w:tcPr>
            <w:tcW w:w="608" w:type="pct"/>
            <w:tcBorders>
              <w:top w:val="nil"/>
              <w:left w:val="nil"/>
              <w:bottom w:val="nil"/>
              <w:right w:val="nil"/>
            </w:tcBorders>
            <w:shd w:val="clear" w:color="000000" w:fill="FFFFFF"/>
            <w:noWrap/>
            <w:vAlign w:val="center"/>
            <w:hideMark/>
          </w:tcPr>
          <w:p w14:paraId="7A96C63A"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1,110</w:t>
            </w:r>
          </w:p>
        </w:tc>
        <w:tc>
          <w:tcPr>
            <w:tcW w:w="608" w:type="pct"/>
            <w:tcBorders>
              <w:top w:val="nil"/>
              <w:left w:val="nil"/>
              <w:bottom w:val="nil"/>
              <w:right w:val="nil"/>
            </w:tcBorders>
            <w:shd w:val="clear" w:color="000000" w:fill="E6F2FF"/>
            <w:noWrap/>
            <w:vAlign w:val="center"/>
            <w:hideMark/>
          </w:tcPr>
          <w:p w14:paraId="053F8E0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1,170</w:t>
            </w:r>
          </w:p>
        </w:tc>
        <w:tc>
          <w:tcPr>
            <w:tcW w:w="97" w:type="pct"/>
            <w:tcBorders>
              <w:top w:val="nil"/>
              <w:left w:val="nil"/>
              <w:bottom w:val="nil"/>
              <w:right w:val="nil"/>
            </w:tcBorders>
            <w:shd w:val="clear" w:color="000000" w:fill="FFFFFF"/>
            <w:noWrap/>
            <w:vAlign w:val="center"/>
            <w:hideMark/>
          </w:tcPr>
          <w:p w14:paraId="7238EFEB"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0D5905D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60</w:t>
            </w:r>
          </w:p>
        </w:tc>
        <w:tc>
          <w:tcPr>
            <w:tcW w:w="503" w:type="pct"/>
            <w:tcBorders>
              <w:top w:val="nil"/>
              <w:left w:val="nil"/>
              <w:bottom w:val="nil"/>
              <w:right w:val="nil"/>
            </w:tcBorders>
            <w:shd w:val="clear" w:color="000000" w:fill="FFFFFF"/>
            <w:noWrap/>
            <w:vAlign w:val="center"/>
            <w:hideMark/>
          </w:tcPr>
          <w:p w14:paraId="2B426339"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5.4</w:t>
            </w:r>
          </w:p>
        </w:tc>
      </w:tr>
      <w:tr w:rsidR="00035F3B" w:rsidRPr="00FF1D21" w14:paraId="5B597480"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748E8BB2"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 xml:space="preserve">Excise and customs duty  </w:t>
            </w:r>
          </w:p>
        </w:tc>
        <w:tc>
          <w:tcPr>
            <w:tcW w:w="608" w:type="pct"/>
            <w:tcBorders>
              <w:top w:val="nil"/>
              <w:left w:val="nil"/>
              <w:bottom w:val="nil"/>
              <w:right w:val="nil"/>
            </w:tcBorders>
            <w:shd w:val="clear" w:color="000000" w:fill="FFFFFF"/>
            <w:noWrap/>
            <w:vAlign w:val="center"/>
            <w:hideMark/>
          </w:tcPr>
          <w:p w14:paraId="1B92157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nil"/>
              <w:right w:val="nil"/>
            </w:tcBorders>
            <w:shd w:val="clear" w:color="000000" w:fill="E6F2FF"/>
            <w:noWrap/>
            <w:vAlign w:val="center"/>
            <w:hideMark/>
          </w:tcPr>
          <w:p w14:paraId="4E4E3BF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2A6036DF"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4825DA4F"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F34E59C"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 </w:t>
            </w:r>
          </w:p>
        </w:tc>
      </w:tr>
      <w:tr w:rsidR="00035F3B" w:rsidRPr="00FF1D21" w14:paraId="57613B14"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11D742D2"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Petrol</w:t>
            </w:r>
          </w:p>
        </w:tc>
        <w:tc>
          <w:tcPr>
            <w:tcW w:w="608" w:type="pct"/>
            <w:tcBorders>
              <w:top w:val="nil"/>
              <w:left w:val="nil"/>
              <w:bottom w:val="nil"/>
              <w:right w:val="nil"/>
            </w:tcBorders>
            <w:shd w:val="clear" w:color="000000" w:fill="FFFFFF"/>
            <w:noWrap/>
            <w:vAlign w:val="center"/>
            <w:hideMark/>
          </w:tcPr>
          <w:p w14:paraId="0A2B307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7,150</w:t>
            </w:r>
          </w:p>
        </w:tc>
        <w:tc>
          <w:tcPr>
            <w:tcW w:w="608" w:type="pct"/>
            <w:tcBorders>
              <w:top w:val="nil"/>
              <w:left w:val="nil"/>
              <w:bottom w:val="nil"/>
              <w:right w:val="nil"/>
            </w:tcBorders>
            <w:shd w:val="clear" w:color="000000" w:fill="E6F2FF"/>
            <w:noWrap/>
            <w:vAlign w:val="center"/>
            <w:hideMark/>
          </w:tcPr>
          <w:p w14:paraId="35EFAF6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7,050</w:t>
            </w:r>
          </w:p>
        </w:tc>
        <w:tc>
          <w:tcPr>
            <w:tcW w:w="97" w:type="pct"/>
            <w:tcBorders>
              <w:top w:val="nil"/>
              <w:left w:val="nil"/>
              <w:bottom w:val="nil"/>
              <w:right w:val="nil"/>
            </w:tcBorders>
            <w:shd w:val="clear" w:color="000000" w:fill="FFFFFF"/>
            <w:noWrap/>
            <w:vAlign w:val="center"/>
            <w:hideMark/>
          </w:tcPr>
          <w:p w14:paraId="47280E2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66B2E56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-100</w:t>
            </w:r>
          </w:p>
        </w:tc>
        <w:tc>
          <w:tcPr>
            <w:tcW w:w="503" w:type="pct"/>
            <w:tcBorders>
              <w:top w:val="nil"/>
              <w:left w:val="nil"/>
              <w:bottom w:val="nil"/>
              <w:right w:val="nil"/>
            </w:tcBorders>
            <w:shd w:val="clear" w:color="000000" w:fill="FFFFFF"/>
            <w:noWrap/>
            <w:vAlign w:val="center"/>
            <w:hideMark/>
          </w:tcPr>
          <w:p w14:paraId="78184D7A"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-1.4</w:t>
            </w:r>
          </w:p>
        </w:tc>
      </w:tr>
      <w:tr w:rsidR="00035F3B" w:rsidRPr="00FF1D21" w14:paraId="04F3902B"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48244E8C"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Diesel</w:t>
            </w:r>
          </w:p>
        </w:tc>
        <w:tc>
          <w:tcPr>
            <w:tcW w:w="608" w:type="pct"/>
            <w:tcBorders>
              <w:top w:val="nil"/>
              <w:left w:val="nil"/>
              <w:bottom w:val="nil"/>
              <w:right w:val="nil"/>
            </w:tcBorders>
            <w:shd w:val="clear" w:color="000000" w:fill="FFFFFF"/>
            <w:noWrap/>
            <w:vAlign w:val="center"/>
            <w:hideMark/>
          </w:tcPr>
          <w:p w14:paraId="33E63A5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17,040</w:t>
            </w:r>
          </w:p>
        </w:tc>
        <w:tc>
          <w:tcPr>
            <w:tcW w:w="608" w:type="pct"/>
            <w:tcBorders>
              <w:top w:val="nil"/>
              <w:left w:val="nil"/>
              <w:bottom w:val="nil"/>
              <w:right w:val="nil"/>
            </w:tcBorders>
            <w:shd w:val="clear" w:color="000000" w:fill="E6F2FF"/>
            <w:noWrap/>
            <w:vAlign w:val="center"/>
            <w:hideMark/>
          </w:tcPr>
          <w:p w14:paraId="2259ABA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17,040</w:t>
            </w:r>
          </w:p>
        </w:tc>
        <w:tc>
          <w:tcPr>
            <w:tcW w:w="97" w:type="pct"/>
            <w:tcBorders>
              <w:top w:val="nil"/>
              <w:left w:val="nil"/>
              <w:bottom w:val="nil"/>
              <w:right w:val="nil"/>
            </w:tcBorders>
            <w:shd w:val="clear" w:color="000000" w:fill="FFFFFF"/>
            <w:noWrap/>
            <w:vAlign w:val="center"/>
            <w:hideMark/>
          </w:tcPr>
          <w:p w14:paraId="651BAD9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71DE637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503" w:type="pct"/>
            <w:tcBorders>
              <w:top w:val="nil"/>
              <w:left w:val="nil"/>
              <w:bottom w:val="nil"/>
              <w:right w:val="nil"/>
            </w:tcBorders>
            <w:shd w:val="clear" w:color="000000" w:fill="FFFFFF"/>
            <w:noWrap/>
            <w:vAlign w:val="center"/>
            <w:hideMark/>
          </w:tcPr>
          <w:p w14:paraId="7B9B03F4"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0.0</w:t>
            </w:r>
          </w:p>
        </w:tc>
      </w:tr>
      <w:tr w:rsidR="00035F3B" w:rsidRPr="00FF1D21" w14:paraId="4DC036DB"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0EEE8416"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Other fuel products</w:t>
            </w:r>
          </w:p>
        </w:tc>
        <w:tc>
          <w:tcPr>
            <w:tcW w:w="608" w:type="pct"/>
            <w:tcBorders>
              <w:top w:val="nil"/>
              <w:left w:val="nil"/>
              <w:bottom w:val="nil"/>
              <w:right w:val="nil"/>
            </w:tcBorders>
            <w:shd w:val="clear" w:color="000000" w:fill="FFFFFF"/>
            <w:noWrap/>
            <w:vAlign w:val="center"/>
            <w:hideMark/>
          </w:tcPr>
          <w:p w14:paraId="6F4DF7E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2,190</w:t>
            </w:r>
          </w:p>
        </w:tc>
        <w:tc>
          <w:tcPr>
            <w:tcW w:w="608" w:type="pct"/>
            <w:tcBorders>
              <w:top w:val="nil"/>
              <w:left w:val="nil"/>
              <w:bottom w:val="nil"/>
              <w:right w:val="nil"/>
            </w:tcBorders>
            <w:shd w:val="clear" w:color="000000" w:fill="E6F2FF"/>
            <w:noWrap/>
            <w:vAlign w:val="center"/>
            <w:hideMark/>
          </w:tcPr>
          <w:p w14:paraId="1D2BACA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2,040</w:t>
            </w:r>
          </w:p>
        </w:tc>
        <w:tc>
          <w:tcPr>
            <w:tcW w:w="97" w:type="pct"/>
            <w:tcBorders>
              <w:top w:val="nil"/>
              <w:left w:val="nil"/>
              <w:bottom w:val="nil"/>
              <w:right w:val="nil"/>
            </w:tcBorders>
            <w:shd w:val="clear" w:color="000000" w:fill="FFFFFF"/>
            <w:noWrap/>
            <w:vAlign w:val="center"/>
            <w:hideMark/>
          </w:tcPr>
          <w:p w14:paraId="2F8AB5B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776A18C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-150</w:t>
            </w:r>
          </w:p>
        </w:tc>
        <w:tc>
          <w:tcPr>
            <w:tcW w:w="503" w:type="pct"/>
            <w:tcBorders>
              <w:top w:val="nil"/>
              <w:left w:val="nil"/>
              <w:bottom w:val="nil"/>
              <w:right w:val="nil"/>
            </w:tcBorders>
            <w:shd w:val="clear" w:color="000000" w:fill="FFFFFF"/>
            <w:noWrap/>
            <w:vAlign w:val="center"/>
            <w:hideMark/>
          </w:tcPr>
          <w:p w14:paraId="3C456854"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-6.8</w:t>
            </w:r>
          </w:p>
        </w:tc>
      </w:tr>
      <w:tr w:rsidR="00035F3B" w:rsidRPr="00FF1D21" w14:paraId="34017C76"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62054F51"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Tobacco</w:t>
            </w:r>
          </w:p>
        </w:tc>
        <w:tc>
          <w:tcPr>
            <w:tcW w:w="608" w:type="pct"/>
            <w:tcBorders>
              <w:top w:val="nil"/>
              <w:left w:val="nil"/>
              <w:bottom w:val="nil"/>
              <w:right w:val="nil"/>
            </w:tcBorders>
            <w:shd w:val="clear" w:color="000000" w:fill="FFFFFF"/>
            <w:noWrap/>
            <w:vAlign w:val="center"/>
            <w:hideMark/>
          </w:tcPr>
          <w:p w14:paraId="00C0B584"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11,550</w:t>
            </w:r>
          </w:p>
        </w:tc>
        <w:tc>
          <w:tcPr>
            <w:tcW w:w="608" w:type="pct"/>
            <w:tcBorders>
              <w:top w:val="nil"/>
              <w:left w:val="nil"/>
              <w:bottom w:val="nil"/>
              <w:right w:val="nil"/>
            </w:tcBorders>
            <w:shd w:val="clear" w:color="000000" w:fill="E6F2FF"/>
            <w:noWrap/>
            <w:vAlign w:val="center"/>
            <w:hideMark/>
          </w:tcPr>
          <w:p w14:paraId="7C00295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8,750</w:t>
            </w:r>
          </w:p>
        </w:tc>
        <w:tc>
          <w:tcPr>
            <w:tcW w:w="97" w:type="pct"/>
            <w:tcBorders>
              <w:top w:val="nil"/>
              <w:left w:val="nil"/>
              <w:bottom w:val="nil"/>
              <w:right w:val="nil"/>
            </w:tcBorders>
            <w:shd w:val="clear" w:color="000000" w:fill="FFFFFF"/>
            <w:noWrap/>
            <w:vAlign w:val="center"/>
            <w:hideMark/>
          </w:tcPr>
          <w:p w14:paraId="2D3E1A9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428FC6B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-2,800</w:t>
            </w:r>
          </w:p>
        </w:tc>
        <w:tc>
          <w:tcPr>
            <w:tcW w:w="503" w:type="pct"/>
            <w:tcBorders>
              <w:top w:val="nil"/>
              <w:left w:val="nil"/>
              <w:bottom w:val="nil"/>
              <w:right w:val="nil"/>
            </w:tcBorders>
            <w:shd w:val="clear" w:color="000000" w:fill="FFFFFF"/>
            <w:noWrap/>
            <w:vAlign w:val="center"/>
            <w:hideMark/>
          </w:tcPr>
          <w:p w14:paraId="20C80200"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-24.2</w:t>
            </w:r>
          </w:p>
        </w:tc>
      </w:tr>
      <w:tr w:rsidR="00035F3B" w:rsidRPr="00FF1D21" w14:paraId="685C50ED"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38109921"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Beer</w:t>
            </w:r>
          </w:p>
        </w:tc>
        <w:tc>
          <w:tcPr>
            <w:tcW w:w="608" w:type="pct"/>
            <w:tcBorders>
              <w:top w:val="nil"/>
              <w:left w:val="nil"/>
              <w:bottom w:val="nil"/>
              <w:right w:val="nil"/>
            </w:tcBorders>
            <w:shd w:val="clear" w:color="000000" w:fill="FFFFFF"/>
            <w:noWrap/>
            <w:vAlign w:val="center"/>
            <w:hideMark/>
          </w:tcPr>
          <w:p w14:paraId="6FCF4DC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2,660</w:t>
            </w:r>
          </w:p>
        </w:tc>
        <w:tc>
          <w:tcPr>
            <w:tcW w:w="608" w:type="pct"/>
            <w:tcBorders>
              <w:top w:val="nil"/>
              <w:left w:val="nil"/>
              <w:bottom w:val="nil"/>
              <w:right w:val="nil"/>
            </w:tcBorders>
            <w:shd w:val="clear" w:color="000000" w:fill="E6F2FF"/>
            <w:noWrap/>
            <w:vAlign w:val="center"/>
            <w:hideMark/>
          </w:tcPr>
          <w:p w14:paraId="7EE8578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2,620</w:t>
            </w:r>
          </w:p>
        </w:tc>
        <w:tc>
          <w:tcPr>
            <w:tcW w:w="97" w:type="pct"/>
            <w:tcBorders>
              <w:top w:val="nil"/>
              <w:left w:val="nil"/>
              <w:bottom w:val="nil"/>
              <w:right w:val="nil"/>
            </w:tcBorders>
            <w:shd w:val="clear" w:color="000000" w:fill="FFFFFF"/>
            <w:noWrap/>
            <w:vAlign w:val="center"/>
            <w:hideMark/>
          </w:tcPr>
          <w:p w14:paraId="3273071A"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01E42C5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-40</w:t>
            </w:r>
          </w:p>
        </w:tc>
        <w:tc>
          <w:tcPr>
            <w:tcW w:w="503" w:type="pct"/>
            <w:tcBorders>
              <w:top w:val="nil"/>
              <w:left w:val="nil"/>
              <w:bottom w:val="nil"/>
              <w:right w:val="nil"/>
            </w:tcBorders>
            <w:shd w:val="clear" w:color="000000" w:fill="FFFFFF"/>
            <w:noWrap/>
            <w:vAlign w:val="center"/>
            <w:hideMark/>
          </w:tcPr>
          <w:p w14:paraId="2984D7EC"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-1.5</w:t>
            </w:r>
          </w:p>
        </w:tc>
      </w:tr>
      <w:tr w:rsidR="00035F3B" w:rsidRPr="00FF1D21" w14:paraId="655433DA"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38997CEC"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Spirits</w:t>
            </w:r>
          </w:p>
        </w:tc>
        <w:tc>
          <w:tcPr>
            <w:tcW w:w="608" w:type="pct"/>
            <w:tcBorders>
              <w:top w:val="nil"/>
              <w:left w:val="nil"/>
              <w:bottom w:val="nil"/>
              <w:right w:val="nil"/>
            </w:tcBorders>
            <w:shd w:val="clear" w:color="000000" w:fill="FFFFFF"/>
            <w:noWrap/>
            <w:vAlign w:val="center"/>
            <w:hideMark/>
          </w:tcPr>
          <w:p w14:paraId="735A47F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3,590</w:t>
            </w:r>
          </w:p>
        </w:tc>
        <w:tc>
          <w:tcPr>
            <w:tcW w:w="608" w:type="pct"/>
            <w:tcBorders>
              <w:top w:val="nil"/>
              <w:left w:val="nil"/>
              <w:bottom w:val="nil"/>
              <w:right w:val="nil"/>
            </w:tcBorders>
            <w:shd w:val="clear" w:color="000000" w:fill="E6F2FF"/>
            <w:noWrap/>
            <w:vAlign w:val="center"/>
            <w:hideMark/>
          </w:tcPr>
          <w:p w14:paraId="6988C87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3,310</w:t>
            </w:r>
          </w:p>
        </w:tc>
        <w:tc>
          <w:tcPr>
            <w:tcW w:w="97" w:type="pct"/>
            <w:tcBorders>
              <w:top w:val="nil"/>
              <w:left w:val="nil"/>
              <w:bottom w:val="nil"/>
              <w:right w:val="nil"/>
            </w:tcBorders>
            <w:shd w:val="clear" w:color="000000" w:fill="FFFFFF"/>
            <w:noWrap/>
            <w:vAlign w:val="center"/>
            <w:hideMark/>
          </w:tcPr>
          <w:p w14:paraId="3F7E89E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747DC14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-280</w:t>
            </w:r>
          </w:p>
        </w:tc>
        <w:tc>
          <w:tcPr>
            <w:tcW w:w="503" w:type="pct"/>
            <w:tcBorders>
              <w:top w:val="nil"/>
              <w:left w:val="nil"/>
              <w:bottom w:val="nil"/>
              <w:right w:val="nil"/>
            </w:tcBorders>
            <w:shd w:val="clear" w:color="000000" w:fill="FFFFFF"/>
            <w:noWrap/>
            <w:vAlign w:val="center"/>
            <w:hideMark/>
          </w:tcPr>
          <w:p w14:paraId="176DAB60"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-7.8</w:t>
            </w:r>
          </w:p>
        </w:tc>
      </w:tr>
      <w:tr w:rsidR="00035F3B" w:rsidRPr="00FF1D21" w14:paraId="10BFCC85"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6A5611F4"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Other alcoholic beverages(a)</w:t>
            </w:r>
          </w:p>
        </w:tc>
        <w:tc>
          <w:tcPr>
            <w:tcW w:w="608" w:type="pct"/>
            <w:tcBorders>
              <w:top w:val="nil"/>
              <w:left w:val="nil"/>
              <w:bottom w:val="nil"/>
              <w:right w:val="nil"/>
            </w:tcBorders>
            <w:shd w:val="clear" w:color="000000" w:fill="FFFFFF"/>
            <w:noWrap/>
            <w:vAlign w:val="center"/>
            <w:hideMark/>
          </w:tcPr>
          <w:p w14:paraId="02FB9CB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1,750</w:t>
            </w:r>
          </w:p>
        </w:tc>
        <w:tc>
          <w:tcPr>
            <w:tcW w:w="608" w:type="pct"/>
            <w:tcBorders>
              <w:top w:val="nil"/>
              <w:left w:val="nil"/>
              <w:bottom w:val="nil"/>
              <w:right w:val="nil"/>
            </w:tcBorders>
            <w:shd w:val="clear" w:color="000000" w:fill="E6F2FF"/>
            <w:noWrap/>
            <w:vAlign w:val="center"/>
            <w:hideMark/>
          </w:tcPr>
          <w:p w14:paraId="09B8524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1,760</w:t>
            </w:r>
          </w:p>
        </w:tc>
        <w:tc>
          <w:tcPr>
            <w:tcW w:w="97" w:type="pct"/>
            <w:tcBorders>
              <w:top w:val="nil"/>
              <w:left w:val="nil"/>
              <w:bottom w:val="nil"/>
              <w:right w:val="nil"/>
            </w:tcBorders>
            <w:shd w:val="clear" w:color="000000" w:fill="FFFFFF"/>
            <w:noWrap/>
            <w:vAlign w:val="center"/>
            <w:hideMark/>
          </w:tcPr>
          <w:p w14:paraId="7F3A3FC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78AE4E3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w:t>
            </w:r>
          </w:p>
        </w:tc>
        <w:tc>
          <w:tcPr>
            <w:tcW w:w="503" w:type="pct"/>
            <w:tcBorders>
              <w:top w:val="nil"/>
              <w:left w:val="nil"/>
              <w:bottom w:val="nil"/>
              <w:right w:val="nil"/>
            </w:tcBorders>
            <w:shd w:val="clear" w:color="000000" w:fill="FFFFFF"/>
            <w:noWrap/>
            <w:vAlign w:val="center"/>
            <w:hideMark/>
          </w:tcPr>
          <w:p w14:paraId="51FA774E"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0.6</w:t>
            </w:r>
          </w:p>
        </w:tc>
      </w:tr>
      <w:tr w:rsidR="00035F3B" w:rsidRPr="00FF1D21" w14:paraId="6F046F8F"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2915D459" w14:textId="77777777" w:rsidR="00035F3B" w:rsidRPr="00FF1D21" w:rsidRDefault="00035F3B" w:rsidP="00035F3B">
            <w:pPr>
              <w:spacing w:before="0" w:after="0" w:line="240" w:lineRule="auto"/>
              <w:ind w:left="170"/>
              <w:rPr>
                <w:rFonts w:ascii="Arial" w:hAnsi="Arial" w:cs="Arial"/>
                <w:color w:val="00FFFF"/>
                <w:sz w:val="16"/>
                <w:szCs w:val="16"/>
                <w:highlight w:val="darkCyan"/>
              </w:rPr>
            </w:pPr>
            <w:r w:rsidRPr="00205DD5">
              <w:rPr>
                <w:rFonts w:ascii="Arial" w:hAnsi="Arial" w:cs="Arial"/>
                <w:sz w:val="16"/>
                <w:szCs w:val="16"/>
              </w:rPr>
              <w:t>Other customs duty</w:t>
            </w:r>
          </w:p>
        </w:tc>
        <w:tc>
          <w:tcPr>
            <w:tcW w:w="608" w:type="pct"/>
            <w:tcBorders>
              <w:top w:val="nil"/>
              <w:left w:val="nil"/>
              <w:bottom w:val="nil"/>
              <w:right w:val="nil"/>
            </w:tcBorders>
            <w:shd w:val="clear" w:color="000000" w:fill="FFFFFF"/>
            <w:noWrap/>
            <w:vAlign w:val="center"/>
            <w:hideMark/>
          </w:tcPr>
          <w:p w14:paraId="45801F7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nil"/>
              <w:right w:val="nil"/>
            </w:tcBorders>
            <w:shd w:val="clear" w:color="000000" w:fill="E6F2FF"/>
            <w:noWrap/>
            <w:vAlign w:val="center"/>
            <w:hideMark/>
          </w:tcPr>
          <w:p w14:paraId="5F44F15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72EBD59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5C6E287F"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091468C8"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 </w:t>
            </w:r>
          </w:p>
        </w:tc>
      </w:tr>
      <w:tr w:rsidR="00035F3B" w:rsidRPr="00FF1D21" w14:paraId="4140B917" w14:textId="77777777" w:rsidTr="00035F3B">
        <w:trPr>
          <w:trHeight w:hRule="exact" w:val="226"/>
        </w:trPr>
        <w:tc>
          <w:tcPr>
            <w:tcW w:w="2627" w:type="pct"/>
            <w:tcBorders>
              <w:top w:val="nil"/>
              <w:left w:val="nil"/>
              <w:bottom w:val="nil"/>
              <w:right w:val="nil"/>
            </w:tcBorders>
            <w:shd w:val="clear" w:color="000000" w:fill="FFFFFF"/>
            <w:noWrap/>
            <w:vAlign w:val="bottom"/>
            <w:hideMark/>
          </w:tcPr>
          <w:p w14:paraId="1838B5EA" w14:textId="77777777" w:rsidR="00035F3B" w:rsidRPr="00FF1D21" w:rsidRDefault="00035F3B" w:rsidP="00035F3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 xml:space="preserve">Textiles, </w:t>
            </w:r>
            <w:proofErr w:type="gramStart"/>
            <w:r w:rsidRPr="00205DD5">
              <w:rPr>
                <w:rFonts w:ascii="Arial" w:hAnsi="Arial" w:cs="Arial"/>
                <w:sz w:val="16"/>
                <w:szCs w:val="16"/>
              </w:rPr>
              <w:t>clothing</w:t>
            </w:r>
            <w:proofErr w:type="gramEnd"/>
            <w:r w:rsidRPr="00205DD5">
              <w:rPr>
                <w:rFonts w:ascii="Arial" w:hAnsi="Arial" w:cs="Arial"/>
                <w:sz w:val="16"/>
                <w:szCs w:val="16"/>
              </w:rPr>
              <w:t xml:space="preserve"> and footwear</w:t>
            </w:r>
          </w:p>
        </w:tc>
        <w:tc>
          <w:tcPr>
            <w:tcW w:w="608" w:type="pct"/>
            <w:tcBorders>
              <w:top w:val="nil"/>
              <w:left w:val="nil"/>
              <w:bottom w:val="nil"/>
              <w:right w:val="nil"/>
            </w:tcBorders>
            <w:shd w:val="clear" w:color="000000" w:fill="FFFFFF"/>
            <w:noWrap/>
            <w:vAlign w:val="center"/>
            <w:hideMark/>
          </w:tcPr>
          <w:p w14:paraId="52A79A5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170</w:t>
            </w:r>
          </w:p>
        </w:tc>
        <w:tc>
          <w:tcPr>
            <w:tcW w:w="608" w:type="pct"/>
            <w:tcBorders>
              <w:top w:val="nil"/>
              <w:left w:val="nil"/>
              <w:bottom w:val="nil"/>
              <w:right w:val="nil"/>
            </w:tcBorders>
            <w:shd w:val="clear" w:color="000000" w:fill="E6F2FF"/>
            <w:noWrap/>
            <w:vAlign w:val="center"/>
            <w:hideMark/>
          </w:tcPr>
          <w:p w14:paraId="02D7D3C5"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170</w:t>
            </w:r>
          </w:p>
        </w:tc>
        <w:tc>
          <w:tcPr>
            <w:tcW w:w="97" w:type="pct"/>
            <w:tcBorders>
              <w:top w:val="nil"/>
              <w:left w:val="nil"/>
              <w:bottom w:val="nil"/>
              <w:right w:val="nil"/>
            </w:tcBorders>
            <w:shd w:val="clear" w:color="000000" w:fill="FFFFFF"/>
            <w:noWrap/>
            <w:vAlign w:val="center"/>
            <w:hideMark/>
          </w:tcPr>
          <w:p w14:paraId="2CE3E4D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3DCECF65"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503" w:type="pct"/>
            <w:tcBorders>
              <w:top w:val="nil"/>
              <w:left w:val="nil"/>
              <w:bottom w:val="nil"/>
              <w:right w:val="nil"/>
            </w:tcBorders>
            <w:shd w:val="clear" w:color="000000" w:fill="FFFFFF"/>
            <w:noWrap/>
            <w:vAlign w:val="center"/>
            <w:hideMark/>
          </w:tcPr>
          <w:p w14:paraId="41F72484"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0.0</w:t>
            </w:r>
          </w:p>
        </w:tc>
      </w:tr>
      <w:tr w:rsidR="00035F3B" w:rsidRPr="00FF1D21" w14:paraId="022B4C0C" w14:textId="77777777" w:rsidTr="00035F3B">
        <w:trPr>
          <w:trHeight w:hRule="exact" w:val="226"/>
        </w:trPr>
        <w:tc>
          <w:tcPr>
            <w:tcW w:w="2627" w:type="pct"/>
            <w:tcBorders>
              <w:top w:val="nil"/>
              <w:left w:val="nil"/>
              <w:bottom w:val="nil"/>
              <w:right w:val="nil"/>
            </w:tcBorders>
            <w:shd w:val="clear" w:color="000000" w:fill="FFFFFF"/>
            <w:noWrap/>
            <w:vAlign w:val="bottom"/>
            <w:hideMark/>
          </w:tcPr>
          <w:p w14:paraId="6B0978BA" w14:textId="77777777" w:rsidR="00035F3B" w:rsidRPr="00FF1D21" w:rsidRDefault="00035F3B" w:rsidP="00035F3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Passenger motor vehicles</w:t>
            </w:r>
          </w:p>
        </w:tc>
        <w:tc>
          <w:tcPr>
            <w:tcW w:w="608" w:type="pct"/>
            <w:tcBorders>
              <w:top w:val="nil"/>
              <w:left w:val="nil"/>
              <w:bottom w:val="nil"/>
              <w:right w:val="nil"/>
            </w:tcBorders>
            <w:shd w:val="clear" w:color="000000" w:fill="FFFFFF"/>
            <w:noWrap/>
            <w:vAlign w:val="center"/>
            <w:hideMark/>
          </w:tcPr>
          <w:p w14:paraId="65695B7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380</w:t>
            </w:r>
          </w:p>
        </w:tc>
        <w:tc>
          <w:tcPr>
            <w:tcW w:w="608" w:type="pct"/>
            <w:tcBorders>
              <w:top w:val="nil"/>
              <w:left w:val="nil"/>
              <w:bottom w:val="nil"/>
              <w:right w:val="nil"/>
            </w:tcBorders>
            <w:shd w:val="clear" w:color="000000" w:fill="E6F2FF"/>
            <w:noWrap/>
            <w:vAlign w:val="center"/>
            <w:hideMark/>
          </w:tcPr>
          <w:p w14:paraId="15E6299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380</w:t>
            </w:r>
          </w:p>
        </w:tc>
        <w:tc>
          <w:tcPr>
            <w:tcW w:w="97" w:type="pct"/>
            <w:tcBorders>
              <w:top w:val="nil"/>
              <w:left w:val="nil"/>
              <w:bottom w:val="nil"/>
              <w:right w:val="nil"/>
            </w:tcBorders>
            <w:shd w:val="clear" w:color="000000" w:fill="FFFFFF"/>
            <w:noWrap/>
            <w:vAlign w:val="center"/>
            <w:hideMark/>
          </w:tcPr>
          <w:p w14:paraId="39D54A8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46993FB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503" w:type="pct"/>
            <w:tcBorders>
              <w:top w:val="nil"/>
              <w:left w:val="nil"/>
              <w:bottom w:val="nil"/>
              <w:right w:val="nil"/>
            </w:tcBorders>
            <w:shd w:val="clear" w:color="000000" w:fill="FFFFFF"/>
            <w:noWrap/>
            <w:vAlign w:val="center"/>
            <w:hideMark/>
          </w:tcPr>
          <w:p w14:paraId="002E1013"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0.0</w:t>
            </w:r>
          </w:p>
        </w:tc>
      </w:tr>
      <w:tr w:rsidR="00035F3B" w:rsidRPr="00FF1D21" w14:paraId="48BA8DF5"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5211231B" w14:textId="77777777" w:rsidR="00035F3B" w:rsidRPr="00FF1D21" w:rsidRDefault="00035F3B" w:rsidP="00035F3B">
            <w:pPr>
              <w:spacing w:before="0" w:after="0" w:line="240" w:lineRule="auto"/>
              <w:ind w:left="340"/>
              <w:rPr>
                <w:rFonts w:ascii="Arial" w:hAnsi="Arial" w:cs="Arial"/>
                <w:color w:val="00FFFF"/>
                <w:sz w:val="16"/>
                <w:szCs w:val="16"/>
                <w:highlight w:val="darkCyan"/>
              </w:rPr>
            </w:pPr>
            <w:r w:rsidRPr="00205DD5">
              <w:rPr>
                <w:rFonts w:ascii="Arial" w:hAnsi="Arial" w:cs="Arial"/>
                <w:sz w:val="16"/>
                <w:szCs w:val="16"/>
              </w:rPr>
              <w:t>Other imports</w:t>
            </w:r>
          </w:p>
        </w:tc>
        <w:tc>
          <w:tcPr>
            <w:tcW w:w="608" w:type="pct"/>
            <w:tcBorders>
              <w:top w:val="nil"/>
              <w:left w:val="nil"/>
              <w:bottom w:val="nil"/>
              <w:right w:val="nil"/>
            </w:tcBorders>
            <w:shd w:val="clear" w:color="000000" w:fill="FFFFFF"/>
            <w:noWrap/>
            <w:vAlign w:val="center"/>
            <w:hideMark/>
          </w:tcPr>
          <w:p w14:paraId="767C943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1,530</w:t>
            </w:r>
          </w:p>
        </w:tc>
        <w:tc>
          <w:tcPr>
            <w:tcW w:w="608" w:type="pct"/>
            <w:tcBorders>
              <w:top w:val="nil"/>
              <w:left w:val="nil"/>
              <w:bottom w:val="nil"/>
              <w:right w:val="nil"/>
            </w:tcBorders>
            <w:shd w:val="clear" w:color="000000" w:fill="E6F2FF"/>
            <w:noWrap/>
            <w:vAlign w:val="center"/>
            <w:hideMark/>
          </w:tcPr>
          <w:p w14:paraId="244FF97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1,560</w:t>
            </w:r>
          </w:p>
        </w:tc>
        <w:tc>
          <w:tcPr>
            <w:tcW w:w="97" w:type="pct"/>
            <w:tcBorders>
              <w:top w:val="nil"/>
              <w:left w:val="nil"/>
              <w:bottom w:val="nil"/>
              <w:right w:val="nil"/>
            </w:tcBorders>
            <w:shd w:val="clear" w:color="000000" w:fill="FFFFFF"/>
            <w:noWrap/>
            <w:vAlign w:val="center"/>
            <w:hideMark/>
          </w:tcPr>
          <w:p w14:paraId="2B216C0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3C3AD5D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30</w:t>
            </w:r>
          </w:p>
        </w:tc>
        <w:tc>
          <w:tcPr>
            <w:tcW w:w="503" w:type="pct"/>
            <w:tcBorders>
              <w:top w:val="nil"/>
              <w:left w:val="nil"/>
              <w:bottom w:val="nil"/>
              <w:right w:val="nil"/>
            </w:tcBorders>
            <w:shd w:val="clear" w:color="000000" w:fill="FFFFFF"/>
            <w:noWrap/>
            <w:vAlign w:val="center"/>
            <w:hideMark/>
          </w:tcPr>
          <w:p w14:paraId="382A458A"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2.0</w:t>
            </w:r>
          </w:p>
        </w:tc>
      </w:tr>
      <w:tr w:rsidR="00035F3B" w:rsidRPr="00FF1D21" w14:paraId="29F34523" w14:textId="77777777" w:rsidTr="00035F3B">
        <w:trPr>
          <w:trHeight w:hRule="exact" w:val="226"/>
        </w:trPr>
        <w:tc>
          <w:tcPr>
            <w:tcW w:w="2627" w:type="pct"/>
            <w:tcBorders>
              <w:top w:val="nil"/>
              <w:left w:val="nil"/>
              <w:bottom w:val="nil"/>
              <w:right w:val="nil"/>
            </w:tcBorders>
            <w:shd w:val="clear" w:color="000000" w:fill="FFFFFF"/>
            <w:noWrap/>
            <w:vAlign w:val="bottom"/>
            <w:hideMark/>
          </w:tcPr>
          <w:p w14:paraId="37E4CD24" w14:textId="77777777" w:rsidR="00035F3B" w:rsidRPr="00FF1D21" w:rsidRDefault="00035F3B" w:rsidP="00035F3B">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 xml:space="preserve">less: </w:t>
            </w:r>
            <w:r w:rsidRPr="00205DD5">
              <w:rPr>
                <w:rFonts w:ascii="Arial" w:hAnsi="Arial" w:cs="Arial"/>
                <w:sz w:val="16"/>
                <w:szCs w:val="16"/>
              </w:rPr>
              <w:t>Refunds and drawbacks</w:t>
            </w:r>
          </w:p>
        </w:tc>
        <w:tc>
          <w:tcPr>
            <w:tcW w:w="608" w:type="pct"/>
            <w:tcBorders>
              <w:top w:val="nil"/>
              <w:left w:val="nil"/>
              <w:bottom w:val="single" w:sz="4" w:space="0" w:color="000000"/>
              <w:right w:val="nil"/>
            </w:tcBorders>
            <w:shd w:val="clear" w:color="000000" w:fill="FFFFFF"/>
            <w:noWrap/>
            <w:vAlign w:val="center"/>
            <w:hideMark/>
          </w:tcPr>
          <w:p w14:paraId="5F9EAF7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730</w:t>
            </w:r>
          </w:p>
        </w:tc>
        <w:tc>
          <w:tcPr>
            <w:tcW w:w="608" w:type="pct"/>
            <w:tcBorders>
              <w:top w:val="nil"/>
              <w:left w:val="nil"/>
              <w:bottom w:val="single" w:sz="4" w:space="0" w:color="000000"/>
              <w:right w:val="nil"/>
            </w:tcBorders>
            <w:shd w:val="clear" w:color="000000" w:fill="E6F2FF"/>
            <w:noWrap/>
            <w:vAlign w:val="center"/>
            <w:hideMark/>
          </w:tcPr>
          <w:p w14:paraId="65BDB2A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730</w:t>
            </w:r>
          </w:p>
        </w:tc>
        <w:tc>
          <w:tcPr>
            <w:tcW w:w="97" w:type="pct"/>
            <w:tcBorders>
              <w:top w:val="nil"/>
              <w:left w:val="nil"/>
              <w:bottom w:val="nil"/>
              <w:right w:val="nil"/>
            </w:tcBorders>
            <w:shd w:val="clear" w:color="000000" w:fill="FFFFFF"/>
            <w:noWrap/>
            <w:vAlign w:val="center"/>
            <w:hideMark/>
          </w:tcPr>
          <w:p w14:paraId="397BB5B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single" w:sz="4" w:space="0" w:color="000000"/>
              <w:right w:val="nil"/>
            </w:tcBorders>
            <w:shd w:val="clear" w:color="000000" w:fill="FFFFFF"/>
            <w:noWrap/>
            <w:vAlign w:val="center"/>
            <w:hideMark/>
          </w:tcPr>
          <w:p w14:paraId="59F80447"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0</w:t>
            </w:r>
          </w:p>
        </w:tc>
        <w:tc>
          <w:tcPr>
            <w:tcW w:w="503" w:type="pct"/>
            <w:tcBorders>
              <w:top w:val="nil"/>
              <w:left w:val="nil"/>
              <w:bottom w:val="single" w:sz="4" w:space="0" w:color="000000"/>
              <w:right w:val="nil"/>
            </w:tcBorders>
            <w:shd w:val="clear" w:color="000000" w:fill="FFFFFF"/>
            <w:noWrap/>
            <w:vAlign w:val="center"/>
            <w:hideMark/>
          </w:tcPr>
          <w:p w14:paraId="1AC8F1DC"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0.0</w:t>
            </w:r>
          </w:p>
        </w:tc>
      </w:tr>
      <w:tr w:rsidR="00035F3B" w:rsidRPr="00FF1D21" w14:paraId="4157D3F1"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74B01CBD"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Total excise and customs duty</w:t>
            </w:r>
          </w:p>
        </w:tc>
        <w:tc>
          <w:tcPr>
            <w:tcW w:w="608" w:type="pct"/>
            <w:tcBorders>
              <w:top w:val="nil"/>
              <w:left w:val="nil"/>
              <w:bottom w:val="nil"/>
              <w:right w:val="nil"/>
            </w:tcBorders>
            <w:shd w:val="clear" w:color="000000" w:fill="FFFFFF"/>
            <w:noWrap/>
            <w:vAlign w:val="center"/>
            <w:hideMark/>
          </w:tcPr>
          <w:p w14:paraId="234B746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47,280</w:t>
            </w:r>
          </w:p>
        </w:tc>
        <w:tc>
          <w:tcPr>
            <w:tcW w:w="608" w:type="pct"/>
            <w:tcBorders>
              <w:top w:val="nil"/>
              <w:left w:val="nil"/>
              <w:bottom w:val="nil"/>
              <w:right w:val="nil"/>
            </w:tcBorders>
            <w:shd w:val="clear" w:color="000000" w:fill="E6F2FF"/>
            <w:noWrap/>
            <w:vAlign w:val="center"/>
            <w:hideMark/>
          </w:tcPr>
          <w:p w14:paraId="20BC4824"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43,950</w:t>
            </w:r>
          </w:p>
        </w:tc>
        <w:tc>
          <w:tcPr>
            <w:tcW w:w="97" w:type="pct"/>
            <w:tcBorders>
              <w:top w:val="nil"/>
              <w:left w:val="nil"/>
              <w:bottom w:val="nil"/>
              <w:right w:val="nil"/>
            </w:tcBorders>
            <w:shd w:val="clear" w:color="000000" w:fill="FFFFFF"/>
            <w:noWrap/>
            <w:vAlign w:val="center"/>
            <w:hideMark/>
          </w:tcPr>
          <w:p w14:paraId="7228489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0E74EB6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-3,330</w:t>
            </w:r>
          </w:p>
        </w:tc>
        <w:tc>
          <w:tcPr>
            <w:tcW w:w="503" w:type="pct"/>
            <w:tcBorders>
              <w:top w:val="nil"/>
              <w:left w:val="nil"/>
              <w:bottom w:val="nil"/>
              <w:right w:val="nil"/>
            </w:tcBorders>
            <w:shd w:val="clear" w:color="000000" w:fill="FFFFFF"/>
            <w:noWrap/>
            <w:vAlign w:val="center"/>
            <w:hideMark/>
          </w:tcPr>
          <w:p w14:paraId="367854BE"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-7.0</w:t>
            </w:r>
          </w:p>
        </w:tc>
      </w:tr>
      <w:tr w:rsidR="00035F3B" w:rsidRPr="00FF1D21" w14:paraId="358FA8AF" w14:textId="77777777" w:rsidTr="00035F3B">
        <w:trPr>
          <w:trHeight w:hRule="exact" w:val="60"/>
        </w:trPr>
        <w:tc>
          <w:tcPr>
            <w:tcW w:w="2627" w:type="pct"/>
            <w:tcBorders>
              <w:top w:val="nil"/>
              <w:left w:val="nil"/>
              <w:bottom w:val="nil"/>
              <w:right w:val="nil"/>
            </w:tcBorders>
            <w:shd w:val="clear" w:color="000000" w:fill="FFFFFF"/>
            <w:noWrap/>
            <w:vAlign w:val="center"/>
            <w:hideMark/>
          </w:tcPr>
          <w:p w14:paraId="616A9300"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608" w:type="pct"/>
            <w:tcBorders>
              <w:top w:val="nil"/>
              <w:left w:val="nil"/>
              <w:bottom w:val="nil"/>
              <w:right w:val="nil"/>
            </w:tcBorders>
            <w:shd w:val="clear" w:color="000000" w:fill="FFFFFF"/>
            <w:noWrap/>
            <w:vAlign w:val="center"/>
            <w:hideMark/>
          </w:tcPr>
          <w:p w14:paraId="509647A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nil"/>
              <w:right w:val="nil"/>
            </w:tcBorders>
            <w:shd w:val="clear" w:color="000000" w:fill="E6F2FF"/>
            <w:noWrap/>
            <w:vAlign w:val="center"/>
            <w:hideMark/>
          </w:tcPr>
          <w:p w14:paraId="3047DE0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501CD4BB"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7D19FA3F"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8A24DCD"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 </w:t>
            </w:r>
          </w:p>
        </w:tc>
      </w:tr>
      <w:tr w:rsidR="00035F3B" w:rsidRPr="00FF1D21" w14:paraId="72B514D2"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63471B09"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Major bank levy</w:t>
            </w:r>
          </w:p>
        </w:tc>
        <w:tc>
          <w:tcPr>
            <w:tcW w:w="608" w:type="pct"/>
            <w:tcBorders>
              <w:top w:val="nil"/>
              <w:left w:val="nil"/>
              <w:bottom w:val="nil"/>
              <w:right w:val="nil"/>
            </w:tcBorders>
            <w:shd w:val="clear" w:color="000000" w:fill="FFFFFF"/>
            <w:noWrap/>
            <w:vAlign w:val="center"/>
            <w:hideMark/>
          </w:tcPr>
          <w:p w14:paraId="39E523D4"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1,740</w:t>
            </w:r>
          </w:p>
        </w:tc>
        <w:tc>
          <w:tcPr>
            <w:tcW w:w="608" w:type="pct"/>
            <w:tcBorders>
              <w:top w:val="nil"/>
              <w:left w:val="nil"/>
              <w:bottom w:val="nil"/>
              <w:right w:val="nil"/>
            </w:tcBorders>
            <w:shd w:val="clear" w:color="000000" w:fill="E6F2FF"/>
            <w:noWrap/>
            <w:vAlign w:val="center"/>
            <w:hideMark/>
          </w:tcPr>
          <w:p w14:paraId="269C43A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1,750</w:t>
            </w:r>
          </w:p>
        </w:tc>
        <w:tc>
          <w:tcPr>
            <w:tcW w:w="97" w:type="pct"/>
            <w:tcBorders>
              <w:top w:val="nil"/>
              <w:left w:val="nil"/>
              <w:bottom w:val="nil"/>
              <w:right w:val="nil"/>
            </w:tcBorders>
            <w:shd w:val="clear" w:color="000000" w:fill="FFFFFF"/>
            <w:noWrap/>
            <w:vAlign w:val="center"/>
            <w:hideMark/>
          </w:tcPr>
          <w:p w14:paraId="53DC03A8"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3A852164"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w:t>
            </w:r>
          </w:p>
        </w:tc>
        <w:tc>
          <w:tcPr>
            <w:tcW w:w="503" w:type="pct"/>
            <w:tcBorders>
              <w:top w:val="nil"/>
              <w:left w:val="nil"/>
              <w:bottom w:val="nil"/>
              <w:right w:val="nil"/>
            </w:tcBorders>
            <w:shd w:val="clear" w:color="000000" w:fill="FFFFFF"/>
            <w:noWrap/>
            <w:vAlign w:val="center"/>
            <w:hideMark/>
          </w:tcPr>
          <w:p w14:paraId="205EDF9C"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0.6</w:t>
            </w:r>
          </w:p>
        </w:tc>
      </w:tr>
      <w:tr w:rsidR="00035F3B" w:rsidRPr="00FF1D21" w14:paraId="7F701FCF"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27ECC27D"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Agricultural levies</w:t>
            </w:r>
          </w:p>
        </w:tc>
        <w:tc>
          <w:tcPr>
            <w:tcW w:w="608" w:type="pct"/>
            <w:tcBorders>
              <w:top w:val="nil"/>
              <w:left w:val="nil"/>
              <w:bottom w:val="nil"/>
              <w:right w:val="nil"/>
            </w:tcBorders>
            <w:shd w:val="clear" w:color="000000" w:fill="FFFFFF"/>
            <w:noWrap/>
            <w:vAlign w:val="center"/>
            <w:hideMark/>
          </w:tcPr>
          <w:p w14:paraId="40EDF52D"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627</w:t>
            </w:r>
          </w:p>
        </w:tc>
        <w:tc>
          <w:tcPr>
            <w:tcW w:w="608" w:type="pct"/>
            <w:tcBorders>
              <w:top w:val="nil"/>
              <w:left w:val="nil"/>
              <w:bottom w:val="nil"/>
              <w:right w:val="nil"/>
            </w:tcBorders>
            <w:shd w:val="clear" w:color="000000" w:fill="E6F2FF"/>
            <w:noWrap/>
            <w:vAlign w:val="center"/>
            <w:hideMark/>
          </w:tcPr>
          <w:p w14:paraId="03E388E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682</w:t>
            </w:r>
          </w:p>
        </w:tc>
        <w:tc>
          <w:tcPr>
            <w:tcW w:w="97" w:type="pct"/>
            <w:tcBorders>
              <w:top w:val="nil"/>
              <w:left w:val="nil"/>
              <w:bottom w:val="nil"/>
              <w:right w:val="nil"/>
            </w:tcBorders>
            <w:shd w:val="clear" w:color="000000" w:fill="FFFFFF"/>
            <w:noWrap/>
            <w:vAlign w:val="center"/>
            <w:hideMark/>
          </w:tcPr>
          <w:p w14:paraId="4B08D42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2CC0814A"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55</w:t>
            </w:r>
          </w:p>
        </w:tc>
        <w:tc>
          <w:tcPr>
            <w:tcW w:w="503" w:type="pct"/>
            <w:tcBorders>
              <w:top w:val="nil"/>
              <w:left w:val="nil"/>
              <w:bottom w:val="nil"/>
              <w:right w:val="nil"/>
            </w:tcBorders>
            <w:shd w:val="clear" w:color="000000" w:fill="FFFFFF"/>
            <w:noWrap/>
            <w:vAlign w:val="center"/>
            <w:hideMark/>
          </w:tcPr>
          <w:p w14:paraId="702CBD89"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8.7</w:t>
            </w:r>
          </w:p>
        </w:tc>
      </w:tr>
      <w:tr w:rsidR="00035F3B" w:rsidRPr="00FF1D21" w14:paraId="592A26F4"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0B814FE6"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Visa application charges</w:t>
            </w:r>
          </w:p>
        </w:tc>
        <w:tc>
          <w:tcPr>
            <w:tcW w:w="608" w:type="pct"/>
            <w:tcBorders>
              <w:top w:val="nil"/>
              <w:left w:val="nil"/>
              <w:bottom w:val="nil"/>
              <w:right w:val="nil"/>
            </w:tcBorders>
            <w:shd w:val="clear" w:color="000000" w:fill="FFFFFF"/>
            <w:noWrap/>
            <w:vAlign w:val="center"/>
            <w:hideMark/>
          </w:tcPr>
          <w:p w14:paraId="7AE2DC3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3,882</w:t>
            </w:r>
          </w:p>
        </w:tc>
        <w:tc>
          <w:tcPr>
            <w:tcW w:w="608" w:type="pct"/>
            <w:tcBorders>
              <w:top w:val="nil"/>
              <w:left w:val="nil"/>
              <w:bottom w:val="nil"/>
              <w:right w:val="nil"/>
            </w:tcBorders>
            <w:shd w:val="clear" w:color="000000" w:fill="E6F2FF"/>
            <w:noWrap/>
            <w:vAlign w:val="center"/>
            <w:hideMark/>
          </w:tcPr>
          <w:p w14:paraId="6C27ADAE"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4,147</w:t>
            </w:r>
          </w:p>
        </w:tc>
        <w:tc>
          <w:tcPr>
            <w:tcW w:w="97" w:type="pct"/>
            <w:tcBorders>
              <w:top w:val="nil"/>
              <w:left w:val="nil"/>
              <w:bottom w:val="nil"/>
              <w:right w:val="nil"/>
            </w:tcBorders>
            <w:shd w:val="clear" w:color="000000" w:fill="FFFFFF"/>
            <w:noWrap/>
            <w:vAlign w:val="center"/>
            <w:hideMark/>
          </w:tcPr>
          <w:p w14:paraId="493EDBEE"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56" w:type="pct"/>
            <w:tcBorders>
              <w:top w:val="nil"/>
              <w:left w:val="nil"/>
              <w:bottom w:val="nil"/>
              <w:right w:val="nil"/>
            </w:tcBorders>
            <w:shd w:val="clear" w:color="000000" w:fill="FFFFFF"/>
            <w:noWrap/>
            <w:vAlign w:val="center"/>
            <w:hideMark/>
          </w:tcPr>
          <w:p w14:paraId="0B880CB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265</w:t>
            </w:r>
          </w:p>
        </w:tc>
        <w:tc>
          <w:tcPr>
            <w:tcW w:w="503" w:type="pct"/>
            <w:tcBorders>
              <w:top w:val="nil"/>
              <w:left w:val="nil"/>
              <w:bottom w:val="nil"/>
              <w:right w:val="nil"/>
            </w:tcBorders>
            <w:shd w:val="clear" w:color="000000" w:fill="FFFFFF"/>
            <w:noWrap/>
            <w:vAlign w:val="center"/>
            <w:hideMark/>
          </w:tcPr>
          <w:p w14:paraId="7D5C4E06"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6.8</w:t>
            </w:r>
          </w:p>
        </w:tc>
      </w:tr>
      <w:tr w:rsidR="00035F3B" w:rsidRPr="00FF1D21" w14:paraId="359DCF8A"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41253256"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Other taxes</w:t>
            </w:r>
          </w:p>
        </w:tc>
        <w:tc>
          <w:tcPr>
            <w:tcW w:w="608" w:type="pct"/>
            <w:tcBorders>
              <w:top w:val="nil"/>
              <w:left w:val="nil"/>
              <w:bottom w:val="single" w:sz="4" w:space="0" w:color="auto"/>
              <w:right w:val="nil"/>
            </w:tcBorders>
            <w:shd w:val="clear" w:color="000000" w:fill="FFFFFF"/>
            <w:noWrap/>
            <w:vAlign w:val="center"/>
            <w:hideMark/>
          </w:tcPr>
          <w:p w14:paraId="4B08E2F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7,753</w:t>
            </w:r>
          </w:p>
        </w:tc>
        <w:tc>
          <w:tcPr>
            <w:tcW w:w="608" w:type="pct"/>
            <w:tcBorders>
              <w:top w:val="nil"/>
              <w:left w:val="nil"/>
              <w:bottom w:val="single" w:sz="4" w:space="0" w:color="auto"/>
              <w:right w:val="nil"/>
            </w:tcBorders>
            <w:shd w:val="clear" w:color="000000" w:fill="E6F2FF"/>
            <w:noWrap/>
            <w:vAlign w:val="center"/>
            <w:hideMark/>
          </w:tcPr>
          <w:p w14:paraId="2EF7C96A"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7,850</w:t>
            </w:r>
          </w:p>
        </w:tc>
        <w:tc>
          <w:tcPr>
            <w:tcW w:w="97" w:type="pct"/>
            <w:tcBorders>
              <w:top w:val="nil"/>
              <w:left w:val="nil"/>
              <w:bottom w:val="nil"/>
              <w:right w:val="nil"/>
            </w:tcBorders>
            <w:shd w:val="clear" w:color="000000" w:fill="FFFFFF"/>
            <w:noWrap/>
            <w:vAlign w:val="center"/>
            <w:hideMark/>
          </w:tcPr>
          <w:p w14:paraId="72F6BD5F"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single" w:sz="4" w:space="0" w:color="000000"/>
              <w:right w:val="nil"/>
            </w:tcBorders>
            <w:shd w:val="clear" w:color="000000" w:fill="FFFFFF"/>
            <w:noWrap/>
            <w:vAlign w:val="center"/>
            <w:hideMark/>
          </w:tcPr>
          <w:p w14:paraId="7ECBEBD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97</w:t>
            </w:r>
          </w:p>
        </w:tc>
        <w:tc>
          <w:tcPr>
            <w:tcW w:w="503" w:type="pct"/>
            <w:tcBorders>
              <w:top w:val="nil"/>
              <w:left w:val="nil"/>
              <w:bottom w:val="single" w:sz="4" w:space="0" w:color="000000"/>
              <w:right w:val="nil"/>
            </w:tcBorders>
            <w:shd w:val="clear" w:color="000000" w:fill="FFFFFF"/>
            <w:noWrap/>
            <w:vAlign w:val="center"/>
            <w:hideMark/>
          </w:tcPr>
          <w:p w14:paraId="7024249F"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1.3</w:t>
            </w:r>
          </w:p>
        </w:tc>
      </w:tr>
      <w:tr w:rsidR="00035F3B" w:rsidRPr="00FF1D21" w14:paraId="5E9C2723"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022FAAA4"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Indirect taxation revenue</w:t>
            </w:r>
          </w:p>
        </w:tc>
        <w:tc>
          <w:tcPr>
            <w:tcW w:w="608" w:type="pct"/>
            <w:tcBorders>
              <w:top w:val="single" w:sz="4" w:space="0" w:color="000000"/>
              <w:left w:val="nil"/>
              <w:bottom w:val="single" w:sz="4" w:space="0" w:color="auto"/>
              <w:right w:val="nil"/>
            </w:tcBorders>
            <w:shd w:val="clear" w:color="000000" w:fill="FFFFFF"/>
            <w:noWrap/>
            <w:vAlign w:val="center"/>
            <w:hideMark/>
          </w:tcPr>
          <w:p w14:paraId="79B21052"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155,612</w:t>
            </w:r>
          </w:p>
        </w:tc>
        <w:tc>
          <w:tcPr>
            <w:tcW w:w="608" w:type="pct"/>
            <w:tcBorders>
              <w:top w:val="single" w:sz="4" w:space="0" w:color="000000"/>
              <w:left w:val="nil"/>
              <w:bottom w:val="single" w:sz="4" w:space="0" w:color="auto"/>
              <w:right w:val="nil"/>
            </w:tcBorders>
            <w:shd w:val="clear" w:color="000000" w:fill="E6F2FF"/>
            <w:noWrap/>
            <w:vAlign w:val="center"/>
            <w:hideMark/>
          </w:tcPr>
          <w:p w14:paraId="3F290337"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155,449</w:t>
            </w:r>
          </w:p>
        </w:tc>
        <w:tc>
          <w:tcPr>
            <w:tcW w:w="97" w:type="pct"/>
            <w:tcBorders>
              <w:top w:val="nil"/>
              <w:left w:val="nil"/>
              <w:bottom w:val="nil"/>
              <w:right w:val="nil"/>
            </w:tcBorders>
            <w:shd w:val="clear" w:color="000000" w:fill="FFFFFF"/>
            <w:noWrap/>
            <w:vAlign w:val="center"/>
            <w:hideMark/>
          </w:tcPr>
          <w:p w14:paraId="236D3544"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single" w:sz="4" w:space="0" w:color="auto"/>
              <w:right w:val="nil"/>
            </w:tcBorders>
            <w:shd w:val="clear" w:color="000000" w:fill="FFFFFF"/>
            <w:noWrap/>
            <w:vAlign w:val="center"/>
            <w:hideMark/>
          </w:tcPr>
          <w:p w14:paraId="2FA134D7"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-163</w:t>
            </w:r>
          </w:p>
        </w:tc>
        <w:tc>
          <w:tcPr>
            <w:tcW w:w="503" w:type="pct"/>
            <w:tcBorders>
              <w:top w:val="nil"/>
              <w:left w:val="nil"/>
              <w:bottom w:val="single" w:sz="4" w:space="0" w:color="auto"/>
              <w:right w:val="nil"/>
            </w:tcBorders>
            <w:shd w:val="clear" w:color="000000" w:fill="FFFFFF"/>
            <w:noWrap/>
            <w:vAlign w:val="center"/>
            <w:hideMark/>
          </w:tcPr>
          <w:p w14:paraId="5674EC5A" w14:textId="77777777" w:rsidR="00035F3B" w:rsidRPr="00205DD5" w:rsidRDefault="00035F3B" w:rsidP="00035F3B">
            <w:pPr>
              <w:spacing w:before="0" w:after="0" w:line="240" w:lineRule="auto"/>
              <w:jc w:val="right"/>
              <w:rPr>
                <w:rFonts w:ascii="Arial" w:hAnsi="Arial" w:cs="Arial"/>
                <w:b/>
                <w:sz w:val="16"/>
                <w:szCs w:val="16"/>
              </w:rPr>
            </w:pPr>
            <w:r w:rsidRPr="00205DD5">
              <w:rPr>
                <w:rFonts w:ascii="Arial" w:hAnsi="Arial" w:cs="Arial"/>
                <w:b/>
                <w:sz w:val="16"/>
                <w:szCs w:val="16"/>
              </w:rPr>
              <w:t>-0.1</w:t>
            </w:r>
          </w:p>
        </w:tc>
      </w:tr>
      <w:tr w:rsidR="00035F3B" w:rsidRPr="00FF1D21" w14:paraId="1DCCBB80" w14:textId="77777777" w:rsidTr="00035F3B">
        <w:trPr>
          <w:trHeight w:hRule="exact" w:val="60"/>
        </w:trPr>
        <w:tc>
          <w:tcPr>
            <w:tcW w:w="2627" w:type="pct"/>
            <w:tcBorders>
              <w:top w:val="nil"/>
              <w:left w:val="nil"/>
              <w:bottom w:val="nil"/>
              <w:right w:val="nil"/>
            </w:tcBorders>
            <w:shd w:val="clear" w:color="000000" w:fill="FFFFFF"/>
            <w:noWrap/>
            <w:vAlign w:val="center"/>
            <w:hideMark/>
          </w:tcPr>
          <w:p w14:paraId="27965FE1"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608" w:type="pct"/>
            <w:tcBorders>
              <w:top w:val="nil"/>
              <w:left w:val="nil"/>
              <w:bottom w:val="nil"/>
              <w:right w:val="nil"/>
            </w:tcBorders>
            <w:shd w:val="clear" w:color="000000" w:fill="FFFFFF"/>
            <w:noWrap/>
            <w:vAlign w:val="center"/>
            <w:hideMark/>
          </w:tcPr>
          <w:p w14:paraId="4EE8FF5F"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nil"/>
              <w:right w:val="nil"/>
            </w:tcBorders>
            <w:shd w:val="clear" w:color="000000" w:fill="E6F2FF"/>
            <w:noWrap/>
            <w:vAlign w:val="center"/>
            <w:hideMark/>
          </w:tcPr>
          <w:p w14:paraId="5B99C80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359BEA05"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396D991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3C97921A"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 </w:t>
            </w:r>
          </w:p>
        </w:tc>
      </w:tr>
      <w:tr w:rsidR="00035F3B" w:rsidRPr="00FF1D21" w14:paraId="6015ED8B"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5241DEFD"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Taxation revenue</w:t>
            </w:r>
          </w:p>
        </w:tc>
        <w:tc>
          <w:tcPr>
            <w:tcW w:w="608" w:type="pct"/>
            <w:tcBorders>
              <w:top w:val="nil"/>
              <w:left w:val="nil"/>
              <w:bottom w:val="single" w:sz="4" w:space="0" w:color="auto"/>
              <w:right w:val="nil"/>
            </w:tcBorders>
            <w:shd w:val="clear" w:color="000000" w:fill="FFFFFF"/>
            <w:noWrap/>
            <w:vAlign w:val="center"/>
            <w:hideMark/>
          </w:tcPr>
          <w:p w14:paraId="4414604F"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658,962</w:t>
            </w:r>
          </w:p>
        </w:tc>
        <w:tc>
          <w:tcPr>
            <w:tcW w:w="608" w:type="pct"/>
            <w:tcBorders>
              <w:top w:val="nil"/>
              <w:left w:val="nil"/>
              <w:bottom w:val="single" w:sz="4" w:space="0" w:color="auto"/>
              <w:right w:val="nil"/>
            </w:tcBorders>
            <w:shd w:val="clear" w:color="000000" w:fill="E6F2FF"/>
            <w:noWrap/>
            <w:vAlign w:val="center"/>
            <w:hideMark/>
          </w:tcPr>
          <w:p w14:paraId="5CBF8CB7"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663,609</w:t>
            </w:r>
          </w:p>
        </w:tc>
        <w:tc>
          <w:tcPr>
            <w:tcW w:w="97" w:type="pct"/>
            <w:tcBorders>
              <w:top w:val="nil"/>
              <w:left w:val="nil"/>
              <w:bottom w:val="nil"/>
              <w:right w:val="nil"/>
            </w:tcBorders>
            <w:shd w:val="clear" w:color="000000" w:fill="FFFFFF"/>
            <w:noWrap/>
            <w:vAlign w:val="center"/>
            <w:hideMark/>
          </w:tcPr>
          <w:p w14:paraId="3B863667"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single" w:sz="4" w:space="0" w:color="auto"/>
              <w:right w:val="nil"/>
            </w:tcBorders>
            <w:shd w:val="clear" w:color="000000" w:fill="FFFFFF"/>
            <w:noWrap/>
            <w:vAlign w:val="center"/>
            <w:hideMark/>
          </w:tcPr>
          <w:p w14:paraId="26E1D2CE"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4,647</w:t>
            </w:r>
          </w:p>
        </w:tc>
        <w:tc>
          <w:tcPr>
            <w:tcW w:w="503" w:type="pct"/>
            <w:tcBorders>
              <w:top w:val="nil"/>
              <w:left w:val="nil"/>
              <w:bottom w:val="single" w:sz="4" w:space="0" w:color="auto"/>
              <w:right w:val="nil"/>
            </w:tcBorders>
            <w:shd w:val="clear" w:color="000000" w:fill="FFFFFF"/>
            <w:noWrap/>
            <w:vAlign w:val="center"/>
            <w:hideMark/>
          </w:tcPr>
          <w:p w14:paraId="4060E3F4" w14:textId="77777777" w:rsidR="00035F3B" w:rsidRPr="00205DD5" w:rsidRDefault="00035F3B" w:rsidP="00035F3B">
            <w:pPr>
              <w:spacing w:before="0" w:after="0" w:line="240" w:lineRule="auto"/>
              <w:jc w:val="right"/>
              <w:rPr>
                <w:rFonts w:ascii="Arial" w:hAnsi="Arial" w:cs="Arial"/>
                <w:b/>
                <w:sz w:val="16"/>
                <w:szCs w:val="16"/>
              </w:rPr>
            </w:pPr>
            <w:r w:rsidRPr="00205DD5">
              <w:rPr>
                <w:rFonts w:ascii="Arial" w:hAnsi="Arial" w:cs="Arial"/>
                <w:b/>
                <w:sz w:val="16"/>
                <w:szCs w:val="16"/>
              </w:rPr>
              <w:t>0.7</w:t>
            </w:r>
          </w:p>
        </w:tc>
      </w:tr>
      <w:tr w:rsidR="00035F3B" w:rsidRPr="00FF1D21" w14:paraId="21AF41FD" w14:textId="77777777" w:rsidTr="00035F3B">
        <w:trPr>
          <w:trHeight w:hRule="exact" w:val="60"/>
        </w:trPr>
        <w:tc>
          <w:tcPr>
            <w:tcW w:w="2627" w:type="pct"/>
            <w:tcBorders>
              <w:top w:val="nil"/>
              <w:left w:val="nil"/>
              <w:bottom w:val="nil"/>
              <w:right w:val="nil"/>
            </w:tcBorders>
            <w:shd w:val="clear" w:color="000000" w:fill="FFFFFF"/>
            <w:noWrap/>
            <w:vAlign w:val="center"/>
            <w:hideMark/>
          </w:tcPr>
          <w:p w14:paraId="4446C889"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608" w:type="pct"/>
            <w:tcBorders>
              <w:top w:val="nil"/>
              <w:left w:val="nil"/>
              <w:bottom w:val="nil"/>
              <w:right w:val="nil"/>
            </w:tcBorders>
            <w:shd w:val="clear" w:color="000000" w:fill="FFFFFF"/>
            <w:noWrap/>
            <w:vAlign w:val="center"/>
            <w:hideMark/>
          </w:tcPr>
          <w:p w14:paraId="6A87FDD8"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608" w:type="pct"/>
            <w:tcBorders>
              <w:top w:val="nil"/>
              <w:left w:val="nil"/>
              <w:bottom w:val="nil"/>
              <w:right w:val="nil"/>
            </w:tcBorders>
            <w:shd w:val="clear" w:color="000000" w:fill="E6F2FF"/>
            <w:noWrap/>
            <w:vAlign w:val="center"/>
            <w:hideMark/>
          </w:tcPr>
          <w:p w14:paraId="7E222BA5"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7FF15385"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681E1BD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661DD633"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 </w:t>
            </w:r>
          </w:p>
        </w:tc>
      </w:tr>
      <w:tr w:rsidR="00035F3B" w:rsidRPr="00FF1D21" w14:paraId="6B88CC59"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5B834A1F"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Sales of goods and services</w:t>
            </w:r>
          </w:p>
        </w:tc>
        <w:tc>
          <w:tcPr>
            <w:tcW w:w="608" w:type="pct"/>
            <w:tcBorders>
              <w:top w:val="nil"/>
              <w:left w:val="nil"/>
              <w:bottom w:val="nil"/>
              <w:right w:val="nil"/>
            </w:tcBorders>
            <w:shd w:val="clear" w:color="000000" w:fill="FFFFFF"/>
            <w:noWrap/>
            <w:vAlign w:val="center"/>
            <w:hideMark/>
          </w:tcPr>
          <w:p w14:paraId="56BF5E7A"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21,636</w:t>
            </w:r>
          </w:p>
        </w:tc>
        <w:tc>
          <w:tcPr>
            <w:tcW w:w="608" w:type="pct"/>
            <w:tcBorders>
              <w:top w:val="nil"/>
              <w:left w:val="nil"/>
              <w:bottom w:val="nil"/>
              <w:right w:val="nil"/>
            </w:tcBorders>
            <w:shd w:val="clear" w:color="000000" w:fill="E6F2FF"/>
            <w:noWrap/>
            <w:vAlign w:val="center"/>
            <w:hideMark/>
          </w:tcPr>
          <w:p w14:paraId="069858A6"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21,067</w:t>
            </w:r>
          </w:p>
        </w:tc>
        <w:tc>
          <w:tcPr>
            <w:tcW w:w="97" w:type="pct"/>
            <w:tcBorders>
              <w:top w:val="nil"/>
              <w:left w:val="nil"/>
              <w:bottom w:val="nil"/>
              <w:right w:val="nil"/>
            </w:tcBorders>
            <w:shd w:val="clear" w:color="000000" w:fill="FFFFFF"/>
            <w:noWrap/>
            <w:vAlign w:val="center"/>
            <w:hideMark/>
          </w:tcPr>
          <w:p w14:paraId="1D8D821E"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58C57A0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-568</w:t>
            </w:r>
          </w:p>
        </w:tc>
        <w:tc>
          <w:tcPr>
            <w:tcW w:w="503" w:type="pct"/>
            <w:tcBorders>
              <w:top w:val="nil"/>
              <w:left w:val="nil"/>
              <w:bottom w:val="nil"/>
              <w:right w:val="nil"/>
            </w:tcBorders>
            <w:shd w:val="clear" w:color="000000" w:fill="FFFFFF"/>
            <w:noWrap/>
            <w:vAlign w:val="center"/>
            <w:hideMark/>
          </w:tcPr>
          <w:p w14:paraId="2AE69903"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-2.6</w:t>
            </w:r>
          </w:p>
        </w:tc>
      </w:tr>
      <w:tr w:rsidR="00035F3B" w:rsidRPr="00FF1D21" w14:paraId="27FA4B89"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7A145E60"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Interest</w:t>
            </w:r>
          </w:p>
        </w:tc>
        <w:tc>
          <w:tcPr>
            <w:tcW w:w="608" w:type="pct"/>
            <w:tcBorders>
              <w:top w:val="nil"/>
              <w:left w:val="nil"/>
              <w:bottom w:val="nil"/>
              <w:right w:val="nil"/>
            </w:tcBorders>
            <w:shd w:val="clear" w:color="000000" w:fill="FFFFFF"/>
            <w:noWrap/>
            <w:vAlign w:val="center"/>
            <w:hideMark/>
          </w:tcPr>
          <w:p w14:paraId="7A758660"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10,276</w:t>
            </w:r>
          </w:p>
        </w:tc>
        <w:tc>
          <w:tcPr>
            <w:tcW w:w="608" w:type="pct"/>
            <w:tcBorders>
              <w:top w:val="nil"/>
              <w:left w:val="nil"/>
              <w:bottom w:val="nil"/>
              <w:right w:val="nil"/>
            </w:tcBorders>
            <w:shd w:val="clear" w:color="000000" w:fill="E6F2FF"/>
            <w:noWrap/>
            <w:vAlign w:val="center"/>
            <w:hideMark/>
          </w:tcPr>
          <w:p w14:paraId="09B11AAC"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11,046</w:t>
            </w:r>
          </w:p>
        </w:tc>
        <w:tc>
          <w:tcPr>
            <w:tcW w:w="97" w:type="pct"/>
            <w:tcBorders>
              <w:top w:val="nil"/>
              <w:left w:val="nil"/>
              <w:bottom w:val="nil"/>
              <w:right w:val="nil"/>
            </w:tcBorders>
            <w:shd w:val="clear" w:color="000000" w:fill="FFFFFF"/>
            <w:noWrap/>
            <w:vAlign w:val="center"/>
            <w:hideMark/>
          </w:tcPr>
          <w:p w14:paraId="6A58ED75"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nil"/>
              <w:right w:val="nil"/>
            </w:tcBorders>
            <w:shd w:val="clear" w:color="000000" w:fill="FFFFFF"/>
            <w:noWrap/>
            <w:vAlign w:val="center"/>
            <w:hideMark/>
          </w:tcPr>
          <w:p w14:paraId="709A8B7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770</w:t>
            </w:r>
          </w:p>
        </w:tc>
        <w:tc>
          <w:tcPr>
            <w:tcW w:w="503" w:type="pct"/>
            <w:tcBorders>
              <w:top w:val="nil"/>
              <w:left w:val="nil"/>
              <w:bottom w:val="nil"/>
              <w:right w:val="nil"/>
            </w:tcBorders>
            <w:shd w:val="clear" w:color="000000" w:fill="FFFFFF"/>
            <w:noWrap/>
            <w:vAlign w:val="center"/>
            <w:hideMark/>
          </w:tcPr>
          <w:p w14:paraId="73E4B4D5"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7.5</w:t>
            </w:r>
          </w:p>
        </w:tc>
      </w:tr>
      <w:tr w:rsidR="00035F3B" w:rsidRPr="00FF1D21" w14:paraId="09DAC9B8"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48309FDC"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Dividends and distributions</w:t>
            </w:r>
          </w:p>
        </w:tc>
        <w:tc>
          <w:tcPr>
            <w:tcW w:w="608" w:type="pct"/>
            <w:tcBorders>
              <w:top w:val="nil"/>
              <w:left w:val="nil"/>
              <w:bottom w:val="nil"/>
              <w:right w:val="nil"/>
            </w:tcBorders>
            <w:shd w:val="clear" w:color="000000" w:fill="FFFFFF"/>
            <w:noWrap/>
            <w:vAlign w:val="center"/>
            <w:hideMark/>
          </w:tcPr>
          <w:p w14:paraId="0C7193A4"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6,815</w:t>
            </w:r>
          </w:p>
        </w:tc>
        <w:tc>
          <w:tcPr>
            <w:tcW w:w="608" w:type="pct"/>
            <w:tcBorders>
              <w:top w:val="nil"/>
              <w:left w:val="nil"/>
              <w:bottom w:val="nil"/>
              <w:right w:val="nil"/>
            </w:tcBorders>
            <w:shd w:val="clear" w:color="000000" w:fill="E6F2FF"/>
            <w:noWrap/>
            <w:vAlign w:val="center"/>
            <w:hideMark/>
          </w:tcPr>
          <w:p w14:paraId="7C39B073"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7,137</w:t>
            </w:r>
          </w:p>
        </w:tc>
        <w:tc>
          <w:tcPr>
            <w:tcW w:w="97" w:type="pct"/>
            <w:tcBorders>
              <w:top w:val="nil"/>
              <w:left w:val="nil"/>
              <w:bottom w:val="nil"/>
              <w:right w:val="nil"/>
            </w:tcBorders>
            <w:shd w:val="clear" w:color="000000" w:fill="FFFFFF"/>
            <w:noWrap/>
            <w:vAlign w:val="center"/>
            <w:hideMark/>
          </w:tcPr>
          <w:p w14:paraId="4C331C9E"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nil"/>
              <w:right w:val="nil"/>
            </w:tcBorders>
            <w:shd w:val="clear" w:color="000000" w:fill="FFFFFF"/>
            <w:noWrap/>
            <w:vAlign w:val="center"/>
            <w:hideMark/>
          </w:tcPr>
          <w:p w14:paraId="5FDDC884"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322</w:t>
            </w:r>
          </w:p>
        </w:tc>
        <w:tc>
          <w:tcPr>
            <w:tcW w:w="503" w:type="pct"/>
            <w:tcBorders>
              <w:top w:val="nil"/>
              <w:left w:val="nil"/>
              <w:bottom w:val="nil"/>
              <w:right w:val="nil"/>
            </w:tcBorders>
            <w:shd w:val="clear" w:color="000000" w:fill="FFFFFF"/>
            <w:noWrap/>
            <w:vAlign w:val="center"/>
            <w:hideMark/>
          </w:tcPr>
          <w:p w14:paraId="5A62581A"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4.7</w:t>
            </w:r>
          </w:p>
        </w:tc>
      </w:tr>
      <w:tr w:rsidR="00035F3B" w:rsidRPr="00FF1D21" w14:paraId="1E00E87B"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29795D61" w14:textId="77777777" w:rsidR="00035F3B" w:rsidRPr="00FF1D21" w:rsidRDefault="00035F3B" w:rsidP="00035F3B">
            <w:pPr>
              <w:spacing w:before="0" w:after="0" w:line="240" w:lineRule="auto"/>
              <w:rPr>
                <w:rFonts w:ascii="Arial" w:hAnsi="Arial" w:cs="Arial"/>
                <w:color w:val="00FFFF"/>
                <w:sz w:val="16"/>
                <w:szCs w:val="16"/>
                <w:highlight w:val="darkCyan"/>
              </w:rPr>
            </w:pPr>
            <w:r w:rsidRPr="00205DD5">
              <w:rPr>
                <w:rFonts w:ascii="Arial" w:hAnsi="Arial" w:cs="Arial"/>
                <w:sz w:val="16"/>
                <w:szCs w:val="16"/>
              </w:rPr>
              <w:t>Other non-taxation revenue</w:t>
            </w:r>
          </w:p>
        </w:tc>
        <w:tc>
          <w:tcPr>
            <w:tcW w:w="608" w:type="pct"/>
            <w:tcBorders>
              <w:top w:val="nil"/>
              <w:left w:val="nil"/>
              <w:bottom w:val="single" w:sz="4" w:space="0" w:color="auto"/>
              <w:right w:val="nil"/>
            </w:tcBorders>
            <w:shd w:val="clear" w:color="000000" w:fill="FFFFFF"/>
            <w:noWrap/>
            <w:vAlign w:val="center"/>
            <w:hideMark/>
          </w:tcPr>
          <w:p w14:paraId="30001B4B"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13,815</w:t>
            </w:r>
          </w:p>
        </w:tc>
        <w:tc>
          <w:tcPr>
            <w:tcW w:w="608" w:type="pct"/>
            <w:tcBorders>
              <w:top w:val="nil"/>
              <w:left w:val="nil"/>
              <w:bottom w:val="single" w:sz="4" w:space="0" w:color="auto"/>
              <w:right w:val="nil"/>
            </w:tcBorders>
            <w:shd w:val="clear" w:color="000000" w:fill="E6F2FF"/>
            <w:noWrap/>
            <w:vAlign w:val="center"/>
            <w:hideMark/>
          </w:tcPr>
          <w:p w14:paraId="0F23E9E9"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15,394</w:t>
            </w:r>
          </w:p>
        </w:tc>
        <w:tc>
          <w:tcPr>
            <w:tcW w:w="97" w:type="pct"/>
            <w:tcBorders>
              <w:top w:val="nil"/>
              <w:left w:val="nil"/>
              <w:bottom w:val="nil"/>
              <w:right w:val="nil"/>
            </w:tcBorders>
            <w:shd w:val="clear" w:color="000000" w:fill="FFFFFF"/>
            <w:noWrap/>
            <w:vAlign w:val="center"/>
            <w:hideMark/>
          </w:tcPr>
          <w:p w14:paraId="6FD14511"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56" w:type="pct"/>
            <w:tcBorders>
              <w:top w:val="nil"/>
              <w:left w:val="nil"/>
              <w:bottom w:val="single" w:sz="4" w:space="0" w:color="auto"/>
              <w:right w:val="nil"/>
            </w:tcBorders>
            <w:shd w:val="clear" w:color="000000" w:fill="FFFFFF"/>
            <w:noWrap/>
            <w:vAlign w:val="center"/>
            <w:hideMark/>
          </w:tcPr>
          <w:p w14:paraId="4A538A92" w14:textId="77777777" w:rsidR="00035F3B" w:rsidRPr="00FF1D21" w:rsidRDefault="00035F3B" w:rsidP="00035F3B">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1,578</w:t>
            </w:r>
          </w:p>
        </w:tc>
        <w:tc>
          <w:tcPr>
            <w:tcW w:w="503" w:type="pct"/>
            <w:tcBorders>
              <w:top w:val="nil"/>
              <w:left w:val="nil"/>
              <w:bottom w:val="single" w:sz="4" w:space="0" w:color="auto"/>
              <w:right w:val="nil"/>
            </w:tcBorders>
            <w:shd w:val="clear" w:color="000000" w:fill="FFFFFF"/>
            <w:noWrap/>
            <w:vAlign w:val="center"/>
            <w:hideMark/>
          </w:tcPr>
          <w:p w14:paraId="01F7E460" w14:textId="77777777" w:rsidR="00035F3B" w:rsidRPr="00205DD5" w:rsidRDefault="00035F3B" w:rsidP="00035F3B">
            <w:pPr>
              <w:spacing w:before="0" w:after="0" w:line="240" w:lineRule="auto"/>
              <w:jc w:val="right"/>
              <w:rPr>
                <w:rFonts w:ascii="Arial" w:hAnsi="Arial" w:cs="Arial"/>
                <w:sz w:val="16"/>
                <w:szCs w:val="16"/>
              </w:rPr>
            </w:pPr>
            <w:r w:rsidRPr="00205DD5">
              <w:rPr>
                <w:rFonts w:ascii="Arial" w:hAnsi="Arial" w:cs="Arial"/>
                <w:sz w:val="16"/>
                <w:szCs w:val="16"/>
              </w:rPr>
              <w:t>11.4</w:t>
            </w:r>
          </w:p>
        </w:tc>
      </w:tr>
      <w:tr w:rsidR="00035F3B" w:rsidRPr="00FF1D21" w14:paraId="2D6F85FD"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23E3739B"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Non-taxation revenue</w:t>
            </w:r>
          </w:p>
        </w:tc>
        <w:tc>
          <w:tcPr>
            <w:tcW w:w="608" w:type="pct"/>
            <w:tcBorders>
              <w:top w:val="single" w:sz="4" w:space="0" w:color="auto"/>
              <w:left w:val="nil"/>
              <w:bottom w:val="single" w:sz="4" w:space="0" w:color="auto"/>
              <w:right w:val="nil"/>
            </w:tcBorders>
            <w:shd w:val="clear" w:color="000000" w:fill="FFFFFF"/>
            <w:noWrap/>
            <w:vAlign w:val="center"/>
            <w:hideMark/>
          </w:tcPr>
          <w:p w14:paraId="67D6BF46"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52,542</w:t>
            </w:r>
          </w:p>
        </w:tc>
        <w:tc>
          <w:tcPr>
            <w:tcW w:w="608" w:type="pct"/>
            <w:tcBorders>
              <w:top w:val="single" w:sz="4" w:space="0" w:color="auto"/>
              <w:left w:val="nil"/>
              <w:bottom w:val="single" w:sz="4" w:space="0" w:color="auto"/>
              <w:right w:val="nil"/>
            </w:tcBorders>
            <w:shd w:val="clear" w:color="000000" w:fill="E6F2FF"/>
            <w:noWrap/>
            <w:vAlign w:val="center"/>
            <w:hideMark/>
          </w:tcPr>
          <w:p w14:paraId="3474C296"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54,644</w:t>
            </w:r>
          </w:p>
        </w:tc>
        <w:tc>
          <w:tcPr>
            <w:tcW w:w="97" w:type="pct"/>
            <w:tcBorders>
              <w:top w:val="nil"/>
              <w:left w:val="nil"/>
              <w:bottom w:val="nil"/>
              <w:right w:val="nil"/>
            </w:tcBorders>
            <w:shd w:val="clear" w:color="000000" w:fill="FFFFFF"/>
            <w:noWrap/>
            <w:vAlign w:val="center"/>
            <w:hideMark/>
          </w:tcPr>
          <w:p w14:paraId="7E59CC61"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single" w:sz="4" w:space="0" w:color="auto"/>
              <w:left w:val="nil"/>
              <w:bottom w:val="single" w:sz="4" w:space="0" w:color="auto"/>
              <w:right w:val="nil"/>
            </w:tcBorders>
            <w:shd w:val="clear" w:color="000000" w:fill="FFFFFF"/>
            <w:noWrap/>
            <w:vAlign w:val="center"/>
            <w:hideMark/>
          </w:tcPr>
          <w:p w14:paraId="5602A7EA"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2,102</w:t>
            </w:r>
          </w:p>
        </w:tc>
        <w:tc>
          <w:tcPr>
            <w:tcW w:w="503" w:type="pct"/>
            <w:tcBorders>
              <w:top w:val="single" w:sz="4" w:space="0" w:color="auto"/>
              <w:left w:val="nil"/>
              <w:bottom w:val="single" w:sz="4" w:space="0" w:color="auto"/>
              <w:right w:val="nil"/>
            </w:tcBorders>
            <w:shd w:val="clear" w:color="000000" w:fill="FFFFFF"/>
            <w:noWrap/>
            <w:vAlign w:val="center"/>
            <w:hideMark/>
          </w:tcPr>
          <w:p w14:paraId="3EF08D75" w14:textId="77777777" w:rsidR="00035F3B" w:rsidRPr="00205DD5" w:rsidRDefault="00035F3B" w:rsidP="00035F3B">
            <w:pPr>
              <w:spacing w:before="0" w:after="0" w:line="240" w:lineRule="auto"/>
              <w:jc w:val="right"/>
              <w:rPr>
                <w:rFonts w:ascii="Arial" w:hAnsi="Arial" w:cs="Arial"/>
                <w:b/>
                <w:sz w:val="16"/>
                <w:szCs w:val="16"/>
              </w:rPr>
            </w:pPr>
            <w:r w:rsidRPr="00205DD5">
              <w:rPr>
                <w:rFonts w:ascii="Arial" w:hAnsi="Arial" w:cs="Arial"/>
                <w:b/>
                <w:sz w:val="16"/>
                <w:szCs w:val="16"/>
              </w:rPr>
              <w:t>4.0</w:t>
            </w:r>
          </w:p>
        </w:tc>
      </w:tr>
      <w:tr w:rsidR="00035F3B" w:rsidRPr="00FF1D21" w14:paraId="3894908A" w14:textId="77777777" w:rsidTr="00035F3B">
        <w:trPr>
          <w:trHeight w:hRule="exact" w:val="226"/>
        </w:trPr>
        <w:tc>
          <w:tcPr>
            <w:tcW w:w="2627" w:type="pct"/>
            <w:tcBorders>
              <w:top w:val="nil"/>
              <w:left w:val="nil"/>
              <w:bottom w:val="single" w:sz="4" w:space="0" w:color="auto"/>
              <w:right w:val="nil"/>
            </w:tcBorders>
            <w:shd w:val="clear" w:color="000000" w:fill="FFFFFF"/>
            <w:noWrap/>
            <w:vAlign w:val="center"/>
            <w:hideMark/>
          </w:tcPr>
          <w:p w14:paraId="2A741580" w14:textId="77777777" w:rsidR="00035F3B" w:rsidRPr="00FF1D21" w:rsidRDefault="00035F3B" w:rsidP="00035F3B">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Total revenue</w:t>
            </w:r>
          </w:p>
        </w:tc>
        <w:tc>
          <w:tcPr>
            <w:tcW w:w="608" w:type="pct"/>
            <w:tcBorders>
              <w:top w:val="nil"/>
              <w:left w:val="nil"/>
              <w:bottom w:val="single" w:sz="4" w:space="0" w:color="auto"/>
              <w:right w:val="nil"/>
            </w:tcBorders>
            <w:shd w:val="clear" w:color="000000" w:fill="FFFFFF"/>
            <w:noWrap/>
            <w:vAlign w:val="center"/>
            <w:hideMark/>
          </w:tcPr>
          <w:p w14:paraId="42699A21"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711,505</w:t>
            </w:r>
          </w:p>
        </w:tc>
        <w:tc>
          <w:tcPr>
            <w:tcW w:w="608" w:type="pct"/>
            <w:tcBorders>
              <w:top w:val="nil"/>
              <w:left w:val="nil"/>
              <w:bottom w:val="single" w:sz="4" w:space="0" w:color="auto"/>
              <w:right w:val="nil"/>
            </w:tcBorders>
            <w:shd w:val="clear" w:color="000000" w:fill="E6F2FF"/>
            <w:noWrap/>
            <w:vAlign w:val="center"/>
            <w:hideMark/>
          </w:tcPr>
          <w:p w14:paraId="684ABA87"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718,253</w:t>
            </w:r>
          </w:p>
        </w:tc>
        <w:tc>
          <w:tcPr>
            <w:tcW w:w="97" w:type="pct"/>
            <w:tcBorders>
              <w:top w:val="nil"/>
              <w:left w:val="nil"/>
              <w:bottom w:val="single" w:sz="4" w:space="0" w:color="auto"/>
              <w:right w:val="nil"/>
            </w:tcBorders>
            <w:shd w:val="clear" w:color="000000" w:fill="FFFFFF"/>
            <w:noWrap/>
            <w:vAlign w:val="center"/>
            <w:hideMark/>
          </w:tcPr>
          <w:p w14:paraId="15E2C561"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56" w:type="pct"/>
            <w:tcBorders>
              <w:top w:val="nil"/>
              <w:left w:val="nil"/>
              <w:bottom w:val="single" w:sz="4" w:space="0" w:color="auto"/>
              <w:right w:val="nil"/>
            </w:tcBorders>
            <w:shd w:val="clear" w:color="000000" w:fill="FFFFFF"/>
            <w:noWrap/>
            <w:vAlign w:val="center"/>
            <w:hideMark/>
          </w:tcPr>
          <w:p w14:paraId="37BAE923" w14:textId="77777777" w:rsidR="00035F3B" w:rsidRPr="00FF1D21" w:rsidRDefault="00035F3B" w:rsidP="00035F3B">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6,749</w:t>
            </w:r>
          </w:p>
        </w:tc>
        <w:tc>
          <w:tcPr>
            <w:tcW w:w="503" w:type="pct"/>
            <w:tcBorders>
              <w:top w:val="nil"/>
              <w:left w:val="nil"/>
              <w:bottom w:val="single" w:sz="4" w:space="0" w:color="auto"/>
              <w:right w:val="nil"/>
            </w:tcBorders>
            <w:shd w:val="clear" w:color="000000" w:fill="FFFFFF"/>
            <w:noWrap/>
            <w:vAlign w:val="center"/>
            <w:hideMark/>
          </w:tcPr>
          <w:p w14:paraId="188EC7D2" w14:textId="77777777" w:rsidR="00035F3B" w:rsidRPr="00205DD5" w:rsidRDefault="00035F3B" w:rsidP="00035F3B">
            <w:pPr>
              <w:spacing w:before="0" w:after="0" w:line="240" w:lineRule="auto"/>
              <w:jc w:val="right"/>
              <w:rPr>
                <w:rFonts w:ascii="Arial" w:hAnsi="Arial" w:cs="Arial"/>
                <w:b/>
                <w:sz w:val="16"/>
                <w:szCs w:val="16"/>
              </w:rPr>
            </w:pPr>
            <w:r w:rsidRPr="00205DD5">
              <w:rPr>
                <w:rFonts w:ascii="Arial" w:hAnsi="Arial" w:cs="Arial"/>
                <w:b/>
                <w:sz w:val="16"/>
                <w:szCs w:val="16"/>
              </w:rPr>
              <w:t>0.9</w:t>
            </w:r>
          </w:p>
        </w:tc>
      </w:tr>
      <w:tr w:rsidR="00035F3B" w:rsidRPr="00FF1D21" w14:paraId="601B2EEC"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3679E263" w14:textId="77777777" w:rsidR="00035F3B" w:rsidRPr="00FF1D21" w:rsidRDefault="00035F3B" w:rsidP="00035F3B">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Memorandum:</w:t>
            </w:r>
          </w:p>
        </w:tc>
        <w:tc>
          <w:tcPr>
            <w:tcW w:w="608" w:type="pct"/>
            <w:tcBorders>
              <w:top w:val="nil"/>
              <w:left w:val="nil"/>
              <w:bottom w:val="nil"/>
              <w:right w:val="nil"/>
            </w:tcBorders>
            <w:shd w:val="clear" w:color="000000" w:fill="FFFFFF"/>
            <w:noWrap/>
            <w:vAlign w:val="center"/>
            <w:hideMark/>
          </w:tcPr>
          <w:p w14:paraId="7CEECB26"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608" w:type="pct"/>
            <w:tcBorders>
              <w:top w:val="nil"/>
              <w:left w:val="nil"/>
              <w:bottom w:val="nil"/>
              <w:right w:val="nil"/>
            </w:tcBorders>
            <w:shd w:val="clear" w:color="000000" w:fill="E6F2FF"/>
            <w:noWrap/>
            <w:vAlign w:val="center"/>
            <w:hideMark/>
          </w:tcPr>
          <w:p w14:paraId="6FF4732D"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97" w:type="pct"/>
            <w:tcBorders>
              <w:top w:val="nil"/>
              <w:left w:val="nil"/>
              <w:bottom w:val="nil"/>
              <w:right w:val="nil"/>
            </w:tcBorders>
            <w:shd w:val="clear" w:color="000000" w:fill="FFFFFF"/>
            <w:noWrap/>
            <w:vAlign w:val="center"/>
            <w:hideMark/>
          </w:tcPr>
          <w:p w14:paraId="0FF387A7"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56" w:type="pct"/>
            <w:tcBorders>
              <w:top w:val="nil"/>
              <w:left w:val="nil"/>
              <w:bottom w:val="nil"/>
              <w:right w:val="nil"/>
            </w:tcBorders>
            <w:shd w:val="clear" w:color="000000" w:fill="FFFFFF"/>
            <w:noWrap/>
            <w:vAlign w:val="center"/>
            <w:hideMark/>
          </w:tcPr>
          <w:p w14:paraId="0CA7C05A"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03" w:type="pct"/>
            <w:tcBorders>
              <w:top w:val="nil"/>
              <w:left w:val="nil"/>
              <w:bottom w:val="nil"/>
              <w:right w:val="nil"/>
            </w:tcBorders>
            <w:shd w:val="clear" w:color="000000" w:fill="FFFFFF"/>
            <w:noWrap/>
            <w:vAlign w:val="center"/>
            <w:hideMark/>
          </w:tcPr>
          <w:p w14:paraId="1A8AF665" w14:textId="77777777" w:rsidR="00035F3B" w:rsidRPr="00205DD5" w:rsidRDefault="00035F3B" w:rsidP="00035F3B">
            <w:pPr>
              <w:spacing w:before="0" w:after="0" w:line="240" w:lineRule="auto"/>
              <w:jc w:val="right"/>
              <w:rPr>
                <w:rFonts w:ascii="Arial" w:hAnsi="Arial" w:cs="Arial"/>
                <w:i/>
                <w:sz w:val="16"/>
                <w:szCs w:val="16"/>
              </w:rPr>
            </w:pPr>
            <w:r w:rsidRPr="00205DD5">
              <w:rPr>
                <w:rFonts w:ascii="Arial" w:hAnsi="Arial" w:cs="Arial"/>
                <w:i/>
                <w:sz w:val="16"/>
                <w:szCs w:val="16"/>
              </w:rPr>
              <w:t> </w:t>
            </w:r>
          </w:p>
        </w:tc>
      </w:tr>
      <w:tr w:rsidR="00035F3B" w:rsidRPr="00FF1D21" w14:paraId="1A1411B9"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0DE3F059" w14:textId="77777777" w:rsidR="00035F3B" w:rsidRPr="00FF1D21" w:rsidRDefault="00035F3B" w:rsidP="00035F3B">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Total excise</w:t>
            </w:r>
          </w:p>
        </w:tc>
        <w:tc>
          <w:tcPr>
            <w:tcW w:w="608" w:type="pct"/>
            <w:tcBorders>
              <w:top w:val="nil"/>
              <w:left w:val="nil"/>
              <w:bottom w:val="nil"/>
              <w:right w:val="nil"/>
            </w:tcBorders>
            <w:shd w:val="clear" w:color="000000" w:fill="FFFFFF"/>
            <w:noWrap/>
            <w:vAlign w:val="center"/>
            <w:hideMark/>
          </w:tcPr>
          <w:p w14:paraId="7C884D49"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31,250</w:t>
            </w:r>
          </w:p>
        </w:tc>
        <w:tc>
          <w:tcPr>
            <w:tcW w:w="608" w:type="pct"/>
            <w:tcBorders>
              <w:top w:val="nil"/>
              <w:left w:val="nil"/>
              <w:bottom w:val="nil"/>
              <w:right w:val="nil"/>
            </w:tcBorders>
            <w:shd w:val="clear" w:color="000000" w:fill="E6F2FF"/>
            <w:noWrap/>
            <w:vAlign w:val="center"/>
            <w:hideMark/>
          </w:tcPr>
          <w:p w14:paraId="1409EA40"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30,970</w:t>
            </w:r>
          </w:p>
        </w:tc>
        <w:tc>
          <w:tcPr>
            <w:tcW w:w="97" w:type="pct"/>
            <w:tcBorders>
              <w:top w:val="nil"/>
              <w:left w:val="nil"/>
              <w:bottom w:val="nil"/>
              <w:right w:val="nil"/>
            </w:tcBorders>
            <w:shd w:val="clear" w:color="000000" w:fill="FFFFFF"/>
            <w:noWrap/>
            <w:vAlign w:val="center"/>
            <w:hideMark/>
          </w:tcPr>
          <w:p w14:paraId="5B6C4F1F"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56" w:type="pct"/>
            <w:tcBorders>
              <w:top w:val="nil"/>
              <w:left w:val="nil"/>
              <w:bottom w:val="nil"/>
              <w:right w:val="nil"/>
            </w:tcBorders>
            <w:shd w:val="clear" w:color="000000" w:fill="FFFFFF"/>
            <w:noWrap/>
            <w:vAlign w:val="center"/>
            <w:hideMark/>
          </w:tcPr>
          <w:p w14:paraId="6524491A"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-280</w:t>
            </w:r>
          </w:p>
        </w:tc>
        <w:tc>
          <w:tcPr>
            <w:tcW w:w="503" w:type="pct"/>
            <w:tcBorders>
              <w:top w:val="nil"/>
              <w:left w:val="nil"/>
              <w:bottom w:val="nil"/>
              <w:right w:val="nil"/>
            </w:tcBorders>
            <w:shd w:val="clear" w:color="000000" w:fill="FFFFFF"/>
            <w:noWrap/>
            <w:vAlign w:val="center"/>
            <w:hideMark/>
          </w:tcPr>
          <w:p w14:paraId="3C15596A" w14:textId="77777777" w:rsidR="00035F3B" w:rsidRPr="00205DD5" w:rsidRDefault="00035F3B" w:rsidP="00035F3B">
            <w:pPr>
              <w:spacing w:before="0" w:after="0" w:line="240" w:lineRule="auto"/>
              <w:jc w:val="right"/>
              <w:rPr>
                <w:rFonts w:ascii="Arial" w:hAnsi="Arial" w:cs="Arial"/>
                <w:i/>
                <w:sz w:val="16"/>
                <w:szCs w:val="16"/>
              </w:rPr>
            </w:pPr>
            <w:r w:rsidRPr="00205DD5">
              <w:rPr>
                <w:rFonts w:ascii="Arial" w:hAnsi="Arial" w:cs="Arial"/>
                <w:i/>
                <w:sz w:val="16"/>
                <w:szCs w:val="16"/>
              </w:rPr>
              <w:t>-0.9</w:t>
            </w:r>
          </w:p>
        </w:tc>
      </w:tr>
      <w:tr w:rsidR="00035F3B" w:rsidRPr="00FF1D21" w14:paraId="170AC187" w14:textId="77777777" w:rsidTr="00035F3B">
        <w:trPr>
          <w:trHeight w:hRule="exact" w:val="226"/>
        </w:trPr>
        <w:tc>
          <w:tcPr>
            <w:tcW w:w="2627" w:type="pct"/>
            <w:tcBorders>
              <w:top w:val="nil"/>
              <w:left w:val="nil"/>
              <w:bottom w:val="nil"/>
              <w:right w:val="nil"/>
            </w:tcBorders>
            <w:shd w:val="clear" w:color="000000" w:fill="FFFFFF"/>
            <w:noWrap/>
            <w:vAlign w:val="center"/>
            <w:hideMark/>
          </w:tcPr>
          <w:p w14:paraId="0EF8B45C" w14:textId="77777777" w:rsidR="00035F3B" w:rsidRPr="00FF1D21" w:rsidRDefault="00035F3B" w:rsidP="00035F3B">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Total customs duty</w:t>
            </w:r>
          </w:p>
        </w:tc>
        <w:tc>
          <w:tcPr>
            <w:tcW w:w="608" w:type="pct"/>
            <w:tcBorders>
              <w:top w:val="nil"/>
              <w:left w:val="nil"/>
              <w:bottom w:val="nil"/>
              <w:right w:val="nil"/>
            </w:tcBorders>
            <w:shd w:val="clear" w:color="000000" w:fill="FFFFFF"/>
            <w:noWrap/>
            <w:vAlign w:val="center"/>
            <w:hideMark/>
          </w:tcPr>
          <w:p w14:paraId="762BF234"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16,030</w:t>
            </w:r>
          </w:p>
        </w:tc>
        <w:tc>
          <w:tcPr>
            <w:tcW w:w="608" w:type="pct"/>
            <w:tcBorders>
              <w:top w:val="nil"/>
              <w:left w:val="nil"/>
              <w:bottom w:val="nil"/>
              <w:right w:val="nil"/>
            </w:tcBorders>
            <w:shd w:val="clear" w:color="000000" w:fill="E6F2FF"/>
            <w:noWrap/>
            <w:vAlign w:val="center"/>
            <w:hideMark/>
          </w:tcPr>
          <w:p w14:paraId="0EF7AB5B"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12,980</w:t>
            </w:r>
          </w:p>
        </w:tc>
        <w:tc>
          <w:tcPr>
            <w:tcW w:w="97" w:type="pct"/>
            <w:tcBorders>
              <w:top w:val="nil"/>
              <w:left w:val="nil"/>
              <w:bottom w:val="nil"/>
              <w:right w:val="nil"/>
            </w:tcBorders>
            <w:shd w:val="clear" w:color="000000" w:fill="FFFFFF"/>
            <w:noWrap/>
            <w:vAlign w:val="center"/>
            <w:hideMark/>
          </w:tcPr>
          <w:p w14:paraId="4E757C47"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56" w:type="pct"/>
            <w:tcBorders>
              <w:top w:val="nil"/>
              <w:left w:val="nil"/>
              <w:bottom w:val="nil"/>
              <w:right w:val="nil"/>
            </w:tcBorders>
            <w:shd w:val="clear" w:color="000000" w:fill="FFFFFF"/>
            <w:noWrap/>
            <w:vAlign w:val="center"/>
            <w:hideMark/>
          </w:tcPr>
          <w:p w14:paraId="0C2D8ECE"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-3,050</w:t>
            </w:r>
          </w:p>
        </w:tc>
        <w:tc>
          <w:tcPr>
            <w:tcW w:w="503" w:type="pct"/>
            <w:tcBorders>
              <w:top w:val="nil"/>
              <w:left w:val="nil"/>
              <w:bottom w:val="nil"/>
              <w:right w:val="nil"/>
            </w:tcBorders>
            <w:shd w:val="clear" w:color="000000" w:fill="FFFFFF"/>
            <w:noWrap/>
            <w:vAlign w:val="center"/>
            <w:hideMark/>
          </w:tcPr>
          <w:p w14:paraId="4ACC3499" w14:textId="77777777" w:rsidR="00035F3B" w:rsidRPr="00205DD5" w:rsidRDefault="00035F3B" w:rsidP="00035F3B">
            <w:pPr>
              <w:spacing w:before="0" w:after="0" w:line="240" w:lineRule="auto"/>
              <w:jc w:val="right"/>
              <w:rPr>
                <w:rFonts w:ascii="Arial" w:hAnsi="Arial" w:cs="Arial"/>
                <w:i/>
                <w:sz w:val="16"/>
                <w:szCs w:val="16"/>
              </w:rPr>
            </w:pPr>
            <w:r w:rsidRPr="00205DD5">
              <w:rPr>
                <w:rFonts w:ascii="Arial" w:hAnsi="Arial" w:cs="Arial"/>
                <w:i/>
                <w:sz w:val="16"/>
                <w:szCs w:val="16"/>
              </w:rPr>
              <w:t>-19.0</w:t>
            </w:r>
          </w:p>
        </w:tc>
      </w:tr>
      <w:tr w:rsidR="00035F3B" w:rsidRPr="00FF1D21" w14:paraId="09C6D596" w14:textId="77777777" w:rsidTr="00035F3B">
        <w:trPr>
          <w:trHeight w:hRule="exact" w:val="226"/>
        </w:trPr>
        <w:tc>
          <w:tcPr>
            <w:tcW w:w="2627" w:type="pct"/>
            <w:tcBorders>
              <w:top w:val="nil"/>
              <w:left w:val="nil"/>
              <w:bottom w:val="single" w:sz="4" w:space="0" w:color="293F5B"/>
              <w:right w:val="nil"/>
            </w:tcBorders>
            <w:shd w:val="clear" w:color="000000" w:fill="FFFFFF"/>
            <w:noWrap/>
            <w:vAlign w:val="center"/>
            <w:hideMark/>
          </w:tcPr>
          <w:p w14:paraId="12AF19C2" w14:textId="77777777" w:rsidR="00035F3B" w:rsidRPr="00FF1D21" w:rsidRDefault="00035F3B" w:rsidP="00035F3B">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Capital gains tax(b)</w:t>
            </w:r>
          </w:p>
        </w:tc>
        <w:tc>
          <w:tcPr>
            <w:tcW w:w="608" w:type="pct"/>
            <w:tcBorders>
              <w:top w:val="nil"/>
              <w:left w:val="nil"/>
              <w:bottom w:val="single" w:sz="4" w:space="0" w:color="293F5B"/>
              <w:right w:val="nil"/>
            </w:tcBorders>
            <w:shd w:val="clear" w:color="000000" w:fill="FFFFFF"/>
            <w:noWrap/>
            <w:vAlign w:val="center"/>
            <w:hideMark/>
          </w:tcPr>
          <w:p w14:paraId="627BE66A"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23,600</w:t>
            </w:r>
          </w:p>
        </w:tc>
        <w:tc>
          <w:tcPr>
            <w:tcW w:w="608" w:type="pct"/>
            <w:tcBorders>
              <w:top w:val="nil"/>
              <w:left w:val="nil"/>
              <w:bottom w:val="single" w:sz="4" w:space="0" w:color="293F5B"/>
              <w:right w:val="nil"/>
            </w:tcBorders>
            <w:shd w:val="clear" w:color="000000" w:fill="E6F2FF"/>
            <w:noWrap/>
            <w:vAlign w:val="center"/>
            <w:hideMark/>
          </w:tcPr>
          <w:p w14:paraId="46436087"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29,900</w:t>
            </w:r>
          </w:p>
        </w:tc>
        <w:tc>
          <w:tcPr>
            <w:tcW w:w="97" w:type="pct"/>
            <w:tcBorders>
              <w:top w:val="nil"/>
              <w:left w:val="nil"/>
              <w:bottom w:val="single" w:sz="4" w:space="0" w:color="293F5B"/>
              <w:right w:val="nil"/>
            </w:tcBorders>
            <w:shd w:val="clear" w:color="000000" w:fill="FFFFFF"/>
            <w:noWrap/>
            <w:vAlign w:val="center"/>
            <w:hideMark/>
          </w:tcPr>
          <w:p w14:paraId="21DAE3BA"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 </w:t>
            </w:r>
          </w:p>
        </w:tc>
        <w:tc>
          <w:tcPr>
            <w:tcW w:w="556" w:type="pct"/>
            <w:tcBorders>
              <w:top w:val="nil"/>
              <w:left w:val="nil"/>
              <w:bottom w:val="single" w:sz="4" w:space="0" w:color="293F5B"/>
              <w:right w:val="nil"/>
            </w:tcBorders>
            <w:shd w:val="clear" w:color="000000" w:fill="FFFFFF"/>
            <w:noWrap/>
            <w:vAlign w:val="center"/>
            <w:hideMark/>
          </w:tcPr>
          <w:p w14:paraId="655F1163" w14:textId="77777777" w:rsidR="00035F3B" w:rsidRPr="00FF1D21" w:rsidRDefault="00035F3B" w:rsidP="00035F3B">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6,300</w:t>
            </w:r>
          </w:p>
        </w:tc>
        <w:tc>
          <w:tcPr>
            <w:tcW w:w="503" w:type="pct"/>
            <w:tcBorders>
              <w:top w:val="nil"/>
              <w:left w:val="nil"/>
              <w:bottom w:val="single" w:sz="4" w:space="0" w:color="293F5B"/>
              <w:right w:val="nil"/>
            </w:tcBorders>
            <w:shd w:val="clear" w:color="000000" w:fill="FFFFFF"/>
            <w:noWrap/>
            <w:vAlign w:val="center"/>
            <w:hideMark/>
          </w:tcPr>
          <w:p w14:paraId="0B2AF35C" w14:textId="77777777" w:rsidR="00035F3B" w:rsidRPr="00205DD5" w:rsidRDefault="00035F3B" w:rsidP="00035F3B">
            <w:pPr>
              <w:spacing w:before="0" w:after="0" w:line="240" w:lineRule="auto"/>
              <w:jc w:val="right"/>
              <w:rPr>
                <w:rFonts w:ascii="Arial" w:hAnsi="Arial" w:cs="Arial"/>
                <w:i/>
                <w:sz w:val="16"/>
                <w:szCs w:val="16"/>
              </w:rPr>
            </w:pPr>
            <w:r w:rsidRPr="00205DD5">
              <w:rPr>
                <w:rFonts w:ascii="Arial" w:hAnsi="Arial" w:cs="Arial"/>
                <w:i/>
                <w:sz w:val="16"/>
                <w:szCs w:val="16"/>
              </w:rPr>
              <w:t>26.7</w:t>
            </w:r>
          </w:p>
        </w:tc>
      </w:tr>
    </w:tbl>
    <w:p w14:paraId="487CA31C" w14:textId="3D499DB1" w:rsidR="00AB7209" w:rsidRPr="00AC168A" w:rsidRDefault="00D63C70" w:rsidP="00AC168A">
      <w:pPr>
        <w:pStyle w:val="ChartandTableFootnoteAlpha"/>
        <w:numPr>
          <w:ilvl w:val="0"/>
          <w:numId w:val="34"/>
        </w:numPr>
        <w:rPr>
          <w:rFonts w:eastAsiaTheme="minorHAnsi"/>
          <w:color w:val="auto"/>
        </w:rPr>
      </w:pPr>
      <w:r w:rsidRPr="00AC168A">
        <w:rPr>
          <w:rFonts w:eastAsiaTheme="minorHAnsi"/>
          <w:color w:val="auto"/>
        </w:rPr>
        <w:t>‘</w:t>
      </w:r>
      <w:r w:rsidR="00B12599" w:rsidRPr="00AC168A">
        <w:rPr>
          <w:rFonts w:eastAsiaTheme="minorHAnsi"/>
          <w:color w:val="auto"/>
        </w:rPr>
        <w:t xml:space="preserve">Other alcoholic beverages’ are those not exceeding 10 per cent by volume of alcohol (excluding beer, </w:t>
      </w:r>
      <w:proofErr w:type="gramStart"/>
      <w:r w:rsidR="00B12599" w:rsidRPr="00AC168A">
        <w:rPr>
          <w:rFonts w:eastAsiaTheme="minorHAnsi"/>
          <w:color w:val="auto"/>
        </w:rPr>
        <w:t>brandy</w:t>
      </w:r>
      <w:proofErr w:type="gramEnd"/>
      <w:r w:rsidR="00B12599" w:rsidRPr="00AC168A">
        <w:rPr>
          <w:rFonts w:eastAsiaTheme="minorHAnsi"/>
          <w:color w:val="auto"/>
        </w:rPr>
        <w:t xml:space="preserve"> and wine).</w:t>
      </w:r>
    </w:p>
    <w:p w14:paraId="79E62520" w14:textId="61F24A6B" w:rsidR="00B12599" w:rsidRPr="00AB7209" w:rsidRDefault="00B12599" w:rsidP="00AB7209">
      <w:pPr>
        <w:pStyle w:val="ChartandTableFootnoteAlpha"/>
        <w:rPr>
          <w:rFonts w:eastAsiaTheme="minorHAnsi"/>
          <w:color w:val="auto"/>
        </w:rPr>
      </w:pPr>
      <w:r w:rsidRPr="00AB7209">
        <w:rPr>
          <w:rFonts w:eastAsiaTheme="minorHAnsi"/>
          <w:color w:val="auto"/>
        </w:rPr>
        <w:t>‘Capital gains tax’ is part of gross other individuals, company tax and superannuation fund taxes.</w:t>
      </w:r>
    </w:p>
    <w:p w14:paraId="02783040" w14:textId="4B8FAD25" w:rsidR="00E63B15" w:rsidRDefault="00D63C70" w:rsidP="00EF2E7B">
      <w:pPr>
        <w:pStyle w:val="TableHeadingcontinued"/>
        <w:rPr>
          <w:rFonts w:asciiTheme="minorHAnsi" w:eastAsiaTheme="minorHAnsi" w:hAnsiTheme="minorHAnsi" w:cstheme="minorBidi"/>
          <w:b w:val="0"/>
          <w:sz w:val="22"/>
          <w:szCs w:val="22"/>
          <w:lang w:eastAsia="en-US"/>
        </w:rPr>
      </w:pPr>
      <w:r w:rsidRPr="00205DD5">
        <w:lastRenderedPageBreak/>
        <w:t>Table 3.</w:t>
      </w:r>
      <w:r w:rsidR="002F3A04" w:rsidRPr="00205DD5">
        <w:t>1</w:t>
      </w:r>
      <w:r w:rsidR="0072599C" w:rsidRPr="00205DD5">
        <w:t>2</w:t>
      </w:r>
      <w:r w:rsidRPr="00205DD5">
        <w:t>: Reconciliation of 202</w:t>
      </w:r>
      <w:r w:rsidR="00736753" w:rsidRPr="00205DD5">
        <w:t>5</w:t>
      </w:r>
      <w:r w:rsidRPr="00205DD5">
        <w:t>–2</w:t>
      </w:r>
      <w:r w:rsidR="00736753" w:rsidRPr="00205DD5">
        <w:t>6</w:t>
      </w:r>
      <w:r w:rsidRPr="00205DD5">
        <w:t xml:space="preserve"> general government (accrual) revenue</w:t>
      </w:r>
    </w:p>
    <w:tbl>
      <w:tblPr>
        <w:tblW w:w="5000" w:type="pct"/>
        <w:tblCellMar>
          <w:left w:w="0" w:type="dxa"/>
          <w:right w:w="28" w:type="dxa"/>
        </w:tblCellMar>
        <w:tblLook w:val="04A0" w:firstRow="1" w:lastRow="0" w:firstColumn="1" w:lastColumn="0" w:noHBand="0" w:noVBand="1"/>
      </w:tblPr>
      <w:tblGrid>
        <w:gridCol w:w="4081"/>
        <w:gridCol w:w="920"/>
        <w:gridCol w:w="921"/>
        <w:gridCol w:w="150"/>
        <w:gridCol w:w="859"/>
        <w:gridCol w:w="779"/>
      </w:tblGrid>
      <w:tr w:rsidR="00E63B15" w:rsidRPr="00E63B15" w14:paraId="41C6D525" w14:textId="77777777" w:rsidTr="00E63B15">
        <w:trPr>
          <w:trHeight w:hRule="exact" w:val="226"/>
        </w:trPr>
        <w:tc>
          <w:tcPr>
            <w:tcW w:w="2647" w:type="pct"/>
            <w:tcBorders>
              <w:top w:val="single" w:sz="4" w:space="0" w:color="293F5B"/>
              <w:left w:val="nil"/>
              <w:bottom w:val="nil"/>
              <w:right w:val="nil"/>
            </w:tcBorders>
            <w:shd w:val="clear" w:color="000000" w:fill="FFFFFF"/>
            <w:noWrap/>
            <w:vAlign w:val="center"/>
            <w:hideMark/>
          </w:tcPr>
          <w:p w14:paraId="76C90DFF" w14:textId="17E5C1B8"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 </w:t>
            </w:r>
          </w:p>
        </w:tc>
        <w:tc>
          <w:tcPr>
            <w:tcW w:w="1194" w:type="pct"/>
            <w:gridSpan w:val="2"/>
            <w:tcBorders>
              <w:top w:val="single" w:sz="4" w:space="0" w:color="293F5B"/>
              <w:left w:val="nil"/>
              <w:bottom w:val="single" w:sz="4" w:space="0" w:color="auto"/>
              <w:right w:val="nil"/>
            </w:tcBorders>
            <w:shd w:val="clear" w:color="000000" w:fill="FFFFFF"/>
            <w:noWrap/>
            <w:vAlign w:val="center"/>
            <w:hideMark/>
          </w:tcPr>
          <w:p w14:paraId="1A2AE4D4" w14:textId="77777777" w:rsidR="00E63B15" w:rsidRPr="00E63B15" w:rsidRDefault="00E63B15" w:rsidP="00E63B15">
            <w:pPr>
              <w:spacing w:before="0" w:after="0" w:line="240" w:lineRule="auto"/>
              <w:jc w:val="center"/>
              <w:rPr>
                <w:rFonts w:ascii="Arial" w:hAnsi="Arial" w:cs="Arial"/>
                <w:color w:val="000000"/>
                <w:sz w:val="16"/>
                <w:szCs w:val="16"/>
              </w:rPr>
            </w:pPr>
            <w:r w:rsidRPr="00E63B15">
              <w:rPr>
                <w:rFonts w:ascii="Arial" w:hAnsi="Arial" w:cs="Arial"/>
                <w:color w:val="000000"/>
                <w:sz w:val="16"/>
                <w:szCs w:val="16"/>
              </w:rPr>
              <w:t>Estimates</w:t>
            </w:r>
          </w:p>
        </w:tc>
        <w:tc>
          <w:tcPr>
            <w:tcW w:w="97" w:type="pct"/>
            <w:tcBorders>
              <w:top w:val="single" w:sz="4" w:space="0" w:color="293F5B"/>
              <w:left w:val="nil"/>
              <w:bottom w:val="nil"/>
              <w:right w:val="nil"/>
            </w:tcBorders>
            <w:shd w:val="clear" w:color="000000" w:fill="FFFFFF"/>
            <w:noWrap/>
            <w:vAlign w:val="center"/>
            <w:hideMark/>
          </w:tcPr>
          <w:p w14:paraId="7A994FC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1062" w:type="pct"/>
            <w:gridSpan w:val="2"/>
            <w:tcBorders>
              <w:top w:val="single" w:sz="4" w:space="0" w:color="293F5B"/>
              <w:left w:val="nil"/>
              <w:bottom w:val="single" w:sz="4" w:space="0" w:color="000000"/>
              <w:right w:val="nil"/>
            </w:tcBorders>
            <w:shd w:val="clear" w:color="000000" w:fill="FFFFFF"/>
            <w:noWrap/>
            <w:vAlign w:val="center"/>
            <w:hideMark/>
          </w:tcPr>
          <w:p w14:paraId="6696C9C1" w14:textId="77777777" w:rsidR="00E63B15" w:rsidRPr="00E63B15" w:rsidRDefault="00E63B15" w:rsidP="00E63B15">
            <w:pPr>
              <w:spacing w:before="0" w:after="0" w:line="240" w:lineRule="auto"/>
              <w:jc w:val="center"/>
              <w:rPr>
                <w:rFonts w:ascii="Arial" w:hAnsi="Arial" w:cs="Arial"/>
                <w:color w:val="000000"/>
                <w:sz w:val="16"/>
                <w:szCs w:val="16"/>
              </w:rPr>
            </w:pPr>
            <w:r w:rsidRPr="00E63B15">
              <w:rPr>
                <w:rFonts w:ascii="Arial" w:hAnsi="Arial" w:cs="Arial"/>
                <w:color w:val="000000"/>
                <w:sz w:val="16"/>
                <w:szCs w:val="16"/>
              </w:rPr>
              <w:t>Change on Budget</w:t>
            </w:r>
          </w:p>
        </w:tc>
      </w:tr>
      <w:tr w:rsidR="00E63B15" w:rsidRPr="00E63B15" w14:paraId="60ED2F14"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3EBB2BA"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center"/>
            <w:hideMark/>
          </w:tcPr>
          <w:p w14:paraId="04344B96"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Budget</w:t>
            </w:r>
          </w:p>
        </w:tc>
        <w:tc>
          <w:tcPr>
            <w:tcW w:w="597" w:type="pct"/>
            <w:tcBorders>
              <w:top w:val="nil"/>
              <w:left w:val="nil"/>
              <w:bottom w:val="nil"/>
              <w:right w:val="nil"/>
            </w:tcBorders>
            <w:shd w:val="clear" w:color="000000" w:fill="E6F2FF"/>
            <w:noWrap/>
            <w:vAlign w:val="center"/>
            <w:hideMark/>
          </w:tcPr>
          <w:p w14:paraId="65446DF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MYEFO</w:t>
            </w:r>
          </w:p>
        </w:tc>
        <w:tc>
          <w:tcPr>
            <w:tcW w:w="97" w:type="pct"/>
            <w:tcBorders>
              <w:top w:val="nil"/>
              <w:left w:val="nil"/>
              <w:bottom w:val="nil"/>
              <w:right w:val="nil"/>
            </w:tcBorders>
            <w:shd w:val="clear" w:color="000000" w:fill="FFFFFF"/>
            <w:noWrap/>
            <w:vAlign w:val="center"/>
            <w:hideMark/>
          </w:tcPr>
          <w:p w14:paraId="0D3A9616"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1062" w:type="pct"/>
            <w:gridSpan w:val="2"/>
            <w:tcBorders>
              <w:top w:val="single" w:sz="4" w:space="0" w:color="auto"/>
              <w:left w:val="nil"/>
              <w:bottom w:val="nil"/>
              <w:right w:val="nil"/>
            </w:tcBorders>
            <w:shd w:val="clear" w:color="000000" w:fill="FFFFFF"/>
            <w:noWrap/>
            <w:vAlign w:val="center"/>
            <w:hideMark/>
          </w:tcPr>
          <w:p w14:paraId="1B9C942C" w14:textId="77777777" w:rsidR="00E63B15" w:rsidRPr="00E63B15" w:rsidRDefault="00E63B15" w:rsidP="00E63B15">
            <w:pPr>
              <w:spacing w:before="0" w:after="0" w:line="240" w:lineRule="auto"/>
              <w:jc w:val="center"/>
              <w:rPr>
                <w:rFonts w:ascii="Arial" w:hAnsi="Arial" w:cs="Arial"/>
                <w:color w:val="000000"/>
                <w:sz w:val="16"/>
                <w:szCs w:val="16"/>
              </w:rPr>
            </w:pPr>
            <w:r w:rsidRPr="00E63B15">
              <w:rPr>
                <w:rFonts w:ascii="Arial" w:hAnsi="Arial" w:cs="Arial"/>
                <w:color w:val="000000"/>
                <w:sz w:val="16"/>
                <w:szCs w:val="16"/>
              </w:rPr>
              <w:t xml:space="preserve"> </w:t>
            </w:r>
          </w:p>
        </w:tc>
      </w:tr>
      <w:tr w:rsidR="00E63B15" w:rsidRPr="00E63B15" w14:paraId="51FEE9A3" w14:textId="77777777" w:rsidTr="00E63B15">
        <w:trPr>
          <w:trHeight w:hRule="exact" w:val="226"/>
        </w:trPr>
        <w:tc>
          <w:tcPr>
            <w:tcW w:w="2647" w:type="pct"/>
            <w:tcBorders>
              <w:top w:val="nil"/>
              <w:left w:val="nil"/>
              <w:bottom w:val="nil"/>
              <w:right w:val="nil"/>
            </w:tcBorders>
            <w:shd w:val="clear" w:color="000000" w:fill="FFFFFF"/>
            <w:vAlign w:val="center"/>
            <w:hideMark/>
          </w:tcPr>
          <w:p w14:paraId="0633FCF8"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single" w:sz="4" w:space="0" w:color="auto"/>
              <w:right w:val="nil"/>
            </w:tcBorders>
            <w:shd w:val="clear" w:color="000000" w:fill="FFFFFF"/>
            <w:vAlign w:val="center"/>
            <w:hideMark/>
          </w:tcPr>
          <w:p w14:paraId="137C5C6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$m</w:t>
            </w:r>
          </w:p>
        </w:tc>
        <w:tc>
          <w:tcPr>
            <w:tcW w:w="597" w:type="pct"/>
            <w:tcBorders>
              <w:top w:val="nil"/>
              <w:left w:val="nil"/>
              <w:bottom w:val="single" w:sz="4" w:space="0" w:color="auto"/>
              <w:right w:val="nil"/>
            </w:tcBorders>
            <w:shd w:val="clear" w:color="000000" w:fill="E6F2FF"/>
            <w:vAlign w:val="center"/>
            <w:hideMark/>
          </w:tcPr>
          <w:p w14:paraId="24F0EE7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$m</w:t>
            </w:r>
          </w:p>
        </w:tc>
        <w:tc>
          <w:tcPr>
            <w:tcW w:w="97" w:type="pct"/>
            <w:tcBorders>
              <w:top w:val="nil"/>
              <w:left w:val="nil"/>
              <w:bottom w:val="nil"/>
              <w:right w:val="nil"/>
            </w:tcBorders>
            <w:shd w:val="clear" w:color="000000" w:fill="FFFFFF"/>
            <w:vAlign w:val="center"/>
            <w:hideMark/>
          </w:tcPr>
          <w:p w14:paraId="49F96DC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single" w:sz="4" w:space="0" w:color="auto"/>
              <w:right w:val="nil"/>
            </w:tcBorders>
            <w:shd w:val="clear" w:color="000000" w:fill="FFFFFF"/>
            <w:vAlign w:val="center"/>
            <w:hideMark/>
          </w:tcPr>
          <w:p w14:paraId="00F437C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$m</w:t>
            </w:r>
          </w:p>
        </w:tc>
        <w:tc>
          <w:tcPr>
            <w:tcW w:w="505" w:type="pct"/>
            <w:tcBorders>
              <w:top w:val="nil"/>
              <w:left w:val="nil"/>
              <w:bottom w:val="single" w:sz="4" w:space="0" w:color="auto"/>
              <w:right w:val="nil"/>
            </w:tcBorders>
            <w:shd w:val="clear" w:color="000000" w:fill="FFFFFF"/>
            <w:vAlign w:val="center"/>
            <w:hideMark/>
          </w:tcPr>
          <w:p w14:paraId="340C2BF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w:t>
            </w:r>
          </w:p>
        </w:tc>
      </w:tr>
      <w:tr w:rsidR="00E63B15" w:rsidRPr="00E63B15" w14:paraId="0C672E58"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3B55E7D2"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Individuals and other withholding taxes</w:t>
            </w:r>
          </w:p>
        </w:tc>
        <w:tc>
          <w:tcPr>
            <w:tcW w:w="597" w:type="pct"/>
            <w:tcBorders>
              <w:top w:val="nil"/>
              <w:left w:val="nil"/>
              <w:bottom w:val="nil"/>
              <w:right w:val="nil"/>
            </w:tcBorders>
            <w:shd w:val="clear" w:color="000000" w:fill="FFFFFF"/>
            <w:noWrap/>
            <w:vAlign w:val="center"/>
            <w:hideMark/>
          </w:tcPr>
          <w:p w14:paraId="69AB3E1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697A4AF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97" w:type="pct"/>
            <w:tcBorders>
              <w:top w:val="nil"/>
              <w:left w:val="nil"/>
              <w:bottom w:val="nil"/>
              <w:right w:val="nil"/>
            </w:tcBorders>
            <w:shd w:val="clear" w:color="000000" w:fill="FFFFFF"/>
            <w:noWrap/>
            <w:vAlign w:val="center"/>
            <w:hideMark/>
          </w:tcPr>
          <w:p w14:paraId="139B495E"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475A47E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05" w:type="pct"/>
            <w:tcBorders>
              <w:top w:val="nil"/>
              <w:left w:val="nil"/>
              <w:bottom w:val="nil"/>
              <w:right w:val="nil"/>
            </w:tcBorders>
            <w:shd w:val="clear" w:color="000000" w:fill="FFFFFF"/>
            <w:noWrap/>
            <w:vAlign w:val="center"/>
            <w:hideMark/>
          </w:tcPr>
          <w:p w14:paraId="6D846D6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r>
      <w:tr w:rsidR="00E63B15" w:rsidRPr="00E63B15" w14:paraId="09D644EA"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6D69928C"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Gross income tax withholding</w:t>
            </w:r>
          </w:p>
        </w:tc>
        <w:tc>
          <w:tcPr>
            <w:tcW w:w="597" w:type="pct"/>
            <w:tcBorders>
              <w:top w:val="nil"/>
              <w:left w:val="nil"/>
              <w:bottom w:val="nil"/>
              <w:right w:val="nil"/>
            </w:tcBorders>
            <w:shd w:val="clear" w:color="000000" w:fill="FFFFFF"/>
            <w:noWrap/>
            <w:vAlign w:val="center"/>
            <w:hideMark/>
          </w:tcPr>
          <w:p w14:paraId="062807F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308,500</w:t>
            </w:r>
          </w:p>
        </w:tc>
        <w:tc>
          <w:tcPr>
            <w:tcW w:w="597" w:type="pct"/>
            <w:tcBorders>
              <w:top w:val="nil"/>
              <w:left w:val="nil"/>
              <w:bottom w:val="nil"/>
              <w:right w:val="nil"/>
            </w:tcBorders>
            <w:shd w:val="clear" w:color="000000" w:fill="E6F2FF"/>
            <w:noWrap/>
            <w:vAlign w:val="center"/>
            <w:hideMark/>
          </w:tcPr>
          <w:p w14:paraId="48C7239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311,800</w:t>
            </w:r>
          </w:p>
        </w:tc>
        <w:tc>
          <w:tcPr>
            <w:tcW w:w="97" w:type="pct"/>
            <w:tcBorders>
              <w:top w:val="nil"/>
              <w:left w:val="nil"/>
              <w:bottom w:val="nil"/>
              <w:right w:val="nil"/>
            </w:tcBorders>
            <w:shd w:val="clear" w:color="000000" w:fill="FFFFFF"/>
            <w:noWrap/>
            <w:vAlign w:val="center"/>
            <w:hideMark/>
          </w:tcPr>
          <w:p w14:paraId="1AAD37E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0246E09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3,300</w:t>
            </w:r>
          </w:p>
        </w:tc>
        <w:tc>
          <w:tcPr>
            <w:tcW w:w="505" w:type="pct"/>
            <w:tcBorders>
              <w:top w:val="nil"/>
              <w:left w:val="nil"/>
              <w:bottom w:val="nil"/>
              <w:right w:val="nil"/>
            </w:tcBorders>
            <w:shd w:val="clear" w:color="000000" w:fill="FFFFFF"/>
            <w:noWrap/>
            <w:vAlign w:val="center"/>
            <w:hideMark/>
          </w:tcPr>
          <w:p w14:paraId="7423508E"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1.1</w:t>
            </w:r>
          </w:p>
        </w:tc>
      </w:tr>
      <w:tr w:rsidR="00E63B15" w:rsidRPr="00E63B15" w14:paraId="4310EDC6"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7C1E69A5"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Gross other individuals</w:t>
            </w:r>
          </w:p>
        </w:tc>
        <w:tc>
          <w:tcPr>
            <w:tcW w:w="597" w:type="pct"/>
            <w:tcBorders>
              <w:top w:val="nil"/>
              <w:left w:val="nil"/>
              <w:bottom w:val="nil"/>
              <w:right w:val="nil"/>
            </w:tcBorders>
            <w:shd w:val="clear" w:color="000000" w:fill="FFFFFF"/>
            <w:noWrap/>
            <w:vAlign w:val="center"/>
            <w:hideMark/>
          </w:tcPr>
          <w:p w14:paraId="35C7D85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85,900</w:t>
            </w:r>
          </w:p>
        </w:tc>
        <w:tc>
          <w:tcPr>
            <w:tcW w:w="597" w:type="pct"/>
            <w:tcBorders>
              <w:top w:val="nil"/>
              <w:left w:val="nil"/>
              <w:bottom w:val="nil"/>
              <w:right w:val="nil"/>
            </w:tcBorders>
            <w:shd w:val="clear" w:color="000000" w:fill="E6F2FF"/>
            <w:noWrap/>
            <w:vAlign w:val="center"/>
            <w:hideMark/>
          </w:tcPr>
          <w:p w14:paraId="4EC2CBE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86,800</w:t>
            </w:r>
          </w:p>
        </w:tc>
        <w:tc>
          <w:tcPr>
            <w:tcW w:w="97" w:type="pct"/>
            <w:tcBorders>
              <w:top w:val="nil"/>
              <w:left w:val="nil"/>
              <w:bottom w:val="nil"/>
              <w:right w:val="nil"/>
            </w:tcBorders>
            <w:shd w:val="clear" w:color="000000" w:fill="FFFFFF"/>
            <w:noWrap/>
            <w:vAlign w:val="center"/>
            <w:hideMark/>
          </w:tcPr>
          <w:p w14:paraId="22146DE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04C7FCE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900</w:t>
            </w:r>
          </w:p>
        </w:tc>
        <w:tc>
          <w:tcPr>
            <w:tcW w:w="505" w:type="pct"/>
            <w:tcBorders>
              <w:top w:val="nil"/>
              <w:left w:val="nil"/>
              <w:bottom w:val="nil"/>
              <w:right w:val="nil"/>
            </w:tcBorders>
            <w:shd w:val="clear" w:color="000000" w:fill="FFFFFF"/>
            <w:noWrap/>
            <w:vAlign w:val="center"/>
            <w:hideMark/>
          </w:tcPr>
          <w:p w14:paraId="073CD05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w:t>
            </w:r>
          </w:p>
        </w:tc>
      </w:tr>
      <w:tr w:rsidR="00E63B15" w:rsidRPr="00E63B15" w14:paraId="29629C50"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7B7E94CD" w14:textId="77777777" w:rsidR="00E63B15" w:rsidRPr="00E63B15" w:rsidRDefault="00E63B15" w:rsidP="00E63B15">
            <w:pPr>
              <w:spacing w:before="0" w:after="0" w:line="240" w:lineRule="auto"/>
              <w:ind w:left="170"/>
              <w:rPr>
                <w:rFonts w:ascii="Arial" w:hAnsi="Arial" w:cs="Arial"/>
                <w:i/>
                <w:iCs/>
                <w:color w:val="000000"/>
                <w:sz w:val="16"/>
                <w:szCs w:val="16"/>
              </w:rPr>
            </w:pPr>
            <w:r w:rsidRPr="00E63B15">
              <w:rPr>
                <w:rFonts w:ascii="Arial" w:hAnsi="Arial" w:cs="Arial"/>
                <w:i/>
                <w:iCs/>
                <w:color w:val="000000"/>
                <w:sz w:val="16"/>
                <w:szCs w:val="16"/>
              </w:rPr>
              <w:t>less:</w:t>
            </w:r>
            <w:r w:rsidRPr="00E63B15">
              <w:rPr>
                <w:rFonts w:ascii="Arial" w:hAnsi="Arial" w:cs="Arial"/>
                <w:color w:val="000000"/>
                <w:sz w:val="16"/>
                <w:szCs w:val="16"/>
              </w:rPr>
              <w:t xml:space="preserve"> Refunds</w:t>
            </w:r>
          </w:p>
        </w:tc>
        <w:tc>
          <w:tcPr>
            <w:tcW w:w="597" w:type="pct"/>
            <w:tcBorders>
              <w:top w:val="nil"/>
              <w:left w:val="nil"/>
              <w:bottom w:val="single" w:sz="4" w:space="0" w:color="auto"/>
              <w:right w:val="nil"/>
            </w:tcBorders>
            <w:shd w:val="clear" w:color="000000" w:fill="FFFFFF"/>
            <w:noWrap/>
            <w:vAlign w:val="center"/>
            <w:hideMark/>
          </w:tcPr>
          <w:p w14:paraId="421F6E7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41,700</w:t>
            </w:r>
          </w:p>
        </w:tc>
        <w:tc>
          <w:tcPr>
            <w:tcW w:w="597" w:type="pct"/>
            <w:tcBorders>
              <w:top w:val="nil"/>
              <w:left w:val="nil"/>
              <w:bottom w:val="single" w:sz="4" w:space="0" w:color="auto"/>
              <w:right w:val="nil"/>
            </w:tcBorders>
            <w:shd w:val="clear" w:color="000000" w:fill="E6F2FF"/>
            <w:noWrap/>
            <w:vAlign w:val="center"/>
            <w:hideMark/>
          </w:tcPr>
          <w:p w14:paraId="4ADCA32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42,100</w:t>
            </w:r>
          </w:p>
        </w:tc>
        <w:tc>
          <w:tcPr>
            <w:tcW w:w="97" w:type="pct"/>
            <w:tcBorders>
              <w:top w:val="nil"/>
              <w:left w:val="nil"/>
              <w:bottom w:val="nil"/>
              <w:right w:val="nil"/>
            </w:tcBorders>
            <w:shd w:val="clear" w:color="000000" w:fill="FFFFFF"/>
            <w:noWrap/>
            <w:vAlign w:val="center"/>
            <w:hideMark/>
          </w:tcPr>
          <w:p w14:paraId="0D6C725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single" w:sz="4" w:space="0" w:color="auto"/>
              <w:right w:val="nil"/>
            </w:tcBorders>
            <w:shd w:val="clear" w:color="000000" w:fill="FFFFFF"/>
            <w:noWrap/>
            <w:vAlign w:val="center"/>
            <w:hideMark/>
          </w:tcPr>
          <w:p w14:paraId="146BB65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400</w:t>
            </w:r>
          </w:p>
        </w:tc>
        <w:tc>
          <w:tcPr>
            <w:tcW w:w="505" w:type="pct"/>
            <w:tcBorders>
              <w:top w:val="nil"/>
              <w:left w:val="nil"/>
              <w:bottom w:val="single" w:sz="4" w:space="0" w:color="auto"/>
              <w:right w:val="nil"/>
            </w:tcBorders>
            <w:shd w:val="clear" w:color="000000" w:fill="FFFFFF"/>
            <w:noWrap/>
            <w:vAlign w:val="center"/>
            <w:hideMark/>
          </w:tcPr>
          <w:p w14:paraId="033F2B0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w:t>
            </w:r>
          </w:p>
        </w:tc>
      </w:tr>
      <w:tr w:rsidR="00E63B15" w:rsidRPr="00E63B15" w14:paraId="148D4B3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47136AB4"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Total individuals and other withholding tax</w:t>
            </w:r>
          </w:p>
        </w:tc>
        <w:tc>
          <w:tcPr>
            <w:tcW w:w="597" w:type="pct"/>
            <w:tcBorders>
              <w:top w:val="nil"/>
              <w:left w:val="nil"/>
              <w:bottom w:val="nil"/>
              <w:right w:val="nil"/>
            </w:tcBorders>
            <w:shd w:val="clear" w:color="000000" w:fill="FFFFFF"/>
            <w:noWrap/>
            <w:vAlign w:val="center"/>
            <w:hideMark/>
          </w:tcPr>
          <w:p w14:paraId="4EF14A5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352,700</w:t>
            </w:r>
          </w:p>
        </w:tc>
        <w:tc>
          <w:tcPr>
            <w:tcW w:w="597" w:type="pct"/>
            <w:tcBorders>
              <w:top w:val="nil"/>
              <w:left w:val="nil"/>
              <w:bottom w:val="nil"/>
              <w:right w:val="nil"/>
            </w:tcBorders>
            <w:shd w:val="clear" w:color="000000" w:fill="E6F2FF"/>
            <w:noWrap/>
            <w:vAlign w:val="center"/>
            <w:hideMark/>
          </w:tcPr>
          <w:p w14:paraId="19BEBCD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356,500</w:t>
            </w:r>
          </w:p>
        </w:tc>
        <w:tc>
          <w:tcPr>
            <w:tcW w:w="97" w:type="pct"/>
            <w:tcBorders>
              <w:top w:val="nil"/>
              <w:left w:val="nil"/>
              <w:bottom w:val="nil"/>
              <w:right w:val="nil"/>
            </w:tcBorders>
            <w:shd w:val="clear" w:color="000000" w:fill="FFFFFF"/>
            <w:noWrap/>
            <w:vAlign w:val="center"/>
            <w:hideMark/>
          </w:tcPr>
          <w:p w14:paraId="45600D0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0E1905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3,800</w:t>
            </w:r>
          </w:p>
        </w:tc>
        <w:tc>
          <w:tcPr>
            <w:tcW w:w="505" w:type="pct"/>
            <w:tcBorders>
              <w:top w:val="nil"/>
              <w:left w:val="nil"/>
              <w:bottom w:val="nil"/>
              <w:right w:val="nil"/>
            </w:tcBorders>
            <w:shd w:val="clear" w:color="000000" w:fill="FFFFFF"/>
            <w:noWrap/>
            <w:vAlign w:val="center"/>
            <w:hideMark/>
          </w:tcPr>
          <w:p w14:paraId="386BA45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1.1</w:t>
            </w:r>
          </w:p>
        </w:tc>
      </w:tr>
      <w:tr w:rsidR="00E63B15" w:rsidRPr="00E63B15" w14:paraId="785D107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B8A749D"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Fringe benefits tax</w:t>
            </w:r>
          </w:p>
        </w:tc>
        <w:tc>
          <w:tcPr>
            <w:tcW w:w="597" w:type="pct"/>
            <w:tcBorders>
              <w:top w:val="nil"/>
              <w:left w:val="nil"/>
              <w:bottom w:val="nil"/>
              <w:right w:val="nil"/>
            </w:tcBorders>
            <w:shd w:val="clear" w:color="000000" w:fill="FFFFFF"/>
            <w:noWrap/>
            <w:vAlign w:val="center"/>
            <w:hideMark/>
          </w:tcPr>
          <w:p w14:paraId="59A86E6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4,040</w:t>
            </w:r>
          </w:p>
        </w:tc>
        <w:tc>
          <w:tcPr>
            <w:tcW w:w="597" w:type="pct"/>
            <w:tcBorders>
              <w:top w:val="nil"/>
              <w:left w:val="nil"/>
              <w:bottom w:val="nil"/>
              <w:right w:val="nil"/>
            </w:tcBorders>
            <w:shd w:val="clear" w:color="000000" w:fill="E6F2FF"/>
            <w:noWrap/>
            <w:vAlign w:val="center"/>
            <w:hideMark/>
          </w:tcPr>
          <w:p w14:paraId="2D9FFDD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5,100</w:t>
            </w:r>
          </w:p>
        </w:tc>
        <w:tc>
          <w:tcPr>
            <w:tcW w:w="97" w:type="pct"/>
            <w:tcBorders>
              <w:top w:val="nil"/>
              <w:left w:val="nil"/>
              <w:bottom w:val="nil"/>
              <w:right w:val="nil"/>
            </w:tcBorders>
            <w:shd w:val="clear" w:color="000000" w:fill="FFFFFF"/>
            <w:noWrap/>
            <w:vAlign w:val="center"/>
            <w:hideMark/>
          </w:tcPr>
          <w:p w14:paraId="6DDA298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578D72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1,060</w:t>
            </w:r>
          </w:p>
        </w:tc>
        <w:tc>
          <w:tcPr>
            <w:tcW w:w="505" w:type="pct"/>
            <w:tcBorders>
              <w:top w:val="nil"/>
              <w:left w:val="nil"/>
              <w:bottom w:val="nil"/>
              <w:right w:val="nil"/>
            </w:tcBorders>
            <w:shd w:val="clear" w:color="000000" w:fill="FFFFFF"/>
            <w:noWrap/>
            <w:vAlign w:val="center"/>
            <w:hideMark/>
          </w:tcPr>
          <w:p w14:paraId="67E286D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26.2</w:t>
            </w:r>
          </w:p>
        </w:tc>
      </w:tr>
      <w:tr w:rsidR="00E63B15" w:rsidRPr="00E63B15" w14:paraId="591772D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254CD3C9"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Company tax</w:t>
            </w:r>
          </w:p>
        </w:tc>
        <w:tc>
          <w:tcPr>
            <w:tcW w:w="597" w:type="pct"/>
            <w:tcBorders>
              <w:top w:val="nil"/>
              <w:left w:val="nil"/>
              <w:bottom w:val="nil"/>
              <w:right w:val="nil"/>
            </w:tcBorders>
            <w:shd w:val="clear" w:color="000000" w:fill="FFFFFF"/>
            <w:noWrap/>
            <w:vAlign w:val="center"/>
            <w:hideMark/>
          </w:tcPr>
          <w:p w14:paraId="0F658EEE"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136,000</w:t>
            </w:r>
          </w:p>
        </w:tc>
        <w:tc>
          <w:tcPr>
            <w:tcW w:w="597" w:type="pct"/>
            <w:tcBorders>
              <w:top w:val="nil"/>
              <w:left w:val="nil"/>
              <w:bottom w:val="nil"/>
              <w:right w:val="nil"/>
            </w:tcBorders>
            <w:shd w:val="clear" w:color="000000" w:fill="E6F2FF"/>
            <w:noWrap/>
            <w:vAlign w:val="center"/>
            <w:hideMark/>
          </w:tcPr>
          <w:p w14:paraId="4628E9D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139,000</w:t>
            </w:r>
          </w:p>
        </w:tc>
        <w:tc>
          <w:tcPr>
            <w:tcW w:w="97" w:type="pct"/>
            <w:tcBorders>
              <w:top w:val="nil"/>
              <w:left w:val="nil"/>
              <w:bottom w:val="nil"/>
              <w:right w:val="nil"/>
            </w:tcBorders>
            <w:shd w:val="clear" w:color="000000" w:fill="FFFFFF"/>
            <w:noWrap/>
            <w:vAlign w:val="center"/>
            <w:hideMark/>
          </w:tcPr>
          <w:p w14:paraId="2A9F015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31026D1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3,000</w:t>
            </w:r>
          </w:p>
        </w:tc>
        <w:tc>
          <w:tcPr>
            <w:tcW w:w="505" w:type="pct"/>
            <w:tcBorders>
              <w:top w:val="nil"/>
              <w:left w:val="nil"/>
              <w:bottom w:val="nil"/>
              <w:right w:val="nil"/>
            </w:tcBorders>
            <w:shd w:val="clear" w:color="000000" w:fill="FFFFFF"/>
            <w:noWrap/>
            <w:vAlign w:val="center"/>
            <w:hideMark/>
          </w:tcPr>
          <w:p w14:paraId="451F33E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2.2</w:t>
            </w:r>
          </w:p>
        </w:tc>
      </w:tr>
      <w:tr w:rsidR="00E63B15" w:rsidRPr="00E63B15" w14:paraId="6F8BF1F1"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739CC1D2"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Superannuation fund taxes</w:t>
            </w:r>
          </w:p>
        </w:tc>
        <w:tc>
          <w:tcPr>
            <w:tcW w:w="597" w:type="pct"/>
            <w:tcBorders>
              <w:top w:val="nil"/>
              <w:left w:val="nil"/>
              <w:bottom w:val="nil"/>
              <w:right w:val="nil"/>
            </w:tcBorders>
            <w:shd w:val="clear" w:color="000000" w:fill="FFFFFF"/>
            <w:noWrap/>
            <w:vAlign w:val="center"/>
            <w:hideMark/>
          </w:tcPr>
          <w:p w14:paraId="5FC485D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21,380</w:t>
            </w:r>
          </w:p>
        </w:tc>
        <w:tc>
          <w:tcPr>
            <w:tcW w:w="597" w:type="pct"/>
            <w:tcBorders>
              <w:top w:val="nil"/>
              <w:left w:val="nil"/>
              <w:bottom w:val="nil"/>
              <w:right w:val="nil"/>
            </w:tcBorders>
            <w:shd w:val="clear" w:color="000000" w:fill="E6F2FF"/>
            <w:noWrap/>
            <w:vAlign w:val="center"/>
            <w:hideMark/>
          </w:tcPr>
          <w:p w14:paraId="114F0FA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23,230</w:t>
            </w:r>
          </w:p>
        </w:tc>
        <w:tc>
          <w:tcPr>
            <w:tcW w:w="97" w:type="pct"/>
            <w:tcBorders>
              <w:top w:val="nil"/>
              <w:left w:val="nil"/>
              <w:bottom w:val="nil"/>
              <w:right w:val="nil"/>
            </w:tcBorders>
            <w:shd w:val="clear" w:color="000000" w:fill="FFFFFF"/>
            <w:noWrap/>
            <w:vAlign w:val="center"/>
            <w:hideMark/>
          </w:tcPr>
          <w:p w14:paraId="21173F66"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3E7F07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1,850</w:t>
            </w:r>
          </w:p>
        </w:tc>
        <w:tc>
          <w:tcPr>
            <w:tcW w:w="505" w:type="pct"/>
            <w:tcBorders>
              <w:top w:val="nil"/>
              <w:left w:val="nil"/>
              <w:bottom w:val="nil"/>
              <w:right w:val="nil"/>
            </w:tcBorders>
            <w:shd w:val="clear" w:color="000000" w:fill="FFFFFF"/>
            <w:noWrap/>
            <w:vAlign w:val="center"/>
            <w:hideMark/>
          </w:tcPr>
          <w:p w14:paraId="4400D8D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8.7</w:t>
            </w:r>
          </w:p>
        </w:tc>
      </w:tr>
      <w:tr w:rsidR="00E63B15" w:rsidRPr="00E63B15" w14:paraId="499D4DA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66CDA714"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Petroleum resource rent tax</w:t>
            </w:r>
          </w:p>
        </w:tc>
        <w:tc>
          <w:tcPr>
            <w:tcW w:w="597" w:type="pct"/>
            <w:tcBorders>
              <w:top w:val="nil"/>
              <w:left w:val="nil"/>
              <w:bottom w:val="nil"/>
              <w:right w:val="nil"/>
            </w:tcBorders>
            <w:shd w:val="clear" w:color="000000" w:fill="FFFFFF"/>
            <w:noWrap/>
            <w:vAlign w:val="center"/>
            <w:hideMark/>
          </w:tcPr>
          <w:p w14:paraId="7A8FA64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2,080</w:t>
            </w:r>
          </w:p>
        </w:tc>
        <w:tc>
          <w:tcPr>
            <w:tcW w:w="597" w:type="pct"/>
            <w:tcBorders>
              <w:top w:val="nil"/>
              <w:left w:val="nil"/>
              <w:bottom w:val="nil"/>
              <w:right w:val="nil"/>
            </w:tcBorders>
            <w:shd w:val="clear" w:color="000000" w:fill="E6F2FF"/>
            <w:noWrap/>
            <w:vAlign w:val="center"/>
            <w:hideMark/>
          </w:tcPr>
          <w:p w14:paraId="73EA968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1,880</w:t>
            </w:r>
          </w:p>
        </w:tc>
        <w:tc>
          <w:tcPr>
            <w:tcW w:w="97" w:type="pct"/>
            <w:tcBorders>
              <w:top w:val="nil"/>
              <w:left w:val="nil"/>
              <w:bottom w:val="nil"/>
              <w:right w:val="nil"/>
            </w:tcBorders>
            <w:shd w:val="clear" w:color="000000" w:fill="FFFFFF"/>
            <w:noWrap/>
            <w:vAlign w:val="center"/>
            <w:hideMark/>
          </w:tcPr>
          <w:p w14:paraId="099CD35E"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single" w:sz="4" w:space="0" w:color="auto"/>
              <w:right w:val="nil"/>
            </w:tcBorders>
            <w:shd w:val="clear" w:color="000000" w:fill="FFFFFF"/>
            <w:noWrap/>
            <w:vAlign w:val="center"/>
            <w:hideMark/>
          </w:tcPr>
          <w:p w14:paraId="6065846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-200</w:t>
            </w:r>
          </w:p>
        </w:tc>
        <w:tc>
          <w:tcPr>
            <w:tcW w:w="505" w:type="pct"/>
            <w:tcBorders>
              <w:top w:val="nil"/>
              <w:left w:val="nil"/>
              <w:bottom w:val="single" w:sz="4" w:space="0" w:color="auto"/>
              <w:right w:val="nil"/>
            </w:tcBorders>
            <w:shd w:val="clear" w:color="000000" w:fill="FFFFFF"/>
            <w:noWrap/>
            <w:vAlign w:val="center"/>
            <w:hideMark/>
          </w:tcPr>
          <w:p w14:paraId="319559A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-9.6</w:t>
            </w:r>
          </w:p>
        </w:tc>
      </w:tr>
      <w:tr w:rsidR="00E63B15" w:rsidRPr="00E63B15" w14:paraId="52597A1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32B82442"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Income taxation revenue</w:t>
            </w:r>
          </w:p>
        </w:tc>
        <w:tc>
          <w:tcPr>
            <w:tcW w:w="597" w:type="pct"/>
            <w:tcBorders>
              <w:top w:val="single" w:sz="4" w:space="0" w:color="auto"/>
              <w:left w:val="nil"/>
              <w:bottom w:val="single" w:sz="4" w:space="0" w:color="auto"/>
              <w:right w:val="nil"/>
            </w:tcBorders>
            <w:shd w:val="clear" w:color="000000" w:fill="FFFFFF"/>
            <w:noWrap/>
            <w:vAlign w:val="center"/>
            <w:hideMark/>
          </w:tcPr>
          <w:p w14:paraId="5D53BABC"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516,200</w:t>
            </w:r>
          </w:p>
        </w:tc>
        <w:tc>
          <w:tcPr>
            <w:tcW w:w="597" w:type="pct"/>
            <w:tcBorders>
              <w:top w:val="single" w:sz="4" w:space="0" w:color="auto"/>
              <w:left w:val="nil"/>
              <w:bottom w:val="single" w:sz="4" w:space="0" w:color="auto"/>
              <w:right w:val="nil"/>
            </w:tcBorders>
            <w:shd w:val="clear" w:color="000000" w:fill="E6F2FF"/>
            <w:noWrap/>
            <w:vAlign w:val="center"/>
            <w:hideMark/>
          </w:tcPr>
          <w:p w14:paraId="702FB86D"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525,710</w:t>
            </w:r>
          </w:p>
        </w:tc>
        <w:tc>
          <w:tcPr>
            <w:tcW w:w="97" w:type="pct"/>
            <w:tcBorders>
              <w:top w:val="nil"/>
              <w:left w:val="nil"/>
              <w:bottom w:val="nil"/>
              <w:right w:val="nil"/>
            </w:tcBorders>
            <w:shd w:val="clear" w:color="000000" w:fill="FFFFFF"/>
            <w:noWrap/>
            <w:vAlign w:val="center"/>
            <w:hideMark/>
          </w:tcPr>
          <w:p w14:paraId="71C330A5"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single" w:sz="4" w:space="0" w:color="auto"/>
              <w:left w:val="nil"/>
              <w:bottom w:val="single" w:sz="4" w:space="0" w:color="auto"/>
              <w:right w:val="nil"/>
            </w:tcBorders>
            <w:shd w:val="clear" w:color="000000" w:fill="FFFFFF"/>
            <w:noWrap/>
            <w:vAlign w:val="center"/>
            <w:hideMark/>
          </w:tcPr>
          <w:p w14:paraId="682E1E4E"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9,510</w:t>
            </w:r>
          </w:p>
        </w:tc>
        <w:tc>
          <w:tcPr>
            <w:tcW w:w="505" w:type="pct"/>
            <w:tcBorders>
              <w:top w:val="single" w:sz="4" w:space="0" w:color="auto"/>
              <w:left w:val="nil"/>
              <w:bottom w:val="single" w:sz="4" w:space="0" w:color="auto"/>
              <w:right w:val="nil"/>
            </w:tcBorders>
            <w:shd w:val="clear" w:color="000000" w:fill="FFFFFF"/>
            <w:noWrap/>
            <w:vAlign w:val="center"/>
            <w:hideMark/>
          </w:tcPr>
          <w:p w14:paraId="4C4D739F"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1.8</w:t>
            </w:r>
          </w:p>
        </w:tc>
      </w:tr>
      <w:tr w:rsidR="00E63B15" w:rsidRPr="00E63B15" w14:paraId="1806E3A1" w14:textId="77777777" w:rsidTr="00E63B15">
        <w:trPr>
          <w:trHeight w:hRule="exact" w:val="60"/>
        </w:trPr>
        <w:tc>
          <w:tcPr>
            <w:tcW w:w="2647" w:type="pct"/>
            <w:tcBorders>
              <w:top w:val="nil"/>
              <w:left w:val="nil"/>
              <w:bottom w:val="nil"/>
              <w:right w:val="nil"/>
            </w:tcBorders>
            <w:shd w:val="clear" w:color="000000" w:fill="FFFFFF"/>
            <w:noWrap/>
            <w:vAlign w:val="center"/>
            <w:hideMark/>
          </w:tcPr>
          <w:p w14:paraId="4DACE02D"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 </w:t>
            </w:r>
          </w:p>
        </w:tc>
        <w:tc>
          <w:tcPr>
            <w:tcW w:w="597" w:type="pct"/>
            <w:tcBorders>
              <w:top w:val="nil"/>
              <w:left w:val="nil"/>
              <w:bottom w:val="nil"/>
              <w:right w:val="nil"/>
            </w:tcBorders>
            <w:shd w:val="clear" w:color="000000" w:fill="FFFFFF"/>
            <w:noWrap/>
            <w:vAlign w:val="center"/>
            <w:hideMark/>
          </w:tcPr>
          <w:p w14:paraId="7C20FDCE"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97" w:type="pct"/>
            <w:tcBorders>
              <w:top w:val="nil"/>
              <w:left w:val="nil"/>
              <w:bottom w:val="nil"/>
              <w:right w:val="nil"/>
            </w:tcBorders>
            <w:shd w:val="clear" w:color="000000" w:fill="E6F2FF"/>
            <w:noWrap/>
            <w:vAlign w:val="center"/>
            <w:hideMark/>
          </w:tcPr>
          <w:p w14:paraId="18B5B16A"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97" w:type="pct"/>
            <w:tcBorders>
              <w:top w:val="nil"/>
              <w:left w:val="nil"/>
              <w:bottom w:val="nil"/>
              <w:right w:val="nil"/>
            </w:tcBorders>
            <w:shd w:val="clear" w:color="000000" w:fill="FFFFFF"/>
            <w:noWrap/>
            <w:vAlign w:val="center"/>
            <w:hideMark/>
          </w:tcPr>
          <w:p w14:paraId="0D63E070"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4BA5F39E"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05" w:type="pct"/>
            <w:tcBorders>
              <w:top w:val="nil"/>
              <w:left w:val="nil"/>
              <w:bottom w:val="nil"/>
              <w:right w:val="nil"/>
            </w:tcBorders>
            <w:shd w:val="clear" w:color="000000" w:fill="FFFFFF"/>
            <w:noWrap/>
            <w:vAlign w:val="center"/>
            <w:hideMark/>
          </w:tcPr>
          <w:p w14:paraId="387FC074"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r>
      <w:tr w:rsidR="00E63B15" w:rsidRPr="00E63B15" w14:paraId="5FDEC5FC"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5B5767E3"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Goods and services tax</w:t>
            </w:r>
          </w:p>
        </w:tc>
        <w:tc>
          <w:tcPr>
            <w:tcW w:w="597" w:type="pct"/>
            <w:tcBorders>
              <w:top w:val="nil"/>
              <w:left w:val="nil"/>
              <w:bottom w:val="nil"/>
              <w:right w:val="nil"/>
            </w:tcBorders>
            <w:shd w:val="clear" w:color="000000" w:fill="FFFFFF"/>
            <w:noWrap/>
            <w:vAlign w:val="center"/>
            <w:hideMark/>
          </w:tcPr>
          <w:p w14:paraId="4339457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97,290</w:t>
            </w:r>
          </w:p>
        </w:tc>
        <w:tc>
          <w:tcPr>
            <w:tcW w:w="597" w:type="pct"/>
            <w:tcBorders>
              <w:top w:val="nil"/>
              <w:left w:val="nil"/>
              <w:bottom w:val="nil"/>
              <w:right w:val="nil"/>
            </w:tcBorders>
            <w:shd w:val="clear" w:color="000000" w:fill="E6F2FF"/>
            <w:noWrap/>
            <w:vAlign w:val="center"/>
            <w:hideMark/>
          </w:tcPr>
          <w:p w14:paraId="072B6D9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99,290</w:t>
            </w:r>
          </w:p>
        </w:tc>
        <w:tc>
          <w:tcPr>
            <w:tcW w:w="97" w:type="pct"/>
            <w:tcBorders>
              <w:top w:val="nil"/>
              <w:left w:val="nil"/>
              <w:bottom w:val="nil"/>
              <w:right w:val="nil"/>
            </w:tcBorders>
            <w:shd w:val="clear" w:color="000000" w:fill="FFFFFF"/>
            <w:noWrap/>
            <w:vAlign w:val="center"/>
            <w:hideMark/>
          </w:tcPr>
          <w:p w14:paraId="281898B2"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52A69FC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2,000</w:t>
            </w:r>
          </w:p>
        </w:tc>
        <w:tc>
          <w:tcPr>
            <w:tcW w:w="505" w:type="pct"/>
            <w:tcBorders>
              <w:top w:val="nil"/>
              <w:left w:val="nil"/>
              <w:bottom w:val="nil"/>
              <w:right w:val="nil"/>
            </w:tcBorders>
            <w:shd w:val="clear" w:color="000000" w:fill="FFFFFF"/>
            <w:noWrap/>
            <w:vAlign w:val="center"/>
            <w:hideMark/>
          </w:tcPr>
          <w:p w14:paraId="5D4CA18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2.1</w:t>
            </w:r>
          </w:p>
        </w:tc>
      </w:tr>
      <w:tr w:rsidR="00E63B15" w:rsidRPr="00E63B15" w14:paraId="5F279DAD"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05E48FD"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Wine equalisation tax</w:t>
            </w:r>
          </w:p>
        </w:tc>
        <w:tc>
          <w:tcPr>
            <w:tcW w:w="597" w:type="pct"/>
            <w:tcBorders>
              <w:top w:val="nil"/>
              <w:left w:val="nil"/>
              <w:bottom w:val="nil"/>
              <w:right w:val="nil"/>
            </w:tcBorders>
            <w:shd w:val="clear" w:color="000000" w:fill="FFFFFF"/>
            <w:noWrap/>
            <w:vAlign w:val="center"/>
            <w:hideMark/>
          </w:tcPr>
          <w:p w14:paraId="3C22CFB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1,220</w:t>
            </w:r>
          </w:p>
        </w:tc>
        <w:tc>
          <w:tcPr>
            <w:tcW w:w="597" w:type="pct"/>
            <w:tcBorders>
              <w:top w:val="nil"/>
              <w:left w:val="nil"/>
              <w:bottom w:val="nil"/>
              <w:right w:val="nil"/>
            </w:tcBorders>
            <w:shd w:val="clear" w:color="000000" w:fill="E6F2FF"/>
            <w:noWrap/>
            <w:vAlign w:val="center"/>
            <w:hideMark/>
          </w:tcPr>
          <w:p w14:paraId="1E87E6C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1,220</w:t>
            </w:r>
          </w:p>
        </w:tc>
        <w:tc>
          <w:tcPr>
            <w:tcW w:w="97" w:type="pct"/>
            <w:tcBorders>
              <w:top w:val="nil"/>
              <w:left w:val="nil"/>
              <w:bottom w:val="nil"/>
              <w:right w:val="nil"/>
            </w:tcBorders>
            <w:shd w:val="clear" w:color="000000" w:fill="FFFFFF"/>
            <w:noWrap/>
            <w:vAlign w:val="center"/>
            <w:hideMark/>
          </w:tcPr>
          <w:p w14:paraId="5EADC1E7"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4AF491A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w:t>
            </w:r>
          </w:p>
        </w:tc>
        <w:tc>
          <w:tcPr>
            <w:tcW w:w="505" w:type="pct"/>
            <w:tcBorders>
              <w:top w:val="nil"/>
              <w:left w:val="nil"/>
              <w:bottom w:val="nil"/>
              <w:right w:val="nil"/>
            </w:tcBorders>
            <w:shd w:val="clear" w:color="000000" w:fill="FFFFFF"/>
            <w:noWrap/>
            <w:vAlign w:val="center"/>
            <w:hideMark/>
          </w:tcPr>
          <w:p w14:paraId="2385CD7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0.0</w:t>
            </w:r>
          </w:p>
        </w:tc>
      </w:tr>
      <w:tr w:rsidR="00E63B15" w:rsidRPr="00E63B15" w14:paraId="698067E9"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DD8DB14"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Luxury car tax</w:t>
            </w:r>
          </w:p>
        </w:tc>
        <w:tc>
          <w:tcPr>
            <w:tcW w:w="597" w:type="pct"/>
            <w:tcBorders>
              <w:top w:val="nil"/>
              <w:left w:val="nil"/>
              <w:bottom w:val="nil"/>
              <w:right w:val="nil"/>
            </w:tcBorders>
            <w:shd w:val="clear" w:color="000000" w:fill="FFFFFF"/>
            <w:noWrap/>
            <w:vAlign w:val="center"/>
            <w:hideMark/>
          </w:tcPr>
          <w:p w14:paraId="535950F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1,200</w:t>
            </w:r>
          </w:p>
        </w:tc>
        <w:tc>
          <w:tcPr>
            <w:tcW w:w="597" w:type="pct"/>
            <w:tcBorders>
              <w:top w:val="nil"/>
              <w:left w:val="nil"/>
              <w:bottom w:val="nil"/>
              <w:right w:val="nil"/>
            </w:tcBorders>
            <w:shd w:val="clear" w:color="000000" w:fill="E6F2FF"/>
            <w:noWrap/>
            <w:vAlign w:val="center"/>
            <w:hideMark/>
          </w:tcPr>
          <w:p w14:paraId="24836D7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1,210</w:t>
            </w:r>
          </w:p>
        </w:tc>
        <w:tc>
          <w:tcPr>
            <w:tcW w:w="97" w:type="pct"/>
            <w:tcBorders>
              <w:top w:val="nil"/>
              <w:left w:val="nil"/>
              <w:bottom w:val="nil"/>
              <w:right w:val="nil"/>
            </w:tcBorders>
            <w:shd w:val="clear" w:color="000000" w:fill="FFFFFF"/>
            <w:noWrap/>
            <w:vAlign w:val="center"/>
            <w:hideMark/>
          </w:tcPr>
          <w:p w14:paraId="610A68DB"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67658D7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w:t>
            </w:r>
          </w:p>
        </w:tc>
        <w:tc>
          <w:tcPr>
            <w:tcW w:w="505" w:type="pct"/>
            <w:tcBorders>
              <w:top w:val="nil"/>
              <w:left w:val="nil"/>
              <w:bottom w:val="nil"/>
              <w:right w:val="nil"/>
            </w:tcBorders>
            <w:shd w:val="clear" w:color="000000" w:fill="FFFFFF"/>
            <w:noWrap/>
            <w:vAlign w:val="center"/>
            <w:hideMark/>
          </w:tcPr>
          <w:p w14:paraId="3DF134B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0.8</w:t>
            </w:r>
          </w:p>
        </w:tc>
      </w:tr>
      <w:tr w:rsidR="00E63B15" w:rsidRPr="00E63B15" w14:paraId="64790A4A"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7E1F3327"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 xml:space="preserve">Excise and customs duty  </w:t>
            </w:r>
          </w:p>
        </w:tc>
        <w:tc>
          <w:tcPr>
            <w:tcW w:w="597" w:type="pct"/>
            <w:tcBorders>
              <w:top w:val="nil"/>
              <w:left w:val="nil"/>
              <w:bottom w:val="nil"/>
              <w:right w:val="nil"/>
            </w:tcBorders>
            <w:shd w:val="clear" w:color="000000" w:fill="FFFFFF"/>
            <w:noWrap/>
            <w:vAlign w:val="center"/>
            <w:hideMark/>
          </w:tcPr>
          <w:p w14:paraId="0DFA536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575DA5F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97" w:type="pct"/>
            <w:tcBorders>
              <w:top w:val="nil"/>
              <w:left w:val="nil"/>
              <w:bottom w:val="nil"/>
              <w:right w:val="nil"/>
            </w:tcBorders>
            <w:shd w:val="clear" w:color="000000" w:fill="FFFFFF"/>
            <w:noWrap/>
            <w:vAlign w:val="center"/>
            <w:hideMark/>
          </w:tcPr>
          <w:p w14:paraId="3EB442D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47499E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05" w:type="pct"/>
            <w:tcBorders>
              <w:top w:val="nil"/>
              <w:left w:val="nil"/>
              <w:bottom w:val="nil"/>
              <w:right w:val="nil"/>
            </w:tcBorders>
            <w:shd w:val="clear" w:color="000000" w:fill="FFFFFF"/>
            <w:noWrap/>
            <w:vAlign w:val="center"/>
            <w:hideMark/>
          </w:tcPr>
          <w:p w14:paraId="2841196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r>
      <w:tr w:rsidR="00E63B15" w:rsidRPr="00E63B15" w14:paraId="247D2E58"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128CB2B8"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Petrol</w:t>
            </w:r>
          </w:p>
        </w:tc>
        <w:tc>
          <w:tcPr>
            <w:tcW w:w="597" w:type="pct"/>
            <w:tcBorders>
              <w:top w:val="nil"/>
              <w:left w:val="nil"/>
              <w:bottom w:val="nil"/>
              <w:right w:val="nil"/>
            </w:tcBorders>
            <w:shd w:val="clear" w:color="000000" w:fill="FFFFFF"/>
            <w:noWrap/>
            <w:vAlign w:val="center"/>
            <w:hideMark/>
          </w:tcPr>
          <w:p w14:paraId="3AB0FDA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7,550</w:t>
            </w:r>
          </w:p>
        </w:tc>
        <w:tc>
          <w:tcPr>
            <w:tcW w:w="597" w:type="pct"/>
            <w:tcBorders>
              <w:top w:val="nil"/>
              <w:left w:val="nil"/>
              <w:bottom w:val="nil"/>
              <w:right w:val="nil"/>
            </w:tcBorders>
            <w:shd w:val="clear" w:color="000000" w:fill="E6F2FF"/>
            <w:noWrap/>
            <w:vAlign w:val="center"/>
            <w:hideMark/>
          </w:tcPr>
          <w:p w14:paraId="32FFF47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7,450</w:t>
            </w:r>
          </w:p>
        </w:tc>
        <w:tc>
          <w:tcPr>
            <w:tcW w:w="97" w:type="pct"/>
            <w:tcBorders>
              <w:top w:val="nil"/>
              <w:left w:val="nil"/>
              <w:bottom w:val="nil"/>
              <w:right w:val="nil"/>
            </w:tcBorders>
            <w:shd w:val="clear" w:color="000000" w:fill="FFFFFF"/>
            <w:noWrap/>
            <w:vAlign w:val="center"/>
            <w:hideMark/>
          </w:tcPr>
          <w:p w14:paraId="205167C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E07C14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-100</w:t>
            </w:r>
          </w:p>
        </w:tc>
        <w:tc>
          <w:tcPr>
            <w:tcW w:w="505" w:type="pct"/>
            <w:tcBorders>
              <w:top w:val="nil"/>
              <w:left w:val="nil"/>
              <w:bottom w:val="nil"/>
              <w:right w:val="nil"/>
            </w:tcBorders>
            <w:shd w:val="clear" w:color="000000" w:fill="FFFFFF"/>
            <w:noWrap/>
            <w:vAlign w:val="center"/>
            <w:hideMark/>
          </w:tcPr>
          <w:p w14:paraId="3A8F3F5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-1.3</w:t>
            </w:r>
          </w:p>
        </w:tc>
      </w:tr>
      <w:tr w:rsidR="00E63B15" w:rsidRPr="00E63B15" w14:paraId="73D24039"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71679B9D"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Diesel</w:t>
            </w:r>
          </w:p>
        </w:tc>
        <w:tc>
          <w:tcPr>
            <w:tcW w:w="597" w:type="pct"/>
            <w:tcBorders>
              <w:top w:val="nil"/>
              <w:left w:val="nil"/>
              <w:bottom w:val="nil"/>
              <w:right w:val="nil"/>
            </w:tcBorders>
            <w:shd w:val="clear" w:color="000000" w:fill="FFFFFF"/>
            <w:noWrap/>
            <w:vAlign w:val="center"/>
            <w:hideMark/>
          </w:tcPr>
          <w:p w14:paraId="2EC9D856"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17,750</w:t>
            </w:r>
          </w:p>
        </w:tc>
        <w:tc>
          <w:tcPr>
            <w:tcW w:w="597" w:type="pct"/>
            <w:tcBorders>
              <w:top w:val="nil"/>
              <w:left w:val="nil"/>
              <w:bottom w:val="nil"/>
              <w:right w:val="nil"/>
            </w:tcBorders>
            <w:shd w:val="clear" w:color="000000" w:fill="E6F2FF"/>
            <w:noWrap/>
            <w:vAlign w:val="center"/>
            <w:hideMark/>
          </w:tcPr>
          <w:p w14:paraId="107D304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17,850</w:t>
            </w:r>
          </w:p>
        </w:tc>
        <w:tc>
          <w:tcPr>
            <w:tcW w:w="97" w:type="pct"/>
            <w:tcBorders>
              <w:top w:val="nil"/>
              <w:left w:val="nil"/>
              <w:bottom w:val="nil"/>
              <w:right w:val="nil"/>
            </w:tcBorders>
            <w:shd w:val="clear" w:color="000000" w:fill="FFFFFF"/>
            <w:noWrap/>
            <w:vAlign w:val="center"/>
            <w:hideMark/>
          </w:tcPr>
          <w:p w14:paraId="2DB2409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A64425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100</w:t>
            </w:r>
          </w:p>
        </w:tc>
        <w:tc>
          <w:tcPr>
            <w:tcW w:w="505" w:type="pct"/>
            <w:tcBorders>
              <w:top w:val="nil"/>
              <w:left w:val="nil"/>
              <w:bottom w:val="nil"/>
              <w:right w:val="nil"/>
            </w:tcBorders>
            <w:shd w:val="clear" w:color="000000" w:fill="FFFFFF"/>
            <w:noWrap/>
            <w:vAlign w:val="center"/>
            <w:hideMark/>
          </w:tcPr>
          <w:p w14:paraId="6352A00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0.6</w:t>
            </w:r>
          </w:p>
        </w:tc>
      </w:tr>
      <w:tr w:rsidR="00E63B15" w:rsidRPr="00E63B15" w14:paraId="677B59C8"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63F6CB6F"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Other fuel products</w:t>
            </w:r>
          </w:p>
        </w:tc>
        <w:tc>
          <w:tcPr>
            <w:tcW w:w="597" w:type="pct"/>
            <w:tcBorders>
              <w:top w:val="nil"/>
              <w:left w:val="nil"/>
              <w:bottom w:val="nil"/>
              <w:right w:val="nil"/>
            </w:tcBorders>
            <w:shd w:val="clear" w:color="000000" w:fill="FFFFFF"/>
            <w:noWrap/>
            <w:vAlign w:val="center"/>
            <w:hideMark/>
          </w:tcPr>
          <w:p w14:paraId="0DE73D9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2,230</w:t>
            </w:r>
          </w:p>
        </w:tc>
        <w:tc>
          <w:tcPr>
            <w:tcW w:w="597" w:type="pct"/>
            <w:tcBorders>
              <w:top w:val="nil"/>
              <w:left w:val="nil"/>
              <w:bottom w:val="nil"/>
              <w:right w:val="nil"/>
            </w:tcBorders>
            <w:shd w:val="clear" w:color="000000" w:fill="E6F2FF"/>
            <w:noWrap/>
            <w:vAlign w:val="center"/>
            <w:hideMark/>
          </w:tcPr>
          <w:p w14:paraId="7B3187C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2,020</w:t>
            </w:r>
          </w:p>
        </w:tc>
        <w:tc>
          <w:tcPr>
            <w:tcW w:w="97" w:type="pct"/>
            <w:tcBorders>
              <w:top w:val="nil"/>
              <w:left w:val="nil"/>
              <w:bottom w:val="nil"/>
              <w:right w:val="nil"/>
            </w:tcBorders>
            <w:shd w:val="clear" w:color="000000" w:fill="FFFFFF"/>
            <w:noWrap/>
            <w:vAlign w:val="center"/>
            <w:hideMark/>
          </w:tcPr>
          <w:p w14:paraId="36333F5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71239F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-210</w:t>
            </w:r>
          </w:p>
        </w:tc>
        <w:tc>
          <w:tcPr>
            <w:tcW w:w="505" w:type="pct"/>
            <w:tcBorders>
              <w:top w:val="nil"/>
              <w:left w:val="nil"/>
              <w:bottom w:val="nil"/>
              <w:right w:val="nil"/>
            </w:tcBorders>
            <w:shd w:val="clear" w:color="000000" w:fill="FFFFFF"/>
            <w:noWrap/>
            <w:vAlign w:val="center"/>
            <w:hideMark/>
          </w:tcPr>
          <w:p w14:paraId="41474DA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-9.4</w:t>
            </w:r>
          </w:p>
        </w:tc>
      </w:tr>
      <w:tr w:rsidR="00E63B15" w:rsidRPr="00E63B15" w14:paraId="407E9D8B"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230447F"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Tobacco</w:t>
            </w:r>
          </w:p>
        </w:tc>
        <w:tc>
          <w:tcPr>
            <w:tcW w:w="597" w:type="pct"/>
            <w:tcBorders>
              <w:top w:val="nil"/>
              <w:left w:val="nil"/>
              <w:bottom w:val="nil"/>
              <w:right w:val="nil"/>
            </w:tcBorders>
            <w:shd w:val="clear" w:color="000000" w:fill="FFFFFF"/>
            <w:noWrap/>
            <w:vAlign w:val="center"/>
            <w:hideMark/>
          </w:tcPr>
          <w:p w14:paraId="10C072C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11,500</w:t>
            </w:r>
          </w:p>
        </w:tc>
        <w:tc>
          <w:tcPr>
            <w:tcW w:w="597" w:type="pct"/>
            <w:tcBorders>
              <w:top w:val="nil"/>
              <w:left w:val="nil"/>
              <w:bottom w:val="nil"/>
              <w:right w:val="nil"/>
            </w:tcBorders>
            <w:shd w:val="clear" w:color="000000" w:fill="E6F2FF"/>
            <w:noWrap/>
            <w:vAlign w:val="center"/>
            <w:hideMark/>
          </w:tcPr>
          <w:p w14:paraId="41FF664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8,650</w:t>
            </w:r>
          </w:p>
        </w:tc>
        <w:tc>
          <w:tcPr>
            <w:tcW w:w="97" w:type="pct"/>
            <w:tcBorders>
              <w:top w:val="nil"/>
              <w:left w:val="nil"/>
              <w:bottom w:val="nil"/>
              <w:right w:val="nil"/>
            </w:tcBorders>
            <w:shd w:val="clear" w:color="000000" w:fill="FFFFFF"/>
            <w:noWrap/>
            <w:vAlign w:val="center"/>
            <w:hideMark/>
          </w:tcPr>
          <w:p w14:paraId="7E038E8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980B27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-2,850</w:t>
            </w:r>
          </w:p>
        </w:tc>
        <w:tc>
          <w:tcPr>
            <w:tcW w:w="505" w:type="pct"/>
            <w:tcBorders>
              <w:top w:val="nil"/>
              <w:left w:val="nil"/>
              <w:bottom w:val="nil"/>
              <w:right w:val="nil"/>
            </w:tcBorders>
            <w:shd w:val="clear" w:color="000000" w:fill="FFFFFF"/>
            <w:noWrap/>
            <w:vAlign w:val="center"/>
            <w:hideMark/>
          </w:tcPr>
          <w:p w14:paraId="094BEAE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-24.8</w:t>
            </w:r>
          </w:p>
        </w:tc>
      </w:tr>
      <w:tr w:rsidR="00E63B15" w:rsidRPr="00E63B15" w14:paraId="3101CB5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546EB53C"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Beer</w:t>
            </w:r>
          </w:p>
        </w:tc>
        <w:tc>
          <w:tcPr>
            <w:tcW w:w="597" w:type="pct"/>
            <w:tcBorders>
              <w:top w:val="nil"/>
              <w:left w:val="nil"/>
              <w:bottom w:val="nil"/>
              <w:right w:val="nil"/>
            </w:tcBorders>
            <w:shd w:val="clear" w:color="000000" w:fill="FFFFFF"/>
            <w:noWrap/>
            <w:vAlign w:val="center"/>
            <w:hideMark/>
          </w:tcPr>
          <w:p w14:paraId="362BB38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2,870</w:t>
            </w:r>
          </w:p>
        </w:tc>
        <w:tc>
          <w:tcPr>
            <w:tcW w:w="597" w:type="pct"/>
            <w:tcBorders>
              <w:top w:val="nil"/>
              <w:left w:val="nil"/>
              <w:bottom w:val="nil"/>
              <w:right w:val="nil"/>
            </w:tcBorders>
            <w:shd w:val="clear" w:color="000000" w:fill="E6F2FF"/>
            <w:noWrap/>
            <w:vAlign w:val="center"/>
            <w:hideMark/>
          </w:tcPr>
          <w:p w14:paraId="4593687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2,850</w:t>
            </w:r>
          </w:p>
        </w:tc>
        <w:tc>
          <w:tcPr>
            <w:tcW w:w="97" w:type="pct"/>
            <w:tcBorders>
              <w:top w:val="nil"/>
              <w:left w:val="nil"/>
              <w:bottom w:val="nil"/>
              <w:right w:val="nil"/>
            </w:tcBorders>
            <w:shd w:val="clear" w:color="000000" w:fill="FFFFFF"/>
            <w:noWrap/>
            <w:vAlign w:val="center"/>
            <w:hideMark/>
          </w:tcPr>
          <w:p w14:paraId="431B3A9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06A4079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-20</w:t>
            </w:r>
          </w:p>
        </w:tc>
        <w:tc>
          <w:tcPr>
            <w:tcW w:w="505" w:type="pct"/>
            <w:tcBorders>
              <w:top w:val="nil"/>
              <w:left w:val="nil"/>
              <w:bottom w:val="nil"/>
              <w:right w:val="nil"/>
            </w:tcBorders>
            <w:shd w:val="clear" w:color="000000" w:fill="FFFFFF"/>
            <w:noWrap/>
            <w:vAlign w:val="center"/>
            <w:hideMark/>
          </w:tcPr>
          <w:p w14:paraId="5DC3863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-0.7</w:t>
            </w:r>
          </w:p>
        </w:tc>
      </w:tr>
      <w:tr w:rsidR="00E63B15" w:rsidRPr="00E63B15" w14:paraId="795843AA"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2CE1D79D"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Spirits</w:t>
            </w:r>
          </w:p>
        </w:tc>
        <w:tc>
          <w:tcPr>
            <w:tcW w:w="597" w:type="pct"/>
            <w:tcBorders>
              <w:top w:val="nil"/>
              <w:left w:val="nil"/>
              <w:bottom w:val="nil"/>
              <w:right w:val="nil"/>
            </w:tcBorders>
            <w:shd w:val="clear" w:color="000000" w:fill="FFFFFF"/>
            <w:noWrap/>
            <w:vAlign w:val="center"/>
            <w:hideMark/>
          </w:tcPr>
          <w:p w14:paraId="6F197F2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3,770</w:t>
            </w:r>
          </w:p>
        </w:tc>
        <w:tc>
          <w:tcPr>
            <w:tcW w:w="597" w:type="pct"/>
            <w:tcBorders>
              <w:top w:val="nil"/>
              <w:left w:val="nil"/>
              <w:bottom w:val="nil"/>
              <w:right w:val="nil"/>
            </w:tcBorders>
            <w:shd w:val="clear" w:color="000000" w:fill="E6F2FF"/>
            <w:noWrap/>
            <w:vAlign w:val="center"/>
            <w:hideMark/>
          </w:tcPr>
          <w:p w14:paraId="40308C5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3,450</w:t>
            </w:r>
          </w:p>
        </w:tc>
        <w:tc>
          <w:tcPr>
            <w:tcW w:w="97" w:type="pct"/>
            <w:tcBorders>
              <w:top w:val="nil"/>
              <w:left w:val="nil"/>
              <w:bottom w:val="nil"/>
              <w:right w:val="nil"/>
            </w:tcBorders>
            <w:shd w:val="clear" w:color="000000" w:fill="FFFFFF"/>
            <w:noWrap/>
            <w:vAlign w:val="center"/>
            <w:hideMark/>
          </w:tcPr>
          <w:p w14:paraId="2185631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5372FA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-320</w:t>
            </w:r>
          </w:p>
        </w:tc>
        <w:tc>
          <w:tcPr>
            <w:tcW w:w="505" w:type="pct"/>
            <w:tcBorders>
              <w:top w:val="nil"/>
              <w:left w:val="nil"/>
              <w:bottom w:val="nil"/>
              <w:right w:val="nil"/>
            </w:tcBorders>
            <w:shd w:val="clear" w:color="000000" w:fill="FFFFFF"/>
            <w:noWrap/>
            <w:vAlign w:val="center"/>
            <w:hideMark/>
          </w:tcPr>
          <w:p w14:paraId="012B689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-8.5</w:t>
            </w:r>
          </w:p>
        </w:tc>
      </w:tr>
      <w:tr w:rsidR="00E63B15" w:rsidRPr="00E63B15" w14:paraId="0B78DE8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4A28D6A8"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Other alcoholic beverages(a)</w:t>
            </w:r>
          </w:p>
        </w:tc>
        <w:tc>
          <w:tcPr>
            <w:tcW w:w="597" w:type="pct"/>
            <w:tcBorders>
              <w:top w:val="nil"/>
              <w:left w:val="nil"/>
              <w:bottom w:val="nil"/>
              <w:right w:val="nil"/>
            </w:tcBorders>
            <w:shd w:val="clear" w:color="000000" w:fill="FFFFFF"/>
            <w:noWrap/>
            <w:vAlign w:val="center"/>
            <w:hideMark/>
          </w:tcPr>
          <w:p w14:paraId="1BBFC0D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1,810</w:t>
            </w:r>
          </w:p>
        </w:tc>
        <w:tc>
          <w:tcPr>
            <w:tcW w:w="597" w:type="pct"/>
            <w:tcBorders>
              <w:top w:val="nil"/>
              <w:left w:val="nil"/>
              <w:bottom w:val="nil"/>
              <w:right w:val="nil"/>
            </w:tcBorders>
            <w:shd w:val="clear" w:color="000000" w:fill="E6F2FF"/>
            <w:noWrap/>
            <w:vAlign w:val="center"/>
            <w:hideMark/>
          </w:tcPr>
          <w:p w14:paraId="265537A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1,850</w:t>
            </w:r>
          </w:p>
        </w:tc>
        <w:tc>
          <w:tcPr>
            <w:tcW w:w="97" w:type="pct"/>
            <w:tcBorders>
              <w:top w:val="nil"/>
              <w:left w:val="nil"/>
              <w:bottom w:val="nil"/>
              <w:right w:val="nil"/>
            </w:tcBorders>
            <w:shd w:val="clear" w:color="000000" w:fill="FFFFFF"/>
            <w:noWrap/>
            <w:vAlign w:val="center"/>
            <w:hideMark/>
          </w:tcPr>
          <w:p w14:paraId="2E456CD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386E610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40</w:t>
            </w:r>
          </w:p>
        </w:tc>
        <w:tc>
          <w:tcPr>
            <w:tcW w:w="505" w:type="pct"/>
            <w:tcBorders>
              <w:top w:val="nil"/>
              <w:left w:val="nil"/>
              <w:bottom w:val="nil"/>
              <w:right w:val="nil"/>
            </w:tcBorders>
            <w:shd w:val="clear" w:color="000000" w:fill="FFFFFF"/>
            <w:noWrap/>
            <w:vAlign w:val="center"/>
            <w:hideMark/>
          </w:tcPr>
          <w:p w14:paraId="7D8C53D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2.2</w:t>
            </w:r>
          </w:p>
        </w:tc>
      </w:tr>
      <w:tr w:rsidR="00E63B15" w:rsidRPr="00E63B15" w14:paraId="078C3913"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36FCE9AF" w14:textId="77777777" w:rsidR="00E63B15" w:rsidRPr="00E63B15" w:rsidRDefault="00E63B15" w:rsidP="00E63B15">
            <w:pPr>
              <w:spacing w:before="0" w:after="0" w:line="240" w:lineRule="auto"/>
              <w:ind w:left="170"/>
              <w:rPr>
                <w:rFonts w:ascii="Arial" w:hAnsi="Arial" w:cs="Arial"/>
                <w:color w:val="000000"/>
                <w:sz w:val="16"/>
                <w:szCs w:val="16"/>
              </w:rPr>
            </w:pPr>
            <w:r w:rsidRPr="00E63B15">
              <w:rPr>
                <w:rFonts w:ascii="Arial" w:hAnsi="Arial" w:cs="Arial"/>
                <w:color w:val="000000"/>
                <w:sz w:val="16"/>
                <w:szCs w:val="16"/>
              </w:rPr>
              <w:t>Other customs duty</w:t>
            </w:r>
          </w:p>
        </w:tc>
        <w:tc>
          <w:tcPr>
            <w:tcW w:w="597" w:type="pct"/>
            <w:tcBorders>
              <w:top w:val="nil"/>
              <w:left w:val="nil"/>
              <w:bottom w:val="nil"/>
              <w:right w:val="nil"/>
            </w:tcBorders>
            <w:shd w:val="clear" w:color="000000" w:fill="FFFFFF"/>
            <w:noWrap/>
            <w:vAlign w:val="center"/>
            <w:hideMark/>
          </w:tcPr>
          <w:p w14:paraId="1F9DAAD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7EB04396"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97" w:type="pct"/>
            <w:tcBorders>
              <w:top w:val="nil"/>
              <w:left w:val="nil"/>
              <w:bottom w:val="nil"/>
              <w:right w:val="nil"/>
            </w:tcBorders>
            <w:shd w:val="clear" w:color="000000" w:fill="FFFFFF"/>
            <w:noWrap/>
            <w:vAlign w:val="center"/>
            <w:hideMark/>
          </w:tcPr>
          <w:p w14:paraId="4B1DBBE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4EBDF0F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05" w:type="pct"/>
            <w:tcBorders>
              <w:top w:val="nil"/>
              <w:left w:val="nil"/>
              <w:bottom w:val="nil"/>
              <w:right w:val="nil"/>
            </w:tcBorders>
            <w:shd w:val="clear" w:color="000000" w:fill="FFFFFF"/>
            <w:noWrap/>
            <w:vAlign w:val="center"/>
            <w:hideMark/>
          </w:tcPr>
          <w:p w14:paraId="67D23D7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r>
      <w:tr w:rsidR="00E63B15" w:rsidRPr="00E63B15" w14:paraId="2A3C160F" w14:textId="77777777" w:rsidTr="00E63B15">
        <w:trPr>
          <w:trHeight w:hRule="exact" w:val="226"/>
        </w:trPr>
        <w:tc>
          <w:tcPr>
            <w:tcW w:w="2647" w:type="pct"/>
            <w:tcBorders>
              <w:top w:val="nil"/>
              <w:left w:val="nil"/>
              <w:bottom w:val="nil"/>
              <w:right w:val="nil"/>
            </w:tcBorders>
            <w:shd w:val="clear" w:color="000000" w:fill="FFFFFF"/>
            <w:noWrap/>
            <w:vAlign w:val="bottom"/>
            <w:hideMark/>
          </w:tcPr>
          <w:p w14:paraId="29764EA4" w14:textId="77777777" w:rsidR="00E63B15" w:rsidRPr="00E63B15" w:rsidRDefault="00E63B15" w:rsidP="00E63B15">
            <w:pPr>
              <w:spacing w:before="0" w:after="0" w:line="240" w:lineRule="auto"/>
              <w:ind w:left="340"/>
              <w:rPr>
                <w:rFonts w:ascii="Arial" w:hAnsi="Arial" w:cs="Arial"/>
                <w:color w:val="000000"/>
                <w:sz w:val="16"/>
                <w:szCs w:val="16"/>
              </w:rPr>
            </w:pPr>
            <w:r w:rsidRPr="00E63B15">
              <w:rPr>
                <w:rFonts w:ascii="Arial" w:hAnsi="Arial" w:cs="Arial"/>
                <w:color w:val="000000"/>
                <w:sz w:val="16"/>
                <w:szCs w:val="16"/>
              </w:rPr>
              <w:t xml:space="preserve">Textiles, </w:t>
            </w:r>
            <w:proofErr w:type="gramStart"/>
            <w:r w:rsidRPr="00E63B15">
              <w:rPr>
                <w:rFonts w:ascii="Arial" w:hAnsi="Arial" w:cs="Arial"/>
                <w:color w:val="000000"/>
                <w:sz w:val="16"/>
                <w:szCs w:val="16"/>
              </w:rPr>
              <w:t>clothing</w:t>
            </w:r>
            <w:proofErr w:type="gramEnd"/>
            <w:r w:rsidRPr="00E63B15">
              <w:rPr>
                <w:rFonts w:ascii="Arial" w:hAnsi="Arial" w:cs="Arial"/>
                <w:color w:val="000000"/>
                <w:sz w:val="16"/>
                <w:szCs w:val="16"/>
              </w:rPr>
              <w:t xml:space="preserve"> and footwear</w:t>
            </w:r>
          </w:p>
        </w:tc>
        <w:tc>
          <w:tcPr>
            <w:tcW w:w="597" w:type="pct"/>
            <w:tcBorders>
              <w:top w:val="nil"/>
              <w:left w:val="nil"/>
              <w:bottom w:val="nil"/>
              <w:right w:val="nil"/>
            </w:tcBorders>
            <w:shd w:val="clear" w:color="000000" w:fill="FFFFFF"/>
            <w:noWrap/>
            <w:vAlign w:val="center"/>
            <w:hideMark/>
          </w:tcPr>
          <w:p w14:paraId="3AB3C10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170</w:t>
            </w:r>
          </w:p>
        </w:tc>
        <w:tc>
          <w:tcPr>
            <w:tcW w:w="597" w:type="pct"/>
            <w:tcBorders>
              <w:top w:val="nil"/>
              <w:left w:val="nil"/>
              <w:bottom w:val="nil"/>
              <w:right w:val="nil"/>
            </w:tcBorders>
            <w:shd w:val="clear" w:color="000000" w:fill="E6F2FF"/>
            <w:noWrap/>
            <w:vAlign w:val="center"/>
            <w:hideMark/>
          </w:tcPr>
          <w:p w14:paraId="1D00B5A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170</w:t>
            </w:r>
          </w:p>
        </w:tc>
        <w:tc>
          <w:tcPr>
            <w:tcW w:w="97" w:type="pct"/>
            <w:tcBorders>
              <w:top w:val="nil"/>
              <w:left w:val="nil"/>
              <w:bottom w:val="nil"/>
              <w:right w:val="nil"/>
            </w:tcBorders>
            <w:shd w:val="clear" w:color="000000" w:fill="FFFFFF"/>
            <w:noWrap/>
            <w:vAlign w:val="center"/>
            <w:hideMark/>
          </w:tcPr>
          <w:p w14:paraId="3F46BE6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8029E3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w:t>
            </w:r>
          </w:p>
        </w:tc>
        <w:tc>
          <w:tcPr>
            <w:tcW w:w="505" w:type="pct"/>
            <w:tcBorders>
              <w:top w:val="nil"/>
              <w:left w:val="nil"/>
              <w:bottom w:val="nil"/>
              <w:right w:val="nil"/>
            </w:tcBorders>
            <w:shd w:val="clear" w:color="000000" w:fill="FFFFFF"/>
            <w:noWrap/>
            <w:vAlign w:val="center"/>
            <w:hideMark/>
          </w:tcPr>
          <w:p w14:paraId="377BFA3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0.0</w:t>
            </w:r>
          </w:p>
        </w:tc>
      </w:tr>
      <w:tr w:rsidR="00E63B15" w:rsidRPr="00E63B15" w14:paraId="6C48D081" w14:textId="77777777" w:rsidTr="00E63B15">
        <w:trPr>
          <w:trHeight w:hRule="exact" w:val="226"/>
        </w:trPr>
        <w:tc>
          <w:tcPr>
            <w:tcW w:w="2647" w:type="pct"/>
            <w:tcBorders>
              <w:top w:val="nil"/>
              <w:left w:val="nil"/>
              <w:bottom w:val="nil"/>
              <w:right w:val="nil"/>
            </w:tcBorders>
            <w:shd w:val="clear" w:color="000000" w:fill="FFFFFF"/>
            <w:noWrap/>
            <w:vAlign w:val="bottom"/>
            <w:hideMark/>
          </w:tcPr>
          <w:p w14:paraId="5E2708C0" w14:textId="77777777" w:rsidR="00E63B15" w:rsidRPr="00E63B15" w:rsidRDefault="00E63B15" w:rsidP="00E63B15">
            <w:pPr>
              <w:spacing w:before="0" w:after="0" w:line="240" w:lineRule="auto"/>
              <w:ind w:left="340"/>
              <w:rPr>
                <w:rFonts w:ascii="Arial" w:hAnsi="Arial" w:cs="Arial"/>
                <w:color w:val="000000"/>
                <w:sz w:val="16"/>
                <w:szCs w:val="16"/>
              </w:rPr>
            </w:pPr>
            <w:r w:rsidRPr="00E63B15">
              <w:rPr>
                <w:rFonts w:ascii="Arial" w:hAnsi="Arial" w:cs="Arial"/>
                <w:color w:val="000000"/>
                <w:sz w:val="16"/>
                <w:szCs w:val="16"/>
              </w:rPr>
              <w:t>Passenger motor vehicles</w:t>
            </w:r>
          </w:p>
        </w:tc>
        <w:tc>
          <w:tcPr>
            <w:tcW w:w="597" w:type="pct"/>
            <w:tcBorders>
              <w:top w:val="nil"/>
              <w:left w:val="nil"/>
              <w:bottom w:val="nil"/>
              <w:right w:val="nil"/>
            </w:tcBorders>
            <w:shd w:val="clear" w:color="000000" w:fill="FFFFFF"/>
            <w:noWrap/>
            <w:vAlign w:val="center"/>
            <w:hideMark/>
          </w:tcPr>
          <w:p w14:paraId="1A879CA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370</w:t>
            </w:r>
          </w:p>
        </w:tc>
        <w:tc>
          <w:tcPr>
            <w:tcW w:w="597" w:type="pct"/>
            <w:tcBorders>
              <w:top w:val="nil"/>
              <w:left w:val="nil"/>
              <w:bottom w:val="nil"/>
              <w:right w:val="nil"/>
            </w:tcBorders>
            <w:shd w:val="clear" w:color="000000" w:fill="E6F2FF"/>
            <w:noWrap/>
            <w:vAlign w:val="center"/>
            <w:hideMark/>
          </w:tcPr>
          <w:p w14:paraId="5F91392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370</w:t>
            </w:r>
          </w:p>
        </w:tc>
        <w:tc>
          <w:tcPr>
            <w:tcW w:w="97" w:type="pct"/>
            <w:tcBorders>
              <w:top w:val="nil"/>
              <w:left w:val="nil"/>
              <w:bottom w:val="nil"/>
              <w:right w:val="nil"/>
            </w:tcBorders>
            <w:shd w:val="clear" w:color="000000" w:fill="FFFFFF"/>
            <w:noWrap/>
            <w:vAlign w:val="center"/>
            <w:hideMark/>
          </w:tcPr>
          <w:p w14:paraId="614BB8B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30F9E28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w:t>
            </w:r>
          </w:p>
        </w:tc>
        <w:tc>
          <w:tcPr>
            <w:tcW w:w="505" w:type="pct"/>
            <w:tcBorders>
              <w:top w:val="nil"/>
              <w:left w:val="nil"/>
              <w:bottom w:val="nil"/>
              <w:right w:val="nil"/>
            </w:tcBorders>
            <w:shd w:val="clear" w:color="000000" w:fill="FFFFFF"/>
            <w:noWrap/>
            <w:vAlign w:val="center"/>
            <w:hideMark/>
          </w:tcPr>
          <w:p w14:paraId="7D7428A9"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0.0</w:t>
            </w:r>
          </w:p>
        </w:tc>
      </w:tr>
      <w:tr w:rsidR="00E63B15" w:rsidRPr="00E63B15" w14:paraId="63997265"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4073E178" w14:textId="77777777" w:rsidR="00E63B15" w:rsidRPr="00E63B15" w:rsidRDefault="00E63B15" w:rsidP="00E63B15">
            <w:pPr>
              <w:spacing w:before="0" w:after="0" w:line="240" w:lineRule="auto"/>
              <w:ind w:left="340"/>
              <w:rPr>
                <w:rFonts w:ascii="Arial" w:hAnsi="Arial" w:cs="Arial"/>
                <w:color w:val="000000"/>
                <w:sz w:val="16"/>
                <w:szCs w:val="16"/>
              </w:rPr>
            </w:pPr>
            <w:r w:rsidRPr="00E63B15">
              <w:rPr>
                <w:rFonts w:ascii="Arial" w:hAnsi="Arial" w:cs="Arial"/>
                <w:color w:val="000000"/>
                <w:sz w:val="16"/>
                <w:szCs w:val="16"/>
              </w:rPr>
              <w:t>Other imports</w:t>
            </w:r>
          </w:p>
        </w:tc>
        <w:tc>
          <w:tcPr>
            <w:tcW w:w="597" w:type="pct"/>
            <w:tcBorders>
              <w:top w:val="nil"/>
              <w:left w:val="nil"/>
              <w:bottom w:val="nil"/>
              <w:right w:val="nil"/>
            </w:tcBorders>
            <w:shd w:val="clear" w:color="000000" w:fill="FFFFFF"/>
            <w:noWrap/>
            <w:vAlign w:val="center"/>
            <w:hideMark/>
          </w:tcPr>
          <w:p w14:paraId="389D952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1,590</w:t>
            </w:r>
          </w:p>
        </w:tc>
        <w:tc>
          <w:tcPr>
            <w:tcW w:w="597" w:type="pct"/>
            <w:tcBorders>
              <w:top w:val="nil"/>
              <w:left w:val="nil"/>
              <w:bottom w:val="nil"/>
              <w:right w:val="nil"/>
            </w:tcBorders>
            <w:shd w:val="clear" w:color="000000" w:fill="E6F2FF"/>
            <w:noWrap/>
            <w:vAlign w:val="center"/>
            <w:hideMark/>
          </w:tcPr>
          <w:p w14:paraId="106EF95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1,600</w:t>
            </w:r>
          </w:p>
        </w:tc>
        <w:tc>
          <w:tcPr>
            <w:tcW w:w="97" w:type="pct"/>
            <w:tcBorders>
              <w:top w:val="nil"/>
              <w:left w:val="nil"/>
              <w:bottom w:val="nil"/>
              <w:right w:val="nil"/>
            </w:tcBorders>
            <w:shd w:val="clear" w:color="000000" w:fill="FFFFFF"/>
            <w:noWrap/>
            <w:vAlign w:val="center"/>
            <w:hideMark/>
          </w:tcPr>
          <w:p w14:paraId="0C605D1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7E0171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w:t>
            </w:r>
          </w:p>
        </w:tc>
        <w:tc>
          <w:tcPr>
            <w:tcW w:w="505" w:type="pct"/>
            <w:tcBorders>
              <w:top w:val="nil"/>
              <w:left w:val="nil"/>
              <w:bottom w:val="nil"/>
              <w:right w:val="nil"/>
            </w:tcBorders>
            <w:shd w:val="clear" w:color="000000" w:fill="FFFFFF"/>
            <w:noWrap/>
            <w:vAlign w:val="center"/>
            <w:hideMark/>
          </w:tcPr>
          <w:p w14:paraId="1AE1CD9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0.6</w:t>
            </w:r>
          </w:p>
        </w:tc>
      </w:tr>
      <w:tr w:rsidR="0074084A" w:rsidRPr="00E63B15" w14:paraId="643B55F9" w14:textId="77777777" w:rsidTr="00E63B15">
        <w:trPr>
          <w:trHeight w:hRule="exact" w:val="226"/>
        </w:trPr>
        <w:tc>
          <w:tcPr>
            <w:tcW w:w="2647" w:type="pct"/>
            <w:tcBorders>
              <w:top w:val="nil"/>
              <w:left w:val="nil"/>
              <w:bottom w:val="nil"/>
              <w:right w:val="nil"/>
            </w:tcBorders>
            <w:shd w:val="clear" w:color="000000" w:fill="FFFFFF"/>
            <w:noWrap/>
            <w:vAlign w:val="bottom"/>
            <w:hideMark/>
          </w:tcPr>
          <w:p w14:paraId="10C68AA6" w14:textId="77777777" w:rsidR="00E63B15" w:rsidRPr="00E63B15" w:rsidRDefault="00E63B15" w:rsidP="00E63B15">
            <w:pPr>
              <w:spacing w:before="0" w:after="0" w:line="240" w:lineRule="auto"/>
              <w:ind w:left="170"/>
              <w:rPr>
                <w:rFonts w:ascii="Arial" w:hAnsi="Arial" w:cs="Arial"/>
                <w:i/>
                <w:iCs/>
                <w:color w:val="000000"/>
                <w:sz w:val="16"/>
                <w:szCs w:val="16"/>
              </w:rPr>
            </w:pPr>
            <w:r w:rsidRPr="00E63B15">
              <w:rPr>
                <w:rFonts w:ascii="Arial" w:hAnsi="Arial" w:cs="Arial"/>
                <w:i/>
                <w:iCs/>
                <w:color w:val="000000"/>
                <w:sz w:val="16"/>
                <w:szCs w:val="16"/>
              </w:rPr>
              <w:t xml:space="preserve">less: </w:t>
            </w:r>
            <w:r w:rsidRPr="00E63B15">
              <w:rPr>
                <w:rFonts w:ascii="Arial" w:hAnsi="Arial" w:cs="Arial"/>
                <w:color w:val="000000"/>
                <w:sz w:val="16"/>
                <w:szCs w:val="16"/>
              </w:rPr>
              <w:t>Refunds and drawbacks</w:t>
            </w:r>
          </w:p>
        </w:tc>
        <w:tc>
          <w:tcPr>
            <w:tcW w:w="597" w:type="pct"/>
            <w:tcBorders>
              <w:top w:val="nil"/>
              <w:left w:val="nil"/>
              <w:bottom w:val="single" w:sz="4" w:space="0" w:color="000000"/>
              <w:right w:val="nil"/>
            </w:tcBorders>
            <w:shd w:val="clear" w:color="000000" w:fill="FFFFFF"/>
            <w:noWrap/>
            <w:vAlign w:val="center"/>
            <w:hideMark/>
          </w:tcPr>
          <w:p w14:paraId="2BC1C2B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730</w:t>
            </w:r>
          </w:p>
        </w:tc>
        <w:tc>
          <w:tcPr>
            <w:tcW w:w="597" w:type="pct"/>
            <w:tcBorders>
              <w:top w:val="nil"/>
              <w:left w:val="nil"/>
              <w:bottom w:val="single" w:sz="4" w:space="0" w:color="000000"/>
              <w:right w:val="nil"/>
            </w:tcBorders>
            <w:shd w:val="clear" w:color="000000" w:fill="E6F2FF"/>
            <w:noWrap/>
            <w:vAlign w:val="center"/>
            <w:hideMark/>
          </w:tcPr>
          <w:p w14:paraId="4358D4F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730</w:t>
            </w:r>
          </w:p>
        </w:tc>
        <w:tc>
          <w:tcPr>
            <w:tcW w:w="97" w:type="pct"/>
            <w:tcBorders>
              <w:top w:val="nil"/>
              <w:left w:val="nil"/>
              <w:bottom w:val="nil"/>
              <w:right w:val="nil"/>
            </w:tcBorders>
            <w:shd w:val="clear" w:color="000000" w:fill="FFFFFF"/>
            <w:noWrap/>
            <w:vAlign w:val="center"/>
            <w:hideMark/>
          </w:tcPr>
          <w:p w14:paraId="41EE7DF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75643B9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w:t>
            </w:r>
          </w:p>
        </w:tc>
        <w:tc>
          <w:tcPr>
            <w:tcW w:w="505" w:type="pct"/>
            <w:tcBorders>
              <w:top w:val="nil"/>
              <w:left w:val="nil"/>
              <w:bottom w:val="single" w:sz="4" w:space="0" w:color="000000"/>
              <w:right w:val="nil"/>
            </w:tcBorders>
            <w:shd w:val="clear" w:color="000000" w:fill="FFFFFF"/>
            <w:noWrap/>
            <w:vAlign w:val="center"/>
            <w:hideMark/>
          </w:tcPr>
          <w:p w14:paraId="214EB9D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0.0</w:t>
            </w:r>
          </w:p>
        </w:tc>
      </w:tr>
      <w:tr w:rsidR="00E63B15" w:rsidRPr="00E63B15" w14:paraId="72E0144C"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535E237F"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Total excise and customs duty</w:t>
            </w:r>
          </w:p>
        </w:tc>
        <w:tc>
          <w:tcPr>
            <w:tcW w:w="597" w:type="pct"/>
            <w:tcBorders>
              <w:top w:val="nil"/>
              <w:left w:val="nil"/>
              <w:bottom w:val="nil"/>
              <w:right w:val="nil"/>
            </w:tcBorders>
            <w:shd w:val="clear" w:color="000000" w:fill="FFFFFF"/>
            <w:noWrap/>
            <w:vAlign w:val="center"/>
            <w:hideMark/>
          </w:tcPr>
          <w:p w14:paraId="5D84AA8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48,880</w:t>
            </w:r>
          </w:p>
        </w:tc>
        <w:tc>
          <w:tcPr>
            <w:tcW w:w="597" w:type="pct"/>
            <w:tcBorders>
              <w:top w:val="nil"/>
              <w:left w:val="nil"/>
              <w:bottom w:val="nil"/>
              <w:right w:val="nil"/>
            </w:tcBorders>
            <w:shd w:val="clear" w:color="000000" w:fill="E6F2FF"/>
            <w:noWrap/>
            <w:vAlign w:val="center"/>
            <w:hideMark/>
          </w:tcPr>
          <w:p w14:paraId="458E223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45,530</w:t>
            </w:r>
          </w:p>
        </w:tc>
        <w:tc>
          <w:tcPr>
            <w:tcW w:w="97" w:type="pct"/>
            <w:tcBorders>
              <w:top w:val="nil"/>
              <w:left w:val="nil"/>
              <w:bottom w:val="nil"/>
              <w:right w:val="nil"/>
            </w:tcBorders>
            <w:shd w:val="clear" w:color="000000" w:fill="FFFFFF"/>
            <w:noWrap/>
            <w:vAlign w:val="center"/>
            <w:hideMark/>
          </w:tcPr>
          <w:p w14:paraId="78C4059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316D7E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-3,350</w:t>
            </w:r>
          </w:p>
        </w:tc>
        <w:tc>
          <w:tcPr>
            <w:tcW w:w="505" w:type="pct"/>
            <w:tcBorders>
              <w:top w:val="nil"/>
              <w:left w:val="nil"/>
              <w:bottom w:val="nil"/>
              <w:right w:val="nil"/>
            </w:tcBorders>
            <w:shd w:val="clear" w:color="000000" w:fill="FFFFFF"/>
            <w:noWrap/>
            <w:vAlign w:val="center"/>
            <w:hideMark/>
          </w:tcPr>
          <w:p w14:paraId="6E66A54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-6.9</w:t>
            </w:r>
          </w:p>
        </w:tc>
      </w:tr>
      <w:tr w:rsidR="00E63B15" w:rsidRPr="00E63B15" w14:paraId="035A7EF8" w14:textId="77777777" w:rsidTr="00E63B15">
        <w:trPr>
          <w:trHeight w:hRule="exact" w:val="60"/>
        </w:trPr>
        <w:tc>
          <w:tcPr>
            <w:tcW w:w="2647" w:type="pct"/>
            <w:tcBorders>
              <w:top w:val="nil"/>
              <w:left w:val="nil"/>
              <w:bottom w:val="nil"/>
              <w:right w:val="nil"/>
            </w:tcBorders>
            <w:shd w:val="clear" w:color="000000" w:fill="FFFFFF"/>
            <w:noWrap/>
            <w:vAlign w:val="center"/>
            <w:hideMark/>
          </w:tcPr>
          <w:p w14:paraId="197790BD"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 </w:t>
            </w:r>
          </w:p>
        </w:tc>
        <w:tc>
          <w:tcPr>
            <w:tcW w:w="597" w:type="pct"/>
            <w:tcBorders>
              <w:top w:val="nil"/>
              <w:left w:val="nil"/>
              <w:bottom w:val="nil"/>
              <w:right w:val="nil"/>
            </w:tcBorders>
            <w:shd w:val="clear" w:color="000000" w:fill="FFFFFF"/>
            <w:noWrap/>
            <w:vAlign w:val="center"/>
            <w:hideMark/>
          </w:tcPr>
          <w:p w14:paraId="1AF8502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432758B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97" w:type="pct"/>
            <w:tcBorders>
              <w:top w:val="nil"/>
              <w:left w:val="nil"/>
              <w:bottom w:val="nil"/>
              <w:right w:val="nil"/>
            </w:tcBorders>
            <w:shd w:val="clear" w:color="000000" w:fill="FFFFFF"/>
            <w:noWrap/>
            <w:vAlign w:val="center"/>
            <w:hideMark/>
          </w:tcPr>
          <w:p w14:paraId="5783EE1A"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7B52320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05" w:type="pct"/>
            <w:tcBorders>
              <w:top w:val="nil"/>
              <w:left w:val="nil"/>
              <w:bottom w:val="nil"/>
              <w:right w:val="nil"/>
            </w:tcBorders>
            <w:shd w:val="clear" w:color="000000" w:fill="FFFFFF"/>
            <w:noWrap/>
            <w:vAlign w:val="center"/>
            <w:hideMark/>
          </w:tcPr>
          <w:p w14:paraId="1B5768C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r>
      <w:tr w:rsidR="00E63B15" w:rsidRPr="00E63B15" w14:paraId="7F5F7E18"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41C5B52E"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Major bank levy</w:t>
            </w:r>
          </w:p>
        </w:tc>
        <w:tc>
          <w:tcPr>
            <w:tcW w:w="597" w:type="pct"/>
            <w:tcBorders>
              <w:top w:val="nil"/>
              <w:left w:val="nil"/>
              <w:bottom w:val="nil"/>
              <w:right w:val="nil"/>
            </w:tcBorders>
            <w:shd w:val="clear" w:color="000000" w:fill="FFFFFF"/>
            <w:noWrap/>
            <w:vAlign w:val="center"/>
            <w:hideMark/>
          </w:tcPr>
          <w:p w14:paraId="58C46B5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1,800</w:t>
            </w:r>
          </w:p>
        </w:tc>
        <w:tc>
          <w:tcPr>
            <w:tcW w:w="597" w:type="pct"/>
            <w:tcBorders>
              <w:top w:val="nil"/>
              <w:left w:val="nil"/>
              <w:bottom w:val="nil"/>
              <w:right w:val="nil"/>
            </w:tcBorders>
            <w:shd w:val="clear" w:color="000000" w:fill="E6F2FF"/>
            <w:noWrap/>
            <w:vAlign w:val="center"/>
            <w:hideMark/>
          </w:tcPr>
          <w:p w14:paraId="0255F8D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1,810</w:t>
            </w:r>
          </w:p>
        </w:tc>
        <w:tc>
          <w:tcPr>
            <w:tcW w:w="97" w:type="pct"/>
            <w:tcBorders>
              <w:top w:val="nil"/>
              <w:left w:val="nil"/>
              <w:bottom w:val="nil"/>
              <w:right w:val="nil"/>
            </w:tcBorders>
            <w:shd w:val="clear" w:color="000000" w:fill="FFFFFF"/>
            <w:noWrap/>
            <w:vAlign w:val="center"/>
            <w:hideMark/>
          </w:tcPr>
          <w:p w14:paraId="37371D1A"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58644A9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w:t>
            </w:r>
          </w:p>
        </w:tc>
        <w:tc>
          <w:tcPr>
            <w:tcW w:w="505" w:type="pct"/>
            <w:tcBorders>
              <w:top w:val="nil"/>
              <w:left w:val="nil"/>
              <w:bottom w:val="nil"/>
              <w:right w:val="nil"/>
            </w:tcBorders>
            <w:shd w:val="clear" w:color="000000" w:fill="FFFFFF"/>
            <w:noWrap/>
            <w:vAlign w:val="center"/>
            <w:hideMark/>
          </w:tcPr>
          <w:p w14:paraId="1A8F1D3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0.6</w:t>
            </w:r>
          </w:p>
        </w:tc>
      </w:tr>
      <w:tr w:rsidR="00E63B15" w:rsidRPr="00E63B15" w14:paraId="1B4E7536" w14:textId="77777777" w:rsidTr="00E63B15">
        <w:trPr>
          <w:trHeight w:hRule="exact" w:val="224"/>
        </w:trPr>
        <w:tc>
          <w:tcPr>
            <w:tcW w:w="2647" w:type="pct"/>
            <w:tcBorders>
              <w:top w:val="nil"/>
              <w:left w:val="nil"/>
              <w:bottom w:val="nil"/>
              <w:right w:val="nil"/>
            </w:tcBorders>
            <w:shd w:val="clear" w:color="000000" w:fill="FFFFFF"/>
            <w:noWrap/>
            <w:vAlign w:val="center"/>
            <w:hideMark/>
          </w:tcPr>
          <w:p w14:paraId="0D755FC0"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Agricultural levies</w:t>
            </w:r>
          </w:p>
        </w:tc>
        <w:tc>
          <w:tcPr>
            <w:tcW w:w="597" w:type="pct"/>
            <w:tcBorders>
              <w:top w:val="nil"/>
              <w:left w:val="nil"/>
              <w:bottom w:val="nil"/>
              <w:right w:val="nil"/>
            </w:tcBorders>
            <w:shd w:val="clear" w:color="000000" w:fill="FFFFFF"/>
            <w:noWrap/>
            <w:vAlign w:val="center"/>
            <w:hideMark/>
          </w:tcPr>
          <w:p w14:paraId="6AE6F42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645</w:t>
            </w:r>
          </w:p>
        </w:tc>
        <w:tc>
          <w:tcPr>
            <w:tcW w:w="597" w:type="pct"/>
            <w:tcBorders>
              <w:top w:val="nil"/>
              <w:left w:val="nil"/>
              <w:bottom w:val="nil"/>
              <w:right w:val="nil"/>
            </w:tcBorders>
            <w:shd w:val="clear" w:color="000000" w:fill="E6F2FF"/>
            <w:noWrap/>
            <w:vAlign w:val="center"/>
            <w:hideMark/>
          </w:tcPr>
          <w:p w14:paraId="39309CB6"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625</w:t>
            </w:r>
          </w:p>
        </w:tc>
        <w:tc>
          <w:tcPr>
            <w:tcW w:w="97" w:type="pct"/>
            <w:tcBorders>
              <w:top w:val="nil"/>
              <w:left w:val="nil"/>
              <w:bottom w:val="nil"/>
              <w:right w:val="nil"/>
            </w:tcBorders>
            <w:shd w:val="clear" w:color="000000" w:fill="FFFFFF"/>
            <w:noWrap/>
            <w:vAlign w:val="center"/>
            <w:hideMark/>
          </w:tcPr>
          <w:p w14:paraId="18F8BC6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95F629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-20</w:t>
            </w:r>
          </w:p>
        </w:tc>
        <w:tc>
          <w:tcPr>
            <w:tcW w:w="505" w:type="pct"/>
            <w:tcBorders>
              <w:top w:val="nil"/>
              <w:left w:val="nil"/>
              <w:bottom w:val="nil"/>
              <w:right w:val="nil"/>
            </w:tcBorders>
            <w:shd w:val="clear" w:color="000000" w:fill="FFFFFF"/>
            <w:noWrap/>
            <w:vAlign w:val="center"/>
            <w:hideMark/>
          </w:tcPr>
          <w:p w14:paraId="7B5587F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-3.0</w:t>
            </w:r>
          </w:p>
        </w:tc>
      </w:tr>
      <w:tr w:rsidR="00E63B15" w:rsidRPr="00E63B15" w14:paraId="2708300D"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2BF367F8"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Visa application charges</w:t>
            </w:r>
          </w:p>
        </w:tc>
        <w:tc>
          <w:tcPr>
            <w:tcW w:w="597" w:type="pct"/>
            <w:tcBorders>
              <w:top w:val="nil"/>
              <w:left w:val="nil"/>
              <w:bottom w:val="nil"/>
              <w:right w:val="nil"/>
            </w:tcBorders>
            <w:shd w:val="clear" w:color="000000" w:fill="FFFFFF"/>
            <w:noWrap/>
            <w:vAlign w:val="center"/>
            <w:hideMark/>
          </w:tcPr>
          <w:p w14:paraId="33E85648"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4,096</w:t>
            </w:r>
          </w:p>
        </w:tc>
        <w:tc>
          <w:tcPr>
            <w:tcW w:w="597" w:type="pct"/>
            <w:tcBorders>
              <w:top w:val="nil"/>
              <w:left w:val="nil"/>
              <w:bottom w:val="nil"/>
              <w:right w:val="nil"/>
            </w:tcBorders>
            <w:shd w:val="clear" w:color="000000" w:fill="E6F2FF"/>
            <w:noWrap/>
            <w:vAlign w:val="center"/>
            <w:hideMark/>
          </w:tcPr>
          <w:p w14:paraId="7342E30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4,211</w:t>
            </w:r>
          </w:p>
        </w:tc>
        <w:tc>
          <w:tcPr>
            <w:tcW w:w="97" w:type="pct"/>
            <w:tcBorders>
              <w:top w:val="nil"/>
              <w:left w:val="nil"/>
              <w:bottom w:val="nil"/>
              <w:right w:val="nil"/>
            </w:tcBorders>
            <w:shd w:val="clear" w:color="000000" w:fill="FFFFFF"/>
            <w:noWrap/>
            <w:vAlign w:val="center"/>
            <w:hideMark/>
          </w:tcPr>
          <w:p w14:paraId="680D037F"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557" w:type="pct"/>
            <w:tcBorders>
              <w:top w:val="nil"/>
              <w:left w:val="nil"/>
              <w:bottom w:val="nil"/>
              <w:right w:val="nil"/>
            </w:tcBorders>
            <w:shd w:val="clear" w:color="000000" w:fill="FFFFFF"/>
            <w:noWrap/>
            <w:vAlign w:val="center"/>
            <w:hideMark/>
          </w:tcPr>
          <w:p w14:paraId="564C0B8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115</w:t>
            </w:r>
          </w:p>
        </w:tc>
        <w:tc>
          <w:tcPr>
            <w:tcW w:w="505" w:type="pct"/>
            <w:tcBorders>
              <w:top w:val="nil"/>
              <w:left w:val="nil"/>
              <w:bottom w:val="nil"/>
              <w:right w:val="nil"/>
            </w:tcBorders>
            <w:shd w:val="clear" w:color="000000" w:fill="FFFFFF"/>
            <w:noWrap/>
            <w:vAlign w:val="center"/>
            <w:hideMark/>
          </w:tcPr>
          <w:p w14:paraId="3E64406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2.8</w:t>
            </w:r>
          </w:p>
        </w:tc>
      </w:tr>
      <w:tr w:rsidR="00E63B15" w:rsidRPr="00E63B15" w14:paraId="3B739394"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0281AC6"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Other taxes</w:t>
            </w:r>
          </w:p>
        </w:tc>
        <w:tc>
          <w:tcPr>
            <w:tcW w:w="597" w:type="pct"/>
            <w:tcBorders>
              <w:top w:val="nil"/>
              <w:left w:val="nil"/>
              <w:bottom w:val="single" w:sz="4" w:space="0" w:color="auto"/>
              <w:right w:val="nil"/>
            </w:tcBorders>
            <w:shd w:val="clear" w:color="000000" w:fill="FFFFFF"/>
            <w:noWrap/>
            <w:vAlign w:val="center"/>
            <w:hideMark/>
          </w:tcPr>
          <w:p w14:paraId="1D97CC5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8,139</w:t>
            </w:r>
          </w:p>
        </w:tc>
        <w:tc>
          <w:tcPr>
            <w:tcW w:w="597" w:type="pct"/>
            <w:tcBorders>
              <w:top w:val="nil"/>
              <w:left w:val="nil"/>
              <w:bottom w:val="single" w:sz="4" w:space="0" w:color="auto"/>
              <w:right w:val="nil"/>
            </w:tcBorders>
            <w:shd w:val="clear" w:color="000000" w:fill="E6F2FF"/>
            <w:noWrap/>
            <w:vAlign w:val="center"/>
            <w:hideMark/>
          </w:tcPr>
          <w:p w14:paraId="6385DD3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8,249</w:t>
            </w:r>
          </w:p>
        </w:tc>
        <w:tc>
          <w:tcPr>
            <w:tcW w:w="97" w:type="pct"/>
            <w:tcBorders>
              <w:top w:val="nil"/>
              <w:left w:val="nil"/>
              <w:bottom w:val="nil"/>
              <w:right w:val="nil"/>
            </w:tcBorders>
            <w:shd w:val="clear" w:color="000000" w:fill="FFFFFF"/>
            <w:noWrap/>
            <w:vAlign w:val="center"/>
            <w:hideMark/>
          </w:tcPr>
          <w:p w14:paraId="2185AD5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20582C0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110</w:t>
            </w:r>
          </w:p>
        </w:tc>
        <w:tc>
          <w:tcPr>
            <w:tcW w:w="505" w:type="pct"/>
            <w:tcBorders>
              <w:top w:val="nil"/>
              <w:left w:val="nil"/>
              <w:bottom w:val="single" w:sz="4" w:space="0" w:color="000000"/>
              <w:right w:val="nil"/>
            </w:tcBorders>
            <w:shd w:val="clear" w:color="000000" w:fill="FFFFFF"/>
            <w:noWrap/>
            <w:vAlign w:val="center"/>
            <w:hideMark/>
          </w:tcPr>
          <w:p w14:paraId="719D528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1.4</w:t>
            </w:r>
          </w:p>
        </w:tc>
      </w:tr>
      <w:tr w:rsidR="00E63B15" w:rsidRPr="00E63B15" w14:paraId="68D8D888"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5BF177E5"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Indirect taxation revenue</w:t>
            </w:r>
          </w:p>
        </w:tc>
        <w:tc>
          <w:tcPr>
            <w:tcW w:w="597" w:type="pct"/>
            <w:tcBorders>
              <w:top w:val="single" w:sz="4" w:space="0" w:color="000000"/>
              <w:left w:val="nil"/>
              <w:bottom w:val="single" w:sz="4" w:space="0" w:color="auto"/>
              <w:right w:val="nil"/>
            </w:tcBorders>
            <w:shd w:val="clear" w:color="000000" w:fill="FFFFFF"/>
            <w:noWrap/>
            <w:vAlign w:val="center"/>
            <w:hideMark/>
          </w:tcPr>
          <w:p w14:paraId="599171F1"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163,269</w:t>
            </w:r>
          </w:p>
        </w:tc>
        <w:tc>
          <w:tcPr>
            <w:tcW w:w="597" w:type="pct"/>
            <w:tcBorders>
              <w:top w:val="single" w:sz="4" w:space="0" w:color="000000"/>
              <w:left w:val="nil"/>
              <w:bottom w:val="single" w:sz="4" w:space="0" w:color="auto"/>
              <w:right w:val="nil"/>
            </w:tcBorders>
            <w:shd w:val="clear" w:color="000000" w:fill="E6F2FF"/>
            <w:noWrap/>
            <w:vAlign w:val="center"/>
            <w:hideMark/>
          </w:tcPr>
          <w:p w14:paraId="3BCD1E04"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162,144</w:t>
            </w:r>
          </w:p>
        </w:tc>
        <w:tc>
          <w:tcPr>
            <w:tcW w:w="97" w:type="pct"/>
            <w:tcBorders>
              <w:top w:val="nil"/>
              <w:left w:val="nil"/>
              <w:bottom w:val="nil"/>
              <w:right w:val="nil"/>
            </w:tcBorders>
            <w:shd w:val="clear" w:color="000000" w:fill="FFFFFF"/>
            <w:noWrap/>
            <w:vAlign w:val="center"/>
            <w:hideMark/>
          </w:tcPr>
          <w:p w14:paraId="470555C5" w14:textId="77777777" w:rsidR="00E63B15" w:rsidRPr="00E63B15" w:rsidRDefault="00E63B15" w:rsidP="00E63B15">
            <w:pPr>
              <w:spacing w:before="0" w:after="0" w:line="240" w:lineRule="auto"/>
              <w:jc w:val="right"/>
              <w:rPr>
                <w:rFonts w:ascii="Arial" w:hAnsi="Arial" w:cs="Arial"/>
                <w:b/>
                <w:bCs/>
                <w:color w:val="00FF00"/>
                <w:sz w:val="16"/>
                <w:szCs w:val="16"/>
              </w:rPr>
            </w:pPr>
            <w:r w:rsidRPr="00E63B15">
              <w:rPr>
                <w:rFonts w:ascii="Arial" w:hAnsi="Arial" w:cs="Arial"/>
                <w:b/>
                <w:bCs/>
                <w:color w:val="00FF00"/>
                <w:sz w:val="16"/>
                <w:szCs w:val="16"/>
              </w:rPr>
              <w:t> </w:t>
            </w:r>
          </w:p>
        </w:tc>
        <w:tc>
          <w:tcPr>
            <w:tcW w:w="557" w:type="pct"/>
            <w:tcBorders>
              <w:top w:val="nil"/>
              <w:left w:val="nil"/>
              <w:bottom w:val="single" w:sz="4" w:space="0" w:color="auto"/>
              <w:right w:val="nil"/>
            </w:tcBorders>
            <w:shd w:val="clear" w:color="000000" w:fill="FFFFFF"/>
            <w:noWrap/>
            <w:vAlign w:val="center"/>
            <w:hideMark/>
          </w:tcPr>
          <w:p w14:paraId="32B849FF"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-1,124</w:t>
            </w:r>
          </w:p>
        </w:tc>
        <w:tc>
          <w:tcPr>
            <w:tcW w:w="505" w:type="pct"/>
            <w:tcBorders>
              <w:top w:val="nil"/>
              <w:left w:val="nil"/>
              <w:bottom w:val="single" w:sz="4" w:space="0" w:color="auto"/>
              <w:right w:val="nil"/>
            </w:tcBorders>
            <w:shd w:val="clear" w:color="000000" w:fill="FFFFFF"/>
            <w:noWrap/>
            <w:vAlign w:val="center"/>
            <w:hideMark/>
          </w:tcPr>
          <w:p w14:paraId="62FB96E6"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-0.7</w:t>
            </w:r>
          </w:p>
        </w:tc>
      </w:tr>
      <w:tr w:rsidR="00E63B15" w:rsidRPr="00E63B15" w14:paraId="0ABCDD04" w14:textId="77777777" w:rsidTr="00E63B15">
        <w:trPr>
          <w:trHeight w:hRule="exact" w:val="60"/>
        </w:trPr>
        <w:tc>
          <w:tcPr>
            <w:tcW w:w="2647" w:type="pct"/>
            <w:tcBorders>
              <w:top w:val="nil"/>
              <w:left w:val="nil"/>
              <w:bottom w:val="nil"/>
              <w:right w:val="nil"/>
            </w:tcBorders>
            <w:shd w:val="clear" w:color="000000" w:fill="FFFFFF"/>
            <w:noWrap/>
            <w:vAlign w:val="center"/>
            <w:hideMark/>
          </w:tcPr>
          <w:p w14:paraId="61F7D795"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 </w:t>
            </w:r>
          </w:p>
        </w:tc>
        <w:tc>
          <w:tcPr>
            <w:tcW w:w="597" w:type="pct"/>
            <w:tcBorders>
              <w:top w:val="nil"/>
              <w:left w:val="nil"/>
              <w:bottom w:val="nil"/>
              <w:right w:val="nil"/>
            </w:tcBorders>
            <w:shd w:val="clear" w:color="000000" w:fill="FFFFFF"/>
            <w:noWrap/>
            <w:vAlign w:val="center"/>
            <w:hideMark/>
          </w:tcPr>
          <w:p w14:paraId="7C166AD5"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030D695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97" w:type="pct"/>
            <w:tcBorders>
              <w:top w:val="nil"/>
              <w:left w:val="nil"/>
              <w:bottom w:val="nil"/>
              <w:right w:val="nil"/>
            </w:tcBorders>
            <w:shd w:val="clear" w:color="000000" w:fill="FFFFFF"/>
            <w:noWrap/>
            <w:vAlign w:val="center"/>
            <w:hideMark/>
          </w:tcPr>
          <w:p w14:paraId="348DE653" w14:textId="77777777" w:rsidR="00E63B15" w:rsidRPr="00E63B15" w:rsidRDefault="00E63B15" w:rsidP="00E63B15">
            <w:pPr>
              <w:spacing w:before="0" w:after="0" w:line="240" w:lineRule="auto"/>
              <w:jc w:val="right"/>
              <w:rPr>
                <w:rFonts w:ascii="Arial" w:hAnsi="Arial" w:cs="Arial"/>
                <w:b/>
                <w:bCs/>
                <w:color w:val="00FF00"/>
                <w:sz w:val="16"/>
                <w:szCs w:val="16"/>
              </w:rPr>
            </w:pPr>
            <w:r w:rsidRPr="00E63B15">
              <w:rPr>
                <w:rFonts w:ascii="Arial" w:hAnsi="Arial" w:cs="Arial"/>
                <w:b/>
                <w:bCs/>
                <w:color w:val="00FF00"/>
                <w:sz w:val="16"/>
                <w:szCs w:val="16"/>
              </w:rPr>
              <w:t> </w:t>
            </w:r>
          </w:p>
        </w:tc>
        <w:tc>
          <w:tcPr>
            <w:tcW w:w="557" w:type="pct"/>
            <w:tcBorders>
              <w:top w:val="nil"/>
              <w:left w:val="nil"/>
              <w:bottom w:val="nil"/>
              <w:right w:val="nil"/>
            </w:tcBorders>
            <w:shd w:val="clear" w:color="000000" w:fill="FFFFFF"/>
            <w:noWrap/>
            <w:vAlign w:val="center"/>
            <w:hideMark/>
          </w:tcPr>
          <w:p w14:paraId="42C9C3D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05" w:type="pct"/>
            <w:tcBorders>
              <w:top w:val="nil"/>
              <w:left w:val="nil"/>
              <w:bottom w:val="nil"/>
              <w:right w:val="nil"/>
            </w:tcBorders>
            <w:shd w:val="clear" w:color="000000" w:fill="FFFFFF"/>
            <w:noWrap/>
            <w:vAlign w:val="center"/>
            <w:hideMark/>
          </w:tcPr>
          <w:p w14:paraId="516AD6B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r>
      <w:tr w:rsidR="00E63B15" w:rsidRPr="00E63B15" w14:paraId="00C753C0"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A779974"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Taxation revenue</w:t>
            </w:r>
          </w:p>
        </w:tc>
        <w:tc>
          <w:tcPr>
            <w:tcW w:w="597" w:type="pct"/>
            <w:tcBorders>
              <w:top w:val="nil"/>
              <w:left w:val="nil"/>
              <w:bottom w:val="single" w:sz="4" w:space="0" w:color="auto"/>
              <w:right w:val="nil"/>
            </w:tcBorders>
            <w:shd w:val="clear" w:color="000000" w:fill="FFFFFF"/>
            <w:noWrap/>
            <w:vAlign w:val="center"/>
            <w:hideMark/>
          </w:tcPr>
          <w:p w14:paraId="2946B70E"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679,469</w:t>
            </w:r>
          </w:p>
        </w:tc>
        <w:tc>
          <w:tcPr>
            <w:tcW w:w="597" w:type="pct"/>
            <w:tcBorders>
              <w:top w:val="nil"/>
              <w:left w:val="nil"/>
              <w:bottom w:val="single" w:sz="4" w:space="0" w:color="auto"/>
              <w:right w:val="nil"/>
            </w:tcBorders>
            <w:shd w:val="clear" w:color="000000" w:fill="E6F2FF"/>
            <w:noWrap/>
            <w:vAlign w:val="center"/>
            <w:hideMark/>
          </w:tcPr>
          <w:p w14:paraId="18E96B9B"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687,854</w:t>
            </w:r>
          </w:p>
        </w:tc>
        <w:tc>
          <w:tcPr>
            <w:tcW w:w="97" w:type="pct"/>
            <w:tcBorders>
              <w:top w:val="nil"/>
              <w:left w:val="nil"/>
              <w:bottom w:val="nil"/>
              <w:right w:val="nil"/>
            </w:tcBorders>
            <w:shd w:val="clear" w:color="000000" w:fill="FFFFFF"/>
            <w:noWrap/>
            <w:vAlign w:val="center"/>
            <w:hideMark/>
          </w:tcPr>
          <w:p w14:paraId="4DD1D2C7"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single" w:sz="4" w:space="0" w:color="auto"/>
              <w:right w:val="nil"/>
            </w:tcBorders>
            <w:shd w:val="clear" w:color="000000" w:fill="FFFFFF"/>
            <w:noWrap/>
            <w:vAlign w:val="center"/>
            <w:hideMark/>
          </w:tcPr>
          <w:p w14:paraId="05900259"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8,386</w:t>
            </w:r>
          </w:p>
        </w:tc>
        <w:tc>
          <w:tcPr>
            <w:tcW w:w="505" w:type="pct"/>
            <w:tcBorders>
              <w:top w:val="nil"/>
              <w:left w:val="nil"/>
              <w:bottom w:val="single" w:sz="4" w:space="0" w:color="auto"/>
              <w:right w:val="nil"/>
            </w:tcBorders>
            <w:shd w:val="clear" w:color="000000" w:fill="FFFFFF"/>
            <w:noWrap/>
            <w:vAlign w:val="center"/>
            <w:hideMark/>
          </w:tcPr>
          <w:p w14:paraId="00B6D2F3"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1.2</w:t>
            </w:r>
          </w:p>
        </w:tc>
      </w:tr>
      <w:tr w:rsidR="00E63B15" w:rsidRPr="00E63B15" w14:paraId="73D6FFAD" w14:textId="77777777" w:rsidTr="00E63B15">
        <w:trPr>
          <w:trHeight w:hRule="exact" w:val="60"/>
        </w:trPr>
        <w:tc>
          <w:tcPr>
            <w:tcW w:w="2647" w:type="pct"/>
            <w:tcBorders>
              <w:top w:val="nil"/>
              <w:left w:val="nil"/>
              <w:bottom w:val="nil"/>
              <w:right w:val="nil"/>
            </w:tcBorders>
            <w:shd w:val="clear" w:color="000000" w:fill="FFFFFF"/>
            <w:noWrap/>
            <w:vAlign w:val="center"/>
            <w:hideMark/>
          </w:tcPr>
          <w:p w14:paraId="79E4AB50"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 </w:t>
            </w:r>
          </w:p>
        </w:tc>
        <w:tc>
          <w:tcPr>
            <w:tcW w:w="597" w:type="pct"/>
            <w:tcBorders>
              <w:top w:val="nil"/>
              <w:left w:val="nil"/>
              <w:bottom w:val="nil"/>
              <w:right w:val="nil"/>
            </w:tcBorders>
            <w:shd w:val="clear" w:color="000000" w:fill="FFFFFF"/>
            <w:noWrap/>
            <w:vAlign w:val="center"/>
            <w:hideMark/>
          </w:tcPr>
          <w:p w14:paraId="548D1B1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4455897D"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97" w:type="pct"/>
            <w:tcBorders>
              <w:top w:val="nil"/>
              <w:left w:val="nil"/>
              <w:bottom w:val="nil"/>
              <w:right w:val="nil"/>
            </w:tcBorders>
            <w:shd w:val="clear" w:color="000000" w:fill="FFFFFF"/>
            <w:noWrap/>
            <w:vAlign w:val="center"/>
            <w:hideMark/>
          </w:tcPr>
          <w:p w14:paraId="20886078" w14:textId="77777777" w:rsidR="00E63B15" w:rsidRPr="00E63B15" w:rsidRDefault="00E63B15" w:rsidP="00E63B15">
            <w:pPr>
              <w:spacing w:before="0" w:after="0" w:line="240" w:lineRule="auto"/>
              <w:jc w:val="right"/>
              <w:rPr>
                <w:rFonts w:ascii="Arial" w:hAnsi="Arial" w:cs="Arial"/>
                <w:b/>
                <w:bCs/>
                <w:color w:val="00FF00"/>
                <w:sz w:val="16"/>
                <w:szCs w:val="16"/>
              </w:rPr>
            </w:pPr>
            <w:r w:rsidRPr="00E63B15">
              <w:rPr>
                <w:rFonts w:ascii="Arial" w:hAnsi="Arial" w:cs="Arial"/>
                <w:b/>
                <w:bCs/>
                <w:color w:val="00FF00"/>
                <w:sz w:val="16"/>
                <w:szCs w:val="16"/>
              </w:rPr>
              <w:t> </w:t>
            </w:r>
          </w:p>
        </w:tc>
        <w:tc>
          <w:tcPr>
            <w:tcW w:w="557" w:type="pct"/>
            <w:tcBorders>
              <w:top w:val="nil"/>
              <w:left w:val="nil"/>
              <w:bottom w:val="nil"/>
              <w:right w:val="nil"/>
            </w:tcBorders>
            <w:shd w:val="clear" w:color="000000" w:fill="FFFFFF"/>
            <w:noWrap/>
            <w:vAlign w:val="center"/>
            <w:hideMark/>
          </w:tcPr>
          <w:p w14:paraId="2AE9B030"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05" w:type="pct"/>
            <w:tcBorders>
              <w:top w:val="nil"/>
              <w:left w:val="nil"/>
              <w:bottom w:val="nil"/>
              <w:right w:val="nil"/>
            </w:tcBorders>
            <w:shd w:val="clear" w:color="000000" w:fill="FFFFFF"/>
            <w:noWrap/>
            <w:vAlign w:val="center"/>
            <w:hideMark/>
          </w:tcPr>
          <w:p w14:paraId="6218FE0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r>
      <w:tr w:rsidR="00E63B15" w:rsidRPr="00E63B15" w14:paraId="2CF3DA4D"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1A1B9094"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Sales of goods and services</w:t>
            </w:r>
          </w:p>
        </w:tc>
        <w:tc>
          <w:tcPr>
            <w:tcW w:w="597" w:type="pct"/>
            <w:tcBorders>
              <w:top w:val="nil"/>
              <w:left w:val="nil"/>
              <w:bottom w:val="nil"/>
              <w:right w:val="nil"/>
            </w:tcBorders>
            <w:shd w:val="clear" w:color="000000" w:fill="FFFFFF"/>
            <w:noWrap/>
            <w:vAlign w:val="center"/>
            <w:hideMark/>
          </w:tcPr>
          <w:p w14:paraId="2E8633A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22,555</w:t>
            </w:r>
          </w:p>
        </w:tc>
        <w:tc>
          <w:tcPr>
            <w:tcW w:w="597" w:type="pct"/>
            <w:tcBorders>
              <w:top w:val="nil"/>
              <w:left w:val="nil"/>
              <w:bottom w:val="nil"/>
              <w:right w:val="nil"/>
            </w:tcBorders>
            <w:shd w:val="clear" w:color="000000" w:fill="E6F2FF"/>
            <w:noWrap/>
            <w:vAlign w:val="center"/>
            <w:hideMark/>
          </w:tcPr>
          <w:p w14:paraId="6D77E50E"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21,808</w:t>
            </w:r>
          </w:p>
        </w:tc>
        <w:tc>
          <w:tcPr>
            <w:tcW w:w="97" w:type="pct"/>
            <w:tcBorders>
              <w:top w:val="nil"/>
              <w:left w:val="nil"/>
              <w:bottom w:val="nil"/>
              <w:right w:val="nil"/>
            </w:tcBorders>
            <w:shd w:val="clear" w:color="000000" w:fill="FFFFFF"/>
            <w:noWrap/>
            <w:vAlign w:val="center"/>
            <w:hideMark/>
          </w:tcPr>
          <w:p w14:paraId="2B9B390E" w14:textId="77777777" w:rsidR="00E63B15" w:rsidRPr="00E63B15" w:rsidRDefault="00E63B15" w:rsidP="00E63B15">
            <w:pPr>
              <w:spacing w:before="0" w:after="0" w:line="240" w:lineRule="auto"/>
              <w:jc w:val="right"/>
              <w:rPr>
                <w:rFonts w:ascii="Arial" w:hAnsi="Arial" w:cs="Arial"/>
                <w:b/>
                <w:bCs/>
                <w:color w:val="00FF00"/>
                <w:sz w:val="16"/>
                <w:szCs w:val="16"/>
              </w:rPr>
            </w:pPr>
            <w:r w:rsidRPr="00E63B15">
              <w:rPr>
                <w:rFonts w:ascii="Arial" w:hAnsi="Arial" w:cs="Arial"/>
                <w:b/>
                <w:bCs/>
                <w:color w:val="00FF00"/>
                <w:sz w:val="16"/>
                <w:szCs w:val="16"/>
              </w:rPr>
              <w:t> </w:t>
            </w:r>
          </w:p>
        </w:tc>
        <w:tc>
          <w:tcPr>
            <w:tcW w:w="557" w:type="pct"/>
            <w:tcBorders>
              <w:top w:val="nil"/>
              <w:left w:val="nil"/>
              <w:bottom w:val="nil"/>
              <w:right w:val="nil"/>
            </w:tcBorders>
            <w:shd w:val="clear" w:color="000000" w:fill="FFFFFF"/>
            <w:noWrap/>
            <w:vAlign w:val="center"/>
            <w:hideMark/>
          </w:tcPr>
          <w:p w14:paraId="7CE8A85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-747</w:t>
            </w:r>
          </w:p>
        </w:tc>
        <w:tc>
          <w:tcPr>
            <w:tcW w:w="505" w:type="pct"/>
            <w:tcBorders>
              <w:top w:val="nil"/>
              <w:left w:val="nil"/>
              <w:bottom w:val="nil"/>
              <w:right w:val="nil"/>
            </w:tcBorders>
            <w:shd w:val="clear" w:color="000000" w:fill="FFFFFF"/>
            <w:noWrap/>
            <w:vAlign w:val="center"/>
            <w:hideMark/>
          </w:tcPr>
          <w:p w14:paraId="04903FFF"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-3.3</w:t>
            </w:r>
          </w:p>
        </w:tc>
      </w:tr>
      <w:tr w:rsidR="00E63B15" w:rsidRPr="00E63B15" w14:paraId="1482D641"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220A8C73"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Interest</w:t>
            </w:r>
          </w:p>
        </w:tc>
        <w:tc>
          <w:tcPr>
            <w:tcW w:w="597" w:type="pct"/>
            <w:tcBorders>
              <w:top w:val="nil"/>
              <w:left w:val="nil"/>
              <w:bottom w:val="nil"/>
              <w:right w:val="nil"/>
            </w:tcBorders>
            <w:shd w:val="clear" w:color="000000" w:fill="FFFFFF"/>
            <w:noWrap/>
            <w:vAlign w:val="center"/>
            <w:hideMark/>
          </w:tcPr>
          <w:p w14:paraId="09BACE6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9,998</w:t>
            </w:r>
          </w:p>
        </w:tc>
        <w:tc>
          <w:tcPr>
            <w:tcW w:w="597" w:type="pct"/>
            <w:tcBorders>
              <w:top w:val="nil"/>
              <w:left w:val="nil"/>
              <w:bottom w:val="nil"/>
              <w:right w:val="nil"/>
            </w:tcBorders>
            <w:shd w:val="clear" w:color="000000" w:fill="E6F2FF"/>
            <w:noWrap/>
            <w:vAlign w:val="center"/>
            <w:hideMark/>
          </w:tcPr>
          <w:p w14:paraId="5E8D08D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11,039</w:t>
            </w:r>
          </w:p>
        </w:tc>
        <w:tc>
          <w:tcPr>
            <w:tcW w:w="97" w:type="pct"/>
            <w:tcBorders>
              <w:top w:val="nil"/>
              <w:left w:val="nil"/>
              <w:bottom w:val="nil"/>
              <w:right w:val="nil"/>
            </w:tcBorders>
            <w:shd w:val="clear" w:color="000000" w:fill="FFFFFF"/>
            <w:noWrap/>
            <w:vAlign w:val="center"/>
            <w:hideMark/>
          </w:tcPr>
          <w:p w14:paraId="63997F51"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2B62464"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1,041</w:t>
            </w:r>
          </w:p>
        </w:tc>
        <w:tc>
          <w:tcPr>
            <w:tcW w:w="505" w:type="pct"/>
            <w:tcBorders>
              <w:top w:val="nil"/>
              <w:left w:val="nil"/>
              <w:bottom w:val="nil"/>
              <w:right w:val="nil"/>
            </w:tcBorders>
            <w:shd w:val="clear" w:color="000000" w:fill="FFFFFF"/>
            <w:noWrap/>
            <w:vAlign w:val="center"/>
            <w:hideMark/>
          </w:tcPr>
          <w:p w14:paraId="709EBB42"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10.4</w:t>
            </w:r>
          </w:p>
        </w:tc>
      </w:tr>
      <w:tr w:rsidR="00E63B15" w:rsidRPr="00E63B15" w14:paraId="6F9B12C3"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7A623814"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Dividends and distributions</w:t>
            </w:r>
          </w:p>
        </w:tc>
        <w:tc>
          <w:tcPr>
            <w:tcW w:w="597" w:type="pct"/>
            <w:tcBorders>
              <w:top w:val="nil"/>
              <w:left w:val="nil"/>
              <w:bottom w:val="nil"/>
              <w:right w:val="nil"/>
            </w:tcBorders>
            <w:shd w:val="clear" w:color="000000" w:fill="FFFFFF"/>
            <w:noWrap/>
            <w:vAlign w:val="center"/>
            <w:hideMark/>
          </w:tcPr>
          <w:p w14:paraId="250E478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7,188</w:t>
            </w:r>
          </w:p>
        </w:tc>
        <w:tc>
          <w:tcPr>
            <w:tcW w:w="597" w:type="pct"/>
            <w:tcBorders>
              <w:top w:val="nil"/>
              <w:left w:val="nil"/>
              <w:bottom w:val="nil"/>
              <w:right w:val="nil"/>
            </w:tcBorders>
            <w:shd w:val="clear" w:color="000000" w:fill="E6F2FF"/>
            <w:noWrap/>
            <w:vAlign w:val="center"/>
            <w:hideMark/>
          </w:tcPr>
          <w:p w14:paraId="2FDA23F7"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7,155</w:t>
            </w:r>
          </w:p>
        </w:tc>
        <w:tc>
          <w:tcPr>
            <w:tcW w:w="97" w:type="pct"/>
            <w:tcBorders>
              <w:top w:val="nil"/>
              <w:left w:val="nil"/>
              <w:bottom w:val="nil"/>
              <w:right w:val="nil"/>
            </w:tcBorders>
            <w:shd w:val="clear" w:color="000000" w:fill="FFFFFF"/>
            <w:noWrap/>
            <w:vAlign w:val="center"/>
            <w:hideMark/>
          </w:tcPr>
          <w:p w14:paraId="5EA2771F" w14:textId="77777777" w:rsidR="00E63B15" w:rsidRPr="00E63B15" w:rsidRDefault="00E63B15" w:rsidP="00E63B15">
            <w:pPr>
              <w:spacing w:before="0" w:after="0" w:line="240" w:lineRule="auto"/>
              <w:jc w:val="right"/>
              <w:rPr>
                <w:rFonts w:ascii="Arial" w:hAnsi="Arial" w:cs="Arial"/>
                <w:b/>
                <w:bCs/>
                <w:color w:val="00FF00"/>
                <w:sz w:val="16"/>
                <w:szCs w:val="16"/>
              </w:rPr>
            </w:pPr>
            <w:r w:rsidRPr="00E63B15">
              <w:rPr>
                <w:rFonts w:ascii="Arial" w:hAnsi="Arial" w:cs="Arial"/>
                <w:b/>
                <w:bCs/>
                <w:color w:val="00FF00"/>
                <w:sz w:val="16"/>
                <w:szCs w:val="16"/>
              </w:rPr>
              <w:t> </w:t>
            </w:r>
          </w:p>
        </w:tc>
        <w:tc>
          <w:tcPr>
            <w:tcW w:w="557" w:type="pct"/>
            <w:tcBorders>
              <w:top w:val="nil"/>
              <w:left w:val="nil"/>
              <w:bottom w:val="nil"/>
              <w:right w:val="nil"/>
            </w:tcBorders>
            <w:shd w:val="clear" w:color="000000" w:fill="FFFFFF"/>
            <w:noWrap/>
            <w:vAlign w:val="center"/>
            <w:hideMark/>
          </w:tcPr>
          <w:p w14:paraId="19C0C98A"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-32</w:t>
            </w:r>
          </w:p>
        </w:tc>
        <w:tc>
          <w:tcPr>
            <w:tcW w:w="505" w:type="pct"/>
            <w:tcBorders>
              <w:top w:val="nil"/>
              <w:left w:val="nil"/>
              <w:bottom w:val="nil"/>
              <w:right w:val="nil"/>
            </w:tcBorders>
            <w:shd w:val="clear" w:color="000000" w:fill="FFFFFF"/>
            <w:noWrap/>
            <w:vAlign w:val="center"/>
            <w:hideMark/>
          </w:tcPr>
          <w:p w14:paraId="14006E7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-0.4</w:t>
            </w:r>
          </w:p>
        </w:tc>
      </w:tr>
      <w:tr w:rsidR="00E63B15" w:rsidRPr="00E63B15" w14:paraId="7801B31E"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2B2BB7E1" w14:textId="77777777" w:rsidR="00E63B15" w:rsidRPr="00E63B15" w:rsidRDefault="00E63B15" w:rsidP="00E63B15">
            <w:pPr>
              <w:spacing w:before="0" w:after="0" w:line="240" w:lineRule="auto"/>
              <w:rPr>
                <w:rFonts w:ascii="Arial" w:hAnsi="Arial" w:cs="Arial"/>
                <w:color w:val="000000"/>
                <w:sz w:val="16"/>
                <w:szCs w:val="16"/>
              </w:rPr>
            </w:pPr>
            <w:r w:rsidRPr="00E63B15">
              <w:rPr>
                <w:rFonts w:ascii="Arial" w:hAnsi="Arial" w:cs="Arial"/>
                <w:color w:val="000000"/>
                <w:sz w:val="16"/>
                <w:szCs w:val="16"/>
              </w:rPr>
              <w:t>Other non-taxation revenue</w:t>
            </w:r>
          </w:p>
        </w:tc>
        <w:tc>
          <w:tcPr>
            <w:tcW w:w="597" w:type="pct"/>
            <w:tcBorders>
              <w:top w:val="nil"/>
              <w:left w:val="nil"/>
              <w:bottom w:val="single" w:sz="4" w:space="0" w:color="auto"/>
              <w:right w:val="nil"/>
            </w:tcBorders>
            <w:shd w:val="clear" w:color="000000" w:fill="FFFFFF"/>
            <w:noWrap/>
            <w:vAlign w:val="center"/>
            <w:hideMark/>
          </w:tcPr>
          <w:p w14:paraId="473A0216"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13,531</w:t>
            </w:r>
          </w:p>
        </w:tc>
        <w:tc>
          <w:tcPr>
            <w:tcW w:w="597" w:type="pct"/>
            <w:tcBorders>
              <w:top w:val="nil"/>
              <w:left w:val="nil"/>
              <w:bottom w:val="single" w:sz="4" w:space="0" w:color="auto"/>
              <w:right w:val="nil"/>
            </w:tcBorders>
            <w:shd w:val="clear" w:color="000000" w:fill="E6F2FF"/>
            <w:noWrap/>
            <w:vAlign w:val="center"/>
            <w:hideMark/>
          </w:tcPr>
          <w:p w14:paraId="176EED8C"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15,354</w:t>
            </w:r>
          </w:p>
        </w:tc>
        <w:tc>
          <w:tcPr>
            <w:tcW w:w="97" w:type="pct"/>
            <w:tcBorders>
              <w:top w:val="nil"/>
              <w:left w:val="nil"/>
              <w:bottom w:val="nil"/>
              <w:right w:val="nil"/>
            </w:tcBorders>
            <w:shd w:val="clear" w:color="000000" w:fill="FFFFFF"/>
            <w:noWrap/>
            <w:vAlign w:val="center"/>
            <w:hideMark/>
          </w:tcPr>
          <w:p w14:paraId="159BC863"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 </w:t>
            </w:r>
          </w:p>
        </w:tc>
        <w:tc>
          <w:tcPr>
            <w:tcW w:w="557" w:type="pct"/>
            <w:tcBorders>
              <w:top w:val="nil"/>
              <w:left w:val="nil"/>
              <w:bottom w:val="single" w:sz="4" w:space="0" w:color="auto"/>
              <w:right w:val="nil"/>
            </w:tcBorders>
            <w:shd w:val="clear" w:color="000000" w:fill="FFFFFF"/>
            <w:noWrap/>
            <w:vAlign w:val="center"/>
            <w:hideMark/>
          </w:tcPr>
          <w:p w14:paraId="14633E1B"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1,823</w:t>
            </w:r>
          </w:p>
        </w:tc>
        <w:tc>
          <w:tcPr>
            <w:tcW w:w="505" w:type="pct"/>
            <w:tcBorders>
              <w:top w:val="nil"/>
              <w:left w:val="nil"/>
              <w:bottom w:val="single" w:sz="4" w:space="0" w:color="auto"/>
              <w:right w:val="nil"/>
            </w:tcBorders>
            <w:shd w:val="clear" w:color="000000" w:fill="FFFFFF"/>
            <w:noWrap/>
            <w:vAlign w:val="center"/>
            <w:hideMark/>
          </w:tcPr>
          <w:p w14:paraId="3E5257DE" w14:textId="77777777" w:rsidR="00E63B15" w:rsidRPr="00E63B15" w:rsidRDefault="00E63B15" w:rsidP="00E63B15">
            <w:pPr>
              <w:spacing w:before="0" w:after="0" w:line="240" w:lineRule="auto"/>
              <w:jc w:val="right"/>
              <w:rPr>
                <w:rFonts w:ascii="Arial" w:hAnsi="Arial" w:cs="Arial"/>
                <w:color w:val="000000"/>
                <w:sz w:val="16"/>
                <w:szCs w:val="16"/>
              </w:rPr>
            </w:pPr>
            <w:r w:rsidRPr="00E63B15">
              <w:rPr>
                <w:rFonts w:ascii="Arial" w:hAnsi="Arial" w:cs="Arial"/>
                <w:color w:val="000000"/>
                <w:sz w:val="16"/>
                <w:szCs w:val="16"/>
              </w:rPr>
              <w:t>13.5</w:t>
            </w:r>
          </w:p>
        </w:tc>
      </w:tr>
      <w:tr w:rsidR="00E63B15" w:rsidRPr="00E63B15" w14:paraId="60A4A79F"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74416D12"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Non-taxation revenue</w:t>
            </w:r>
          </w:p>
        </w:tc>
        <w:tc>
          <w:tcPr>
            <w:tcW w:w="597" w:type="pct"/>
            <w:tcBorders>
              <w:top w:val="single" w:sz="4" w:space="0" w:color="auto"/>
              <w:left w:val="nil"/>
              <w:bottom w:val="single" w:sz="4" w:space="0" w:color="auto"/>
              <w:right w:val="nil"/>
            </w:tcBorders>
            <w:shd w:val="clear" w:color="000000" w:fill="FFFFFF"/>
            <w:noWrap/>
            <w:vAlign w:val="center"/>
            <w:hideMark/>
          </w:tcPr>
          <w:p w14:paraId="0D025064"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53,272</w:t>
            </w:r>
          </w:p>
        </w:tc>
        <w:tc>
          <w:tcPr>
            <w:tcW w:w="597" w:type="pct"/>
            <w:tcBorders>
              <w:top w:val="single" w:sz="4" w:space="0" w:color="auto"/>
              <w:left w:val="nil"/>
              <w:bottom w:val="single" w:sz="4" w:space="0" w:color="auto"/>
              <w:right w:val="nil"/>
            </w:tcBorders>
            <w:shd w:val="clear" w:color="000000" w:fill="E6F2FF"/>
            <w:noWrap/>
            <w:vAlign w:val="center"/>
            <w:hideMark/>
          </w:tcPr>
          <w:p w14:paraId="2CD2C1C1"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55,356</w:t>
            </w:r>
          </w:p>
        </w:tc>
        <w:tc>
          <w:tcPr>
            <w:tcW w:w="97" w:type="pct"/>
            <w:tcBorders>
              <w:top w:val="nil"/>
              <w:left w:val="nil"/>
              <w:bottom w:val="nil"/>
              <w:right w:val="nil"/>
            </w:tcBorders>
            <w:shd w:val="clear" w:color="000000" w:fill="FFFFFF"/>
            <w:noWrap/>
            <w:vAlign w:val="center"/>
            <w:hideMark/>
          </w:tcPr>
          <w:p w14:paraId="2C5FD026"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single" w:sz="4" w:space="0" w:color="auto"/>
              <w:left w:val="nil"/>
              <w:bottom w:val="single" w:sz="4" w:space="0" w:color="auto"/>
              <w:right w:val="nil"/>
            </w:tcBorders>
            <w:shd w:val="clear" w:color="000000" w:fill="FFFFFF"/>
            <w:noWrap/>
            <w:vAlign w:val="center"/>
            <w:hideMark/>
          </w:tcPr>
          <w:p w14:paraId="72C0FCC5"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2,085</w:t>
            </w:r>
          </w:p>
        </w:tc>
        <w:tc>
          <w:tcPr>
            <w:tcW w:w="505" w:type="pct"/>
            <w:tcBorders>
              <w:top w:val="single" w:sz="4" w:space="0" w:color="auto"/>
              <w:left w:val="nil"/>
              <w:bottom w:val="single" w:sz="4" w:space="0" w:color="auto"/>
              <w:right w:val="nil"/>
            </w:tcBorders>
            <w:shd w:val="clear" w:color="000000" w:fill="FFFFFF"/>
            <w:noWrap/>
            <w:vAlign w:val="center"/>
            <w:hideMark/>
          </w:tcPr>
          <w:p w14:paraId="70AE0FE5"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3.9</w:t>
            </w:r>
          </w:p>
        </w:tc>
      </w:tr>
      <w:tr w:rsidR="00E63B15" w:rsidRPr="00E63B15" w14:paraId="666D2293" w14:textId="77777777" w:rsidTr="00E63B15">
        <w:trPr>
          <w:trHeight w:hRule="exact" w:val="226"/>
        </w:trPr>
        <w:tc>
          <w:tcPr>
            <w:tcW w:w="2647" w:type="pct"/>
            <w:tcBorders>
              <w:top w:val="nil"/>
              <w:left w:val="nil"/>
              <w:bottom w:val="single" w:sz="4" w:space="0" w:color="auto"/>
              <w:right w:val="nil"/>
            </w:tcBorders>
            <w:shd w:val="clear" w:color="000000" w:fill="FFFFFF"/>
            <w:noWrap/>
            <w:vAlign w:val="center"/>
            <w:hideMark/>
          </w:tcPr>
          <w:p w14:paraId="27BF5A1A" w14:textId="77777777" w:rsidR="00E63B15" w:rsidRPr="00E63B15" w:rsidRDefault="00E63B15" w:rsidP="00E63B15">
            <w:pPr>
              <w:spacing w:before="0" w:after="0" w:line="240" w:lineRule="auto"/>
              <w:rPr>
                <w:rFonts w:ascii="Arial" w:hAnsi="Arial" w:cs="Arial"/>
                <w:b/>
                <w:bCs/>
                <w:color w:val="000000"/>
                <w:sz w:val="16"/>
                <w:szCs w:val="16"/>
              </w:rPr>
            </w:pPr>
            <w:r w:rsidRPr="00E63B15">
              <w:rPr>
                <w:rFonts w:ascii="Arial" w:hAnsi="Arial" w:cs="Arial"/>
                <w:b/>
                <w:bCs/>
                <w:color w:val="000000"/>
                <w:sz w:val="16"/>
                <w:szCs w:val="16"/>
              </w:rPr>
              <w:t>Total revenue</w:t>
            </w:r>
          </w:p>
        </w:tc>
        <w:tc>
          <w:tcPr>
            <w:tcW w:w="597" w:type="pct"/>
            <w:tcBorders>
              <w:top w:val="nil"/>
              <w:left w:val="nil"/>
              <w:bottom w:val="single" w:sz="4" w:space="0" w:color="auto"/>
              <w:right w:val="nil"/>
            </w:tcBorders>
            <w:shd w:val="clear" w:color="000000" w:fill="FFFFFF"/>
            <w:noWrap/>
            <w:vAlign w:val="center"/>
            <w:hideMark/>
          </w:tcPr>
          <w:p w14:paraId="72F05B07"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732,740</w:t>
            </w:r>
          </w:p>
        </w:tc>
        <w:tc>
          <w:tcPr>
            <w:tcW w:w="597" w:type="pct"/>
            <w:tcBorders>
              <w:top w:val="nil"/>
              <w:left w:val="nil"/>
              <w:bottom w:val="single" w:sz="4" w:space="0" w:color="auto"/>
              <w:right w:val="nil"/>
            </w:tcBorders>
            <w:shd w:val="clear" w:color="000000" w:fill="E6F2FF"/>
            <w:noWrap/>
            <w:vAlign w:val="center"/>
            <w:hideMark/>
          </w:tcPr>
          <w:p w14:paraId="09E1159B"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743,211</w:t>
            </w:r>
          </w:p>
        </w:tc>
        <w:tc>
          <w:tcPr>
            <w:tcW w:w="97" w:type="pct"/>
            <w:tcBorders>
              <w:top w:val="nil"/>
              <w:left w:val="nil"/>
              <w:bottom w:val="single" w:sz="4" w:space="0" w:color="auto"/>
              <w:right w:val="nil"/>
            </w:tcBorders>
            <w:shd w:val="clear" w:color="000000" w:fill="FFFFFF"/>
            <w:noWrap/>
            <w:vAlign w:val="center"/>
            <w:hideMark/>
          </w:tcPr>
          <w:p w14:paraId="1B068ABE"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 </w:t>
            </w:r>
          </w:p>
        </w:tc>
        <w:tc>
          <w:tcPr>
            <w:tcW w:w="557" w:type="pct"/>
            <w:tcBorders>
              <w:top w:val="nil"/>
              <w:left w:val="nil"/>
              <w:bottom w:val="single" w:sz="4" w:space="0" w:color="auto"/>
              <w:right w:val="nil"/>
            </w:tcBorders>
            <w:shd w:val="clear" w:color="000000" w:fill="FFFFFF"/>
            <w:noWrap/>
            <w:vAlign w:val="center"/>
            <w:hideMark/>
          </w:tcPr>
          <w:p w14:paraId="65054DAC"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10,470</w:t>
            </w:r>
          </w:p>
        </w:tc>
        <w:tc>
          <w:tcPr>
            <w:tcW w:w="505" w:type="pct"/>
            <w:tcBorders>
              <w:top w:val="nil"/>
              <w:left w:val="nil"/>
              <w:bottom w:val="single" w:sz="4" w:space="0" w:color="auto"/>
              <w:right w:val="nil"/>
            </w:tcBorders>
            <w:shd w:val="clear" w:color="000000" w:fill="FFFFFF"/>
            <w:noWrap/>
            <w:vAlign w:val="center"/>
            <w:hideMark/>
          </w:tcPr>
          <w:p w14:paraId="1781B799" w14:textId="77777777" w:rsidR="00E63B15" w:rsidRPr="00E63B15" w:rsidRDefault="00E63B15" w:rsidP="00E63B15">
            <w:pPr>
              <w:spacing w:before="0" w:after="0" w:line="240" w:lineRule="auto"/>
              <w:jc w:val="right"/>
              <w:rPr>
                <w:rFonts w:ascii="Arial" w:hAnsi="Arial" w:cs="Arial"/>
                <w:b/>
                <w:bCs/>
                <w:color w:val="000000"/>
                <w:sz w:val="16"/>
                <w:szCs w:val="16"/>
              </w:rPr>
            </w:pPr>
            <w:r w:rsidRPr="00E63B15">
              <w:rPr>
                <w:rFonts w:ascii="Arial" w:hAnsi="Arial" w:cs="Arial"/>
                <w:b/>
                <w:bCs/>
                <w:color w:val="000000"/>
                <w:sz w:val="16"/>
                <w:szCs w:val="16"/>
              </w:rPr>
              <w:t>1.4</w:t>
            </w:r>
          </w:p>
        </w:tc>
      </w:tr>
      <w:tr w:rsidR="00E63B15" w:rsidRPr="00E63B15" w14:paraId="5D5FDFF2"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03D451E0" w14:textId="77777777" w:rsidR="00E63B15" w:rsidRPr="00E63B15" w:rsidRDefault="00E63B15" w:rsidP="00E63B15">
            <w:pPr>
              <w:spacing w:before="0" w:after="0" w:line="240" w:lineRule="auto"/>
              <w:rPr>
                <w:rFonts w:ascii="Arial" w:hAnsi="Arial" w:cs="Arial"/>
                <w:i/>
                <w:iCs/>
                <w:color w:val="000000"/>
                <w:sz w:val="16"/>
                <w:szCs w:val="16"/>
              </w:rPr>
            </w:pPr>
            <w:r w:rsidRPr="00E63B15">
              <w:rPr>
                <w:rFonts w:ascii="Arial" w:hAnsi="Arial" w:cs="Arial"/>
                <w:i/>
                <w:iCs/>
                <w:color w:val="000000"/>
                <w:sz w:val="16"/>
                <w:szCs w:val="16"/>
              </w:rPr>
              <w:t>Memorandum:</w:t>
            </w:r>
          </w:p>
        </w:tc>
        <w:tc>
          <w:tcPr>
            <w:tcW w:w="597" w:type="pct"/>
            <w:tcBorders>
              <w:top w:val="nil"/>
              <w:left w:val="nil"/>
              <w:bottom w:val="nil"/>
              <w:right w:val="nil"/>
            </w:tcBorders>
            <w:shd w:val="clear" w:color="000000" w:fill="FFFFFF"/>
            <w:noWrap/>
            <w:vAlign w:val="center"/>
            <w:hideMark/>
          </w:tcPr>
          <w:p w14:paraId="0355A425"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597" w:type="pct"/>
            <w:tcBorders>
              <w:top w:val="nil"/>
              <w:left w:val="nil"/>
              <w:bottom w:val="nil"/>
              <w:right w:val="nil"/>
            </w:tcBorders>
            <w:shd w:val="clear" w:color="000000" w:fill="E6F2FF"/>
            <w:noWrap/>
            <w:vAlign w:val="center"/>
            <w:hideMark/>
          </w:tcPr>
          <w:p w14:paraId="0786C18A"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97" w:type="pct"/>
            <w:tcBorders>
              <w:top w:val="nil"/>
              <w:left w:val="nil"/>
              <w:bottom w:val="nil"/>
              <w:right w:val="nil"/>
            </w:tcBorders>
            <w:shd w:val="clear" w:color="000000" w:fill="FFFFFF"/>
            <w:noWrap/>
            <w:vAlign w:val="center"/>
            <w:hideMark/>
          </w:tcPr>
          <w:p w14:paraId="57BB710C"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557" w:type="pct"/>
            <w:tcBorders>
              <w:top w:val="nil"/>
              <w:left w:val="nil"/>
              <w:bottom w:val="nil"/>
              <w:right w:val="nil"/>
            </w:tcBorders>
            <w:shd w:val="clear" w:color="000000" w:fill="FFFFFF"/>
            <w:noWrap/>
            <w:vAlign w:val="center"/>
            <w:hideMark/>
          </w:tcPr>
          <w:p w14:paraId="4CECAFC0"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505" w:type="pct"/>
            <w:tcBorders>
              <w:top w:val="nil"/>
              <w:left w:val="nil"/>
              <w:bottom w:val="nil"/>
              <w:right w:val="nil"/>
            </w:tcBorders>
            <w:shd w:val="clear" w:color="000000" w:fill="FFFFFF"/>
            <w:noWrap/>
            <w:vAlign w:val="center"/>
            <w:hideMark/>
          </w:tcPr>
          <w:p w14:paraId="2F1F4326"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r>
      <w:tr w:rsidR="00E63B15" w:rsidRPr="00E63B15" w14:paraId="4B0A5EC9"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421F2A45" w14:textId="77777777" w:rsidR="00E63B15" w:rsidRPr="00E63B15" w:rsidRDefault="00E63B15" w:rsidP="00E63B15">
            <w:pPr>
              <w:spacing w:before="0" w:after="0" w:line="240" w:lineRule="auto"/>
              <w:ind w:left="170"/>
              <w:rPr>
                <w:rFonts w:ascii="Arial" w:hAnsi="Arial" w:cs="Arial"/>
                <w:i/>
                <w:iCs/>
                <w:color w:val="000000"/>
                <w:sz w:val="16"/>
                <w:szCs w:val="16"/>
              </w:rPr>
            </w:pPr>
            <w:r w:rsidRPr="00E63B15">
              <w:rPr>
                <w:rFonts w:ascii="Arial" w:hAnsi="Arial" w:cs="Arial"/>
                <w:i/>
                <w:iCs/>
                <w:color w:val="000000"/>
                <w:sz w:val="16"/>
                <w:szCs w:val="16"/>
              </w:rPr>
              <w:t>Total excise</w:t>
            </w:r>
          </w:p>
        </w:tc>
        <w:tc>
          <w:tcPr>
            <w:tcW w:w="597" w:type="pct"/>
            <w:tcBorders>
              <w:top w:val="nil"/>
              <w:left w:val="nil"/>
              <w:bottom w:val="nil"/>
              <w:right w:val="nil"/>
            </w:tcBorders>
            <w:shd w:val="clear" w:color="000000" w:fill="FFFFFF"/>
            <w:noWrap/>
            <w:vAlign w:val="center"/>
            <w:hideMark/>
          </w:tcPr>
          <w:p w14:paraId="40A56D5C"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32,670</w:t>
            </w:r>
          </w:p>
        </w:tc>
        <w:tc>
          <w:tcPr>
            <w:tcW w:w="597" w:type="pct"/>
            <w:tcBorders>
              <w:top w:val="nil"/>
              <w:left w:val="nil"/>
              <w:bottom w:val="nil"/>
              <w:right w:val="nil"/>
            </w:tcBorders>
            <w:shd w:val="clear" w:color="000000" w:fill="E6F2FF"/>
            <w:noWrap/>
            <w:vAlign w:val="center"/>
            <w:hideMark/>
          </w:tcPr>
          <w:p w14:paraId="25614986"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32,570</w:t>
            </w:r>
          </w:p>
        </w:tc>
        <w:tc>
          <w:tcPr>
            <w:tcW w:w="97" w:type="pct"/>
            <w:tcBorders>
              <w:top w:val="nil"/>
              <w:left w:val="nil"/>
              <w:bottom w:val="nil"/>
              <w:right w:val="nil"/>
            </w:tcBorders>
            <w:shd w:val="clear" w:color="000000" w:fill="FFFFFF"/>
            <w:noWrap/>
            <w:vAlign w:val="center"/>
            <w:hideMark/>
          </w:tcPr>
          <w:p w14:paraId="204E7120"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557" w:type="pct"/>
            <w:tcBorders>
              <w:top w:val="nil"/>
              <w:left w:val="nil"/>
              <w:bottom w:val="nil"/>
              <w:right w:val="nil"/>
            </w:tcBorders>
            <w:shd w:val="clear" w:color="000000" w:fill="FFFFFF"/>
            <w:noWrap/>
            <w:vAlign w:val="center"/>
            <w:hideMark/>
          </w:tcPr>
          <w:p w14:paraId="7C568B20"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-100</w:t>
            </w:r>
          </w:p>
        </w:tc>
        <w:tc>
          <w:tcPr>
            <w:tcW w:w="505" w:type="pct"/>
            <w:tcBorders>
              <w:top w:val="nil"/>
              <w:left w:val="nil"/>
              <w:bottom w:val="nil"/>
              <w:right w:val="nil"/>
            </w:tcBorders>
            <w:shd w:val="clear" w:color="000000" w:fill="FFFFFF"/>
            <w:noWrap/>
            <w:vAlign w:val="center"/>
            <w:hideMark/>
          </w:tcPr>
          <w:p w14:paraId="1F2434CD"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-0.3</w:t>
            </w:r>
          </w:p>
        </w:tc>
      </w:tr>
      <w:tr w:rsidR="00E63B15" w:rsidRPr="00E63B15" w14:paraId="23147831" w14:textId="77777777" w:rsidTr="00E63B15">
        <w:trPr>
          <w:trHeight w:hRule="exact" w:val="226"/>
        </w:trPr>
        <w:tc>
          <w:tcPr>
            <w:tcW w:w="2647" w:type="pct"/>
            <w:tcBorders>
              <w:top w:val="nil"/>
              <w:left w:val="nil"/>
              <w:bottom w:val="nil"/>
              <w:right w:val="nil"/>
            </w:tcBorders>
            <w:shd w:val="clear" w:color="000000" w:fill="FFFFFF"/>
            <w:noWrap/>
            <w:vAlign w:val="center"/>
            <w:hideMark/>
          </w:tcPr>
          <w:p w14:paraId="67E31557" w14:textId="77777777" w:rsidR="00E63B15" w:rsidRPr="00E63B15" w:rsidRDefault="00E63B15" w:rsidP="00E63B15">
            <w:pPr>
              <w:spacing w:before="0" w:after="0" w:line="240" w:lineRule="auto"/>
              <w:ind w:left="170"/>
              <w:rPr>
                <w:rFonts w:ascii="Arial" w:hAnsi="Arial" w:cs="Arial"/>
                <w:i/>
                <w:iCs/>
                <w:color w:val="000000"/>
                <w:sz w:val="16"/>
                <w:szCs w:val="16"/>
              </w:rPr>
            </w:pPr>
            <w:r w:rsidRPr="00E63B15">
              <w:rPr>
                <w:rFonts w:ascii="Arial" w:hAnsi="Arial" w:cs="Arial"/>
                <w:i/>
                <w:iCs/>
                <w:color w:val="000000"/>
                <w:sz w:val="16"/>
                <w:szCs w:val="16"/>
              </w:rPr>
              <w:t>Total customs duty</w:t>
            </w:r>
          </w:p>
        </w:tc>
        <w:tc>
          <w:tcPr>
            <w:tcW w:w="597" w:type="pct"/>
            <w:tcBorders>
              <w:top w:val="nil"/>
              <w:left w:val="nil"/>
              <w:bottom w:val="nil"/>
              <w:right w:val="nil"/>
            </w:tcBorders>
            <w:shd w:val="clear" w:color="000000" w:fill="FFFFFF"/>
            <w:noWrap/>
            <w:vAlign w:val="center"/>
            <w:hideMark/>
          </w:tcPr>
          <w:p w14:paraId="0DB6A006"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16,210</w:t>
            </w:r>
          </w:p>
        </w:tc>
        <w:tc>
          <w:tcPr>
            <w:tcW w:w="597" w:type="pct"/>
            <w:tcBorders>
              <w:top w:val="nil"/>
              <w:left w:val="nil"/>
              <w:bottom w:val="nil"/>
              <w:right w:val="nil"/>
            </w:tcBorders>
            <w:shd w:val="clear" w:color="000000" w:fill="E6F2FF"/>
            <w:noWrap/>
            <w:vAlign w:val="center"/>
            <w:hideMark/>
          </w:tcPr>
          <w:p w14:paraId="3225AB7F"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12,960</w:t>
            </w:r>
          </w:p>
        </w:tc>
        <w:tc>
          <w:tcPr>
            <w:tcW w:w="97" w:type="pct"/>
            <w:tcBorders>
              <w:top w:val="nil"/>
              <w:left w:val="nil"/>
              <w:bottom w:val="nil"/>
              <w:right w:val="nil"/>
            </w:tcBorders>
            <w:shd w:val="clear" w:color="000000" w:fill="FFFFFF"/>
            <w:noWrap/>
            <w:vAlign w:val="center"/>
            <w:hideMark/>
          </w:tcPr>
          <w:p w14:paraId="6A30EC25"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557" w:type="pct"/>
            <w:tcBorders>
              <w:top w:val="nil"/>
              <w:left w:val="nil"/>
              <w:bottom w:val="nil"/>
              <w:right w:val="nil"/>
            </w:tcBorders>
            <w:shd w:val="clear" w:color="000000" w:fill="FFFFFF"/>
            <w:noWrap/>
            <w:vAlign w:val="center"/>
            <w:hideMark/>
          </w:tcPr>
          <w:p w14:paraId="71E02C71"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-3,250</w:t>
            </w:r>
          </w:p>
        </w:tc>
        <w:tc>
          <w:tcPr>
            <w:tcW w:w="505" w:type="pct"/>
            <w:tcBorders>
              <w:top w:val="nil"/>
              <w:left w:val="nil"/>
              <w:bottom w:val="nil"/>
              <w:right w:val="nil"/>
            </w:tcBorders>
            <w:shd w:val="clear" w:color="000000" w:fill="FFFFFF"/>
            <w:noWrap/>
            <w:vAlign w:val="center"/>
            <w:hideMark/>
          </w:tcPr>
          <w:p w14:paraId="4015E58F"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-20.0</w:t>
            </w:r>
          </w:p>
        </w:tc>
      </w:tr>
      <w:tr w:rsidR="00E63B15" w:rsidRPr="00E63B15" w14:paraId="60AD6E7B" w14:textId="77777777" w:rsidTr="00E63B15">
        <w:trPr>
          <w:trHeight w:hRule="exact" w:val="226"/>
        </w:trPr>
        <w:tc>
          <w:tcPr>
            <w:tcW w:w="2647" w:type="pct"/>
            <w:tcBorders>
              <w:top w:val="nil"/>
              <w:left w:val="nil"/>
              <w:bottom w:val="single" w:sz="4" w:space="0" w:color="293F5B"/>
              <w:right w:val="nil"/>
            </w:tcBorders>
            <w:shd w:val="clear" w:color="000000" w:fill="FFFFFF"/>
            <w:noWrap/>
            <w:vAlign w:val="center"/>
            <w:hideMark/>
          </w:tcPr>
          <w:p w14:paraId="6353B016" w14:textId="77777777" w:rsidR="00E63B15" w:rsidRPr="00E63B15" w:rsidRDefault="00E63B15" w:rsidP="00E63B15">
            <w:pPr>
              <w:spacing w:before="0" w:after="0" w:line="240" w:lineRule="auto"/>
              <w:ind w:left="170"/>
              <w:rPr>
                <w:rFonts w:ascii="Arial" w:hAnsi="Arial" w:cs="Arial"/>
                <w:i/>
                <w:iCs/>
                <w:color w:val="000000"/>
                <w:sz w:val="16"/>
                <w:szCs w:val="16"/>
              </w:rPr>
            </w:pPr>
            <w:r w:rsidRPr="00E63B15">
              <w:rPr>
                <w:rFonts w:ascii="Arial" w:hAnsi="Arial" w:cs="Arial"/>
                <w:i/>
                <w:iCs/>
                <w:color w:val="000000"/>
                <w:sz w:val="16"/>
                <w:szCs w:val="16"/>
              </w:rPr>
              <w:t>Capital gains tax(b)</w:t>
            </w:r>
          </w:p>
        </w:tc>
        <w:tc>
          <w:tcPr>
            <w:tcW w:w="597" w:type="pct"/>
            <w:tcBorders>
              <w:top w:val="nil"/>
              <w:left w:val="nil"/>
              <w:bottom w:val="single" w:sz="4" w:space="0" w:color="293F5B"/>
              <w:right w:val="nil"/>
            </w:tcBorders>
            <w:shd w:val="clear" w:color="000000" w:fill="FFFFFF"/>
            <w:noWrap/>
            <w:vAlign w:val="center"/>
            <w:hideMark/>
          </w:tcPr>
          <w:p w14:paraId="1C97365A"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23,800</w:t>
            </w:r>
          </w:p>
        </w:tc>
        <w:tc>
          <w:tcPr>
            <w:tcW w:w="597" w:type="pct"/>
            <w:tcBorders>
              <w:top w:val="nil"/>
              <w:left w:val="nil"/>
              <w:bottom w:val="single" w:sz="4" w:space="0" w:color="293F5B"/>
              <w:right w:val="nil"/>
            </w:tcBorders>
            <w:shd w:val="clear" w:color="000000" w:fill="E6F2FF"/>
            <w:noWrap/>
            <w:vAlign w:val="center"/>
            <w:hideMark/>
          </w:tcPr>
          <w:p w14:paraId="700CE5EC"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26,100</w:t>
            </w:r>
          </w:p>
        </w:tc>
        <w:tc>
          <w:tcPr>
            <w:tcW w:w="97" w:type="pct"/>
            <w:tcBorders>
              <w:top w:val="nil"/>
              <w:left w:val="nil"/>
              <w:bottom w:val="single" w:sz="4" w:space="0" w:color="293F5B"/>
              <w:right w:val="nil"/>
            </w:tcBorders>
            <w:shd w:val="clear" w:color="000000" w:fill="FFFFFF"/>
            <w:noWrap/>
            <w:vAlign w:val="center"/>
            <w:hideMark/>
          </w:tcPr>
          <w:p w14:paraId="39DD76A9"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 </w:t>
            </w:r>
          </w:p>
        </w:tc>
        <w:tc>
          <w:tcPr>
            <w:tcW w:w="557" w:type="pct"/>
            <w:tcBorders>
              <w:top w:val="nil"/>
              <w:left w:val="nil"/>
              <w:bottom w:val="single" w:sz="4" w:space="0" w:color="293F5B"/>
              <w:right w:val="nil"/>
            </w:tcBorders>
            <w:shd w:val="clear" w:color="000000" w:fill="FFFFFF"/>
            <w:noWrap/>
            <w:vAlign w:val="center"/>
            <w:hideMark/>
          </w:tcPr>
          <w:p w14:paraId="001E08D7"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2,300</w:t>
            </w:r>
          </w:p>
        </w:tc>
        <w:tc>
          <w:tcPr>
            <w:tcW w:w="505" w:type="pct"/>
            <w:tcBorders>
              <w:top w:val="nil"/>
              <w:left w:val="nil"/>
              <w:bottom w:val="single" w:sz="4" w:space="0" w:color="293F5B"/>
              <w:right w:val="nil"/>
            </w:tcBorders>
            <w:shd w:val="clear" w:color="000000" w:fill="FFFFFF"/>
            <w:noWrap/>
            <w:vAlign w:val="center"/>
            <w:hideMark/>
          </w:tcPr>
          <w:p w14:paraId="1B45D29C" w14:textId="77777777" w:rsidR="00E63B15" w:rsidRPr="00E63B15" w:rsidRDefault="00E63B15" w:rsidP="00E63B15">
            <w:pPr>
              <w:spacing w:before="0" w:after="0" w:line="240" w:lineRule="auto"/>
              <w:jc w:val="right"/>
              <w:rPr>
                <w:rFonts w:ascii="Arial" w:hAnsi="Arial" w:cs="Arial"/>
                <w:i/>
                <w:iCs/>
                <w:color w:val="000000"/>
                <w:sz w:val="16"/>
                <w:szCs w:val="16"/>
              </w:rPr>
            </w:pPr>
            <w:r w:rsidRPr="00E63B15">
              <w:rPr>
                <w:rFonts w:ascii="Arial" w:hAnsi="Arial" w:cs="Arial"/>
                <w:i/>
                <w:iCs/>
                <w:color w:val="000000"/>
                <w:sz w:val="16"/>
                <w:szCs w:val="16"/>
              </w:rPr>
              <w:t>9.7</w:t>
            </w:r>
          </w:p>
        </w:tc>
      </w:tr>
    </w:tbl>
    <w:p w14:paraId="3EAF4E48" w14:textId="447A0806" w:rsidR="00352FB5" w:rsidRPr="00205DD5" w:rsidRDefault="00195A79" w:rsidP="00B862B7">
      <w:pPr>
        <w:pStyle w:val="ChartandTableFootnoteAlpha"/>
        <w:numPr>
          <w:ilvl w:val="0"/>
          <w:numId w:val="14"/>
        </w:numPr>
        <w:rPr>
          <w:rFonts w:eastAsiaTheme="minorHAnsi"/>
          <w:color w:val="auto"/>
        </w:rPr>
      </w:pPr>
      <w:r w:rsidRPr="00205DD5">
        <w:rPr>
          <w:rFonts w:eastAsiaTheme="minorHAnsi"/>
          <w:color w:val="auto"/>
        </w:rPr>
        <w:t>‘</w:t>
      </w:r>
      <w:r w:rsidR="00352FB5" w:rsidRPr="00205DD5">
        <w:rPr>
          <w:rFonts w:eastAsiaTheme="minorHAnsi"/>
          <w:color w:val="auto"/>
        </w:rPr>
        <w:t xml:space="preserve">Other alcoholic beverages’ are those not exceeding 10 per cent by volume of alcohol (excluding beer, </w:t>
      </w:r>
      <w:proofErr w:type="gramStart"/>
      <w:r w:rsidR="00352FB5" w:rsidRPr="00205DD5">
        <w:rPr>
          <w:rFonts w:eastAsiaTheme="minorHAnsi"/>
          <w:color w:val="auto"/>
        </w:rPr>
        <w:t>brandy</w:t>
      </w:r>
      <w:proofErr w:type="gramEnd"/>
      <w:r w:rsidR="00352FB5" w:rsidRPr="00205DD5">
        <w:rPr>
          <w:rFonts w:eastAsiaTheme="minorHAnsi"/>
          <w:color w:val="auto"/>
        </w:rPr>
        <w:t xml:space="preserve"> and wine).</w:t>
      </w:r>
    </w:p>
    <w:p w14:paraId="665B0070" w14:textId="529F4DD7" w:rsidR="00352FB5" w:rsidRPr="00F51A49" w:rsidRDefault="007F12FB" w:rsidP="00B862B7">
      <w:pPr>
        <w:pStyle w:val="ChartandTableFootnoteAlpha"/>
        <w:numPr>
          <w:ilvl w:val="0"/>
          <w:numId w:val="14"/>
        </w:numPr>
        <w:rPr>
          <w:rFonts w:eastAsiaTheme="minorHAnsi"/>
        </w:rPr>
      </w:pPr>
      <w:r w:rsidRPr="00205DD5">
        <w:rPr>
          <w:rFonts w:eastAsiaTheme="minorHAnsi"/>
          <w:color w:val="auto"/>
        </w:rPr>
        <w:t>‘</w:t>
      </w:r>
      <w:r w:rsidR="00352FB5" w:rsidRPr="00205DD5">
        <w:rPr>
          <w:rFonts w:eastAsiaTheme="minorHAnsi"/>
          <w:color w:val="auto"/>
        </w:rPr>
        <w:t>Capital gains tax’ is part of gross other individuals, company tax and superannuation fund taxes.</w:t>
      </w:r>
    </w:p>
    <w:p w14:paraId="44FB121E" w14:textId="2EC4E559" w:rsidR="00D63C70" w:rsidRPr="00205DD5" w:rsidRDefault="00D63C70" w:rsidP="00D63C70">
      <w:pPr>
        <w:pStyle w:val="Heading3"/>
      </w:pPr>
      <w:bookmarkStart w:id="67" w:name="_Toc148428083"/>
      <w:r w:rsidRPr="00205DD5">
        <w:lastRenderedPageBreak/>
        <w:t>Expense estimates</w:t>
      </w:r>
      <w:bookmarkEnd w:id="67"/>
    </w:p>
    <w:p w14:paraId="332D38BC" w14:textId="72CD5D1C" w:rsidR="00753DAD" w:rsidRPr="00205DD5" w:rsidRDefault="00753DAD" w:rsidP="00753DAD">
      <w:pPr>
        <w:spacing w:after="0"/>
      </w:pPr>
      <w:r w:rsidRPr="00205DD5">
        <w:rPr>
          <w:rFonts w:eastAsia="Calibri" w:cs="Calibri"/>
        </w:rPr>
        <w:t xml:space="preserve">Expenses are the accrual accounting equivalent of cash-based payments. </w:t>
      </w:r>
    </w:p>
    <w:p w14:paraId="64D3A322" w14:textId="77777777" w:rsidR="00753DAD" w:rsidRPr="00205DD5" w:rsidRDefault="00753DAD" w:rsidP="00753DAD">
      <w:pPr>
        <w:spacing w:after="0"/>
      </w:pPr>
      <w:r w:rsidRPr="00205DD5">
        <w:rPr>
          <w:rFonts w:eastAsia="Calibri" w:cs="Calibri"/>
        </w:rPr>
        <w:t xml:space="preserve">Total expenses have been revised up by $24.1 billion in 2024–25, and $71.6 billion over the four years to 2027–28, since the 2024–25 Budget. </w:t>
      </w:r>
    </w:p>
    <w:p w14:paraId="21ED0421" w14:textId="77777777" w:rsidR="00753DAD" w:rsidRPr="00205DD5" w:rsidRDefault="00753DAD" w:rsidP="00753DAD">
      <w:pPr>
        <w:spacing w:after="0"/>
      </w:pPr>
      <w:r w:rsidRPr="00205DD5">
        <w:rPr>
          <w:rFonts w:eastAsia="Calibri" w:cs="Calibri"/>
        </w:rPr>
        <w:t xml:space="preserve">Movements in expenses over the forward estimates are broadly consistent with movements in cash payments. The key exceptions include: </w:t>
      </w:r>
    </w:p>
    <w:p w14:paraId="2C5661C8" w14:textId="77777777" w:rsidR="00753DAD" w:rsidRPr="00205DD5" w:rsidRDefault="00753DAD" w:rsidP="00D53C86">
      <w:pPr>
        <w:pStyle w:val="Bullet"/>
      </w:pPr>
      <w:r w:rsidRPr="00205DD5">
        <w:rPr>
          <w:rFonts w:eastAsia="Calibri"/>
        </w:rPr>
        <w:t xml:space="preserve">the NDIS program, where there is an expected time lag between the receipt of reasonable and necessary support services and the lodgement of claims relating to those services. </w:t>
      </w:r>
    </w:p>
    <w:p w14:paraId="08F1F43A" w14:textId="77777777" w:rsidR="00753DAD" w:rsidRPr="00205DD5" w:rsidRDefault="00753DAD" w:rsidP="00D53C86">
      <w:pPr>
        <w:pStyle w:val="Bullet"/>
      </w:pPr>
      <w:r w:rsidRPr="00205DD5">
        <w:rPr>
          <w:rFonts w:eastAsia="Calibri"/>
        </w:rPr>
        <w:t xml:space="preserve">superannuation benefits programs (civilian and military), where there is a timing difference with the expense accruing during employment and cash payments occurring during retirement. </w:t>
      </w:r>
    </w:p>
    <w:p w14:paraId="413D3DCC" w14:textId="0CEB0253" w:rsidR="00D63C70" w:rsidRPr="00E9000E" w:rsidRDefault="00753DAD" w:rsidP="00D53C86">
      <w:pPr>
        <w:pStyle w:val="Bullet"/>
      </w:pPr>
      <w:r w:rsidRPr="00205DD5">
        <w:rPr>
          <w:rFonts w:eastAsia="Calibri"/>
        </w:rPr>
        <w:t>purchases of non-financial assets, which are included in cash payments but not in accrual expenses. The expense estimates include depreciation of non-financial assets rather than recognising the impact at the time of purchase.</w:t>
      </w:r>
    </w:p>
    <w:p w14:paraId="1AC92182" w14:textId="5665729E" w:rsidR="003A5185" w:rsidRPr="00205DD5" w:rsidRDefault="00D63C70" w:rsidP="001951C9">
      <w:pPr>
        <w:pStyle w:val="TableHeading"/>
        <w:rPr>
          <w:rFonts w:asciiTheme="minorHAnsi" w:eastAsiaTheme="minorHAnsi" w:hAnsiTheme="minorHAnsi" w:cstheme="minorBidi"/>
          <w:b w:val="0"/>
          <w:sz w:val="22"/>
          <w:szCs w:val="22"/>
          <w:lang w:eastAsia="en-US"/>
        </w:rPr>
      </w:pPr>
      <w:r w:rsidRPr="00205DD5">
        <w:t>Table 3.</w:t>
      </w:r>
      <w:r w:rsidR="002F3A04" w:rsidRPr="00205DD5">
        <w:t>1</w:t>
      </w:r>
      <w:r w:rsidR="0072599C" w:rsidRPr="00205DD5">
        <w:t>3</w:t>
      </w:r>
      <w:r w:rsidRPr="00205DD5">
        <w:t>: Reconciliation of general government sector expense estimates</w:t>
      </w:r>
    </w:p>
    <w:tbl>
      <w:tblPr>
        <w:tblW w:w="5000" w:type="pct"/>
        <w:tblCellMar>
          <w:left w:w="0" w:type="dxa"/>
          <w:right w:w="28" w:type="dxa"/>
        </w:tblCellMar>
        <w:tblLook w:val="04A0" w:firstRow="1" w:lastRow="0" w:firstColumn="1" w:lastColumn="0" w:noHBand="0" w:noVBand="1"/>
      </w:tblPr>
      <w:tblGrid>
        <w:gridCol w:w="3136"/>
        <w:gridCol w:w="880"/>
        <w:gridCol w:w="880"/>
        <w:gridCol w:w="880"/>
        <w:gridCol w:w="882"/>
        <w:gridCol w:w="150"/>
        <w:gridCol w:w="902"/>
      </w:tblGrid>
      <w:tr w:rsidR="00343EC8" w:rsidRPr="00FF1D21" w14:paraId="38D64410" w14:textId="77777777" w:rsidTr="003A5185">
        <w:trPr>
          <w:trHeight w:hRule="exact" w:val="226"/>
        </w:trPr>
        <w:tc>
          <w:tcPr>
            <w:tcW w:w="2033" w:type="pct"/>
            <w:tcBorders>
              <w:top w:val="single" w:sz="4" w:space="0" w:color="293F5B"/>
              <w:left w:val="nil"/>
              <w:bottom w:val="nil"/>
              <w:right w:val="nil"/>
            </w:tcBorders>
            <w:shd w:val="clear" w:color="000000" w:fill="FFFFFF"/>
            <w:noWrap/>
            <w:vAlign w:val="bottom"/>
            <w:hideMark/>
          </w:tcPr>
          <w:p w14:paraId="06E3FCAE" w14:textId="2609D170" w:rsidR="003A5185" w:rsidRPr="00FF1D21" w:rsidRDefault="003A5185" w:rsidP="003A5185">
            <w:pPr>
              <w:spacing w:before="0" w:after="0" w:line="240" w:lineRule="auto"/>
              <w:rPr>
                <w:rFonts w:ascii="Calibri" w:hAnsi="Calibri" w:cs="Calibri"/>
                <w:color w:val="00FFFF"/>
                <w:sz w:val="22"/>
                <w:szCs w:val="22"/>
                <w:highlight w:val="darkCyan"/>
              </w:rPr>
            </w:pPr>
            <w:r w:rsidRPr="00205DD5">
              <w:rPr>
                <w:rFonts w:ascii="Calibri" w:hAnsi="Calibri" w:cs="Calibri"/>
                <w:sz w:val="22"/>
                <w:szCs w:val="22"/>
              </w:rPr>
              <w:t> </w:t>
            </w:r>
          </w:p>
        </w:tc>
        <w:tc>
          <w:tcPr>
            <w:tcW w:w="2285" w:type="pct"/>
            <w:gridSpan w:val="4"/>
            <w:tcBorders>
              <w:top w:val="single" w:sz="4" w:space="0" w:color="293F5B"/>
              <w:left w:val="nil"/>
              <w:bottom w:val="nil"/>
              <w:right w:val="nil"/>
            </w:tcBorders>
            <w:shd w:val="clear" w:color="000000" w:fill="FFFFFF"/>
            <w:noWrap/>
            <w:vAlign w:val="center"/>
            <w:hideMark/>
          </w:tcPr>
          <w:p w14:paraId="736156BB" w14:textId="77777777" w:rsidR="003A5185" w:rsidRPr="00FF1D21" w:rsidRDefault="003A5185" w:rsidP="003A5185">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Estimates</w:t>
            </w:r>
          </w:p>
        </w:tc>
        <w:tc>
          <w:tcPr>
            <w:tcW w:w="97" w:type="pct"/>
            <w:tcBorders>
              <w:top w:val="single" w:sz="4" w:space="0" w:color="293F5B"/>
              <w:left w:val="nil"/>
              <w:bottom w:val="nil"/>
              <w:right w:val="nil"/>
            </w:tcBorders>
            <w:shd w:val="clear" w:color="000000" w:fill="FFFFFF"/>
            <w:noWrap/>
            <w:vAlign w:val="center"/>
            <w:hideMark/>
          </w:tcPr>
          <w:p w14:paraId="7849349F"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single" w:sz="4" w:space="0" w:color="293F5B"/>
              <w:left w:val="nil"/>
              <w:bottom w:val="nil"/>
              <w:right w:val="nil"/>
            </w:tcBorders>
            <w:shd w:val="clear" w:color="000000" w:fill="FFFFFF"/>
            <w:noWrap/>
            <w:vAlign w:val="center"/>
            <w:hideMark/>
          </w:tcPr>
          <w:p w14:paraId="2B74BF29" w14:textId="77777777" w:rsidR="003A5185" w:rsidRPr="00205DD5" w:rsidRDefault="003A5185" w:rsidP="003A5185">
            <w:pPr>
              <w:spacing w:before="0" w:after="0" w:line="240" w:lineRule="auto"/>
              <w:rPr>
                <w:rFonts w:ascii="Arial" w:hAnsi="Arial" w:cs="Arial"/>
                <w:sz w:val="16"/>
                <w:szCs w:val="16"/>
              </w:rPr>
            </w:pPr>
            <w:r w:rsidRPr="00205DD5">
              <w:rPr>
                <w:rFonts w:ascii="Arial" w:hAnsi="Arial" w:cs="Arial"/>
                <w:sz w:val="16"/>
                <w:szCs w:val="16"/>
              </w:rPr>
              <w:t> </w:t>
            </w:r>
          </w:p>
        </w:tc>
      </w:tr>
      <w:tr w:rsidR="003A5185" w:rsidRPr="00FF1D21" w14:paraId="1DFD63B9" w14:textId="77777777" w:rsidTr="003A5185">
        <w:trPr>
          <w:trHeight w:hRule="exact" w:val="226"/>
        </w:trPr>
        <w:tc>
          <w:tcPr>
            <w:tcW w:w="2033" w:type="pct"/>
            <w:tcBorders>
              <w:top w:val="nil"/>
              <w:left w:val="nil"/>
              <w:bottom w:val="nil"/>
              <w:right w:val="nil"/>
            </w:tcBorders>
            <w:shd w:val="clear" w:color="000000" w:fill="FFFFFF"/>
            <w:noWrap/>
            <w:vAlign w:val="bottom"/>
            <w:hideMark/>
          </w:tcPr>
          <w:p w14:paraId="0EFDEE2F"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single" w:sz="4" w:space="0" w:color="293F5B"/>
              <w:left w:val="nil"/>
              <w:bottom w:val="nil"/>
              <w:right w:val="nil"/>
            </w:tcBorders>
            <w:shd w:val="clear" w:color="000000" w:fill="E6F2FF"/>
            <w:noWrap/>
            <w:vAlign w:val="center"/>
            <w:hideMark/>
          </w:tcPr>
          <w:p w14:paraId="3EA748C8"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2024–25</w:t>
            </w:r>
          </w:p>
        </w:tc>
        <w:tc>
          <w:tcPr>
            <w:tcW w:w="571" w:type="pct"/>
            <w:tcBorders>
              <w:top w:val="single" w:sz="4" w:space="0" w:color="293F5B"/>
              <w:left w:val="nil"/>
              <w:bottom w:val="nil"/>
              <w:right w:val="nil"/>
            </w:tcBorders>
            <w:shd w:val="clear" w:color="000000" w:fill="FFFFFF"/>
            <w:noWrap/>
            <w:vAlign w:val="center"/>
            <w:hideMark/>
          </w:tcPr>
          <w:p w14:paraId="329FF3FA"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2025–26</w:t>
            </w:r>
          </w:p>
        </w:tc>
        <w:tc>
          <w:tcPr>
            <w:tcW w:w="571" w:type="pct"/>
            <w:tcBorders>
              <w:top w:val="single" w:sz="4" w:space="0" w:color="293F5B"/>
              <w:left w:val="nil"/>
              <w:bottom w:val="nil"/>
              <w:right w:val="nil"/>
            </w:tcBorders>
            <w:shd w:val="clear" w:color="000000" w:fill="FFFFFF"/>
            <w:noWrap/>
            <w:vAlign w:val="center"/>
            <w:hideMark/>
          </w:tcPr>
          <w:p w14:paraId="3D5F970F"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2026–27</w:t>
            </w:r>
          </w:p>
        </w:tc>
        <w:tc>
          <w:tcPr>
            <w:tcW w:w="571" w:type="pct"/>
            <w:tcBorders>
              <w:top w:val="single" w:sz="4" w:space="0" w:color="293F5B"/>
              <w:left w:val="nil"/>
              <w:bottom w:val="nil"/>
              <w:right w:val="nil"/>
            </w:tcBorders>
            <w:shd w:val="clear" w:color="000000" w:fill="FFFFFF"/>
            <w:noWrap/>
            <w:vAlign w:val="center"/>
            <w:hideMark/>
          </w:tcPr>
          <w:p w14:paraId="1733011B"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2027–28</w:t>
            </w:r>
          </w:p>
        </w:tc>
        <w:tc>
          <w:tcPr>
            <w:tcW w:w="97" w:type="pct"/>
            <w:tcBorders>
              <w:top w:val="nil"/>
              <w:left w:val="nil"/>
              <w:bottom w:val="nil"/>
              <w:right w:val="nil"/>
            </w:tcBorders>
            <w:shd w:val="clear" w:color="000000" w:fill="FFFFFF"/>
            <w:noWrap/>
            <w:vAlign w:val="center"/>
            <w:hideMark/>
          </w:tcPr>
          <w:p w14:paraId="1ABE1671"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single" w:sz="4" w:space="0" w:color="293F5B"/>
              <w:left w:val="nil"/>
              <w:bottom w:val="nil"/>
              <w:right w:val="nil"/>
            </w:tcBorders>
            <w:shd w:val="clear" w:color="000000" w:fill="FFFFFF"/>
            <w:noWrap/>
            <w:vAlign w:val="center"/>
            <w:hideMark/>
          </w:tcPr>
          <w:p w14:paraId="096FB848" w14:textId="77777777" w:rsidR="003A5185" w:rsidRPr="00205DD5" w:rsidRDefault="003A5185" w:rsidP="003A5185">
            <w:pPr>
              <w:spacing w:before="0" w:after="0" w:line="240" w:lineRule="auto"/>
              <w:jc w:val="right"/>
              <w:rPr>
                <w:rFonts w:ascii="Arial" w:hAnsi="Arial" w:cs="Arial"/>
                <w:sz w:val="16"/>
                <w:szCs w:val="16"/>
              </w:rPr>
            </w:pPr>
            <w:r w:rsidRPr="00205DD5">
              <w:rPr>
                <w:rFonts w:ascii="Arial" w:hAnsi="Arial" w:cs="Arial"/>
                <w:sz w:val="16"/>
                <w:szCs w:val="16"/>
              </w:rPr>
              <w:t>Total</w:t>
            </w:r>
          </w:p>
        </w:tc>
      </w:tr>
      <w:tr w:rsidR="003A5185" w:rsidRPr="00FF1D21" w14:paraId="55756180"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1CE76136"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nil"/>
              <w:left w:val="nil"/>
              <w:bottom w:val="single" w:sz="4" w:space="0" w:color="293F5B"/>
              <w:right w:val="nil"/>
            </w:tcBorders>
            <w:shd w:val="clear" w:color="000000" w:fill="E6F2FF"/>
            <w:noWrap/>
            <w:vAlign w:val="center"/>
            <w:hideMark/>
          </w:tcPr>
          <w:p w14:paraId="73892683"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71" w:type="pct"/>
            <w:tcBorders>
              <w:top w:val="nil"/>
              <w:left w:val="nil"/>
              <w:bottom w:val="single" w:sz="4" w:space="0" w:color="293F5B"/>
              <w:right w:val="nil"/>
            </w:tcBorders>
            <w:shd w:val="clear" w:color="000000" w:fill="FFFFFF"/>
            <w:noWrap/>
            <w:vAlign w:val="center"/>
            <w:hideMark/>
          </w:tcPr>
          <w:p w14:paraId="6F975DE2"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71" w:type="pct"/>
            <w:tcBorders>
              <w:top w:val="nil"/>
              <w:left w:val="nil"/>
              <w:bottom w:val="single" w:sz="4" w:space="0" w:color="293F5B"/>
              <w:right w:val="nil"/>
            </w:tcBorders>
            <w:shd w:val="clear" w:color="000000" w:fill="FFFFFF"/>
            <w:noWrap/>
            <w:vAlign w:val="center"/>
            <w:hideMark/>
          </w:tcPr>
          <w:p w14:paraId="1CF98F54"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71" w:type="pct"/>
            <w:tcBorders>
              <w:top w:val="nil"/>
              <w:left w:val="nil"/>
              <w:bottom w:val="single" w:sz="4" w:space="0" w:color="293F5B"/>
              <w:right w:val="nil"/>
            </w:tcBorders>
            <w:shd w:val="clear" w:color="000000" w:fill="FFFFFF"/>
            <w:noWrap/>
            <w:vAlign w:val="center"/>
            <w:hideMark/>
          </w:tcPr>
          <w:p w14:paraId="2CFC5678"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97" w:type="pct"/>
            <w:tcBorders>
              <w:top w:val="nil"/>
              <w:left w:val="nil"/>
              <w:bottom w:val="nil"/>
              <w:right w:val="nil"/>
            </w:tcBorders>
            <w:shd w:val="clear" w:color="000000" w:fill="FFFFFF"/>
            <w:noWrap/>
            <w:vAlign w:val="center"/>
            <w:hideMark/>
          </w:tcPr>
          <w:p w14:paraId="678E01F9"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single" w:sz="4" w:space="0" w:color="293F5B"/>
              <w:right w:val="nil"/>
            </w:tcBorders>
            <w:shd w:val="clear" w:color="000000" w:fill="FFFFFF"/>
            <w:noWrap/>
            <w:vAlign w:val="center"/>
            <w:hideMark/>
          </w:tcPr>
          <w:p w14:paraId="4DEE9921" w14:textId="77777777" w:rsidR="003A5185" w:rsidRPr="00205DD5" w:rsidRDefault="003A5185" w:rsidP="003A5185">
            <w:pPr>
              <w:spacing w:before="0" w:after="0" w:line="240" w:lineRule="auto"/>
              <w:jc w:val="right"/>
              <w:rPr>
                <w:rFonts w:ascii="Arial" w:hAnsi="Arial" w:cs="Arial"/>
                <w:sz w:val="16"/>
                <w:szCs w:val="16"/>
              </w:rPr>
            </w:pPr>
            <w:r w:rsidRPr="00205DD5">
              <w:rPr>
                <w:rFonts w:ascii="Arial" w:hAnsi="Arial" w:cs="Arial"/>
                <w:sz w:val="16"/>
                <w:szCs w:val="16"/>
              </w:rPr>
              <w:t>$m</w:t>
            </w:r>
          </w:p>
        </w:tc>
      </w:tr>
      <w:tr w:rsidR="003A5185" w:rsidRPr="00FF1D21" w14:paraId="67879E01"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132A5587"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Budget expenses</w:t>
            </w:r>
          </w:p>
        </w:tc>
        <w:tc>
          <w:tcPr>
            <w:tcW w:w="571" w:type="pct"/>
            <w:tcBorders>
              <w:top w:val="nil"/>
              <w:left w:val="nil"/>
              <w:bottom w:val="nil"/>
              <w:right w:val="nil"/>
            </w:tcBorders>
            <w:shd w:val="clear" w:color="000000" w:fill="E6F2FF"/>
            <w:noWrap/>
            <w:vAlign w:val="center"/>
            <w:hideMark/>
          </w:tcPr>
          <w:p w14:paraId="5A1FD057"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734,518</w:t>
            </w:r>
          </w:p>
        </w:tc>
        <w:tc>
          <w:tcPr>
            <w:tcW w:w="571" w:type="pct"/>
            <w:tcBorders>
              <w:top w:val="nil"/>
              <w:left w:val="nil"/>
              <w:bottom w:val="nil"/>
              <w:right w:val="nil"/>
            </w:tcBorders>
            <w:shd w:val="clear" w:color="000000" w:fill="FFFFFF"/>
            <w:noWrap/>
            <w:vAlign w:val="center"/>
            <w:hideMark/>
          </w:tcPr>
          <w:p w14:paraId="11889192"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767,290</w:t>
            </w:r>
          </w:p>
        </w:tc>
        <w:tc>
          <w:tcPr>
            <w:tcW w:w="571" w:type="pct"/>
            <w:tcBorders>
              <w:top w:val="nil"/>
              <w:left w:val="nil"/>
              <w:bottom w:val="nil"/>
              <w:right w:val="nil"/>
            </w:tcBorders>
            <w:shd w:val="clear" w:color="000000" w:fill="FFFFFF"/>
            <w:noWrap/>
            <w:vAlign w:val="center"/>
            <w:hideMark/>
          </w:tcPr>
          <w:p w14:paraId="3F453A19"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793,765</w:t>
            </w:r>
          </w:p>
        </w:tc>
        <w:tc>
          <w:tcPr>
            <w:tcW w:w="571" w:type="pct"/>
            <w:tcBorders>
              <w:top w:val="nil"/>
              <w:left w:val="nil"/>
              <w:bottom w:val="nil"/>
              <w:right w:val="nil"/>
            </w:tcBorders>
            <w:shd w:val="clear" w:color="000000" w:fill="FFFFFF"/>
            <w:noWrap/>
            <w:vAlign w:val="center"/>
            <w:hideMark/>
          </w:tcPr>
          <w:p w14:paraId="5DD2A36D"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829,755</w:t>
            </w:r>
          </w:p>
        </w:tc>
        <w:tc>
          <w:tcPr>
            <w:tcW w:w="97" w:type="pct"/>
            <w:tcBorders>
              <w:top w:val="nil"/>
              <w:left w:val="nil"/>
              <w:bottom w:val="nil"/>
              <w:right w:val="nil"/>
            </w:tcBorders>
            <w:shd w:val="clear" w:color="000000" w:fill="FFFFFF"/>
            <w:noWrap/>
            <w:vAlign w:val="center"/>
            <w:hideMark/>
          </w:tcPr>
          <w:p w14:paraId="74D47E56"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85" w:type="pct"/>
            <w:tcBorders>
              <w:top w:val="nil"/>
              <w:left w:val="nil"/>
              <w:bottom w:val="nil"/>
              <w:right w:val="nil"/>
            </w:tcBorders>
            <w:shd w:val="clear" w:color="000000" w:fill="FFFFFF"/>
            <w:noWrap/>
            <w:vAlign w:val="center"/>
            <w:hideMark/>
          </w:tcPr>
          <w:p w14:paraId="16FF9F1B" w14:textId="77777777" w:rsidR="003A5185" w:rsidRPr="00205DD5" w:rsidRDefault="003A5185" w:rsidP="003A5185">
            <w:pPr>
              <w:spacing w:before="0" w:after="0" w:line="240" w:lineRule="auto"/>
              <w:jc w:val="right"/>
              <w:rPr>
                <w:rFonts w:ascii="Arial" w:hAnsi="Arial" w:cs="Arial"/>
                <w:b/>
                <w:sz w:val="16"/>
                <w:szCs w:val="16"/>
              </w:rPr>
            </w:pPr>
            <w:r w:rsidRPr="00205DD5">
              <w:rPr>
                <w:rFonts w:ascii="Arial" w:hAnsi="Arial" w:cs="Arial"/>
                <w:b/>
                <w:sz w:val="16"/>
                <w:szCs w:val="16"/>
              </w:rPr>
              <w:t>3,125,329</w:t>
            </w:r>
          </w:p>
        </w:tc>
      </w:tr>
      <w:tr w:rsidR="003A5185" w:rsidRPr="00FF1D21" w14:paraId="38D94D67" w14:textId="77777777" w:rsidTr="003A5185">
        <w:trPr>
          <w:trHeight w:hRule="exact" w:val="60"/>
        </w:trPr>
        <w:tc>
          <w:tcPr>
            <w:tcW w:w="2033" w:type="pct"/>
            <w:tcBorders>
              <w:top w:val="nil"/>
              <w:left w:val="nil"/>
              <w:bottom w:val="nil"/>
              <w:right w:val="nil"/>
            </w:tcBorders>
            <w:shd w:val="clear" w:color="000000" w:fill="FFFFFF"/>
            <w:noWrap/>
            <w:vAlign w:val="center"/>
            <w:hideMark/>
          </w:tcPr>
          <w:p w14:paraId="58C58C57"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E6F2FF"/>
            <w:noWrap/>
            <w:vAlign w:val="center"/>
            <w:hideMark/>
          </w:tcPr>
          <w:p w14:paraId="2DA5C8BD"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FFFFFF"/>
            <w:noWrap/>
            <w:vAlign w:val="center"/>
            <w:hideMark/>
          </w:tcPr>
          <w:p w14:paraId="4C12BA0D"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FFFFFF"/>
            <w:noWrap/>
            <w:vAlign w:val="center"/>
            <w:hideMark/>
          </w:tcPr>
          <w:p w14:paraId="057851D4"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FFFFFF"/>
            <w:noWrap/>
            <w:vAlign w:val="center"/>
            <w:hideMark/>
          </w:tcPr>
          <w:p w14:paraId="73E7E1F8"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97" w:type="pct"/>
            <w:tcBorders>
              <w:top w:val="nil"/>
              <w:left w:val="nil"/>
              <w:bottom w:val="nil"/>
              <w:right w:val="nil"/>
            </w:tcBorders>
            <w:shd w:val="clear" w:color="000000" w:fill="FFFFFF"/>
            <w:noWrap/>
            <w:vAlign w:val="center"/>
            <w:hideMark/>
          </w:tcPr>
          <w:p w14:paraId="21D4CA87"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85" w:type="pct"/>
            <w:tcBorders>
              <w:top w:val="nil"/>
              <w:left w:val="nil"/>
              <w:bottom w:val="nil"/>
              <w:right w:val="nil"/>
            </w:tcBorders>
            <w:shd w:val="clear" w:color="000000" w:fill="FFFFFF"/>
            <w:noWrap/>
            <w:vAlign w:val="center"/>
            <w:hideMark/>
          </w:tcPr>
          <w:p w14:paraId="7B6A5204" w14:textId="77777777" w:rsidR="003A5185" w:rsidRPr="00205DD5" w:rsidRDefault="003A5185" w:rsidP="003A5185">
            <w:pPr>
              <w:spacing w:before="0" w:after="0" w:line="240" w:lineRule="auto"/>
              <w:rPr>
                <w:rFonts w:ascii="Arial" w:hAnsi="Arial" w:cs="Arial"/>
                <w:b/>
                <w:sz w:val="16"/>
                <w:szCs w:val="16"/>
              </w:rPr>
            </w:pPr>
            <w:r w:rsidRPr="00205DD5">
              <w:rPr>
                <w:rFonts w:ascii="Arial" w:hAnsi="Arial" w:cs="Arial"/>
                <w:b/>
                <w:sz w:val="16"/>
                <w:szCs w:val="16"/>
              </w:rPr>
              <w:t> </w:t>
            </w:r>
          </w:p>
        </w:tc>
      </w:tr>
      <w:tr w:rsidR="003A5185" w:rsidRPr="00FF1D21" w14:paraId="6A98F0F8"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037B3C44"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xml:space="preserve">Changes from 2024–25 Budget to </w:t>
            </w:r>
          </w:p>
        </w:tc>
        <w:tc>
          <w:tcPr>
            <w:tcW w:w="571" w:type="pct"/>
            <w:tcBorders>
              <w:top w:val="nil"/>
              <w:left w:val="nil"/>
              <w:bottom w:val="nil"/>
              <w:right w:val="nil"/>
            </w:tcBorders>
            <w:shd w:val="clear" w:color="000000" w:fill="E6F2FF"/>
            <w:noWrap/>
            <w:vAlign w:val="center"/>
            <w:hideMark/>
          </w:tcPr>
          <w:p w14:paraId="29C3B9FF"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nil"/>
              <w:left w:val="nil"/>
              <w:bottom w:val="nil"/>
              <w:right w:val="nil"/>
            </w:tcBorders>
            <w:shd w:val="clear" w:color="000000" w:fill="FFFFFF"/>
            <w:noWrap/>
            <w:vAlign w:val="center"/>
            <w:hideMark/>
          </w:tcPr>
          <w:p w14:paraId="54C33571"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nil"/>
              <w:left w:val="nil"/>
              <w:bottom w:val="nil"/>
              <w:right w:val="nil"/>
            </w:tcBorders>
            <w:shd w:val="clear" w:color="000000" w:fill="FFFFFF"/>
            <w:noWrap/>
            <w:vAlign w:val="center"/>
            <w:hideMark/>
          </w:tcPr>
          <w:p w14:paraId="5FE606AB"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nil"/>
              <w:left w:val="nil"/>
              <w:bottom w:val="nil"/>
              <w:right w:val="nil"/>
            </w:tcBorders>
            <w:shd w:val="clear" w:color="000000" w:fill="FFFFFF"/>
            <w:noWrap/>
            <w:vAlign w:val="center"/>
            <w:hideMark/>
          </w:tcPr>
          <w:p w14:paraId="169AA710"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4607DB97"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36801456" w14:textId="77777777" w:rsidR="003A5185" w:rsidRPr="00205DD5" w:rsidRDefault="003A5185" w:rsidP="003A5185">
            <w:pPr>
              <w:spacing w:before="0" w:after="0" w:line="240" w:lineRule="auto"/>
              <w:rPr>
                <w:rFonts w:ascii="Arial" w:hAnsi="Arial" w:cs="Arial"/>
                <w:sz w:val="16"/>
                <w:szCs w:val="16"/>
              </w:rPr>
            </w:pPr>
            <w:r w:rsidRPr="00205DD5">
              <w:rPr>
                <w:rFonts w:ascii="Arial" w:hAnsi="Arial" w:cs="Arial"/>
                <w:sz w:val="16"/>
                <w:szCs w:val="16"/>
              </w:rPr>
              <w:t> </w:t>
            </w:r>
          </w:p>
        </w:tc>
      </w:tr>
      <w:tr w:rsidR="003A5185" w:rsidRPr="00FF1D21" w14:paraId="06762C1A"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0861501C" w14:textId="77777777" w:rsidR="003A5185" w:rsidRPr="00FF1D21" w:rsidRDefault="003A5185" w:rsidP="003A5185">
            <w:pPr>
              <w:spacing w:before="0" w:after="0" w:line="240" w:lineRule="auto"/>
              <w:ind w:left="170"/>
              <w:rPr>
                <w:rFonts w:ascii="Arial" w:hAnsi="Arial" w:cs="Arial"/>
                <w:b/>
                <w:color w:val="00FFFF"/>
                <w:sz w:val="16"/>
                <w:szCs w:val="16"/>
                <w:highlight w:val="darkCyan"/>
              </w:rPr>
            </w:pPr>
            <w:r w:rsidRPr="00205DD5">
              <w:rPr>
                <w:rFonts w:ascii="Arial" w:hAnsi="Arial" w:cs="Arial"/>
                <w:b/>
                <w:sz w:val="16"/>
                <w:szCs w:val="16"/>
              </w:rPr>
              <w:t>2024–25 MYEFO</w:t>
            </w:r>
          </w:p>
        </w:tc>
        <w:tc>
          <w:tcPr>
            <w:tcW w:w="571" w:type="pct"/>
            <w:tcBorders>
              <w:top w:val="nil"/>
              <w:left w:val="nil"/>
              <w:bottom w:val="nil"/>
              <w:right w:val="nil"/>
            </w:tcBorders>
            <w:shd w:val="clear" w:color="000000" w:fill="E6F2FF"/>
            <w:noWrap/>
            <w:vAlign w:val="center"/>
            <w:hideMark/>
          </w:tcPr>
          <w:p w14:paraId="184AF8DF"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71" w:type="pct"/>
            <w:tcBorders>
              <w:top w:val="nil"/>
              <w:left w:val="nil"/>
              <w:bottom w:val="nil"/>
              <w:right w:val="nil"/>
            </w:tcBorders>
            <w:shd w:val="clear" w:color="000000" w:fill="FFFFFF"/>
            <w:noWrap/>
            <w:vAlign w:val="center"/>
            <w:hideMark/>
          </w:tcPr>
          <w:p w14:paraId="0F3A4D6B"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71" w:type="pct"/>
            <w:tcBorders>
              <w:top w:val="nil"/>
              <w:left w:val="nil"/>
              <w:bottom w:val="nil"/>
              <w:right w:val="nil"/>
            </w:tcBorders>
            <w:shd w:val="clear" w:color="000000" w:fill="FFFFFF"/>
            <w:noWrap/>
            <w:vAlign w:val="center"/>
            <w:hideMark/>
          </w:tcPr>
          <w:p w14:paraId="4AB8C382"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71" w:type="pct"/>
            <w:tcBorders>
              <w:top w:val="nil"/>
              <w:left w:val="nil"/>
              <w:bottom w:val="nil"/>
              <w:right w:val="nil"/>
            </w:tcBorders>
            <w:shd w:val="clear" w:color="000000" w:fill="FFFFFF"/>
            <w:noWrap/>
            <w:vAlign w:val="center"/>
            <w:hideMark/>
          </w:tcPr>
          <w:p w14:paraId="2D313090"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97" w:type="pct"/>
            <w:tcBorders>
              <w:top w:val="nil"/>
              <w:left w:val="nil"/>
              <w:bottom w:val="nil"/>
              <w:right w:val="nil"/>
            </w:tcBorders>
            <w:shd w:val="clear" w:color="000000" w:fill="FFFFFF"/>
            <w:noWrap/>
            <w:vAlign w:val="center"/>
            <w:hideMark/>
          </w:tcPr>
          <w:p w14:paraId="5320D216"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85" w:type="pct"/>
            <w:tcBorders>
              <w:top w:val="nil"/>
              <w:left w:val="nil"/>
              <w:bottom w:val="nil"/>
              <w:right w:val="nil"/>
            </w:tcBorders>
            <w:shd w:val="clear" w:color="000000" w:fill="FFFFFF"/>
            <w:noWrap/>
            <w:vAlign w:val="center"/>
            <w:hideMark/>
          </w:tcPr>
          <w:p w14:paraId="2D2884AA" w14:textId="77777777" w:rsidR="003A5185" w:rsidRPr="00205DD5" w:rsidRDefault="003A5185" w:rsidP="003A5185">
            <w:pPr>
              <w:spacing w:before="0" w:after="0" w:line="240" w:lineRule="auto"/>
              <w:rPr>
                <w:rFonts w:ascii="Arial" w:hAnsi="Arial" w:cs="Arial"/>
                <w:sz w:val="16"/>
                <w:szCs w:val="16"/>
              </w:rPr>
            </w:pPr>
            <w:r w:rsidRPr="00205DD5">
              <w:rPr>
                <w:rFonts w:ascii="Arial" w:hAnsi="Arial" w:cs="Arial"/>
                <w:sz w:val="16"/>
                <w:szCs w:val="16"/>
              </w:rPr>
              <w:t> </w:t>
            </w:r>
          </w:p>
        </w:tc>
      </w:tr>
      <w:tr w:rsidR="003A5185" w:rsidRPr="00FF1D21" w14:paraId="59A6F9A8"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7E8699B7"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policy decisions(a)</w:t>
            </w:r>
          </w:p>
        </w:tc>
        <w:tc>
          <w:tcPr>
            <w:tcW w:w="571" w:type="pct"/>
            <w:tcBorders>
              <w:top w:val="nil"/>
              <w:left w:val="nil"/>
              <w:bottom w:val="nil"/>
              <w:right w:val="nil"/>
            </w:tcBorders>
            <w:shd w:val="clear" w:color="000000" w:fill="E6F2FF"/>
            <w:noWrap/>
            <w:vAlign w:val="center"/>
            <w:hideMark/>
          </w:tcPr>
          <w:p w14:paraId="0CC3EB22"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12,739</w:t>
            </w:r>
          </w:p>
        </w:tc>
        <w:tc>
          <w:tcPr>
            <w:tcW w:w="571" w:type="pct"/>
            <w:tcBorders>
              <w:top w:val="nil"/>
              <w:left w:val="nil"/>
              <w:bottom w:val="nil"/>
              <w:right w:val="nil"/>
            </w:tcBorders>
            <w:shd w:val="clear" w:color="000000" w:fill="FFFFFF"/>
            <w:noWrap/>
            <w:vAlign w:val="center"/>
            <w:hideMark/>
          </w:tcPr>
          <w:p w14:paraId="53202F52"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8,635</w:t>
            </w:r>
          </w:p>
        </w:tc>
        <w:tc>
          <w:tcPr>
            <w:tcW w:w="571" w:type="pct"/>
            <w:tcBorders>
              <w:top w:val="nil"/>
              <w:left w:val="nil"/>
              <w:bottom w:val="nil"/>
              <w:right w:val="nil"/>
            </w:tcBorders>
            <w:shd w:val="clear" w:color="000000" w:fill="FFFFFF"/>
            <w:noWrap/>
            <w:vAlign w:val="center"/>
            <w:hideMark/>
          </w:tcPr>
          <w:p w14:paraId="14C450EE"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6,188</w:t>
            </w:r>
          </w:p>
        </w:tc>
        <w:tc>
          <w:tcPr>
            <w:tcW w:w="571" w:type="pct"/>
            <w:tcBorders>
              <w:top w:val="nil"/>
              <w:left w:val="nil"/>
              <w:bottom w:val="nil"/>
              <w:right w:val="nil"/>
            </w:tcBorders>
            <w:shd w:val="clear" w:color="000000" w:fill="FFFFFF"/>
            <w:noWrap/>
            <w:vAlign w:val="center"/>
            <w:hideMark/>
          </w:tcPr>
          <w:p w14:paraId="4A6182C4"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4,487</w:t>
            </w:r>
          </w:p>
        </w:tc>
        <w:tc>
          <w:tcPr>
            <w:tcW w:w="97" w:type="pct"/>
            <w:tcBorders>
              <w:top w:val="nil"/>
              <w:left w:val="nil"/>
              <w:bottom w:val="nil"/>
              <w:right w:val="nil"/>
            </w:tcBorders>
            <w:shd w:val="clear" w:color="000000" w:fill="FFFFFF"/>
            <w:noWrap/>
            <w:vAlign w:val="center"/>
            <w:hideMark/>
          </w:tcPr>
          <w:p w14:paraId="19E27DE9"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21050BEB" w14:textId="77777777" w:rsidR="003A5185" w:rsidRPr="00205DD5" w:rsidRDefault="003A5185" w:rsidP="003A5185">
            <w:pPr>
              <w:spacing w:before="0" w:after="0" w:line="240" w:lineRule="auto"/>
              <w:jc w:val="right"/>
              <w:rPr>
                <w:rFonts w:ascii="Arial" w:hAnsi="Arial" w:cs="Arial"/>
                <w:sz w:val="16"/>
                <w:szCs w:val="16"/>
              </w:rPr>
            </w:pPr>
            <w:r w:rsidRPr="00205DD5">
              <w:rPr>
                <w:rFonts w:ascii="Arial" w:hAnsi="Arial" w:cs="Arial"/>
                <w:sz w:val="16"/>
                <w:szCs w:val="16"/>
              </w:rPr>
              <w:t>32,049</w:t>
            </w:r>
          </w:p>
        </w:tc>
      </w:tr>
      <w:tr w:rsidR="003A5185" w:rsidRPr="00FF1D21" w14:paraId="3B9BBF21"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75C48037"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economic parameter variations</w:t>
            </w:r>
          </w:p>
        </w:tc>
        <w:tc>
          <w:tcPr>
            <w:tcW w:w="571" w:type="pct"/>
            <w:tcBorders>
              <w:top w:val="nil"/>
              <w:left w:val="nil"/>
              <w:bottom w:val="nil"/>
              <w:right w:val="nil"/>
            </w:tcBorders>
            <w:shd w:val="clear" w:color="000000" w:fill="E6F2FF"/>
            <w:noWrap/>
            <w:vAlign w:val="center"/>
            <w:hideMark/>
          </w:tcPr>
          <w:p w14:paraId="0E77A430"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nil"/>
              <w:left w:val="nil"/>
              <w:bottom w:val="nil"/>
              <w:right w:val="nil"/>
            </w:tcBorders>
            <w:shd w:val="clear" w:color="000000" w:fill="FFFFFF"/>
            <w:noWrap/>
            <w:vAlign w:val="center"/>
            <w:hideMark/>
          </w:tcPr>
          <w:p w14:paraId="1EE26FA0"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nil"/>
              <w:left w:val="nil"/>
              <w:bottom w:val="nil"/>
              <w:right w:val="nil"/>
            </w:tcBorders>
            <w:shd w:val="clear" w:color="000000" w:fill="FFFFFF"/>
            <w:noWrap/>
            <w:vAlign w:val="center"/>
            <w:hideMark/>
          </w:tcPr>
          <w:p w14:paraId="6FE10AB7"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71" w:type="pct"/>
            <w:tcBorders>
              <w:top w:val="nil"/>
              <w:left w:val="nil"/>
              <w:bottom w:val="nil"/>
              <w:right w:val="nil"/>
            </w:tcBorders>
            <w:shd w:val="clear" w:color="000000" w:fill="FFFFFF"/>
            <w:noWrap/>
            <w:vAlign w:val="center"/>
            <w:hideMark/>
          </w:tcPr>
          <w:p w14:paraId="2764F429"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66F78F1A"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4239B9DA" w14:textId="77777777" w:rsidR="003A5185" w:rsidRPr="00205DD5" w:rsidRDefault="003A5185" w:rsidP="003A5185">
            <w:pPr>
              <w:spacing w:before="0" w:after="0" w:line="240" w:lineRule="auto"/>
              <w:rPr>
                <w:rFonts w:ascii="Arial" w:hAnsi="Arial" w:cs="Arial"/>
                <w:sz w:val="16"/>
                <w:szCs w:val="16"/>
              </w:rPr>
            </w:pPr>
            <w:r w:rsidRPr="00205DD5">
              <w:rPr>
                <w:rFonts w:ascii="Arial" w:hAnsi="Arial" w:cs="Arial"/>
                <w:sz w:val="16"/>
                <w:szCs w:val="16"/>
              </w:rPr>
              <w:t> </w:t>
            </w:r>
          </w:p>
        </w:tc>
      </w:tr>
      <w:tr w:rsidR="003A5185" w:rsidRPr="00FF1D21" w14:paraId="0CC06657"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61003425"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Total economic parameter variations</w:t>
            </w:r>
          </w:p>
        </w:tc>
        <w:tc>
          <w:tcPr>
            <w:tcW w:w="571" w:type="pct"/>
            <w:tcBorders>
              <w:top w:val="nil"/>
              <w:left w:val="nil"/>
              <w:bottom w:val="nil"/>
              <w:right w:val="nil"/>
            </w:tcBorders>
            <w:shd w:val="clear" w:color="000000" w:fill="E6F2FF"/>
            <w:noWrap/>
            <w:vAlign w:val="center"/>
            <w:hideMark/>
          </w:tcPr>
          <w:p w14:paraId="5FDD6381"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2,825</w:t>
            </w:r>
          </w:p>
        </w:tc>
        <w:tc>
          <w:tcPr>
            <w:tcW w:w="571" w:type="pct"/>
            <w:tcBorders>
              <w:top w:val="nil"/>
              <w:left w:val="nil"/>
              <w:bottom w:val="nil"/>
              <w:right w:val="nil"/>
            </w:tcBorders>
            <w:shd w:val="clear" w:color="000000" w:fill="FFFFFF"/>
            <w:noWrap/>
            <w:vAlign w:val="center"/>
            <w:hideMark/>
          </w:tcPr>
          <w:p w14:paraId="4B3F3390"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2,190</w:t>
            </w:r>
          </w:p>
        </w:tc>
        <w:tc>
          <w:tcPr>
            <w:tcW w:w="571" w:type="pct"/>
            <w:tcBorders>
              <w:top w:val="nil"/>
              <w:left w:val="nil"/>
              <w:bottom w:val="nil"/>
              <w:right w:val="nil"/>
            </w:tcBorders>
            <w:shd w:val="clear" w:color="000000" w:fill="FFFFFF"/>
            <w:noWrap/>
            <w:vAlign w:val="center"/>
            <w:hideMark/>
          </w:tcPr>
          <w:p w14:paraId="52AA0423"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2,295</w:t>
            </w:r>
          </w:p>
        </w:tc>
        <w:tc>
          <w:tcPr>
            <w:tcW w:w="571" w:type="pct"/>
            <w:tcBorders>
              <w:top w:val="nil"/>
              <w:left w:val="nil"/>
              <w:bottom w:val="nil"/>
              <w:right w:val="nil"/>
            </w:tcBorders>
            <w:shd w:val="clear" w:color="000000" w:fill="FFFFFF"/>
            <w:noWrap/>
            <w:vAlign w:val="center"/>
            <w:hideMark/>
          </w:tcPr>
          <w:p w14:paraId="5F6D90F9"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2,155</w:t>
            </w:r>
          </w:p>
        </w:tc>
        <w:tc>
          <w:tcPr>
            <w:tcW w:w="97" w:type="pct"/>
            <w:tcBorders>
              <w:top w:val="nil"/>
              <w:left w:val="nil"/>
              <w:bottom w:val="nil"/>
              <w:right w:val="nil"/>
            </w:tcBorders>
            <w:shd w:val="clear" w:color="000000" w:fill="FFFFFF"/>
            <w:noWrap/>
            <w:vAlign w:val="center"/>
            <w:hideMark/>
          </w:tcPr>
          <w:p w14:paraId="095F8DA2"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31C925EB" w14:textId="77777777" w:rsidR="003A5185" w:rsidRPr="00205DD5" w:rsidRDefault="003A5185" w:rsidP="003A5185">
            <w:pPr>
              <w:spacing w:before="0" w:after="0" w:line="240" w:lineRule="auto"/>
              <w:jc w:val="right"/>
              <w:rPr>
                <w:rFonts w:ascii="Arial" w:hAnsi="Arial" w:cs="Arial"/>
                <w:sz w:val="16"/>
                <w:szCs w:val="16"/>
              </w:rPr>
            </w:pPr>
            <w:r w:rsidRPr="00205DD5">
              <w:rPr>
                <w:rFonts w:ascii="Arial" w:hAnsi="Arial" w:cs="Arial"/>
                <w:sz w:val="16"/>
                <w:szCs w:val="16"/>
              </w:rPr>
              <w:t>9,465</w:t>
            </w:r>
          </w:p>
        </w:tc>
      </w:tr>
      <w:tr w:rsidR="003A5185" w:rsidRPr="00FF1D21" w14:paraId="48C24B98"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4C22D366" w14:textId="77777777" w:rsidR="003A5185" w:rsidRPr="00FF1D21" w:rsidRDefault="003A5185" w:rsidP="003A5185">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Unemployment benefits</w:t>
            </w:r>
          </w:p>
        </w:tc>
        <w:tc>
          <w:tcPr>
            <w:tcW w:w="571" w:type="pct"/>
            <w:tcBorders>
              <w:top w:val="nil"/>
              <w:left w:val="nil"/>
              <w:bottom w:val="nil"/>
              <w:right w:val="nil"/>
            </w:tcBorders>
            <w:shd w:val="clear" w:color="000000" w:fill="E6F2FF"/>
            <w:noWrap/>
            <w:vAlign w:val="center"/>
            <w:hideMark/>
          </w:tcPr>
          <w:p w14:paraId="6F14C7F1"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315</w:t>
            </w:r>
          </w:p>
        </w:tc>
        <w:tc>
          <w:tcPr>
            <w:tcW w:w="571" w:type="pct"/>
            <w:tcBorders>
              <w:top w:val="nil"/>
              <w:left w:val="nil"/>
              <w:bottom w:val="nil"/>
              <w:right w:val="nil"/>
            </w:tcBorders>
            <w:shd w:val="clear" w:color="000000" w:fill="FFFFFF"/>
            <w:noWrap/>
            <w:vAlign w:val="center"/>
            <w:hideMark/>
          </w:tcPr>
          <w:p w14:paraId="0B476B3B"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210</w:t>
            </w:r>
          </w:p>
        </w:tc>
        <w:tc>
          <w:tcPr>
            <w:tcW w:w="571" w:type="pct"/>
            <w:tcBorders>
              <w:top w:val="nil"/>
              <w:left w:val="nil"/>
              <w:bottom w:val="nil"/>
              <w:right w:val="nil"/>
            </w:tcBorders>
            <w:shd w:val="clear" w:color="000000" w:fill="FFFFFF"/>
            <w:noWrap/>
            <w:vAlign w:val="center"/>
            <w:hideMark/>
          </w:tcPr>
          <w:p w14:paraId="4DE96184"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103</w:t>
            </w:r>
          </w:p>
        </w:tc>
        <w:tc>
          <w:tcPr>
            <w:tcW w:w="571" w:type="pct"/>
            <w:tcBorders>
              <w:top w:val="nil"/>
              <w:left w:val="nil"/>
              <w:bottom w:val="nil"/>
              <w:right w:val="nil"/>
            </w:tcBorders>
            <w:shd w:val="clear" w:color="000000" w:fill="FFFFFF"/>
            <w:noWrap/>
            <w:vAlign w:val="center"/>
            <w:hideMark/>
          </w:tcPr>
          <w:p w14:paraId="0D4EEFCE"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144</w:t>
            </w:r>
          </w:p>
        </w:tc>
        <w:tc>
          <w:tcPr>
            <w:tcW w:w="97" w:type="pct"/>
            <w:tcBorders>
              <w:top w:val="nil"/>
              <w:left w:val="nil"/>
              <w:bottom w:val="nil"/>
              <w:right w:val="nil"/>
            </w:tcBorders>
            <w:shd w:val="clear" w:color="000000" w:fill="FFFFFF"/>
            <w:noWrap/>
            <w:vAlign w:val="center"/>
            <w:hideMark/>
          </w:tcPr>
          <w:p w14:paraId="28526610"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85" w:type="pct"/>
            <w:tcBorders>
              <w:top w:val="nil"/>
              <w:left w:val="nil"/>
              <w:bottom w:val="nil"/>
              <w:right w:val="nil"/>
            </w:tcBorders>
            <w:shd w:val="clear" w:color="000000" w:fill="FFFFFF"/>
            <w:noWrap/>
            <w:vAlign w:val="center"/>
            <w:hideMark/>
          </w:tcPr>
          <w:p w14:paraId="7C223E70" w14:textId="77777777" w:rsidR="003A5185" w:rsidRPr="00205DD5" w:rsidRDefault="003A5185" w:rsidP="003A5185">
            <w:pPr>
              <w:spacing w:before="0" w:after="0" w:line="240" w:lineRule="auto"/>
              <w:jc w:val="right"/>
              <w:rPr>
                <w:rFonts w:ascii="Arial" w:hAnsi="Arial" w:cs="Arial"/>
                <w:i/>
                <w:sz w:val="16"/>
                <w:szCs w:val="16"/>
              </w:rPr>
            </w:pPr>
            <w:r w:rsidRPr="00205DD5">
              <w:rPr>
                <w:rFonts w:ascii="Arial" w:hAnsi="Arial" w:cs="Arial"/>
                <w:i/>
                <w:sz w:val="16"/>
                <w:szCs w:val="16"/>
              </w:rPr>
              <w:t>772</w:t>
            </w:r>
          </w:p>
        </w:tc>
      </w:tr>
      <w:tr w:rsidR="003A5185" w:rsidRPr="00FF1D21" w14:paraId="472B06A3"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60DAD843" w14:textId="77777777" w:rsidR="003A5185" w:rsidRPr="00FF1D21" w:rsidRDefault="003A5185" w:rsidP="003A5185">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Prices and wages</w:t>
            </w:r>
          </w:p>
        </w:tc>
        <w:tc>
          <w:tcPr>
            <w:tcW w:w="571" w:type="pct"/>
            <w:tcBorders>
              <w:top w:val="nil"/>
              <w:left w:val="nil"/>
              <w:bottom w:val="nil"/>
              <w:right w:val="nil"/>
            </w:tcBorders>
            <w:shd w:val="clear" w:color="000000" w:fill="E6F2FF"/>
            <w:noWrap/>
            <w:vAlign w:val="center"/>
            <w:hideMark/>
          </w:tcPr>
          <w:p w14:paraId="46A77E92"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442</w:t>
            </w:r>
          </w:p>
        </w:tc>
        <w:tc>
          <w:tcPr>
            <w:tcW w:w="571" w:type="pct"/>
            <w:tcBorders>
              <w:top w:val="nil"/>
              <w:left w:val="nil"/>
              <w:bottom w:val="nil"/>
              <w:right w:val="nil"/>
            </w:tcBorders>
            <w:shd w:val="clear" w:color="000000" w:fill="FFFFFF"/>
            <w:noWrap/>
            <w:vAlign w:val="center"/>
            <w:hideMark/>
          </w:tcPr>
          <w:p w14:paraId="22AF8706"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233</w:t>
            </w:r>
          </w:p>
        </w:tc>
        <w:tc>
          <w:tcPr>
            <w:tcW w:w="571" w:type="pct"/>
            <w:tcBorders>
              <w:top w:val="nil"/>
              <w:left w:val="nil"/>
              <w:bottom w:val="nil"/>
              <w:right w:val="nil"/>
            </w:tcBorders>
            <w:shd w:val="clear" w:color="000000" w:fill="FFFFFF"/>
            <w:noWrap/>
            <w:vAlign w:val="center"/>
            <w:hideMark/>
          </w:tcPr>
          <w:p w14:paraId="42DBBECE"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800</w:t>
            </w:r>
          </w:p>
        </w:tc>
        <w:tc>
          <w:tcPr>
            <w:tcW w:w="571" w:type="pct"/>
            <w:tcBorders>
              <w:top w:val="nil"/>
              <w:left w:val="nil"/>
              <w:bottom w:val="nil"/>
              <w:right w:val="nil"/>
            </w:tcBorders>
            <w:shd w:val="clear" w:color="000000" w:fill="FFFFFF"/>
            <w:noWrap/>
            <w:vAlign w:val="center"/>
            <w:hideMark/>
          </w:tcPr>
          <w:p w14:paraId="0333C593"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687</w:t>
            </w:r>
          </w:p>
        </w:tc>
        <w:tc>
          <w:tcPr>
            <w:tcW w:w="97" w:type="pct"/>
            <w:tcBorders>
              <w:top w:val="nil"/>
              <w:left w:val="nil"/>
              <w:bottom w:val="nil"/>
              <w:right w:val="nil"/>
            </w:tcBorders>
            <w:shd w:val="clear" w:color="000000" w:fill="FFFFFF"/>
            <w:noWrap/>
            <w:vAlign w:val="center"/>
            <w:hideMark/>
          </w:tcPr>
          <w:p w14:paraId="742F389E"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85" w:type="pct"/>
            <w:tcBorders>
              <w:top w:val="nil"/>
              <w:left w:val="nil"/>
              <w:bottom w:val="nil"/>
              <w:right w:val="nil"/>
            </w:tcBorders>
            <w:shd w:val="clear" w:color="000000" w:fill="FFFFFF"/>
            <w:noWrap/>
            <w:vAlign w:val="center"/>
            <w:hideMark/>
          </w:tcPr>
          <w:p w14:paraId="529C09A6" w14:textId="77777777" w:rsidR="003A5185" w:rsidRPr="00205DD5" w:rsidRDefault="003A5185" w:rsidP="003A5185">
            <w:pPr>
              <w:spacing w:before="0" w:after="0" w:line="240" w:lineRule="auto"/>
              <w:jc w:val="right"/>
              <w:rPr>
                <w:rFonts w:ascii="Arial" w:hAnsi="Arial" w:cs="Arial"/>
                <w:i/>
                <w:sz w:val="16"/>
                <w:szCs w:val="16"/>
              </w:rPr>
            </w:pPr>
            <w:r w:rsidRPr="00205DD5">
              <w:rPr>
                <w:rFonts w:ascii="Arial" w:hAnsi="Arial" w:cs="Arial"/>
                <w:i/>
                <w:sz w:val="16"/>
                <w:szCs w:val="16"/>
              </w:rPr>
              <w:t>2,162</w:t>
            </w:r>
          </w:p>
        </w:tc>
      </w:tr>
      <w:tr w:rsidR="003A5185" w:rsidRPr="00FF1D21" w14:paraId="2A861659"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58AA732E" w14:textId="77777777" w:rsidR="003A5185" w:rsidRPr="00FF1D21" w:rsidRDefault="003A5185" w:rsidP="003A5185">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Interest and exchange rates</w:t>
            </w:r>
          </w:p>
        </w:tc>
        <w:tc>
          <w:tcPr>
            <w:tcW w:w="571" w:type="pct"/>
            <w:tcBorders>
              <w:top w:val="nil"/>
              <w:left w:val="nil"/>
              <w:bottom w:val="nil"/>
              <w:right w:val="nil"/>
            </w:tcBorders>
            <w:shd w:val="clear" w:color="000000" w:fill="E6F2FF"/>
            <w:noWrap/>
            <w:vAlign w:val="center"/>
            <w:hideMark/>
          </w:tcPr>
          <w:p w14:paraId="1E118EFE"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-26</w:t>
            </w:r>
          </w:p>
        </w:tc>
        <w:tc>
          <w:tcPr>
            <w:tcW w:w="571" w:type="pct"/>
            <w:tcBorders>
              <w:top w:val="nil"/>
              <w:left w:val="nil"/>
              <w:bottom w:val="nil"/>
              <w:right w:val="nil"/>
            </w:tcBorders>
            <w:shd w:val="clear" w:color="000000" w:fill="FFFFFF"/>
            <w:noWrap/>
            <w:vAlign w:val="center"/>
            <w:hideMark/>
          </w:tcPr>
          <w:p w14:paraId="22A7739A"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-130</w:t>
            </w:r>
          </w:p>
        </w:tc>
        <w:tc>
          <w:tcPr>
            <w:tcW w:w="571" w:type="pct"/>
            <w:tcBorders>
              <w:top w:val="nil"/>
              <w:left w:val="nil"/>
              <w:bottom w:val="nil"/>
              <w:right w:val="nil"/>
            </w:tcBorders>
            <w:shd w:val="clear" w:color="000000" w:fill="FFFFFF"/>
            <w:noWrap/>
            <w:vAlign w:val="center"/>
            <w:hideMark/>
          </w:tcPr>
          <w:p w14:paraId="0D0A9FCF"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-105</w:t>
            </w:r>
          </w:p>
        </w:tc>
        <w:tc>
          <w:tcPr>
            <w:tcW w:w="571" w:type="pct"/>
            <w:tcBorders>
              <w:top w:val="nil"/>
              <w:left w:val="nil"/>
              <w:bottom w:val="nil"/>
              <w:right w:val="nil"/>
            </w:tcBorders>
            <w:shd w:val="clear" w:color="000000" w:fill="FFFFFF"/>
            <w:noWrap/>
            <w:vAlign w:val="center"/>
            <w:hideMark/>
          </w:tcPr>
          <w:p w14:paraId="6BA178E6"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-101</w:t>
            </w:r>
          </w:p>
        </w:tc>
        <w:tc>
          <w:tcPr>
            <w:tcW w:w="97" w:type="pct"/>
            <w:tcBorders>
              <w:top w:val="nil"/>
              <w:left w:val="nil"/>
              <w:bottom w:val="nil"/>
              <w:right w:val="nil"/>
            </w:tcBorders>
            <w:shd w:val="clear" w:color="000000" w:fill="FFFFFF"/>
            <w:noWrap/>
            <w:vAlign w:val="center"/>
            <w:hideMark/>
          </w:tcPr>
          <w:p w14:paraId="2CA8124E"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85" w:type="pct"/>
            <w:tcBorders>
              <w:top w:val="nil"/>
              <w:left w:val="nil"/>
              <w:bottom w:val="nil"/>
              <w:right w:val="nil"/>
            </w:tcBorders>
            <w:shd w:val="clear" w:color="000000" w:fill="FFFFFF"/>
            <w:noWrap/>
            <w:vAlign w:val="center"/>
            <w:hideMark/>
          </w:tcPr>
          <w:p w14:paraId="46D312D3" w14:textId="77777777" w:rsidR="003A5185" w:rsidRPr="00205DD5" w:rsidRDefault="003A5185" w:rsidP="003A5185">
            <w:pPr>
              <w:spacing w:before="0" w:after="0" w:line="240" w:lineRule="auto"/>
              <w:jc w:val="right"/>
              <w:rPr>
                <w:rFonts w:ascii="Arial" w:hAnsi="Arial" w:cs="Arial"/>
                <w:i/>
                <w:sz w:val="16"/>
                <w:szCs w:val="16"/>
              </w:rPr>
            </w:pPr>
            <w:r w:rsidRPr="00205DD5">
              <w:rPr>
                <w:rFonts w:ascii="Arial" w:hAnsi="Arial" w:cs="Arial"/>
                <w:i/>
                <w:sz w:val="16"/>
                <w:szCs w:val="16"/>
              </w:rPr>
              <w:t>-363</w:t>
            </w:r>
          </w:p>
        </w:tc>
      </w:tr>
      <w:tr w:rsidR="003A5185" w:rsidRPr="00FF1D21" w14:paraId="157775CC"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75142B2C" w14:textId="77777777" w:rsidR="003A5185" w:rsidRPr="00FF1D21" w:rsidRDefault="003A5185" w:rsidP="003A5185">
            <w:pPr>
              <w:spacing w:before="0" w:after="0" w:line="240" w:lineRule="auto"/>
              <w:ind w:left="170"/>
              <w:rPr>
                <w:rFonts w:ascii="Arial" w:hAnsi="Arial" w:cs="Arial"/>
                <w:i/>
                <w:color w:val="00FFFF"/>
                <w:sz w:val="16"/>
                <w:szCs w:val="16"/>
                <w:highlight w:val="darkCyan"/>
              </w:rPr>
            </w:pPr>
            <w:r w:rsidRPr="00205DD5">
              <w:rPr>
                <w:rFonts w:ascii="Arial" w:hAnsi="Arial" w:cs="Arial"/>
                <w:i/>
                <w:sz w:val="16"/>
                <w:szCs w:val="16"/>
              </w:rPr>
              <w:t>GST payments to the states</w:t>
            </w:r>
          </w:p>
        </w:tc>
        <w:tc>
          <w:tcPr>
            <w:tcW w:w="571" w:type="pct"/>
            <w:tcBorders>
              <w:top w:val="nil"/>
              <w:left w:val="nil"/>
              <w:bottom w:val="nil"/>
              <w:right w:val="nil"/>
            </w:tcBorders>
            <w:shd w:val="clear" w:color="000000" w:fill="E6F2FF"/>
            <w:noWrap/>
            <w:vAlign w:val="center"/>
            <w:hideMark/>
          </w:tcPr>
          <w:p w14:paraId="21C924D5"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2,095</w:t>
            </w:r>
          </w:p>
        </w:tc>
        <w:tc>
          <w:tcPr>
            <w:tcW w:w="571" w:type="pct"/>
            <w:tcBorders>
              <w:top w:val="nil"/>
              <w:left w:val="nil"/>
              <w:bottom w:val="nil"/>
              <w:right w:val="nil"/>
            </w:tcBorders>
            <w:shd w:val="clear" w:color="000000" w:fill="FFFFFF"/>
            <w:noWrap/>
            <w:vAlign w:val="center"/>
            <w:hideMark/>
          </w:tcPr>
          <w:p w14:paraId="3C96BDF2"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1,876</w:t>
            </w:r>
          </w:p>
        </w:tc>
        <w:tc>
          <w:tcPr>
            <w:tcW w:w="571" w:type="pct"/>
            <w:tcBorders>
              <w:top w:val="nil"/>
              <w:left w:val="nil"/>
              <w:bottom w:val="nil"/>
              <w:right w:val="nil"/>
            </w:tcBorders>
            <w:shd w:val="clear" w:color="000000" w:fill="FFFFFF"/>
            <w:noWrap/>
            <w:vAlign w:val="center"/>
            <w:hideMark/>
          </w:tcPr>
          <w:p w14:paraId="7E01BA16"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1,498</w:t>
            </w:r>
          </w:p>
        </w:tc>
        <w:tc>
          <w:tcPr>
            <w:tcW w:w="571" w:type="pct"/>
            <w:tcBorders>
              <w:top w:val="nil"/>
              <w:left w:val="nil"/>
              <w:bottom w:val="nil"/>
              <w:right w:val="nil"/>
            </w:tcBorders>
            <w:shd w:val="clear" w:color="000000" w:fill="FFFFFF"/>
            <w:noWrap/>
            <w:vAlign w:val="center"/>
            <w:hideMark/>
          </w:tcPr>
          <w:p w14:paraId="234CE1A5" w14:textId="77777777" w:rsidR="003A5185" w:rsidRPr="00FF1D21" w:rsidRDefault="003A5185" w:rsidP="003A5185">
            <w:pPr>
              <w:spacing w:before="0" w:after="0" w:line="240" w:lineRule="auto"/>
              <w:jc w:val="right"/>
              <w:rPr>
                <w:rFonts w:ascii="Arial" w:hAnsi="Arial" w:cs="Arial"/>
                <w:i/>
                <w:color w:val="00FFFF"/>
                <w:sz w:val="16"/>
                <w:szCs w:val="16"/>
                <w:highlight w:val="darkCyan"/>
              </w:rPr>
            </w:pPr>
            <w:r w:rsidRPr="00205DD5">
              <w:rPr>
                <w:rFonts w:ascii="Arial" w:hAnsi="Arial" w:cs="Arial"/>
                <w:i/>
                <w:sz w:val="16"/>
                <w:szCs w:val="16"/>
              </w:rPr>
              <w:t>1,425</w:t>
            </w:r>
          </w:p>
        </w:tc>
        <w:tc>
          <w:tcPr>
            <w:tcW w:w="97" w:type="pct"/>
            <w:tcBorders>
              <w:top w:val="nil"/>
              <w:left w:val="nil"/>
              <w:bottom w:val="nil"/>
              <w:right w:val="nil"/>
            </w:tcBorders>
            <w:shd w:val="clear" w:color="000000" w:fill="FFFFFF"/>
            <w:noWrap/>
            <w:vAlign w:val="center"/>
            <w:hideMark/>
          </w:tcPr>
          <w:p w14:paraId="57792FF6" w14:textId="77777777" w:rsidR="003A5185" w:rsidRPr="00FF1D21" w:rsidRDefault="003A5185" w:rsidP="003A5185">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85" w:type="pct"/>
            <w:tcBorders>
              <w:top w:val="nil"/>
              <w:left w:val="nil"/>
              <w:bottom w:val="nil"/>
              <w:right w:val="nil"/>
            </w:tcBorders>
            <w:shd w:val="clear" w:color="000000" w:fill="FFFFFF"/>
            <w:noWrap/>
            <w:vAlign w:val="center"/>
            <w:hideMark/>
          </w:tcPr>
          <w:p w14:paraId="5F31D2F9" w14:textId="77777777" w:rsidR="003A5185" w:rsidRPr="00205DD5" w:rsidRDefault="003A5185" w:rsidP="003A5185">
            <w:pPr>
              <w:spacing w:before="0" w:after="0" w:line="240" w:lineRule="auto"/>
              <w:jc w:val="right"/>
              <w:rPr>
                <w:rFonts w:ascii="Arial" w:hAnsi="Arial" w:cs="Arial"/>
                <w:i/>
                <w:sz w:val="16"/>
                <w:szCs w:val="16"/>
              </w:rPr>
            </w:pPr>
            <w:r w:rsidRPr="00205DD5">
              <w:rPr>
                <w:rFonts w:ascii="Arial" w:hAnsi="Arial" w:cs="Arial"/>
                <w:i/>
                <w:sz w:val="16"/>
                <w:szCs w:val="16"/>
              </w:rPr>
              <w:t>6,894</w:t>
            </w:r>
          </w:p>
        </w:tc>
      </w:tr>
      <w:tr w:rsidR="003A5185" w:rsidRPr="00FF1D21" w14:paraId="41FBDC20"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22EED6B2"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Public debt interest</w:t>
            </w:r>
          </w:p>
        </w:tc>
        <w:tc>
          <w:tcPr>
            <w:tcW w:w="571" w:type="pct"/>
            <w:tcBorders>
              <w:top w:val="nil"/>
              <w:left w:val="nil"/>
              <w:bottom w:val="nil"/>
              <w:right w:val="nil"/>
            </w:tcBorders>
            <w:shd w:val="clear" w:color="000000" w:fill="E6F2FF"/>
            <w:noWrap/>
            <w:vAlign w:val="center"/>
            <w:hideMark/>
          </w:tcPr>
          <w:p w14:paraId="3FAF3E5C"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273</w:t>
            </w:r>
          </w:p>
        </w:tc>
        <w:tc>
          <w:tcPr>
            <w:tcW w:w="571" w:type="pct"/>
            <w:tcBorders>
              <w:top w:val="nil"/>
              <w:left w:val="nil"/>
              <w:bottom w:val="nil"/>
              <w:right w:val="nil"/>
            </w:tcBorders>
            <w:shd w:val="clear" w:color="000000" w:fill="FFFFFF"/>
            <w:noWrap/>
            <w:vAlign w:val="center"/>
            <w:hideMark/>
          </w:tcPr>
          <w:p w14:paraId="40F82524"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693</w:t>
            </w:r>
          </w:p>
        </w:tc>
        <w:tc>
          <w:tcPr>
            <w:tcW w:w="571" w:type="pct"/>
            <w:tcBorders>
              <w:top w:val="nil"/>
              <w:left w:val="nil"/>
              <w:bottom w:val="nil"/>
              <w:right w:val="nil"/>
            </w:tcBorders>
            <w:shd w:val="clear" w:color="000000" w:fill="FFFFFF"/>
            <w:noWrap/>
            <w:vAlign w:val="center"/>
            <w:hideMark/>
          </w:tcPr>
          <w:p w14:paraId="0AB5A821"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1,465</w:t>
            </w:r>
          </w:p>
        </w:tc>
        <w:tc>
          <w:tcPr>
            <w:tcW w:w="571" w:type="pct"/>
            <w:tcBorders>
              <w:top w:val="nil"/>
              <w:left w:val="nil"/>
              <w:bottom w:val="nil"/>
              <w:right w:val="nil"/>
            </w:tcBorders>
            <w:shd w:val="clear" w:color="000000" w:fill="FFFFFF"/>
            <w:noWrap/>
            <w:vAlign w:val="center"/>
            <w:hideMark/>
          </w:tcPr>
          <w:p w14:paraId="75FFA97D"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2,595</w:t>
            </w:r>
          </w:p>
        </w:tc>
        <w:tc>
          <w:tcPr>
            <w:tcW w:w="97" w:type="pct"/>
            <w:tcBorders>
              <w:top w:val="nil"/>
              <w:left w:val="nil"/>
              <w:bottom w:val="nil"/>
              <w:right w:val="nil"/>
            </w:tcBorders>
            <w:shd w:val="clear" w:color="000000" w:fill="FFFFFF"/>
            <w:noWrap/>
            <w:vAlign w:val="center"/>
            <w:hideMark/>
          </w:tcPr>
          <w:p w14:paraId="6C1626C1"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28D9AE2E" w14:textId="77777777" w:rsidR="003A5185" w:rsidRPr="00205DD5" w:rsidRDefault="003A5185" w:rsidP="003A5185">
            <w:pPr>
              <w:spacing w:before="0" w:after="0" w:line="240" w:lineRule="auto"/>
              <w:jc w:val="right"/>
              <w:rPr>
                <w:rFonts w:ascii="Arial" w:hAnsi="Arial" w:cs="Arial"/>
                <w:sz w:val="16"/>
                <w:szCs w:val="16"/>
              </w:rPr>
            </w:pPr>
            <w:r w:rsidRPr="00205DD5">
              <w:rPr>
                <w:rFonts w:ascii="Arial" w:hAnsi="Arial" w:cs="Arial"/>
                <w:sz w:val="16"/>
                <w:szCs w:val="16"/>
              </w:rPr>
              <w:t>5,026</w:t>
            </w:r>
          </w:p>
        </w:tc>
      </w:tr>
      <w:tr w:rsidR="003A5185" w:rsidRPr="00FF1D21" w14:paraId="5628BB87"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7638810D"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Program specific parameter variations</w:t>
            </w:r>
          </w:p>
        </w:tc>
        <w:tc>
          <w:tcPr>
            <w:tcW w:w="571" w:type="pct"/>
            <w:tcBorders>
              <w:top w:val="nil"/>
              <w:left w:val="nil"/>
              <w:bottom w:val="nil"/>
              <w:right w:val="nil"/>
            </w:tcBorders>
            <w:shd w:val="clear" w:color="000000" w:fill="E6F2FF"/>
            <w:noWrap/>
            <w:vAlign w:val="center"/>
            <w:hideMark/>
          </w:tcPr>
          <w:p w14:paraId="70BBD039"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3,309</w:t>
            </w:r>
          </w:p>
        </w:tc>
        <w:tc>
          <w:tcPr>
            <w:tcW w:w="571" w:type="pct"/>
            <w:tcBorders>
              <w:top w:val="nil"/>
              <w:left w:val="nil"/>
              <w:bottom w:val="nil"/>
              <w:right w:val="nil"/>
            </w:tcBorders>
            <w:shd w:val="clear" w:color="000000" w:fill="FFFFFF"/>
            <w:noWrap/>
            <w:vAlign w:val="center"/>
            <w:hideMark/>
          </w:tcPr>
          <w:p w14:paraId="70300853"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9,244</w:t>
            </w:r>
          </w:p>
        </w:tc>
        <w:tc>
          <w:tcPr>
            <w:tcW w:w="571" w:type="pct"/>
            <w:tcBorders>
              <w:top w:val="nil"/>
              <w:left w:val="nil"/>
              <w:bottom w:val="nil"/>
              <w:right w:val="nil"/>
            </w:tcBorders>
            <w:shd w:val="clear" w:color="000000" w:fill="FFFFFF"/>
            <w:noWrap/>
            <w:vAlign w:val="center"/>
            <w:hideMark/>
          </w:tcPr>
          <w:p w14:paraId="7DBC4E76"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8,117</w:t>
            </w:r>
          </w:p>
        </w:tc>
        <w:tc>
          <w:tcPr>
            <w:tcW w:w="571" w:type="pct"/>
            <w:tcBorders>
              <w:top w:val="nil"/>
              <w:left w:val="nil"/>
              <w:bottom w:val="nil"/>
              <w:right w:val="nil"/>
            </w:tcBorders>
            <w:shd w:val="clear" w:color="000000" w:fill="FFFFFF"/>
            <w:noWrap/>
            <w:vAlign w:val="center"/>
            <w:hideMark/>
          </w:tcPr>
          <w:p w14:paraId="3C1AFDE0"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9,273</w:t>
            </w:r>
          </w:p>
        </w:tc>
        <w:tc>
          <w:tcPr>
            <w:tcW w:w="97" w:type="pct"/>
            <w:tcBorders>
              <w:top w:val="nil"/>
              <w:left w:val="nil"/>
              <w:bottom w:val="nil"/>
              <w:right w:val="nil"/>
            </w:tcBorders>
            <w:shd w:val="clear" w:color="000000" w:fill="FFFFFF"/>
            <w:noWrap/>
            <w:vAlign w:val="center"/>
            <w:hideMark/>
          </w:tcPr>
          <w:p w14:paraId="728A61B3"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41D2FC60" w14:textId="77777777" w:rsidR="003A5185" w:rsidRPr="00205DD5" w:rsidRDefault="003A5185" w:rsidP="003A5185">
            <w:pPr>
              <w:spacing w:before="0" w:after="0" w:line="240" w:lineRule="auto"/>
              <w:jc w:val="right"/>
              <w:rPr>
                <w:rFonts w:ascii="Arial" w:hAnsi="Arial" w:cs="Arial"/>
                <w:sz w:val="16"/>
                <w:szCs w:val="16"/>
              </w:rPr>
            </w:pPr>
            <w:r w:rsidRPr="00205DD5">
              <w:rPr>
                <w:rFonts w:ascii="Arial" w:hAnsi="Arial" w:cs="Arial"/>
                <w:sz w:val="16"/>
                <w:szCs w:val="16"/>
              </w:rPr>
              <w:t>29,944</w:t>
            </w:r>
          </w:p>
        </w:tc>
      </w:tr>
      <w:tr w:rsidR="003A5185" w:rsidRPr="00FF1D21" w14:paraId="6E7917E4"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73AEFCE9"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Other variations</w:t>
            </w:r>
          </w:p>
        </w:tc>
        <w:tc>
          <w:tcPr>
            <w:tcW w:w="571" w:type="pct"/>
            <w:tcBorders>
              <w:top w:val="nil"/>
              <w:left w:val="nil"/>
              <w:bottom w:val="nil"/>
              <w:right w:val="nil"/>
            </w:tcBorders>
            <w:shd w:val="clear" w:color="000000" w:fill="E6F2FF"/>
            <w:noWrap/>
            <w:vAlign w:val="center"/>
            <w:hideMark/>
          </w:tcPr>
          <w:p w14:paraId="1B2972CE"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4,983</w:t>
            </w:r>
          </w:p>
        </w:tc>
        <w:tc>
          <w:tcPr>
            <w:tcW w:w="571" w:type="pct"/>
            <w:tcBorders>
              <w:top w:val="nil"/>
              <w:left w:val="nil"/>
              <w:bottom w:val="nil"/>
              <w:right w:val="nil"/>
            </w:tcBorders>
            <w:shd w:val="clear" w:color="000000" w:fill="FFFFFF"/>
            <w:noWrap/>
            <w:vAlign w:val="center"/>
            <w:hideMark/>
          </w:tcPr>
          <w:p w14:paraId="2025FB91"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-3,434</w:t>
            </w:r>
          </w:p>
        </w:tc>
        <w:tc>
          <w:tcPr>
            <w:tcW w:w="571" w:type="pct"/>
            <w:tcBorders>
              <w:top w:val="nil"/>
              <w:left w:val="nil"/>
              <w:bottom w:val="nil"/>
              <w:right w:val="nil"/>
            </w:tcBorders>
            <w:shd w:val="clear" w:color="000000" w:fill="FFFFFF"/>
            <w:noWrap/>
            <w:vAlign w:val="center"/>
            <w:hideMark/>
          </w:tcPr>
          <w:p w14:paraId="6C309C06"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-2,851</w:t>
            </w:r>
          </w:p>
        </w:tc>
        <w:tc>
          <w:tcPr>
            <w:tcW w:w="571" w:type="pct"/>
            <w:tcBorders>
              <w:top w:val="nil"/>
              <w:left w:val="nil"/>
              <w:bottom w:val="nil"/>
              <w:right w:val="nil"/>
            </w:tcBorders>
            <w:shd w:val="clear" w:color="000000" w:fill="FFFFFF"/>
            <w:noWrap/>
            <w:vAlign w:val="center"/>
            <w:hideMark/>
          </w:tcPr>
          <w:p w14:paraId="1FDE94C8" w14:textId="77777777" w:rsidR="003A5185" w:rsidRPr="00FF1D21" w:rsidRDefault="003A5185" w:rsidP="003A5185">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-3,618</w:t>
            </w:r>
          </w:p>
        </w:tc>
        <w:tc>
          <w:tcPr>
            <w:tcW w:w="97" w:type="pct"/>
            <w:tcBorders>
              <w:top w:val="nil"/>
              <w:left w:val="nil"/>
              <w:bottom w:val="nil"/>
              <w:right w:val="nil"/>
            </w:tcBorders>
            <w:shd w:val="clear" w:color="000000" w:fill="FFFFFF"/>
            <w:noWrap/>
            <w:vAlign w:val="center"/>
            <w:hideMark/>
          </w:tcPr>
          <w:p w14:paraId="38FE8736" w14:textId="77777777" w:rsidR="003A5185" w:rsidRPr="00FF1D21" w:rsidRDefault="003A5185" w:rsidP="003A5185">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85" w:type="pct"/>
            <w:tcBorders>
              <w:top w:val="nil"/>
              <w:left w:val="nil"/>
              <w:bottom w:val="nil"/>
              <w:right w:val="nil"/>
            </w:tcBorders>
            <w:shd w:val="clear" w:color="000000" w:fill="FFFFFF"/>
            <w:noWrap/>
            <w:vAlign w:val="center"/>
            <w:hideMark/>
          </w:tcPr>
          <w:p w14:paraId="1795F232" w14:textId="77777777" w:rsidR="003A5185" w:rsidRPr="00205DD5" w:rsidRDefault="003A5185" w:rsidP="003A5185">
            <w:pPr>
              <w:spacing w:before="0" w:after="0" w:line="240" w:lineRule="auto"/>
              <w:jc w:val="right"/>
              <w:rPr>
                <w:rFonts w:ascii="Arial" w:hAnsi="Arial" w:cs="Arial"/>
                <w:sz w:val="16"/>
                <w:szCs w:val="16"/>
              </w:rPr>
            </w:pPr>
            <w:r w:rsidRPr="00205DD5">
              <w:rPr>
                <w:rFonts w:ascii="Arial" w:hAnsi="Arial" w:cs="Arial"/>
                <w:sz w:val="16"/>
                <w:szCs w:val="16"/>
              </w:rPr>
              <w:t>-4,920</w:t>
            </w:r>
          </w:p>
        </w:tc>
      </w:tr>
      <w:tr w:rsidR="003A5185" w:rsidRPr="00FF1D21" w14:paraId="50B2F4E0" w14:textId="77777777" w:rsidTr="003A5185">
        <w:trPr>
          <w:trHeight w:hRule="exact" w:val="226"/>
        </w:trPr>
        <w:tc>
          <w:tcPr>
            <w:tcW w:w="2033" w:type="pct"/>
            <w:tcBorders>
              <w:top w:val="nil"/>
              <w:left w:val="nil"/>
              <w:bottom w:val="nil"/>
              <w:right w:val="nil"/>
            </w:tcBorders>
            <w:shd w:val="clear" w:color="000000" w:fill="FFFFFF"/>
            <w:noWrap/>
            <w:vAlign w:val="center"/>
            <w:hideMark/>
          </w:tcPr>
          <w:p w14:paraId="36967AB8"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Total variations</w:t>
            </w:r>
          </w:p>
        </w:tc>
        <w:tc>
          <w:tcPr>
            <w:tcW w:w="571" w:type="pct"/>
            <w:tcBorders>
              <w:top w:val="single" w:sz="4" w:space="0" w:color="293F5B"/>
              <w:left w:val="nil"/>
              <w:bottom w:val="single" w:sz="4" w:space="0" w:color="293F5B"/>
              <w:right w:val="nil"/>
            </w:tcBorders>
            <w:shd w:val="clear" w:color="000000" w:fill="E6F2FF"/>
            <w:noWrap/>
            <w:vAlign w:val="center"/>
            <w:hideMark/>
          </w:tcPr>
          <w:p w14:paraId="45EEA61B"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24,129</w:t>
            </w:r>
          </w:p>
        </w:tc>
        <w:tc>
          <w:tcPr>
            <w:tcW w:w="571" w:type="pct"/>
            <w:tcBorders>
              <w:top w:val="single" w:sz="4" w:space="0" w:color="293F5B"/>
              <w:left w:val="nil"/>
              <w:bottom w:val="single" w:sz="4" w:space="0" w:color="293F5B"/>
              <w:right w:val="nil"/>
            </w:tcBorders>
            <w:shd w:val="clear" w:color="000000" w:fill="FFFFFF"/>
            <w:noWrap/>
            <w:vAlign w:val="center"/>
            <w:hideMark/>
          </w:tcPr>
          <w:p w14:paraId="6F673BAA"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17,328</w:t>
            </w:r>
          </w:p>
        </w:tc>
        <w:tc>
          <w:tcPr>
            <w:tcW w:w="571" w:type="pct"/>
            <w:tcBorders>
              <w:top w:val="single" w:sz="4" w:space="0" w:color="293F5B"/>
              <w:left w:val="nil"/>
              <w:bottom w:val="single" w:sz="4" w:space="0" w:color="293F5B"/>
              <w:right w:val="nil"/>
            </w:tcBorders>
            <w:shd w:val="clear" w:color="000000" w:fill="FFFFFF"/>
            <w:noWrap/>
            <w:vAlign w:val="center"/>
            <w:hideMark/>
          </w:tcPr>
          <w:p w14:paraId="6668CB23"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15,215</w:t>
            </w:r>
          </w:p>
        </w:tc>
        <w:tc>
          <w:tcPr>
            <w:tcW w:w="571" w:type="pct"/>
            <w:tcBorders>
              <w:top w:val="single" w:sz="4" w:space="0" w:color="293F5B"/>
              <w:left w:val="nil"/>
              <w:bottom w:val="single" w:sz="4" w:space="0" w:color="293F5B"/>
              <w:right w:val="nil"/>
            </w:tcBorders>
            <w:shd w:val="clear" w:color="000000" w:fill="FFFFFF"/>
            <w:noWrap/>
            <w:vAlign w:val="center"/>
            <w:hideMark/>
          </w:tcPr>
          <w:p w14:paraId="5D45EA96"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14,891</w:t>
            </w:r>
          </w:p>
        </w:tc>
        <w:tc>
          <w:tcPr>
            <w:tcW w:w="97" w:type="pct"/>
            <w:tcBorders>
              <w:top w:val="nil"/>
              <w:left w:val="nil"/>
              <w:bottom w:val="nil"/>
              <w:right w:val="nil"/>
            </w:tcBorders>
            <w:shd w:val="clear" w:color="000000" w:fill="FFFFFF"/>
            <w:noWrap/>
            <w:vAlign w:val="center"/>
            <w:hideMark/>
          </w:tcPr>
          <w:p w14:paraId="5E455368"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85" w:type="pct"/>
            <w:tcBorders>
              <w:top w:val="single" w:sz="4" w:space="0" w:color="293F5B"/>
              <w:left w:val="nil"/>
              <w:bottom w:val="single" w:sz="4" w:space="0" w:color="293F5B"/>
              <w:right w:val="nil"/>
            </w:tcBorders>
            <w:shd w:val="clear" w:color="000000" w:fill="FFFFFF"/>
            <w:noWrap/>
            <w:vAlign w:val="center"/>
            <w:hideMark/>
          </w:tcPr>
          <w:p w14:paraId="249DB199" w14:textId="77777777" w:rsidR="003A5185" w:rsidRPr="00205DD5" w:rsidRDefault="003A5185" w:rsidP="003A5185">
            <w:pPr>
              <w:spacing w:before="0" w:after="0" w:line="240" w:lineRule="auto"/>
              <w:jc w:val="right"/>
              <w:rPr>
                <w:rFonts w:ascii="Arial" w:hAnsi="Arial" w:cs="Arial"/>
                <w:b/>
                <w:sz w:val="16"/>
                <w:szCs w:val="16"/>
              </w:rPr>
            </w:pPr>
            <w:r w:rsidRPr="00205DD5">
              <w:rPr>
                <w:rFonts w:ascii="Arial" w:hAnsi="Arial" w:cs="Arial"/>
                <w:b/>
                <w:sz w:val="16"/>
                <w:szCs w:val="16"/>
              </w:rPr>
              <w:t>71,563</w:t>
            </w:r>
          </w:p>
        </w:tc>
      </w:tr>
      <w:tr w:rsidR="003A5185" w:rsidRPr="00FF1D21" w14:paraId="64ABD375" w14:textId="77777777" w:rsidTr="003A5185">
        <w:trPr>
          <w:trHeight w:hRule="exact" w:val="60"/>
        </w:trPr>
        <w:tc>
          <w:tcPr>
            <w:tcW w:w="2033" w:type="pct"/>
            <w:tcBorders>
              <w:top w:val="nil"/>
              <w:left w:val="nil"/>
              <w:bottom w:val="nil"/>
              <w:right w:val="nil"/>
            </w:tcBorders>
            <w:shd w:val="clear" w:color="000000" w:fill="FFFFFF"/>
            <w:noWrap/>
            <w:vAlign w:val="center"/>
            <w:hideMark/>
          </w:tcPr>
          <w:p w14:paraId="7C691B59"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E6F2FF"/>
            <w:noWrap/>
            <w:vAlign w:val="center"/>
            <w:hideMark/>
          </w:tcPr>
          <w:p w14:paraId="674B2DB3"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FFFFFF"/>
            <w:noWrap/>
            <w:vAlign w:val="center"/>
            <w:hideMark/>
          </w:tcPr>
          <w:p w14:paraId="4A251C58"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FFFFFF"/>
            <w:noWrap/>
            <w:vAlign w:val="center"/>
            <w:hideMark/>
          </w:tcPr>
          <w:p w14:paraId="0CBD4087"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71" w:type="pct"/>
            <w:tcBorders>
              <w:top w:val="nil"/>
              <w:left w:val="nil"/>
              <w:bottom w:val="nil"/>
              <w:right w:val="nil"/>
            </w:tcBorders>
            <w:shd w:val="clear" w:color="000000" w:fill="FFFFFF"/>
            <w:noWrap/>
            <w:vAlign w:val="center"/>
            <w:hideMark/>
          </w:tcPr>
          <w:p w14:paraId="53612560"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97" w:type="pct"/>
            <w:tcBorders>
              <w:top w:val="nil"/>
              <w:left w:val="nil"/>
              <w:bottom w:val="nil"/>
              <w:right w:val="nil"/>
            </w:tcBorders>
            <w:shd w:val="clear" w:color="000000" w:fill="FFFFFF"/>
            <w:noWrap/>
            <w:vAlign w:val="center"/>
            <w:hideMark/>
          </w:tcPr>
          <w:p w14:paraId="50E3C5C4"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85" w:type="pct"/>
            <w:tcBorders>
              <w:top w:val="nil"/>
              <w:left w:val="nil"/>
              <w:bottom w:val="nil"/>
              <w:right w:val="nil"/>
            </w:tcBorders>
            <w:shd w:val="clear" w:color="000000" w:fill="FFFFFF"/>
            <w:noWrap/>
            <w:vAlign w:val="center"/>
            <w:hideMark/>
          </w:tcPr>
          <w:p w14:paraId="4D26CDA3" w14:textId="77777777" w:rsidR="003A5185" w:rsidRPr="00205DD5" w:rsidRDefault="003A5185" w:rsidP="003A5185">
            <w:pPr>
              <w:spacing w:before="0" w:after="0" w:line="240" w:lineRule="auto"/>
              <w:rPr>
                <w:rFonts w:ascii="Arial" w:hAnsi="Arial" w:cs="Arial"/>
                <w:b/>
                <w:sz w:val="16"/>
                <w:szCs w:val="16"/>
              </w:rPr>
            </w:pPr>
            <w:r w:rsidRPr="00205DD5">
              <w:rPr>
                <w:rFonts w:ascii="Arial" w:hAnsi="Arial" w:cs="Arial"/>
                <w:b/>
                <w:sz w:val="16"/>
                <w:szCs w:val="16"/>
              </w:rPr>
              <w:t> </w:t>
            </w:r>
          </w:p>
        </w:tc>
      </w:tr>
      <w:tr w:rsidR="003A5185" w:rsidRPr="00FF1D21" w14:paraId="333B44C3" w14:textId="77777777" w:rsidTr="003A5185">
        <w:trPr>
          <w:trHeight w:hRule="exact" w:val="226"/>
        </w:trPr>
        <w:tc>
          <w:tcPr>
            <w:tcW w:w="2033" w:type="pct"/>
            <w:tcBorders>
              <w:top w:val="nil"/>
              <w:left w:val="nil"/>
              <w:bottom w:val="single" w:sz="4" w:space="0" w:color="293F5B"/>
              <w:right w:val="nil"/>
            </w:tcBorders>
            <w:shd w:val="clear" w:color="000000" w:fill="FFFFFF"/>
            <w:noWrap/>
            <w:vAlign w:val="center"/>
            <w:hideMark/>
          </w:tcPr>
          <w:p w14:paraId="2EDC2944" w14:textId="77777777" w:rsidR="003A5185" w:rsidRPr="00FF1D21" w:rsidRDefault="003A5185" w:rsidP="003A5185">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MYEFO expenses</w:t>
            </w:r>
          </w:p>
        </w:tc>
        <w:tc>
          <w:tcPr>
            <w:tcW w:w="571" w:type="pct"/>
            <w:tcBorders>
              <w:top w:val="single" w:sz="4" w:space="0" w:color="293F5B"/>
              <w:left w:val="nil"/>
              <w:bottom w:val="single" w:sz="4" w:space="0" w:color="293F5B"/>
              <w:right w:val="nil"/>
            </w:tcBorders>
            <w:shd w:val="clear" w:color="000000" w:fill="E6F2FF"/>
            <w:noWrap/>
            <w:vAlign w:val="center"/>
            <w:hideMark/>
          </w:tcPr>
          <w:p w14:paraId="4F27CF8C"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758,648</w:t>
            </w:r>
          </w:p>
        </w:tc>
        <w:tc>
          <w:tcPr>
            <w:tcW w:w="571" w:type="pct"/>
            <w:tcBorders>
              <w:top w:val="single" w:sz="4" w:space="0" w:color="293F5B"/>
              <w:left w:val="nil"/>
              <w:bottom w:val="single" w:sz="4" w:space="0" w:color="293F5B"/>
              <w:right w:val="nil"/>
            </w:tcBorders>
            <w:shd w:val="clear" w:color="000000" w:fill="FFFFFF"/>
            <w:noWrap/>
            <w:vAlign w:val="center"/>
            <w:hideMark/>
          </w:tcPr>
          <w:p w14:paraId="45521064"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784,618</w:t>
            </w:r>
          </w:p>
        </w:tc>
        <w:tc>
          <w:tcPr>
            <w:tcW w:w="571" w:type="pct"/>
            <w:tcBorders>
              <w:top w:val="single" w:sz="4" w:space="0" w:color="293F5B"/>
              <w:left w:val="nil"/>
              <w:bottom w:val="single" w:sz="4" w:space="0" w:color="293F5B"/>
              <w:right w:val="nil"/>
            </w:tcBorders>
            <w:shd w:val="clear" w:color="000000" w:fill="FFFFFF"/>
            <w:noWrap/>
            <w:vAlign w:val="center"/>
            <w:hideMark/>
          </w:tcPr>
          <w:p w14:paraId="784BA0B2"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808,980</w:t>
            </w:r>
          </w:p>
        </w:tc>
        <w:tc>
          <w:tcPr>
            <w:tcW w:w="571" w:type="pct"/>
            <w:tcBorders>
              <w:top w:val="single" w:sz="4" w:space="0" w:color="293F5B"/>
              <w:left w:val="nil"/>
              <w:bottom w:val="single" w:sz="4" w:space="0" w:color="293F5B"/>
              <w:right w:val="nil"/>
            </w:tcBorders>
            <w:shd w:val="clear" w:color="000000" w:fill="FFFFFF"/>
            <w:noWrap/>
            <w:vAlign w:val="center"/>
            <w:hideMark/>
          </w:tcPr>
          <w:p w14:paraId="0860BABD"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844,646</w:t>
            </w:r>
          </w:p>
        </w:tc>
        <w:tc>
          <w:tcPr>
            <w:tcW w:w="97" w:type="pct"/>
            <w:tcBorders>
              <w:top w:val="nil"/>
              <w:left w:val="nil"/>
              <w:bottom w:val="single" w:sz="4" w:space="0" w:color="293F5B"/>
              <w:right w:val="nil"/>
            </w:tcBorders>
            <w:shd w:val="clear" w:color="000000" w:fill="FFFFFF"/>
            <w:noWrap/>
            <w:vAlign w:val="center"/>
            <w:hideMark/>
          </w:tcPr>
          <w:p w14:paraId="01E891B2" w14:textId="77777777" w:rsidR="003A5185" w:rsidRPr="00FF1D21" w:rsidRDefault="003A5185" w:rsidP="003A5185">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 </w:t>
            </w:r>
          </w:p>
        </w:tc>
        <w:tc>
          <w:tcPr>
            <w:tcW w:w="585" w:type="pct"/>
            <w:tcBorders>
              <w:top w:val="single" w:sz="4" w:space="0" w:color="293F5B"/>
              <w:left w:val="nil"/>
              <w:bottom w:val="single" w:sz="4" w:space="0" w:color="293F5B"/>
              <w:right w:val="nil"/>
            </w:tcBorders>
            <w:shd w:val="clear" w:color="000000" w:fill="FFFFFF"/>
            <w:noWrap/>
            <w:vAlign w:val="center"/>
            <w:hideMark/>
          </w:tcPr>
          <w:p w14:paraId="522A1382" w14:textId="77777777" w:rsidR="003A5185" w:rsidRPr="00205DD5" w:rsidRDefault="003A5185" w:rsidP="003A5185">
            <w:pPr>
              <w:spacing w:before="0" w:after="0" w:line="240" w:lineRule="auto"/>
              <w:jc w:val="right"/>
              <w:rPr>
                <w:rFonts w:ascii="Arial" w:hAnsi="Arial" w:cs="Arial"/>
                <w:b/>
                <w:sz w:val="16"/>
                <w:szCs w:val="16"/>
              </w:rPr>
            </w:pPr>
            <w:r w:rsidRPr="00205DD5">
              <w:rPr>
                <w:rFonts w:ascii="Arial" w:hAnsi="Arial" w:cs="Arial"/>
                <w:b/>
                <w:sz w:val="16"/>
                <w:szCs w:val="16"/>
              </w:rPr>
              <w:t>3,196,892</w:t>
            </w:r>
          </w:p>
        </w:tc>
      </w:tr>
    </w:tbl>
    <w:p w14:paraId="5D809BC5" w14:textId="5DCB2C0A" w:rsidR="004F19C2" w:rsidRPr="00205DD5" w:rsidRDefault="004F19C2" w:rsidP="00B862B7">
      <w:pPr>
        <w:pStyle w:val="ChartandTableFootnoteAlpha"/>
        <w:numPr>
          <w:ilvl w:val="0"/>
          <w:numId w:val="15"/>
        </w:numPr>
        <w:rPr>
          <w:rFonts w:eastAsiaTheme="minorHAnsi"/>
          <w:color w:val="auto"/>
        </w:rPr>
      </w:pPr>
      <w:r w:rsidRPr="00205DD5">
        <w:rPr>
          <w:rFonts w:eastAsiaTheme="minorHAnsi"/>
          <w:color w:val="auto"/>
        </w:rPr>
        <w:t>Excludes secondary impacts on public debt interest of policy decisions and offsets from the Contingency Reserve for decisions taken.</w:t>
      </w:r>
    </w:p>
    <w:p w14:paraId="54864D2D" w14:textId="421C8E1A" w:rsidR="00D63C70" w:rsidRPr="00DF3DF1" w:rsidRDefault="00D63C70" w:rsidP="00D53C86">
      <w:pPr>
        <w:pStyle w:val="TableLine"/>
      </w:pPr>
    </w:p>
    <w:p w14:paraId="3F4B887F" w14:textId="77777777" w:rsidR="00D63C70" w:rsidRDefault="00D63C70" w:rsidP="00DD48D1">
      <w:pPr>
        <w:pStyle w:val="SingleParagraph"/>
        <w:rPr>
          <w:rStyle w:val="Heading2Char"/>
          <w:sz w:val="22"/>
        </w:rPr>
      </w:pPr>
      <w:bookmarkStart w:id="68" w:name="_Toc148428084"/>
      <w:r>
        <w:rPr>
          <w:rStyle w:val="Heading2Char"/>
          <w:sz w:val="22"/>
        </w:rPr>
        <w:br w:type="page"/>
      </w:r>
    </w:p>
    <w:p w14:paraId="4FC03F1C" w14:textId="27B767F9" w:rsidR="00D63C70" w:rsidRPr="000D08F8" w:rsidRDefault="00D63C70" w:rsidP="000D08F8">
      <w:pPr>
        <w:pStyle w:val="Heading3"/>
      </w:pPr>
      <w:r w:rsidRPr="000D08F8">
        <w:lastRenderedPageBreak/>
        <w:t>Net capital investment estimates</w:t>
      </w:r>
      <w:bookmarkEnd w:id="68"/>
    </w:p>
    <w:p w14:paraId="586D65B7" w14:textId="12AC2F66" w:rsidR="00543E72" w:rsidRPr="00205DD5" w:rsidRDefault="00543E72" w:rsidP="00543E72">
      <w:pPr>
        <w:spacing w:after="0"/>
      </w:pPr>
      <w:r w:rsidRPr="00205DD5">
        <w:t xml:space="preserve">Net capital investment is broadly defined as the sale and acquisition of non-financial assets, less depreciation expenses. It provides a measure of the overall growth in capital assets (including buildings and infrastructure, specialist military equipment, and computer software) after </w:t>
      </w:r>
      <w:proofErr w:type="gramStart"/>
      <w:r w:rsidRPr="00205DD5">
        <w:t>taking into account</w:t>
      </w:r>
      <w:proofErr w:type="gramEnd"/>
      <w:r w:rsidRPr="00205DD5">
        <w:t xml:space="preserve"> depreciation and amortisation as previously acquired assets age. </w:t>
      </w:r>
    </w:p>
    <w:p w14:paraId="08103A05" w14:textId="316C29A8" w:rsidR="00D63C70" w:rsidRPr="00205DD5" w:rsidRDefault="00543E72" w:rsidP="00D63C70">
      <w:pPr>
        <w:rPr>
          <w:rFonts w:ascii="Calibri" w:hAnsi="Calibri"/>
        </w:rPr>
      </w:pPr>
      <w:r w:rsidRPr="00205DD5">
        <w:t>Government capital spending involves acquisition of physical assets, financial assets and provision of grants and subsidies to others (primarily state and territory governments), which they then use to acquire assets.</w:t>
      </w:r>
    </w:p>
    <w:p w14:paraId="504EFA5F" w14:textId="73C6ABBD" w:rsidR="002E536E" w:rsidRPr="00205DD5" w:rsidRDefault="00D63C70" w:rsidP="000B56C9">
      <w:pPr>
        <w:pStyle w:val="TableHeading"/>
        <w:tabs>
          <w:tab w:val="left" w:pos="6270"/>
        </w:tabs>
        <w:rPr>
          <w:rFonts w:asciiTheme="minorHAnsi" w:eastAsiaTheme="minorHAnsi" w:hAnsiTheme="minorHAnsi" w:cstheme="minorBidi"/>
          <w:b w:val="0"/>
          <w:sz w:val="22"/>
          <w:szCs w:val="22"/>
          <w:lang w:eastAsia="en-US"/>
        </w:rPr>
      </w:pPr>
      <w:r w:rsidRPr="00205DD5">
        <w:t>Table 3.</w:t>
      </w:r>
      <w:r w:rsidR="002F3A04" w:rsidRPr="00205DD5">
        <w:t>1</w:t>
      </w:r>
      <w:r w:rsidR="003C0426" w:rsidRPr="00205DD5">
        <w:t>4</w:t>
      </w:r>
      <w:r w:rsidRPr="00205DD5">
        <w:t>: Reconciliation of general government sector net capital investment estimate</w:t>
      </w:r>
      <w:r w:rsidR="00DF3894" w:rsidRPr="00205DD5">
        <w:t>s</w:t>
      </w:r>
    </w:p>
    <w:tbl>
      <w:tblPr>
        <w:tblW w:w="5000" w:type="pct"/>
        <w:tblCellMar>
          <w:left w:w="0" w:type="dxa"/>
          <w:right w:w="28" w:type="dxa"/>
        </w:tblCellMar>
        <w:tblLook w:val="04A0" w:firstRow="1" w:lastRow="0" w:firstColumn="1" w:lastColumn="0" w:noHBand="0" w:noVBand="1"/>
      </w:tblPr>
      <w:tblGrid>
        <w:gridCol w:w="3460"/>
        <w:gridCol w:w="820"/>
        <w:gridCol w:w="820"/>
        <w:gridCol w:w="820"/>
        <w:gridCol w:w="820"/>
        <w:gridCol w:w="150"/>
        <w:gridCol w:w="820"/>
      </w:tblGrid>
      <w:tr w:rsidR="00343EC8" w:rsidRPr="00FF1D21" w14:paraId="3ACFF374" w14:textId="77777777" w:rsidTr="00D32148">
        <w:trPr>
          <w:trHeight w:hRule="exact" w:val="226"/>
        </w:trPr>
        <w:tc>
          <w:tcPr>
            <w:tcW w:w="2243" w:type="pct"/>
            <w:tcBorders>
              <w:top w:val="single" w:sz="4" w:space="0" w:color="293F5B"/>
              <w:left w:val="nil"/>
              <w:bottom w:val="nil"/>
              <w:right w:val="nil"/>
            </w:tcBorders>
            <w:shd w:val="clear" w:color="000000" w:fill="FFFFFF"/>
            <w:noWrap/>
            <w:vAlign w:val="bottom"/>
            <w:hideMark/>
          </w:tcPr>
          <w:p w14:paraId="2FAA752A" w14:textId="35FBD277" w:rsidR="002E536E" w:rsidRPr="00FF1D21" w:rsidRDefault="002E536E" w:rsidP="002E536E">
            <w:pPr>
              <w:spacing w:before="0" w:after="0" w:line="240" w:lineRule="auto"/>
              <w:rPr>
                <w:rFonts w:ascii="Calibri" w:hAnsi="Calibri" w:cs="Calibri"/>
                <w:color w:val="00FFFF"/>
                <w:sz w:val="22"/>
                <w:szCs w:val="22"/>
                <w:highlight w:val="darkCyan"/>
              </w:rPr>
            </w:pPr>
            <w:r w:rsidRPr="00205DD5">
              <w:rPr>
                <w:rFonts w:ascii="Calibri" w:hAnsi="Calibri" w:cs="Calibri"/>
                <w:sz w:val="22"/>
                <w:szCs w:val="22"/>
              </w:rPr>
              <w:t> </w:t>
            </w:r>
          </w:p>
        </w:tc>
        <w:tc>
          <w:tcPr>
            <w:tcW w:w="2127" w:type="pct"/>
            <w:gridSpan w:val="4"/>
            <w:tcBorders>
              <w:top w:val="single" w:sz="4" w:space="0" w:color="293F5B"/>
              <w:left w:val="nil"/>
              <w:bottom w:val="single" w:sz="4" w:space="0" w:color="293F5B"/>
              <w:right w:val="nil"/>
            </w:tcBorders>
            <w:shd w:val="clear" w:color="000000" w:fill="FFFFFF"/>
            <w:noWrap/>
            <w:vAlign w:val="center"/>
            <w:hideMark/>
          </w:tcPr>
          <w:p w14:paraId="395D94DD" w14:textId="77777777" w:rsidR="002E536E" w:rsidRPr="00FF1D21" w:rsidRDefault="002E536E" w:rsidP="002E536E">
            <w:pPr>
              <w:spacing w:before="0" w:after="0" w:line="240" w:lineRule="auto"/>
              <w:jc w:val="center"/>
              <w:rPr>
                <w:rFonts w:ascii="Arial" w:hAnsi="Arial" w:cs="Arial"/>
                <w:color w:val="00FFFF"/>
                <w:sz w:val="16"/>
                <w:szCs w:val="16"/>
                <w:highlight w:val="darkCyan"/>
              </w:rPr>
            </w:pPr>
            <w:r w:rsidRPr="00205DD5">
              <w:rPr>
                <w:rFonts w:ascii="Arial" w:hAnsi="Arial" w:cs="Arial"/>
                <w:sz w:val="16"/>
                <w:szCs w:val="16"/>
              </w:rPr>
              <w:t>Estimates</w:t>
            </w:r>
          </w:p>
        </w:tc>
        <w:tc>
          <w:tcPr>
            <w:tcW w:w="97" w:type="pct"/>
            <w:tcBorders>
              <w:top w:val="single" w:sz="4" w:space="0" w:color="293F5B"/>
              <w:left w:val="nil"/>
              <w:bottom w:val="nil"/>
              <w:right w:val="nil"/>
            </w:tcBorders>
            <w:shd w:val="clear" w:color="000000" w:fill="FFFFFF"/>
            <w:noWrap/>
            <w:vAlign w:val="center"/>
            <w:hideMark/>
          </w:tcPr>
          <w:p w14:paraId="5624BC7F"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single" w:sz="4" w:space="0" w:color="293F5B"/>
              <w:left w:val="nil"/>
              <w:bottom w:val="nil"/>
              <w:right w:val="nil"/>
            </w:tcBorders>
            <w:shd w:val="clear" w:color="000000" w:fill="FFFFFF"/>
            <w:noWrap/>
            <w:vAlign w:val="center"/>
            <w:hideMark/>
          </w:tcPr>
          <w:p w14:paraId="5A6048A6" w14:textId="77777777" w:rsidR="002E536E" w:rsidRPr="00205DD5" w:rsidRDefault="002E536E" w:rsidP="002E536E">
            <w:pPr>
              <w:spacing w:before="0" w:after="0" w:line="240" w:lineRule="auto"/>
              <w:rPr>
                <w:rFonts w:ascii="Arial" w:hAnsi="Arial" w:cs="Arial"/>
                <w:sz w:val="16"/>
                <w:szCs w:val="16"/>
              </w:rPr>
            </w:pPr>
            <w:r w:rsidRPr="00205DD5">
              <w:rPr>
                <w:rFonts w:ascii="Arial" w:hAnsi="Arial" w:cs="Arial"/>
                <w:sz w:val="16"/>
                <w:szCs w:val="16"/>
              </w:rPr>
              <w:t> </w:t>
            </w:r>
          </w:p>
        </w:tc>
      </w:tr>
      <w:tr w:rsidR="00D32148" w:rsidRPr="00FF1D21" w14:paraId="7134B890" w14:textId="77777777" w:rsidTr="00D32148">
        <w:trPr>
          <w:trHeight w:hRule="exact" w:val="226"/>
        </w:trPr>
        <w:tc>
          <w:tcPr>
            <w:tcW w:w="2243" w:type="pct"/>
            <w:tcBorders>
              <w:top w:val="nil"/>
              <w:left w:val="nil"/>
              <w:bottom w:val="nil"/>
              <w:right w:val="nil"/>
            </w:tcBorders>
            <w:shd w:val="clear" w:color="000000" w:fill="FFFFFF"/>
            <w:noWrap/>
            <w:vAlign w:val="bottom"/>
            <w:hideMark/>
          </w:tcPr>
          <w:p w14:paraId="56BB793D"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E6F2FF"/>
            <w:noWrap/>
            <w:vAlign w:val="center"/>
            <w:hideMark/>
          </w:tcPr>
          <w:p w14:paraId="7126F9AA"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2024–25</w:t>
            </w:r>
          </w:p>
        </w:tc>
        <w:tc>
          <w:tcPr>
            <w:tcW w:w="532" w:type="pct"/>
            <w:tcBorders>
              <w:top w:val="nil"/>
              <w:left w:val="nil"/>
              <w:bottom w:val="nil"/>
              <w:right w:val="nil"/>
            </w:tcBorders>
            <w:shd w:val="clear" w:color="000000" w:fill="FFFFFF"/>
            <w:noWrap/>
            <w:vAlign w:val="center"/>
            <w:hideMark/>
          </w:tcPr>
          <w:p w14:paraId="7F44ED29"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2025–26</w:t>
            </w:r>
          </w:p>
        </w:tc>
        <w:tc>
          <w:tcPr>
            <w:tcW w:w="532" w:type="pct"/>
            <w:tcBorders>
              <w:top w:val="nil"/>
              <w:left w:val="nil"/>
              <w:bottom w:val="nil"/>
              <w:right w:val="nil"/>
            </w:tcBorders>
            <w:shd w:val="clear" w:color="000000" w:fill="FFFFFF"/>
            <w:noWrap/>
            <w:vAlign w:val="center"/>
            <w:hideMark/>
          </w:tcPr>
          <w:p w14:paraId="124B2839"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2026–27</w:t>
            </w:r>
          </w:p>
        </w:tc>
        <w:tc>
          <w:tcPr>
            <w:tcW w:w="532" w:type="pct"/>
            <w:tcBorders>
              <w:top w:val="nil"/>
              <w:left w:val="nil"/>
              <w:bottom w:val="nil"/>
              <w:right w:val="nil"/>
            </w:tcBorders>
            <w:shd w:val="clear" w:color="000000" w:fill="FFFFFF"/>
            <w:noWrap/>
            <w:vAlign w:val="center"/>
            <w:hideMark/>
          </w:tcPr>
          <w:p w14:paraId="6852BC97"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2027–28</w:t>
            </w:r>
          </w:p>
        </w:tc>
        <w:tc>
          <w:tcPr>
            <w:tcW w:w="97" w:type="pct"/>
            <w:tcBorders>
              <w:top w:val="nil"/>
              <w:left w:val="nil"/>
              <w:bottom w:val="nil"/>
              <w:right w:val="nil"/>
            </w:tcBorders>
            <w:shd w:val="clear" w:color="000000" w:fill="FFFFFF"/>
            <w:noWrap/>
            <w:vAlign w:val="center"/>
            <w:hideMark/>
          </w:tcPr>
          <w:p w14:paraId="4919DB4D"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single" w:sz="4" w:space="0" w:color="293F5B"/>
              <w:left w:val="nil"/>
              <w:bottom w:val="nil"/>
              <w:right w:val="nil"/>
            </w:tcBorders>
            <w:shd w:val="clear" w:color="000000" w:fill="FFFFFF"/>
            <w:noWrap/>
            <w:vAlign w:val="center"/>
            <w:hideMark/>
          </w:tcPr>
          <w:p w14:paraId="7FFEE8C5" w14:textId="77777777" w:rsidR="002E536E" w:rsidRPr="00205DD5" w:rsidRDefault="002E536E" w:rsidP="002E536E">
            <w:pPr>
              <w:spacing w:before="0" w:after="0" w:line="240" w:lineRule="auto"/>
              <w:jc w:val="right"/>
              <w:rPr>
                <w:rFonts w:ascii="Arial" w:hAnsi="Arial" w:cs="Arial"/>
                <w:sz w:val="16"/>
                <w:szCs w:val="16"/>
              </w:rPr>
            </w:pPr>
            <w:r w:rsidRPr="00205DD5">
              <w:rPr>
                <w:rFonts w:ascii="Arial" w:hAnsi="Arial" w:cs="Arial"/>
                <w:sz w:val="16"/>
                <w:szCs w:val="16"/>
              </w:rPr>
              <w:t>Total</w:t>
            </w:r>
          </w:p>
        </w:tc>
      </w:tr>
      <w:tr w:rsidR="00D32148" w:rsidRPr="00FF1D21" w14:paraId="1050D6C9" w14:textId="77777777" w:rsidTr="00D32148">
        <w:trPr>
          <w:trHeight w:hRule="exact" w:val="226"/>
        </w:trPr>
        <w:tc>
          <w:tcPr>
            <w:tcW w:w="2243" w:type="pct"/>
            <w:tcBorders>
              <w:top w:val="nil"/>
              <w:left w:val="nil"/>
              <w:bottom w:val="nil"/>
              <w:right w:val="nil"/>
            </w:tcBorders>
            <w:shd w:val="clear" w:color="000000" w:fill="FFFFFF"/>
            <w:noWrap/>
            <w:vAlign w:val="center"/>
            <w:hideMark/>
          </w:tcPr>
          <w:p w14:paraId="0E9954D7"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single" w:sz="4" w:space="0" w:color="293F5B"/>
              <w:right w:val="nil"/>
            </w:tcBorders>
            <w:shd w:val="clear" w:color="000000" w:fill="E6F2FF"/>
            <w:noWrap/>
            <w:vAlign w:val="center"/>
            <w:hideMark/>
          </w:tcPr>
          <w:p w14:paraId="2B587E92"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32" w:type="pct"/>
            <w:tcBorders>
              <w:top w:val="nil"/>
              <w:left w:val="nil"/>
              <w:bottom w:val="single" w:sz="4" w:space="0" w:color="293F5B"/>
              <w:right w:val="nil"/>
            </w:tcBorders>
            <w:shd w:val="clear" w:color="000000" w:fill="FFFFFF"/>
            <w:noWrap/>
            <w:vAlign w:val="center"/>
            <w:hideMark/>
          </w:tcPr>
          <w:p w14:paraId="7CFC5EEF"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32" w:type="pct"/>
            <w:tcBorders>
              <w:top w:val="nil"/>
              <w:left w:val="nil"/>
              <w:bottom w:val="single" w:sz="4" w:space="0" w:color="293F5B"/>
              <w:right w:val="nil"/>
            </w:tcBorders>
            <w:shd w:val="clear" w:color="000000" w:fill="FFFFFF"/>
            <w:noWrap/>
            <w:vAlign w:val="center"/>
            <w:hideMark/>
          </w:tcPr>
          <w:p w14:paraId="78D2E3FE"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532" w:type="pct"/>
            <w:tcBorders>
              <w:top w:val="nil"/>
              <w:left w:val="nil"/>
              <w:bottom w:val="single" w:sz="4" w:space="0" w:color="293F5B"/>
              <w:right w:val="nil"/>
            </w:tcBorders>
            <w:shd w:val="clear" w:color="000000" w:fill="FFFFFF"/>
            <w:noWrap/>
            <w:vAlign w:val="center"/>
            <w:hideMark/>
          </w:tcPr>
          <w:p w14:paraId="4D817A23"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$m</w:t>
            </w:r>
          </w:p>
        </w:tc>
        <w:tc>
          <w:tcPr>
            <w:tcW w:w="97" w:type="pct"/>
            <w:tcBorders>
              <w:top w:val="nil"/>
              <w:left w:val="nil"/>
              <w:bottom w:val="nil"/>
              <w:right w:val="nil"/>
            </w:tcBorders>
            <w:shd w:val="clear" w:color="000000" w:fill="FFFFFF"/>
            <w:noWrap/>
            <w:vAlign w:val="center"/>
            <w:hideMark/>
          </w:tcPr>
          <w:p w14:paraId="7B377C15"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single" w:sz="4" w:space="0" w:color="293F5B"/>
              <w:right w:val="nil"/>
            </w:tcBorders>
            <w:shd w:val="clear" w:color="000000" w:fill="FFFFFF"/>
            <w:noWrap/>
            <w:vAlign w:val="center"/>
            <w:hideMark/>
          </w:tcPr>
          <w:p w14:paraId="1AA03D00" w14:textId="77777777" w:rsidR="002E536E" w:rsidRPr="00205DD5" w:rsidRDefault="002E536E" w:rsidP="002E536E">
            <w:pPr>
              <w:spacing w:before="0" w:after="0" w:line="240" w:lineRule="auto"/>
              <w:jc w:val="right"/>
              <w:rPr>
                <w:rFonts w:ascii="Arial" w:hAnsi="Arial" w:cs="Arial"/>
                <w:sz w:val="16"/>
                <w:szCs w:val="16"/>
              </w:rPr>
            </w:pPr>
            <w:r w:rsidRPr="00205DD5">
              <w:rPr>
                <w:rFonts w:ascii="Arial" w:hAnsi="Arial" w:cs="Arial"/>
                <w:sz w:val="16"/>
                <w:szCs w:val="16"/>
              </w:rPr>
              <w:t>$m</w:t>
            </w:r>
          </w:p>
        </w:tc>
      </w:tr>
      <w:tr w:rsidR="00D32148" w:rsidRPr="00FF1D21" w14:paraId="1BC22485" w14:textId="77777777" w:rsidTr="00D32148">
        <w:trPr>
          <w:trHeight w:hRule="exact" w:val="226"/>
        </w:trPr>
        <w:tc>
          <w:tcPr>
            <w:tcW w:w="2243" w:type="pct"/>
            <w:tcBorders>
              <w:top w:val="nil"/>
              <w:left w:val="nil"/>
              <w:bottom w:val="nil"/>
              <w:right w:val="nil"/>
            </w:tcBorders>
            <w:shd w:val="clear" w:color="000000" w:fill="FFFFFF"/>
            <w:noWrap/>
            <w:vAlign w:val="center"/>
            <w:hideMark/>
          </w:tcPr>
          <w:p w14:paraId="084C8FD3"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Budget net capital investment</w:t>
            </w:r>
          </w:p>
        </w:tc>
        <w:tc>
          <w:tcPr>
            <w:tcW w:w="532" w:type="pct"/>
            <w:tcBorders>
              <w:top w:val="nil"/>
              <w:left w:val="nil"/>
              <w:bottom w:val="nil"/>
              <w:right w:val="nil"/>
            </w:tcBorders>
            <w:shd w:val="clear" w:color="000000" w:fill="E6F2FF"/>
            <w:noWrap/>
            <w:vAlign w:val="center"/>
            <w:hideMark/>
          </w:tcPr>
          <w:p w14:paraId="7C364AF8"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6,303</w:t>
            </w:r>
          </w:p>
        </w:tc>
        <w:tc>
          <w:tcPr>
            <w:tcW w:w="532" w:type="pct"/>
            <w:tcBorders>
              <w:top w:val="nil"/>
              <w:left w:val="nil"/>
              <w:bottom w:val="nil"/>
              <w:right w:val="nil"/>
            </w:tcBorders>
            <w:shd w:val="clear" w:color="000000" w:fill="FFFFFF"/>
            <w:noWrap/>
            <w:vAlign w:val="center"/>
            <w:hideMark/>
          </w:tcPr>
          <w:p w14:paraId="49E70A93"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8,055</w:t>
            </w:r>
          </w:p>
        </w:tc>
        <w:tc>
          <w:tcPr>
            <w:tcW w:w="532" w:type="pct"/>
            <w:tcBorders>
              <w:top w:val="nil"/>
              <w:left w:val="nil"/>
              <w:bottom w:val="nil"/>
              <w:right w:val="nil"/>
            </w:tcBorders>
            <w:shd w:val="clear" w:color="000000" w:fill="FFFFFF"/>
            <w:noWrap/>
            <w:vAlign w:val="center"/>
            <w:hideMark/>
          </w:tcPr>
          <w:p w14:paraId="3F8D7442"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8,988</w:t>
            </w:r>
          </w:p>
        </w:tc>
        <w:tc>
          <w:tcPr>
            <w:tcW w:w="532" w:type="pct"/>
            <w:tcBorders>
              <w:top w:val="nil"/>
              <w:left w:val="nil"/>
              <w:bottom w:val="nil"/>
              <w:right w:val="nil"/>
            </w:tcBorders>
            <w:shd w:val="clear" w:color="000000" w:fill="FFFFFF"/>
            <w:noWrap/>
            <w:vAlign w:val="center"/>
            <w:hideMark/>
          </w:tcPr>
          <w:p w14:paraId="30B1CD10"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11,899</w:t>
            </w:r>
          </w:p>
        </w:tc>
        <w:tc>
          <w:tcPr>
            <w:tcW w:w="97" w:type="pct"/>
            <w:tcBorders>
              <w:top w:val="nil"/>
              <w:left w:val="nil"/>
              <w:bottom w:val="nil"/>
              <w:right w:val="nil"/>
            </w:tcBorders>
            <w:shd w:val="clear" w:color="000000" w:fill="FFFFFF"/>
            <w:noWrap/>
            <w:vAlign w:val="center"/>
            <w:hideMark/>
          </w:tcPr>
          <w:p w14:paraId="3014A46C"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nil"/>
              <w:right w:val="nil"/>
            </w:tcBorders>
            <w:shd w:val="clear" w:color="000000" w:fill="FFFFFF"/>
            <w:noWrap/>
            <w:vAlign w:val="center"/>
            <w:hideMark/>
          </w:tcPr>
          <w:p w14:paraId="22F49343" w14:textId="77777777" w:rsidR="002E536E" w:rsidRPr="00205DD5" w:rsidRDefault="002E536E" w:rsidP="002E536E">
            <w:pPr>
              <w:spacing w:before="0" w:after="0" w:line="240" w:lineRule="auto"/>
              <w:jc w:val="right"/>
              <w:rPr>
                <w:rFonts w:ascii="Arial" w:hAnsi="Arial" w:cs="Arial"/>
                <w:b/>
                <w:sz w:val="16"/>
                <w:szCs w:val="16"/>
              </w:rPr>
            </w:pPr>
            <w:r w:rsidRPr="00205DD5">
              <w:rPr>
                <w:rFonts w:ascii="Arial" w:hAnsi="Arial" w:cs="Arial"/>
                <w:b/>
                <w:sz w:val="16"/>
                <w:szCs w:val="16"/>
              </w:rPr>
              <w:t>35,244</w:t>
            </w:r>
          </w:p>
        </w:tc>
      </w:tr>
      <w:tr w:rsidR="00D32148" w:rsidRPr="00FF1D21" w14:paraId="5F4BF2F4" w14:textId="77777777" w:rsidTr="00D32148">
        <w:trPr>
          <w:trHeight w:hRule="exact" w:val="60"/>
        </w:trPr>
        <w:tc>
          <w:tcPr>
            <w:tcW w:w="2243" w:type="pct"/>
            <w:tcBorders>
              <w:top w:val="nil"/>
              <w:left w:val="nil"/>
              <w:bottom w:val="nil"/>
              <w:right w:val="nil"/>
            </w:tcBorders>
            <w:shd w:val="clear" w:color="000000" w:fill="FFFFFF"/>
            <w:noWrap/>
            <w:vAlign w:val="center"/>
            <w:hideMark/>
          </w:tcPr>
          <w:p w14:paraId="01FFB81E"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nil"/>
              <w:right w:val="nil"/>
            </w:tcBorders>
            <w:shd w:val="clear" w:color="000000" w:fill="E6F2FF"/>
            <w:noWrap/>
            <w:vAlign w:val="center"/>
            <w:hideMark/>
          </w:tcPr>
          <w:p w14:paraId="4A471A69"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nil"/>
              <w:right w:val="nil"/>
            </w:tcBorders>
            <w:shd w:val="clear" w:color="000000" w:fill="FFFFFF"/>
            <w:noWrap/>
            <w:vAlign w:val="center"/>
            <w:hideMark/>
          </w:tcPr>
          <w:p w14:paraId="24CCFAE0"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nil"/>
              <w:right w:val="nil"/>
            </w:tcBorders>
            <w:shd w:val="clear" w:color="000000" w:fill="FFFFFF"/>
            <w:noWrap/>
            <w:vAlign w:val="center"/>
            <w:hideMark/>
          </w:tcPr>
          <w:p w14:paraId="66C12DDA"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nil"/>
              <w:right w:val="nil"/>
            </w:tcBorders>
            <w:shd w:val="clear" w:color="000000" w:fill="FFFFFF"/>
            <w:noWrap/>
            <w:vAlign w:val="center"/>
            <w:hideMark/>
          </w:tcPr>
          <w:p w14:paraId="1C08F32B"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97" w:type="pct"/>
            <w:tcBorders>
              <w:top w:val="nil"/>
              <w:left w:val="nil"/>
              <w:bottom w:val="nil"/>
              <w:right w:val="nil"/>
            </w:tcBorders>
            <w:shd w:val="clear" w:color="000000" w:fill="FFFFFF"/>
            <w:noWrap/>
            <w:vAlign w:val="center"/>
            <w:hideMark/>
          </w:tcPr>
          <w:p w14:paraId="1E656C79"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nil"/>
              <w:right w:val="nil"/>
            </w:tcBorders>
            <w:shd w:val="clear" w:color="000000" w:fill="FFFFFF"/>
            <w:noWrap/>
            <w:vAlign w:val="center"/>
            <w:hideMark/>
          </w:tcPr>
          <w:p w14:paraId="33FF2C1C" w14:textId="77777777" w:rsidR="002E536E" w:rsidRPr="00205DD5" w:rsidRDefault="002E536E" w:rsidP="002E536E">
            <w:pPr>
              <w:spacing w:before="0" w:after="0" w:line="240" w:lineRule="auto"/>
              <w:jc w:val="right"/>
              <w:rPr>
                <w:rFonts w:ascii="Arial" w:hAnsi="Arial" w:cs="Arial"/>
                <w:b/>
                <w:sz w:val="16"/>
                <w:szCs w:val="16"/>
              </w:rPr>
            </w:pPr>
            <w:r w:rsidRPr="00205DD5">
              <w:rPr>
                <w:rFonts w:ascii="Arial" w:hAnsi="Arial" w:cs="Arial"/>
                <w:b/>
                <w:sz w:val="16"/>
                <w:szCs w:val="16"/>
              </w:rPr>
              <w:t> </w:t>
            </w:r>
          </w:p>
        </w:tc>
      </w:tr>
      <w:tr w:rsidR="00D32148" w:rsidRPr="00FF1D21" w14:paraId="6BB1191E" w14:textId="77777777" w:rsidTr="00D32148">
        <w:trPr>
          <w:trHeight w:hRule="exact" w:val="226"/>
        </w:trPr>
        <w:tc>
          <w:tcPr>
            <w:tcW w:w="2243" w:type="pct"/>
            <w:tcBorders>
              <w:top w:val="nil"/>
              <w:left w:val="nil"/>
              <w:bottom w:val="nil"/>
              <w:right w:val="nil"/>
            </w:tcBorders>
            <w:shd w:val="clear" w:color="000000" w:fill="FFFFFF"/>
            <w:noWrap/>
            <w:vAlign w:val="center"/>
            <w:hideMark/>
          </w:tcPr>
          <w:p w14:paraId="7FB47119"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xml:space="preserve">Changes from 2024–25 Budget to </w:t>
            </w:r>
          </w:p>
        </w:tc>
        <w:tc>
          <w:tcPr>
            <w:tcW w:w="532" w:type="pct"/>
            <w:tcBorders>
              <w:top w:val="nil"/>
              <w:left w:val="nil"/>
              <w:bottom w:val="nil"/>
              <w:right w:val="nil"/>
            </w:tcBorders>
            <w:shd w:val="clear" w:color="000000" w:fill="E6F2FF"/>
            <w:noWrap/>
            <w:vAlign w:val="center"/>
            <w:hideMark/>
          </w:tcPr>
          <w:p w14:paraId="4863D2F4"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38A0B2AF"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07F3A777"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296C2313"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348A5523"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39F0F343" w14:textId="77777777" w:rsidR="002E536E" w:rsidRPr="00205DD5" w:rsidRDefault="002E536E" w:rsidP="002E536E">
            <w:pPr>
              <w:spacing w:before="0" w:after="0" w:line="240" w:lineRule="auto"/>
              <w:jc w:val="right"/>
              <w:rPr>
                <w:rFonts w:ascii="Arial" w:hAnsi="Arial" w:cs="Arial"/>
                <w:sz w:val="16"/>
                <w:szCs w:val="16"/>
              </w:rPr>
            </w:pPr>
            <w:r w:rsidRPr="00205DD5">
              <w:rPr>
                <w:rFonts w:ascii="Arial" w:hAnsi="Arial" w:cs="Arial"/>
                <w:sz w:val="16"/>
                <w:szCs w:val="16"/>
              </w:rPr>
              <w:t> </w:t>
            </w:r>
          </w:p>
        </w:tc>
      </w:tr>
      <w:tr w:rsidR="00D32148" w:rsidRPr="00FF1D21" w14:paraId="48D0776F" w14:textId="77777777" w:rsidTr="00D32148">
        <w:trPr>
          <w:trHeight w:hRule="exact" w:val="226"/>
        </w:trPr>
        <w:tc>
          <w:tcPr>
            <w:tcW w:w="2243" w:type="pct"/>
            <w:tcBorders>
              <w:top w:val="nil"/>
              <w:left w:val="nil"/>
              <w:bottom w:val="nil"/>
              <w:right w:val="nil"/>
            </w:tcBorders>
            <w:shd w:val="clear" w:color="000000" w:fill="FFFFFF"/>
            <w:noWrap/>
            <w:vAlign w:val="center"/>
            <w:hideMark/>
          </w:tcPr>
          <w:p w14:paraId="041D948E" w14:textId="77777777" w:rsidR="002E536E" w:rsidRPr="00FF1D21" w:rsidRDefault="002E536E" w:rsidP="00D32148">
            <w:pPr>
              <w:spacing w:before="0" w:after="0" w:line="240" w:lineRule="auto"/>
              <w:ind w:left="170"/>
              <w:rPr>
                <w:rFonts w:ascii="Arial" w:hAnsi="Arial" w:cs="Arial"/>
                <w:b/>
                <w:color w:val="00FFFF"/>
                <w:sz w:val="16"/>
                <w:szCs w:val="16"/>
                <w:highlight w:val="darkCyan"/>
              </w:rPr>
            </w:pPr>
            <w:r w:rsidRPr="00205DD5">
              <w:rPr>
                <w:rFonts w:ascii="Arial" w:hAnsi="Arial" w:cs="Arial"/>
                <w:b/>
                <w:sz w:val="16"/>
                <w:szCs w:val="16"/>
              </w:rPr>
              <w:t>2024–25 MYEFO</w:t>
            </w:r>
          </w:p>
        </w:tc>
        <w:tc>
          <w:tcPr>
            <w:tcW w:w="532" w:type="pct"/>
            <w:tcBorders>
              <w:top w:val="nil"/>
              <w:left w:val="nil"/>
              <w:bottom w:val="nil"/>
              <w:right w:val="nil"/>
            </w:tcBorders>
            <w:shd w:val="clear" w:color="000000" w:fill="E6F2FF"/>
            <w:noWrap/>
            <w:vAlign w:val="center"/>
            <w:hideMark/>
          </w:tcPr>
          <w:p w14:paraId="7DD8BA6A" w14:textId="77777777" w:rsidR="002E536E" w:rsidRPr="00FF1D21" w:rsidRDefault="002E536E" w:rsidP="002E536E">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32" w:type="pct"/>
            <w:tcBorders>
              <w:top w:val="nil"/>
              <w:left w:val="nil"/>
              <w:bottom w:val="nil"/>
              <w:right w:val="nil"/>
            </w:tcBorders>
            <w:shd w:val="clear" w:color="000000" w:fill="FFFFFF"/>
            <w:noWrap/>
            <w:vAlign w:val="center"/>
            <w:hideMark/>
          </w:tcPr>
          <w:p w14:paraId="7E746280" w14:textId="77777777" w:rsidR="002E536E" w:rsidRPr="00FF1D21" w:rsidRDefault="002E536E" w:rsidP="002E536E">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32" w:type="pct"/>
            <w:tcBorders>
              <w:top w:val="nil"/>
              <w:left w:val="nil"/>
              <w:bottom w:val="nil"/>
              <w:right w:val="nil"/>
            </w:tcBorders>
            <w:shd w:val="clear" w:color="000000" w:fill="FFFFFF"/>
            <w:noWrap/>
            <w:vAlign w:val="center"/>
            <w:hideMark/>
          </w:tcPr>
          <w:p w14:paraId="51F3BB37" w14:textId="77777777" w:rsidR="002E536E" w:rsidRPr="00FF1D21" w:rsidRDefault="002E536E" w:rsidP="002E536E">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32" w:type="pct"/>
            <w:tcBorders>
              <w:top w:val="nil"/>
              <w:left w:val="nil"/>
              <w:bottom w:val="nil"/>
              <w:right w:val="nil"/>
            </w:tcBorders>
            <w:shd w:val="clear" w:color="000000" w:fill="FFFFFF"/>
            <w:noWrap/>
            <w:vAlign w:val="center"/>
            <w:hideMark/>
          </w:tcPr>
          <w:p w14:paraId="0E620A6B" w14:textId="77777777" w:rsidR="002E536E" w:rsidRPr="00FF1D21" w:rsidRDefault="002E536E" w:rsidP="002E536E">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97" w:type="pct"/>
            <w:tcBorders>
              <w:top w:val="nil"/>
              <w:left w:val="nil"/>
              <w:bottom w:val="nil"/>
              <w:right w:val="nil"/>
            </w:tcBorders>
            <w:shd w:val="clear" w:color="000000" w:fill="FFFFFF"/>
            <w:noWrap/>
            <w:vAlign w:val="center"/>
            <w:hideMark/>
          </w:tcPr>
          <w:p w14:paraId="623671C0" w14:textId="77777777" w:rsidR="002E536E" w:rsidRPr="00FF1D21" w:rsidRDefault="002E536E" w:rsidP="002E536E">
            <w:pPr>
              <w:spacing w:before="0" w:after="0" w:line="240" w:lineRule="auto"/>
              <w:rPr>
                <w:rFonts w:ascii="Arial" w:hAnsi="Arial" w:cs="Arial"/>
                <w:i/>
                <w:color w:val="00FFFF"/>
                <w:sz w:val="16"/>
                <w:szCs w:val="16"/>
                <w:highlight w:val="darkCyan"/>
              </w:rPr>
            </w:pPr>
            <w:r w:rsidRPr="00205DD5">
              <w:rPr>
                <w:rFonts w:ascii="Arial" w:hAnsi="Arial" w:cs="Arial"/>
                <w:i/>
                <w:sz w:val="16"/>
                <w:szCs w:val="16"/>
              </w:rPr>
              <w:t> </w:t>
            </w:r>
          </w:p>
        </w:tc>
        <w:tc>
          <w:tcPr>
            <w:tcW w:w="532" w:type="pct"/>
            <w:tcBorders>
              <w:top w:val="nil"/>
              <w:left w:val="nil"/>
              <w:bottom w:val="nil"/>
              <w:right w:val="nil"/>
            </w:tcBorders>
            <w:shd w:val="clear" w:color="000000" w:fill="FFFFFF"/>
            <w:noWrap/>
            <w:vAlign w:val="center"/>
            <w:hideMark/>
          </w:tcPr>
          <w:p w14:paraId="5DB6CC82" w14:textId="77777777" w:rsidR="002E536E" w:rsidRPr="00205DD5" w:rsidRDefault="002E536E" w:rsidP="002E536E">
            <w:pPr>
              <w:spacing w:before="0" w:after="0" w:line="240" w:lineRule="auto"/>
              <w:jc w:val="right"/>
              <w:rPr>
                <w:rFonts w:ascii="Arial" w:hAnsi="Arial" w:cs="Arial"/>
                <w:sz w:val="16"/>
                <w:szCs w:val="16"/>
              </w:rPr>
            </w:pPr>
            <w:r w:rsidRPr="00205DD5">
              <w:rPr>
                <w:rFonts w:ascii="Arial" w:hAnsi="Arial" w:cs="Arial"/>
                <w:sz w:val="16"/>
                <w:szCs w:val="16"/>
              </w:rPr>
              <w:t> </w:t>
            </w:r>
          </w:p>
        </w:tc>
      </w:tr>
      <w:tr w:rsidR="00D32148" w:rsidRPr="00FF1D21" w14:paraId="3DDDDD18" w14:textId="77777777" w:rsidTr="00D32148">
        <w:trPr>
          <w:trHeight w:hRule="exact" w:val="226"/>
        </w:trPr>
        <w:tc>
          <w:tcPr>
            <w:tcW w:w="2243" w:type="pct"/>
            <w:tcBorders>
              <w:top w:val="nil"/>
              <w:left w:val="nil"/>
              <w:bottom w:val="nil"/>
              <w:right w:val="nil"/>
            </w:tcBorders>
            <w:shd w:val="clear" w:color="000000" w:fill="FFFFFF"/>
            <w:noWrap/>
            <w:vAlign w:val="center"/>
            <w:hideMark/>
          </w:tcPr>
          <w:p w14:paraId="0082BFDC"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policy decisions(a)</w:t>
            </w:r>
          </w:p>
        </w:tc>
        <w:tc>
          <w:tcPr>
            <w:tcW w:w="532" w:type="pct"/>
            <w:tcBorders>
              <w:top w:val="nil"/>
              <w:left w:val="nil"/>
              <w:bottom w:val="nil"/>
              <w:right w:val="nil"/>
            </w:tcBorders>
            <w:shd w:val="clear" w:color="000000" w:fill="E6F2FF"/>
            <w:noWrap/>
            <w:vAlign w:val="center"/>
            <w:hideMark/>
          </w:tcPr>
          <w:p w14:paraId="330708EE"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38</w:t>
            </w:r>
          </w:p>
        </w:tc>
        <w:tc>
          <w:tcPr>
            <w:tcW w:w="532" w:type="pct"/>
            <w:tcBorders>
              <w:top w:val="nil"/>
              <w:left w:val="nil"/>
              <w:bottom w:val="nil"/>
              <w:right w:val="nil"/>
            </w:tcBorders>
            <w:shd w:val="clear" w:color="000000" w:fill="FFFFFF"/>
            <w:noWrap/>
            <w:vAlign w:val="center"/>
            <w:hideMark/>
          </w:tcPr>
          <w:p w14:paraId="2FEE5A2B"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466</w:t>
            </w:r>
          </w:p>
        </w:tc>
        <w:tc>
          <w:tcPr>
            <w:tcW w:w="532" w:type="pct"/>
            <w:tcBorders>
              <w:top w:val="nil"/>
              <w:left w:val="nil"/>
              <w:bottom w:val="nil"/>
              <w:right w:val="nil"/>
            </w:tcBorders>
            <w:shd w:val="clear" w:color="000000" w:fill="FFFFFF"/>
            <w:noWrap/>
            <w:vAlign w:val="center"/>
            <w:hideMark/>
          </w:tcPr>
          <w:p w14:paraId="66060271"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504</w:t>
            </w:r>
          </w:p>
        </w:tc>
        <w:tc>
          <w:tcPr>
            <w:tcW w:w="532" w:type="pct"/>
            <w:tcBorders>
              <w:top w:val="nil"/>
              <w:left w:val="nil"/>
              <w:bottom w:val="nil"/>
              <w:right w:val="nil"/>
            </w:tcBorders>
            <w:shd w:val="clear" w:color="000000" w:fill="FFFFFF"/>
            <w:noWrap/>
            <w:vAlign w:val="center"/>
            <w:hideMark/>
          </w:tcPr>
          <w:p w14:paraId="0F9890F1"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97</w:t>
            </w:r>
          </w:p>
        </w:tc>
        <w:tc>
          <w:tcPr>
            <w:tcW w:w="97" w:type="pct"/>
            <w:tcBorders>
              <w:top w:val="nil"/>
              <w:left w:val="nil"/>
              <w:bottom w:val="nil"/>
              <w:right w:val="nil"/>
            </w:tcBorders>
            <w:shd w:val="clear" w:color="000000" w:fill="FFFFFF"/>
            <w:noWrap/>
            <w:vAlign w:val="center"/>
            <w:hideMark/>
          </w:tcPr>
          <w:p w14:paraId="6AFD2E49"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0DE5A454" w14:textId="77777777" w:rsidR="002E536E" w:rsidRPr="00205DD5" w:rsidRDefault="002E536E" w:rsidP="002E536E">
            <w:pPr>
              <w:spacing w:before="0" w:after="0" w:line="240" w:lineRule="auto"/>
              <w:jc w:val="right"/>
              <w:rPr>
                <w:rFonts w:ascii="Arial" w:hAnsi="Arial" w:cs="Arial"/>
                <w:sz w:val="16"/>
                <w:szCs w:val="16"/>
              </w:rPr>
            </w:pPr>
            <w:r w:rsidRPr="00205DD5">
              <w:rPr>
                <w:rFonts w:ascii="Arial" w:hAnsi="Arial" w:cs="Arial"/>
                <w:sz w:val="16"/>
                <w:szCs w:val="16"/>
              </w:rPr>
              <w:t>1,105</w:t>
            </w:r>
          </w:p>
        </w:tc>
      </w:tr>
      <w:tr w:rsidR="00D32148" w:rsidRPr="00FF1D21" w14:paraId="54D4EB97" w14:textId="77777777" w:rsidTr="00D32148">
        <w:trPr>
          <w:trHeight w:hRule="exact" w:val="226"/>
        </w:trPr>
        <w:tc>
          <w:tcPr>
            <w:tcW w:w="2243" w:type="pct"/>
            <w:tcBorders>
              <w:top w:val="nil"/>
              <w:left w:val="nil"/>
              <w:bottom w:val="nil"/>
              <w:right w:val="nil"/>
            </w:tcBorders>
            <w:shd w:val="clear" w:color="000000" w:fill="FFFFFF"/>
            <w:noWrap/>
            <w:vAlign w:val="center"/>
            <w:hideMark/>
          </w:tcPr>
          <w:p w14:paraId="0377AC80"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Effect of parameter and other variations</w:t>
            </w:r>
          </w:p>
        </w:tc>
        <w:tc>
          <w:tcPr>
            <w:tcW w:w="532" w:type="pct"/>
            <w:tcBorders>
              <w:top w:val="nil"/>
              <w:left w:val="nil"/>
              <w:bottom w:val="nil"/>
              <w:right w:val="nil"/>
            </w:tcBorders>
            <w:shd w:val="clear" w:color="000000" w:fill="E6F2FF"/>
            <w:noWrap/>
            <w:vAlign w:val="center"/>
            <w:hideMark/>
          </w:tcPr>
          <w:p w14:paraId="2121689E"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-848</w:t>
            </w:r>
          </w:p>
        </w:tc>
        <w:tc>
          <w:tcPr>
            <w:tcW w:w="532" w:type="pct"/>
            <w:tcBorders>
              <w:top w:val="nil"/>
              <w:left w:val="nil"/>
              <w:bottom w:val="nil"/>
              <w:right w:val="nil"/>
            </w:tcBorders>
            <w:shd w:val="clear" w:color="000000" w:fill="FFFFFF"/>
            <w:noWrap/>
            <w:vAlign w:val="center"/>
            <w:hideMark/>
          </w:tcPr>
          <w:p w14:paraId="19B73F21"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-232</w:t>
            </w:r>
          </w:p>
        </w:tc>
        <w:tc>
          <w:tcPr>
            <w:tcW w:w="532" w:type="pct"/>
            <w:tcBorders>
              <w:top w:val="nil"/>
              <w:left w:val="nil"/>
              <w:bottom w:val="nil"/>
              <w:right w:val="nil"/>
            </w:tcBorders>
            <w:shd w:val="clear" w:color="000000" w:fill="FFFFFF"/>
            <w:noWrap/>
            <w:vAlign w:val="center"/>
            <w:hideMark/>
          </w:tcPr>
          <w:p w14:paraId="25FDA4A4"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-1,095</w:t>
            </w:r>
          </w:p>
        </w:tc>
        <w:tc>
          <w:tcPr>
            <w:tcW w:w="532" w:type="pct"/>
            <w:tcBorders>
              <w:top w:val="nil"/>
              <w:left w:val="nil"/>
              <w:bottom w:val="nil"/>
              <w:right w:val="nil"/>
            </w:tcBorders>
            <w:shd w:val="clear" w:color="000000" w:fill="FFFFFF"/>
            <w:noWrap/>
            <w:vAlign w:val="center"/>
            <w:hideMark/>
          </w:tcPr>
          <w:p w14:paraId="0EA1DE47"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-756</w:t>
            </w:r>
          </w:p>
        </w:tc>
        <w:tc>
          <w:tcPr>
            <w:tcW w:w="97" w:type="pct"/>
            <w:tcBorders>
              <w:top w:val="nil"/>
              <w:left w:val="nil"/>
              <w:bottom w:val="nil"/>
              <w:right w:val="nil"/>
            </w:tcBorders>
            <w:shd w:val="clear" w:color="000000" w:fill="FFFFFF"/>
            <w:noWrap/>
            <w:vAlign w:val="center"/>
            <w:hideMark/>
          </w:tcPr>
          <w:p w14:paraId="72D91432" w14:textId="77777777" w:rsidR="002E536E" w:rsidRPr="00FF1D21" w:rsidRDefault="002E536E" w:rsidP="002E536E">
            <w:pPr>
              <w:spacing w:before="0" w:after="0" w:line="240" w:lineRule="auto"/>
              <w:jc w:val="right"/>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0CE8AA2B" w14:textId="77777777" w:rsidR="002E536E" w:rsidRPr="00205DD5" w:rsidRDefault="002E536E" w:rsidP="002E536E">
            <w:pPr>
              <w:spacing w:before="0" w:after="0" w:line="240" w:lineRule="auto"/>
              <w:jc w:val="right"/>
              <w:rPr>
                <w:rFonts w:ascii="Arial" w:hAnsi="Arial" w:cs="Arial"/>
                <w:sz w:val="16"/>
                <w:szCs w:val="16"/>
              </w:rPr>
            </w:pPr>
            <w:r w:rsidRPr="00205DD5">
              <w:rPr>
                <w:rFonts w:ascii="Arial" w:hAnsi="Arial" w:cs="Arial"/>
                <w:sz w:val="16"/>
                <w:szCs w:val="16"/>
              </w:rPr>
              <w:t>-2,932</w:t>
            </w:r>
          </w:p>
        </w:tc>
      </w:tr>
      <w:tr w:rsidR="00D32148" w:rsidRPr="00FF1D21" w14:paraId="7F640F03" w14:textId="77777777" w:rsidTr="00D32148">
        <w:trPr>
          <w:trHeight w:hRule="exact" w:val="226"/>
        </w:trPr>
        <w:tc>
          <w:tcPr>
            <w:tcW w:w="2243" w:type="pct"/>
            <w:tcBorders>
              <w:top w:val="nil"/>
              <w:left w:val="nil"/>
              <w:bottom w:val="nil"/>
              <w:right w:val="nil"/>
            </w:tcBorders>
            <w:shd w:val="clear" w:color="000000" w:fill="FFFFFF"/>
            <w:noWrap/>
            <w:vAlign w:val="center"/>
            <w:hideMark/>
          </w:tcPr>
          <w:p w14:paraId="075EF400"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Total variations</w:t>
            </w:r>
          </w:p>
        </w:tc>
        <w:tc>
          <w:tcPr>
            <w:tcW w:w="532" w:type="pct"/>
            <w:tcBorders>
              <w:top w:val="single" w:sz="4" w:space="0" w:color="293F5B"/>
              <w:left w:val="nil"/>
              <w:bottom w:val="single" w:sz="4" w:space="0" w:color="293F5B"/>
              <w:right w:val="nil"/>
            </w:tcBorders>
            <w:shd w:val="clear" w:color="000000" w:fill="E6F2FF"/>
            <w:noWrap/>
            <w:vAlign w:val="center"/>
            <w:hideMark/>
          </w:tcPr>
          <w:p w14:paraId="60C345F1"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-810</w:t>
            </w:r>
          </w:p>
        </w:tc>
        <w:tc>
          <w:tcPr>
            <w:tcW w:w="532" w:type="pct"/>
            <w:tcBorders>
              <w:top w:val="single" w:sz="4" w:space="0" w:color="293F5B"/>
              <w:left w:val="nil"/>
              <w:bottom w:val="single" w:sz="4" w:space="0" w:color="293F5B"/>
              <w:right w:val="nil"/>
            </w:tcBorders>
            <w:shd w:val="clear" w:color="000000" w:fill="FFFFFF"/>
            <w:noWrap/>
            <w:vAlign w:val="center"/>
            <w:hideMark/>
          </w:tcPr>
          <w:p w14:paraId="3E5F1341"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234</w:t>
            </w:r>
          </w:p>
        </w:tc>
        <w:tc>
          <w:tcPr>
            <w:tcW w:w="532" w:type="pct"/>
            <w:tcBorders>
              <w:top w:val="single" w:sz="4" w:space="0" w:color="293F5B"/>
              <w:left w:val="nil"/>
              <w:bottom w:val="single" w:sz="4" w:space="0" w:color="293F5B"/>
              <w:right w:val="nil"/>
            </w:tcBorders>
            <w:shd w:val="clear" w:color="000000" w:fill="FFFFFF"/>
            <w:noWrap/>
            <w:vAlign w:val="center"/>
            <w:hideMark/>
          </w:tcPr>
          <w:p w14:paraId="6072833F"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-591</w:t>
            </w:r>
          </w:p>
        </w:tc>
        <w:tc>
          <w:tcPr>
            <w:tcW w:w="532" w:type="pct"/>
            <w:tcBorders>
              <w:top w:val="single" w:sz="4" w:space="0" w:color="293F5B"/>
              <w:left w:val="nil"/>
              <w:bottom w:val="single" w:sz="4" w:space="0" w:color="293F5B"/>
              <w:right w:val="nil"/>
            </w:tcBorders>
            <w:shd w:val="clear" w:color="000000" w:fill="FFFFFF"/>
            <w:noWrap/>
            <w:vAlign w:val="center"/>
            <w:hideMark/>
          </w:tcPr>
          <w:p w14:paraId="2421F18A"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-659</w:t>
            </w:r>
          </w:p>
        </w:tc>
        <w:tc>
          <w:tcPr>
            <w:tcW w:w="97" w:type="pct"/>
            <w:tcBorders>
              <w:top w:val="nil"/>
              <w:left w:val="nil"/>
              <w:bottom w:val="nil"/>
              <w:right w:val="nil"/>
            </w:tcBorders>
            <w:shd w:val="clear" w:color="000000" w:fill="FFFFFF"/>
            <w:noWrap/>
            <w:vAlign w:val="center"/>
            <w:hideMark/>
          </w:tcPr>
          <w:p w14:paraId="453BF2F4"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single" w:sz="4" w:space="0" w:color="293F5B"/>
              <w:left w:val="nil"/>
              <w:bottom w:val="single" w:sz="4" w:space="0" w:color="293F5B"/>
              <w:right w:val="nil"/>
            </w:tcBorders>
            <w:shd w:val="clear" w:color="000000" w:fill="FFFFFF"/>
            <w:noWrap/>
            <w:vAlign w:val="center"/>
            <w:hideMark/>
          </w:tcPr>
          <w:p w14:paraId="27E460D8" w14:textId="77777777" w:rsidR="002E536E" w:rsidRPr="00205DD5" w:rsidRDefault="002E536E" w:rsidP="002E536E">
            <w:pPr>
              <w:spacing w:before="0" w:after="0" w:line="240" w:lineRule="auto"/>
              <w:jc w:val="right"/>
              <w:rPr>
                <w:rFonts w:ascii="Arial" w:hAnsi="Arial" w:cs="Arial"/>
                <w:b/>
                <w:sz w:val="16"/>
                <w:szCs w:val="16"/>
              </w:rPr>
            </w:pPr>
            <w:r w:rsidRPr="00205DD5">
              <w:rPr>
                <w:rFonts w:ascii="Arial" w:hAnsi="Arial" w:cs="Arial"/>
                <w:b/>
                <w:sz w:val="16"/>
                <w:szCs w:val="16"/>
              </w:rPr>
              <w:t>-1,827</w:t>
            </w:r>
          </w:p>
        </w:tc>
      </w:tr>
      <w:tr w:rsidR="00D32148" w:rsidRPr="00FF1D21" w14:paraId="2E21E7A3" w14:textId="77777777" w:rsidTr="00D32148">
        <w:trPr>
          <w:trHeight w:hRule="exact" w:val="60"/>
        </w:trPr>
        <w:tc>
          <w:tcPr>
            <w:tcW w:w="2243" w:type="pct"/>
            <w:tcBorders>
              <w:top w:val="nil"/>
              <w:left w:val="nil"/>
              <w:bottom w:val="nil"/>
              <w:right w:val="nil"/>
            </w:tcBorders>
            <w:shd w:val="clear" w:color="000000" w:fill="FFFFFF"/>
            <w:noWrap/>
            <w:vAlign w:val="center"/>
            <w:hideMark/>
          </w:tcPr>
          <w:p w14:paraId="3CA0F068"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nil"/>
              <w:right w:val="nil"/>
            </w:tcBorders>
            <w:shd w:val="clear" w:color="000000" w:fill="E6F2FF"/>
            <w:noWrap/>
            <w:vAlign w:val="center"/>
            <w:hideMark/>
          </w:tcPr>
          <w:p w14:paraId="0533AB9D"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2A4B53BE"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26D87239"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58A2B226"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97" w:type="pct"/>
            <w:tcBorders>
              <w:top w:val="nil"/>
              <w:left w:val="nil"/>
              <w:bottom w:val="nil"/>
              <w:right w:val="nil"/>
            </w:tcBorders>
            <w:shd w:val="clear" w:color="000000" w:fill="FFFFFF"/>
            <w:noWrap/>
            <w:vAlign w:val="center"/>
            <w:hideMark/>
          </w:tcPr>
          <w:p w14:paraId="7499338B" w14:textId="77777777" w:rsidR="002E536E" w:rsidRPr="00FF1D21" w:rsidRDefault="002E536E" w:rsidP="002E536E">
            <w:pPr>
              <w:spacing w:before="0" w:after="0" w:line="240" w:lineRule="auto"/>
              <w:rPr>
                <w:rFonts w:ascii="Arial" w:hAnsi="Arial" w:cs="Arial"/>
                <w:color w:val="00FFFF"/>
                <w:sz w:val="16"/>
                <w:szCs w:val="16"/>
                <w:highlight w:val="darkCyan"/>
              </w:rPr>
            </w:pPr>
            <w:r w:rsidRPr="00205DD5">
              <w:rPr>
                <w:rFonts w:ascii="Arial" w:hAnsi="Arial" w:cs="Arial"/>
                <w:sz w:val="16"/>
                <w:szCs w:val="16"/>
              </w:rPr>
              <w:t> </w:t>
            </w:r>
          </w:p>
        </w:tc>
        <w:tc>
          <w:tcPr>
            <w:tcW w:w="532" w:type="pct"/>
            <w:tcBorders>
              <w:top w:val="nil"/>
              <w:left w:val="nil"/>
              <w:bottom w:val="nil"/>
              <w:right w:val="nil"/>
            </w:tcBorders>
            <w:shd w:val="clear" w:color="000000" w:fill="FFFFFF"/>
            <w:noWrap/>
            <w:vAlign w:val="center"/>
            <w:hideMark/>
          </w:tcPr>
          <w:p w14:paraId="345B503C" w14:textId="77777777" w:rsidR="002E536E" w:rsidRPr="00205DD5" w:rsidRDefault="002E536E" w:rsidP="002E536E">
            <w:pPr>
              <w:spacing w:before="0" w:after="0" w:line="240" w:lineRule="auto"/>
              <w:jc w:val="right"/>
              <w:rPr>
                <w:rFonts w:ascii="Arial" w:hAnsi="Arial" w:cs="Arial"/>
                <w:sz w:val="16"/>
                <w:szCs w:val="16"/>
              </w:rPr>
            </w:pPr>
            <w:r w:rsidRPr="00205DD5">
              <w:rPr>
                <w:rFonts w:ascii="Arial" w:hAnsi="Arial" w:cs="Arial"/>
                <w:sz w:val="16"/>
                <w:szCs w:val="16"/>
              </w:rPr>
              <w:t> </w:t>
            </w:r>
          </w:p>
        </w:tc>
      </w:tr>
      <w:tr w:rsidR="00D32148" w:rsidRPr="00FF1D21" w14:paraId="2E06CDDE" w14:textId="77777777" w:rsidTr="00D32148">
        <w:trPr>
          <w:trHeight w:hRule="exact" w:val="226"/>
        </w:trPr>
        <w:tc>
          <w:tcPr>
            <w:tcW w:w="2243" w:type="pct"/>
            <w:tcBorders>
              <w:top w:val="nil"/>
              <w:left w:val="nil"/>
              <w:bottom w:val="single" w:sz="4" w:space="0" w:color="293F5B"/>
              <w:right w:val="nil"/>
            </w:tcBorders>
            <w:shd w:val="clear" w:color="000000" w:fill="FFFFFF"/>
            <w:noWrap/>
            <w:vAlign w:val="center"/>
            <w:hideMark/>
          </w:tcPr>
          <w:p w14:paraId="65C029E2"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2024–25 MYEFO net capital investment</w:t>
            </w:r>
          </w:p>
        </w:tc>
        <w:tc>
          <w:tcPr>
            <w:tcW w:w="532" w:type="pct"/>
            <w:tcBorders>
              <w:top w:val="nil"/>
              <w:left w:val="nil"/>
              <w:bottom w:val="single" w:sz="4" w:space="0" w:color="293F5B"/>
              <w:right w:val="nil"/>
            </w:tcBorders>
            <w:shd w:val="clear" w:color="000000" w:fill="E6F2FF"/>
            <w:noWrap/>
            <w:vAlign w:val="center"/>
            <w:hideMark/>
          </w:tcPr>
          <w:p w14:paraId="1813C2DB"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5,493</w:t>
            </w:r>
          </w:p>
        </w:tc>
        <w:tc>
          <w:tcPr>
            <w:tcW w:w="532" w:type="pct"/>
            <w:tcBorders>
              <w:top w:val="nil"/>
              <w:left w:val="nil"/>
              <w:bottom w:val="single" w:sz="4" w:space="0" w:color="293F5B"/>
              <w:right w:val="nil"/>
            </w:tcBorders>
            <w:shd w:val="clear" w:color="000000" w:fill="FFFFFF"/>
            <w:noWrap/>
            <w:vAlign w:val="center"/>
            <w:hideMark/>
          </w:tcPr>
          <w:p w14:paraId="492719C9"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8,288</w:t>
            </w:r>
          </w:p>
        </w:tc>
        <w:tc>
          <w:tcPr>
            <w:tcW w:w="532" w:type="pct"/>
            <w:tcBorders>
              <w:top w:val="nil"/>
              <w:left w:val="nil"/>
              <w:bottom w:val="single" w:sz="4" w:space="0" w:color="293F5B"/>
              <w:right w:val="nil"/>
            </w:tcBorders>
            <w:shd w:val="clear" w:color="000000" w:fill="FFFFFF"/>
            <w:noWrap/>
            <w:vAlign w:val="center"/>
            <w:hideMark/>
          </w:tcPr>
          <w:p w14:paraId="7C14FFC5"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8,396</w:t>
            </w:r>
          </w:p>
        </w:tc>
        <w:tc>
          <w:tcPr>
            <w:tcW w:w="532" w:type="pct"/>
            <w:tcBorders>
              <w:top w:val="nil"/>
              <w:left w:val="nil"/>
              <w:bottom w:val="single" w:sz="4" w:space="0" w:color="293F5B"/>
              <w:right w:val="nil"/>
            </w:tcBorders>
            <w:shd w:val="clear" w:color="000000" w:fill="FFFFFF"/>
            <w:noWrap/>
            <w:vAlign w:val="center"/>
            <w:hideMark/>
          </w:tcPr>
          <w:p w14:paraId="4CA51AE8" w14:textId="77777777" w:rsidR="002E536E" w:rsidRPr="00FF1D21" w:rsidRDefault="002E536E" w:rsidP="002E536E">
            <w:pPr>
              <w:spacing w:before="0" w:after="0" w:line="240" w:lineRule="auto"/>
              <w:jc w:val="right"/>
              <w:rPr>
                <w:rFonts w:ascii="Arial" w:hAnsi="Arial" w:cs="Arial"/>
                <w:b/>
                <w:color w:val="00FFFF"/>
                <w:sz w:val="16"/>
                <w:szCs w:val="16"/>
                <w:highlight w:val="darkCyan"/>
              </w:rPr>
            </w:pPr>
            <w:r w:rsidRPr="00205DD5">
              <w:rPr>
                <w:rFonts w:ascii="Arial" w:hAnsi="Arial" w:cs="Arial"/>
                <w:b/>
                <w:sz w:val="16"/>
                <w:szCs w:val="16"/>
              </w:rPr>
              <w:t>11,240</w:t>
            </w:r>
          </w:p>
        </w:tc>
        <w:tc>
          <w:tcPr>
            <w:tcW w:w="97" w:type="pct"/>
            <w:tcBorders>
              <w:top w:val="nil"/>
              <w:left w:val="nil"/>
              <w:bottom w:val="single" w:sz="4" w:space="0" w:color="293F5B"/>
              <w:right w:val="nil"/>
            </w:tcBorders>
            <w:shd w:val="clear" w:color="000000" w:fill="FFFFFF"/>
            <w:noWrap/>
            <w:vAlign w:val="center"/>
            <w:hideMark/>
          </w:tcPr>
          <w:p w14:paraId="7506174F" w14:textId="77777777" w:rsidR="002E536E" w:rsidRPr="00FF1D21" w:rsidRDefault="002E536E" w:rsidP="002E536E">
            <w:pPr>
              <w:spacing w:before="0" w:after="0" w:line="240" w:lineRule="auto"/>
              <w:rPr>
                <w:rFonts w:ascii="Arial" w:hAnsi="Arial" w:cs="Arial"/>
                <w:b/>
                <w:color w:val="00FFFF"/>
                <w:sz w:val="16"/>
                <w:szCs w:val="16"/>
                <w:highlight w:val="darkCyan"/>
              </w:rPr>
            </w:pPr>
            <w:r w:rsidRPr="00205DD5">
              <w:rPr>
                <w:rFonts w:ascii="Arial" w:hAnsi="Arial" w:cs="Arial"/>
                <w:b/>
                <w:sz w:val="16"/>
                <w:szCs w:val="16"/>
              </w:rPr>
              <w:t> </w:t>
            </w:r>
          </w:p>
        </w:tc>
        <w:tc>
          <w:tcPr>
            <w:tcW w:w="532" w:type="pct"/>
            <w:tcBorders>
              <w:top w:val="nil"/>
              <w:left w:val="nil"/>
              <w:bottom w:val="single" w:sz="4" w:space="0" w:color="293F5B"/>
              <w:right w:val="nil"/>
            </w:tcBorders>
            <w:shd w:val="clear" w:color="000000" w:fill="FFFFFF"/>
            <w:noWrap/>
            <w:vAlign w:val="center"/>
            <w:hideMark/>
          </w:tcPr>
          <w:p w14:paraId="05B93A86" w14:textId="77777777" w:rsidR="002E536E" w:rsidRPr="00205DD5" w:rsidRDefault="002E536E" w:rsidP="002E536E">
            <w:pPr>
              <w:spacing w:before="0" w:after="0" w:line="240" w:lineRule="auto"/>
              <w:jc w:val="right"/>
              <w:rPr>
                <w:rFonts w:ascii="Arial" w:hAnsi="Arial" w:cs="Arial"/>
                <w:b/>
                <w:sz w:val="16"/>
                <w:szCs w:val="16"/>
              </w:rPr>
            </w:pPr>
            <w:r w:rsidRPr="00205DD5">
              <w:rPr>
                <w:rFonts w:ascii="Arial" w:hAnsi="Arial" w:cs="Arial"/>
                <w:b/>
                <w:sz w:val="16"/>
                <w:szCs w:val="16"/>
              </w:rPr>
              <w:t>33,417</w:t>
            </w:r>
          </w:p>
        </w:tc>
      </w:tr>
    </w:tbl>
    <w:p w14:paraId="1A8E22A3" w14:textId="4162F48D" w:rsidR="00D63C70" w:rsidRPr="00C36DC2" w:rsidRDefault="0034279E" w:rsidP="00B862B7">
      <w:pPr>
        <w:pStyle w:val="ChartandTableFootnoteAlpha"/>
        <w:numPr>
          <w:ilvl w:val="0"/>
          <w:numId w:val="16"/>
        </w:numPr>
        <w:rPr>
          <w:rFonts w:eastAsiaTheme="minorHAnsi"/>
        </w:rPr>
      </w:pPr>
      <w:r w:rsidRPr="00205DD5">
        <w:rPr>
          <w:rFonts w:eastAsiaTheme="minorHAnsi"/>
          <w:color w:val="auto"/>
        </w:rPr>
        <w:t>Excludes secondary impacts on public debt interest of policy decisions and offsets from the Contingency Reserve for decisions taken.</w:t>
      </w:r>
    </w:p>
    <w:p w14:paraId="5F08F464" w14:textId="67DBBAE7" w:rsidR="00D63C70" w:rsidRPr="00DF3DF1" w:rsidRDefault="00D63C70" w:rsidP="00D53C86">
      <w:pPr>
        <w:pStyle w:val="TableLine"/>
      </w:pPr>
    </w:p>
    <w:p w14:paraId="75949810" w14:textId="564ED0C9" w:rsidR="00D63C70" w:rsidRPr="00205DD5" w:rsidRDefault="00D63C70" w:rsidP="00D63C70">
      <w:pPr>
        <w:pStyle w:val="Heading2"/>
      </w:pPr>
      <w:bookmarkStart w:id="69" w:name="_Toc117356574"/>
      <w:bookmarkStart w:id="70" w:name="_Toc134093776"/>
      <w:bookmarkStart w:id="71" w:name="_Toc148428085"/>
      <w:bookmarkStart w:id="72" w:name="OLE_LINK1"/>
      <w:r w:rsidRPr="00205DD5">
        <w:t>Structural budget balance estimates</w:t>
      </w:r>
      <w:bookmarkEnd w:id="69"/>
      <w:bookmarkEnd w:id="70"/>
      <w:bookmarkEnd w:id="71"/>
    </w:p>
    <w:p w14:paraId="609A81B1" w14:textId="3B04E648" w:rsidR="00D63C70" w:rsidRPr="00205DD5" w:rsidRDefault="00D63C70" w:rsidP="00D63C70">
      <w:r w:rsidRPr="00205DD5">
        <w:t>The structural budget balance estimate adjusts the underlying cash balance to remove the estimated effects of temporary factors. Temporary factors include deviations in commodity prices and economic activity from their long</w:t>
      </w:r>
      <w:r w:rsidRPr="00205DD5">
        <w:noBreakHyphen/>
        <w:t>run levels. The structural budget balance can provide insight into the sustainability of fiscal settings.</w:t>
      </w:r>
    </w:p>
    <w:p w14:paraId="1F387855" w14:textId="77777777" w:rsidR="00D63C70" w:rsidRPr="00205DD5" w:rsidRDefault="00D63C70" w:rsidP="00D63C70">
      <w:r w:rsidRPr="00205DD5">
        <w:t xml:space="preserve">The structural balance is estimated rather than observed, so it is sensitive to the assumptions and parameters that underpin it. Commodity price volatility has increased the uncertainty around the estimate. </w:t>
      </w:r>
    </w:p>
    <w:p w14:paraId="6A9E4E9A" w14:textId="3D387D99" w:rsidR="00172E87" w:rsidRPr="00205DD5" w:rsidRDefault="00523BE9" w:rsidP="00D63C70">
      <w:r w:rsidRPr="00205DD5">
        <w:t>The estimate of the structural budget balance for 2023</w:t>
      </w:r>
      <w:r w:rsidR="00FF0C1A" w:rsidRPr="00205DD5">
        <w:t>–</w:t>
      </w:r>
      <w:r w:rsidRPr="00205DD5">
        <w:t xml:space="preserve">24 has been revised up, consistent with the better-than-expected </w:t>
      </w:r>
      <w:r w:rsidR="0028415C" w:rsidRPr="00205DD5">
        <w:t>underlying cash balance</w:t>
      </w:r>
      <w:r w:rsidRPr="00205DD5">
        <w:t xml:space="preserve"> outcome for that year. </w:t>
      </w:r>
      <w:r w:rsidR="00172E87" w:rsidRPr="00205DD5">
        <w:t>Beyond that</w:t>
      </w:r>
      <w:r w:rsidR="005544BC" w:rsidRPr="00205DD5">
        <w:t>,</w:t>
      </w:r>
      <w:r w:rsidR="0086612B" w:rsidRPr="00205DD5">
        <w:t> </w:t>
      </w:r>
      <w:r w:rsidR="005544BC" w:rsidRPr="00205DD5">
        <w:t>structural budget balance estimates are</w:t>
      </w:r>
      <w:r w:rsidR="00172E87" w:rsidRPr="00205DD5">
        <w:t xml:space="preserve"> broadly in line with estimates in the 2024</w:t>
      </w:r>
      <w:r w:rsidR="0086612B" w:rsidRPr="00205DD5">
        <w:rPr>
          <w:rFonts w:ascii="Times New Roman" w:hAnsi="Times New Roman"/>
        </w:rPr>
        <w:t>‍</w:t>
      </w:r>
      <w:r w:rsidR="00FF0C1A" w:rsidRPr="00205DD5">
        <w:t>–</w:t>
      </w:r>
      <w:r w:rsidR="0086612B" w:rsidRPr="00205DD5">
        <w:rPr>
          <w:rFonts w:ascii="Times New Roman" w:hAnsi="Times New Roman"/>
        </w:rPr>
        <w:t>‍</w:t>
      </w:r>
      <w:r w:rsidR="00172E87" w:rsidRPr="00205DD5">
        <w:t>25</w:t>
      </w:r>
      <w:r w:rsidR="0086612B" w:rsidRPr="00205DD5">
        <w:t> </w:t>
      </w:r>
      <w:r w:rsidR="00172E87" w:rsidRPr="00205DD5">
        <w:t>Budget</w:t>
      </w:r>
      <w:r w:rsidR="005544BC" w:rsidRPr="00205DD5">
        <w:t>.</w:t>
      </w:r>
    </w:p>
    <w:p w14:paraId="4FE7AF3A" w14:textId="0F6CA6FC" w:rsidR="00D914DC" w:rsidRPr="005B39EE" w:rsidRDefault="00523BE9" w:rsidP="00D63C70">
      <w:r w:rsidRPr="00205DD5">
        <w:t>The structural budget position is forecast to return to deficit over the forward estimates, peaking at 1.2 per cent of GDP in 2025</w:t>
      </w:r>
      <w:r w:rsidR="00FF0C1A" w:rsidRPr="00205DD5">
        <w:t>–</w:t>
      </w:r>
      <w:r w:rsidRPr="00205DD5">
        <w:t>26 and then narrowing</w:t>
      </w:r>
      <w:r w:rsidR="001B30A1" w:rsidRPr="00205DD5">
        <w:t xml:space="preserve"> (Chart 3.9)</w:t>
      </w:r>
      <w:r w:rsidRPr="00205DD5">
        <w:t>. Over the medium term, the structural budget balance is projected to improve gradually towards balance.</w:t>
      </w:r>
    </w:p>
    <w:bookmarkEnd w:id="72"/>
    <w:p w14:paraId="62E81B50" w14:textId="15FFBFC5" w:rsidR="00D63C70" w:rsidRPr="001D7A0A" w:rsidRDefault="00D63C70" w:rsidP="00D63C70">
      <w:pPr>
        <w:pStyle w:val="ChartMainHeading"/>
      </w:pPr>
      <w:r w:rsidRPr="00205DD5">
        <w:lastRenderedPageBreak/>
        <w:t>Chart 3.</w:t>
      </w:r>
      <w:r w:rsidR="00C72F65" w:rsidRPr="00205DD5">
        <w:t>9</w:t>
      </w:r>
      <w:r w:rsidRPr="00205DD5">
        <w:t>: Structural budget balance</w:t>
      </w:r>
    </w:p>
    <w:p w14:paraId="7D6CB48C" w14:textId="40151D37" w:rsidR="00D63C70" w:rsidRPr="001D7A0A" w:rsidRDefault="00172E87" w:rsidP="00D63C70">
      <w:pPr>
        <w:pStyle w:val="ChartGraphic"/>
        <w:rPr>
          <w:rFonts w:eastAsia="Calibri"/>
        </w:rPr>
      </w:pPr>
      <w:r w:rsidRPr="00172E87">
        <w:rPr>
          <w:rFonts w:eastAsia="Calibri"/>
        </w:rPr>
        <w:t xml:space="preserve"> </w:t>
      </w:r>
      <w:bookmarkStart w:id="73" w:name="_1795520812"/>
      <w:bookmarkStart w:id="74" w:name="_1795591694"/>
      <w:bookmarkEnd w:id="73"/>
      <w:bookmarkEnd w:id="74"/>
      <w:r w:rsidR="00297A33">
        <w:rPr>
          <w:rFonts w:eastAsia="Calibri"/>
        </w:rPr>
        <w:pict w14:anchorId="7E272DCD">
          <v:shape id="_x0000_i1031" type="#_x0000_t75" alt="This chart shows the structural budget balance, cyclical factors, and temporary fiscal measures. Together, these sum up to the underlying cash balance. The structural and cyclical balances are forecast to deteriorate in the near term. The structural budget deficit is greatest at 1.2 per cent of GDP in 2025-26 and then gradually improves towards balance over the medium term. At 2034-35, the structural budget is around balance at 0.0 per cent of GDP." style="width:368.65pt;height:228.75pt">
            <v:imagedata r:id="rId15" o:title=""/>
          </v:shape>
        </w:pict>
      </w:r>
    </w:p>
    <w:p w14:paraId="4E575758" w14:textId="3B8A91C9" w:rsidR="00D63C70" w:rsidRPr="00205DD5" w:rsidRDefault="00D63C70" w:rsidP="00D63C70">
      <w:pPr>
        <w:pStyle w:val="ChartandTableFootnote"/>
        <w:rPr>
          <w:color w:val="auto"/>
        </w:rPr>
      </w:pPr>
      <w:r w:rsidRPr="00205DD5">
        <w:rPr>
          <w:color w:val="auto"/>
        </w:rPr>
        <w:t>Note:</w:t>
      </w:r>
      <w:r w:rsidRPr="00205DD5">
        <w:rPr>
          <w:color w:val="auto"/>
        </w:rPr>
        <w:tab/>
        <w:t>The approach separating the budgetary impact of temporary measures from structural measures follows the methodology detailed in Treasury Working Paper 2013</w:t>
      </w:r>
      <w:r w:rsidR="000E0AF8" w:rsidRPr="00205DD5">
        <w:rPr>
          <w:color w:val="auto"/>
        </w:rPr>
        <w:t>–</w:t>
      </w:r>
      <w:r w:rsidRPr="00205DD5">
        <w:rPr>
          <w:color w:val="auto"/>
        </w:rPr>
        <w:t>01. Cyclical factors measure the estimated impact on the underlying cash balance from automatic stabilisers and cyclical movements in asset and commodity prices. Temporary fiscal measures comprise direct economic and health support measures initiated between the onset of the COVID</w:t>
      </w:r>
      <w:r w:rsidRPr="00205DD5">
        <w:rPr>
          <w:color w:val="auto"/>
        </w:rPr>
        <w:noBreakHyphen/>
        <w:t>19 pandemic and the 2022–23 October Budget. Underspends in these direct economic and health support measures</w:t>
      </w:r>
      <w:r w:rsidRPr="00205DD5" w:rsidDel="00331465">
        <w:rPr>
          <w:color w:val="auto"/>
        </w:rPr>
        <w:t xml:space="preserve"> </w:t>
      </w:r>
      <w:r w:rsidRPr="00205DD5">
        <w:rPr>
          <w:color w:val="auto"/>
        </w:rPr>
        <w:t>are not captured in the derivation of the structural budget balance, which may result in an improved structural budget balance estimate.</w:t>
      </w:r>
    </w:p>
    <w:p w14:paraId="07BEA7CF" w14:textId="75C90325" w:rsidR="00D63C70" w:rsidRPr="005320E1" w:rsidRDefault="00D63C70" w:rsidP="00D63C70">
      <w:pPr>
        <w:pStyle w:val="ChartandTableFootnote"/>
      </w:pPr>
      <w:r w:rsidRPr="00205DD5">
        <w:rPr>
          <w:color w:val="auto"/>
        </w:rPr>
        <w:t>Source:</w:t>
      </w:r>
      <w:r w:rsidRPr="00205DD5">
        <w:rPr>
          <w:color w:val="auto"/>
        </w:rPr>
        <w:tab/>
        <w:t>Treasury.</w:t>
      </w:r>
    </w:p>
    <w:p w14:paraId="383865B3" w14:textId="77777777" w:rsidR="00D63C70" w:rsidRPr="00DF3DF1" w:rsidRDefault="00D63C70" w:rsidP="00D63C70">
      <w:pPr>
        <w:pStyle w:val="ChartLine"/>
      </w:pPr>
    </w:p>
    <w:p w14:paraId="3D950444" w14:textId="7344CC61" w:rsidR="00D63C70" w:rsidRPr="00D63C70" w:rsidRDefault="00D63C70" w:rsidP="00F74CD5">
      <w:pPr>
        <w:pStyle w:val="SingleParagraph"/>
      </w:pPr>
    </w:p>
    <w:sectPr w:rsidR="00D63C70" w:rsidRPr="00D63C70" w:rsidSect="005A6E11">
      <w:headerReference w:type="even" r:id="rId16"/>
      <w:headerReference w:type="default" r:id="rId17"/>
      <w:footerReference w:type="even" r:id="rId18"/>
      <w:footerReference w:type="default" r:id="rId19"/>
      <w:headerReference w:type="first" r:id="rId20"/>
      <w:footerReference w:type="first" r:id="rId21"/>
      <w:pgSz w:w="11906" w:h="16838" w:code="9"/>
      <w:pgMar w:top="2835" w:right="2098" w:bottom="2466" w:left="2098" w:header="1814" w:footer="1814"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36BC" w14:textId="77777777" w:rsidR="00AE5B52" w:rsidRDefault="00AE5B52" w:rsidP="00E40261">
      <w:pPr>
        <w:spacing w:after="0" w:line="240" w:lineRule="auto"/>
      </w:pPr>
      <w:r>
        <w:separator/>
      </w:r>
    </w:p>
  </w:endnote>
  <w:endnote w:type="continuationSeparator" w:id="0">
    <w:p w14:paraId="1BBA3BB9" w14:textId="77777777" w:rsidR="00AE5B52" w:rsidRDefault="00AE5B52" w:rsidP="00E40261">
      <w:pPr>
        <w:spacing w:after="0" w:line="240" w:lineRule="auto"/>
      </w:pPr>
      <w:r>
        <w:continuationSeparator/>
      </w:r>
    </w:p>
  </w:endnote>
  <w:endnote w:type="continuationNotice" w:id="1">
    <w:p w14:paraId="4531C5DE" w14:textId="77777777" w:rsidR="00AE5B52" w:rsidRDefault="00AE5B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C76" w14:textId="37AB4B16"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2B5B77">
        <w:t>Part 3: Fiscal Strategy and Outlook</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8BB" w14:textId="7293BD05" w:rsidR="00FB5DDD" w:rsidRDefault="00576EF9" w:rsidP="002A6A16">
    <w:pPr>
      <w:pStyle w:val="FooterOdd"/>
    </w:pPr>
    <w:fldSimple w:instr="SUBJECT   \* MERGEFORMAT">
      <w:r w:rsidR="002B5B77">
        <w:t>Part 3: Fiscal Strategy and Outlook</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B44" w14:textId="024616E6" w:rsidR="00FB5DDD" w:rsidRDefault="00576EF9" w:rsidP="00360947">
    <w:pPr>
      <w:pStyle w:val="FooterOdd"/>
    </w:pPr>
    <w:fldSimple w:instr="SUBJECT   \* MERGEFORMAT">
      <w:r w:rsidR="002B5B77">
        <w:t>Part 3: Fiscal Strategy and Outlook</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5107" w14:textId="77777777" w:rsidR="00AE5B52" w:rsidRPr="003C1CA4" w:rsidRDefault="00AE5B52"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5F0C10B" w14:textId="77777777" w:rsidR="00AE5B52" w:rsidRDefault="00AE5B52" w:rsidP="00E40261">
      <w:pPr>
        <w:spacing w:after="0" w:line="240" w:lineRule="auto"/>
      </w:pPr>
      <w:r>
        <w:continuationSeparator/>
      </w:r>
    </w:p>
  </w:footnote>
  <w:footnote w:type="continuationNotice" w:id="1">
    <w:p w14:paraId="7466E3A6" w14:textId="77777777" w:rsidR="00AE5B52" w:rsidRDefault="00AE5B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F47" w14:textId="52F1B7F9"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16F59DA" w14:textId="77777777" w:rsidTr="009019DE">
      <w:trPr>
        <w:trHeight w:hRule="exact" w:val="340"/>
      </w:trPr>
      <w:tc>
        <w:tcPr>
          <w:tcW w:w="7797" w:type="dxa"/>
        </w:tcPr>
        <w:p w14:paraId="25622698" w14:textId="23DC20DF" w:rsidR="00FB5DDD" w:rsidRPr="008C56E1" w:rsidRDefault="00FB5DDD" w:rsidP="00F60EA1">
          <w:pPr>
            <w:pStyle w:val="HeaderEven"/>
          </w:pPr>
          <w:r w:rsidRPr="008C56E1">
            <w:rPr>
              <w:noProof/>
              <w:position w:val="-8"/>
            </w:rPr>
            <w:drawing>
              <wp:inline distT="0" distB="0" distL="0" distR="0" wp14:anchorId="786950E1" wp14:editId="3AA142B8">
                <wp:extent cx="874979" cy="198000"/>
                <wp:effectExtent l="0" t="0" r="1905" b="0"/>
                <wp:docPr id="638698572" name="Picture 638698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98572" name="Picture 6386985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TITLE   \* MERGEFORMAT">
            <w:r w:rsidR="002B5B77">
              <w:t>Mid-Year Economic and Fiscal Outlook 2024–25</w:t>
            </w:r>
          </w:fldSimple>
        </w:p>
      </w:tc>
    </w:tr>
  </w:tbl>
  <w:p w14:paraId="67D6E8B8" w14:textId="77777777" w:rsidR="00FB5DDD" w:rsidRPr="00AA5439" w:rsidRDefault="00FB5DDD" w:rsidP="00AA5439">
    <w:pPr>
      <w:pStyle w:val="HeaderEven"/>
      <w:rPr>
        <w:sz w:val="2"/>
        <w:szCs w:val="4"/>
      </w:rPr>
    </w:pPr>
  </w:p>
  <w:p w14:paraId="3AAAC398"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D84" w14:textId="6E4CFD9C"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FB5DDD" w14:paraId="30CBA500" w14:textId="77777777" w:rsidTr="005A77A9">
      <w:trPr>
        <w:trHeight w:hRule="exact" w:val="340"/>
      </w:trPr>
      <w:tc>
        <w:tcPr>
          <w:tcW w:w="7797" w:type="dxa"/>
        </w:tcPr>
        <w:p w14:paraId="093AD35F" w14:textId="61647514" w:rsidR="00FB5DDD" w:rsidRPr="00D13BF9" w:rsidRDefault="00576EF9" w:rsidP="00D13BF9">
          <w:pPr>
            <w:pStyle w:val="HeaderOdd"/>
          </w:pPr>
          <w:fldSimple w:instr="TITLE   \* MERGEFORMAT">
            <w:r w:rsidR="002B5B77">
              <w:t>Mid-Year Economic and Fiscal Outlook 2024–25</w:t>
            </w:r>
          </w:fldSimple>
          <w:r w:rsidR="00FB5DDD" w:rsidRPr="00D13BF9">
            <w:t xml:space="preserve">  |  </w:t>
          </w:r>
          <w:r w:rsidR="00FB5DDD" w:rsidRPr="00C9389A">
            <w:rPr>
              <w:noProof/>
              <w:position w:val="-8"/>
            </w:rPr>
            <w:drawing>
              <wp:inline distT="0" distB="0" distL="0" distR="0" wp14:anchorId="5A744D53" wp14:editId="5789554C">
                <wp:extent cx="878400" cy="198000"/>
                <wp:effectExtent l="0" t="0" r="0" b="0"/>
                <wp:docPr id="1260324065" name="Picture 12603240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24065" name="Picture 12603240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F85C167"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C9" w14:textId="48788A68" w:rsidR="00FB5DDD" w:rsidRDefault="00FB5DDD">
    <w:pPr>
      <w:pStyle w:val="Header"/>
      <w:rPr>
        <w:sz w:val="2"/>
        <w:szCs w:val="2"/>
      </w:rPr>
    </w:pPr>
  </w:p>
  <w:p w14:paraId="524B0DBB" w14:textId="77777777" w:rsidR="00FB5DDD" w:rsidRDefault="00FB5DDD">
    <w:pPr>
      <w:pStyle w:val="Header"/>
      <w:rPr>
        <w:sz w:val="2"/>
        <w:szCs w:val="2"/>
      </w:rPr>
    </w:pPr>
  </w:p>
  <w:p w14:paraId="0F6FC340"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EB2ECF4" wp14:editId="51391A57">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8CE7" w14:textId="6CFD47E6" w:rsidR="00FB5DDD" w:rsidRPr="00137C7E" w:rsidRDefault="00576EF9" w:rsidP="001D33D6">
                          <w:pPr>
                            <w:pStyle w:val="HeaderOdd"/>
                          </w:pPr>
                          <w:fldSimple w:instr="TITLE   \* MERGEFORMAT">
                            <w:r w:rsidR="002B5B77">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4A9A3740">
                                <wp:extent cx="1000760" cy="228609"/>
                                <wp:effectExtent l="5080" t="0" r="0" b="0"/>
                                <wp:docPr id="2130159446" name="Picture 2130159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9446" name="Picture 213015944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ECF4"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2C448CE7" w14:textId="6CFD47E6" w:rsidR="00FB5DDD" w:rsidRPr="00137C7E" w:rsidRDefault="00576EF9" w:rsidP="001D33D6">
                    <w:pPr>
                      <w:pStyle w:val="HeaderOdd"/>
                    </w:pPr>
                    <w:fldSimple w:instr="TITLE   \* MERGEFORMAT">
                      <w:r w:rsidR="002B5B77">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4A9A3740">
                          <wp:extent cx="1000760" cy="228609"/>
                          <wp:effectExtent l="5080" t="0" r="0" b="0"/>
                          <wp:docPr id="2130159446" name="Picture 2130159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9446" name="Picture 213015944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339370D"/>
    <w:multiLevelType w:val="multilevel"/>
    <w:tmpl w:val="48B6F31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5" w15:restartNumberingAfterBreak="0">
    <w:nsid w:val="244237C5"/>
    <w:multiLevelType w:val="multilevel"/>
    <w:tmpl w:val="F0BE3518"/>
    <w:lvl w:ilvl="0">
      <w:start w:val="1"/>
      <w:numFmt w:val="decimal"/>
      <w:lvlRestart w:val="0"/>
      <w:pStyle w:val="OutlineNumbered1"/>
      <w:lvlText w:val="%1."/>
      <w:lvlJc w:val="left"/>
      <w:pPr>
        <w:tabs>
          <w:tab w:val="num" w:pos="567"/>
        </w:tabs>
        <w:ind w:left="567" w:hanging="567"/>
      </w:pPr>
      <w:rPr>
        <w:b w:val="0"/>
        <w:i w:val="0"/>
      </w:rPr>
    </w:lvl>
    <w:lvl w:ilvl="1">
      <w:start w:val="1"/>
      <w:numFmt w:val="decimal"/>
      <w:pStyle w:val="OutlineNumbered2"/>
      <w:lvlText w:val="%1.%2."/>
      <w:lvlJc w:val="left"/>
      <w:pPr>
        <w:tabs>
          <w:tab w:val="num" w:pos="1134"/>
        </w:tabs>
        <w:ind w:left="1134" w:hanging="567"/>
      </w:pPr>
      <w:rPr>
        <w:b w:val="0"/>
        <w:i w:val="0"/>
      </w:rPr>
    </w:lvl>
    <w:lvl w:ilvl="2">
      <w:start w:val="1"/>
      <w:numFmt w:val="decimal"/>
      <w:pStyle w:val="OutlineNumbered3"/>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7" w15:restartNumberingAfterBreak="0">
    <w:nsid w:val="50F91B41"/>
    <w:multiLevelType w:val="multilevel"/>
    <w:tmpl w:val="67C20C1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6FD20A93"/>
    <w:multiLevelType w:val="singleLevel"/>
    <w:tmpl w:val="3B6E6640"/>
    <w:name w:val="AlphaChartTableFootnoteSmallList"/>
    <w:lvl w:ilvl="0">
      <w:start w:val="1"/>
      <w:numFmt w:val="lowerLetter"/>
      <w:lvlRestart w:val="0"/>
      <w:pStyle w:val="ChartandTableFootnoteAlphaSmall"/>
      <w:lvlText w:val="(%1)"/>
      <w:lvlJc w:val="left"/>
      <w:pPr>
        <w:tabs>
          <w:tab w:val="num" w:pos="283"/>
        </w:tabs>
        <w:ind w:left="283" w:hanging="283"/>
      </w:pPr>
      <w:rPr>
        <w:rFonts w:ascii="Arial" w:hAnsi="Arial" w:cs="Arial"/>
        <w:b w:val="0"/>
        <w:i w:val="0"/>
        <w:sz w:val="15"/>
      </w:rPr>
    </w:lvl>
  </w:abstractNum>
  <w:num w:numId="1" w16cid:durableId="1403410866">
    <w:abstractNumId w:val="16"/>
  </w:num>
  <w:num w:numId="2" w16cid:durableId="70975900">
    <w:abstractNumId w:val="11"/>
  </w:num>
  <w:num w:numId="3" w16cid:durableId="1903564601">
    <w:abstractNumId w:val="10"/>
  </w:num>
  <w:num w:numId="4" w16cid:durableId="541596858">
    <w:abstractNumId w:val="10"/>
  </w:num>
  <w:num w:numId="5" w16cid:durableId="1584413565">
    <w:abstractNumId w:val="13"/>
  </w:num>
  <w:num w:numId="6" w16cid:durableId="1160733018">
    <w:abstractNumId w:val="19"/>
  </w:num>
  <w:num w:numId="7" w16cid:durableId="24987747">
    <w:abstractNumId w:val="14"/>
  </w:num>
  <w:num w:numId="8" w16cid:durableId="1663047554">
    <w:abstractNumId w:val="15"/>
  </w:num>
  <w:num w:numId="9" w16cid:durableId="1745368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3931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3176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59186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351630">
    <w:abstractNumId w:val="12"/>
  </w:num>
  <w:num w:numId="14" w16cid:durableId="582642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175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718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6641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8737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1332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190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8522229">
    <w:abstractNumId w:val="13"/>
  </w:num>
  <w:num w:numId="22" w16cid:durableId="308556280">
    <w:abstractNumId w:val="18"/>
  </w:num>
  <w:num w:numId="23" w16cid:durableId="322590933">
    <w:abstractNumId w:val="9"/>
  </w:num>
  <w:num w:numId="24" w16cid:durableId="1723669811">
    <w:abstractNumId w:val="7"/>
  </w:num>
  <w:num w:numId="25" w16cid:durableId="235865475">
    <w:abstractNumId w:val="6"/>
  </w:num>
  <w:num w:numId="26" w16cid:durableId="1066297075">
    <w:abstractNumId w:val="5"/>
  </w:num>
  <w:num w:numId="27" w16cid:durableId="10422456">
    <w:abstractNumId w:val="4"/>
  </w:num>
  <w:num w:numId="28" w16cid:durableId="4594083">
    <w:abstractNumId w:val="8"/>
  </w:num>
  <w:num w:numId="29" w16cid:durableId="961616114">
    <w:abstractNumId w:val="3"/>
  </w:num>
  <w:num w:numId="30" w16cid:durableId="760225057">
    <w:abstractNumId w:val="2"/>
  </w:num>
  <w:num w:numId="31" w16cid:durableId="1531915683">
    <w:abstractNumId w:val="1"/>
  </w:num>
  <w:num w:numId="32" w16cid:durableId="288900107">
    <w:abstractNumId w:val="0"/>
  </w:num>
  <w:num w:numId="33" w16cid:durableId="175341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782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07F"/>
    <w:rsid w:val="0000013B"/>
    <w:rsid w:val="0000019A"/>
    <w:rsid w:val="000002BE"/>
    <w:rsid w:val="000002D9"/>
    <w:rsid w:val="00000311"/>
    <w:rsid w:val="00000404"/>
    <w:rsid w:val="000004EA"/>
    <w:rsid w:val="000006C9"/>
    <w:rsid w:val="00000875"/>
    <w:rsid w:val="000008E5"/>
    <w:rsid w:val="00000CAE"/>
    <w:rsid w:val="00000F4C"/>
    <w:rsid w:val="00000F8A"/>
    <w:rsid w:val="00001256"/>
    <w:rsid w:val="000012C3"/>
    <w:rsid w:val="00001355"/>
    <w:rsid w:val="000013B3"/>
    <w:rsid w:val="0000156A"/>
    <w:rsid w:val="000016D1"/>
    <w:rsid w:val="000017E5"/>
    <w:rsid w:val="000018FB"/>
    <w:rsid w:val="00001929"/>
    <w:rsid w:val="00001939"/>
    <w:rsid w:val="00001A69"/>
    <w:rsid w:val="00001A74"/>
    <w:rsid w:val="00001A75"/>
    <w:rsid w:val="00001E2D"/>
    <w:rsid w:val="00001EBC"/>
    <w:rsid w:val="00001F62"/>
    <w:rsid w:val="00001F71"/>
    <w:rsid w:val="00001F96"/>
    <w:rsid w:val="000020FE"/>
    <w:rsid w:val="00002146"/>
    <w:rsid w:val="000023CD"/>
    <w:rsid w:val="0000256E"/>
    <w:rsid w:val="00002843"/>
    <w:rsid w:val="00002971"/>
    <w:rsid w:val="000029F5"/>
    <w:rsid w:val="00002A21"/>
    <w:rsid w:val="00002AE2"/>
    <w:rsid w:val="00002E83"/>
    <w:rsid w:val="00002FFF"/>
    <w:rsid w:val="00003005"/>
    <w:rsid w:val="00003155"/>
    <w:rsid w:val="000033ED"/>
    <w:rsid w:val="00003405"/>
    <w:rsid w:val="000034C9"/>
    <w:rsid w:val="00003A16"/>
    <w:rsid w:val="00004225"/>
    <w:rsid w:val="000042D3"/>
    <w:rsid w:val="00004303"/>
    <w:rsid w:val="0000437D"/>
    <w:rsid w:val="000045B6"/>
    <w:rsid w:val="000045DE"/>
    <w:rsid w:val="0000467E"/>
    <w:rsid w:val="00004715"/>
    <w:rsid w:val="000047C9"/>
    <w:rsid w:val="00004991"/>
    <w:rsid w:val="00004A0A"/>
    <w:rsid w:val="00004BC7"/>
    <w:rsid w:val="00004CC6"/>
    <w:rsid w:val="00004FD8"/>
    <w:rsid w:val="0000513F"/>
    <w:rsid w:val="00005171"/>
    <w:rsid w:val="00005180"/>
    <w:rsid w:val="000054B4"/>
    <w:rsid w:val="000056E1"/>
    <w:rsid w:val="0000582B"/>
    <w:rsid w:val="00005A60"/>
    <w:rsid w:val="00005CCE"/>
    <w:rsid w:val="00005F33"/>
    <w:rsid w:val="00006029"/>
    <w:rsid w:val="000060DD"/>
    <w:rsid w:val="000061D7"/>
    <w:rsid w:val="00006351"/>
    <w:rsid w:val="000064DB"/>
    <w:rsid w:val="00006685"/>
    <w:rsid w:val="00006727"/>
    <w:rsid w:val="00006821"/>
    <w:rsid w:val="00006A1D"/>
    <w:rsid w:val="00006D3B"/>
    <w:rsid w:val="00006D8F"/>
    <w:rsid w:val="00006E86"/>
    <w:rsid w:val="00006E90"/>
    <w:rsid w:val="00006F9E"/>
    <w:rsid w:val="00006FC8"/>
    <w:rsid w:val="00007391"/>
    <w:rsid w:val="000074EF"/>
    <w:rsid w:val="00007573"/>
    <w:rsid w:val="000076C6"/>
    <w:rsid w:val="000077DA"/>
    <w:rsid w:val="00007A06"/>
    <w:rsid w:val="00007A24"/>
    <w:rsid w:val="00007A6D"/>
    <w:rsid w:val="00007A80"/>
    <w:rsid w:val="00007C6F"/>
    <w:rsid w:val="00007C7A"/>
    <w:rsid w:val="00007CEB"/>
    <w:rsid w:val="00007CF8"/>
    <w:rsid w:val="00007D50"/>
    <w:rsid w:val="00007EFB"/>
    <w:rsid w:val="00007F68"/>
    <w:rsid w:val="0001040A"/>
    <w:rsid w:val="000104CF"/>
    <w:rsid w:val="000106D2"/>
    <w:rsid w:val="00010743"/>
    <w:rsid w:val="00010884"/>
    <w:rsid w:val="000109ED"/>
    <w:rsid w:val="00010D8B"/>
    <w:rsid w:val="00010ECC"/>
    <w:rsid w:val="00010F8C"/>
    <w:rsid w:val="00010FEA"/>
    <w:rsid w:val="000110F5"/>
    <w:rsid w:val="000111AB"/>
    <w:rsid w:val="00011267"/>
    <w:rsid w:val="000112DF"/>
    <w:rsid w:val="000114CF"/>
    <w:rsid w:val="0001176F"/>
    <w:rsid w:val="00011783"/>
    <w:rsid w:val="00011792"/>
    <w:rsid w:val="0001193F"/>
    <w:rsid w:val="00011A09"/>
    <w:rsid w:val="00011A52"/>
    <w:rsid w:val="00011DBB"/>
    <w:rsid w:val="00011EE9"/>
    <w:rsid w:val="00011F61"/>
    <w:rsid w:val="00012053"/>
    <w:rsid w:val="00012150"/>
    <w:rsid w:val="000121D6"/>
    <w:rsid w:val="000122E0"/>
    <w:rsid w:val="0001230A"/>
    <w:rsid w:val="0001254D"/>
    <w:rsid w:val="000129EA"/>
    <w:rsid w:val="00012A55"/>
    <w:rsid w:val="00012ADB"/>
    <w:rsid w:val="00012C7D"/>
    <w:rsid w:val="00012DF5"/>
    <w:rsid w:val="00012EA6"/>
    <w:rsid w:val="00013315"/>
    <w:rsid w:val="0001362D"/>
    <w:rsid w:val="0001368B"/>
    <w:rsid w:val="0001375B"/>
    <w:rsid w:val="000137FD"/>
    <w:rsid w:val="00013911"/>
    <w:rsid w:val="00013C52"/>
    <w:rsid w:val="00013EA8"/>
    <w:rsid w:val="0001415C"/>
    <w:rsid w:val="000141C7"/>
    <w:rsid w:val="000142B4"/>
    <w:rsid w:val="000143A5"/>
    <w:rsid w:val="000143B0"/>
    <w:rsid w:val="00014473"/>
    <w:rsid w:val="000144D0"/>
    <w:rsid w:val="000146CD"/>
    <w:rsid w:val="00014998"/>
    <w:rsid w:val="00014A46"/>
    <w:rsid w:val="00014B61"/>
    <w:rsid w:val="00014BD7"/>
    <w:rsid w:val="00014D54"/>
    <w:rsid w:val="00014E4B"/>
    <w:rsid w:val="00014ED2"/>
    <w:rsid w:val="00015050"/>
    <w:rsid w:val="00015090"/>
    <w:rsid w:val="0001536D"/>
    <w:rsid w:val="000153FA"/>
    <w:rsid w:val="0001549E"/>
    <w:rsid w:val="000155C2"/>
    <w:rsid w:val="00015671"/>
    <w:rsid w:val="00015957"/>
    <w:rsid w:val="00015A27"/>
    <w:rsid w:val="00015DCF"/>
    <w:rsid w:val="00015FD8"/>
    <w:rsid w:val="000160C6"/>
    <w:rsid w:val="00016175"/>
    <w:rsid w:val="00016212"/>
    <w:rsid w:val="00016822"/>
    <w:rsid w:val="00016AEE"/>
    <w:rsid w:val="00016BE9"/>
    <w:rsid w:val="00016C0F"/>
    <w:rsid w:val="00016C74"/>
    <w:rsid w:val="00016D21"/>
    <w:rsid w:val="00016F1F"/>
    <w:rsid w:val="00017012"/>
    <w:rsid w:val="0001704B"/>
    <w:rsid w:val="00017306"/>
    <w:rsid w:val="000173CB"/>
    <w:rsid w:val="0001783F"/>
    <w:rsid w:val="00017C55"/>
    <w:rsid w:val="00017F09"/>
    <w:rsid w:val="00017F6E"/>
    <w:rsid w:val="00017FB1"/>
    <w:rsid w:val="00020631"/>
    <w:rsid w:val="000206E3"/>
    <w:rsid w:val="000208A9"/>
    <w:rsid w:val="00020CAD"/>
    <w:rsid w:val="00021013"/>
    <w:rsid w:val="000212E1"/>
    <w:rsid w:val="000212EA"/>
    <w:rsid w:val="0002149F"/>
    <w:rsid w:val="00021615"/>
    <w:rsid w:val="00021655"/>
    <w:rsid w:val="00021908"/>
    <w:rsid w:val="00021A4C"/>
    <w:rsid w:val="00021BB5"/>
    <w:rsid w:val="00021C0E"/>
    <w:rsid w:val="00021C74"/>
    <w:rsid w:val="00021D7D"/>
    <w:rsid w:val="00021D8D"/>
    <w:rsid w:val="00021E91"/>
    <w:rsid w:val="000220D8"/>
    <w:rsid w:val="000223A2"/>
    <w:rsid w:val="000224EA"/>
    <w:rsid w:val="00022A3E"/>
    <w:rsid w:val="00022A3F"/>
    <w:rsid w:val="00022A9F"/>
    <w:rsid w:val="00022B17"/>
    <w:rsid w:val="00022C7E"/>
    <w:rsid w:val="00022E50"/>
    <w:rsid w:val="00023130"/>
    <w:rsid w:val="00023132"/>
    <w:rsid w:val="000231BB"/>
    <w:rsid w:val="0002322A"/>
    <w:rsid w:val="00023295"/>
    <w:rsid w:val="0002342E"/>
    <w:rsid w:val="000234E7"/>
    <w:rsid w:val="000234F3"/>
    <w:rsid w:val="0002362B"/>
    <w:rsid w:val="0002366D"/>
    <w:rsid w:val="00023E6B"/>
    <w:rsid w:val="00023EBD"/>
    <w:rsid w:val="00023ED7"/>
    <w:rsid w:val="00023F92"/>
    <w:rsid w:val="00023FE7"/>
    <w:rsid w:val="0002412E"/>
    <w:rsid w:val="00024347"/>
    <w:rsid w:val="000243FF"/>
    <w:rsid w:val="000245B6"/>
    <w:rsid w:val="000245CE"/>
    <w:rsid w:val="00024818"/>
    <w:rsid w:val="000249EF"/>
    <w:rsid w:val="00024BA4"/>
    <w:rsid w:val="00024C9C"/>
    <w:rsid w:val="00024E73"/>
    <w:rsid w:val="00024EEB"/>
    <w:rsid w:val="00024EF6"/>
    <w:rsid w:val="00024F23"/>
    <w:rsid w:val="00024F4B"/>
    <w:rsid w:val="00024FA1"/>
    <w:rsid w:val="00024FFE"/>
    <w:rsid w:val="000252C3"/>
    <w:rsid w:val="00025518"/>
    <w:rsid w:val="00025549"/>
    <w:rsid w:val="00025579"/>
    <w:rsid w:val="0002558B"/>
    <w:rsid w:val="00025651"/>
    <w:rsid w:val="000258F6"/>
    <w:rsid w:val="00025A72"/>
    <w:rsid w:val="00025BAD"/>
    <w:rsid w:val="00025BBC"/>
    <w:rsid w:val="00025E98"/>
    <w:rsid w:val="00026232"/>
    <w:rsid w:val="00026390"/>
    <w:rsid w:val="0002639F"/>
    <w:rsid w:val="000263A3"/>
    <w:rsid w:val="00026449"/>
    <w:rsid w:val="00026610"/>
    <w:rsid w:val="000267D3"/>
    <w:rsid w:val="000268D7"/>
    <w:rsid w:val="00026DA6"/>
    <w:rsid w:val="00026DB7"/>
    <w:rsid w:val="00026E7A"/>
    <w:rsid w:val="00026F3F"/>
    <w:rsid w:val="000272D5"/>
    <w:rsid w:val="000273AC"/>
    <w:rsid w:val="000273B0"/>
    <w:rsid w:val="00027564"/>
    <w:rsid w:val="0002772D"/>
    <w:rsid w:val="000277BA"/>
    <w:rsid w:val="000278A4"/>
    <w:rsid w:val="000279F5"/>
    <w:rsid w:val="00027BA3"/>
    <w:rsid w:val="00027D1E"/>
    <w:rsid w:val="00027DF8"/>
    <w:rsid w:val="00027E2F"/>
    <w:rsid w:val="00030077"/>
    <w:rsid w:val="0003011D"/>
    <w:rsid w:val="0003016E"/>
    <w:rsid w:val="000302A3"/>
    <w:rsid w:val="00030699"/>
    <w:rsid w:val="00030704"/>
    <w:rsid w:val="0003080F"/>
    <w:rsid w:val="00030B48"/>
    <w:rsid w:val="00030BCC"/>
    <w:rsid w:val="00030C03"/>
    <w:rsid w:val="00030CBE"/>
    <w:rsid w:val="00030E65"/>
    <w:rsid w:val="00030FAF"/>
    <w:rsid w:val="00031033"/>
    <w:rsid w:val="00031166"/>
    <w:rsid w:val="00031670"/>
    <w:rsid w:val="00031671"/>
    <w:rsid w:val="00031751"/>
    <w:rsid w:val="000317B2"/>
    <w:rsid w:val="0003188D"/>
    <w:rsid w:val="00031B6F"/>
    <w:rsid w:val="00031D5D"/>
    <w:rsid w:val="00031FD2"/>
    <w:rsid w:val="00032037"/>
    <w:rsid w:val="000321E4"/>
    <w:rsid w:val="0003229D"/>
    <w:rsid w:val="00032374"/>
    <w:rsid w:val="0003238A"/>
    <w:rsid w:val="0003269C"/>
    <w:rsid w:val="000326A0"/>
    <w:rsid w:val="00032991"/>
    <w:rsid w:val="000329BF"/>
    <w:rsid w:val="00032B7F"/>
    <w:rsid w:val="00032D22"/>
    <w:rsid w:val="00032F25"/>
    <w:rsid w:val="00032F5C"/>
    <w:rsid w:val="0003358C"/>
    <w:rsid w:val="000335B4"/>
    <w:rsid w:val="00033628"/>
    <w:rsid w:val="00033632"/>
    <w:rsid w:val="000336E9"/>
    <w:rsid w:val="000336EB"/>
    <w:rsid w:val="000338EE"/>
    <w:rsid w:val="000339E8"/>
    <w:rsid w:val="00033BA3"/>
    <w:rsid w:val="00033BFE"/>
    <w:rsid w:val="00033C0B"/>
    <w:rsid w:val="00033C83"/>
    <w:rsid w:val="00033D89"/>
    <w:rsid w:val="00033DBB"/>
    <w:rsid w:val="00033F4B"/>
    <w:rsid w:val="0003400C"/>
    <w:rsid w:val="00034312"/>
    <w:rsid w:val="00034422"/>
    <w:rsid w:val="00034435"/>
    <w:rsid w:val="00034587"/>
    <w:rsid w:val="0003482B"/>
    <w:rsid w:val="000348F0"/>
    <w:rsid w:val="00034BBC"/>
    <w:rsid w:val="00034C53"/>
    <w:rsid w:val="00034E2B"/>
    <w:rsid w:val="00034FC3"/>
    <w:rsid w:val="00035182"/>
    <w:rsid w:val="000353C9"/>
    <w:rsid w:val="000354B5"/>
    <w:rsid w:val="0003558A"/>
    <w:rsid w:val="00035661"/>
    <w:rsid w:val="000356FB"/>
    <w:rsid w:val="00035B7B"/>
    <w:rsid w:val="00035C90"/>
    <w:rsid w:val="00035D8D"/>
    <w:rsid w:val="00035F3B"/>
    <w:rsid w:val="00035F8F"/>
    <w:rsid w:val="00036172"/>
    <w:rsid w:val="000362EA"/>
    <w:rsid w:val="0003645D"/>
    <w:rsid w:val="0003664B"/>
    <w:rsid w:val="00036676"/>
    <w:rsid w:val="00036836"/>
    <w:rsid w:val="000369CF"/>
    <w:rsid w:val="00036A3B"/>
    <w:rsid w:val="00036AA2"/>
    <w:rsid w:val="00036BDC"/>
    <w:rsid w:val="00036D7C"/>
    <w:rsid w:val="00036D83"/>
    <w:rsid w:val="00037141"/>
    <w:rsid w:val="0003739A"/>
    <w:rsid w:val="000377D1"/>
    <w:rsid w:val="00037D2F"/>
    <w:rsid w:val="00037F0C"/>
    <w:rsid w:val="00037F69"/>
    <w:rsid w:val="0004005F"/>
    <w:rsid w:val="000402AC"/>
    <w:rsid w:val="00040331"/>
    <w:rsid w:val="000406D1"/>
    <w:rsid w:val="00040849"/>
    <w:rsid w:val="00040880"/>
    <w:rsid w:val="000408E2"/>
    <w:rsid w:val="0004095C"/>
    <w:rsid w:val="00040978"/>
    <w:rsid w:val="000409E5"/>
    <w:rsid w:val="000409E9"/>
    <w:rsid w:val="00040AD9"/>
    <w:rsid w:val="00040B42"/>
    <w:rsid w:val="00040DF6"/>
    <w:rsid w:val="000410AC"/>
    <w:rsid w:val="000410C2"/>
    <w:rsid w:val="000410DB"/>
    <w:rsid w:val="000411F0"/>
    <w:rsid w:val="00041309"/>
    <w:rsid w:val="0004139E"/>
    <w:rsid w:val="0004141C"/>
    <w:rsid w:val="00041468"/>
    <w:rsid w:val="000414C6"/>
    <w:rsid w:val="00041500"/>
    <w:rsid w:val="00041570"/>
    <w:rsid w:val="00041619"/>
    <w:rsid w:val="00041679"/>
    <w:rsid w:val="0004168C"/>
    <w:rsid w:val="000416E2"/>
    <w:rsid w:val="00041B45"/>
    <w:rsid w:val="00041CD7"/>
    <w:rsid w:val="00041CF5"/>
    <w:rsid w:val="00041F8A"/>
    <w:rsid w:val="00042151"/>
    <w:rsid w:val="00042300"/>
    <w:rsid w:val="0004241B"/>
    <w:rsid w:val="00042487"/>
    <w:rsid w:val="0004270A"/>
    <w:rsid w:val="000427C4"/>
    <w:rsid w:val="0004281D"/>
    <w:rsid w:val="00042861"/>
    <w:rsid w:val="00042BC3"/>
    <w:rsid w:val="00042CD5"/>
    <w:rsid w:val="00042CF7"/>
    <w:rsid w:val="00042D62"/>
    <w:rsid w:val="00042EC4"/>
    <w:rsid w:val="000430CE"/>
    <w:rsid w:val="00043136"/>
    <w:rsid w:val="00043148"/>
    <w:rsid w:val="00043193"/>
    <w:rsid w:val="00043301"/>
    <w:rsid w:val="000433AC"/>
    <w:rsid w:val="00043616"/>
    <w:rsid w:val="00043966"/>
    <w:rsid w:val="00043AE9"/>
    <w:rsid w:val="00043BAE"/>
    <w:rsid w:val="00043C1B"/>
    <w:rsid w:val="00043D65"/>
    <w:rsid w:val="00044075"/>
    <w:rsid w:val="000441C6"/>
    <w:rsid w:val="0004425D"/>
    <w:rsid w:val="000443C9"/>
    <w:rsid w:val="00044505"/>
    <w:rsid w:val="00044722"/>
    <w:rsid w:val="00044814"/>
    <w:rsid w:val="00044964"/>
    <w:rsid w:val="00044A7D"/>
    <w:rsid w:val="00044AE0"/>
    <w:rsid w:val="00044B1A"/>
    <w:rsid w:val="00044B29"/>
    <w:rsid w:val="00044BB8"/>
    <w:rsid w:val="00044BD8"/>
    <w:rsid w:val="00044C75"/>
    <w:rsid w:val="00044D6A"/>
    <w:rsid w:val="00044D94"/>
    <w:rsid w:val="00044DED"/>
    <w:rsid w:val="00044EFE"/>
    <w:rsid w:val="00044FFF"/>
    <w:rsid w:val="000450B4"/>
    <w:rsid w:val="000450DA"/>
    <w:rsid w:val="00045180"/>
    <w:rsid w:val="0004520C"/>
    <w:rsid w:val="000452CD"/>
    <w:rsid w:val="00045676"/>
    <w:rsid w:val="0004574B"/>
    <w:rsid w:val="00045757"/>
    <w:rsid w:val="0004577C"/>
    <w:rsid w:val="000458D3"/>
    <w:rsid w:val="00045A17"/>
    <w:rsid w:val="00045C67"/>
    <w:rsid w:val="00045DD8"/>
    <w:rsid w:val="00046341"/>
    <w:rsid w:val="000465CE"/>
    <w:rsid w:val="000465F8"/>
    <w:rsid w:val="00046A13"/>
    <w:rsid w:val="00046C1B"/>
    <w:rsid w:val="00046C92"/>
    <w:rsid w:val="00046CA5"/>
    <w:rsid w:val="00046E06"/>
    <w:rsid w:val="00046F50"/>
    <w:rsid w:val="000470D4"/>
    <w:rsid w:val="000470F0"/>
    <w:rsid w:val="00047146"/>
    <w:rsid w:val="0004717E"/>
    <w:rsid w:val="000471AF"/>
    <w:rsid w:val="0004732E"/>
    <w:rsid w:val="0004746A"/>
    <w:rsid w:val="0004769D"/>
    <w:rsid w:val="0004784B"/>
    <w:rsid w:val="000478E7"/>
    <w:rsid w:val="00047B26"/>
    <w:rsid w:val="00047BFA"/>
    <w:rsid w:val="00047DE0"/>
    <w:rsid w:val="00047FA3"/>
    <w:rsid w:val="00050142"/>
    <w:rsid w:val="000502B5"/>
    <w:rsid w:val="00050429"/>
    <w:rsid w:val="0005079A"/>
    <w:rsid w:val="000507C4"/>
    <w:rsid w:val="00050841"/>
    <w:rsid w:val="00050983"/>
    <w:rsid w:val="0005098D"/>
    <w:rsid w:val="000509F9"/>
    <w:rsid w:val="00050B35"/>
    <w:rsid w:val="00050B62"/>
    <w:rsid w:val="00050D5F"/>
    <w:rsid w:val="00050EF4"/>
    <w:rsid w:val="00050F4B"/>
    <w:rsid w:val="00050F65"/>
    <w:rsid w:val="000510BB"/>
    <w:rsid w:val="00051128"/>
    <w:rsid w:val="000517CF"/>
    <w:rsid w:val="00051BAF"/>
    <w:rsid w:val="00051CDF"/>
    <w:rsid w:val="00051CF4"/>
    <w:rsid w:val="00051D3A"/>
    <w:rsid w:val="00051DC8"/>
    <w:rsid w:val="000521B2"/>
    <w:rsid w:val="0005247F"/>
    <w:rsid w:val="00052629"/>
    <w:rsid w:val="00052737"/>
    <w:rsid w:val="000527E9"/>
    <w:rsid w:val="00052801"/>
    <w:rsid w:val="0005285C"/>
    <w:rsid w:val="00052906"/>
    <w:rsid w:val="00052A7B"/>
    <w:rsid w:val="00052E01"/>
    <w:rsid w:val="00052F36"/>
    <w:rsid w:val="00052FA0"/>
    <w:rsid w:val="00053400"/>
    <w:rsid w:val="00053916"/>
    <w:rsid w:val="00053C62"/>
    <w:rsid w:val="00053CF7"/>
    <w:rsid w:val="00053DF6"/>
    <w:rsid w:val="00053E4C"/>
    <w:rsid w:val="00053EAA"/>
    <w:rsid w:val="00053EAB"/>
    <w:rsid w:val="00053FBE"/>
    <w:rsid w:val="00054248"/>
    <w:rsid w:val="0005437F"/>
    <w:rsid w:val="0005438B"/>
    <w:rsid w:val="0005455B"/>
    <w:rsid w:val="000546EB"/>
    <w:rsid w:val="0005471A"/>
    <w:rsid w:val="000547CA"/>
    <w:rsid w:val="000547E9"/>
    <w:rsid w:val="00054869"/>
    <w:rsid w:val="0005498E"/>
    <w:rsid w:val="00054B01"/>
    <w:rsid w:val="00054BDB"/>
    <w:rsid w:val="00054BDD"/>
    <w:rsid w:val="00054C73"/>
    <w:rsid w:val="00054D28"/>
    <w:rsid w:val="00054F44"/>
    <w:rsid w:val="00054FF8"/>
    <w:rsid w:val="00055130"/>
    <w:rsid w:val="00055134"/>
    <w:rsid w:val="000551BA"/>
    <w:rsid w:val="000552D8"/>
    <w:rsid w:val="0005544C"/>
    <w:rsid w:val="0005545A"/>
    <w:rsid w:val="000558B3"/>
    <w:rsid w:val="00055937"/>
    <w:rsid w:val="00055B51"/>
    <w:rsid w:val="00055CDC"/>
    <w:rsid w:val="00055FF1"/>
    <w:rsid w:val="000560BA"/>
    <w:rsid w:val="000563F9"/>
    <w:rsid w:val="000564C2"/>
    <w:rsid w:val="00056771"/>
    <w:rsid w:val="000567B2"/>
    <w:rsid w:val="00056AD2"/>
    <w:rsid w:val="00056B4E"/>
    <w:rsid w:val="00056BE6"/>
    <w:rsid w:val="00056C7B"/>
    <w:rsid w:val="00056CD9"/>
    <w:rsid w:val="00056CE4"/>
    <w:rsid w:val="00056E56"/>
    <w:rsid w:val="00057049"/>
    <w:rsid w:val="000570AC"/>
    <w:rsid w:val="0005723A"/>
    <w:rsid w:val="000572BB"/>
    <w:rsid w:val="00057321"/>
    <w:rsid w:val="0005732C"/>
    <w:rsid w:val="00057794"/>
    <w:rsid w:val="000577AB"/>
    <w:rsid w:val="000579D5"/>
    <w:rsid w:val="00057A2D"/>
    <w:rsid w:val="00057B42"/>
    <w:rsid w:val="00057C5F"/>
    <w:rsid w:val="000600F1"/>
    <w:rsid w:val="0006019E"/>
    <w:rsid w:val="000601AC"/>
    <w:rsid w:val="0006044A"/>
    <w:rsid w:val="000604BA"/>
    <w:rsid w:val="000606DB"/>
    <w:rsid w:val="00060715"/>
    <w:rsid w:val="00060939"/>
    <w:rsid w:val="000609A3"/>
    <w:rsid w:val="00060F8A"/>
    <w:rsid w:val="00061125"/>
    <w:rsid w:val="00061248"/>
    <w:rsid w:val="00061473"/>
    <w:rsid w:val="0006155D"/>
    <w:rsid w:val="000616D3"/>
    <w:rsid w:val="000618A5"/>
    <w:rsid w:val="00061930"/>
    <w:rsid w:val="000619E6"/>
    <w:rsid w:val="00061A27"/>
    <w:rsid w:val="00061AEC"/>
    <w:rsid w:val="00061B65"/>
    <w:rsid w:val="00061BBD"/>
    <w:rsid w:val="00061DDA"/>
    <w:rsid w:val="00062097"/>
    <w:rsid w:val="00062203"/>
    <w:rsid w:val="000622D3"/>
    <w:rsid w:val="000622D4"/>
    <w:rsid w:val="000622DA"/>
    <w:rsid w:val="00062422"/>
    <w:rsid w:val="000624C0"/>
    <w:rsid w:val="00062763"/>
    <w:rsid w:val="00062923"/>
    <w:rsid w:val="000629FF"/>
    <w:rsid w:val="00062A88"/>
    <w:rsid w:val="00062C1A"/>
    <w:rsid w:val="00063186"/>
    <w:rsid w:val="000632DF"/>
    <w:rsid w:val="00063342"/>
    <w:rsid w:val="00063346"/>
    <w:rsid w:val="00063374"/>
    <w:rsid w:val="000635BE"/>
    <w:rsid w:val="00063889"/>
    <w:rsid w:val="00063A18"/>
    <w:rsid w:val="00063B1D"/>
    <w:rsid w:val="00063BF4"/>
    <w:rsid w:val="00063C74"/>
    <w:rsid w:val="00063CFF"/>
    <w:rsid w:val="00063E26"/>
    <w:rsid w:val="00063E36"/>
    <w:rsid w:val="00063EA3"/>
    <w:rsid w:val="00063EE7"/>
    <w:rsid w:val="00063F77"/>
    <w:rsid w:val="00064291"/>
    <w:rsid w:val="000642EE"/>
    <w:rsid w:val="00064364"/>
    <w:rsid w:val="00064366"/>
    <w:rsid w:val="00064518"/>
    <w:rsid w:val="0006486E"/>
    <w:rsid w:val="00064BBD"/>
    <w:rsid w:val="00064C38"/>
    <w:rsid w:val="00064EDA"/>
    <w:rsid w:val="00064FE5"/>
    <w:rsid w:val="0006502D"/>
    <w:rsid w:val="0006505A"/>
    <w:rsid w:val="00065181"/>
    <w:rsid w:val="0006559F"/>
    <w:rsid w:val="00065695"/>
    <w:rsid w:val="0006569C"/>
    <w:rsid w:val="000656A7"/>
    <w:rsid w:val="00065748"/>
    <w:rsid w:val="0006576C"/>
    <w:rsid w:val="000657DB"/>
    <w:rsid w:val="0006587A"/>
    <w:rsid w:val="00065B00"/>
    <w:rsid w:val="00065B16"/>
    <w:rsid w:val="00065D2D"/>
    <w:rsid w:val="00065D78"/>
    <w:rsid w:val="00065F7A"/>
    <w:rsid w:val="00066363"/>
    <w:rsid w:val="0006641F"/>
    <w:rsid w:val="00066701"/>
    <w:rsid w:val="00066898"/>
    <w:rsid w:val="000668ED"/>
    <w:rsid w:val="00066DE3"/>
    <w:rsid w:val="00066DEE"/>
    <w:rsid w:val="00066E48"/>
    <w:rsid w:val="00066E6C"/>
    <w:rsid w:val="00066EFC"/>
    <w:rsid w:val="000674E6"/>
    <w:rsid w:val="00067854"/>
    <w:rsid w:val="000679E4"/>
    <w:rsid w:val="00067A4A"/>
    <w:rsid w:val="00067AC0"/>
    <w:rsid w:val="00067BD8"/>
    <w:rsid w:val="00067C6D"/>
    <w:rsid w:val="00067C98"/>
    <w:rsid w:val="00067CE0"/>
    <w:rsid w:val="00067DAE"/>
    <w:rsid w:val="00067FAC"/>
    <w:rsid w:val="00067FB2"/>
    <w:rsid w:val="000701A2"/>
    <w:rsid w:val="00070350"/>
    <w:rsid w:val="00070366"/>
    <w:rsid w:val="0007059E"/>
    <w:rsid w:val="00070676"/>
    <w:rsid w:val="00070D88"/>
    <w:rsid w:val="00070DE1"/>
    <w:rsid w:val="00070EB3"/>
    <w:rsid w:val="00070FC2"/>
    <w:rsid w:val="000710E3"/>
    <w:rsid w:val="00071394"/>
    <w:rsid w:val="0007166F"/>
    <w:rsid w:val="00071680"/>
    <w:rsid w:val="000716D4"/>
    <w:rsid w:val="000717AB"/>
    <w:rsid w:val="000718FC"/>
    <w:rsid w:val="00071990"/>
    <w:rsid w:val="00071ADD"/>
    <w:rsid w:val="00071B8A"/>
    <w:rsid w:val="00071BCD"/>
    <w:rsid w:val="00071BD0"/>
    <w:rsid w:val="00071F59"/>
    <w:rsid w:val="0007209C"/>
    <w:rsid w:val="000720F0"/>
    <w:rsid w:val="0007211A"/>
    <w:rsid w:val="000721A7"/>
    <w:rsid w:val="00072566"/>
    <w:rsid w:val="000725B7"/>
    <w:rsid w:val="0007261C"/>
    <w:rsid w:val="000726A4"/>
    <w:rsid w:val="00072709"/>
    <w:rsid w:val="000727E3"/>
    <w:rsid w:val="00072856"/>
    <w:rsid w:val="00072A45"/>
    <w:rsid w:val="00072A69"/>
    <w:rsid w:val="00072AFF"/>
    <w:rsid w:val="00072E04"/>
    <w:rsid w:val="00072EED"/>
    <w:rsid w:val="00072F50"/>
    <w:rsid w:val="00073259"/>
    <w:rsid w:val="000732AC"/>
    <w:rsid w:val="0007358D"/>
    <w:rsid w:val="0007363B"/>
    <w:rsid w:val="00073680"/>
    <w:rsid w:val="000736DE"/>
    <w:rsid w:val="0007372E"/>
    <w:rsid w:val="00073958"/>
    <w:rsid w:val="00073B5A"/>
    <w:rsid w:val="00073C79"/>
    <w:rsid w:val="00073CC8"/>
    <w:rsid w:val="00073DC3"/>
    <w:rsid w:val="00073E06"/>
    <w:rsid w:val="00074147"/>
    <w:rsid w:val="000742A1"/>
    <w:rsid w:val="00074413"/>
    <w:rsid w:val="00074551"/>
    <w:rsid w:val="00074649"/>
    <w:rsid w:val="0007465C"/>
    <w:rsid w:val="00074771"/>
    <w:rsid w:val="00074794"/>
    <w:rsid w:val="000747D6"/>
    <w:rsid w:val="00074853"/>
    <w:rsid w:val="00074CE6"/>
    <w:rsid w:val="00074DF7"/>
    <w:rsid w:val="00074E4F"/>
    <w:rsid w:val="00074F65"/>
    <w:rsid w:val="00074F90"/>
    <w:rsid w:val="0007508D"/>
    <w:rsid w:val="000750C6"/>
    <w:rsid w:val="00075247"/>
    <w:rsid w:val="000753AB"/>
    <w:rsid w:val="000753C4"/>
    <w:rsid w:val="00075400"/>
    <w:rsid w:val="0007584A"/>
    <w:rsid w:val="000759F3"/>
    <w:rsid w:val="00075B58"/>
    <w:rsid w:val="00075C5A"/>
    <w:rsid w:val="00075CD0"/>
    <w:rsid w:val="00075D73"/>
    <w:rsid w:val="00075D76"/>
    <w:rsid w:val="00075D7F"/>
    <w:rsid w:val="00076062"/>
    <w:rsid w:val="000760EE"/>
    <w:rsid w:val="0007610E"/>
    <w:rsid w:val="000761D2"/>
    <w:rsid w:val="00076436"/>
    <w:rsid w:val="0007664F"/>
    <w:rsid w:val="0007669A"/>
    <w:rsid w:val="000766A4"/>
    <w:rsid w:val="00076C44"/>
    <w:rsid w:val="00076EF9"/>
    <w:rsid w:val="00077044"/>
    <w:rsid w:val="000770B4"/>
    <w:rsid w:val="00077149"/>
    <w:rsid w:val="00077206"/>
    <w:rsid w:val="00077327"/>
    <w:rsid w:val="00077369"/>
    <w:rsid w:val="0007743D"/>
    <w:rsid w:val="00077483"/>
    <w:rsid w:val="000774B0"/>
    <w:rsid w:val="000775AE"/>
    <w:rsid w:val="000775EA"/>
    <w:rsid w:val="0007774C"/>
    <w:rsid w:val="00077776"/>
    <w:rsid w:val="000778D5"/>
    <w:rsid w:val="00077BDB"/>
    <w:rsid w:val="00077E92"/>
    <w:rsid w:val="00077FB9"/>
    <w:rsid w:val="00080003"/>
    <w:rsid w:val="0008002D"/>
    <w:rsid w:val="0008023D"/>
    <w:rsid w:val="00080328"/>
    <w:rsid w:val="00080385"/>
    <w:rsid w:val="00080718"/>
    <w:rsid w:val="00080737"/>
    <w:rsid w:val="00080986"/>
    <w:rsid w:val="00080A9D"/>
    <w:rsid w:val="00081095"/>
    <w:rsid w:val="00081129"/>
    <w:rsid w:val="00081174"/>
    <w:rsid w:val="00081903"/>
    <w:rsid w:val="00081A1C"/>
    <w:rsid w:val="00081A73"/>
    <w:rsid w:val="00081ABF"/>
    <w:rsid w:val="00081AF7"/>
    <w:rsid w:val="00081B13"/>
    <w:rsid w:val="00081B1E"/>
    <w:rsid w:val="00081B6A"/>
    <w:rsid w:val="00081CA7"/>
    <w:rsid w:val="00082034"/>
    <w:rsid w:val="00082042"/>
    <w:rsid w:val="0008216E"/>
    <w:rsid w:val="000823B2"/>
    <w:rsid w:val="000823BA"/>
    <w:rsid w:val="000825A5"/>
    <w:rsid w:val="000825F6"/>
    <w:rsid w:val="0008266C"/>
    <w:rsid w:val="00082C03"/>
    <w:rsid w:val="00082E72"/>
    <w:rsid w:val="00082F12"/>
    <w:rsid w:val="00082F7E"/>
    <w:rsid w:val="00083019"/>
    <w:rsid w:val="000831B7"/>
    <w:rsid w:val="000832DA"/>
    <w:rsid w:val="00083460"/>
    <w:rsid w:val="000834A9"/>
    <w:rsid w:val="000834AB"/>
    <w:rsid w:val="00083552"/>
    <w:rsid w:val="000835D3"/>
    <w:rsid w:val="00083804"/>
    <w:rsid w:val="0008399A"/>
    <w:rsid w:val="00083AAB"/>
    <w:rsid w:val="00083C8C"/>
    <w:rsid w:val="00083CC1"/>
    <w:rsid w:val="00083F09"/>
    <w:rsid w:val="00084002"/>
    <w:rsid w:val="0008405E"/>
    <w:rsid w:val="000840EC"/>
    <w:rsid w:val="00084617"/>
    <w:rsid w:val="00084814"/>
    <w:rsid w:val="000849A0"/>
    <w:rsid w:val="00084D4A"/>
    <w:rsid w:val="00084DDC"/>
    <w:rsid w:val="00084E68"/>
    <w:rsid w:val="000851F5"/>
    <w:rsid w:val="0008529F"/>
    <w:rsid w:val="000853D4"/>
    <w:rsid w:val="00085618"/>
    <w:rsid w:val="00085706"/>
    <w:rsid w:val="000857ED"/>
    <w:rsid w:val="000858C9"/>
    <w:rsid w:val="00085942"/>
    <w:rsid w:val="0008597F"/>
    <w:rsid w:val="00085AED"/>
    <w:rsid w:val="00085CC8"/>
    <w:rsid w:val="00085DBB"/>
    <w:rsid w:val="00085E56"/>
    <w:rsid w:val="00085EA4"/>
    <w:rsid w:val="00085F08"/>
    <w:rsid w:val="00085FB8"/>
    <w:rsid w:val="000862A6"/>
    <w:rsid w:val="00086424"/>
    <w:rsid w:val="000864D9"/>
    <w:rsid w:val="0008674F"/>
    <w:rsid w:val="0008679E"/>
    <w:rsid w:val="000868E4"/>
    <w:rsid w:val="00086A81"/>
    <w:rsid w:val="00086C73"/>
    <w:rsid w:val="00086D8C"/>
    <w:rsid w:val="00086DF5"/>
    <w:rsid w:val="00086ECC"/>
    <w:rsid w:val="00086FA9"/>
    <w:rsid w:val="0008723F"/>
    <w:rsid w:val="000873F9"/>
    <w:rsid w:val="00087535"/>
    <w:rsid w:val="000876D9"/>
    <w:rsid w:val="00087723"/>
    <w:rsid w:val="0008791C"/>
    <w:rsid w:val="0008794C"/>
    <w:rsid w:val="00087D96"/>
    <w:rsid w:val="00087E95"/>
    <w:rsid w:val="00087ECB"/>
    <w:rsid w:val="0009027B"/>
    <w:rsid w:val="00090490"/>
    <w:rsid w:val="00090650"/>
    <w:rsid w:val="000908A5"/>
    <w:rsid w:val="00090983"/>
    <w:rsid w:val="00090A89"/>
    <w:rsid w:val="00090AB4"/>
    <w:rsid w:val="00090D3F"/>
    <w:rsid w:val="00090D86"/>
    <w:rsid w:val="00090DBE"/>
    <w:rsid w:val="00090EE9"/>
    <w:rsid w:val="00090F5F"/>
    <w:rsid w:val="00090FCD"/>
    <w:rsid w:val="000910E0"/>
    <w:rsid w:val="00091390"/>
    <w:rsid w:val="000914C1"/>
    <w:rsid w:val="000915CB"/>
    <w:rsid w:val="00091673"/>
    <w:rsid w:val="000916F2"/>
    <w:rsid w:val="00091B51"/>
    <w:rsid w:val="00091E48"/>
    <w:rsid w:val="00091F69"/>
    <w:rsid w:val="00091FD3"/>
    <w:rsid w:val="00092047"/>
    <w:rsid w:val="000924CD"/>
    <w:rsid w:val="000924FC"/>
    <w:rsid w:val="0009259C"/>
    <w:rsid w:val="0009261E"/>
    <w:rsid w:val="00092637"/>
    <w:rsid w:val="0009268D"/>
    <w:rsid w:val="00092781"/>
    <w:rsid w:val="000929AB"/>
    <w:rsid w:val="00092A9E"/>
    <w:rsid w:val="00092AB6"/>
    <w:rsid w:val="00092CE1"/>
    <w:rsid w:val="00092F10"/>
    <w:rsid w:val="00092FDB"/>
    <w:rsid w:val="0009309A"/>
    <w:rsid w:val="00093542"/>
    <w:rsid w:val="000936DA"/>
    <w:rsid w:val="00093910"/>
    <w:rsid w:val="00093C2E"/>
    <w:rsid w:val="00093C3A"/>
    <w:rsid w:val="00093F4E"/>
    <w:rsid w:val="00094009"/>
    <w:rsid w:val="000940CB"/>
    <w:rsid w:val="00094153"/>
    <w:rsid w:val="00094191"/>
    <w:rsid w:val="000941E0"/>
    <w:rsid w:val="000942E7"/>
    <w:rsid w:val="00094437"/>
    <w:rsid w:val="000944D2"/>
    <w:rsid w:val="000944FA"/>
    <w:rsid w:val="000946B1"/>
    <w:rsid w:val="00094702"/>
    <w:rsid w:val="0009474F"/>
    <w:rsid w:val="0009483B"/>
    <w:rsid w:val="0009487B"/>
    <w:rsid w:val="000949CC"/>
    <w:rsid w:val="00094A08"/>
    <w:rsid w:val="00094A15"/>
    <w:rsid w:val="00094B72"/>
    <w:rsid w:val="00094B7B"/>
    <w:rsid w:val="00094D52"/>
    <w:rsid w:val="00095007"/>
    <w:rsid w:val="000950B6"/>
    <w:rsid w:val="00095430"/>
    <w:rsid w:val="00095461"/>
    <w:rsid w:val="0009554E"/>
    <w:rsid w:val="0009556F"/>
    <w:rsid w:val="00095763"/>
    <w:rsid w:val="000957C5"/>
    <w:rsid w:val="000959C5"/>
    <w:rsid w:val="00095A92"/>
    <w:rsid w:val="00095B65"/>
    <w:rsid w:val="00095B75"/>
    <w:rsid w:val="00095CA4"/>
    <w:rsid w:val="00095E76"/>
    <w:rsid w:val="00095E9E"/>
    <w:rsid w:val="00095EA9"/>
    <w:rsid w:val="00096250"/>
    <w:rsid w:val="00096292"/>
    <w:rsid w:val="000962C1"/>
    <w:rsid w:val="0009661B"/>
    <w:rsid w:val="00096778"/>
    <w:rsid w:val="00096803"/>
    <w:rsid w:val="00096A23"/>
    <w:rsid w:val="00096BC9"/>
    <w:rsid w:val="00096DF6"/>
    <w:rsid w:val="0009726C"/>
    <w:rsid w:val="0009757E"/>
    <w:rsid w:val="000975FA"/>
    <w:rsid w:val="0009773F"/>
    <w:rsid w:val="0009781D"/>
    <w:rsid w:val="00097826"/>
    <w:rsid w:val="00097855"/>
    <w:rsid w:val="0009786D"/>
    <w:rsid w:val="00097A9A"/>
    <w:rsid w:val="000A0060"/>
    <w:rsid w:val="000A00E9"/>
    <w:rsid w:val="000A0221"/>
    <w:rsid w:val="000A02BB"/>
    <w:rsid w:val="000A042B"/>
    <w:rsid w:val="000A0606"/>
    <w:rsid w:val="000A078F"/>
    <w:rsid w:val="000A0B2A"/>
    <w:rsid w:val="000A0C30"/>
    <w:rsid w:val="000A0F96"/>
    <w:rsid w:val="000A11C4"/>
    <w:rsid w:val="000A12E3"/>
    <w:rsid w:val="000A1852"/>
    <w:rsid w:val="000A18E2"/>
    <w:rsid w:val="000A199D"/>
    <w:rsid w:val="000A1A5C"/>
    <w:rsid w:val="000A1AAF"/>
    <w:rsid w:val="000A1AEB"/>
    <w:rsid w:val="000A1C08"/>
    <w:rsid w:val="000A1E21"/>
    <w:rsid w:val="000A202A"/>
    <w:rsid w:val="000A20BB"/>
    <w:rsid w:val="000A21E1"/>
    <w:rsid w:val="000A25BF"/>
    <w:rsid w:val="000A2740"/>
    <w:rsid w:val="000A290E"/>
    <w:rsid w:val="000A2933"/>
    <w:rsid w:val="000A2B83"/>
    <w:rsid w:val="000A3109"/>
    <w:rsid w:val="000A31B3"/>
    <w:rsid w:val="000A32AD"/>
    <w:rsid w:val="000A349E"/>
    <w:rsid w:val="000A34FA"/>
    <w:rsid w:val="000A3524"/>
    <w:rsid w:val="000A3680"/>
    <w:rsid w:val="000A3792"/>
    <w:rsid w:val="000A37CE"/>
    <w:rsid w:val="000A3814"/>
    <w:rsid w:val="000A39A3"/>
    <w:rsid w:val="000A3A18"/>
    <w:rsid w:val="000A3BD0"/>
    <w:rsid w:val="000A422E"/>
    <w:rsid w:val="000A44B6"/>
    <w:rsid w:val="000A453A"/>
    <w:rsid w:val="000A456F"/>
    <w:rsid w:val="000A48DA"/>
    <w:rsid w:val="000A4A87"/>
    <w:rsid w:val="000A4C53"/>
    <w:rsid w:val="000A4C85"/>
    <w:rsid w:val="000A4DF2"/>
    <w:rsid w:val="000A5236"/>
    <w:rsid w:val="000A5260"/>
    <w:rsid w:val="000A5390"/>
    <w:rsid w:val="000A54A6"/>
    <w:rsid w:val="000A54A8"/>
    <w:rsid w:val="000A54CD"/>
    <w:rsid w:val="000A57B0"/>
    <w:rsid w:val="000A57F2"/>
    <w:rsid w:val="000A5806"/>
    <w:rsid w:val="000A5862"/>
    <w:rsid w:val="000A5CF6"/>
    <w:rsid w:val="000A5E54"/>
    <w:rsid w:val="000A601A"/>
    <w:rsid w:val="000A611B"/>
    <w:rsid w:val="000A628C"/>
    <w:rsid w:val="000A67A1"/>
    <w:rsid w:val="000A6835"/>
    <w:rsid w:val="000A6863"/>
    <w:rsid w:val="000A688E"/>
    <w:rsid w:val="000A6890"/>
    <w:rsid w:val="000A68F9"/>
    <w:rsid w:val="000A6912"/>
    <w:rsid w:val="000A6935"/>
    <w:rsid w:val="000A6A37"/>
    <w:rsid w:val="000A6AE3"/>
    <w:rsid w:val="000A6E48"/>
    <w:rsid w:val="000A6F3F"/>
    <w:rsid w:val="000A7090"/>
    <w:rsid w:val="000A71AC"/>
    <w:rsid w:val="000A72A1"/>
    <w:rsid w:val="000A7338"/>
    <w:rsid w:val="000A7347"/>
    <w:rsid w:val="000A73E9"/>
    <w:rsid w:val="000A74D7"/>
    <w:rsid w:val="000A750F"/>
    <w:rsid w:val="000A7938"/>
    <w:rsid w:val="000A794C"/>
    <w:rsid w:val="000A7A7C"/>
    <w:rsid w:val="000A7AAB"/>
    <w:rsid w:val="000A7CD7"/>
    <w:rsid w:val="000A7DA8"/>
    <w:rsid w:val="000A7FB3"/>
    <w:rsid w:val="000B00D8"/>
    <w:rsid w:val="000B02BF"/>
    <w:rsid w:val="000B0566"/>
    <w:rsid w:val="000B05B3"/>
    <w:rsid w:val="000B0636"/>
    <w:rsid w:val="000B0737"/>
    <w:rsid w:val="000B0743"/>
    <w:rsid w:val="000B085B"/>
    <w:rsid w:val="000B096D"/>
    <w:rsid w:val="000B09A8"/>
    <w:rsid w:val="000B0AB9"/>
    <w:rsid w:val="000B0B6A"/>
    <w:rsid w:val="000B0C36"/>
    <w:rsid w:val="000B0CA3"/>
    <w:rsid w:val="000B0EC0"/>
    <w:rsid w:val="000B1032"/>
    <w:rsid w:val="000B104D"/>
    <w:rsid w:val="000B1359"/>
    <w:rsid w:val="000B1372"/>
    <w:rsid w:val="000B13F2"/>
    <w:rsid w:val="000B1753"/>
    <w:rsid w:val="000B17A6"/>
    <w:rsid w:val="000B17AA"/>
    <w:rsid w:val="000B17DB"/>
    <w:rsid w:val="000B186D"/>
    <w:rsid w:val="000B1892"/>
    <w:rsid w:val="000B190D"/>
    <w:rsid w:val="000B1951"/>
    <w:rsid w:val="000B1973"/>
    <w:rsid w:val="000B1CDC"/>
    <w:rsid w:val="000B1D17"/>
    <w:rsid w:val="000B1FA6"/>
    <w:rsid w:val="000B2047"/>
    <w:rsid w:val="000B21A1"/>
    <w:rsid w:val="000B2389"/>
    <w:rsid w:val="000B258D"/>
    <w:rsid w:val="000B281C"/>
    <w:rsid w:val="000B2A77"/>
    <w:rsid w:val="000B2AA8"/>
    <w:rsid w:val="000B2AC1"/>
    <w:rsid w:val="000B2B43"/>
    <w:rsid w:val="000B2BE3"/>
    <w:rsid w:val="000B2E41"/>
    <w:rsid w:val="000B2E78"/>
    <w:rsid w:val="000B2E95"/>
    <w:rsid w:val="000B2EA6"/>
    <w:rsid w:val="000B2FAF"/>
    <w:rsid w:val="000B3174"/>
    <w:rsid w:val="000B3296"/>
    <w:rsid w:val="000B32EB"/>
    <w:rsid w:val="000B356B"/>
    <w:rsid w:val="000B36F7"/>
    <w:rsid w:val="000B38A8"/>
    <w:rsid w:val="000B392E"/>
    <w:rsid w:val="000B3946"/>
    <w:rsid w:val="000B3A66"/>
    <w:rsid w:val="000B40D8"/>
    <w:rsid w:val="000B4158"/>
    <w:rsid w:val="000B4240"/>
    <w:rsid w:val="000B4282"/>
    <w:rsid w:val="000B441F"/>
    <w:rsid w:val="000B4464"/>
    <w:rsid w:val="000B447D"/>
    <w:rsid w:val="000B44F7"/>
    <w:rsid w:val="000B4520"/>
    <w:rsid w:val="000B4663"/>
    <w:rsid w:val="000B473E"/>
    <w:rsid w:val="000B475A"/>
    <w:rsid w:val="000B47DC"/>
    <w:rsid w:val="000B48D1"/>
    <w:rsid w:val="000B48FB"/>
    <w:rsid w:val="000B4AE0"/>
    <w:rsid w:val="000B4B2A"/>
    <w:rsid w:val="000B4B65"/>
    <w:rsid w:val="000B4B6F"/>
    <w:rsid w:val="000B4D29"/>
    <w:rsid w:val="000B4F78"/>
    <w:rsid w:val="000B4FE7"/>
    <w:rsid w:val="000B5003"/>
    <w:rsid w:val="000B529E"/>
    <w:rsid w:val="000B52B5"/>
    <w:rsid w:val="000B564C"/>
    <w:rsid w:val="000B56C9"/>
    <w:rsid w:val="000B573E"/>
    <w:rsid w:val="000B59EC"/>
    <w:rsid w:val="000B5B09"/>
    <w:rsid w:val="000B5B10"/>
    <w:rsid w:val="000B5B57"/>
    <w:rsid w:val="000B5BF8"/>
    <w:rsid w:val="000B5DE0"/>
    <w:rsid w:val="000B5E40"/>
    <w:rsid w:val="000B5E7E"/>
    <w:rsid w:val="000B6066"/>
    <w:rsid w:val="000B6135"/>
    <w:rsid w:val="000B63DB"/>
    <w:rsid w:val="000B6406"/>
    <w:rsid w:val="000B64BB"/>
    <w:rsid w:val="000B64DA"/>
    <w:rsid w:val="000B64FF"/>
    <w:rsid w:val="000B656C"/>
    <w:rsid w:val="000B6677"/>
    <w:rsid w:val="000B6683"/>
    <w:rsid w:val="000B6785"/>
    <w:rsid w:val="000B6B0B"/>
    <w:rsid w:val="000B6B3D"/>
    <w:rsid w:val="000B6C45"/>
    <w:rsid w:val="000B6D7D"/>
    <w:rsid w:val="000B6EA9"/>
    <w:rsid w:val="000B6EBA"/>
    <w:rsid w:val="000B71C1"/>
    <w:rsid w:val="000B732C"/>
    <w:rsid w:val="000B7383"/>
    <w:rsid w:val="000B744D"/>
    <w:rsid w:val="000B775A"/>
    <w:rsid w:val="000B78EE"/>
    <w:rsid w:val="000B799F"/>
    <w:rsid w:val="000B7A89"/>
    <w:rsid w:val="000B7FD2"/>
    <w:rsid w:val="000C00C4"/>
    <w:rsid w:val="000C00CB"/>
    <w:rsid w:val="000C00D5"/>
    <w:rsid w:val="000C00F4"/>
    <w:rsid w:val="000C01C8"/>
    <w:rsid w:val="000C01EC"/>
    <w:rsid w:val="000C04B9"/>
    <w:rsid w:val="000C04E6"/>
    <w:rsid w:val="000C09AB"/>
    <w:rsid w:val="000C09C4"/>
    <w:rsid w:val="000C0B5B"/>
    <w:rsid w:val="000C0C74"/>
    <w:rsid w:val="000C0D56"/>
    <w:rsid w:val="000C0DD2"/>
    <w:rsid w:val="000C10BF"/>
    <w:rsid w:val="000C13EB"/>
    <w:rsid w:val="000C15D7"/>
    <w:rsid w:val="000C17EB"/>
    <w:rsid w:val="000C187D"/>
    <w:rsid w:val="000C1A94"/>
    <w:rsid w:val="000C1ADA"/>
    <w:rsid w:val="000C2061"/>
    <w:rsid w:val="000C21BC"/>
    <w:rsid w:val="000C22C5"/>
    <w:rsid w:val="000C2360"/>
    <w:rsid w:val="000C24C0"/>
    <w:rsid w:val="000C2571"/>
    <w:rsid w:val="000C258A"/>
    <w:rsid w:val="000C25DD"/>
    <w:rsid w:val="000C2710"/>
    <w:rsid w:val="000C2975"/>
    <w:rsid w:val="000C2B39"/>
    <w:rsid w:val="000C2B5C"/>
    <w:rsid w:val="000C2CCB"/>
    <w:rsid w:val="000C2D5B"/>
    <w:rsid w:val="000C2F54"/>
    <w:rsid w:val="000C3016"/>
    <w:rsid w:val="000C3276"/>
    <w:rsid w:val="000C36A5"/>
    <w:rsid w:val="000C3725"/>
    <w:rsid w:val="000C38B5"/>
    <w:rsid w:val="000C38C5"/>
    <w:rsid w:val="000C3AD6"/>
    <w:rsid w:val="000C3B14"/>
    <w:rsid w:val="000C3BF9"/>
    <w:rsid w:val="000C3F44"/>
    <w:rsid w:val="000C4183"/>
    <w:rsid w:val="000C42A2"/>
    <w:rsid w:val="000C4740"/>
    <w:rsid w:val="000C4771"/>
    <w:rsid w:val="000C479D"/>
    <w:rsid w:val="000C4906"/>
    <w:rsid w:val="000C4A15"/>
    <w:rsid w:val="000C4EBD"/>
    <w:rsid w:val="000C4F56"/>
    <w:rsid w:val="000C4F84"/>
    <w:rsid w:val="000C4FA3"/>
    <w:rsid w:val="000C51EE"/>
    <w:rsid w:val="000C531D"/>
    <w:rsid w:val="000C54AA"/>
    <w:rsid w:val="000C5706"/>
    <w:rsid w:val="000C5748"/>
    <w:rsid w:val="000C578E"/>
    <w:rsid w:val="000C594E"/>
    <w:rsid w:val="000C59A7"/>
    <w:rsid w:val="000C5CCD"/>
    <w:rsid w:val="000C5F1A"/>
    <w:rsid w:val="000C607C"/>
    <w:rsid w:val="000C620E"/>
    <w:rsid w:val="000C6369"/>
    <w:rsid w:val="000C64F0"/>
    <w:rsid w:val="000C6630"/>
    <w:rsid w:val="000C67C5"/>
    <w:rsid w:val="000C68AE"/>
    <w:rsid w:val="000C68B6"/>
    <w:rsid w:val="000C6A0D"/>
    <w:rsid w:val="000C6BF8"/>
    <w:rsid w:val="000C6C99"/>
    <w:rsid w:val="000C6C9D"/>
    <w:rsid w:val="000C6DFC"/>
    <w:rsid w:val="000C706C"/>
    <w:rsid w:val="000C7204"/>
    <w:rsid w:val="000C737D"/>
    <w:rsid w:val="000C74B2"/>
    <w:rsid w:val="000C74B9"/>
    <w:rsid w:val="000C7501"/>
    <w:rsid w:val="000C756C"/>
    <w:rsid w:val="000C7594"/>
    <w:rsid w:val="000C7928"/>
    <w:rsid w:val="000C7B06"/>
    <w:rsid w:val="000C7B1D"/>
    <w:rsid w:val="000C7D54"/>
    <w:rsid w:val="000C7F49"/>
    <w:rsid w:val="000D0304"/>
    <w:rsid w:val="000D03E3"/>
    <w:rsid w:val="000D0438"/>
    <w:rsid w:val="000D05C1"/>
    <w:rsid w:val="000D08F8"/>
    <w:rsid w:val="000D0A26"/>
    <w:rsid w:val="000D0B60"/>
    <w:rsid w:val="000D0B75"/>
    <w:rsid w:val="000D0C2C"/>
    <w:rsid w:val="000D0EC7"/>
    <w:rsid w:val="000D0F3F"/>
    <w:rsid w:val="000D0FB5"/>
    <w:rsid w:val="000D106D"/>
    <w:rsid w:val="000D13FD"/>
    <w:rsid w:val="000D15FE"/>
    <w:rsid w:val="000D1618"/>
    <w:rsid w:val="000D1668"/>
    <w:rsid w:val="000D1679"/>
    <w:rsid w:val="000D16B4"/>
    <w:rsid w:val="000D196C"/>
    <w:rsid w:val="000D1B0E"/>
    <w:rsid w:val="000D1D7C"/>
    <w:rsid w:val="000D2079"/>
    <w:rsid w:val="000D22FC"/>
    <w:rsid w:val="000D2353"/>
    <w:rsid w:val="000D25EC"/>
    <w:rsid w:val="000D2682"/>
    <w:rsid w:val="000D28E2"/>
    <w:rsid w:val="000D295B"/>
    <w:rsid w:val="000D2A09"/>
    <w:rsid w:val="000D2AC1"/>
    <w:rsid w:val="000D2B30"/>
    <w:rsid w:val="000D2B92"/>
    <w:rsid w:val="000D2BAF"/>
    <w:rsid w:val="000D2DC4"/>
    <w:rsid w:val="000D2E40"/>
    <w:rsid w:val="000D2E42"/>
    <w:rsid w:val="000D2EA2"/>
    <w:rsid w:val="000D2FE4"/>
    <w:rsid w:val="000D3006"/>
    <w:rsid w:val="000D3009"/>
    <w:rsid w:val="000D3149"/>
    <w:rsid w:val="000D3180"/>
    <w:rsid w:val="000D320D"/>
    <w:rsid w:val="000D3310"/>
    <w:rsid w:val="000D33CA"/>
    <w:rsid w:val="000D34F7"/>
    <w:rsid w:val="000D36CB"/>
    <w:rsid w:val="000D3B2C"/>
    <w:rsid w:val="000D3CD5"/>
    <w:rsid w:val="000D3F22"/>
    <w:rsid w:val="000D3F42"/>
    <w:rsid w:val="000D40C0"/>
    <w:rsid w:val="000D42F6"/>
    <w:rsid w:val="000D4326"/>
    <w:rsid w:val="000D43FE"/>
    <w:rsid w:val="000D455A"/>
    <w:rsid w:val="000D45FC"/>
    <w:rsid w:val="000D4608"/>
    <w:rsid w:val="000D4677"/>
    <w:rsid w:val="000D47E1"/>
    <w:rsid w:val="000D4803"/>
    <w:rsid w:val="000D4A71"/>
    <w:rsid w:val="000D4D56"/>
    <w:rsid w:val="000D4E72"/>
    <w:rsid w:val="000D5011"/>
    <w:rsid w:val="000D50B0"/>
    <w:rsid w:val="000D511A"/>
    <w:rsid w:val="000D5132"/>
    <w:rsid w:val="000D54A9"/>
    <w:rsid w:val="000D580A"/>
    <w:rsid w:val="000D5AD4"/>
    <w:rsid w:val="000D5B15"/>
    <w:rsid w:val="000D5BF7"/>
    <w:rsid w:val="000D5C01"/>
    <w:rsid w:val="000D5E34"/>
    <w:rsid w:val="000D5E66"/>
    <w:rsid w:val="000D5EBA"/>
    <w:rsid w:val="000D61F2"/>
    <w:rsid w:val="000D6205"/>
    <w:rsid w:val="000D622C"/>
    <w:rsid w:val="000D6244"/>
    <w:rsid w:val="000D62DD"/>
    <w:rsid w:val="000D64BA"/>
    <w:rsid w:val="000D6565"/>
    <w:rsid w:val="000D66CE"/>
    <w:rsid w:val="000D67CF"/>
    <w:rsid w:val="000D69BB"/>
    <w:rsid w:val="000D6BD7"/>
    <w:rsid w:val="000D6C58"/>
    <w:rsid w:val="000D6E15"/>
    <w:rsid w:val="000D6EAF"/>
    <w:rsid w:val="000D701F"/>
    <w:rsid w:val="000D712C"/>
    <w:rsid w:val="000D7344"/>
    <w:rsid w:val="000D74F1"/>
    <w:rsid w:val="000D759A"/>
    <w:rsid w:val="000D7601"/>
    <w:rsid w:val="000D76D3"/>
    <w:rsid w:val="000D78F4"/>
    <w:rsid w:val="000D7B28"/>
    <w:rsid w:val="000D7C00"/>
    <w:rsid w:val="000D7C7E"/>
    <w:rsid w:val="000D7D98"/>
    <w:rsid w:val="000D7DBE"/>
    <w:rsid w:val="000D7E22"/>
    <w:rsid w:val="000D7F9C"/>
    <w:rsid w:val="000E0234"/>
    <w:rsid w:val="000E02A3"/>
    <w:rsid w:val="000E0364"/>
    <w:rsid w:val="000E0529"/>
    <w:rsid w:val="000E06D6"/>
    <w:rsid w:val="000E072D"/>
    <w:rsid w:val="000E082F"/>
    <w:rsid w:val="000E0A96"/>
    <w:rsid w:val="000E0ADA"/>
    <w:rsid w:val="000E0AF8"/>
    <w:rsid w:val="000E0B51"/>
    <w:rsid w:val="000E0B85"/>
    <w:rsid w:val="000E0B8C"/>
    <w:rsid w:val="000E0C0E"/>
    <w:rsid w:val="000E103F"/>
    <w:rsid w:val="000E105B"/>
    <w:rsid w:val="000E118B"/>
    <w:rsid w:val="000E121C"/>
    <w:rsid w:val="000E12CE"/>
    <w:rsid w:val="000E132C"/>
    <w:rsid w:val="000E149B"/>
    <w:rsid w:val="000E14D1"/>
    <w:rsid w:val="000E1522"/>
    <w:rsid w:val="000E1737"/>
    <w:rsid w:val="000E1A00"/>
    <w:rsid w:val="000E1E52"/>
    <w:rsid w:val="000E1FB5"/>
    <w:rsid w:val="000E20B7"/>
    <w:rsid w:val="000E218E"/>
    <w:rsid w:val="000E2258"/>
    <w:rsid w:val="000E22AD"/>
    <w:rsid w:val="000E230B"/>
    <w:rsid w:val="000E2317"/>
    <w:rsid w:val="000E232A"/>
    <w:rsid w:val="000E2331"/>
    <w:rsid w:val="000E253D"/>
    <w:rsid w:val="000E266D"/>
    <w:rsid w:val="000E2841"/>
    <w:rsid w:val="000E2883"/>
    <w:rsid w:val="000E290E"/>
    <w:rsid w:val="000E2EF5"/>
    <w:rsid w:val="000E2F2F"/>
    <w:rsid w:val="000E300B"/>
    <w:rsid w:val="000E3103"/>
    <w:rsid w:val="000E3155"/>
    <w:rsid w:val="000E3258"/>
    <w:rsid w:val="000E3388"/>
    <w:rsid w:val="000E35B0"/>
    <w:rsid w:val="000E376F"/>
    <w:rsid w:val="000E3813"/>
    <w:rsid w:val="000E38A9"/>
    <w:rsid w:val="000E3B33"/>
    <w:rsid w:val="000E3B53"/>
    <w:rsid w:val="000E3BBB"/>
    <w:rsid w:val="000E3EF5"/>
    <w:rsid w:val="000E3F90"/>
    <w:rsid w:val="000E4013"/>
    <w:rsid w:val="000E4174"/>
    <w:rsid w:val="000E4197"/>
    <w:rsid w:val="000E42C2"/>
    <w:rsid w:val="000E433E"/>
    <w:rsid w:val="000E46D0"/>
    <w:rsid w:val="000E496C"/>
    <w:rsid w:val="000E4BBC"/>
    <w:rsid w:val="000E4C0D"/>
    <w:rsid w:val="000E4D71"/>
    <w:rsid w:val="000E4E7B"/>
    <w:rsid w:val="000E5012"/>
    <w:rsid w:val="000E50CB"/>
    <w:rsid w:val="000E52B0"/>
    <w:rsid w:val="000E530D"/>
    <w:rsid w:val="000E53B9"/>
    <w:rsid w:val="000E53CC"/>
    <w:rsid w:val="000E5551"/>
    <w:rsid w:val="000E56B5"/>
    <w:rsid w:val="000E5B59"/>
    <w:rsid w:val="000E5C40"/>
    <w:rsid w:val="000E5D9B"/>
    <w:rsid w:val="000E60A9"/>
    <w:rsid w:val="000E6624"/>
    <w:rsid w:val="000E6665"/>
    <w:rsid w:val="000E66F9"/>
    <w:rsid w:val="000E675B"/>
    <w:rsid w:val="000E6AB9"/>
    <w:rsid w:val="000E6B97"/>
    <w:rsid w:val="000E6FFD"/>
    <w:rsid w:val="000E7020"/>
    <w:rsid w:val="000E70C0"/>
    <w:rsid w:val="000E7263"/>
    <w:rsid w:val="000E72B3"/>
    <w:rsid w:val="000E73CB"/>
    <w:rsid w:val="000E73F0"/>
    <w:rsid w:val="000E750E"/>
    <w:rsid w:val="000E7709"/>
    <w:rsid w:val="000E7966"/>
    <w:rsid w:val="000E7A50"/>
    <w:rsid w:val="000E7A5D"/>
    <w:rsid w:val="000E7AE1"/>
    <w:rsid w:val="000E7D60"/>
    <w:rsid w:val="000E7EF1"/>
    <w:rsid w:val="000E7F83"/>
    <w:rsid w:val="000E7F8E"/>
    <w:rsid w:val="000E7FD6"/>
    <w:rsid w:val="000F001C"/>
    <w:rsid w:val="000F00EE"/>
    <w:rsid w:val="000F0160"/>
    <w:rsid w:val="000F0353"/>
    <w:rsid w:val="000F071A"/>
    <w:rsid w:val="000F0838"/>
    <w:rsid w:val="000F08E7"/>
    <w:rsid w:val="000F0990"/>
    <w:rsid w:val="000F09EE"/>
    <w:rsid w:val="000F0A24"/>
    <w:rsid w:val="000F0B7A"/>
    <w:rsid w:val="000F1060"/>
    <w:rsid w:val="000F1137"/>
    <w:rsid w:val="000F12D8"/>
    <w:rsid w:val="000F1652"/>
    <w:rsid w:val="000F165F"/>
    <w:rsid w:val="000F167A"/>
    <w:rsid w:val="000F1937"/>
    <w:rsid w:val="000F1B4A"/>
    <w:rsid w:val="000F1B92"/>
    <w:rsid w:val="000F1CBE"/>
    <w:rsid w:val="000F1D2A"/>
    <w:rsid w:val="000F1E54"/>
    <w:rsid w:val="000F1F50"/>
    <w:rsid w:val="000F2324"/>
    <w:rsid w:val="000F23A6"/>
    <w:rsid w:val="000F260E"/>
    <w:rsid w:val="000F26A1"/>
    <w:rsid w:val="000F27A8"/>
    <w:rsid w:val="000F294E"/>
    <w:rsid w:val="000F29C8"/>
    <w:rsid w:val="000F2A46"/>
    <w:rsid w:val="000F2A81"/>
    <w:rsid w:val="000F2C1F"/>
    <w:rsid w:val="000F2D7D"/>
    <w:rsid w:val="000F314C"/>
    <w:rsid w:val="000F3309"/>
    <w:rsid w:val="000F336C"/>
    <w:rsid w:val="000F3393"/>
    <w:rsid w:val="000F33A7"/>
    <w:rsid w:val="000F3405"/>
    <w:rsid w:val="000F3419"/>
    <w:rsid w:val="000F348B"/>
    <w:rsid w:val="000F35E6"/>
    <w:rsid w:val="000F3872"/>
    <w:rsid w:val="000F39C5"/>
    <w:rsid w:val="000F3BB6"/>
    <w:rsid w:val="000F3D02"/>
    <w:rsid w:val="000F3E2A"/>
    <w:rsid w:val="000F3F16"/>
    <w:rsid w:val="000F3F6D"/>
    <w:rsid w:val="000F416C"/>
    <w:rsid w:val="000F42B2"/>
    <w:rsid w:val="000F43CC"/>
    <w:rsid w:val="000F4705"/>
    <w:rsid w:val="000F4806"/>
    <w:rsid w:val="000F48C4"/>
    <w:rsid w:val="000F4BAA"/>
    <w:rsid w:val="000F4C60"/>
    <w:rsid w:val="000F4E8B"/>
    <w:rsid w:val="000F504C"/>
    <w:rsid w:val="000F506F"/>
    <w:rsid w:val="000F50AA"/>
    <w:rsid w:val="000F5138"/>
    <w:rsid w:val="000F5341"/>
    <w:rsid w:val="000F5445"/>
    <w:rsid w:val="000F56AC"/>
    <w:rsid w:val="000F5773"/>
    <w:rsid w:val="000F579B"/>
    <w:rsid w:val="000F57A3"/>
    <w:rsid w:val="000F5CDC"/>
    <w:rsid w:val="000F5FFD"/>
    <w:rsid w:val="000F60CF"/>
    <w:rsid w:val="000F63D7"/>
    <w:rsid w:val="000F650F"/>
    <w:rsid w:val="000F6540"/>
    <w:rsid w:val="000F661D"/>
    <w:rsid w:val="000F6691"/>
    <w:rsid w:val="000F6702"/>
    <w:rsid w:val="000F69D1"/>
    <w:rsid w:val="000F6B00"/>
    <w:rsid w:val="000F6B6B"/>
    <w:rsid w:val="000F6E64"/>
    <w:rsid w:val="000F6EAF"/>
    <w:rsid w:val="000F71CF"/>
    <w:rsid w:val="000F72A7"/>
    <w:rsid w:val="000F7436"/>
    <w:rsid w:val="000F76AA"/>
    <w:rsid w:val="000F76BC"/>
    <w:rsid w:val="000F7764"/>
    <w:rsid w:val="000F7801"/>
    <w:rsid w:val="000F7860"/>
    <w:rsid w:val="000F7B3D"/>
    <w:rsid w:val="000F7BCF"/>
    <w:rsid w:val="000F7C17"/>
    <w:rsid w:val="000F7E42"/>
    <w:rsid w:val="000F7FD9"/>
    <w:rsid w:val="001000CE"/>
    <w:rsid w:val="0010017F"/>
    <w:rsid w:val="00100367"/>
    <w:rsid w:val="00100372"/>
    <w:rsid w:val="0010039C"/>
    <w:rsid w:val="00100428"/>
    <w:rsid w:val="00100871"/>
    <w:rsid w:val="00100A7A"/>
    <w:rsid w:val="00100AD4"/>
    <w:rsid w:val="00100CD9"/>
    <w:rsid w:val="00100D38"/>
    <w:rsid w:val="00100F3A"/>
    <w:rsid w:val="00101011"/>
    <w:rsid w:val="00101175"/>
    <w:rsid w:val="00101312"/>
    <w:rsid w:val="00101459"/>
    <w:rsid w:val="001014EE"/>
    <w:rsid w:val="00101790"/>
    <w:rsid w:val="00101812"/>
    <w:rsid w:val="00101A8B"/>
    <w:rsid w:val="00102259"/>
    <w:rsid w:val="0010236C"/>
    <w:rsid w:val="001023A0"/>
    <w:rsid w:val="00102421"/>
    <w:rsid w:val="001024EA"/>
    <w:rsid w:val="001025D1"/>
    <w:rsid w:val="001025E3"/>
    <w:rsid w:val="00102779"/>
    <w:rsid w:val="00102780"/>
    <w:rsid w:val="00102797"/>
    <w:rsid w:val="001029E5"/>
    <w:rsid w:val="00102DF1"/>
    <w:rsid w:val="00103154"/>
    <w:rsid w:val="0010344C"/>
    <w:rsid w:val="0010349F"/>
    <w:rsid w:val="00103957"/>
    <w:rsid w:val="00103A47"/>
    <w:rsid w:val="00103C0F"/>
    <w:rsid w:val="00103D49"/>
    <w:rsid w:val="00103E87"/>
    <w:rsid w:val="00103F65"/>
    <w:rsid w:val="00104333"/>
    <w:rsid w:val="00104399"/>
    <w:rsid w:val="00104545"/>
    <w:rsid w:val="00104579"/>
    <w:rsid w:val="00104691"/>
    <w:rsid w:val="001046B7"/>
    <w:rsid w:val="001047CD"/>
    <w:rsid w:val="0010485E"/>
    <w:rsid w:val="00104890"/>
    <w:rsid w:val="0010497D"/>
    <w:rsid w:val="001049A3"/>
    <w:rsid w:val="00104BBD"/>
    <w:rsid w:val="00104D6B"/>
    <w:rsid w:val="00104EFD"/>
    <w:rsid w:val="001051B9"/>
    <w:rsid w:val="001052B1"/>
    <w:rsid w:val="00105466"/>
    <w:rsid w:val="001055C8"/>
    <w:rsid w:val="00105709"/>
    <w:rsid w:val="001057E8"/>
    <w:rsid w:val="001057FF"/>
    <w:rsid w:val="001059B9"/>
    <w:rsid w:val="00105A3B"/>
    <w:rsid w:val="00105B0F"/>
    <w:rsid w:val="00105BE3"/>
    <w:rsid w:val="00105C73"/>
    <w:rsid w:val="00106549"/>
    <w:rsid w:val="00106B4D"/>
    <w:rsid w:val="00106DD2"/>
    <w:rsid w:val="00106E2C"/>
    <w:rsid w:val="00106F0D"/>
    <w:rsid w:val="00106F62"/>
    <w:rsid w:val="001071A1"/>
    <w:rsid w:val="0010733C"/>
    <w:rsid w:val="00107461"/>
    <w:rsid w:val="00107528"/>
    <w:rsid w:val="00107571"/>
    <w:rsid w:val="00107BC5"/>
    <w:rsid w:val="00107C9F"/>
    <w:rsid w:val="00107DE3"/>
    <w:rsid w:val="00107F7B"/>
    <w:rsid w:val="0011004C"/>
    <w:rsid w:val="00110478"/>
    <w:rsid w:val="001105F0"/>
    <w:rsid w:val="00110780"/>
    <w:rsid w:val="00110842"/>
    <w:rsid w:val="00110AAF"/>
    <w:rsid w:val="00110D3B"/>
    <w:rsid w:val="00110DA9"/>
    <w:rsid w:val="00110EF1"/>
    <w:rsid w:val="00111298"/>
    <w:rsid w:val="00111523"/>
    <w:rsid w:val="0011175D"/>
    <w:rsid w:val="0011180D"/>
    <w:rsid w:val="00111834"/>
    <w:rsid w:val="00111B31"/>
    <w:rsid w:val="00111BFF"/>
    <w:rsid w:val="00111D10"/>
    <w:rsid w:val="00111D61"/>
    <w:rsid w:val="00111E62"/>
    <w:rsid w:val="00111E88"/>
    <w:rsid w:val="00111E8D"/>
    <w:rsid w:val="00111F7B"/>
    <w:rsid w:val="001121C1"/>
    <w:rsid w:val="00112290"/>
    <w:rsid w:val="001122F3"/>
    <w:rsid w:val="001125BE"/>
    <w:rsid w:val="001127BB"/>
    <w:rsid w:val="001128D0"/>
    <w:rsid w:val="00112ADF"/>
    <w:rsid w:val="00112E2F"/>
    <w:rsid w:val="00112EFC"/>
    <w:rsid w:val="00113033"/>
    <w:rsid w:val="0011310C"/>
    <w:rsid w:val="0011319A"/>
    <w:rsid w:val="001131A3"/>
    <w:rsid w:val="001131AA"/>
    <w:rsid w:val="001131AB"/>
    <w:rsid w:val="001132DE"/>
    <w:rsid w:val="0011337C"/>
    <w:rsid w:val="00113397"/>
    <w:rsid w:val="001134B6"/>
    <w:rsid w:val="001134D3"/>
    <w:rsid w:val="0011355B"/>
    <w:rsid w:val="001135C8"/>
    <w:rsid w:val="001137D8"/>
    <w:rsid w:val="00113E7F"/>
    <w:rsid w:val="00114103"/>
    <w:rsid w:val="00114124"/>
    <w:rsid w:val="0011412D"/>
    <w:rsid w:val="00114444"/>
    <w:rsid w:val="0011445D"/>
    <w:rsid w:val="0011447A"/>
    <w:rsid w:val="00114485"/>
    <w:rsid w:val="001144C7"/>
    <w:rsid w:val="001145EE"/>
    <w:rsid w:val="00114649"/>
    <w:rsid w:val="001146A8"/>
    <w:rsid w:val="001146B3"/>
    <w:rsid w:val="00114798"/>
    <w:rsid w:val="00114962"/>
    <w:rsid w:val="00114A28"/>
    <w:rsid w:val="00114A33"/>
    <w:rsid w:val="00114D51"/>
    <w:rsid w:val="00114D6E"/>
    <w:rsid w:val="00114D8F"/>
    <w:rsid w:val="00115256"/>
    <w:rsid w:val="001152DA"/>
    <w:rsid w:val="0011550B"/>
    <w:rsid w:val="00115531"/>
    <w:rsid w:val="00115683"/>
    <w:rsid w:val="00115699"/>
    <w:rsid w:val="001156A3"/>
    <w:rsid w:val="00115834"/>
    <w:rsid w:val="001158E8"/>
    <w:rsid w:val="00115A92"/>
    <w:rsid w:val="00115AF8"/>
    <w:rsid w:val="00115EB2"/>
    <w:rsid w:val="001162A6"/>
    <w:rsid w:val="001162F6"/>
    <w:rsid w:val="001164A2"/>
    <w:rsid w:val="001166B9"/>
    <w:rsid w:val="001166DA"/>
    <w:rsid w:val="00116737"/>
    <w:rsid w:val="00116889"/>
    <w:rsid w:val="001168C0"/>
    <w:rsid w:val="00116CA1"/>
    <w:rsid w:val="00116D29"/>
    <w:rsid w:val="00116D83"/>
    <w:rsid w:val="00116F40"/>
    <w:rsid w:val="00116FCF"/>
    <w:rsid w:val="0011701D"/>
    <w:rsid w:val="00117152"/>
    <w:rsid w:val="001171BC"/>
    <w:rsid w:val="0011754A"/>
    <w:rsid w:val="00117699"/>
    <w:rsid w:val="00117733"/>
    <w:rsid w:val="001177F1"/>
    <w:rsid w:val="00117887"/>
    <w:rsid w:val="00117971"/>
    <w:rsid w:val="00117C91"/>
    <w:rsid w:val="00117CAE"/>
    <w:rsid w:val="00117D8D"/>
    <w:rsid w:val="00117F29"/>
    <w:rsid w:val="001200FF"/>
    <w:rsid w:val="00120121"/>
    <w:rsid w:val="00120190"/>
    <w:rsid w:val="00120348"/>
    <w:rsid w:val="001203E4"/>
    <w:rsid w:val="001205FD"/>
    <w:rsid w:val="001207A6"/>
    <w:rsid w:val="00120816"/>
    <w:rsid w:val="00120AE6"/>
    <w:rsid w:val="00120C21"/>
    <w:rsid w:val="00120D6E"/>
    <w:rsid w:val="00120EE9"/>
    <w:rsid w:val="001212E7"/>
    <w:rsid w:val="001213EE"/>
    <w:rsid w:val="00121457"/>
    <w:rsid w:val="001214A2"/>
    <w:rsid w:val="001214A7"/>
    <w:rsid w:val="001217A5"/>
    <w:rsid w:val="001217FE"/>
    <w:rsid w:val="00121B4A"/>
    <w:rsid w:val="00121EB9"/>
    <w:rsid w:val="00122498"/>
    <w:rsid w:val="001225DA"/>
    <w:rsid w:val="001226D8"/>
    <w:rsid w:val="0012286C"/>
    <w:rsid w:val="00122B6D"/>
    <w:rsid w:val="00122BEF"/>
    <w:rsid w:val="00122CEA"/>
    <w:rsid w:val="00122E02"/>
    <w:rsid w:val="00122F57"/>
    <w:rsid w:val="001230E7"/>
    <w:rsid w:val="00123108"/>
    <w:rsid w:val="00123116"/>
    <w:rsid w:val="001231BB"/>
    <w:rsid w:val="001231DF"/>
    <w:rsid w:val="00123231"/>
    <w:rsid w:val="0012327D"/>
    <w:rsid w:val="00123370"/>
    <w:rsid w:val="001233A3"/>
    <w:rsid w:val="001233CE"/>
    <w:rsid w:val="001233DB"/>
    <w:rsid w:val="00123702"/>
    <w:rsid w:val="001237BD"/>
    <w:rsid w:val="0012382B"/>
    <w:rsid w:val="00123A4A"/>
    <w:rsid w:val="00123BAB"/>
    <w:rsid w:val="00123C57"/>
    <w:rsid w:val="00123D0C"/>
    <w:rsid w:val="00123D11"/>
    <w:rsid w:val="00123D14"/>
    <w:rsid w:val="00123DDF"/>
    <w:rsid w:val="00123ED3"/>
    <w:rsid w:val="00123F37"/>
    <w:rsid w:val="00123F62"/>
    <w:rsid w:val="00123F91"/>
    <w:rsid w:val="00123FCD"/>
    <w:rsid w:val="00124034"/>
    <w:rsid w:val="001241FF"/>
    <w:rsid w:val="00124567"/>
    <w:rsid w:val="0012490A"/>
    <w:rsid w:val="00124B3B"/>
    <w:rsid w:val="00124B4F"/>
    <w:rsid w:val="00124DA8"/>
    <w:rsid w:val="00124E29"/>
    <w:rsid w:val="00124F01"/>
    <w:rsid w:val="0012505C"/>
    <w:rsid w:val="0012507A"/>
    <w:rsid w:val="001251AA"/>
    <w:rsid w:val="0012532D"/>
    <w:rsid w:val="0012533F"/>
    <w:rsid w:val="0012537A"/>
    <w:rsid w:val="001255EF"/>
    <w:rsid w:val="001256A2"/>
    <w:rsid w:val="00125818"/>
    <w:rsid w:val="0012588F"/>
    <w:rsid w:val="00125953"/>
    <w:rsid w:val="00125A5B"/>
    <w:rsid w:val="00125AD6"/>
    <w:rsid w:val="00125B19"/>
    <w:rsid w:val="00125E82"/>
    <w:rsid w:val="00125F79"/>
    <w:rsid w:val="00126051"/>
    <w:rsid w:val="00126081"/>
    <w:rsid w:val="0012615E"/>
    <w:rsid w:val="00126161"/>
    <w:rsid w:val="00126285"/>
    <w:rsid w:val="00126782"/>
    <w:rsid w:val="001268BC"/>
    <w:rsid w:val="00126AD9"/>
    <w:rsid w:val="00126BA7"/>
    <w:rsid w:val="00126BF8"/>
    <w:rsid w:val="00126BFB"/>
    <w:rsid w:val="00126D4D"/>
    <w:rsid w:val="00127266"/>
    <w:rsid w:val="0012739F"/>
    <w:rsid w:val="0012775F"/>
    <w:rsid w:val="001277DF"/>
    <w:rsid w:val="0012783C"/>
    <w:rsid w:val="00127B02"/>
    <w:rsid w:val="00127B41"/>
    <w:rsid w:val="00127B7A"/>
    <w:rsid w:val="00127BB0"/>
    <w:rsid w:val="00127C05"/>
    <w:rsid w:val="00127E52"/>
    <w:rsid w:val="00127E69"/>
    <w:rsid w:val="00127EAC"/>
    <w:rsid w:val="00127EB6"/>
    <w:rsid w:val="00127F49"/>
    <w:rsid w:val="001300BE"/>
    <w:rsid w:val="001300BF"/>
    <w:rsid w:val="0013027D"/>
    <w:rsid w:val="0013033A"/>
    <w:rsid w:val="001304BE"/>
    <w:rsid w:val="001307A0"/>
    <w:rsid w:val="001308D4"/>
    <w:rsid w:val="00130B19"/>
    <w:rsid w:val="00130C30"/>
    <w:rsid w:val="00130C95"/>
    <w:rsid w:val="00130D78"/>
    <w:rsid w:val="00130D99"/>
    <w:rsid w:val="001310B5"/>
    <w:rsid w:val="001311B4"/>
    <w:rsid w:val="001312FD"/>
    <w:rsid w:val="001313A5"/>
    <w:rsid w:val="0013145D"/>
    <w:rsid w:val="00131534"/>
    <w:rsid w:val="0013178B"/>
    <w:rsid w:val="00131A65"/>
    <w:rsid w:val="00131C07"/>
    <w:rsid w:val="00131CB3"/>
    <w:rsid w:val="00131E16"/>
    <w:rsid w:val="00131FA9"/>
    <w:rsid w:val="001322A5"/>
    <w:rsid w:val="001322C7"/>
    <w:rsid w:val="0013244C"/>
    <w:rsid w:val="001324D4"/>
    <w:rsid w:val="001325A8"/>
    <w:rsid w:val="001326DE"/>
    <w:rsid w:val="0013272C"/>
    <w:rsid w:val="00132845"/>
    <w:rsid w:val="001328BB"/>
    <w:rsid w:val="0013292A"/>
    <w:rsid w:val="00132A14"/>
    <w:rsid w:val="00132DD7"/>
    <w:rsid w:val="00133020"/>
    <w:rsid w:val="00133108"/>
    <w:rsid w:val="001333F3"/>
    <w:rsid w:val="0013348E"/>
    <w:rsid w:val="0013378C"/>
    <w:rsid w:val="0013387A"/>
    <w:rsid w:val="001338B6"/>
    <w:rsid w:val="001339B3"/>
    <w:rsid w:val="001339CD"/>
    <w:rsid w:val="00133B01"/>
    <w:rsid w:val="00133B2D"/>
    <w:rsid w:val="00133DA3"/>
    <w:rsid w:val="00133F14"/>
    <w:rsid w:val="00133F7C"/>
    <w:rsid w:val="00134183"/>
    <w:rsid w:val="0013440E"/>
    <w:rsid w:val="001344E1"/>
    <w:rsid w:val="00134560"/>
    <w:rsid w:val="00134562"/>
    <w:rsid w:val="00134AD9"/>
    <w:rsid w:val="00134C2A"/>
    <w:rsid w:val="00134C90"/>
    <w:rsid w:val="00134CD4"/>
    <w:rsid w:val="00134CFE"/>
    <w:rsid w:val="00134D7C"/>
    <w:rsid w:val="00134F68"/>
    <w:rsid w:val="00134FAC"/>
    <w:rsid w:val="0013558A"/>
    <w:rsid w:val="0013572F"/>
    <w:rsid w:val="0013584A"/>
    <w:rsid w:val="00135C7E"/>
    <w:rsid w:val="00135CD7"/>
    <w:rsid w:val="00135D16"/>
    <w:rsid w:val="00135D3B"/>
    <w:rsid w:val="001363ED"/>
    <w:rsid w:val="00136430"/>
    <w:rsid w:val="001366AF"/>
    <w:rsid w:val="001369F2"/>
    <w:rsid w:val="00136C13"/>
    <w:rsid w:val="00136D77"/>
    <w:rsid w:val="00136E69"/>
    <w:rsid w:val="00136F11"/>
    <w:rsid w:val="00137177"/>
    <w:rsid w:val="001372B0"/>
    <w:rsid w:val="001372BE"/>
    <w:rsid w:val="001375B4"/>
    <w:rsid w:val="001375F2"/>
    <w:rsid w:val="00137842"/>
    <w:rsid w:val="00137856"/>
    <w:rsid w:val="0013788D"/>
    <w:rsid w:val="00137A24"/>
    <w:rsid w:val="001400D5"/>
    <w:rsid w:val="0014014D"/>
    <w:rsid w:val="0014025E"/>
    <w:rsid w:val="001402DE"/>
    <w:rsid w:val="00140304"/>
    <w:rsid w:val="0014034C"/>
    <w:rsid w:val="001403BD"/>
    <w:rsid w:val="00140699"/>
    <w:rsid w:val="001406FC"/>
    <w:rsid w:val="0014087C"/>
    <w:rsid w:val="0014098F"/>
    <w:rsid w:val="00140BF1"/>
    <w:rsid w:val="00140D92"/>
    <w:rsid w:val="00140E15"/>
    <w:rsid w:val="00141088"/>
    <w:rsid w:val="001411D3"/>
    <w:rsid w:val="0014121B"/>
    <w:rsid w:val="001413CE"/>
    <w:rsid w:val="00141414"/>
    <w:rsid w:val="0014159E"/>
    <w:rsid w:val="0014160D"/>
    <w:rsid w:val="001416E3"/>
    <w:rsid w:val="001418AC"/>
    <w:rsid w:val="00141A21"/>
    <w:rsid w:val="00141C96"/>
    <w:rsid w:val="00141F01"/>
    <w:rsid w:val="00141FC4"/>
    <w:rsid w:val="00142123"/>
    <w:rsid w:val="001422FA"/>
    <w:rsid w:val="001429FE"/>
    <w:rsid w:val="00142AF8"/>
    <w:rsid w:val="00142CA2"/>
    <w:rsid w:val="00142CB1"/>
    <w:rsid w:val="00142E17"/>
    <w:rsid w:val="00142E56"/>
    <w:rsid w:val="00142E91"/>
    <w:rsid w:val="00143126"/>
    <w:rsid w:val="00143143"/>
    <w:rsid w:val="0014328D"/>
    <w:rsid w:val="0014337B"/>
    <w:rsid w:val="0014358D"/>
    <w:rsid w:val="0014365F"/>
    <w:rsid w:val="001438D9"/>
    <w:rsid w:val="00143A31"/>
    <w:rsid w:val="00143AED"/>
    <w:rsid w:val="00143B65"/>
    <w:rsid w:val="00143E9C"/>
    <w:rsid w:val="00143FE9"/>
    <w:rsid w:val="001440A4"/>
    <w:rsid w:val="00144101"/>
    <w:rsid w:val="00144302"/>
    <w:rsid w:val="00144453"/>
    <w:rsid w:val="001444BA"/>
    <w:rsid w:val="00144913"/>
    <w:rsid w:val="001449C7"/>
    <w:rsid w:val="00144B37"/>
    <w:rsid w:val="00144EA9"/>
    <w:rsid w:val="00145208"/>
    <w:rsid w:val="001452BE"/>
    <w:rsid w:val="001456C8"/>
    <w:rsid w:val="001456E9"/>
    <w:rsid w:val="001456FC"/>
    <w:rsid w:val="00145747"/>
    <w:rsid w:val="001457C7"/>
    <w:rsid w:val="001457E4"/>
    <w:rsid w:val="00145837"/>
    <w:rsid w:val="00145BBD"/>
    <w:rsid w:val="00145D90"/>
    <w:rsid w:val="00145F0A"/>
    <w:rsid w:val="00145FB9"/>
    <w:rsid w:val="001461C6"/>
    <w:rsid w:val="00146419"/>
    <w:rsid w:val="001465FC"/>
    <w:rsid w:val="00146653"/>
    <w:rsid w:val="00146797"/>
    <w:rsid w:val="001467A3"/>
    <w:rsid w:val="00146A16"/>
    <w:rsid w:val="00146B65"/>
    <w:rsid w:val="00146DAE"/>
    <w:rsid w:val="00146EE9"/>
    <w:rsid w:val="00147023"/>
    <w:rsid w:val="00147029"/>
    <w:rsid w:val="00147056"/>
    <w:rsid w:val="00147228"/>
    <w:rsid w:val="001472CA"/>
    <w:rsid w:val="001474E4"/>
    <w:rsid w:val="001476B1"/>
    <w:rsid w:val="00147750"/>
    <w:rsid w:val="00147CBE"/>
    <w:rsid w:val="001504DD"/>
    <w:rsid w:val="001504E8"/>
    <w:rsid w:val="0015060C"/>
    <w:rsid w:val="00150918"/>
    <w:rsid w:val="00150929"/>
    <w:rsid w:val="00150A10"/>
    <w:rsid w:val="00150D59"/>
    <w:rsid w:val="00150EF8"/>
    <w:rsid w:val="00151099"/>
    <w:rsid w:val="00151156"/>
    <w:rsid w:val="00151193"/>
    <w:rsid w:val="001511D1"/>
    <w:rsid w:val="00151220"/>
    <w:rsid w:val="00151228"/>
    <w:rsid w:val="001512E2"/>
    <w:rsid w:val="0015150A"/>
    <w:rsid w:val="00151780"/>
    <w:rsid w:val="001517BF"/>
    <w:rsid w:val="00151E43"/>
    <w:rsid w:val="00151F13"/>
    <w:rsid w:val="00152006"/>
    <w:rsid w:val="00152009"/>
    <w:rsid w:val="0015204F"/>
    <w:rsid w:val="001520AB"/>
    <w:rsid w:val="00152174"/>
    <w:rsid w:val="0015217B"/>
    <w:rsid w:val="00152233"/>
    <w:rsid w:val="0015233F"/>
    <w:rsid w:val="00152427"/>
    <w:rsid w:val="00152567"/>
    <w:rsid w:val="0015266F"/>
    <w:rsid w:val="0015267F"/>
    <w:rsid w:val="00152745"/>
    <w:rsid w:val="00152857"/>
    <w:rsid w:val="001528A8"/>
    <w:rsid w:val="001529F8"/>
    <w:rsid w:val="00152BA8"/>
    <w:rsid w:val="00152F1C"/>
    <w:rsid w:val="001530FD"/>
    <w:rsid w:val="0015337D"/>
    <w:rsid w:val="00153423"/>
    <w:rsid w:val="001534DE"/>
    <w:rsid w:val="0015359C"/>
    <w:rsid w:val="001537C8"/>
    <w:rsid w:val="001538BE"/>
    <w:rsid w:val="001539A1"/>
    <w:rsid w:val="001539F1"/>
    <w:rsid w:val="00153A76"/>
    <w:rsid w:val="00153AAA"/>
    <w:rsid w:val="00153C1D"/>
    <w:rsid w:val="00153DEC"/>
    <w:rsid w:val="00153FCC"/>
    <w:rsid w:val="001542E3"/>
    <w:rsid w:val="001543E9"/>
    <w:rsid w:val="0015444F"/>
    <w:rsid w:val="001548BF"/>
    <w:rsid w:val="001548C1"/>
    <w:rsid w:val="00154AAD"/>
    <w:rsid w:val="00154C5D"/>
    <w:rsid w:val="00154DA3"/>
    <w:rsid w:val="00154E1E"/>
    <w:rsid w:val="00154F7C"/>
    <w:rsid w:val="00155131"/>
    <w:rsid w:val="00155177"/>
    <w:rsid w:val="00155223"/>
    <w:rsid w:val="00155306"/>
    <w:rsid w:val="001553BB"/>
    <w:rsid w:val="001555C7"/>
    <w:rsid w:val="00155698"/>
    <w:rsid w:val="0015573C"/>
    <w:rsid w:val="001557D2"/>
    <w:rsid w:val="00155980"/>
    <w:rsid w:val="00155DB6"/>
    <w:rsid w:val="00155EEB"/>
    <w:rsid w:val="00155EED"/>
    <w:rsid w:val="001560AE"/>
    <w:rsid w:val="001560CE"/>
    <w:rsid w:val="00156359"/>
    <w:rsid w:val="00156441"/>
    <w:rsid w:val="00156659"/>
    <w:rsid w:val="001566B1"/>
    <w:rsid w:val="00156872"/>
    <w:rsid w:val="00156911"/>
    <w:rsid w:val="00156A38"/>
    <w:rsid w:val="00156ABA"/>
    <w:rsid w:val="00156BAA"/>
    <w:rsid w:val="00156C73"/>
    <w:rsid w:val="00156C7D"/>
    <w:rsid w:val="00156CB1"/>
    <w:rsid w:val="0015733C"/>
    <w:rsid w:val="0015737C"/>
    <w:rsid w:val="001573AA"/>
    <w:rsid w:val="001574C0"/>
    <w:rsid w:val="001575E8"/>
    <w:rsid w:val="0015764C"/>
    <w:rsid w:val="001579B7"/>
    <w:rsid w:val="00157AF7"/>
    <w:rsid w:val="00157BA4"/>
    <w:rsid w:val="00157CCB"/>
    <w:rsid w:val="00157D7A"/>
    <w:rsid w:val="00157DF3"/>
    <w:rsid w:val="00157F8C"/>
    <w:rsid w:val="00157F9E"/>
    <w:rsid w:val="0016003B"/>
    <w:rsid w:val="001603FD"/>
    <w:rsid w:val="001606FF"/>
    <w:rsid w:val="00160846"/>
    <w:rsid w:val="00160877"/>
    <w:rsid w:val="001608C1"/>
    <w:rsid w:val="00160928"/>
    <w:rsid w:val="00160D1C"/>
    <w:rsid w:val="00160F5A"/>
    <w:rsid w:val="00160F88"/>
    <w:rsid w:val="00161143"/>
    <w:rsid w:val="00161171"/>
    <w:rsid w:val="0016129B"/>
    <w:rsid w:val="00161377"/>
    <w:rsid w:val="001615EE"/>
    <w:rsid w:val="001616BE"/>
    <w:rsid w:val="0016198E"/>
    <w:rsid w:val="001619A7"/>
    <w:rsid w:val="00161B3E"/>
    <w:rsid w:val="00161C9D"/>
    <w:rsid w:val="00161D22"/>
    <w:rsid w:val="00161E57"/>
    <w:rsid w:val="00161EFF"/>
    <w:rsid w:val="00161F6A"/>
    <w:rsid w:val="00162124"/>
    <w:rsid w:val="00162139"/>
    <w:rsid w:val="001621A7"/>
    <w:rsid w:val="001621C5"/>
    <w:rsid w:val="001624FA"/>
    <w:rsid w:val="00162553"/>
    <w:rsid w:val="001625CC"/>
    <w:rsid w:val="0016262E"/>
    <w:rsid w:val="00162986"/>
    <w:rsid w:val="001629D4"/>
    <w:rsid w:val="00162A17"/>
    <w:rsid w:val="00162A32"/>
    <w:rsid w:val="00162B79"/>
    <w:rsid w:val="00162B8C"/>
    <w:rsid w:val="00162B9F"/>
    <w:rsid w:val="00162C31"/>
    <w:rsid w:val="00162ED8"/>
    <w:rsid w:val="00163016"/>
    <w:rsid w:val="001635A7"/>
    <w:rsid w:val="001635B9"/>
    <w:rsid w:val="0016369B"/>
    <w:rsid w:val="001637AA"/>
    <w:rsid w:val="001637E0"/>
    <w:rsid w:val="00163800"/>
    <w:rsid w:val="00163936"/>
    <w:rsid w:val="00163A4E"/>
    <w:rsid w:val="00163B24"/>
    <w:rsid w:val="00163BB5"/>
    <w:rsid w:val="00163BB7"/>
    <w:rsid w:val="00163CF5"/>
    <w:rsid w:val="00163D07"/>
    <w:rsid w:val="00163D24"/>
    <w:rsid w:val="00164342"/>
    <w:rsid w:val="00164371"/>
    <w:rsid w:val="001643E9"/>
    <w:rsid w:val="00164572"/>
    <w:rsid w:val="001645FC"/>
    <w:rsid w:val="001646A6"/>
    <w:rsid w:val="00164845"/>
    <w:rsid w:val="001648A1"/>
    <w:rsid w:val="001649DF"/>
    <w:rsid w:val="00164ACB"/>
    <w:rsid w:val="00164C83"/>
    <w:rsid w:val="00165030"/>
    <w:rsid w:val="00165067"/>
    <w:rsid w:val="001650B4"/>
    <w:rsid w:val="001650D6"/>
    <w:rsid w:val="00165131"/>
    <w:rsid w:val="00165249"/>
    <w:rsid w:val="001658C5"/>
    <w:rsid w:val="00165985"/>
    <w:rsid w:val="00165A0D"/>
    <w:rsid w:val="00165AAF"/>
    <w:rsid w:val="00165B88"/>
    <w:rsid w:val="00165C01"/>
    <w:rsid w:val="00165C46"/>
    <w:rsid w:val="00165E17"/>
    <w:rsid w:val="00165F35"/>
    <w:rsid w:val="0016613E"/>
    <w:rsid w:val="0016619B"/>
    <w:rsid w:val="001662BC"/>
    <w:rsid w:val="001667C2"/>
    <w:rsid w:val="00166858"/>
    <w:rsid w:val="001668E1"/>
    <w:rsid w:val="0016690E"/>
    <w:rsid w:val="001669D0"/>
    <w:rsid w:val="00166A96"/>
    <w:rsid w:val="00166BA6"/>
    <w:rsid w:val="00166BC4"/>
    <w:rsid w:val="00166CE9"/>
    <w:rsid w:val="00166DE9"/>
    <w:rsid w:val="00166E07"/>
    <w:rsid w:val="00166E3B"/>
    <w:rsid w:val="00166E9E"/>
    <w:rsid w:val="00166F86"/>
    <w:rsid w:val="00167374"/>
    <w:rsid w:val="00167566"/>
    <w:rsid w:val="00167578"/>
    <w:rsid w:val="001675E7"/>
    <w:rsid w:val="001677A3"/>
    <w:rsid w:val="001677F5"/>
    <w:rsid w:val="0016780E"/>
    <w:rsid w:val="0016794F"/>
    <w:rsid w:val="00167AA3"/>
    <w:rsid w:val="00167ABC"/>
    <w:rsid w:val="00167EBF"/>
    <w:rsid w:val="00167F54"/>
    <w:rsid w:val="00170340"/>
    <w:rsid w:val="0017058C"/>
    <w:rsid w:val="001709E9"/>
    <w:rsid w:val="00170AF3"/>
    <w:rsid w:val="001714B3"/>
    <w:rsid w:val="00171578"/>
    <w:rsid w:val="0017172E"/>
    <w:rsid w:val="00171947"/>
    <w:rsid w:val="00171AD7"/>
    <w:rsid w:val="00171E45"/>
    <w:rsid w:val="00171FBB"/>
    <w:rsid w:val="001720C5"/>
    <w:rsid w:val="00172182"/>
    <w:rsid w:val="001721AA"/>
    <w:rsid w:val="001721B9"/>
    <w:rsid w:val="00172335"/>
    <w:rsid w:val="0017233E"/>
    <w:rsid w:val="00172393"/>
    <w:rsid w:val="00172480"/>
    <w:rsid w:val="001724E7"/>
    <w:rsid w:val="001726DA"/>
    <w:rsid w:val="0017272D"/>
    <w:rsid w:val="00172822"/>
    <w:rsid w:val="00172A27"/>
    <w:rsid w:val="00172A51"/>
    <w:rsid w:val="00172B83"/>
    <w:rsid w:val="00172B86"/>
    <w:rsid w:val="00172BAD"/>
    <w:rsid w:val="00172C49"/>
    <w:rsid w:val="00172CFE"/>
    <w:rsid w:val="00172E87"/>
    <w:rsid w:val="00173183"/>
    <w:rsid w:val="001731E1"/>
    <w:rsid w:val="001731EF"/>
    <w:rsid w:val="0017358B"/>
    <w:rsid w:val="0017358E"/>
    <w:rsid w:val="001736A9"/>
    <w:rsid w:val="001736AA"/>
    <w:rsid w:val="001737F2"/>
    <w:rsid w:val="001738D1"/>
    <w:rsid w:val="00173929"/>
    <w:rsid w:val="00173AE8"/>
    <w:rsid w:val="00173B39"/>
    <w:rsid w:val="00173BEA"/>
    <w:rsid w:val="00173C5C"/>
    <w:rsid w:val="00173CFB"/>
    <w:rsid w:val="00173E3C"/>
    <w:rsid w:val="001740EF"/>
    <w:rsid w:val="0017416A"/>
    <w:rsid w:val="001741E4"/>
    <w:rsid w:val="00174455"/>
    <w:rsid w:val="001744A5"/>
    <w:rsid w:val="001745A4"/>
    <w:rsid w:val="00174979"/>
    <w:rsid w:val="00174ADA"/>
    <w:rsid w:val="00174ADE"/>
    <w:rsid w:val="00174BB8"/>
    <w:rsid w:val="00174E40"/>
    <w:rsid w:val="00174F8D"/>
    <w:rsid w:val="001751F6"/>
    <w:rsid w:val="00175448"/>
    <w:rsid w:val="001755E3"/>
    <w:rsid w:val="001756A7"/>
    <w:rsid w:val="0017588D"/>
    <w:rsid w:val="001758CF"/>
    <w:rsid w:val="00175950"/>
    <w:rsid w:val="00175A00"/>
    <w:rsid w:val="00175BB9"/>
    <w:rsid w:val="00175E5A"/>
    <w:rsid w:val="001760B9"/>
    <w:rsid w:val="001763E5"/>
    <w:rsid w:val="00176620"/>
    <w:rsid w:val="00176708"/>
    <w:rsid w:val="00176901"/>
    <w:rsid w:val="00176CA2"/>
    <w:rsid w:val="00176E27"/>
    <w:rsid w:val="00177095"/>
    <w:rsid w:val="00177540"/>
    <w:rsid w:val="00177587"/>
    <w:rsid w:val="001777D5"/>
    <w:rsid w:val="00177840"/>
    <w:rsid w:val="001778D4"/>
    <w:rsid w:val="00177BFD"/>
    <w:rsid w:val="00177C1D"/>
    <w:rsid w:val="00177CC6"/>
    <w:rsid w:val="00177F6B"/>
    <w:rsid w:val="0018020B"/>
    <w:rsid w:val="00180271"/>
    <w:rsid w:val="001802C5"/>
    <w:rsid w:val="00180439"/>
    <w:rsid w:val="00180474"/>
    <w:rsid w:val="00180657"/>
    <w:rsid w:val="001808A5"/>
    <w:rsid w:val="001809C6"/>
    <w:rsid w:val="00180A02"/>
    <w:rsid w:val="00180A34"/>
    <w:rsid w:val="00180E10"/>
    <w:rsid w:val="00180EB7"/>
    <w:rsid w:val="00181028"/>
    <w:rsid w:val="00181106"/>
    <w:rsid w:val="00181121"/>
    <w:rsid w:val="001811BA"/>
    <w:rsid w:val="00181328"/>
    <w:rsid w:val="001813D0"/>
    <w:rsid w:val="0018140C"/>
    <w:rsid w:val="001815FB"/>
    <w:rsid w:val="00181663"/>
    <w:rsid w:val="001816B7"/>
    <w:rsid w:val="0018174D"/>
    <w:rsid w:val="00181889"/>
    <w:rsid w:val="00181C0A"/>
    <w:rsid w:val="00181E18"/>
    <w:rsid w:val="00182276"/>
    <w:rsid w:val="00182291"/>
    <w:rsid w:val="001825B9"/>
    <w:rsid w:val="001825CC"/>
    <w:rsid w:val="0018275F"/>
    <w:rsid w:val="0018281E"/>
    <w:rsid w:val="00182865"/>
    <w:rsid w:val="00182988"/>
    <w:rsid w:val="00182A09"/>
    <w:rsid w:val="00182A0C"/>
    <w:rsid w:val="00182D3B"/>
    <w:rsid w:val="00182D47"/>
    <w:rsid w:val="00182E98"/>
    <w:rsid w:val="00182F73"/>
    <w:rsid w:val="00182FCE"/>
    <w:rsid w:val="0018309C"/>
    <w:rsid w:val="0018317C"/>
    <w:rsid w:val="00183224"/>
    <w:rsid w:val="0018345B"/>
    <w:rsid w:val="00183487"/>
    <w:rsid w:val="001839FA"/>
    <w:rsid w:val="00183A88"/>
    <w:rsid w:val="00183B4B"/>
    <w:rsid w:val="00183BED"/>
    <w:rsid w:val="00183D15"/>
    <w:rsid w:val="00183E8D"/>
    <w:rsid w:val="00183ECA"/>
    <w:rsid w:val="00183EE9"/>
    <w:rsid w:val="0018420E"/>
    <w:rsid w:val="001842E9"/>
    <w:rsid w:val="001842F0"/>
    <w:rsid w:val="00184631"/>
    <w:rsid w:val="0018464A"/>
    <w:rsid w:val="00184921"/>
    <w:rsid w:val="00184951"/>
    <w:rsid w:val="00184992"/>
    <w:rsid w:val="00184A0B"/>
    <w:rsid w:val="00184A76"/>
    <w:rsid w:val="00184C1B"/>
    <w:rsid w:val="00184C73"/>
    <w:rsid w:val="00184D26"/>
    <w:rsid w:val="00184E93"/>
    <w:rsid w:val="001852DB"/>
    <w:rsid w:val="00185364"/>
    <w:rsid w:val="0018545C"/>
    <w:rsid w:val="00185489"/>
    <w:rsid w:val="00185543"/>
    <w:rsid w:val="00185600"/>
    <w:rsid w:val="0018573F"/>
    <w:rsid w:val="001857D5"/>
    <w:rsid w:val="001859B8"/>
    <w:rsid w:val="00185AE8"/>
    <w:rsid w:val="00185C74"/>
    <w:rsid w:val="00186043"/>
    <w:rsid w:val="0018615F"/>
    <w:rsid w:val="001861CC"/>
    <w:rsid w:val="001861E7"/>
    <w:rsid w:val="00186287"/>
    <w:rsid w:val="001863EF"/>
    <w:rsid w:val="001863F6"/>
    <w:rsid w:val="001865A6"/>
    <w:rsid w:val="001867A3"/>
    <w:rsid w:val="001867C4"/>
    <w:rsid w:val="0018681D"/>
    <w:rsid w:val="001869F6"/>
    <w:rsid w:val="00186A61"/>
    <w:rsid w:val="00186B5A"/>
    <w:rsid w:val="00186B78"/>
    <w:rsid w:val="00186BF5"/>
    <w:rsid w:val="00186F45"/>
    <w:rsid w:val="00187028"/>
    <w:rsid w:val="001870D0"/>
    <w:rsid w:val="00187126"/>
    <w:rsid w:val="001873E2"/>
    <w:rsid w:val="00187639"/>
    <w:rsid w:val="0018766E"/>
    <w:rsid w:val="0018771D"/>
    <w:rsid w:val="00187A75"/>
    <w:rsid w:val="00187BC8"/>
    <w:rsid w:val="00187C18"/>
    <w:rsid w:val="00187C49"/>
    <w:rsid w:val="00187D21"/>
    <w:rsid w:val="00187EF5"/>
    <w:rsid w:val="0019024C"/>
    <w:rsid w:val="0019061B"/>
    <w:rsid w:val="001906D5"/>
    <w:rsid w:val="00190735"/>
    <w:rsid w:val="0019073B"/>
    <w:rsid w:val="00190798"/>
    <w:rsid w:val="0019080C"/>
    <w:rsid w:val="0019081C"/>
    <w:rsid w:val="001909CD"/>
    <w:rsid w:val="001909E1"/>
    <w:rsid w:val="00190ADA"/>
    <w:rsid w:val="00190B99"/>
    <w:rsid w:val="00190C40"/>
    <w:rsid w:val="00190DE6"/>
    <w:rsid w:val="00190FB2"/>
    <w:rsid w:val="00191093"/>
    <w:rsid w:val="001910B7"/>
    <w:rsid w:val="001910CC"/>
    <w:rsid w:val="0019115B"/>
    <w:rsid w:val="00191179"/>
    <w:rsid w:val="001913D0"/>
    <w:rsid w:val="00191407"/>
    <w:rsid w:val="0019170A"/>
    <w:rsid w:val="00191783"/>
    <w:rsid w:val="0019180F"/>
    <w:rsid w:val="00191857"/>
    <w:rsid w:val="00191C92"/>
    <w:rsid w:val="00191CE7"/>
    <w:rsid w:val="00191FB9"/>
    <w:rsid w:val="001921E4"/>
    <w:rsid w:val="00192288"/>
    <w:rsid w:val="00192361"/>
    <w:rsid w:val="001925F5"/>
    <w:rsid w:val="0019266B"/>
    <w:rsid w:val="001926F9"/>
    <w:rsid w:val="001929BC"/>
    <w:rsid w:val="00192AC3"/>
    <w:rsid w:val="00192CF6"/>
    <w:rsid w:val="001931D9"/>
    <w:rsid w:val="00193330"/>
    <w:rsid w:val="001933BA"/>
    <w:rsid w:val="001933CE"/>
    <w:rsid w:val="00193450"/>
    <w:rsid w:val="00193522"/>
    <w:rsid w:val="0019377F"/>
    <w:rsid w:val="00193995"/>
    <w:rsid w:val="00193AF0"/>
    <w:rsid w:val="00193B57"/>
    <w:rsid w:val="00193D09"/>
    <w:rsid w:val="00193DB8"/>
    <w:rsid w:val="001941B0"/>
    <w:rsid w:val="001941E0"/>
    <w:rsid w:val="0019423B"/>
    <w:rsid w:val="001948BF"/>
    <w:rsid w:val="001949AA"/>
    <w:rsid w:val="00194AB3"/>
    <w:rsid w:val="00194B89"/>
    <w:rsid w:val="00194BC3"/>
    <w:rsid w:val="00194D04"/>
    <w:rsid w:val="00194D4B"/>
    <w:rsid w:val="00194EAF"/>
    <w:rsid w:val="00194F12"/>
    <w:rsid w:val="00195115"/>
    <w:rsid w:val="001951B0"/>
    <w:rsid w:val="001951C9"/>
    <w:rsid w:val="00195278"/>
    <w:rsid w:val="0019530F"/>
    <w:rsid w:val="0019547C"/>
    <w:rsid w:val="001954CC"/>
    <w:rsid w:val="00195A79"/>
    <w:rsid w:val="00195C08"/>
    <w:rsid w:val="00195C5A"/>
    <w:rsid w:val="00195CE0"/>
    <w:rsid w:val="00195D31"/>
    <w:rsid w:val="00195E49"/>
    <w:rsid w:val="00195F1B"/>
    <w:rsid w:val="00195F58"/>
    <w:rsid w:val="001960E5"/>
    <w:rsid w:val="0019610D"/>
    <w:rsid w:val="00196147"/>
    <w:rsid w:val="001963F8"/>
    <w:rsid w:val="001964DB"/>
    <w:rsid w:val="0019659F"/>
    <w:rsid w:val="001965BF"/>
    <w:rsid w:val="001968EB"/>
    <w:rsid w:val="0019693E"/>
    <w:rsid w:val="001969FA"/>
    <w:rsid w:val="00196EB9"/>
    <w:rsid w:val="00196ED2"/>
    <w:rsid w:val="00196FC8"/>
    <w:rsid w:val="00197001"/>
    <w:rsid w:val="00197080"/>
    <w:rsid w:val="001970E6"/>
    <w:rsid w:val="00197532"/>
    <w:rsid w:val="00197550"/>
    <w:rsid w:val="001976F4"/>
    <w:rsid w:val="00197815"/>
    <w:rsid w:val="0019782B"/>
    <w:rsid w:val="0019794A"/>
    <w:rsid w:val="00197991"/>
    <w:rsid w:val="00197BC5"/>
    <w:rsid w:val="00197F21"/>
    <w:rsid w:val="00197F2E"/>
    <w:rsid w:val="00197FCE"/>
    <w:rsid w:val="001A00C9"/>
    <w:rsid w:val="001A010F"/>
    <w:rsid w:val="001A01D1"/>
    <w:rsid w:val="001A0293"/>
    <w:rsid w:val="001A04C8"/>
    <w:rsid w:val="001A0664"/>
    <w:rsid w:val="001A075E"/>
    <w:rsid w:val="001A0760"/>
    <w:rsid w:val="001A07BB"/>
    <w:rsid w:val="001A0AF6"/>
    <w:rsid w:val="001A0BFF"/>
    <w:rsid w:val="001A0C62"/>
    <w:rsid w:val="001A0E1E"/>
    <w:rsid w:val="001A0E8C"/>
    <w:rsid w:val="001A1030"/>
    <w:rsid w:val="001A1185"/>
    <w:rsid w:val="001A1273"/>
    <w:rsid w:val="001A14DE"/>
    <w:rsid w:val="001A180E"/>
    <w:rsid w:val="001A1960"/>
    <w:rsid w:val="001A1A43"/>
    <w:rsid w:val="001A1BBF"/>
    <w:rsid w:val="001A1C20"/>
    <w:rsid w:val="001A1EC1"/>
    <w:rsid w:val="001A24D0"/>
    <w:rsid w:val="001A2837"/>
    <w:rsid w:val="001A2AD3"/>
    <w:rsid w:val="001A2AFB"/>
    <w:rsid w:val="001A3071"/>
    <w:rsid w:val="001A3237"/>
    <w:rsid w:val="001A32F3"/>
    <w:rsid w:val="001A35C0"/>
    <w:rsid w:val="001A3715"/>
    <w:rsid w:val="001A38F0"/>
    <w:rsid w:val="001A39F4"/>
    <w:rsid w:val="001A3A06"/>
    <w:rsid w:val="001A3BB2"/>
    <w:rsid w:val="001A44F1"/>
    <w:rsid w:val="001A46F2"/>
    <w:rsid w:val="001A480E"/>
    <w:rsid w:val="001A4838"/>
    <w:rsid w:val="001A48BA"/>
    <w:rsid w:val="001A49CB"/>
    <w:rsid w:val="001A4BBB"/>
    <w:rsid w:val="001A4CCC"/>
    <w:rsid w:val="001A5021"/>
    <w:rsid w:val="001A51A1"/>
    <w:rsid w:val="001A5240"/>
    <w:rsid w:val="001A53C8"/>
    <w:rsid w:val="001A53D1"/>
    <w:rsid w:val="001A5425"/>
    <w:rsid w:val="001A56DF"/>
    <w:rsid w:val="001A57E6"/>
    <w:rsid w:val="001A59A0"/>
    <w:rsid w:val="001A5A92"/>
    <w:rsid w:val="001A5B9D"/>
    <w:rsid w:val="001A5DE0"/>
    <w:rsid w:val="001A5EC2"/>
    <w:rsid w:val="001A60CF"/>
    <w:rsid w:val="001A6271"/>
    <w:rsid w:val="001A6435"/>
    <w:rsid w:val="001A6563"/>
    <w:rsid w:val="001A669A"/>
    <w:rsid w:val="001A67DD"/>
    <w:rsid w:val="001A6864"/>
    <w:rsid w:val="001A6ACB"/>
    <w:rsid w:val="001A6BBB"/>
    <w:rsid w:val="001A6CC2"/>
    <w:rsid w:val="001A6F39"/>
    <w:rsid w:val="001A71A1"/>
    <w:rsid w:val="001A72C2"/>
    <w:rsid w:val="001A72D7"/>
    <w:rsid w:val="001A72F1"/>
    <w:rsid w:val="001A73DE"/>
    <w:rsid w:val="001A7712"/>
    <w:rsid w:val="001A7848"/>
    <w:rsid w:val="001A7917"/>
    <w:rsid w:val="001A7931"/>
    <w:rsid w:val="001A7A3F"/>
    <w:rsid w:val="001A7D12"/>
    <w:rsid w:val="001B0090"/>
    <w:rsid w:val="001B0205"/>
    <w:rsid w:val="001B02FB"/>
    <w:rsid w:val="001B0370"/>
    <w:rsid w:val="001B074A"/>
    <w:rsid w:val="001B07F1"/>
    <w:rsid w:val="001B081C"/>
    <w:rsid w:val="001B0D68"/>
    <w:rsid w:val="001B12B2"/>
    <w:rsid w:val="001B12B3"/>
    <w:rsid w:val="001B1317"/>
    <w:rsid w:val="001B138D"/>
    <w:rsid w:val="001B153B"/>
    <w:rsid w:val="001B17ED"/>
    <w:rsid w:val="001B18EE"/>
    <w:rsid w:val="001B1B97"/>
    <w:rsid w:val="001B1D41"/>
    <w:rsid w:val="001B1E9C"/>
    <w:rsid w:val="001B2132"/>
    <w:rsid w:val="001B221A"/>
    <w:rsid w:val="001B23EF"/>
    <w:rsid w:val="001B25AF"/>
    <w:rsid w:val="001B25DD"/>
    <w:rsid w:val="001B2805"/>
    <w:rsid w:val="001B2AEF"/>
    <w:rsid w:val="001B2B27"/>
    <w:rsid w:val="001B2CB1"/>
    <w:rsid w:val="001B2D1E"/>
    <w:rsid w:val="001B2D29"/>
    <w:rsid w:val="001B2FC6"/>
    <w:rsid w:val="001B3067"/>
    <w:rsid w:val="001B30A1"/>
    <w:rsid w:val="001B315C"/>
    <w:rsid w:val="001B331A"/>
    <w:rsid w:val="001B340F"/>
    <w:rsid w:val="001B34A0"/>
    <w:rsid w:val="001B35B7"/>
    <w:rsid w:val="001B377C"/>
    <w:rsid w:val="001B37B3"/>
    <w:rsid w:val="001B39AC"/>
    <w:rsid w:val="001B3A9B"/>
    <w:rsid w:val="001B3BB9"/>
    <w:rsid w:val="001B3F39"/>
    <w:rsid w:val="001B401C"/>
    <w:rsid w:val="001B4048"/>
    <w:rsid w:val="001B4274"/>
    <w:rsid w:val="001B42A3"/>
    <w:rsid w:val="001B42F7"/>
    <w:rsid w:val="001B435C"/>
    <w:rsid w:val="001B4463"/>
    <w:rsid w:val="001B45E2"/>
    <w:rsid w:val="001B48C3"/>
    <w:rsid w:val="001B4918"/>
    <w:rsid w:val="001B49CB"/>
    <w:rsid w:val="001B4A8B"/>
    <w:rsid w:val="001B4BAE"/>
    <w:rsid w:val="001B4D40"/>
    <w:rsid w:val="001B4D62"/>
    <w:rsid w:val="001B4EE9"/>
    <w:rsid w:val="001B50DD"/>
    <w:rsid w:val="001B523B"/>
    <w:rsid w:val="001B53D2"/>
    <w:rsid w:val="001B53EB"/>
    <w:rsid w:val="001B552B"/>
    <w:rsid w:val="001B55DC"/>
    <w:rsid w:val="001B5695"/>
    <w:rsid w:val="001B56B3"/>
    <w:rsid w:val="001B5D6E"/>
    <w:rsid w:val="001B5E92"/>
    <w:rsid w:val="001B5F75"/>
    <w:rsid w:val="001B5FA1"/>
    <w:rsid w:val="001B613A"/>
    <w:rsid w:val="001B64BE"/>
    <w:rsid w:val="001B670C"/>
    <w:rsid w:val="001B6780"/>
    <w:rsid w:val="001B688A"/>
    <w:rsid w:val="001B68A1"/>
    <w:rsid w:val="001B69B3"/>
    <w:rsid w:val="001B6A16"/>
    <w:rsid w:val="001B6C48"/>
    <w:rsid w:val="001B6C6C"/>
    <w:rsid w:val="001B6D0A"/>
    <w:rsid w:val="001B6FC9"/>
    <w:rsid w:val="001B6FCA"/>
    <w:rsid w:val="001B6FD1"/>
    <w:rsid w:val="001B703F"/>
    <w:rsid w:val="001B7232"/>
    <w:rsid w:val="001B75D0"/>
    <w:rsid w:val="001B7858"/>
    <w:rsid w:val="001B7A83"/>
    <w:rsid w:val="001B7B5C"/>
    <w:rsid w:val="001B7BF7"/>
    <w:rsid w:val="001B7C12"/>
    <w:rsid w:val="001C0240"/>
    <w:rsid w:val="001C0241"/>
    <w:rsid w:val="001C03CE"/>
    <w:rsid w:val="001C05DE"/>
    <w:rsid w:val="001C0658"/>
    <w:rsid w:val="001C0881"/>
    <w:rsid w:val="001C0A99"/>
    <w:rsid w:val="001C0C93"/>
    <w:rsid w:val="001C0E0B"/>
    <w:rsid w:val="001C0E1D"/>
    <w:rsid w:val="001C126F"/>
    <w:rsid w:val="001C1326"/>
    <w:rsid w:val="001C13F7"/>
    <w:rsid w:val="001C1405"/>
    <w:rsid w:val="001C148C"/>
    <w:rsid w:val="001C15B4"/>
    <w:rsid w:val="001C1AB9"/>
    <w:rsid w:val="001C1BC3"/>
    <w:rsid w:val="001C1C22"/>
    <w:rsid w:val="001C1EA1"/>
    <w:rsid w:val="001C2374"/>
    <w:rsid w:val="001C242C"/>
    <w:rsid w:val="001C26CE"/>
    <w:rsid w:val="001C294F"/>
    <w:rsid w:val="001C29BA"/>
    <w:rsid w:val="001C29DF"/>
    <w:rsid w:val="001C2ADF"/>
    <w:rsid w:val="001C2D4C"/>
    <w:rsid w:val="001C2E82"/>
    <w:rsid w:val="001C2F7F"/>
    <w:rsid w:val="001C2FC8"/>
    <w:rsid w:val="001C3080"/>
    <w:rsid w:val="001C3186"/>
    <w:rsid w:val="001C3387"/>
    <w:rsid w:val="001C338A"/>
    <w:rsid w:val="001C39A2"/>
    <w:rsid w:val="001C3A06"/>
    <w:rsid w:val="001C3B9A"/>
    <w:rsid w:val="001C3CB7"/>
    <w:rsid w:val="001C3CCF"/>
    <w:rsid w:val="001C3D60"/>
    <w:rsid w:val="001C3E10"/>
    <w:rsid w:val="001C42F6"/>
    <w:rsid w:val="001C4516"/>
    <w:rsid w:val="001C4745"/>
    <w:rsid w:val="001C4778"/>
    <w:rsid w:val="001C4ACB"/>
    <w:rsid w:val="001C4B33"/>
    <w:rsid w:val="001C4CAA"/>
    <w:rsid w:val="001C4D84"/>
    <w:rsid w:val="001C4F95"/>
    <w:rsid w:val="001C52F8"/>
    <w:rsid w:val="001C5384"/>
    <w:rsid w:val="001C54B9"/>
    <w:rsid w:val="001C54F4"/>
    <w:rsid w:val="001C54F6"/>
    <w:rsid w:val="001C5502"/>
    <w:rsid w:val="001C55C0"/>
    <w:rsid w:val="001C5690"/>
    <w:rsid w:val="001C58D8"/>
    <w:rsid w:val="001C594E"/>
    <w:rsid w:val="001C5B91"/>
    <w:rsid w:val="001C5BA9"/>
    <w:rsid w:val="001C5C0A"/>
    <w:rsid w:val="001C5C0B"/>
    <w:rsid w:val="001C5C79"/>
    <w:rsid w:val="001C5CDE"/>
    <w:rsid w:val="001C5E21"/>
    <w:rsid w:val="001C60F8"/>
    <w:rsid w:val="001C61A9"/>
    <w:rsid w:val="001C61E2"/>
    <w:rsid w:val="001C6238"/>
    <w:rsid w:val="001C6495"/>
    <w:rsid w:val="001C64D1"/>
    <w:rsid w:val="001C68E4"/>
    <w:rsid w:val="001C6A21"/>
    <w:rsid w:val="001C6B6A"/>
    <w:rsid w:val="001C6B8D"/>
    <w:rsid w:val="001C6DC4"/>
    <w:rsid w:val="001C6FF7"/>
    <w:rsid w:val="001C7099"/>
    <w:rsid w:val="001C714C"/>
    <w:rsid w:val="001C71D4"/>
    <w:rsid w:val="001C735B"/>
    <w:rsid w:val="001C7971"/>
    <w:rsid w:val="001C7B63"/>
    <w:rsid w:val="001C7B82"/>
    <w:rsid w:val="001C7CC0"/>
    <w:rsid w:val="001C7CCD"/>
    <w:rsid w:val="001C7EB0"/>
    <w:rsid w:val="001D0013"/>
    <w:rsid w:val="001D0074"/>
    <w:rsid w:val="001D02C7"/>
    <w:rsid w:val="001D036F"/>
    <w:rsid w:val="001D05B4"/>
    <w:rsid w:val="001D060B"/>
    <w:rsid w:val="001D0633"/>
    <w:rsid w:val="001D07D0"/>
    <w:rsid w:val="001D0A52"/>
    <w:rsid w:val="001D0D2E"/>
    <w:rsid w:val="001D0E16"/>
    <w:rsid w:val="001D0FD8"/>
    <w:rsid w:val="001D1149"/>
    <w:rsid w:val="001D1258"/>
    <w:rsid w:val="001D12F4"/>
    <w:rsid w:val="001D1506"/>
    <w:rsid w:val="001D180E"/>
    <w:rsid w:val="001D1A66"/>
    <w:rsid w:val="001D1BD6"/>
    <w:rsid w:val="001D1BF2"/>
    <w:rsid w:val="001D2113"/>
    <w:rsid w:val="001D225F"/>
    <w:rsid w:val="001D231C"/>
    <w:rsid w:val="001D25CA"/>
    <w:rsid w:val="001D2649"/>
    <w:rsid w:val="001D2739"/>
    <w:rsid w:val="001D2858"/>
    <w:rsid w:val="001D28BE"/>
    <w:rsid w:val="001D2997"/>
    <w:rsid w:val="001D2A8C"/>
    <w:rsid w:val="001D2DD7"/>
    <w:rsid w:val="001D2F08"/>
    <w:rsid w:val="001D2F2F"/>
    <w:rsid w:val="001D3109"/>
    <w:rsid w:val="001D31A9"/>
    <w:rsid w:val="001D33D6"/>
    <w:rsid w:val="001D3574"/>
    <w:rsid w:val="001D357A"/>
    <w:rsid w:val="001D3901"/>
    <w:rsid w:val="001D3C0D"/>
    <w:rsid w:val="001D3CBC"/>
    <w:rsid w:val="001D3F79"/>
    <w:rsid w:val="001D404A"/>
    <w:rsid w:val="001D40B3"/>
    <w:rsid w:val="001D415C"/>
    <w:rsid w:val="001D41C9"/>
    <w:rsid w:val="001D42B9"/>
    <w:rsid w:val="001D4489"/>
    <w:rsid w:val="001D45DF"/>
    <w:rsid w:val="001D466D"/>
    <w:rsid w:val="001D4758"/>
    <w:rsid w:val="001D4764"/>
    <w:rsid w:val="001D4869"/>
    <w:rsid w:val="001D4A78"/>
    <w:rsid w:val="001D4B35"/>
    <w:rsid w:val="001D4CD5"/>
    <w:rsid w:val="001D4D06"/>
    <w:rsid w:val="001D4F8B"/>
    <w:rsid w:val="001D4FA0"/>
    <w:rsid w:val="001D50A0"/>
    <w:rsid w:val="001D5173"/>
    <w:rsid w:val="001D5252"/>
    <w:rsid w:val="001D54AA"/>
    <w:rsid w:val="001D55D0"/>
    <w:rsid w:val="001D57AF"/>
    <w:rsid w:val="001D5891"/>
    <w:rsid w:val="001D58EE"/>
    <w:rsid w:val="001D59EC"/>
    <w:rsid w:val="001D5C97"/>
    <w:rsid w:val="001D5D3E"/>
    <w:rsid w:val="001D5EDA"/>
    <w:rsid w:val="001D6047"/>
    <w:rsid w:val="001D6316"/>
    <w:rsid w:val="001D631E"/>
    <w:rsid w:val="001D64E3"/>
    <w:rsid w:val="001D64ED"/>
    <w:rsid w:val="001D653B"/>
    <w:rsid w:val="001D6754"/>
    <w:rsid w:val="001D67AC"/>
    <w:rsid w:val="001D67C1"/>
    <w:rsid w:val="001D67C7"/>
    <w:rsid w:val="001D6B03"/>
    <w:rsid w:val="001D6D0C"/>
    <w:rsid w:val="001D6DF2"/>
    <w:rsid w:val="001D6F04"/>
    <w:rsid w:val="001D6F1F"/>
    <w:rsid w:val="001D6F8C"/>
    <w:rsid w:val="001D71F0"/>
    <w:rsid w:val="001D752C"/>
    <w:rsid w:val="001D755B"/>
    <w:rsid w:val="001D7583"/>
    <w:rsid w:val="001D7807"/>
    <w:rsid w:val="001D79DB"/>
    <w:rsid w:val="001D7CB3"/>
    <w:rsid w:val="001D7D84"/>
    <w:rsid w:val="001D7E5D"/>
    <w:rsid w:val="001D7E78"/>
    <w:rsid w:val="001D7F1F"/>
    <w:rsid w:val="001D7F22"/>
    <w:rsid w:val="001E000E"/>
    <w:rsid w:val="001E01D4"/>
    <w:rsid w:val="001E0422"/>
    <w:rsid w:val="001E0446"/>
    <w:rsid w:val="001E09B0"/>
    <w:rsid w:val="001E0B94"/>
    <w:rsid w:val="001E0BCC"/>
    <w:rsid w:val="001E0EBB"/>
    <w:rsid w:val="001E138C"/>
    <w:rsid w:val="001E144C"/>
    <w:rsid w:val="001E163D"/>
    <w:rsid w:val="001E17CA"/>
    <w:rsid w:val="001E180C"/>
    <w:rsid w:val="001E1858"/>
    <w:rsid w:val="001E18CF"/>
    <w:rsid w:val="001E1B74"/>
    <w:rsid w:val="001E1C9A"/>
    <w:rsid w:val="001E1CC8"/>
    <w:rsid w:val="001E1D3D"/>
    <w:rsid w:val="001E1D63"/>
    <w:rsid w:val="001E1EA4"/>
    <w:rsid w:val="001E20EB"/>
    <w:rsid w:val="001E24BB"/>
    <w:rsid w:val="001E254E"/>
    <w:rsid w:val="001E258F"/>
    <w:rsid w:val="001E2599"/>
    <w:rsid w:val="001E278D"/>
    <w:rsid w:val="001E27A0"/>
    <w:rsid w:val="001E294F"/>
    <w:rsid w:val="001E2A4F"/>
    <w:rsid w:val="001E2EF7"/>
    <w:rsid w:val="001E3254"/>
    <w:rsid w:val="001E352B"/>
    <w:rsid w:val="001E3552"/>
    <w:rsid w:val="001E367D"/>
    <w:rsid w:val="001E39E9"/>
    <w:rsid w:val="001E3A3F"/>
    <w:rsid w:val="001E3C03"/>
    <w:rsid w:val="001E3C28"/>
    <w:rsid w:val="001E3D19"/>
    <w:rsid w:val="001E3DDE"/>
    <w:rsid w:val="001E3ED8"/>
    <w:rsid w:val="001E411D"/>
    <w:rsid w:val="001E413B"/>
    <w:rsid w:val="001E43A9"/>
    <w:rsid w:val="001E43C3"/>
    <w:rsid w:val="001E4427"/>
    <w:rsid w:val="001E461C"/>
    <w:rsid w:val="001E4751"/>
    <w:rsid w:val="001E4765"/>
    <w:rsid w:val="001E47B6"/>
    <w:rsid w:val="001E4A27"/>
    <w:rsid w:val="001E4F11"/>
    <w:rsid w:val="001E500C"/>
    <w:rsid w:val="001E50F2"/>
    <w:rsid w:val="001E5137"/>
    <w:rsid w:val="001E5140"/>
    <w:rsid w:val="001E54C2"/>
    <w:rsid w:val="001E5552"/>
    <w:rsid w:val="001E5655"/>
    <w:rsid w:val="001E568B"/>
    <w:rsid w:val="001E579F"/>
    <w:rsid w:val="001E5A0F"/>
    <w:rsid w:val="001E5AA0"/>
    <w:rsid w:val="001E5C96"/>
    <w:rsid w:val="001E5C97"/>
    <w:rsid w:val="001E5E85"/>
    <w:rsid w:val="001E605B"/>
    <w:rsid w:val="001E60F6"/>
    <w:rsid w:val="001E6232"/>
    <w:rsid w:val="001E6295"/>
    <w:rsid w:val="001E62BD"/>
    <w:rsid w:val="001E6808"/>
    <w:rsid w:val="001E6830"/>
    <w:rsid w:val="001E6966"/>
    <w:rsid w:val="001E6A62"/>
    <w:rsid w:val="001E6BD2"/>
    <w:rsid w:val="001E6C08"/>
    <w:rsid w:val="001E6CF2"/>
    <w:rsid w:val="001E6DEA"/>
    <w:rsid w:val="001E6E21"/>
    <w:rsid w:val="001E6FD3"/>
    <w:rsid w:val="001E70C9"/>
    <w:rsid w:val="001E70DD"/>
    <w:rsid w:val="001E70E9"/>
    <w:rsid w:val="001E7836"/>
    <w:rsid w:val="001E78B8"/>
    <w:rsid w:val="001E7C5F"/>
    <w:rsid w:val="001E7F25"/>
    <w:rsid w:val="001F0076"/>
    <w:rsid w:val="001F06B3"/>
    <w:rsid w:val="001F072B"/>
    <w:rsid w:val="001F074F"/>
    <w:rsid w:val="001F0872"/>
    <w:rsid w:val="001F08E1"/>
    <w:rsid w:val="001F0ADB"/>
    <w:rsid w:val="001F0B3E"/>
    <w:rsid w:val="001F0B43"/>
    <w:rsid w:val="001F0F1B"/>
    <w:rsid w:val="001F0F6D"/>
    <w:rsid w:val="001F0FED"/>
    <w:rsid w:val="001F1065"/>
    <w:rsid w:val="001F1120"/>
    <w:rsid w:val="001F11CF"/>
    <w:rsid w:val="001F1624"/>
    <w:rsid w:val="001F163A"/>
    <w:rsid w:val="001F1714"/>
    <w:rsid w:val="001F1869"/>
    <w:rsid w:val="001F19E5"/>
    <w:rsid w:val="001F1A0C"/>
    <w:rsid w:val="001F1AE1"/>
    <w:rsid w:val="001F1C92"/>
    <w:rsid w:val="001F1DFD"/>
    <w:rsid w:val="001F20CA"/>
    <w:rsid w:val="001F2268"/>
    <w:rsid w:val="001F2354"/>
    <w:rsid w:val="001F244F"/>
    <w:rsid w:val="001F245B"/>
    <w:rsid w:val="001F2527"/>
    <w:rsid w:val="001F2577"/>
    <w:rsid w:val="001F285A"/>
    <w:rsid w:val="001F287A"/>
    <w:rsid w:val="001F2888"/>
    <w:rsid w:val="001F2973"/>
    <w:rsid w:val="001F2DD9"/>
    <w:rsid w:val="001F3729"/>
    <w:rsid w:val="001F376B"/>
    <w:rsid w:val="001F3844"/>
    <w:rsid w:val="001F38BD"/>
    <w:rsid w:val="001F39A9"/>
    <w:rsid w:val="001F3BA2"/>
    <w:rsid w:val="001F3E8C"/>
    <w:rsid w:val="001F3F8C"/>
    <w:rsid w:val="001F403B"/>
    <w:rsid w:val="001F40F7"/>
    <w:rsid w:val="001F41A1"/>
    <w:rsid w:val="001F4552"/>
    <w:rsid w:val="001F4773"/>
    <w:rsid w:val="001F4848"/>
    <w:rsid w:val="001F48CF"/>
    <w:rsid w:val="001F4B47"/>
    <w:rsid w:val="001F4C4C"/>
    <w:rsid w:val="001F504E"/>
    <w:rsid w:val="001F5193"/>
    <w:rsid w:val="001F537E"/>
    <w:rsid w:val="001F56F4"/>
    <w:rsid w:val="001F5743"/>
    <w:rsid w:val="001F588C"/>
    <w:rsid w:val="001F5A7B"/>
    <w:rsid w:val="001F5B14"/>
    <w:rsid w:val="001F5F40"/>
    <w:rsid w:val="001F6514"/>
    <w:rsid w:val="001F65BC"/>
    <w:rsid w:val="001F6968"/>
    <w:rsid w:val="001F6A88"/>
    <w:rsid w:val="001F6CA5"/>
    <w:rsid w:val="001F715F"/>
    <w:rsid w:val="001F71AD"/>
    <w:rsid w:val="001F7360"/>
    <w:rsid w:val="001F774F"/>
    <w:rsid w:val="001F7774"/>
    <w:rsid w:val="001F7815"/>
    <w:rsid w:val="001F78DB"/>
    <w:rsid w:val="001F7A5F"/>
    <w:rsid w:val="001F7BF2"/>
    <w:rsid w:val="001F7C11"/>
    <w:rsid w:val="001F7CC6"/>
    <w:rsid w:val="001F7CDA"/>
    <w:rsid w:val="001F7D40"/>
    <w:rsid w:val="0020018B"/>
    <w:rsid w:val="0020040F"/>
    <w:rsid w:val="0020080B"/>
    <w:rsid w:val="002009E3"/>
    <w:rsid w:val="00200B74"/>
    <w:rsid w:val="00200EB8"/>
    <w:rsid w:val="0020111A"/>
    <w:rsid w:val="00201181"/>
    <w:rsid w:val="00201259"/>
    <w:rsid w:val="00201606"/>
    <w:rsid w:val="002016D1"/>
    <w:rsid w:val="00201820"/>
    <w:rsid w:val="0020195D"/>
    <w:rsid w:val="00201B48"/>
    <w:rsid w:val="00201B74"/>
    <w:rsid w:val="00201C24"/>
    <w:rsid w:val="00201F12"/>
    <w:rsid w:val="00202142"/>
    <w:rsid w:val="002022F9"/>
    <w:rsid w:val="00202373"/>
    <w:rsid w:val="002024D8"/>
    <w:rsid w:val="00202585"/>
    <w:rsid w:val="00202659"/>
    <w:rsid w:val="0020271C"/>
    <w:rsid w:val="0020275D"/>
    <w:rsid w:val="002027F1"/>
    <w:rsid w:val="00202805"/>
    <w:rsid w:val="00202923"/>
    <w:rsid w:val="00202964"/>
    <w:rsid w:val="00202BAA"/>
    <w:rsid w:val="00202C1B"/>
    <w:rsid w:val="00202C39"/>
    <w:rsid w:val="00202F6A"/>
    <w:rsid w:val="002031CA"/>
    <w:rsid w:val="0020323A"/>
    <w:rsid w:val="00203342"/>
    <w:rsid w:val="00203350"/>
    <w:rsid w:val="00203574"/>
    <w:rsid w:val="002035E1"/>
    <w:rsid w:val="0020360A"/>
    <w:rsid w:val="0020396C"/>
    <w:rsid w:val="00203B43"/>
    <w:rsid w:val="002043F1"/>
    <w:rsid w:val="002044B5"/>
    <w:rsid w:val="0020450F"/>
    <w:rsid w:val="00204643"/>
    <w:rsid w:val="0020482C"/>
    <w:rsid w:val="00204F5F"/>
    <w:rsid w:val="00204FB2"/>
    <w:rsid w:val="00204FCF"/>
    <w:rsid w:val="002050A9"/>
    <w:rsid w:val="00205335"/>
    <w:rsid w:val="00205641"/>
    <w:rsid w:val="00205679"/>
    <w:rsid w:val="0020568A"/>
    <w:rsid w:val="002058A9"/>
    <w:rsid w:val="002059C8"/>
    <w:rsid w:val="00205AC2"/>
    <w:rsid w:val="00205D14"/>
    <w:rsid w:val="00205DD5"/>
    <w:rsid w:val="00205FBD"/>
    <w:rsid w:val="00205FF7"/>
    <w:rsid w:val="0020602F"/>
    <w:rsid w:val="002061EE"/>
    <w:rsid w:val="0020623C"/>
    <w:rsid w:val="00206A05"/>
    <w:rsid w:val="00206E3A"/>
    <w:rsid w:val="00206F62"/>
    <w:rsid w:val="00207022"/>
    <w:rsid w:val="002070DB"/>
    <w:rsid w:val="00207139"/>
    <w:rsid w:val="00207225"/>
    <w:rsid w:val="0020755E"/>
    <w:rsid w:val="002076DB"/>
    <w:rsid w:val="00207743"/>
    <w:rsid w:val="0020784E"/>
    <w:rsid w:val="00207B39"/>
    <w:rsid w:val="00207D11"/>
    <w:rsid w:val="00207F95"/>
    <w:rsid w:val="00210072"/>
    <w:rsid w:val="0021023B"/>
    <w:rsid w:val="00210375"/>
    <w:rsid w:val="002103BF"/>
    <w:rsid w:val="002104E4"/>
    <w:rsid w:val="00210508"/>
    <w:rsid w:val="002105F0"/>
    <w:rsid w:val="00210730"/>
    <w:rsid w:val="002108DB"/>
    <w:rsid w:val="002109AE"/>
    <w:rsid w:val="00210A08"/>
    <w:rsid w:val="00210B08"/>
    <w:rsid w:val="00210BE8"/>
    <w:rsid w:val="00210EF4"/>
    <w:rsid w:val="00210F35"/>
    <w:rsid w:val="00210FCC"/>
    <w:rsid w:val="002116B6"/>
    <w:rsid w:val="0021172B"/>
    <w:rsid w:val="00211785"/>
    <w:rsid w:val="002117BF"/>
    <w:rsid w:val="00211832"/>
    <w:rsid w:val="00211AFD"/>
    <w:rsid w:val="00211BA1"/>
    <w:rsid w:val="00211C3D"/>
    <w:rsid w:val="00211C9A"/>
    <w:rsid w:val="00211CB7"/>
    <w:rsid w:val="00211E7A"/>
    <w:rsid w:val="00211F2A"/>
    <w:rsid w:val="00211FAD"/>
    <w:rsid w:val="0021245E"/>
    <w:rsid w:val="002124E5"/>
    <w:rsid w:val="00212738"/>
    <w:rsid w:val="00212848"/>
    <w:rsid w:val="00212877"/>
    <w:rsid w:val="002129DA"/>
    <w:rsid w:val="00212ADD"/>
    <w:rsid w:val="00212B6D"/>
    <w:rsid w:val="00212BCC"/>
    <w:rsid w:val="00212BD1"/>
    <w:rsid w:val="00212C42"/>
    <w:rsid w:val="00212F08"/>
    <w:rsid w:val="00212FC2"/>
    <w:rsid w:val="00213048"/>
    <w:rsid w:val="002130A9"/>
    <w:rsid w:val="002130E6"/>
    <w:rsid w:val="002131D6"/>
    <w:rsid w:val="0021335D"/>
    <w:rsid w:val="002133F1"/>
    <w:rsid w:val="0021347C"/>
    <w:rsid w:val="002134F5"/>
    <w:rsid w:val="002135D2"/>
    <w:rsid w:val="002137BB"/>
    <w:rsid w:val="00213E00"/>
    <w:rsid w:val="00214323"/>
    <w:rsid w:val="00214533"/>
    <w:rsid w:val="002145A2"/>
    <w:rsid w:val="00214842"/>
    <w:rsid w:val="00214C7F"/>
    <w:rsid w:val="00214CC7"/>
    <w:rsid w:val="00214E4C"/>
    <w:rsid w:val="00214E6E"/>
    <w:rsid w:val="00214F2D"/>
    <w:rsid w:val="00214FA0"/>
    <w:rsid w:val="0021540D"/>
    <w:rsid w:val="002155EE"/>
    <w:rsid w:val="00215611"/>
    <w:rsid w:val="0021594E"/>
    <w:rsid w:val="00215B38"/>
    <w:rsid w:val="00215D5A"/>
    <w:rsid w:val="00215D63"/>
    <w:rsid w:val="00215DF2"/>
    <w:rsid w:val="00216018"/>
    <w:rsid w:val="00216045"/>
    <w:rsid w:val="002160BC"/>
    <w:rsid w:val="002160D2"/>
    <w:rsid w:val="002161C0"/>
    <w:rsid w:val="002161D3"/>
    <w:rsid w:val="00216367"/>
    <w:rsid w:val="00216399"/>
    <w:rsid w:val="00216556"/>
    <w:rsid w:val="002166FD"/>
    <w:rsid w:val="0021689A"/>
    <w:rsid w:val="00216A04"/>
    <w:rsid w:val="00216B30"/>
    <w:rsid w:val="00216B8E"/>
    <w:rsid w:val="00216D6E"/>
    <w:rsid w:val="00216F66"/>
    <w:rsid w:val="00217019"/>
    <w:rsid w:val="00217070"/>
    <w:rsid w:val="0021707C"/>
    <w:rsid w:val="002174C7"/>
    <w:rsid w:val="0021750D"/>
    <w:rsid w:val="002177C7"/>
    <w:rsid w:val="002179D3"/>
    <w:rsid w:val="00217A6B"/>
    <w:rsid w:val="00217B22"/>
    <w:rsid w:val="00217B3E"/>
    <w:rsid w:val="00217CF2"/>
    <w:rsid w:val="00217DE5"/>
    <w:rsid w:val="00217ED7"/>
    <w:rsid w:val="00217FAB"/>
    <w:rsid w:val="0022024C"/>
    <w:rsid w:val="002202C5"/>
    <w:rsid w:val="002203C1"/>
    <w:rsid w:val="002206DF"/>
    <w:rsid w:val="002207AB"/>
    <w:rsid w:val="002207B1"/>
    <w:rsid w:val="00220A95"/>
    <w:rsid w:val="00220B56"/>
    <w:rsid w:val="00220BA9"/>
    <w:rsid w:val="00220BC9"/>
    <w:rsid w:val="00220DA1"/>
    <w:rsid w:val="00220DE8"/>
    <w:rsid w:val="00220F88"/>
    <w:rsid w:val="0022103D"/>
    <w:rsid w:val="0022110D"/>
    <w:rsid w:val="00221115"/>
    <w:rsid w:val="00221174"/>
    <w:rsid w:val="002211B5"/>
    <w:rsid w:val="0022126D"/>
    <w:rsid w:val="0022140C"/>
    <w:rsid w:val="0022144B"/>
    <w:rsid w:val="0022167E"/>
    <w:rsid w:val="00221724"/>
    <w:rsid w:val="002217E6"/>
    <w:rsid w:val="0022191A"/>
    <w:rsid w:val="00221C9E"/>
    <w:rsid w:val="00221D5D"/>
    <w:rsid w:val="00221E97"/>
    <w:rsid w:val="00222138"/>
    <w:rsid w:val="002222A4"/>
    <w:rsid w:val="00222444"/>
    <w:rsid w:val="00222A34"/>
    <w:rsid w:val="00222B30"/>
    <w:rsid w:val="00222D88"/>
    <w:rsid w:val="00222DCE"/>
    <w:rsid w:val="00222EEA"/>
    <w:rsid w:val="00222F5B"/>
    <w:rsid w:val="002231F8"/>
    <w:rsid w:val="00223358"/>
    <w:rsid w:val="00223495"/>
    <w:rsid w:val="002235FF"/>
    <w:rsid w:val="002236EC"/>
    <w:rsid w:val="0022374B"/>
    <w:rsid w:val="002237B5"/>
    <w:rsid w:val="002239F7"/>
    <w:rsid w:val="00223B1A"/>
    <w:rsid w:val="00223D8E"/>
    <w:rsid w:val="00223E20"/>
    <w:rsid w:val="00223F6B"/>
    <w:rsid w:val="00224061"/>
    <w:rsid w:val="002240F9"/>
    <w:rsid w:val="002244AF"/>
    <w:rsid w:val="0022451E"/>
    <w:rsid w:val="00224CF6"/>
    <w:rsid w:val="00225012"/>
    <w:rsid w:val="002250A8"/>
    <w:rsid w:val="0022510D"/>
    <w:rsid w:val="0022535B"/>
    <w:rsid w:val="00225523"/>
    <w:rsid w:val="0022555C"/>
    <w:rsid w:val="00225DA0"/>
    <w:rsid w:val="00225FDC"/>
    <w:rsid w:val="0022610C"/>
    <w:rsid w:val="00226475"/>
    <w:rsid w:val="0022657B"/>
    <w:rsid w:val="002265C8"/>
    <w:rsid w:val="00226C0C"/>
    <w:rsid w:val="00226F2B"/>
    <w:rsid w:val="00227017"/>
    <w:rsid w:val="002270E4"/>
    <w:rsid w:val="002270F5"/>
    <w:rsid w:val="0022712B"/>
    <w:rsid w:val="00227375"/>
    <w:rsid w:val="00227418"/>
    <w:rsid w:val="00227472"/>
    <w:rsid w:val="00227612"/>
    <w:rsid w:val="002276E2"/>
    <w:rsid w:val="00227A19"/>
    <w:rsid w:val="00227A38"/>
    <w:rsid w:val="00227AC9"/>
    <w:rsid w:val="00227C24"/>
    <w:rsid w:val="00227C5E"/>
    <w:rsid w:val="00227D14"/>
    <w:rsid w:val="00227DE4"/>
    <w:rsid w:val="00227ECC"/>
    <w:rsid w:val="002301E8"/>
    <w:rsid w:val="00230350"/>
    <w:rsid w:val="00230368"/>
    <w:rsid w:val="002303F3"/>
    <w:rsid w:val="00230434"/>
    <w:rsid w:val="002308EE"/>
    <w:rsid w:val="00230A93"/>
    <w:rsid w:val="00230AF2"/>
    <w:rsid w:val="00230AF3"/>
    <w:rsid w:val="00230DBF"/>
    <w:rsid w:val="00230DF4"/>
    <w:rsid w:val="002312D2"/>
    <w:rsid w:val="0023131B"/>
    <w:rsid w:val="00231422"/>
    <w:rsid w:val="00231475"/>
    <w:rsid w:val="0023149F"/>
    <w:rsid w:val="0023157F"/>
    <w:rsid w:val="0023159F"/>
    <w:rsid w:val="00231609"/>
    <w:rsid w:val="00231615"/>
    <w:rsid w:val="002316AF"/>
    <w:rsid w:val="002316FE"/>
    <w:rsid w:val="0023183B"/>
    <w:rsid w:val="00231C9A"/>
    <w:rsid w:val="00231D83"/>
    <w:rsid w:val="00231EA6"/>
    <w:rsid w:val="0023212F"/>
    <w:rsid w:val="00232320"/>
    <w:rsid w:val="0023260F"/>
    <w:rsid w:val="0023278C"/>
    <w:rsid w:val="00232A93"/>
    <w:rsid w:val="00232AC2"/>
    <w:rsid w:val="00232E8E"/>
    <w:rsid w:val="00233023"/>
    <w:rsid w:val="00233063"/>
    <w:rsid w:val="002330C7"/>
    <w:rsid w:val="00233469"/>
    <w:rsid w:val="00233610"/>
    <w:rsid w:val="002338AF"/>
    <w:rsid w:val="002338C0"/>
    <w:rsid w:val="00233B18"/>
    <w:rsid w:val="00233EB5"/>
    <w:rsid w:val="002342CC"/>
    <w:rsid w:val="002343A2"/>
    <w:rsid w:val="002343AF"/>
    <w:rsid w:val="0023452A"/>
    <w:rsid w:val="00234550"/>
    <w:rsid w:val="00234805"/>
    <w:rsid w:val="0023495A"/>
    <w:rsid w:val="00234976"/>
    <w:rsid w:val="002349B3"/>
    <w:rsid w:val="00234C2D"/>
    <w:rsid w:val="00234C9B"/>
    <w:rsid w:val="00234E43"/>
    <w:rsid w:val="00234ED7"/>
    <w:rsid w:val="002352DB"/>
    <w:rsid w:val="0023548F"/>
    <w:rsid w:val="002356D8"/>
    <w:rsid w:val="00235892"/>
    <w:rsid w:val="0023592E"/>
    <w:rsid w:val="00235AD2"/>
    <w:rsid w:val="00235B50"/>
    <w:rsid w:val="00235BE0"/>
    <w:rsid w:val="00235BFD"/>
    <w:rsid w:val="00235C0B"/>
    <w:rsid w:val="00235D2F"/>
    <w:rsid w:val="00235F4A"/>
    <w:rsid w:val="00236230"/>
    <w:rsid w:val="00236286"/>
    <w:rsid w:val="002363D2"/>
    <w:rsid w:val="0023642F"/>
    <w:rsid w:val="00236622"/>
    <w:rsid w:val="00236652"/>
    <w:rsid w:val="002366B9"/>
    <w:rsid w:val="002367E5"/>
    <w:rsid w:val="002368A4"/>
    <w:rsid w:val="00236A5C"/>
    <w:rsid w:val="00236B2B"/>
    <w:rsid w:val="00236BE5"/>
    <w:rsid w:val="00236C06"/>
    <w:rsid w:val="00236E10"/>
    <w:rsid w:val="00236E9B"/>
    <w:rsid w:val="00236ED9"/>
    <w:rsid w:val="00237492"/>
    <w:rsid w:val="0023763C"/>
    <w:rsid w:val="002377FE"/>
    <w:rsid w:val="00237BA0"/>
    <w:rsid w:val="00237BB4"/>
    <w:rsid w:val="00237C3C"/>
    <w:rsid w:val="00237C75"/>
    <w:rsid w:val="00237D31"/>
    <w:rsid w:val="00237F04"/>
    <w:rsid w:val="00237FEB"/>
    <w:rsid w:val="00240348"/>
    <w:rsid w:val="0024069D"/>
    <w:rsid w:val="002406BE"/>
    <w:rsid w:val="002407AA"/>
    <w:rsid w:val="00240842"/>
    <w:rsid w:val="0024093B"/>
    <w:rsid w:val="00240B07"/>
    <w:rsid w:val="00240CD9"/>
    <w:rsid w:val="00240CEB"/>
    <w:rsid w:val="002410CF"/>
    <w:rsid w:val="00241145"/>
    <w:rsid w:val="0024120F"/>
    <w:rsid w:val="002415D7"/>
    <w:rsid w:val="002415DA"/>
    <w:rsid w:val="002416C9"/>
    <w:rsid w:val="00241785"/>
    <w:rsid w:val="002418CC"/>
    <w:rsid w:val="00241AE4"/>
    <w:rsid w:val="00241BA9"/>
    <w:rsid w:val="00241CF5"/>
    <w:rsid w:val="00241E7B"/>
    <w:rsid w:val="0024220E"/>
    <w:rsid w:val="00242449"/>
    <w:rsid w:val="00242462"/>
    <w:rsid w:val="00242479"/>
    <w:rsid w:val="0024287C"/>
    <w:rsid w:val="00242946"/>
    <w:rsid w:val="00242C81"/>
    <w:rsid w:val="00242CF3"/>
    <w:rsid w:val="00242E0B"/>
    <w:rsid w:val="00242F2F"/>
    <w:rsid w:val="00242FD4"/>
    <w:rsid w:val="00243228"/>
    <w:rsid w:val="00243277"/>
    <w:rsid w:val="00243397"/>
    <w:rsid w:val="0024353B"/>
    <w:rsid w:val="00243AA8"/>
    <w:rsid w:val="00243D0B"/>
    <w:rsid w:val="00243D6C"/>
    <w:rsid w:val="00243F42"/>
    <w:rsid w:val="00243F8D"/>
    <w:rsid w:val="00243FCD"/>
    <w:rsid w:val="002444E9"/>
    <w:rsid w:val="0024450E"/>
    <w:rsid w:val="00244538"/>
    <w:rsid w:val="0024458D"/>
    <w:rsid w:val="002445AA"/>
    <w:rsid w:val="002446A9"/>
    <w:rsid w:val="00244B2E"/>
    <w:rsid w:val="00244B96"/>
    <w:rsid w:val="00244C26"/>
    <w:rsid w:val="00244D7D"/>
    <w:rsid w:val="00244D91"/>
    <w:rsid w:val="00244DC2"/>
    <w:rsid w:val="00244DD3"/>
    <w:rsid w:val="00244E45"/>
    <w:rsid w:val="00244F78"/>
    <w:rsid w:val="00245102"/>
    <w:rsid w:val="0024521A"/>
    <w:rsid w:val="00245295"/>
    <w:rsid w:val="002453E5"/>
    <w:rsid w:val="00245554"/>
    <w:rsid w:val="002459A5"/>
    <w:rsid w:val="00245AEB"/>
    <w:rsid w:val="00245B3B"/>
    <w:rsid w:val="00245C16"/>
    <w:rsid w:val="00245DC4"/>
    <w:rsid w:val="00245F85"/>
    <w:rsid w:val="00245FB4"/>
    <w:rsid w:val="00246138"/>
    <w:rsid w:val="002462D1"/>
    <w:rsid w:val="0024642B"/>
    <w:rsid w:val="00246490"/>
    <w:rsid w:val="00246551"/>
    <w:rsid w:val="002466AE"/>
    <w:rsid w:val="002466DB"/>
    <w:rsid w:val="00246CCD"/>
    <w:rsid w:val="00246D90"/>
    <w:rsid w:val="00246FA4"/>
    <w:rsid w:val="0024712B"/>
    <w:rsid w:val="00247241"/>
    <w:rsid w:val="0024745A"/>
    <w:rsid w:val="0024757D"/>
    <w:rsid w:val="00247957"/>
    <w:rsid w:val="00247A5E"/>
    <w:rsid w:val="00247AC6"/>
    <w:rsid w:val="00247D49"/>
    <w:rsid w:val="00247E91"/>
    <w:rsid w:val="00247E92"/>
    <w:rsid w:val="00247EF3"/>
    <w:rsid w:val="002500CC"/>
    <w:rsid w:val="00250185"/>
    <w:rsid w:val="00250208"/>
    <w:rsid w:val="00250552"/>
    <w:rsid w:val="0025061A"/>
    <w:rsid w:val="00250795"/>
    <w:rsid w:val="00250859"/>
    <w:rsid w:val="0025099A"/>
    <w:rsid w:val="00250C46"/>
    <w:rsid w:val="00250DB2"/>
    <w:rsid w:val="00250DEB"/>
    <w:rsid w:val="00250E02"/>
    <w:rsid w:val="002510F8"/>
    <w:rsid w:val="00251189"/>
    <w:rsid w:val="00251458"/>
    <w:rsid w:val="002518DA"/>
    <w:rsid w:val="002519DF"/>
    <w:rsid w:val="00251A1C"/>
    <w:rsid w:val="00251A8D"/>
    <w:rsid w:val="00251C18"/>
    <w:rsid w:val="00251C30"/>
    <w:rsid w:val="00251C33"/>
    <w:rsid w:val="00251C52"/>
    <w:rsid w:val="00251FA3"/>
    <w:rsid w:val="002523F8"/>
    <w:rsid w:val="00252599"/>
    <w:rsid w:val="00252C81"/>
    <w:rsid w:val="0025306B"/>
    <w:rsid w:val="0025310E"/>
    <w:rsid w:val="0025318D"/>
    <w:rsid w:val="002534AA"/>
    <w:rsid w:val="002534D3"/>
    <w:rsid w:val="00253553"/>
    <w:rsid w:val="00253803"/>
    <w:rsid w:val="0025386C"/>
    <w:rsid w:val="00253D0B"/>
    <w:rsid w:val="00253D86"/>
    <w:rsid w:val="00253DC4"/>
    <w:rsid w:val="00253DDC"/>
    <w:rsid w:val="002541AE"/>
    <w:rsid w:val="00254202"/>
    <w:rsid w:val="00254398"/>
    <w:rsid w:val="00254837"/>
    <w:rsid w:val="00254A04"/>
    <w:rsid w:val="00254CD0"/>
    <w:rsid w:val="00255156"/>
    <w:rsid w:val="00255534"/>
    <w:rsid w:val="002557B9"/>
    <w:rsid w:val="002557F6"/>
    <w:rsid w:val="00255843"/>
    <w:rsid w:val="002558DD"/>
    <w:rsid w:val="002559D0"/>
    <w:rsid w:val="002559D2"/>
    <w:rsid w:val="00255B6D"/>
    <w:rsid w:val="00255DF6"/>
    <w:rsid w:val="00255E77"/>
    <w:rsid w:val="00256013"/>
    <w:rsid w:val="002560EC"/>
    <w:rsid w:val="002561E5"/>
    <w:rsid w:val="00256295"/>
    <w:rsid w:val="0025644B"/>
    <w:rsid w:val="00256592"/>
    <w:rsid w:val="00256615"/>
    <w:rsid w:val="00256687"/>
    <w:rsid w:val="002566F4"/>
    <w:rsid w:val="0025671F"/>
    <w:rsid w:val="00256950"/>
    <w:rsid w:val="00256AD2"/>
    <w:rsid w:val="00256CAC"/>
    <w:rsid w:val="00256CE3"/>
    <w:rsid w:val="00256D41"/>
    <w:rsid w:val="00256E6B"/>
    <w:rsid w:val="00256F47"/>
    <w:rsid w:val="00256F78"/>
    <w:rsid w:val="002571D3"/>
    <w:rsid w:val="002573B0"/>
    <w:rsid w:val="002573E2"/>
    <w:rsid w:val="002574E0"/>
    <w:rsid w:val="00257B1E"/>
    <w:rsid w:val="00257FD2"/>
    <w:rsid w:val="00257FDD"/>
    <w:rsid w:val="00257FDE"/>
    <w:rsid w:val="00260156"/>
    <w:rsid w:val="002601D8"/>
    <w:rsid w:val="0026038C"/>
    <w:rsid w:val="00260863"/>
    <w:rsid w:val="00260881"/>
    <w:rsid w:val="00260883"/>
    <w:rsid w:val="00260884"/>
    <w:rsid w:val="002608F6"/>
    <w:rsid w:val="00260998"/>
    <w:rsid w:val="00260AE8"/>
    <w:rsid w:val="00260C2C"/>
    <w:rsid w:val="00260CDF"/>
    <w:rsid w:val="00260DF6"/>
    <w:rsid w:val="00260F23"/>
    <w:rsid w:val="00260F27"/>
    <w:rsid w:val="0026100D"/>
    <w:rsid w:val="0026145A"/>
    <w:rsid w:val="00261639"/>
    <w:rsid w:val="0026165B"/>
    <w:rsid w:val="0026171E"/>
    <w:rsid w:val="0026177C"/>
    <w:rsid w:val="002617C4"/>
    <w:rsid w:val="00261A33"/>
    <w:rsid w:val="00261C06"/>
    <w:rsid w:val="00262043"/>
    <w:rsid w:val="002620B2"/>
    <w:rsid w:val="00262155"/>
    <w:rsid w:val="0026216A"/>
    <w:rsid w:val="00262409"/>
    <w:rsid w:val="0026293C"/>
    <w:rsid w:val="00262966"/>
    <w:rsid w:val="002629EC"/>
    <w:rsid w:val="00262BA1"/>
    <w:rsid w:val="00262C21"/>
    <w:rsid w:val="00262CC2"/>
    <w:rsid w:val="00262E39"/>
    <w:rsid w:val="00263134"/>
    <w:rsid w:val="00263357"/>
    <w:rsid w:val="00263446"/>
    <w:rsid w:val="00263603"/>
    <w:rsid w:val="002636A6"/>
    <w:rsid w:val="002639AC"/>
    <w:rsid w:val="00263A22"/>
    <w:rsid w:val="00263ACA"/>
    <w:rsid w:val="00263BC3"/>
    <w:rsid w:val="00263C25"/>
    <w:rsid w:val="00263E43"/>
    <w:rsid w:val="00263F95"/>
    <w:rsid w:val="00263FC2"/>
    <w:rsid w:val="0026401E"/>
    <w:rsid w:val="00264023"/>
    <w:rsid w:val="002641AA"/>
    <w:rsid w:val="00264366"/>
    <w:rsid w:val="0026437A"/>
    <w:rsid w:val="00264445"/>
    <w:rsid w:val="002644AA"/>
    <w:rsid w:val="0026472E"/>
    <w:rsid w:val="002647AC"/>
    <w:rsid w:val="002649DC"/>
    <w:rsid w:val="00264B8F"/>
    <w:rsid w:val="00264BA0"/>
    <w:rsid w:val="00264BC4"/>
    <w:rsid w:val="00264CC6"/>
    <w:rsid w:val="00264CF3"/>
    <w:rsid w:val="00265049"/>
    <w:rsid w:val="002652C7"/>
    <w:rsid w:val="00265476"/>
    <w:rsid w:val="00265837"/>
    <w:rsid w:val="002658C4"/>
    <w:rsid w:val="00265940"/>
    <w:rsid w:val="002659B8"/>
    <w:rsid w:val="00265A7B"/>
    <w:rsid w:val="00265ABC"/>
    <w:rsid w:val="00265EE1"/>
    <w:rsid w:val="00265FF3"/>
    <w:rsid w:val="00266067"/>
    <w:rsid w:val="00266129"/>
    <w:rsid w:val="00266168"/>
    <w:rsid w:val="002661B9"/>
    <w:rsid w:val="002662A3"/>
    <w:rsid w:val="00266383"/>
    <w:rsid w:val="002664A7"/>
    <w:rsid w:val="0026656A"/>
    <w:rsid w:val="00266725"/>
    <w:rsid w:val="002667DB"/>
    <w:rsid w:val="00266908"/>
    <w:rsid w:val="0026695A"/>
    <w:rsid w:val="00266BB1"/>
    <w:rsid w:val="00266CA0"/>
    <w:rsid w:val="002670C6"/>
    <w:rsid w:val="00267187"/>
    <w:rsid w:val="00267200"/>
    <w:rsid w:val="00267573"/>
    <w:rsid w:val="00267588"/>
    <w:rsid w:val="0026784C"/>
    <w:rsid w:val="002678A7"/>
    <w:rsid w:val="00267921"/>
    <w:rsid w:val="00267984"/>
    <w:rsid w:val="00267B63"/>
    <w:rsid w:val="00267EA9"/>
    <w:rsid w:val="00267F01"/>
    <w:rsid w:val="00267F24"/>
    <w:rsid w:val="0027003B"/>
    <w:rsid w:val="00270163"/>
    <w:rsid w:val="002703E3"/>
    <w:rsid w:val="002704E9"/>
    <w:rsid w:val="002705E7"/>
    <w:rsid w:val="00270930"/>
    <w:rsid w:val="00270AFD"/>
    <w:rsid w:val="00270F82"/>
    <w:rsid w:val="0027105F"/>
    <w:rsid w:val="002711A3"/>
    <w:rsid w:val="00271450"/>
    <w:rsid w:val="00271C4C"/>
    <w:rsid w:val="00271CCD"/>
    <w:rsid w:val="00271D17"/>
    <w:rsid w:val="00271DD3"/>
    <w:rsid w:val="00272260"/>
    <w:rsid w:val="00272273"/>
    <w:rsid w:val="00272293"/>
    <w:rsid w:val="002725AB"/>
    <w:rsid w:val="0027271C"/>
    <w:rsid w:val="00272774"/>
    <w:rsid w:val="00272A11"/>
    <w:rsid w:val="00272AC6"/>
    <w:rsid w:val="00272B1A"/>
    <w:rsid w:val="00272B46"/>
    <w:rsid w:val="00272B5C"/>
    <w:rsid w:val="00272DD4"/>
    <w:rsid w:val="00272F33"/>
    <w:rsid w:val="002730FD"/>
    <w:rsid w:val="0027329B"/>
    <w:rsid w:val="002732E0"/>
    <w:rsid w:val="00273469"/>
    <w:rsid w:val="002734A8"/>
    <w:rsid w:val="00273630"/>
    <w:rsid w:val="002736C8"/>
    <w:rsid w:val="00273731"/>
    <w:rsid w:val="002737CE"/>
    <w:rsid w:val="002739F9"/>
    <w:rsid w:val="00273A10"/>
    <w:rsid w:val="00273A70"/>
    <w:rsid w:val="00273C4B"/>
    <w:rsid w:val="00273D6D"/>
    <w:rsid w:val="00273D95"/>
    <w:rsid w:val="00273F0C"/>
    <w:rsid w:val="00274053"/>
    <w:rsid w:val="00274473"/>
    <w:rsid w:val="00274578"/>
    <w:rsid w:val="0027472D"/>
    <w:rsid w:val="0027479C"/>
    <w:rsid w:val="002748D9"/>
    <w:rsid w:val="0027499D"/>
    <w:rsid w:val="00274A07"/>
    <w:rsid w:val="00274AD4"/>
    <w:rsid w:val="00274BD8"/>
    <w:rsid w:val="00274C09"/>
    <w:rsid w:val="00274F0A"/>
    <w:rsid w:val="00274F43"/>
    <w:rsid w:val="00274F93"/>
    <w:rsid w:val="0027512A"/>
    <w:rsid w:val="00275274"/>
    <w:rsid w:val="0027528E"/>
    <w:rsid w:val="00275467"/>
    <w:rsid w:val="0027554A"/>
    <w:rsid w:val="002756F2"/>
    <w:rsid w:val="00275790"/>
    <w:rsid w:val="002757D0"/>
    <w:rsid w:val="002757F6"/>
    <w:rsid w:val="00275860"/>
    <w:rsid w:val="00275946"/>
    <w:rsid w:val="0027598E"/>
    <w:rsid w:val="00275A9B"/>
    <w:rsid w:val="00275C8E"/>
    <w:rsid w:val="00275CCA"/>
    <w:rsid w:val="00275DF0"/>
    <w:rsid w:val="00275E34"/>
    <w:rsid w:val="00275F91"/>
    <w:rsid w:val="002761F7"/>
    <w:rsid w:val="0027628D"/>
    <w:rsid w:val="002762EC"/>
    <w:rsid w:val="0027644E"/>
    <w:rsid w:val="00276514"/>
    <w:rsid w:val="00276684"/>
    <w:rsid w:val="00276896"/>
    <w:rsid w:val="002768AE"/>
    <w:rsid w:val="002768FE"/>
    <w:rsid w:val="00276F3D"/>
    <w:rsid w:val="0027727E"/>
    <w:rsid w:val="0027729F"/>
    <w:rsid w:val="00277707"/>
    <w:rsid w:val="00277887"/>
    <w:rsid w:val="0027795E"/>
    <w:rsid w:val="00277A20"/>
    <w:rsid w:val="00277B3A"/>
    <w:rsid w:val="00277B6D"/>
    <w:rsid w:val="00277C00"/>
    <w:rsid w:val="00277DA7"/>
    <w:rsid w:val="00277EE0"/>
    <w:rsid w:val="00277F90"/>
    <w:rsid w:val="00277FF2"/>
    <w:rsid w:val="00280116"/>
    <w:rsid w:val="00280152"/>
    <w:rsid w:val="002801A4"/>
    <w:rsid w:val="002802B6"/>
    <w:rsid w:val="002803A7"/>
    <w:rsid w:val="00280434"/>
    <w:rsid w:val="00280574"/>
    <w:rsid w:val="00280684"/>
    <w:rsid w:val="0028075F"/>
    <w:rsid w:val="00280798"/>
    <w:rsid w:val="00280980"/>
    <w:rsid w:val="00280A46"/>
    <w:rsid w:val="00280A85"/>
    <w:rsid w:val="00280ABA"/>
    <w:rsid w:val="00280AD5"/>
    <w:rsid w:val="00280AF3"/>
    <w:rsid w:val="00280B31"/>
    <w:rsid w:val="00280B67"/>
    <w:rsid w:val="00280D92"/>
    <w:rsid w:val="00280E44"/>
    <w:rsid w:val="00280FA9"/>
    <w:rsid w:val="0028122D"/>
    <w:rsid w:val="002813F3"/>
    <w:rsid w:val="002814E0"/>
    <w:rsid w:val="00281716"/>
    <w:rsid w:val="00281813"/>
    <w:rsid w:val="00281817"/>
    <w:rsid w:val="00281867"/>
    <w:rsid w:val="00281A0D"/>
    <w:rsid w:val="002820BC"/>
    <w:rsid w:val="00282133"/>
    <w:rsid w:val="0028244A"/>
    <w:rsid w:val="00282563"/>
    <w:rsid w:val="002826B5"/>
    <w:rsid w:val="002826E6"/>
    <w:rsid w:val="00282738"/>
    <w:rsid w:val="002827AD"/>
    <w:rsid w:val="00282A66"/>
    <w:rsid w:val="00282DF5"/>
    <w:rsid w:val="00283094"/>
    <w:rsid w:val="002834C4"/>
    <w:rsid w:val="0028358E"/>
    <w:rsid w:val="0028359D"/>
    <w:rsid w:val="0028366F"/>
    <w:rsid w:val="00283720"/>
    <w:rsid w:val="00283B07"/>
    <w:rsid w:val="00283B79"/>
    <w:rsid w:val="00283C41"/>
    <w:rsid w:val="00283D99"/>
    <w:rsid w:val="0028404D"/>
    <w:rsid w:val="002840B2"/>
    <w:rsid w:val="0028415C"/>
    <w:rsid w:val="00284167"/>
    <w:rsid w:val="002841A7"/>
    <w:rsid w:val="0028427D"/>
    <w:rsid w:val="0028449D"/>
    <w:rsid w:val="002846AA"/>
    <w:rsid w:val="00284934"/>
    <w:rsid w:val="00284C22"/>
    <w:rsid w:val="00284D48"/>
    <w:rsid w:val="00284DE7"/>
    <w:rsid w:val="00285144"/>
    <w:rsid w:val="002853E7"/>
    <w:rsid w:val="0028575F"/>
    <w:rsid w:val="0028579D"/>
    <w:rsid w:val="002857B7"/>
    <w:rsid w:val="00285854"/>
    <w:rsid w:val="002858BA"/>
    <w:rsid w:val="00285906"/>
    <w:rsid w:val="0028590E"/>
    <w:rsid w:val="00285BC8"/>
    <w:rsid w:val="00285BD6"/>
    <w:rsid w:val="00285E5F"/>
    <w:rsid w:val="00285EB5"/>
    <w:rsid w:val="00286099"/>
    <w:rsid w:val="002864BB"/>
    <w:rsid w:val="002864D8"/>
    <w:rsid w:val="00286847"/>
    <w:rsid w:val="00286A23"/>
    <w:rsid w:val="00286D9E"/>
    <w:rsid w:val="00286E2B"/>
    <w:rsid w:val="00286ECF"/>
    <w:rsid w:val="00286F6A"/>
    <w:rsid w:val="00287101"/>
    <w:rsid w:val="0028710F"/>
    <w:rsid w:val="0028718C"/>
    <w:rsid w:val="00287198"/>
    <w:rsid w:val="0028739F"/>
    <w:rsid w:val="0028752D"/>
    <w:rsid w:val="00287620"/>
    <w:rsid w:val="002876A5"/>
    <w:rsid w:val="0028780C"/>
    <w:rsid w:val="00287C63"/>
    <w:rsid w:val="00287D89"/>
    <w:rsid w:val="00287D91"/>
    <w:rsid w:val="00287DC3"/>
    <w:rsid w:val="00287EA3"/>
    <w:rsid w:val="00287F09"/>
    <w:rsid w:val="00287F28"/>
    <w:rsid w:val="00287F7B"/>
    <w:rsid w:val="0029026B"/>
    <w:rsid w:val="00290336"/>
    <w:rsid w:val="0029046D"/>
    <w:rsid w:val="00290512"/>
    <w:rsid w:val="00290661"/>
    <w:rsid w:val="0029069E"/>
    <w:rsid w:val="0029097A"/>
    <w:rsid w:val="00290A2C"/>
    <w:rsid w:val="00290EB0"/>
    <w:rsid w:val="00291032"/>
    <w:rsid w:val="00291110"/>
    <w:rsid w:val="0029134D"/>
    <w:rsid w:val="002914B8"/>
    <w:rsid w:val="002914D3"/>
    <w:rsid w:val="002914EA"/>
    <w:rsid w:val="00291517"/>
    <w:rsid w:val="00291671"/>
    <w:rsid w:val="002916F5"/>
    <w:rsid w:val="00291BEF"/>
    <w:rsid w:val="00291FCA"/>
    <w:rsid w:val="00292021"/>
    <w:rsid w:val="0029205F"/>
    <w:rsid w:val="0029215E"/>
    <w:rsid w:val="0029215F"/>
    <w:rsid w:val="00292330"/>
    <w:rsid w:val="002927A3"/>
    <w:rsid w:val="0029288E"/>
    <w:rsid w:val="002928A8"/>
    <w:rsid w:val="00292984"/>
    <w:rsid w:val="00292B12"/>
    <w:rsid w:val="00292B86"/>
    <w:rsid w:val="00292CAB"/>
    <w:rsid w:val="00292CE9"/>
    <w:rsid w:val="0029337C"/>
    <w:rsid w:val="002934B8"/>
    <w:rsid w:val="0029352D"/>
    <w:rsid w:val="0029381D"/>
    <w:rsid w:val="00293855"/>
    <w:rsid w:val="00293A96"/>
    <w:rsid w:val="00293C5D"/>
    <w:rsid w:val="00293D80"/>
    <w:rsid w:val="00293DE1"/>
    <w:rsid w:val="00293F8C"/>
    <w:rsid w:val="002942ED"/>
    <w:rsid w:val="00294407"/>
    <w:rsid w:val="002947BE"/>
    <w:rsid w:val="00294892"/>
    <w:rsid w:val="002948FE"/>
    <w:rsid w:val="00294AA4"/>
    <w:rsid w:val="00294AB9"/>
    <w:rsid w:val="00294BD4"/>
    <w:rsid w:val="00294C4A"/>
    <w:rsid w:val="00294C5B"/>
    <w:rsid w:val="00294CAF"/>
    <w:rsid w:val="00295106"/>
    <w:rsid w:val="00295190"/>
    <w:rsid w:val="00295356"/>
    <w:rsid w:val="002955EE"/>
    <w:rsid w:val="00295932"/>
    <w:rsid w:val="00295933"/>
    <w:rsid w:val="002959E1"/>
    <w:rsid w:val="00295CDB"/>
    <w:rsid w:val="00295F5C"/>
    <w:rsid w:val="0029609B"/>
    <w:rsid w:val="00296118"/>
    <w:rsid w:val="00296201"/>
    <w:rsid w:val="00296235"/>
    <w:rsid w:val="002962A5"/>
    <w:rsid w:val="0029671A"/>
    <w:rsid w:val="00296784"/>
    <w:rsid w:val="0029678C"/>
    <w:rsid w:val="0029692B"/>
    <w:rsid w:val="0029694E"/>
    <w:rsid w:val="00296A0F"/>
    <w:rsid w:val="00296D19"/>
    <w:rsid w:val="00296E99"/>
    <w:rsid w:val="0029701F"/>
    <w:rsid w:val="002970EA"/>
    <w:rsid w:val="00297496"/>
    <w:rsid w:val="002974D4"/>
    <w:rsid w:val="0029753E"/>
    <w:rsid w:val="002979A7"/>
    <w:rsid w:val="00297A33"/>
    <w:rsid w:val="00297A96"/>
    <w:rsid w:val="00297B5F"/>
    <w:rsid w:val="00297C1B"/>
    <w:rsid w:val="00297D08"/>
    <w:rsid w:val="00297D41"/>
    <w:rsid w:val="00297E66"/>
    <w:rsid w:val="002A00F3"/>
    <w:rsid w:val="002A05CE"/>
    <w:rsid w:val="002A083D"/>
    <w:rsid w:val="002A0928"/>
    <w:rsid w:val="002A099E"/>
    <w:rsid w:val="002A0AA0"/>
    <w:rsid w:val="002A0BB7"/>
    <w:rsid w:val="002A0BD3"/>
    <w:rsid w:val="002A0C17"/>
    <w:rsid w:val="002A1155"/>
    <w:rsid w:val="002A1350"/>
    <w:rsid w:val="002A1510"/>
    <w:rsid w:val="002A15DC"/>
    <w:rsid w:val="002A163A"/>
    <w:rsid w:val="002A1673"/>
    <w:rsid w:val="002A17F6"/>
    <w:rsid w:val="002A188B"/>
    <w:rsid w:val="002A1AE9"/>
    <w:rsid w:val="002A1B97"/>
    <w:rsid w:val="002A1C7A"/>
    <w:rsid w:val="002A1D58"/>
    <w:rsid w:val="002A1DA7"/>
    <w:rsid w:val="002A1DD0"/>
    <w:rsid w:val="002A200D"/>
    <w:rsid w:val="002A219B"/>
    <w:rsid w:val="002A23D5"/>
    <w:rsid w:val="002A23DC"/>
    <w:rsid w:val="002A25D4"/>
    <w:rsid w:val="002A2654"/>
    <w:rsid w:val="002A26A8"/>
    <w:rsid w:val="002A2790"/>
    <w:rsid w:val="002A27A4"/>
    <w:rsid w:val="002A28D9"/>
    <w:rsid w:val="002A2909"/>
    <w:rsid w:val="002A294E"/>
    <w:rsid w:val="002A2962"/>
    <w:rsid w:val="002A2A64"/>
    <w:rsid w:val="002A2CCC"/>
    <w:rsid w:val="002A2DCD"/>
    <w:rsid w:val="002A304C"/>
    <w:rsid w:val="002A316E"/>
    <w:rsid w:val="002A3272"/>
    <w:rsid w:val="002A32D1"/>
    <w:rsid w:val="002A330D"/>
    <w:rsid w:val="002A33F1"/>
    <w:rsid w:val="002A3423"/>
    <w:rsid w:val="002A35B7"/>
    <w:rsid w:val="002A35C6"/>
    <w:rsid w:val="002A3606"/>
    <w:rsid w:val="002A36A7"/>
    <w:rsid w:val="002A377B"/>
    <w:rsid w:val="002A3D2D"/>
    <w:rsid w:val="002A3F88"/>
    <w:rsid w:val="002A4078"/>
    <w:rsid w:val="002A40BF"/>
    <w:rsid w:val="002A4101"/>
    <w:rsid w:val="002A434A"/>
    <w:rsid w:val="002A447F"/>
    <w:rsid w:val="002A46C6"/>
    <w:rsid w:val="002A4846"/>
    <w:rsid w:val="002A499B"/>
    <w:rsid w:val="002A4ABE"/>
    <w:rsid w:val="002A4D40"/>
    <w:rsid w:val="002A4D7E"/>
    <w:rsid w:val="002A4E4F"/>
    <w:rsid w:val="002A4F74"/>
    <w:rsid w:val="002A50CF"/>
    <w:rsid w:val="002A512E"/>
    <w:rsid w:val="002A54B3"/>
    <w:rsid w:val="002A54E2"/>
    <w:rsid w:val="002A552F"/>
    <w:rsid w:val="002A5AD1"/>
    <w:rsid w:val="002A5E42"/>
    <w:rsid w:val="002A5FDA"/>
    <w:rsid w:val="002A604A"/>
    <w:rsid w:val="002A6051"/>
    <w:rsid w:val="002A6126"/>
    <w:rsid w:val="002A63D7"/>
    <w:rsid w:val="002A6492"/>
    <w:rsid w:val="002A6802"/>
    <w:rsid w:val="002A6823"/>
    <w:rsid w:val="002A6A16"/>
    <w:rsid w:val="002A6BD0"/>
    <w:rsid w:val="002A6BE3"/>
    <w:rsid w:val="002A7171"/>
    <w:rsid w:val="002A72B8"/>
    <w:rsid w:val="002A72C5"/>
    <w:rsid w:val="002A72D3"/>
    <w:rsid w:val="002A72FA"/>
    <w:rsid w:val="002A781E"/>
    <w:rsid w:val="002A7987"/>
    <w:rsid w:val="002A7B3E"/>
    <w:rsid w:val="002A7C2E"/>
    <w:rsid w:val="002A7EC0"/>
    <w:rsid w:val="002A7F1A"/>
    <w:rsid w:val="002A7F4D"/>
    <w:rsid w:val="002B0069"/>
    <w:rsid w:val="002B02CC"/>
    <w:rsid w:val="002B03AB"/>
    <w:rsid w:val="002B04A5"/>
    <w:rsid w:val="002B0635"/>
    <w:rsid w:val="002B0849"/>
    <w:rsid w:val="002B08DB"/>
    <w:rsid w:val="002B094F"/>
    <w:rsid w:val="002B0AE8"/>
    <w:rsid w:val="002B0B9A"/>
    <w:rsid w:val="002B0C8D"/>
    <w:rsid w:val="002B0CDA"/>
    <w:rsid w:val="002B10FC"/>
    <w:rsid w:val="002B118A"/>
    <w:rsid w:val="002B1564"/>
    <w:rsid w:val="002B1971"/>
    <w:rsid w:val="002B1AEF"/>
    <w:rsid w:val="002B1CE7"/>
    <w:rsid w:val="002B1DEB"/>
    <w:rsid w:val="002B1ED5"/>
    <w:rsid w:val="002B1F67"/>
    <w:rsid w:val="002B1FFE"/>
    <w:rsid w:val="002B221D"/>
    <w:rsid w:val="002B2269"/>
    <w:rsid w:val="002B2413"/>
    <w:rsid w:val="002B2A21"/>
    <w:rsid w:val="002B2C19"/>
    <w:rsid w:val="002B2C73"/>
    <w:rsid w:val="002B2EA1"/>
    <w:rsid w:val="002B3127"/>
    <w:rsid w:val="002B3180"/>
    <w:rsid w:val="002B3223"/>
    <w:rsid w:val="002B32F8"/>
    <w:rsid w:val="002B340C"/>
    <w:rsid w:val="002B37A3"/>
    <w:rsid w:val="002B3A13"/>
    <w:rsid w:val="002B3A99"/>
    <w:rsid w:val="002B3E31"/>
    <w:rsid w:val="002B418A"/>
    <w:rsid w:val="002B41AB"/>
    <w:rsid w:val="002B42C2"/>
    <w:rsid w:val="002B4516"/>
    <w:rsid w:val="002B4B0D"/>
    <w:rsid w:val="002B4B12"/>
    <w:rsid w:val="002B4D94"/>
    <w:rsid w:val="002B4E47"/>
    <w:rsid w:val="002B4F7D"/>
    <w:rsid w:val="002B50AE"/>
    <w:rsid w:val="002B510D"/>
    <w:rsid w:val="002B5336"/>
    <w:rsid w:val="002B5342"/>
    <w:rsid w:val="002B5346"/>
    <w:rsid w:val="002B54F0"/>
    <w:rsid w:val="002B56F4"/>
    <w:rsid w:val="002B5715"/>
    <w:rsid w:val="002B5913"/>
    <w:rsid w:val="002B5B77"/>
    <w:rsid w:val="002B5BB2"/>
    <w:rsid w:val="002B5DB8"/>
    <w:rsid w:val="002B5E21"/>
    <w:rsid w:val="002B5E53"/>
    <w:rsid w:val="002B5E6E"/>
    <w:rsid w:val="002B5F78"/>
    <w:rsid w:val="002B607F"/>
    <w:rsid w:val="002B60D1"/>
    <w:rsid w:val="002B6106"/>
    <w:rsid w:val="002B6258"/>
    <w:rsid w:val="002B6931"/>
    <w:rsid w:val="002B6AAC"/>
    <w:rsid w:val="002B6ABC"/>
    <w:rsid w:val="002B6B62"/>
    <w:rsid w:val="002B6D40"/>
    <w:rsid w:val="002B6E37"/>
    <w:rsid w:val="002B6F98"/>
    <w:rsid w:val="002B6FF6"/>
    <w:rsid w:val="002B70C6"/>
    <w:rsid w:val="002B73E7"/>
    <w:rsid w:val="002B74A4"/>
    <w:rsid w:val="002B74F2"/>
    <w:rsid w:val="002B7519"/>
    <w:rsid w:val="002B76A6"/>
    <w:rsid w:val="002B773A"/>
    <w:rsid w:val="002B77FC"/>
    <w:rsid w:val="002B794D"/>
    <w:rsid w:val="002B7960"/>
    <w:rsid w:val="002B798F"/>
    <w:rsid w:val="002B7A3F"/>
    <w:rsid w:val="002B7B05"/>
    <w:rsid w:val="002B7CB6"/>
    <w:rsid w:val="002B7DED"/>
    <w:rsid w:val="002B7E2F"/>
    <w:rsid w:val="002B7FFE"/>
    <w:rsid w:val="002C042D"/>
    <w:rsid w:val="002C04C1"/>
    <w:rsid w:val="002C0789"/>
    <w:rsid w:val="002C08E6"/>
    <w:rsid w:val="002C0A0E"/>
    <w:rsid w:val="002C0B5C"/>
    <w:rsid w:val="002C0C2A"/>
    <w:rsid w:val="002C0C84"/>
    <w:rsid w:val="002C0CF4"/>
    <w:rsid w:val="002C0E73"/>
    <w:rsid w:val="002C0EC0"/>
    <w:rsid w:val="002C169F"/>
    <w:rsid w:val="002C172A"/>
    <w:rsid w:val="002C17A6"/>
    <w:rsid w:val="002C18CB"/>
    <w:rsid w:val="002C1999"/>
    <w:rsid w:val="002C1A6E"/>
    <w:rsid w:val="002C1ABB"/>
    <w:rsid w:val="002C1BE1"/>
    <w:rsid w:val="002C1E00"/>
    <w:rsid w:val="002C1FFB"/>
    <w:rsid w:val="002C203B"/>
    <w:rsid w:val="002C2084"/>
    <w:rsid w:val="002C2097"/>
    <w:rsid w:val="002C20F6"/>
    <w:rsid w:val="002C217F"/>
    <w:rsid w:val="002C2400"/>
    <w:rsid w:val="002C2417"/>
    <w:rsid w:val="002C2515"/>
    <w:rsid w:val="002C28C7"/>
    <w:rsid w:val="002C2C2D"/>
    <w:rsid w:val="002C2D1A"/>
    <w:rsid w:val="002C2D61"/>
    <w:rsid w:val="002C2DFB"/>
    <w:rsid w:val="002C2E06"/>
    <w:rsid w:val="002C2FFF"/>
    <w:rsid w:val="002C3196"/>
    <w:rsid w:val="002C34C9"/>
    <w:rsid w:val="002C3580"/>
    <w:rsid w:val="002C387F"/>
    <w:rsid w:val="002C39B0"/>
    <w:rsid w:val="002C3C50"/>
    <w:rsid w:val="002C3C85"/>
    <w:rsid w:val="002C3DEB"/>
    <w:rsid w:val="002C4046"/>
    <w:rsid w:val="002C4052"/>
    <w:rsid w:val="002C4075"/>
    <w:rsid w:val="002C4177"/>
    <w:rsid w:val="002C4181"/>
    <w:rsid w:val="002C4379"/>
    <w:rsid w:val="002C43D8"/>
    <w:rsid w:val="002C43E9"/>
    <w:rsid w:val="002C46B9"/>
    <w:rsid w:val="002C4776"/>
    <w:rsid w:val="002C4895"/>
    <w:rsid w:val="002C4966"/>
    <w:rsid w:val="002C4977"/>
    <w:rsid w:val="002C4A15"/>
    <w:rsid w:val="002C4B5D"/>
    <w:rsid w:val="002C4B79"/>
    <w:rsid w:val="002C4E24"/>
    <w:rsid w:val="002C4E88"/>
    <w:rsid w:val="002C4EDE"/>
    <w:rsid w:val="002C4FBD"/>
    <w:rsid w:val="002C5304"/>
    <w:rsid w:val="002C5455"/>
    <w:rsid w:val="002C55FC"/>
    <w:rsid w:val="002C5645"/>
    <w:rsid w:val="002C58DF"/>
    <w:rsid w:val="002C596C"/>
    <w:rsid w:val="002C5A22"/>
    <w:rsid w:val="002C5C45"/>
    <w:rsid w:val="002C5D70"/>
    <w:rsid w:val="002C5F7B"/>
    <w:rsid w:val="002C6184"/>
    <w:rsid w:val="002C620E"/>
    <w:rsid w:val="002C6354"/>
    <w:rsid w:val="002C651A"/>
    <w:rsid w:val="002C663C"/>
    <w:rsid w:val="002C6895"/>
    <w:rsid w:val="002C6A12"/>
    <w:rsid w:val="002C6A86"/>
    <w:rsid w:val="002C6F5D"/>
    <w:rsid w:val="002C6FD9"/>
    <w:rsid w:val="002C717C"/>
    <w:rsid w:val="002C73E1"/>
    <w:rsid w:val="002C76C9"/>
    <w:rsid w:val="002C779E"/>
    <w:rsid w:val="002C78FC"/>
    <w:rsid w:val="002C7AE5"/>
    <w:rsid w:val="002C7BEB"/>
    <w:rsid w:val="002C7D14"/>
    <w:rsid w:val="002C7E45"/>
    <w:rsid w:val="002C7EBC"/>
    <w:rsid w:val="002D00D4"/>
    <w:rsid w:val="002D0162"/>
    <w:rsid w:val="002D0500"/>
    <w:rsid w:val="002D05D5"/>
    <w:rsid w:val="002D0630"/>
    <w:rsid w:val="002D06D8"/>
    <w:rsid w:val="002D06DF"/>
    <w:rsid w:val="002D0800"/>
    <w:rsid w:val="002D082E"/>
    <w:rsid w:val="002D0858"/>
    <w:rsid w:val="002D0B30"/>
    <w:rsid w:val="002D0C45"/>
    <w:rsid w:val="002D0EC4"/>
    <w:rsid w:val="002D0FE8"/>
    <w:rsid w:val="002D1147"/>
    <w:rsid w:val="002D12A9"/>
    <w:rsid w:val="002D162D"/>
    <w:rsid w:val="002D1881"/>
    <w:rsid w:val="002D1915"/>
    <w:rsid w:val="002D1FD2"/>
    <w:rsid w:val="002D2268"/>
    <w:rsid w:val="002D273F"/>
    <w:rsid w:val="002D28EA"/>
    <w:rsid w:val="002D299E"/>
    <w:rsid w:val="002D2FB1"/>
    <w:rsid w:val="002D301F"/>
    <w:rsid w:val="002D317F"/>
    <w:rsid w:val="002D320A"/>
    <w:rsid w:val="002D327F"/>
    <w:rsid w:val="002D3731"/>
    <w:rsid w:val="002D3781"/>
    <w:rsid w:val="002D3990"/>
    <w:rsid w:val="002D3CCF"/>
    <w:rsid w:val="002D3D20"/>
    <w:rsid w:val="002D3D3D"/>
    <w:rsid w:val="002D3EBA"/>
    <w:rsid w:val="002D4082"/>
    <w:rsid w:val="002D40EA"/>
    <w:rsid w:val="002D40F2"/>
    <w:rsid w:val="002D429B"/>
    <w:rsid w:val="002D430A"/>
    <w:rsid w:val="002D459A"/>
    <w:rsid w:val="002D45AC"/>
    <w:rsid w:val="002D4645"/>
    <w:rsid w:val="002D4709"/>
    <w:rsid w:val="002D47C6"/>
    <w:rsid w:val="002D4A55"/>
    <w:rsid w:val="002D4CCB"/>
    <w:rsid w:val="002D4DB5"/>
    <w:rsid w:val="002D5036"/>
    <w:rsid w:val="002D5111"/>
    <w:rsid w:val="002D51E7"/>
    <w:rsid w:val="002D5326"/>
    <w:rsid w:val="002D545F"/>
    <w:rsid w:val="002D58C5"/>
    <w:rsid w:val="002D5954"/>
    <w:rsid w:val="002D598B"/>
    <w:rsid w:val="002D5B21"/>
    <w:rsid w:val="002D5BA0"/>
    <w:rsid w:val="002D5F9B"/>
    <w:rsid w:val="002D61D1"/>
    <w:rsid w:val="002D6376"/>
    <w:rsid w:val="002D64A6"/>
    <w:rsid w:val="002D6626"/>
    <w:rsid w:val="002D67DC"/>
    <w:rsid w:val="002D6805"/>
    <w:rsid w:val="002D69C7"/>
    <w:rsid w:val="002D6A78"/>
    <w:rsid w:val="002D6BAA"/>
    <w:rsid w:val="002D6C2F"/>
    <w:rsid w:val="002D6E3A"/>
    <w:rsid w:val="002D6EE8"/>
    <w:rsid w:val="002D709F"/>
    <w:rsid w:val="002D7115"/>
    <w:rsid w:val="002D7498"/>
    <w:rsid w:val="002D749D"/>
    <w:rsid w:val="002D7684"/>
    <w:rsid w:val="002D7871"/>
    <w:rsid w:val="002D789E"/>
    <w:rsid w:val="002D79BB"/>
    <w:rsid w:val="002D79FA"/>
    <w:rsid w:val="002D7B5A"/>
    <w:rsid w:val="002D7C02"/>
    <w:rsid w:val="002D7E45"/>
    <w:rsid w:val="002D7F8A"/>
    <w:rsid w:val="002E00F9"/>
    <w:rsid w:val="002E0228"/>
    <w:rsid w:val="002E038A"/>
    <w:rsid w:val="002E04E5"/>
    <w:rsid w:val="002E066C"/>
    <w:rsid w:val="002E085B"/>
    <w:rsid w:val="002E08AE"/>
    <w:rsid w:val="002E0B0A"/>
    <w:rsid w:val="002E0B76"/>
    <w:rsid w:val="002E0BAF"/>
    <w:rsid w:val="002E0BC3"/>
    <w:rsid w:val="002E0C29"/>
    <w:rsid w:val="002E0C5B"/>
    <w:rsid w:val="002E104B"/>
    <w:rsid w:val="002E131F"/>
    <w:rsid w:val="002E138D"/>
    <w:rsid w:val="002E13C7"/>
    <w:rsid w:val="002E1476"/>
    <w:rsid w:val="002E148B"/>
    <w:rsid w:val="002E14EE"/>
    <w:rsid w:val="002E1507"/>
    <w:rsid w:val="002E150D"/>
    <w:rsid w:val="002E15BE"/>
    <w:rsid w:val="002E16B1"/>
    <w:rsid w:val="002E1758"/>
    <w:rsid w:val="002E19D6"/>
    <w:rsid w:val="002E1B00"/>
    <w:rsid w:val="002E1C2E"/>
    <w:rsid w:val="002E1C66"/>
    <w:rsid w:val="002E1DBE"/>
    <w:rsid w:val="002E1E93"/>
    <w:rsid w:val="002E248E"/>
    <w:rsid w:val="002E2623"/>
    <w:rsid w:val="002E284F"/>
    <w:rsid w:val="002E2A1D"/>
    <w:rsid w:val="002E2BDA"/>
    <w:rsid w:val="002E2D08"/>
    <w:rsid w:val="002E2E66"/>
    <w:rsid w:val="002E2F95"/>
    <w:rsid w:val="002E302B"/>
    <w:rsid w:val="002E3048"/>
    <w:rsid w:val="002E32CE"/>
    <w:rsid w:val="002E36AB"/>
    <w:rsid w:val="002E3925"/>
    <w:rsid w:val="002E3AFE"/>
    <w:rsid w:val="002E3B07"/>
    <w:rsid w:val="002E3C07"/>
    <w:rsid w:val="002E3C89"/>
    <w:rsid w:val="002E3DDD"/>
    <w:rsid w:val="002E3E3D"/>
    <w:rsid w:val="002E404A"/>
    <w:rsid w:val="002E4053"/>
    <w:rsid w:val="002E41D7"/>
    <w:rsid w:val="002E433F"/>
    <w:rsid w:val="002E4421"/>
    <w:rsid w:val="002E44CA"/>
    <w:rsid w:val="002E49ED"/>
    <w:rsid w:val="002E4B2C"/>
    <w:rsid w:val="002E4CF4"/>
    <w:rsid w:val="002E4DF3"/>
    <w:rsid w:val="002E5001"/>
    <w:rsid w:val="002E522B"/>
    <w:rsid w:val="002E52D5"/>
    <w:rsid w:val="002E536E"/>
    <w:rsid w:val="002E5397"/>
    <w:rsid w:val="002E5409"/>
    <w:rsid w:val="002E56E2"/>
    <w:rsid w:val="002E5833"/>
    <w:rsid w:val="002E5A67"/>
    <w:rsid w:val="002E5AC1"/>
    <w:rsid w:val="002E5CDA"/>
    <w:rsid w:val="002E5CDD"/>
    <w:rsid w:val="002E5EDE"/>
    <w:rsid w:val="002E5FE0"/>
    <w:rsid w:val="002E60D9"/>
    <w:rsid w:val="002E629D"/>
    <w:rsid w:val="002E638A"/>
    <w:rsid w:val="002E662B"/>
    <w:rsid w:val="002E6642"/>
    <w:rsid w:val="002E66DA"/>
    <w:rsid w:val="002E6805"/>
    <w:rsid w:val="002E6856"/>
    <w:rsid w:val="002E69AB"/>
    <w:rsid w:val="002E6CAF"/>
    <w:rsid w:val="002E6DAE"/>
    <w:rsid w:val="002E6DE3"/>
    <w:rsid w:val="002E6E62"/>
    <w:rsid w:val="002E6EDF"/>
    <w:rsid w:val="002E70BA"/>
    <w:rsid w:val="002E72A2"/>
    <w:rsid w:val="002E73FB"/>
    <w:rsid w:val="002E754D"/>
    <w:rsid w:val="002E76C7"/>
    <w:rsid w:val="002E7860"/>
    <w:rsid w:val="002E795C"/>
    <w:rsid w:val="002E79B3"/>
    <w:rsid w:val="002E7B71"/>
    <w:rsid w:val="002E7B83"/>
    <w:rsid w:val="002E7C2E"/>
    <w:rsid w:val="002E7E6D"/>
    <w:rsid w:val="002E7F15"/>
    <w:rsid w:val="002F0059"/>
    <w:rsid w:val="002F0160"/>
    <w:rsid w:val="002F0383"/>
    <w:rsid w:val="002F059D"/>
    <w:rsid w:val="002F0681"/>
    <w:rsid w:val="002F06A1"/>
    <w:rsid w:val="002F07DA"/>
    <w:rsid w:val="002F0DF8"/>
    <w:rsid w:val="002F0E8E"/>
    <w:rsid w:val="002F1384"/>
    <w:rsid w:val="002F140D"/>
    <w:rsid w:val="002F1606"/>
    <w:rsid w:val="002F17DF"/>
    <w:rsid w:val="002F17ED"/>
    <w:rsid w:val="002F1A2D"/>
    <w:rsid w:val="002F1CBE"/>
    <w:rsid w:val="002F1E2B"/>
    <w:rsid w:val="002F1E93"/>
    <w:rsid w:val="002F1EED"/>
    <w:rsid w:val="002F1F0D"/>
    <w:rsid w:val="002F2020"/>
    <w:rsid w:val="002F225B"/>
    <w:rsid w:val="002F2451"/>
    <w:rsid w:val="002F25C6"/>
    <w:rsid w:val="002F2760"/>
    <w:rsid w:val="002F2780"/>
    <w:rsid w:val="002F2AF0"/>
    <w:rsid w:val="002F2C43"/>
    <w:rsid w:val="002F2D0C"/>
    <w:rsid w:val="002F2D7A"/>
    <w:rsid w:val="002F2E23"/>
    <w:rsid w:val="002F2F24"/>
    <w:rsid w:val="002F3084"/>
    <w:rsid w:val="002F3208"/>
    <w:rsid w:val="002F33C4"/>
    <w:rsid w:val="002F35F5"/>
    <w:rsid w:val="002F3686"/>
    <w:rsid w:val="002F3944"/>
    <w:rsid w:val="002F3A04"/>
    <w:rsid w:val="002F3CF3"/>
    <w:rsid w:val="002F3DFF"/>
    <w:rsid w:val="002F3E8D"/>
    <w:rsid w:val="002F3FAA"/>
    <w:rsid w:val="002F40B5"/>
    <w:rsid w:val="002F40F3"/>
    <w:rsid w:val="002F4163"/>
    <w:rsid w:val="002F4249"/>
    <w:rsid w:val="002F4690"/>
    <w:rsid w:val="002F46CD"/>
    <w:rsid w:val="002F46D7"/>
    <w:rsid w:val="002F47A0"/>
    <w:rsid w:val="002F4B55"/>
    <w:rsid w:val="002F4BDB"/>
    <w:rsid w:val="002F4DD5"/>
    <w:rsid w:val="002F4EC6"/>
    <w:rsid w:val="002F4F02"/>
    <w:rsid w:val="002F51C5"/>
    <w:rsid w:val="002F542A"/>
    <w:rsid w:val="002F5464"/>
    <w:rsid w:val="002F54EC"/>
    <w:rsid w:val="002F5561"/>
    <w:rsid w:val="002F561B"/>
    <w:rsid w:val="002F5701"/>
    <w:rsid w:val="002F599E"/>
    <w:rsid w:val="002F59B2"/>
    <w:rsid w:val="002F5AD4"/>
    <w:rsid w:val="002F5B30"/>
    <w:rsid w:val="002F5DAD"/>
    <w:rsid w:val="002F61BA"/>
    <w:rsid w:val="002F62BE"/>
    <w:rsid w:val="002F643E"/>
    <w:rsid w:val="002F67C8"/>
    <w:rsid w:val="002F6868"/>
    <w:rsid w:val="002F6A16"/>
    <w:rsid w:val="002F6A26"/>
    <w:rsid w:val="002F6A57"/>
    <w:rsid w:val="002F71AB"/>
    <w:rsid w:val="002F72DE"/>
    <w:rsid w:val="002F747E"/>
    <w:rsid w:val="002F7CFC"/>
    <w:rsid w:val="002F7F20"/>
    <w:rsid w:val="002F7F7A"/>
    <w:rsid w:val="00300210"/>
    <w:rsid w:val="00300252"/>
    <w:rsid w:val="003003B8"/>
    <w:rsid w:val="00300472"/>
    <w:rsid w:val="00300889"/>
    <w:rsid w:val="00300B76"/>
    <w:rsid w:val="00300C3A"/>
    <w:rsid w:val="003011F3"/>
    <w:rsid w:val="003012D3"/>
    <w:rsid w:val="003012EC"/>
    <w:rsid w:val="003012F9"/>
    <w:rsid w:val="00301431"/>
    <w:rsid w:val="00301E9F"/>
    <w:rsid w:val="00301F12"/>
    <w:rsid w:val="00301F25"/>
    <w:rsid w:val="00302223"/>
    <w:rsid w:val="00302400"/>
    <w:rsid w:val="0030245E"/>
    <w:rsid w:val="003024D7"/>
    <w:rsid w:val="00302649"/>
    <w:rsid w:val="00302769"/>
    <w:rsid w:val="00302817"/>
    <w:rsid w:val="00302842"/>
    <w:rsid w:val="003028AA"/>
    <w:rsid w:val="003029F7"/>
    <w:rsid w:val="00302BF2"/>
    <w:rsid w:val="00302FD6"/>
    <w:rsid w:val="00303040"/>
    <w:rsid w:val="003030D9"/>
    <w:rsid w:val="003030F1"/>
    <w:rsid w:val="0030328D"/>
    <w:rsid w:val="0030341C"/>
    <w:rsid w:val="003034AA"/>
    <w:rsid w:val="003034FD"/>
    <w:rsid w:val="00303998"/>
    <w:rsid w:val="00303A27"/>
    <w:rsid w:val="00303A71"/>
    <w:rsid w:val="00303A8E"/>
    <w:rsid w:val="00303C5F"/>
    <w:rsid w:val="00303C99"/>
    <w:rsid w:val="00303DAC"/>
    <w:rsid w:val="00303E12"/>
    <w:rsid w:val="00303E52"/>
    <w:rsid w:val="00303F78"/>
    <w:rsid w:val="0030406D"/>
    <w:rsid w:val="003041FC"/>
    <w:rsid w:val="003047BB"/>
    <w:rsid w:val="003047FB"/>
    <w:rsid w:val="00304BEC"/>
    <w:rsid w:val="00304E71"/>
    <w:rsid w:val="00304F23"/>
    <w:rsid w:val="00304F5D"/>
    <w:rsid w:val="00305105"/>
    <w:rsid w:val="0030519A"/>
    <w:rsid w:val="003051CE"/>
    <w:rsid w:val="0030535A"/>
    <w:rsid w:val="00305535"/>
    <w:rsid w:val="00305579"/>
    <w:rsid w:val="003056C4"/>
    <w:rsid w:val="0030578A"/>
    <w:rsid w:val="003058B2"/>
    <w:rsid w:val="00305AB8"/>
    <w:rsid w:val="00305D70"/>
    <w:rsid w:val="00305E8A"/>
    <w:rsid w:val="0030605F"/>
    <w:rsid w:val="003060E8"/>
    <w:rsid w:val="00306177"/>
    <w:rsid w:val="0030619E"/>
    <w:rsid w:val="00306269"/>
    <w:rsid w:val="00306303"/>
    <w:rsid w:val="003065C3"/>
    <w:rsid w:val="00306781"/>
    <w:rsid w:val="0030678A"/>
    <w:rsid w:val="0030678F"/>
    <w:rsid w:val="00306877"/>
    <w:rsid w:val="003068C0"/>
    <w:rsid w:val="00306994"/>
    <w:rsid w:val="00306AA8"/>
    <w:rsid w:val="00306B92"/>
    <w:rsid w:val="00306BB2"/>
    <w:rsid w:val="003070F7"/>
    <w:rsid w:val="003072ED"/>
    <w:rsid w:val="00307374"/>
    <w:rsid w:val="003076C9"/>
    <w:rsid w:val="003078A9"/>
    <w:rsid w:val="00307A40"/>
    <w:rsid w:val="00307C0D"/>
    <w:rsid w:val="00307D89"/>
    <w:rsid w:val="00307E76"/>
    <w:rsid w:val="003102A3"/>
    <w:rsid w:val="00310331"/>
    <w:rsid w:val="00310357"/>
    <w:rsid w:val="003103B5"/>
    <w:rsid w:val="00310559"/>
    <w:rsid w:val="00310916"/>
    <w:rsid w:val="00310961"/>
    <w:rsid w:val="00310993"/>
    <w:rsid w:val="003109E3"/>
    <w:rsid w:val="00310A6B"/>
    <w:rsid w:val="00310D24"/>
    <w:rsid w:val="00310DB1"/>
    <w:rsid w:val="00310E72"/>
    <w:rsid w:val="00310F61"/>
    <w:rsid w:val="00310FE1"/>
    <w:rsid w:val="0031108B"/>
    <w:rsid w:val="003110B8"/>
    <w:rsid w:val="00311109"/>
    <w:rsid w:val="003111CE"/>
    <w:rsid w:val="00311261"/>
    <w:rsid w:val="00311314"/>
    <w:rsid w:val="00311331"/>
    <w:rsid w:val="003115C5"/>
    <w:rsid w:val="003118B7"/>
    <w:rsid w:val="003119CE"/>
    <w:rsid w:val="003119F5"/>
    <w:rsid w:val="00311A21"/>
    <w:rsid w:val="00311B2B"/>
    <w:rsid w:val="00311FF9"/>
    <w:rsid w:val="00312453"/>
    <w:rsid w:val="00312568"/>
    <w:rsid w:val="0031258D"/>
    <w:rsid w:val="003126AD"/>
    <w:rsid w:val="003128B2"/>
    <w:rsid w:val="003128FA"/>
    <w:rsid w:val="00312D53"/>
    <w:rsid w:val="00312D94"/>
    <w:rsid w:val="00312E83"/>
    <w:rsid w:val="00312F6A"/>
    <w:rsid w:val="00312FF6"/>
    <w:rsid w:val="0031328F"/>
    <w:rsid w:val="00313387"/>
    <w:rsid w:val="003133ED"/>
    <w:rsid w:val="003134EA"/>
    <w:rsid w:val="003135D7"/>
    <w:rsid w:val="00313BA0"/>
    <w:rsid w:val="00313DEE"/>
    <w:rsid w:val="00313EC9"/>
    <w:rsid w:val="00314034"/>
    <w:rsid w:val="003143A7"/>
    <w:rsid w:val="003144D0"/>
    <w:rsid w:val="00314822"/>
    <w:rsid w:val="00314DC9"/>
    <w:rsid w:val="00314E4B"/>
    <w:rsid w:val="003152AB"/>
    <w:rsid w:val="003154F3"/>
    <w:rsid w:val="003154FF"/>
    <w:rsid w:val="003157FB"/>
    <w:rsid w:val="003159A6"/>
    <w:rsid w:val="00315A27"/>
    <w:rsid w:val="00315C92"/>
    <w:rsid w:val="00315D5A"/>
    <w:rsid w:val="00315D90"/>
    <w:rsid w:val="00315F88"/>
    <w:rsid w:val="00315FDC"/>
    <w:rsid w:val="003161E4"/>
    <w:rsid w:val="003161EC"/>
    <w:rsid w:val="00316337"/>
    <w:rsid w:val="003163E2"/>
    <w:rsid w:val="0031647A"/>
    <w:rsid w:val="0031664B"/>
    <w:rsid w:val="0031664C"/>
    <w:rsid w:val="00316900"/>
    <w:rsid w:val="00316913"/>
    <w:rsid w:val="00316EAD"/>
    <w:rsid w:val="003170B6"/>
    <w:rsid w:val="003173F7"/>
    <w:rsid w:val="003175DC"/>
    <w:rsid w:val="00317793"/>
    <w:rsid w:val="003177B4"/>
    <w:rsid w:val="003177F5"/>
    <w:rsid w:val="00317974"/>
    <w:rsid w:val="00317C70"/>
    <w:rsid w:val="00317E49"/>
    <w:rsid w:val="00317E65"/>
    <w:rsid w:val="00317F15"/>
    <w:rsid w:val="00320153"/>
    <w:rsid w:val="003207EF"/>
    <w:rsid w:val="00320899"/>
    <w:rsid w:val="00320DD0"/>
    <w:rsid w:val="00320E4B"/>
    <w:rsid w:val="003214A6"/>
    <w:rsid w:val="003215C2"/>
    <w:rsid w:val="00321605"/>
    <w:rsid w:val="003218E9"/>
    <w:rsid w:val="00321907"/>
    <w:rsid w:val="00321B79"/>
    <w:rsid w:val="00321CA5"/>
    <w:rsid w:val="00321CCB"/>
    <w:rsid w:val="00321E2E"/>
    <w:rsid w:val="00321E4D"/>
    <w:rsid w:val="00321EF5"/>
    <w:rsid w:val="00321FC5"/>
    <w:rsid w:val="00322188"/>
    <w:rsid w:val="003224E6"/>
    <w:rsid w:val="0032254F"/>
    <w:rsid w:val="003225A8"/>
    <w:rsid w:val="00322951"/>
    <w:rsid w:val="00322E68"/>
    <w:rsid w:val="00322FBB"/>
    <w:rsid w:val="003230BC"/>
    <w:rsid w:val="003231EF"/>
    <w:rsid w:val="00323357"/>
    <w:rsid w:val="00323461"/>
    <w:rsid w:val="00323480"/>
    <w:rsid w:val="003234DD"/>
    <w:rsid w:val="00323922"/>
    <w:rsid w:val="00323972"/>
    <w:rsid w:val="00323A45"/>
    <w:rsid w:val="00323BD2"/>
    <w:rsid w:val="00323E5B"/>
    <w:rsid w:val="00324444"/>
    <w:rsid w:val="00324541"/>
    <w:rsid w:val="0032457F"/>
    <w:rsid w:val="00324E9A"/>
    <w:rsid w:val="00324ECC"/>
    <w:rsid w:val="00325383"/>
    <w:rsid w:val="00325422"/>
    <w:rsid w:val="0032548B"/>
    <w:rsid w:val="0032552B"/>
    <w:rsid w:val="0032579E"/>
    <w:rsid w:val="00325A27"/>
    <w:rsid w:val="00325AE5"/>
    <w:rsid w:val="00325B11"/>
    <w:rsid w:val="00325C4E"/>
    <w:rsid w:val="00325D7C"/>
    <w:rsid w:val="00325F3D"/>
    <w:rsid w:val="00326050"/>
    <w:rsid w:val="003261B8"/>
    <w:rsid w:val="003264E9"/>
    <w:rsid w:val="00326677"/>
    <w:rsid w:val="0032687A"/>
    <w:rsid w:val="00326B9D"/>
    <w:rsid w:val="00326D82"/>
    <w:rsid w:val="00326DF5"/>
    <w:rsid w:val="00326E25"/>
    <w:rsid w:val="00326E2A"/>
    <w:rsid w:val="00326EEB"/>
    <w:rsid w:val="00326F17"/>
    <w:rsid w:val="00326F66"/>
    <w:rsid w:val="00327197"/>
    <w:rsid w:val="003272D0"/>
    <w:rsid w:val="003274FB"/>
    <w:rsid w:val="0032755C"/>
    <w:rsid w:val="0032759B"/>
    <w:rsid w:val="003277BE"/>
    <w:rsid w:val="00327A54"/>
    <w:rsid w:val="00327E10"/>
    <w:rsid w:val="0033021F"/>
    <w:rsid w:val="00330226"/>
    <w:rsid w:val="00330250"/>
    <w:rsid w:val="0033034C"/>
    <w:rsid w:val="003303B0"/>
    <w:rsid w:val="00330466"/>
    <w:rsid w:val="00330657"/>
    <w:rsid w:val="00330688"/>
    <w:rsid w:val="003306C5"/>
    <w:rsid w:val="0033081E"/>
    <w:rsid w:val="003309C4"/>
    <w:rsid w:val="00330B4B"/>
    <w:rsid w:val="00330BDC"/>
    <w:rsid w:val="00330CE5"/>
    <w:rsid w:val="0033102A"/>
    <w:rsid w:val="00331086"/>
    <w:rsid w:val="00331468"/>
    <w:rsid w:val="00331585"/>
    <w:rsid w:val="0033165A"/>
    <w:rsid w:val="0033179B"/>
    <w:rsid w:val="00331839"/>
    <w:rsid w:val="003319CE"/>
    <w:rsid w:val="00331A20"/>
    <w:rsid w:val="00331A53"/>
    <w:rsid w:val="00331A9C"/>
    <w:rsid w:val="00331ADA"/>
    <w:rsid w:val="00331B81"/>
    <w:rsid w:val="00331BC7"/>
    <w:rsid w:val="00331BDE"/>
    <w:rsid w:val="00331C8E"/>
    <w:rsid w:val="00331F9F"/>
    <w:rsid w:val="003320AD"/>
    <w:rsid w:val="0033224E"/>
    <w:rsid w:val="00332340"/>
    <w:rsid w:val="0033247E"/>
    <w:rsid w:val="003325A2"/>
    <w:rsid w:val="00332638"/>
    <w:rsid w:val="0033263E"/>
    <w:rsid w:val="003327E2"/>
    <w:rsid w:val="00332808"/>
    <w:rsid w:val="00332A0D"/>
    <w:rsid w:val="00332AE9"/>
    <w:rsid w:val="00332CBC"/>
    <w:rsid w:val="00332D59"/>
    <w:rsid w:val="00332E49"/>
    <w:rsid w:val="0033315C"/>
    <w:rsid w:val="00333212"/>
    <w:rsid w:val="003332EC"/>
    <w:rsid w:val="00333611"/>
    <w:rsid w:val="003336CD"/>
    <w:rsid w:val="00333746"/>
    <w:rsid w:val="00333814"/>
    <w:rsid w:val="003338AB"/>
    <w:rsid w:val="0033390B"/>
    <w:rsid w:val="00333B68"/>
    <w:rsid w:val="00333D0C"/>
    <w:rsid w:val="00333DBE"/>
    <w:rsid w:val="00333E67"/>
    <w:rsid w:val="003342DF"/>
    <w:rsid w:val="003343E0"/>
    <w:rsid w:val="00334451"/>
    <w:rsid w:val="00334519"/>
    <w:rsid w:val="0033454B"/>
    <w:rsid w:val="003345BC"/>
    <w:rsid w:val="00334B35"/>
    <w:rsid w:val="00334B53"/>
    <w:rsid w:val="00334BF1"/>
    <w:rsid w:val="00334D76"/>
    <w:rsid w:val="00334F14"/>
    <w:rsid w:val="00334FD4"/>
    <w:rsid w:val="0033505B"/>
    <w:rsid w:val="003351E3"/>
    <w:rsid w:val="003352B6"/>
    <w:rsid w:val="0033533E"/>
    <w:rsid w:val="00335424"/>
    <w:rsid w:val="00335501"/>
    <w:rsid w:val="003355D7"/>
    <w:rsid w:val="0033565F"/>
    <w:rsid w:val="0033569A"/>
    <w:rsid w:val="003356C8"/>
    <w:rsid w:val="003357A6"/>
    <w:rsid w:val="00335807"/>
    <w:rsid w:val="00335985"/>
    <w:rsid w:val="003359B4"/>
    <w:rsid w:val="00335AD6"/>
    <w:rsid w:val="00335ADD"/>
    <w:rsid w:val="00335E49"/>
    <w:rsid w:val="00335F94"/>
    <w:rsid w:val="00335F99"/>
    <w:rsid w:val="00335FE4"/>
    <w:rsid w:val="0033629E"/>
    <w:rsid w:val="00336581"/>
    <w:rsid w:val="00336669"/>
    <w:rsid w:val="00336B14"/>
    <w:rsid w:val="00336B2E"/>
    <w:rsid w:val="00336B7C"/>
    <w:rsid w:val="00336D2F"/>
    <w:rsid w:val="00336F8D"/>
    <w:rsid w:val="00337033"/>
    <w:rsid w:val="003373E1"/>
    <w:rsid w:val="00337E07"/>
    <w:rsid w:val="00337E31"/>
    <w:rsid w:val="00337E41"/>
    <w:rsid w:val="00337E77"/>
    <w:rsid w:val="003401FF"/>
    <w:rsid w:val="003405C7"/>
    <w:rsid w:val="0034061B"/>
    <w:rsid w:val="0034073A"/>
    <w:rsid w:val="0034097D"/>
    <w:rsid w:val="00340A02"/>
    <w:rsid w:val="00340A64"/>
    <w:rsid w:val="00340C6C"/>
    <w:rsid w:val="00340CB0"/>
    <w:rsid w:val="00340FD2"/>
    <w:rsid w:val="0034101F"/>
    <w:rsid w:val="00341264"/>
    <w:rsid w:val="00341277"/>
    <w:rsid w:val="003412A4"/>
    <w:rsid w:val="00341376"/>
    <w:rsid w:val="003413A2"/>
    <w:rsid w:val="0034142C"/>
    <w:rsid w:val="00341458"/>
    <w:rsid w:val="0034159E"/>
    <w:rsid w:val="00341604"/>
    <w:rsid w:val="00341623"/>
    <w:rsid w:val="0034164C"/>
    <w:rsid w:val="003419AB"/>
    <w:rsid w:val="003419EF"/>
    <w:rsid w:val="00341B2A"/>
    <w:rsid w:val="00341BA5"/>
    <w:rsid w:val="00341BC2"/>
    <w:rsid w:val="00341E3B"/>
    <w:rsid w:val="00342009"/>
    <w:rsid w:val="003420D2"/>
    <w:rsid w:val="003421CD"/>
    <w:rsid w:val="003422C9"/>
    <w:rsid w:val="0034239A"/>
    <w:rsid w:val="00342439"/>
    <w:rsid w:val="00342491"/>
    <w:rsid w:val="003425BB"/>
    <w:rsid w:val="003425F7"/>
    <w:rsid w:val="0034279E"/>
    <w:rsid w:val="00342994"/>
    <w:rsid w:val="00342ADB"/>
    <w:rsid w:val="00342B2D"/>
    <w:rsid w:val="00342B88"/>
    <w:rsid w:val="00342C10"/>
    <w:rsid w:val="00342CBE"/>
    <w:rsid w:val="00342F48"/>
    <w:rsid w:val="00342F4A"/>
    <w:rsid w:val="00343104"/>
    <w:rsid w:val="003431D4"/>
    <w:rsid w:val="003434CC"/>
    <w:rsid w:val="00343505"/>
    <w:rsid w:val="003437EA"/>
    <w:rsid w:val="0034388A"/>
    <w:rsid w:val="003439F9"/>
    <w:rsid w:val="00343D2F"/>
    <w:rsid w:val="00343D46"/>
    <w:rsid w:val="00343E7E"/>
    <w:rsid w:val="00343EC8"/>
    <w:rsid w:val="00343EE2"/>
    <w:rsid w:val="0034423F"/>
    <w:rsid w:val="003443A2"/>
    <w:rsid w:val="003443B9"/>
    <w:rsid w:val="003443BF"/>
    <w:rsid w:val="003444C6"/>
    <w:rsid w:val="003445EE"/>
    <w:rsid w:val="003448B2"/>
    <w:rsid w:val="00344956"/>
    <w:rsid w:val="00344B71"/>
    <w:rsid w:val="00344C0E"/>
    <w:rsid w:val="00344D3A"/>
    <w:rsid w:val="00345194"/>
    <w:rsid w:val="003451F5"/>
    <w:rsid w:val="003452B1"/>
    <w:rsid w:val="003452DB"/>
    <w:rsid w:val="00345338"/>
    <w:rsid w:val="003454F8"/>
    <w:rsid w:val="0034578C"/>
    <w:rsid w:val="003459AD"/>
    <w:rsid w:val="00345B11"/>
    <w:rsid w:val="00345B9D"/>
    <w:rsid w:val="00345C08"/>
    <w:rsid w:val="00345C3A"/>
    <w:rsid w:val="00345CEF"/>
    <w:rsid w:val="00345D60"/>
    <w:rsid w:val="00345D69"/>
    <w:rsid w:val="00345DD6"/>
    <w:rsid w:val="0034649F"/>
    <w:rsid w:val="003465AB"/>
    <w:rsid w:val="00346732"/>
    <w:rsid w:val="003468CD"/>
    <w:rsid w:val="003468E3"/>
    <w:rsid w:val="00346A70"/>
    <w:rsid w:val="00346B2F"/>
    <w:rsid w:val="00346B5F"/>
    <w:rsid w:val="00346CAC"/>
    <w:rsid w:val="00346D0A"/>
    <w:rsid w:val="00346EA1"/>
    <w:rsid w:val="003471BE"/>
    <w:rsid w:val="0034723A"/>
    <w:rsid w:val="0034726E"/>
    <w:rsid w:val="003475FF"/>
    <w:rsid w:val="003478E0"/>
    <w:rsid w:val="003478ED"/>
    <w:rsid w:val="003479C2"/>
    <w:rsid w:val="00347B5D"/>
    <w:rsid w:val="00347C5E"/>
    <w:rsid w:val="00347CC3"/>
    <w:rsid w:val="00347DC7"/>
    <w:rsid w:val="00350233"/>
    <w:rsid w:val="003504C7"/>
    <w:rsid w:val="0035059C"/>
    <w:rsid w:val="003506C0"/>
    <w:rsid w:val="00350793"/>
    <w:rsid w:val="00350888"/>
    <w:rsid w:val="00350C6E"/>
    <w:rsid w:val="00351366"/>
    <w:rsid w:val="003513DA"/>
    <w:rsid w:val="00351582"/>
    <w:rsid w:val="0035175D"/>
    <w:rsid w:val="003517CD"/>
    <w:rsid w:val="00351889"/>
    <w:rsid w:val="003519AC"/>
    <w:rsid w:val="00351A62"/>
    <w:rsid w:val="00351AF2"/>
    <w:rsid w:val="00351C40"/>
    <w:rsid w:val="00351C60"/>
    <w:rsid w:val="00351DC8"/>
    <w:rsid w:val="00351DFF"/>
    <w:rsid w:val="00351E36"/>
    <w:rsid w:val="00351F43"/>
    <w:rsid w:val="00351F87"/>
    <w:rsid w:val="003521A6"/>
    <w:rsid w:val="00352376"/>
    <w:rsid w:val="00352835"/>
    <w:rsid w:val="00352837"/>
    <w:rsid w:val="0035283E"/>
    <w:rsid w:val="0035285C"/>
    <w:rsid w:val="003528AE"/>
    <w:rsid w:val="00352B9A"/>
    <w:rsid w:val="00352D07"/>
    <w:rsid w:val="00352F29"/>
    <w:rsid w:val="00352F48"/>
    <w:rsid w:val="00352F49"/>
    <w:rsid w:val="00352F8F"/>
    <w:rsid w:val="00352FB5"/>
    <w:rsid w:val="00353458"/>
    <w:rsid w:val="003537DE"/>
    <w:rsid w:val="0035387B"/>
    <w:rsid w:val="00353906"/>
    <w:rsid w:val="00353A48"/>
    <w:rsid w:val="00353B1C"/>
    <w:rsid w:val="00353B34"/>
    <w:rsid w:val="00353D7A"/>
    <w:rsid w:val="00353E7C"/>
    <w:rsid w:val="00353F81"/>
    <w:rsid w:val="0035413D"/>
    <w:rsid w:val="0035417F"/>
    <w:rsid w:val="003542A6"/>
    <w:rsid w:val="00354BDA"/>
    <w:rsid w:val="00354C12"/>
    <w:rsid w:val="00354C19"/>
    <w:rsid w:val="00354C22"/>
    <w:rsid w:val="00354C8E"/>
    <w:rsid w:val="00354EA6"/>
    <w:rsid w:val="003550A4"/>
    <w:rsid w:val="00355144"/>
    <w:rsid w:val="00355213"/>
    <w:rsid w:val="0035521B"/>
    <w:rsid w:val="003553AE"/>
    <w:rsid w:val="0035550D"/>
    <w:rsid w:val="00355708"/>
    <w:rsid w:val="003559E7"/>
    <w:rsid w:val="00355B79"/>
    <w:rsid w:val="00355DE5"/>
    <w:rsid w:val="00355E54"/>
    <w:rsid w:val="0035600F"/>
    <w:rsid w:val="00356109"/>
    <w:rsid w:val="0035616D"/>
    <w:rsid w:val="003561FE"/>
    <w:rsid w:val="0035631A"/>
    <w:rsid w:val="00356366"/>
    <w:rsid w:val="0035648B"/>
    <w:rsid w:val="0035651B"/>
    <w:rsid w:val="00356550"/>
    <w:rsid w:val="0035659F"/>
    <w:rsid w:val="00356784"/>
    <w:rsid w:val="003567D5"/>
    <w:rsid w:val="003568C1"/>
    <w:rsid w:val="00356AFE"/>
    <w:rsid w:val="00356C57"/>
    <w:rsid w:val="00356D30"/>
    <w:rsid w:val="00356D54"/>
    <w:rsid w:val="00356D9E"/>
    <w:rsid w:val="003570B5"/>
    <w:rsid w:val="00357102"/>
    <w:rsid w:val="003571DA"/>
    <w:rsid w:val="003573E5"/>
    <w:rsid w:val="00357492"/>
    <w:rsid w:val="0035765C"/>
    <w:rsid w:val="0035769A"/>
    <w:rsid w:val="003577BE"/>
    <w:rsid w:val="00357D30"/>
    <w:rsid w:val="00360025"/>
    <w:rsid w:val="00360034"/>
    <w:rsid w:val="00360393"/>
    <w:rsid w:val="0036044A"/>
    <w:rsid w:val="00360695"/>
    <w:rsid w:val="00360902"/>
    <w:rsid w:val="0036090A"/>
    <w:rsid w:val="00360947"/>
    <w:rsid w:val="00360ABF"/>
    <w:rsid w:val="00360D11"/>
    <w:rsid w:val="00361017"/>
    <w:rsid w:val="00361359"/>
    <w:rsid w:val="00361416"/>
    <w:rsid w:val="0036158A"/>
    <w:rsid w:val="003616B6"/>
    <w:rsid w:val="00361719"/>
    <w:rsid w:val="0036196C"/>
    <w:rsid w:val="003619EC"/>
    <w:rsid w:val="00361A72"/>
    <w:rsid w:val="00361A7E"/>
    <w:rsid w:val="00361A99"/>
    <w:rsid w:val="00361C3E"/>
    <w:rsid w:val="00361D00"/>
    <w:rsid w:val="00361E72"/>
    <w:rsid w:val="00361EBB"/>
    <w:rsid w:val="00361EBC"/>
    <w:rsid w:val="00362072"/>
    <w:rsid w:val="0036208F"/>
    <w:rsid w:val="003620F4"/>
    <w:rsid w:val="003624BD"/>
    <w:rsid w:val="0036270B"/>
    <w:rsid w:val="00362849"/>
    <w:rsid w:val="00362931"/>
    <w:rsid w:val="00362CDE"/>
    <w:rsid w:val="00362D0E"/>
    <w:rsid w:val="00362E7D"/>
    <w:rsid w:val="00362FD4"/>
    <w:rsid w:val="00363021"/>
    <w:rsid w:val="00363247"/>
    <w:rsid w:val="00363410"/>
    <w:rsid w:val="0036373A"/>
    <w:rsid w:val="00363762"/>
    <w:rsid w:val="00363BA1"/>
    <w:rsid w:val="00363CAA"/>
    <w:rsid w:val="00363E2B"/>
    <w:rsid w:val="00363E44"/>
    <w:rsid w:val="00364023"/>
    <w:rsid w:val="003641CF"/>
    <w:rsid w:val="003641DD"/>
    <w:rsid w:val="0036454E"/>
    <w:rsid w:val="003645EF"/>
    <w:rsid w:val="00364781"/>
    <w:rsid w:val="0036479C"/>
    <w:rsid w:val="00364822"/>
    <w:rsid w:val="00364905"/>
    <w:rsid w:val="003649D7"/>
    <w:rsid w:val="00364CF5"/>
    <w:rsid w:val="00364E75"/>
    <w:rsid w:val="00364EB3"/>
    <w:rsid w:val="00364F33"/>
    <w:rsid w:val="00364FF8"/>
    <w:rsid w:val="0036502E"/>
    <w:rsid w:val="00365068"/>
    <w:rsid w:val="003650E9"/>
    <w:rsid w:val="00365114"/>
    <w:rsid w:val="003652F2"/>
    <w:rsid w:val="003653CC"/>
    <w:rsid w:val="003654AF"/>
    <w:rsid w:val="003655FB"/>
    <w:rsid w:val="0036570C"/>
    <w:rsid w:val="0036588B"/>
    <w:rsid w:val="003658D6"/>
    <w:rsid w:val="00365951"/>
    <w:rsid w:val="0036595A"/>
    <w:rsid w:val="0036596B"/>
    <w:rsid w:val="00365CDE"/>
    <w:rsid w:val="00365D00"/>
    <w:rsid w:val="00365E73"/>
    <w:rsid w:val="00365F42"/>
    <w:rsid w:val="0036603B"/>
    <w:rsid w:val="003660EF"/>
    <w:rsid w:val="00366332"/>
    <w:rsid w:val="00366467"/>
    <w:rsid w:val="003665CC"/>
    <w:rsid w:val="00366D85"/>
    <w:rsid w:val="00366E7E"/>
    <w:rsid w:val="00366EF0"/>
    <w:rsid w:val="00366F34"/>
    <w:rsid w:val="003671E8"/>
    <w:rsid w:val="00367416"/>
    <w:rsid w:val="003676B8"/>
    <w:rsid w:val="003677E6"/>
    <w:rsid w:val="003678BB"/>
    <w:rsid w:val="0036795C"/>
    <w:rsid w:val="0036799E"/>
    <w:rsid w:val="00367B33"/>
    <w:rsid w:val="00367E48"/>
    <w:rsid w:val="003701EE"/>
    <w:rsid w:val="0037021A"/>
    <w:rsid w:val="0037057D"/>
    <w:rsid w:val="003708CF"/>
    <w:rsid w:val="0037098C"/>
    <w:rsid w:val="00370A43"/>
    <w:rsid w:val="00370C8E"/>
    <w:rsid w:val="00370F7A"/>
    <w:rsid w:val="00370FAB"/>
    <w:rsid w:val="003710CC"/>
    <w:rsid w:val="00371256"/>
    <w:rsid w:val="003714EA"/>
    <w:rsid w:val="003716A4"/>
    <w:rsid w:val="0037183B"/>
    <w:rsid w:val="003718B5"/>
    <w:rsid w:val="00371941"/>
    <w:rsid w:val="00371AC9"/>
    <w:rsid w:val="00371BB1"/>
    <w:rsid w:val="00371C77"/>
    <w:rsid w:val="00371F4C"/>
    <w:rsid w:val="003721EC"/>
    <w:rsid w:val="003722A9"/>
    <w:rsid w:val="003722DF"/>
    <w:rsid w:val="00372375"/>
    <w:rsid w:val="00372378"/>
    <w:rsid w:val="00372556"/>
    <w:rsid w:val="0037277E"/>
    <w:rsid w:val="00372898"/>
    <w:rsid w:val="003729D9"/>
    <w:rsid w:val="00372A19"/>
    <w:rsid w:val="00372BDB"/>
    <w:rsid w:val="00372C5C"/>
    <w:rsid w:val="00372EC0"/>
    <w:rsid w:val="00372F24"/>
    <w:rsid w:val="00372F99"/>
    <w:rsid w:val="00373035"/>
    <w:rsid w:val="003731C4"/>
    <w:rsid w:val="00373211"/>
    <w:rsid w:val="00373296"/>
    <w:rsid w:val="003734AA"/>
    <w:rsid w:val="00373535"/>
    <w:rsid w:val="003735F4"/>
    <w:rsid w:val="0037370C"/>
    <w:rsid w:val="00373851"/>
    <w:rsid w:val="003738D2"/>
    <w:rsid w:val="00373A3B"/>
    <w:rsid w:val="00373C1F"/>
    <w:rsid w:val="00373D04"/>
    <w:rsid w:val="00373D10"/>
    <w:rsid w:val="00373EC1"/>
    <w:rsid w:val="00373ECC"/>
    <w:rsid w:val="0037409A"/>
    <w:rsid w:val="00374105"/>
    <w:rsid w:val="00374195"/>
    <w:rsid w:val="00374506"/>
    <w:rsid w:val="0037459D"/>
    <w:rsid w:val="003746BB"/>
    <w:rsid w:val="003746D2"/>
    <w:rsid w:val="00374852"/>
    <w:rsid w:val="00374871"/>
    <w:rsid w:val="003749E6"/>
    <w:rsid w:val="00374A9A"/>
    <w:rsid w:val="00374AD2"/>
    <w:rsid w:val="00374B20"/>
    <w:rsid w:val="0037505E"/>
    <w:rsid w:val="00375172"/>
    <w:rsid w:val="00375351"/>
    <w:rsid w:val="00375383"/>
    <w:rsid w:val="003753C6"/>
    <w:rsid w:val="00375734"/>
    <w:rsid w:val="00375819"/>
    <w:rsid w:val="00375957"/>
    <w:rsid w:val="00375CB0"/>
    <w:rsid w:val="00375CC0"/>
    <w:rsid w:val="00375CDD"/>
    <w:rsid w:val="00375F91"/>
    <w:rsid w:val="003760A0"/>
    <w:rsid w:val="00376101"/>
    <w:rsid w:val="003761B8"/>
    <w:rsid w:val="00376330"/>
    <w:rsid w:val="003765C0"/>
    <w:rsid w:val="0037661B"/>
    <w:rsid w:val="0037679D"/>
    <w:rsid w:val="00376970"/>
    <w:rsid w:val="00376A39"/>
    <w:rsid w:val="00376B45"/>
    <w:rsid w:val="00376D8A"/>
    <w:rsid w:val="00376EA9"/>
    <w:rsid w:val="00377109"/>
    <w:rsid w:val="003771A6"/>
    <w:rsid w:val="003771F8"/>
    <w:rsid w:val="00377380"/>
    <w:rsid w:val="00377517"/>
    <w:rsid w:val="00377567"/>
    <w:rsid w:val="0037762E"/>
    <w:rsid w:val="00377751"/>
    <w:rsid w:val="0037776D"/>
    <w:rsid w:val="00377927"/>
    <w:rsid w:val="00377B81"/>
    <w:rsid w:val="00377EB7"/>
    <w:rsid w:val="00377F8D"/>
    <w:rsid w:val="0038018F"/>
    <w:rsid w:val="0038027A"/>
    <w:rsid w:val="0038039D"/>
    <w:rsid w:val="003804CA"/>
    <w:rsid w:val="003806C9"/>
    <w:rsid w:val="00380715"/>
    <w:rsid w:val="0038092F"/>
    <w:rsid w:val="00380A4C"/>
    <w:rsid w:val="00380B39"/>
    <w:rsid w:val="00380B9F"/>
    <w:rsid w:val="00380C09"/>
    <w:rsid w:val="00380C22"/>
    <w:rsid w:val="00380E89"/>
    <w:rsid w:val="00380F75"/>
    <w:rsid w:val="00380F76"/>
    <w:rsid w:val="00380F90"/>
    <w:rsid w:val="00380FC1"/>
    <w:rsid w:val="003810C8"/>
    <w:rsid w:val="003810D8"/>
    <w:rsid w:val="00381109"/>
    <w:rsid w:val="003814AE"/>
    <w:rsid w:val="00381662"/>
    <w:rsid w:val="0038167D"/>
    <w:rsid w:val="00381B8B"/>
    <w:rsid w:val="00381D29"/>
    <w:rsid w:val="00381E8D"/>
    <w:rsid w:val="00381F57"/>
    <w:rsid w:val="00382278"/>
    <w:rsid w:val="00382294"/>
    <w:rsid w:val="00382309"/>
    <w:rsid w:val="0038231D"/>
    <w:rsid w:val="00382615"/>
    <w:rsid w:val="00382743"/>
    <w:rsid w:val="00382B6A"/>
    <w:rsid w:val="00382DA7"/>
    <w:rsid w:val="00382E04"/>
    <w:rsid w:val="00382E3D"/>
    <w:rsid w:val="00382EB0"/>
    <w:rsid w:val="00383021"/>
    <w:rsid w:val="00383675"/>
    <w:rsid w:val="003837CD"/>
    <w:rsid w:val="0038394F"/>
    <w:rsid w:val="0038396A"/>
    <w:rsid w:val="003839ED"/>
    <w:rsid w:val="00383A15"/>
    <w:rsid w:val="00383B5F"/>
    <w:rsid w:val="00383C29"/>
    <w:rsid w:val="00383CA3"/>
    <w:rsid w:val="00383D6C"/>
    <w:rsid w:val="00383FBA"/>
    <w:rsid w:val="00384267"/>
    <w:rsid w:val="0038457E"/>
    <w:rsid w:val="003846C5"/>
    <w:rsid w:val="00384847"/>
    <w:rsid w:val="00384967"/>
    <w:rsid w:val="00384BA4"/>
    <w:rsid w:val="00384CC1"/>
    <w:rsid w:val="00384CEE"/>
    <w:rsid w:val="00384D52"/>
    <w:rsid w:val="00384EC4"/>
    <w:rsid w:val="003850A5"/>
    <w:rsid w:val="003850CA"/>
    <w:rsid w:val="00385199"/>
    <w:rsid w:val="0038545A"/>
    <w:rsid w:val="00385814"/>
    <w:rsid w:val="00385861"/>
    <w:rsid w:val="003858ED"/>
    <w:rsid w:val="003858F8"/>
    <w:rsid w:val="00385986"/>
    <w:rsid w:val="003859CC"/>
    <w:rsid w:val="00385C8A"/>
    <w:rsid w:val="00385D9E"/>
    <w:rsid w:val="00385E0F"/>
    <w:rsid w:val="00385E70"/>
    <w:rsid w:val="00386113"/>
    <w:rsid w:val="00386216"/>
    <w:rsid w:val="003862CB"/>
    <w:rsid w:val="00386321"/>
    <w:rsid w:val="00386620"/>
    <w:rsid w:val="003866E0"/>
    <w:rsid w:val="0038674A"/>
    <w:rsid w:val="00386892"/>
    <w:rsid w:val="0038689E"/>
    <w:rsid w:val="003868FF"/>
    <w:rsid w:val="00386A1E"/>
    <w:rsid w:val="00386B45"/>
    <w:rsid w:val="00386C4F"/>
    <w:rsid w:val="00386E1C"/>
    <w:rsid w:val="00386F11"/>
    <w:rsid w:val="00387076"/>
    <w:rsid w:val="0038758B"/>
    <w:rsid w:val="00387692"/>
    <w:rsid w:val="003877B8"/>
    <w:rsid w:val="003877BF"/>
    <w:rsid w:val="00387838"/>
    <w:rsid w:val="003879AC"/>
    <w:rsid w:val="00387B09"/>
    <w:rsid w:val="00387BAA"/>
    <w:rsid w:val="00387E72"/>
    <w:rsid w:val="00387E94"/>
    <w:rsid w:val="00387FEE"/>
    <w:rsid w:val="0039007A"/>
    <w:rsid w:val="00390100"/>
    <w:rsid w:val="00390491"/>
    <w:rsid w:val="00390561"/>
    <w:rsid w:val="003906F1"/>
    <w:rsid w:val="0039070D"/>
    <w:rsid w:val="003908B7"/>
    <w:rsid w:val="00390AE9"/>
    <w:rsid w:val="00390BAE"/>
    <w:rsid w:val="00390C0E"/>
    <w:rsid w:val="00390D46"/>
    <w:rsid w:val="00390D88"/>
    <w:rsid w:val="00390E39"/>
    <w:rsid w:val="00390EDC"/>
    <w:rsid w:val="00390F57"/>
    <w:rsid w:val="00391078"/>
    <w:rsid w:val="00391099"/>
    <w:rsid w:val="0039123D"/>
    <w:rsid w:val="003912A3"/>
    <w:rsid w:val="00391348"/>
    <w:rsid w:val="003913E2"/>
    <w:rsid w:val="00391526"/>
    <w:rsid w:val="003915E1"/>
    <w:rsid w:val="003917A5"/>
    <w:rsid w:val="00391A17"/>
    <w:rsid w:val="00391A20"/>
    <w:rsid w:val="00391C6F"/>
    <w:rsid w:val="00391E45"/>
    <w:rsid w:val="00392102"/>
    <w:rsid w:val="00392195"/>
    <w:rsid w:val="00392400"/>
    <w:rsid w:val="00392548"/>
    <w:rsid w:val="00392549"/>
    <w:rsid w:val="003925E0"/>
    <w:rsid w:val="003928B6"/>
    <w:rsid w:val="00392B1C"/>
    <w:rsid w:val="00392C38"/>
    <w:rsid w:val="003932AC"/>
    <w:rsid w:val="0039334E"/>
    <w:rsid w:val="0039338E"/>
    <w:rsid w:val="00393413"/>
    <w:rsid w:val="0039348E"/>
    <w:rsid w:val="00393525"/>
    <w:rsid w:val="00393579"/>
    <w:rsid w:val="003936E8"/>
    <w:rsid w:val="003937C0"/>
    <w:rsid w:val="0039393E"/>
    <w:rsid w:val="00393B44"/>
    <w:rsid w:val="00393C0E"/>
    <w:rsid w:val="00394714"/>
    <w:rsid w:val="003947B3"/>
    <w:rsid w:val="00394A08"/>
    <w:rsid w:val="00394A96"/>
    <w:rsid w:val="00394B7E"/>
    <w:rsid w:val="00394E6F"/>
    <w:rsid w:val="00394E99"/>
    <w:rsid w:val="00394FEB"/>
    <w:rsid w:val="003951F5"/>
    <w:rsid w:val="00395307"/>
    <w:rsid w:val="003953E9"/>
    <w:rsid w:val="00395416"/>
    <w:rsid w:val="00395466"/>
    <w:rsid w:val="003954F8"/>
    <w:rsid w:val="0039556A"/>
    <w:rsid w:val="003956B6"/>
    <w:rsid w:val="00395800"/>
    <w:rsid w:val="00395801"/>
    <w:rsid w:val="003959B1"/>
    <w:rsid w:val="00395A8F"/>
    <w:rsid w:val="00395C1C"/>
    <w:rsid w:val="00395D09"/>
    <w:rsid w:val="00395D24"/>
    <w:rsid w:val="00395D34"/>
    <w:rsid w:val="00395DD8"/>
    <w:rsid w:val="0039601B"/>
    <w:rsid w:val="00396A77"/>
    <w:rsid w:val="00396CC7"/>
    <w:rsid w:val="00396E4C"/>
    <w:rsid w:val="00396FCF"/>
    <w:rsid w:val="00397059"/>
    <w:rsid w:val="003972D7"/>
    <w:rsid w:val="003976CE"/>
    <w:rsid w:val="00397704"/>
    <w:rsid w:val="00397851"/>
    <w:rsid w:val="0039792B"/>
    <w:rsid w:val="00397A8E"/>
    <w:rsid w:val="00397C02"/>
    <w:rsid w:val="00397C0B"/>
    <w:rsid w:val="00397C6B"/>
    <w:rsid w:val="00397E42"/>
    <w:rsid w:val="00397EF4"/>
    <w:rsid w:val="00397F64"/>
    <w:rsid w:val="003A019D"/>
    <w:rsid w:val="003A04C0"/>
    <w:rsid w:val="003A05A3"/>
    <w:rsid w:val="003A066D"/>
    <w:rsid w:val="003A0769"/>
    <w:rsid w:val="003A07CE"/>
    <w:rsid w:val="003A092B"/>
    <w:rsid w:val="003A0960"/>
    <w:rsid w:val="003A0A10"/>
    <w:rsid w:val="003A0D2F"/>
    <w:rsid w:val="003A0DE8"/>
    <w:rsid w:val="003A1014"/>
    <w:rsid w:val="003A10AF"/>
    <w:rsid w:val="003A1287"/>
    <w:rsid w:val="003A12F9"/>
    <w:rsid w:val="003A1381"/>
    <w:rsid w:val="003A13E2"/>
    <w:rsid w:val="003A15BE"/>
    <w:rsid w:val="003A15D7"/>
    <w:rsid w:val="003A1867"/>
    <w:rsid w:val="003A1971"/>
    <w:rsid w:val="003A1984"/>
    <w:rsid w:val="003A1996"/>
    <w:rsid w:val="003A1ACB"/>
    <w:rsid w:val="003A1AD1"/>
    <w:rsid w:val="003A1C02"/>
    <w:rsid w:val="003A1CA8"/>
    <w:rsid w:val="003A1CDC"/>
    <w:rsid w:val="003A1E23"/>
    <w:rsid w:val="003A203D"/>
    <w:rsid w:val="003A20CA"/>
    <w:rsid w:val="003A23A9"/>
    <w:rsid w:val="003A2633"/>
    <w:rsid w:val="003A296F"/>
    <w:rsid w:val="003A2A35"/>
    <w:rsid w:val="003A2A76"/>
    <w:rsid w:val="003A2D52"/>
    <w:rsid w:val="003A2E07"/>
    <w:rsid w:val="003A3001"/>
    <w:rsid w:val="003A31DD"/>
    <w:rsid w:val="003A3436"/>
    <w:rsid w:val="003A3573"/>
    <w:rsid w:val="003A35E4"/>
    <w:rsid w:val="003A3637"/>
    <w:rsid w:val="003A3AC2"/>
    <w:rsid w:val="003A3B04"/>
    <w:rsid w:val="003A3BBC"/>
    <w:rsid w:val="003A3DFF"/>
    <w:rsid w:val="003A4146"/>
    <w:rsid w:val="003A4410"/>
    <w:rsid w:val="003A45D1"/>
    <w:rsid w:val="003A45F3"/>
    <w:rsid w:val="003A468D"/>
    <w:rsid w:val="003A48F3"/>
    <w:rsid w:val="003A49D3"/>
    <w:rsid w:val="003A4B4D"/>
    <w:rsid w:val="003A4E7D"/>
    <w:rsid w:val="003A5185"/>
    <w:rsid w:val="003A51BE"/>
    <w:rsid w:val="003A5423"/>
    <w:rsid w:val="003A54E1"/>
    <w:rsid w:val="003A55B7"/>
    <w:rsid w:val="003A592F"/>
    <w:rsid w:val="003A59C5"/>
    <w:rsid w:val="003A5A60"/>
    <w:rsid w:val="003A5AFE"/>
    <w:rsid w:val="003A5CB3"/>
    <w:rsid w:val="003A62CF"/>
    <w:rsid w:val="003A6484"/>
    <w:rsid w:val="003A66C4"/>
    <w:rsid w:val="003A6811"/>
    <w:rsid w:val="003A693C"/>
    <w:rsid w:val="003A6AA0"/>
    <w:rsid w:val="003A6B27"/>
    <w:rsid w:val="003A6D67"/>
    <w:rsid w:val="003A6DC2"/>
    <w:rsid w:val="003A702B"/>
    <w:rsid w:val="003A722B"/>
    <w:rsid w:val="003A76DA"/>
    <w:rsid w:val="003A77E7"/>
    <w:rsid w:val="003A7B27"/>
    <w:rsid w:val="003A7E2E"/>
    <w:rsid w:val="003A7EB2"/>
    <w:rsid w:val="003B000F"/>
    <w:rsid w:val="003B01B9"/>
    <w:rsid w:val="003B04B4"/>
    <w:rsid w:val="003B0552"/>
    <w:rsid w:val="003B061E"/>
    <w:rsid w:val="003B083D"/>
    <w:rsid w:val="003B084A"/>
    <w:rsid w:val="003B09BD"/>
    <w:rsid w:val="003B0B33"/>
    <w:rsid w:val="003B0F34"/>
    <w:rsid w:val="003B0F69"/>
    <w:rsid w:val="003B10E0"/>
    <w:rsid w:val="003B12B6"/>
    <w:rsid w:val="003B1866"/>
    <w:rsid w:val="003B18CB"/>
    <w:rsid w:val="003B19DA"/>
    <w:rsid w:val="003B1ADF"/>
    <w:rsid w:val="003B1AE1"/>
    <w:rsid w:val="003B1B31"/>
    <w:rsid w:val="003B1D73"/>
    <w:rsid w:val="003B1E0A"/>
    <w:rsid w:val="003B1F71"/>
    <w:rsid w:val="003B23B4"/>
    <w:rsid w:val="003B23E6"/>
    <w:rsid w:val="003B2489"/>
    <w:rsid w:val="003B2532"/>
    <w:rsid w:val="003B289F"/>
    <w:rsid w:val="003B28DB"/>
    <w:rsid w:val="003B29CC"/>
    <w:rsid w:val="003B2A24"/>
    <w:rsid w:val="003B2A87"/>
    <w:rsid w:val="003B2A9C"/>
    <w:rsid w:val="003B2BCC"/>
    <w:rsid w:val="003B2E6A"/>
    <w:rsid w:val="003B2E77"/>
    <w:rsid w:val="003B3005"/>
    <w:rsid w:val="003B3110"/>
    <w:rsid w:val="003B3181"/>
    <w:rsid w:val="003B31BF"/>
    <w:rsid w:val="003B3670"/>
    <w:rsid w:val="003B37F7"/>
    <w:rsid w:val="003B386D"/>
    <w:rsid w:val="003B3B57"/>
    <w:rsid w:val="003B3C09"/>
    <w:rsid w:val="003B3D1B"/>
    <w:rsid w:val="003B3FA0"/>
    <w:rsid w:val="003B42C4"/>
    <w:rsid w:val="003B43A2"/>
    <w:rsid w:val="003B43FB"/>
    <w:rsid w:val="003B467B"/>
    <w:rsid w:val="003B46E8"/>
    <w:rsid w:val="003B47CC"/>
    <w:rsid w:val="003B4923"/>
    <w:rsid w:val="003B4AC6"/>
    <w:rsid w:val="003B4C8D"/>
    <w:rsid w:val="003B4C98"/>
    <w:rsid w:val="003B4DF8"/>
    <w:rsid w:val="003B5265"/>
    <w:rsid w:val="003B526C"/>
    <w:rsid w:val="003B562C"/>
    <w:rsid w:val="003B563C"/>
    <w:rsid w:val="003B56E0"/>
    <w:rsid w:val="003B57CE"/>
    <w:rsid w:val="003B59A8"/>
    <w:rsid w:val="003B5B0F"/>
    <w:rsid w:val="003B5B7B"/>
    <w:rsid w:val="003B5C78"/>
    <w:rsid w:val="003B5FD8"/>
    <w:rsid w:val="003B6034"/>
    <w:rsid w:val="003B6038"/>
    <w:rsid w:val="003B6330"/>
    <w:rsid w:val="003B64FE"/>
    <w:rsid w:val="003B651A"/>
    <w:rsid w:val="003B655D"/>
    <w:rsid w:val="003B6886"/>
    <w:rsid w:val="003B6928"/>
    <w:rsid w:val="003B6994"/>
    <w:rsid w:val="003B6BD8"/>
    <w:rsid w:val="003B6DE9"/>
    <w:rsid w:val="003B6FD0"/>
    <w:rsid w:val="003B6FD7"/>
    <w:rsid w:val="003B70A2"/>
    <w:rsid w:val="003B7389"/>
    <w:rsid w:val="003B73F0"/>
    <w:rsid w:val="003B743E"/>
    <w:rsid w:val="003B7547"/>
    <w:rsid w:val="003B79E5"/>
    <w:rsid w:val="003B7CB5"/>
    <w:rsid w:val="003B7D9A"/>
    <w:rsid w:val="003B7E3D"/>
    <w:rsid w:val="003B7ECB"/>
    <w:rsid w:val="003B7F4A"/>
    <w:rsid w:val="003B7FE3"/>
    <w:rsid w:val="003C00CA"/>
    <w:rsid w:val="003C00D8"/>
    <w:rsid w:val="003C01EE"/>
    <w:rsid w:val="003C0426"/>
    <w:rsid w:val="003C057C"/>
    <w:rsid w:val="003C0978"/>
    <w:rsid w:val="003C0A94"/>
    <w:rsid w:val="003C0BFE"/>
    <w:rsid w:val="003C0CDB"/>
    <w:rsid w:val="003C0D16"/>
    <w:rsid w:val="003C0DB6"/>
    <w:rsid w:val="003C0E0C"/>
    <w:rsid w:val="003C0E92"/>
    <w:rsid w:val="003C0F4D"/>
    <w:rsid w:val="003C112F"/>
    <w:rsid w:val="003C1346"/>
    <w:rsid w:val="003C1580"/>
    <w:rsid w:val="003C1B4A"/>
    <w:rsid w:val="003C1BA7"/>
    <w:rsid w:val="003C1BCA"/>
    <w:rsid w:val="003C1BF7"/>
    <w:rsid w:val="003C1CA4"/>
    <w:rsid w:val="003C1D08"/>
    <w:rsid w:val="003C2051"/>
    <w:rsid w:val="003C2073"/>
    <w:rsid w:val="003C20D2"/>
    <w:rsid w:val="003C2270"/>
    <w:rsid w:val="003C22A4"/>
    <w:rsid w:val="003C27FD"/>
    <w:rsid w:val="003C2998"/>
    <w:rsid w:val="003C2AE0"/>
    <w:rsid w:val="003C2BCE"/>
    <w:rsid w:val="003C2F64"/>
    <w:rsid w:val="003C2F65"/>
    <w:rsid w:val="003C319E"/>
    <w:rsid w:val="003C3229"/>
    <w:rsid w:val="003C3296"/>
    <w:rsid w:val="003C32AF"/>
    <w:rsid w:val="003C3548"/>
    <w:rsid w:val="003C356B"/>
    <w:rsid w:val="003C36E2"/>
    <w:rsid w:val="003C3A4C"/>
    <w:rsid w:val="003C3C8D"/>
    <w:rsid w:val="003C3D62"/>
    <w:rsid w:val="003C40A6"/>
    <w:rsid w:val="003C40F2"/>
    <w:rsid w:val="003C40FF"/>
    <w:rsid w:val="003C41A6"/>
    <w:rsid w:val="003C4501"/>
    <w:rsid w:val="003C4822"/>
    <w:rsid w:val="003C4AAA"/>
    <w:rsid w:val="003C4CE7"/>
    <w:rsid w:val="003C4DF0"/>
    <w:rsid w:val="003C5156"/>
    <w:rsid w:val="003C51CE"/>
    <w:rsid w:val="003C5211"/>
    <w:rsid w:val="003C52B4"/>
    <w:rsid w:val="003C5452"/>
    <w:rsid w:val="003C57D5"/>
    <w:rsid w:val="003C58FF"/>
    <w:rsid w:val="003C59D7"/>
    <w:rsid w:val="003C5AD1"/>
    <w:rsid w:val="003C5BE4"/>
    <w:rsid w:val="003C5C97"/>
    <w:rsid w:val="003C5D64"/>
    <w:rsid w:val="003C5E1E"/>
    <w:rsid w:val="003C619B"/>
    <w:rsid w:val="003C61DD"/>
    <w:rsid w:val="003C61E5"/>
    <w:rsid w:val="003C628A"/>
    <w:rsid w:val="003C6291"/>
    <w:rsid w:val="003C6411"/>
    <w:rsid w:val="003C645E"/>
    <w:rsid w:val="003C65BC"/>
    <w:rsid w:val="003C6607"/>
    <w:rsid w:val="003C66C1"/>
    <w:rsid w:val="003C6710"/>
    <w:rsid w:val="003C673E"/>
    <w:rsid w:val="003C6812"/>
    <w:rsid w:val="003C6940"/>
    <w:rsid w:val="003C6991"/>
    <w:rsid w:val="003C6A08"/>
    <w:rsid w:val="003C6BC8"/>
    <w:rsid w:val="003C6BFB"/>
    <w:rsid w:val="003C6C6E"/>
    <w:rsid w:val="003C6CD7"/>
    <w:rsid w:val="003C6CDA"/>
    <w:rsid w:val="003C6D52"/>
    <w:rsid w:val="003C6D7D"/>
    <w:rsid w:val="003C6EA5"/>
    <w:rsid w:val="003C6F63"/>
    <w:rsid w:val="003C6F70"/>
    <w:rsid w:val="003C70A6"/>
    <w:rsid w:val="003C7165"/>
    <w:rsid w:val="003C7512"/>
    <w:rsid w:val="003C7718"/>
    <w:rsid w:val="003C7AFE"/>
    <w:rsid w:val="003C7B9A"/>
    <w:rsid w:val="003C7CF6"/>
    <w:rsid w:val="003C7DCE"/>
    <w:rsid w:val="003C7E9F"/>
    <w:rsid w:val="003D000E"/>
    <w:rsid w:val="003D0041"/>
    <w:rsid w:val="003D03EE"/>
    <w:rsid w:val="003D04C9"/>
    <w:rsid w:val="003D05B0"/>
    <w:rsid w:val="003D06FE"/>
    <w:rsid w:val="003D07BF"/>
    <w:rsid w:val="003D08A2"/>
    <w:rsid w:val="003D0973"/>
    <w:rsid w:val="003D0AFD"/>
    <w:rsid w:val="003D0B62"/>
    <w:rsid w:val="003D0CAB"/>
    <w:rsid w:val="003D0DA8"/>
    <w:rsid w:val="003D10A2"/>
    <w:rsid w:val="003D16A4"/>
    <w:rsid w:val="003D1987"/>
    <w:rsid w:val="003D1B44"/>
    <w:rsid w:val="003D1E6A"/>
    <w:rsid w:val="003D1E9D"/>
    <w:rsid w:val="003D1FA8"/>
    <w:rsid w:val="003D1FBB"/>
    <w:rsid w:val="003D205E"/>
    <w:rsid w:val="003D214A"/>
    <w:rsid w:val="003D23F5"/>
    <w:rsid w:val="003D24E1"/>
    <w:rsid w:val="003D2594"/>
    <w:rsid w:val="003D2624"/>
    <w:rsid w:val="003D2776"/>
    <w:rsid w:val="003D2856"/>
    <w:rsid w:val="003D29A7"/>
    <w:rsid w:val="003D2A10"/>
    <w:rsid w:val="003D2A3B"/>
    <w:rsid w:val="003D2BF9"/>
    <w:rsid w:val="003D2CC8"/>
    <w:rsid w:val="003D2D56"/>
    <w:rsid w:val="003D2E14"/>
    <w:rsid w:val="003D2FDA"/>
    <w:rsid w:val="003D311A"/>
    <w:rsid w:val="003D31A0"/>
    <w:rsid w:val="003D33A8"/>
    <w:rsid w:val="003D350F"/>
    <w:rsid w:val="003D3582"/>
    <w:rsid w:val="003D3593"/>
    <w:rsid w:val="003D359F"/>
    <w:rsid w:val="003D35EF"/>
    <w:rsid w:val="003D3756"/>
    <w:rsid w:val="003D37C5"/>
    <w:rsid w:val="003D3859"/>
    <w:rsid w:val="003D385A"/>
    <w:rsid w:val="003D3A1C"/>
    <w:rsid w:val="003D3ACB"/>
    <w:rsid w:val="003D3B1D"/>
    <w:rsid w:val="003D3B36"/>
    <w:rsid w:val="003D3F46"/>
    <w:rsid w:val="003D429D"/>
    <w:rsid w:val="003D43A2"/>
    <w:rsid w:val="003D4632"/>
    <w:rsid w:val="003D4643"/>
    <w:rsid w:val="003D4690"/>
    <w:rsid w:val="003D47C8"/>
    <w:rsid w:val="003D4A2C"/>
    <w:rsid w:val="003D4AB0"/>
    <w:rsid w:val="003D4B1C"/>
    <w:rsid w:val="003D4C93"/>
    <w:rsid w:val="003D4D93"/>
    <w:rsid w:val="003D4EA8"/>
    <w:rsid w:val="003D5426"/>
    <w:rsid w:val="003D55CB"/>
    <w:rsid w:val="003D5718"/>
    <w:rsid w:val="003D5960"/>
    <w:rsid w:val="003D5B6B"/>
    <w:rsid w:val="003D5B98"/>
    <w:rsid w:val="003D5C12"/>
    <w:rsid w:val="003D5D19"/>
    <w:rsid w:val="003D5EA9"/>
    <w:rsid w:val="003D608B"/>
    <w:rsid w:val="003D61FB"/>
    <w:rsid w:val="003D63F7"/>
    <w:rsid w:val="003D663E"/>
    <w:rsid w:val="003D6659"/>
    <w:rsid w:val="003D6A6E"/>
    <w:rsid w:val="003D6AFC"/>
    <w:rsid w:val="003D6C33"/>
    <w:rsid w:val="003D6DD3"/>
    <w:rsid w:val="003D6DF3"/>
    <w:rsid w:val="003D6E52"/>
    <w:rsid w:val="003D74E7"/>
    <w:rsid w:val="003D765C"/>
    <w:rsid w:val="003D778E"/>
    <w:rsid w:val="003D77EB"/>
    <w:rsid w:val="003D79C6"/>
    <w:rsid w:val="003D7A4D"/>
    <w:rsid w:val="003E0036"/>
    <w:rsid w:val="003E0047"/>
    <w:rsid w:val="003E00BC"/>
    <w:rsid w:val="003E0248"/>
    <w:rsid w:val="003E036D"/>
    <w:rsid w:val="003E063E"/>
    <w:rsid w:val="003E0688"/>
    <w:rsid w:val="003E06C0"/>
    <w:rsid w:val="003E070B"/>
    <w:rsid w:val="003E070C"/>
    <w:rsid w:val="003E0941"/>
    <w:rsid w:val="003E0A3E"/>
    <w:rsid w:val="003E0B40"/>
    <w:rsid w:val="003E0C5F"/>
    <w:rsid w:val="003E0CC7"/>
    <w:rsid w:val="003E0D5C"/>
    <w:rsid w:val="003E0E13"/>
    <w:rsid w:val="003E0E7C"/>
    <w:rsid w:val="003E0ED5"/>
    <w:rsid w:val="003E102C"/>
    <w:rsid w:val="003E1071"/>
    <w:rsid w:val="003E1688"/>
    <w:rsid w:val="003E176B"/>
    <w:rsid w:val="003E1970"/>
    <w:rsid w:val="003E1C57"/>
    <w:rsid w:val="003E1F61"/>
    <w:rsid w:val="003E25EC"/>
    <w:rsid w:val="003E26A1"/>
    <w:rsid w:val="003E26B3"/>
    <w:rsid w:val="003E274D"/>
    <w:rsid w:val="003E27E1"/>
    <w:rsid w:val="003E2961"/>
    <w:rsid w:val="003E2B21"/>
    <w:rsid w:val="003E2B49"/>
    <w:rsid w:val="003E2B6F"/>
    <w:rsid w:val="003E3493"/>
    <w:rsid w:val="003E361A"/>
    <w:rsid w:val="003E37EA"/>
    <w:rsid w:val="003E385D"/>
    <w:rsid w:val="003E394E"/>
    <w:rsid w:val="003E3B72"/>
    <w:rsid w:val="003E3C0F"/>
    <w:rsid w:val="003E3D35"/>
    <w:rsid w:val="003E3D5C"/>
    <w:rsid w:val="003E3E9E"/>
    <w:rsid w:val="003E3F99"/>
    <w:rsid w:val="003E3FEF"/>
    <w:rsid w:val="003E42FA"/>
    <w:rsid w:val="003E4427"/>
    <w:rsid w:val="003E44B3"/>
    <w:rsid w:val="003E4778"/>
    <w:rsid w:val="003E4788"/>
    <w:rsid w:val="003E47CC"/>
    <w:rsid w:val="003E491A"/>
    <w:rsid w:val="003E4A47"/>
    <w:rsid w:val="003E4AC3"/>
    <w:rsid w:val="003E4ADF"/>
    <w:rsid w:val="003E4C8C"/>
    <w:rsid w:val="003E4DCF"/>
    <w:rsid w:val="003E4DFE"/>
    <w:rsid w:val="003E4EC8"/>
    <w:rsid w:val="003E501D"/>
    <w:rsid w:val="003E51AB"/>
    <w:rsid w:val="003E52B7"/>
    <w:rsid w:val="003E5594"/>
    <w:rsid w:val="003E57C8"/>
    <w:rsid w:val="003E5833"/>
    <w:rsid w:val="003E5ADB"/>
    <w:rsid w:val="003E5BEB"/>
    <w:rsid w:val="003E5C2A"/>
    <w:rsid w:val="003E5DD0"/>
    <w:rsid w:val="003E5FD6"/>
    <w:rsid w:val="003E628A"/>
    <w:rsid w:val="003E633F"/>
    <w:rsid w:val="003E63F5"/>
    <w:rsid w:val="003E649E"/>
    <w:rsid w:val="003E66AE"/>
    <w:rsid w:val="003E66CB"/>
    <w:rsid w:val="003E6727"/>
    <w:rsid w:val="003E67B9"/>
    <w:rsid w:val="003E7213"/>
    <w:rsid w:val="003E7280"/>
    <w:rsid w:val="003E7299"/>
    <w:rsid w:val="003E735C"/>
    <w:rsid w:val="003E74D4"/>
    <w:rsid w:val="003E7673"/>
    <w:rsid w:val="003E76DA"/>
    <w:rsid w:val="003E78E3"/>
    <w:rsid w:val="003E7B08"/>
    <w:rsid w:val="003E7C27"/>
    <w:rsid w:val="003E7CB1"/>
    <w:rsid w:val="003E7D1A"/>
    <w:rsid w:val="003E7FAF"/>
    <w:rsid w:val="003E7FE0"/>
    <w:rsid w:val="003F00E6"/>
    <w:rsid w:val="003F0394"/>
    <w:rsid w:val="003F0988"/>
    <w:rsid w:val="003F0AB3"/>
    <w:rsid w:val="003F0CF1"/>
    <w:rsid w:val="003F0FB9"/>
    <w:rsid w:val="003F1145"/>
    <w:rsid w:val="003F1699"/>
    <w:rsid w:val="003F18D7"/>
    <w:rsid w:val="003F18F4"/>
    <w:rsid w:val="003F19F9"/>
    <w:rsid w:val="003F1A4E"/>
    <w:rsid w:val="003F1C1C"/>
    <w:rsid w:val="003F1C5D"/>
    <w:rsid w:val="003F1D0F"/>
    <w:rsid w:val="003F1F9F"/>
    <w:rsid w:val="003F202C"/>
    <w:rsid w:val="003F2216"/>
    <w:rsid w:val="003F222A"/>
    <w:rsid w:val="003F228E"/>
    <w:rsid w:val="003F255A"/>
    <w:rsid w:val="003F2598"/>
    <w:rsid w:val="003F25A1"/>
    <w:rsid w:val="003F2714"/>
    <w:rsid w:val="003F2734"/>
    <w:rsid w:val="003F2825"/>
    <w:rsid w:val="003F2939"/>
    <w:rsid w:val="003F2A5F"/>
    <w:rsid w:val="003F2BB1"/>
    <w:rsid w:val="003F2C41"/>
    <w:rsid w:val="003F2C75"/>
    <w:rsid w:val="003F2CEE"/>
    <w:rsid w:val="003F2F84"/>
    <w:rsid w:val="003F3101"/>
    <w:rsid w:val="003F3481"/>
    <w:rsid w:val="003F3644"/>
    <w:rsid w:val="003F36ED"/>
    <w:rsid w:val="003F3776"/>
    <w:rsid w:val="003F37B8"/>
    <w:rsid w:val="003F391B"/>
    <w:rsid w:val="003F3981"/>
    <w:rsid w:val="003F3985"/>
    <w:rsid w:val="003F3EAA"/>
    <w:rsid w:val="003F3FBF"/>
    <w:rsid w:val="003F4041"/>
    <w:rsid w:val="003F40EE"/>
    <w:rsid w:val="003F42F4"/>
    <w:rsid w:val="003F43AA"/>
    <w:rsid w:val="003F4420"/>
    <w:rsid w:val="003F4614"/>
    <w:rsid w:val="003F479C"/>
    <w:rsid w:val="003F488A"/>
    <w:rsid w:val="003F49BA"/>
    <w:rsid w:val="003F4AD1"/>
    <w:rsid w:val="003F4B3E"/>
    <w:rsid w:val="003F4CF7"/>
    <w:rsid w:val="003F4DFE"/>
    <w:rsid w:val="003F4F31"/>
    <w:rsid w:val="003F5032"/>
    <w:rsid w:val="003F50E0"/>
    <w:rsid w:val="003F55D1"/>
    <w:rsid w:val="003F5706"/>
    <w:rsid w:val="003F57DC"/>
    <w:rsid w:val="003F593D"/>
    <w:rsid w:val="003F5975"/>
    <w:rsid w:val="003F59C1"/>
    <w:rsid w:val="003F5A52"/>
    <w:rsid w:val="003F5ACE"/>
    <w:rsid w:val="003F5C95"/>
    <w:rsid w:val="003F5CB1"/>
    <w:rsid w:val="003F5F98"/>
    <w:rsid w:val="003F6148"/>
    <w:rsid w:val="003F632A"/>
    <w:rsid w:val="003F6369"/>
    <w:rsid w:val="003F63E6"/>
    <w:rsid w:val="003F65A6"/>
    <w:rsid w:val="003F67B5"/>
    <w:rsid w:val="003F689E"/>
    <w:rsid w:val="003F68AE"/>
    <w:rsid w:val="003F6B41"/>
    <w:rsid w:val="003F6D3E"/>
    <w:rsid w:val="003F6F57"/>
    <w:rsid w:val="003F7104"/>
    <w:rsid w:val="003F7349"/>
    <w:rsid w:val="003F73AD"/>
    <w:rsid w:val="003F74C8"/>
    <w:rsid w:val="003F7628"/>
    <w:rsid w:val="003F7AAC"/>
    <w:rsid w:val="003F7D99"/>
    <w:rsid w:val="003F7E96"/>
    <w:rsid w:val="003F7EDC"/>
    <w:rsid w:val="0040004B"/>
    <w:rsid w:val="00400075"/>
    <w:rsid w:val="0040019F"/>
    <w:rsid w:val="004001B3"/>
    <w:rsid w:val="004006A1"/>
    <w:rsid w:val="004006CF"/>
    <w:rsid w:val="0040074C"/>
    <w:rsid w:val="00400784"/>
    <w:rsid w:val="004007A1"/>
    <w:rsid w:val="00400969"/>
    <w:rsid w:val="00400D38"/>
    <w:rsid w:val="00400EA0"/>
    <w:rsid w:val="0040106C"/>
    <w:rsid w:val="004011C3"/>
    <w:rsid w:val="00401361"/>
    <w:rsid w:val="0040177A"/>
    <w:rsid w:val="00401C3B"/>
    <w:rsid w:val="00401EEE"/>
    <w:rsid w:val="00401F84"/>
    <w:rsid w:val="00402018"/>
    <w:rsid w:val="0040202A"/>
    <w:rsid w:val="004021BA"/>
    <w:rsid w:val="0040237C"/>
    <w:rsid w:val="00402746"/>
    <w:rsid w:val="004028B9"/>
    <w:rsid w:val="00402940"/>
    <w:rsid w:val="0040296B"/>
    <w:rsid w:val="004029E8"/>
    <w:rsid w:val="00402AEA"/>
    <w:rsid w:val="00402C59"/>
    <w:rsid w:val="00402CA4"/>
    <w:rsid w:val="00402CD0"/>
    <w:rsid w:val="004030CD"/>
    <w:rsid w:val="004031B8"/>
    <w:rsid w:val="0040339D"/>
    <w:rsid w:val="0040378C"/>
    <w:rsid w:val="00403996"/>
    <w:rsid w:val="00403B96"/>
    <w:rsid w:val="00403DB6"/>
    <w:rsid w:val="004040F7"/>
    <w:rsid w:val="00404131"/>
    <w:rsid w:val="004045A8"/>
    <w:rsid w:val="004046B9"/>
    <w:rsid w:val="00404798"/>
    <w:rsid w:val="00404811"/>
    <w:rsid w:val="00404852"/>
    <w:rsid w:val="00404ADA"/>
    <w:rsid w:val="00404B91"/>
    <w:rsid w:val="00404CF5"/>
    <w:rsid w:val="00404DCC"/>
    <w:rsid w:val="00404E0E"/>
    <w:rsid w:val="00404FA9"/>
    <w:rsid w:val="0040514C"/>
    <w:rsid w:val="0040519B"/>
    <w:rsid w:val="00405708"/>
    <w:rsid w:val="00405748"/>
    <w:rsid w:val="0040593C"/>
    <w:rsid w:val="004059AD"/>
    <w:rsid w:val="00405B4D"/>
    <w:rsid w:val="00405BA7"/>
    <w:rsid w:val="00405C09"/>
    <w:rsid w:val="00406040"/>
    <w:rsid w:val="00406079"/>
    <w:rsid w:val="004063B4"/>
    <w:rsid w:val="00406426"/>
    <w:rsid w:val="00406523"/>
    <w:rsid w:val="0040659C"/>
    <w:rsid w:val="00406BB4"/>
    <w:rsid w:val="00406E2C"/>
    <w:rsid w:val="00406E33"/>
    <w:rsid w:val="00406E85"/>
    <w:rsid w:val="00407159"/>
    <w:rsid w:val="0040718A"/>
    <w:rsid w:val="0040719A"/>
    <w:rsid w:val="0040734E"/>
    <w:rsid w:val="00407557"/>
    <w:rsid w:val="00407703"/>
    <w:rsid w:val="004077A4"/>
    <w:rsid w:val="004077F7"/>
    <w:rsid w:val="00407845"/>
    <w:rsid w:val="00407A04"/>
    <w:rsid w:val="00407A89"/>
    <w:rsid w:val="00407C68"/>
    <w:rsid w:val="00407DF3"/>
    <w:rsid w:val="004100D4"/>
    <w:rsid w:val="00410186"/>
    <w:rsid w:val="0041023B"/>
    <w:rsid w:val="00410455"/>
    <w:rsid w:val="00410602"/>
    <w:rsid w:val="00410608"/>
    <w:rsid w:val="0041070D"/>
    <w:rsid w:val="004107D4"/>
    <w:rsid w:val="00410884"/>
    <w:rsid w:val="004109ED"/>
    <w:rsid w:val="00410AB4"/>
    <w:rsid w:val="00410AC2"/>
    <w:rsid w:val="00410B55"/>
    <w:rsid w:val="00410BB1"/>
    <w:rsid w:val="00410C87"/>
    <w:rsid w:val="00410D87"/>
    <w:rsid w:val="00410DA4"/>
    <w:rsid w:val="004110A4"/>
    <w:rsid w:val="004110C9"/>
    <w:rsid w:val="0041114B"/>
    <w:rsid w:val="00411181"/>
    <w:rsid w:val="0041119B"/>
    <w:rsid w:val="004111B5"/>
    <w:rsid w:val="004112E3"/>
    <w:rsid w:val="00411350"/>
    <w:rsid w:val="004115CB"/>
    <w:rsid w:val="004116AB"/>
    <w:rsid w:val="004116B5"/>
    <w:rsid w:val="004116D0"/>
    <w:rsid w:val="004119A1"/>
    <w:rsid w:val="00411A3A"/>
    <w:rsid w:val="00411A45"/>
    <w:rsid w:val="00411CC2"/>
    <w:rsid w:val="00411CDA"/>
    <w:rsid w:val="00411DAD"/>
    <w:rsid w:val="00412336"/>
    <w:rsid w:val="00412373"/>
    <w:rsid w:val="00412531"/>
    <w:rsid w:val="0041254C"/>
    <w:rsid w:val="0041255A"/>
    <w:rsid w:val="004125A8"/>
    <w:rsid w:val="004126C7"/>
    <w:rsid w:val="004126E6"/>
    <w:rsid w:val="004127F8"/>
    <w:rsid w:val="0041292B"/>
    <w:rsid w:val="00412B7B"/>
    <w:rsid w:val="00412BB2"/>
    <w:rsid w:val="00412C8B"/>
    <w:rsid w:val="00412CC8"/>
    <w:rsid w:val="00412EB1"/>
    <w:rsid w:val="00412EC3"/>
    <w:rsid w:val="00412ECF"/>
    <w:rsid w:val="00413032"/>
    <w:rsid w:val="00413048"/>
    <w:rsid w:val="004130FD"/>
    <w:rsid w:val="0041338B"/>
    <w:rsid w:val="004134CD"/>
    <w:rsid w:val="0041358C"/>
    <w:rsid w:val="0041361A"/>
    <w:rsid w:val="00413858"/>
    <w:rsid w:val="00413992"/>
    <w:rsid w:val="004139D3"/>
    <w:rsid w:val="00413ACE"/>
    <w:rsid w:val="00413FC8"/>
    <w:rsid w:val="004140A6"/>
    <w:rsid w:val="004141EF"/>
    <w:rsid w:val="00414234"/>
    <w:rsid w:val="004143FD"/>
    <w:rsid w:val="00414449"/>
    <w:rsid w:val="0041445F"/>
    <w:rsid w:val="004148FA"/>
    <w:rsid w:val="00414986"/>
    <w:rsid w:val="004149D9"/>
    <w:rsid w:val="00414A9E"/>
    <w:rsid w:val="00414C24"/>
    <w:rsid w:val="00414D4C"/>
    <w:rsid w:val="00414D61"/>
    <w:rsid w:val="00414E41"/>
    <w:rsid w:val="00414F7E"/>
    <w:rsid w:val="0041504B"/>
    <w:rsid w:val="0041515F"/>
    <w:rsid w:val="004151EE"/>
    <w:rsid w:val="0041531F"/>
    <w:rsid w:val="004155CA"/>
    <w:rsid w:val="0041565B"/>
    <w:rsid w:val="00415700"/>
    <w:rsid w:val="00415CE4"/>
    <w:rsid w:val="00415E02"/>
    <w:rsid w:val="00415E8C"/>
    <w:rsid w:val="00416079"/>
    <w:rsid w:val="004160E5"/>
    <w:rsid w:val="004161A2"/>
    <w:rsid w:val="00416338"/>
    <w:rsid w:val="0041633C"/>
    <w:rsid w:val="004163B6"/>
    <w:rsid w:val="004164DB"/>
    <w:rsid w:val="00416509"/>
    <w:rsid w:val="00416648"/>
    <w:rsid w:val="004167A1"/>
    <w:rsid w:val="0041681F"/>
    <w:rsid w:val="0041688A"/>
    <w:rsid w:val="00416898"/>
    <w:rsid w:val="0041689A"/>
    <w:rsid w:val="0041692C"/>
    <w:rsid w:val="00416B33"/>
    <w:rsid w:val="00416B60"/>
    <w:rsid w:val="00416DB6"/>
    <w:rsid w:val="00416E73"/>
    <w:rsid w:val="0041703F"/>
    <w:rsid w:val="0041717D"/>
    <w:rsid w:val="004171BA"/>
    <w:rsid w:val="004172FB"/>
    <w:rsid w:val="00417329"/>
    <w:rsid w:val="00417353"/>
    <w:rsid w:val="00417566"/>
    <w:rsid w:val="00417638"/>
    <w:rsid w:val="0041766C"/>
    <w:rsid w:val="00417670"/>
    <w:rsid w:val="00417AF5"/>
    <w:rsid w:val="00417BC3"/>
    <w:rsid w:val="00420254"/>
    <w:rsid w:val="004204A7"/>
    <w:rsid w:val="004204CF"/>
    <w:rsid w:val="004207B4"/>
    <w:rsid w:val="00420DC1"/>
    <w:rsid w:val="00420F4B"/>
    <w:rsid w:val="004211C7"/>
    <w:rsid w:val="004212EB"/>
    <w:rsid w:val="0042132B"/>
    <w:rsid w:val="00421365"/>
    <w:rsid w:val="00421396"/>
    <w:rsid w:val="004213E8"/>
    <w:rsid w:val="0042142A"/>
    <w:rsid w:val="004214DA"/>
    <w:rsid w:val="0042150F"/>
    <w:rsid w:val="0042186F"/>
    <w:rsid w:val="004218DD"/>
    <w:rsid w:val="00421BCE"/>
    <w:rsid w:val="00421BDC"/>
    <w:rsid w:val="00421CC7"/>
    <w:rsid w:val="00421DEA"/>
    <w:rsid w:val="004222C5"/>
    <w:rsid w:val="00422386"/>
    <w:rsid w:val="00422560"/>
    <w:rsid w:val="004225E7"/>
    <w:rsid w:val="00422647"/>
    <w:rsid w:val="004227AB"/>
    <w:rsid w:val="004229DB"/>
    <w:rsid w:val="00422CAB"/>
    <w:rsid w:val="004231FB"/>
    <w:rsid w:val="004233DE"/>
    <w:rsid w:val="00423631"/>
    <w:rsid w:val="004239BB"/>
    <w:rsid w:val="00423A67"/>
    <w:rsid w:val="00423AAC"/>
    <w:rsid w:val="00423C27"/>
    <w:rsid w:val="00423E47"/>
    <w:rsid w:val="00424234"/>
    <w:rsid w:val="00424366"/>
    <w:rsid w:val="004243BC"/>
    <w:rsid w:val="004248A2"/>
    <w:rsid w:val="004248C9"/>
    <w:rsid w:val="00424B8B"/>
    <w:rsid w:val="00424BA7"/>
    <w:rsid w:val="00424C98"/>
    <w:rsid w:val="00424D25"/>
    <w:rsid w:val="00424DB9"/>
    <w:rsid w:val="0042504D"/>
    <w:rsid w:val="004250F4"/>
    <w:rsid w:val="00425199"/>
    <w:rsid w:val="004251E3"/>
    <w:rsid w:val="004252DD"/>
    <w:rsid w:val="004252F5"/>
    <w:rsid w:val="0042539C"/>
    <w:rsid w:val="004256E2"/>
    <w:rsid w:val="00425987"/>
    <w:rsid w:val="004259ED"/>
    <w:rsid w:val="00425B73"/>
    <w:rsid w:val="00425D7B"/>
    <w:rsid w:val="00425ED2"/>
    <w:rsid w:val="00426053"/>
    <w:rsid w:val="00426100"/>
    <w:rsid w:val="004261EF"/>
    <w:rsid w:val="00426227"/>
    <w:rsid w:val="00426320"/>
    <w:rsid w:val="004263F1"/>
    <w:rsid w:val="004264FB"/>
    <w:rsid w:val="00426672"/>
    <w:rsid w:val="00426688"/>
    <w:rsid w:val="00426758"/>
    <w:rsid w:val="004267AE"/>
    <w:rsid w:val="0042688B"/>
    <w:rsid w:val="00426932"/>
    <w:rsid w:val="00426AE6"/>
    <w:rsid w:val="00426C19"/>
    <w:rsid w:val="00426C66"/>
    <w:rsid w:val="00426DFE"/>
    <w:rsid w:val="00427056"/>
    <w:rsid w:val="00427067"/>
    <w:rsid w:val="00427286"/>
    <w:rsid w:val="00427397"/>
    <w:rsid w:val="004274FB"/>
    <w:rsid w:val="004274FE"/>
    <w:rsid w:val="00427601"/>
    <w:rsid w:val="00427603"/>
    <w:rsid w:val="00427677"/>
    <w:rsid w:val="00427734"/>
    <w:rsid w:val="004277ED"/>
    <w:rsid w:val="00427937"/>
    <w:rsid w:val="00427940"/>
    <w:rsid w:val="00427A4E"/>
    <w:rsid w:val="00427E9A"/>
    <w:rsid w:val="00427FF0"/>
    <w:rsid w:val="00430204"/>
    <w:rsid w:val="0043039F"/>
    <w:rsid w:val="00430472"/>
    <w:rsid w:val="004304F3"/>
    <w:rsid w:val="0043052E"/>
    <w:rsid w:val="004305D2"/>
    <w:rsid w:val="004306DD"/>
    <w:rsid w:val="00430740"/>
    <w:rsid w:val="0043076D"/>
    <w:rsid w:val="0043087C"/>
    <w:rsid w:val="00430977"/>
    <w:rsid w:val="004309AD"/>
    <w:rsid w:val="00430A8A"/>
    <w:rsid w:val="00430B58"/>
    <w:rsid w:val="00430C22"/>
    <w:rsid w:val="00430F82"/>
    <w:rsid w:val="00431215"/>
    <w:rsid w:val="004312CF"/>
    <w:rsid w:val="0043146B"/>
    <w:rsid w:val="004315F1"/>
    <w:rsid w:val="00431710"/>
    <w:rsid w:val="0043192F"/>
    <w:rsid w:val="004319C1"/>
    <w:rsid w:val="00431BCB"/>
    <w:rsid w:val="00431D3A"/>
    <w:rsid w:val="00431FCC"/>
    <w:rsid w:val="00432158"/>
    <w:rsid w:val="00432232"/>
    <w:rsid w:val="00432241"/>
    <w:rsid w:val="00432494"/>
    <w:rsid w:val="0043250B"/>
    <w:rsid w:val="00432589"/>
    <w:rsid w:val="004326BE"/>
    <w:rsid w:val="00432796"/>
    <w:rsid w:val="0043292B"/>
    <w:rsid w:val="00432B22"/>
    <w:rsid w:val="00432DA9"/>
    <w:rsid w:val="00432DD0"/>
    <w:rsid w:val="00432F75"/>
    <w:rsid w:val="00432FAD"/>
    <w:rsid w:val="004333B1"/>
    <w:rsid w:val="004333BB"/>
    <w:rsid w:val="004333C4"/>
    <w:rsid w:val="00433494"/>
    <w:rsid w:val="0043356D"/>
    <w:rsid w:val="00433763"/>
    <w:rsid w:val="00433ADD"/>
    <w:rsid w:val="00433BCE"/>
    <w:rsid w:val="00433CAB"/>
    <w:rsid w:val="00433DE9"/>
    <w:rsid w:val="00433E36"/>
    <w:rsid w:val="00434036"/>
    <w:rsid w:val="0043407B"/>
    <w:rsid w:val="00434463"/>
    <w:rsid w:val="00434492"/>
    <w:rsid w:val="004346D2"/>
    <w:rsid w:val="00434920"/>
    <w:rsid w:val="004349FA"/>
    <w:rsid w:val="00434A3D"/>
    <w:rsid w:val="00435029"/>
    <w:rsid w:val="00435278"/>
    <w:rsid w:val="0043534A"/>
    <w:rsid w:val="0043537A"/>
    <w:rsid w:val="004353D1"/>
    <w:rsid w:val="0043540A"/>
    <w:rsid w:val="004355B6"/>
    <w:rsid w:val="004356FD"/>
    <w:rsid w:val="00435AC4"/>
    <w:rsid w:val="00435C1C"/>
    <w:rsid w:val="00435F20"/>
    <w:rsid w:val="00435FA0"/>
    <w:rsid w:val="00436099"/>
    <w:rsid w:val="004362B2"/>
    <w:rsid w:val="004364BE"/>
    <w:rsid w:val="004369DD"/>
    <w:rsid w:val="00436AE1"/>
    <w:rsid w:val="00436BF7"/>
    <w:rsid w:val="00436D32"/>
    <w:rsid w:val="00436F80"/>
    <w:rsid w:val="004371E1"/>
    <w:rsid w:val="00437341"/>
    <w:rsid w:val="004374DB"/>
    <w:rsid w:val="004374F2"/>
    <w:rsid w:val="0043765A"/>
    <w:rsid w:val="00437A9F"/>
    <w:rsid w:val="00437D6A"/>
    <w:rsid w:val="00437E03"/>
    <w:rsid w:val="00437E92"/>
    <w:rsid w:val="00437F0C"/>
    <w:rsid w:val="00437F22"/>
    <w:rsid w:val="004403E8"/>
    <w:rsid w:val="004403E9"/>
    <w:rsid w:val="004404A1"/>
    <w:rsid w:val="00440507"/>
    <w:rsid w:val="00440666"/>
    <w:rsid w:val="00440A89"/>
    <w:rsid w:val="00440B5A"/>
    <w:rsid w:val="00441237"/>
    <w:rsid w:val="004412DA"/>
    <w:rsid w:val="00441513"/>
    <w:rsid w:val="004416BC"/>
    <w:rsid w:val="00441714"/>
    <w:rsid w:val="0044179B"/>
    <w:rsid w:val="004418FC"/>
    <w:rsid w:val="004419B2"/>
    <w:rsid w:val="00441A63"/>
    <w:rsid w:val="00441B76"/>
    <w:rsid w:val="00441BC3"/>
    <w:rsid w:val="00441D86"/>
    <w:rsid w:val="00441EE9"/>
    <w:rsid w:val="00441EF8"/>
    <w:rsid w:val="00441FD4"/>
    <w:rsid w:val="0044230B"/>
    <w:rsid w:val="00442333"/>
    <w:rsid w:val="0044235A"/>
    <w:rsid w:val="00442544"/>
    <w:rsid w:val="0044271C"/>
    <w:rsid w:val="00442733"/>
    <w:rsid w:val="00442874"/>
    <w:rsid w:val="00442B44"/>
    <w:rsid w:val="00442B97"/>
    <w:rsid w:val="00442E11"/>
    <w:rsid w:val="00442E1C"/>
    <w:rsid w:val="00443089"/>
    <w:rsid w:val="00443090"/>
    <w:rsid w:val="0044309B"/>
    <w:rsid w:val="0044331A"/>
    <w:rsid w:val="00443357"/>
    <w:rsid w:val="00443478"/>
    <w:rsid w:val="0044364F"/>
    <w:rsid w:val="004436F4"/>
    <w:rsid w:val="00443968"/>
    <w:rsid w:val="00443BE7"/>
    <w:rsid w:val="00443C41"/>
    <w:rsid w:val="00443F2F"/>
    <w:rsid w:val="00443F5B"/>
    <w:rsid w:val="00443FFC"/>
    <w:rsid w:val="00444190"/>
    <w:rsid w:val="004441A4"/>
    <w:rsid w:val="004441E5"/>
    <w:rsid w:val="004441FE"/>
    <w:rsid w:val="0044445C"/>
    <w:rsid w:val="00444468"/>
    <w:rsid w:val="00444830"/>
    <w:rsid w:val="0044496A"/>
    <w:rsid w:val="00444A80"/>
    <w:rsid w:val="00444B5A"/>
    <w:rsid w:val="00444B6E"/>
    <w:rsid w:val="00444EB9"/>
    <w:rsid w:val="004451C3"/>
    <w:rsid w:val="0044521D"/>
    <w:rsid w:val="00445261"/>
    <w:rsid w:val="00445332"/>
    <w:rsid w:val="004454E3"/>
    <w:rsid w:val="00445957"/>
    <w:rsid w:val="00445A1B"/>
    <w:rsid w:val="00445AB9"/>
    <w:rsid w:val="00445BC9"/>
    <w:rsid w:val="00445C50"/>
    <w:rsid w:val="00446031"/>
    <w:rsid w:val="004460B2"/>
    <w:rsid w:val="00446134"/>
    <w:rsid w:val="0044622C"/>
    <w:rsid w:val="00446321"/>
    <w:rsid w:val="00446467"/>
    <w:rsid w:val="00446479"/>
    <w:rsid w:val="004467E1"/>
    <w:rsid w:val="00446808"/>
    <w:rsid w:val="00446919"/>
    <w:rsid w:val="00446DBC"/>
    <w:rsid w:val="004470C6"/>
    <w:rsid w:val="004473C5"/>
    <w:rsid w:val="0044750C"/>
    <w:rsid w:val="0044765F"/>
    <w:rsid w:val="00447717"/>
    <w:rsid w:val="00447779"/>
    <w:rsid w:val="0044782C"/>
    <w:rsid w:val="00447ADE"/>
    <w:rsid w:val="00447AF3"/>
    <w:rsid w:val="00447B1F"/>
    <w:rsid w:val="00447C11"/>
    <w:rsid w:val="00447E2C"/>
    <w:rsid w:val="00447F2A"/>
    <w:rsid w:val="00447F2E"/>
    <w:rsid w:val="00450330"/>
    <w:rsid w:val="00450331"/>
    <w:rsid w:val="0045065F"/>
    <w:rsid w:val="0045075D"/>
    <w:rsid w:val="00451050"/>
    <w:rsid w:val="00451448"/>
    <w:rsid w:val="00451531"/>
    <w:rsid w:val="0045153A"/>
    <w:rsid w:val="00451734"/>
    <w:rsid w:val="00451805"/>
    <w:rsid w:val="00451929"/>
    <w:rsid w:val="0045195C"/>
    <w:rsid w:val="00451975"/>
    <w:rsid w:val="00451BF1"/>
    <w:rsid w:val="00451ECB"/>
    <w:rsid w:val="00451FD7"/>
    <w:rsid w:val="0045202C"/>
    <w:rsid w:val="0045204F"/>
    <w:rsid w:val="0045209A"/>
    <w:rsid w:val="00452113"/>
    <w:rsid w:val="00452541"/>
    <w:rsid w:val="00452852"/>
    <w:rsid w:val="004528B2"/>
    <w:rsid w:val="00452A27"/>
    <w:rsid w:val="00452B90"/>
    <w:rsid w:val="00452CA4"/>
    <w:rsid w:val="00452D1F"/>
    <w:rsid w:val="00452D26"/>
    <w:rsid w:val="00452ECB"/>
    <w:rsid w:val="00453003"/>
    <w:rsid w:val="0045304E"/>
    <w:rsid w:val="004530AE"/>
    <w:rsid w:val="004530FD"/>
    <w:rsid w:val="00453101"/>
    <w:rsid w:val="00453127"/>
    <w:rsid w:val="004531F9"/>
    <w:rsid w:val="0045331F"/>
    <w:rsid w:val="00453650"/>
    <w:rsid w:val="004537E2"/>
    <w:rsid w:val="00453974"/>
    <w:rsid w:val="0045398B"/>
    <w:rsid w:val="00453B7E"/>
    <w:rsid w:val="00453BCF"/>
    <w:rsid w:val="00453BDE"/>
    <w:rsid w:val="00453C60"/>
    <w:rsid w:val="00453E4C"/>
    <w:rsid w:val="004540EE"/>
    <w:rsid w:val="00454201"/>
    <w:rsid w:val="0045431F"/>
    <w:rsid w:val="004546F6"/>
    <w:rsid w:val="00454867"/>
    <w:rsid w:val="00454A14"/>
    <w:rsid w:val="00454F8F"/>
    <w:rsid w:val="0045509C"/>
    <w:rsid w:val="00455505"/>
    <w:rsid w:val="00455621"/>
    <w:rsid w:val="00455874"/>
    <w:rsid w:val="0045597F"/>
    <w:rsid w:val="004559D9"/>
    <w:rsid w:val="00455C59"/>
    <w:rsid w:val="00455ECB"/>
    <w:rsid w:val="00455F7B"/>
    <w:rsid w:val="00455F9B"/>
    <w:rsid w:val="004560D2"/>
    <w:rsid w:val="00456125"/>
    <w:rsid w:val="004566E5"/>
    <w:rsid w:val="0045676B"/>
    <w:rsid w:val="00456962"/>
    <w:rsid w:val="00456A6A"/>
    <w:rsid w:val="00456AB5"/>
    <w:rsid w:val="00456ACA"/>
    <w:rsid w:val="00456E15"/>
    <w:rsid w:val="00456E66"/>
    <w:rsid w:val="00456FE6"/>
    <w:rsid w:val="00457018"/>
    <w:rsid w:val="0045707E"/>
    <w:rsid w:val="004572DA"/>
    <w:rsid w:val="00457497"/>
    <w:rsid w:val="0045767A"/>
    <w:rsid w:val="00457A01"/>
    <w:rsid w:val="00457BD3"/>
    <w:rsid w:val="00457D71"/>
    <w:rsid w:val="00457E7F"/>
    <w:rsid w:val="00457FF2"/>
    <w:rsid w:val="004600B6"/>
    <w:rsid w:val="004601EB"/>
    <w:rsid w:val="00460238"/>
    <w:rsid w:val="00460261"/>
    <w:rsid w:val="00460285"/>
    <w:rsid w:val="0046028B"/>
    <w:rsid w:val="00460420"/>
    <w:rsid w:val="0046047F"/>
    <w:rsid w:val="00460630"/>
    <w:rsid w:val="00460706"/>
    <w:rsid w:val="00460890"/>
    <w:rsid w:val="00460E4F"/>
    <w:rsid w:val="00460EFA"/>
    <w:rsid w:val="0046107B"/>
    <w:rsid w:val="00461482"/>
    <w:rsid w:val="004614EE"/>
    <w:rsid w:val="0046159B"/>
    <w:rsid w:val="00461A94"/>
    <w:rsid w:val="00461C69"/>
    <w:rsid w:val="00461F72"/>
    <w:rsid w:val="00461F8C"/>
    <w:rsid w:val="00462095"/>
    <w:rsid w:val="0046242A"/>
    <w:rsid w:val="00462447"/>
    <w:rsid w:val="00462547"/>
    <w:rsid w:val="0046266F"/>
    <w:rsid w:val="0046275A"/>
    <w:rsid w:val="00462AA3"/>
    <w:rsid w:val="00462B3D"/>
    <w:rsid w:val="00462CA9"/>
    <w:rsid w:val="00462D9D"/>
    <w:rsid w:val="00462FC3"/>
    <w:rsid w:val="004630AF"/>
    <w:rsid w:val="004630CB"/>
    <w:rsid w:val="00463101"/>
    <w:rsid w:val="004632A9"/>
    <w:rsid w:val="00463448"/>
    <w:rsid w:val="00463454"/>
    <w:rsid w:val="0046359C"/>
    <w:rsid w:val="0046365E"/>
    <w:rsid w:val="0046369B"/>
    <w:rsid w:val="00463702"/>
    <w:rsid w:val="0046391C"/>
    <w:rsid w:val="004639EE"/>
    <w:rsid w:val="00463B3B"/>
    <w:rsid w:val="00463B52"/>
    <w:rsid w:val="00463C81"/>
    <w:rsid w:val="00463E9F"/>
    <w:rsid w:val="00463F3C"/>
    <w:rsid w:val="004641AA"/>
    <w:rsid w:val="0046420F"/>
    <w:rsid w:val="0046422D"/>
    <w:rsid w:val="00464520"/>
    <w:rsid w:val="004646DB"/>
    <w:rsid w:val="0046473C"/>
    <w:rsid w:val="004647CA"/>
    <w:rsid w:val="004647DC"/>
    <w:rsid w:val="00464825"/>
    <w:rsid w:val="00464A20"/>
    <w:rsid w:val="00464ACF"/>
    <w:rsid w:val="00464D55"/>
    <w:rsid w:val="00464D77"/>
    <w:rsid w:val="00464DB3"/>
    <w:rsid w:val="00464E9F"/>
    <w:rsid w:val="00464EB8"/>
    <w:rsid w:val="00465135"/>
    <w:rsid w:val="0046517B"/>
    <w:rsid w:val="004655D4"/>
    <w:rsid w:val="0046571B"/>
    <w:rsid w:val="00465952"/>
    <w:rsid w:val="004659BC"/>
    <w:rsid w:val="00465AB8"/>
    <w:rsid w:val="00465FF9"/>
    <w:rsid w:val="00466058"/>
    <w:rsid w:val="004660FE"/>
    <w:rsid w:val="0046610C"/>
    <w:rsid w:val="00466141"/>
    <w:rsid w:val="004662E1"/>
    <w:rsid w:val="004662FC"/>
    <w:rsid w:val="00466425"/>
    <w:rsid w:val="004664F2"/>
    <w:rsid w:val="00466775"/>
    <w:rsid w:val="004668E0"/>
    <w:rsid w:val="00466984"/>
    <w:rsid w:val="00466A13"/>
    <w:rsid w:val="00466B64"/>
    <w:rsid w:val="00466C50"/>
    <w:rsid w:val="00466D88"/>
    <w:rsid w:val="00466E5D"/>
    <w:rsid w:val="00466FA7"/>
    <w:rsid w:val="0046702D"/>
    <w:rsid w:val="00467056"/>
    <w:rsid w:val="0046717E"/>
    <w:rsid w:val="004672A9"/>
    <w:rsid w:val="00467405"/>
    <w:rsid w:val="0046760B"/>
    <w:rsid w:val="00467856"/>
    <w:rsid w:val="004678A8"/>
    <w:rsid w:val="004679B4"/>
    <w:rsid w:val="00467A95"/>
    <w:rsid w:val="00467AB5"/>
    <w:rsid w:val="00467ADE"/>
    <w:rsid w:val="00467B4D"/>
    <w:rsid w:val="00467DD3"/>
    <w:rsid w:val="00467DE7"/>
    <w:rsid w:val="00467ED2"/>
    <w:rsid w:val="00467F33"/>
    <w:rsid w:val="00470159"/>
    <w:rsid w:val="004701E2"/>
    <w:rsid w:val="0047023D"/>
    <w:rsid w:val="00470283"/>
    <w:rsid w:val="004706AE"/>
    <w:rsid w:val="00470831"/>
    <w:rsid w:val="00470AA0"/>
    <w:rsid w:val="00470B79"/>
    <w:rsid w:val="00470CAB"/>
    <w:rsid w:val="00470D28"/>
    <w:rsid w:val="00470F9F"/>
    <w:rsid w:val="00470FB9"/>
    <w:rsid w:val="00470FF1"/>
    <w:rsid w:val="004710E3"/>
    <w:rsid w:val="004712EA"/>
    <w:rsid w:val="004715D2"/>
    <w:rsid w:val="0047161A"/>
    <w:rsid w:val="00471B4A"/>
    <w:rsid w:val="00471C43"/>
    <w:rsid w:val="00471F9A"/>
    <w:rsid w:val="00472038"/>
    <w:rsid w:val="0047239A"/>
    <w:rsid w:val="0047260C"/>
    <w:rsid w:val="00472E41"/>
    <w:rsid w:val="00473064"/>
    <w:rsid w:val="004730EE"/>
    <w:rsid w:val="004733F7"/>
    <w:rsid w:val="0047371F"/>
    <w:rsid w:val="004738A4"/>
    <w:rsid w:val="00473B19"/>
    <w:rsid w:val="00473ED5"/>
    <w:rsid w:val="00473EF5"/>
    <w:rsid w:val="0047417F"/>
    <w:rsid w:val="00474267"/>
    <w:rsid w:val="0047440B"/>
    <w:rsid w:val="0047441E"/>
    <w:rsid w:val="00474501"/>
    <w:rsid w:val="00474638"/>
    <w:rsid w:val="00474862"/>
    <w:rsid w:val="004749C5"/>
    <w:rsid w:val="004749FC"/>
    <w:rsid w:val="00474AA2"/>
    <w:rsid w:val="00474C95"/>
    <w:rsid w:val="00474D8B"/>
    <w:rsid w:val="00474D9A"/>
    <w:rsid w:val="00474E51"/>
    <w:rsid w:val="00474EDC"/>
    <w:rsid w:val="004750B3"/>
    <w:rsid w:val="004751A9"/>
    <w:rsid w:val="004752C1"/>
    <w:rsid w:val="0047535A"/>
    <w:rsid w:val="00475365"/>
    <w:rsid w:val="004753E1"/>
    <w:rsid w:val="00475527"/>
    <w:rsid w:val="00475747"/>
    <w:rsid w:val="00475989"/>
    <w:rsid w:val="00475A6E"/>
    <w:rsid w:val="00475DEC"/>
    <w:rsid w:val="004764FF"/>
    <w:rsid w:val="00476696"/>
    <w:rsid w:val="004766EB"/>
    <w:rsid w:val="00476A42"/>
    <w:rsid w:val="00476B70"/>
    <w:rsid w:val="00476C2D"/>
    <w:rsid w:val="00476CC1"/>
    <w:rsid w:val="00476E8F"/>
    <w:rsid w:val="00476EB3"/>
    <w:rsid w:val="00476EDC"/>
    <w:rsid w:val="00476FEA"/>
    <w:rsid w:val="00477095"/>
    <w:rsid w:val="004770D0"/>
    <w:rsid w:val="004771AC"/>
    <w:rsid w:val="0047728C"/>
    <w:rsid w:val="00477857"/>
    <w:rsid w:val="0047786B"/>
    <w:rsid w:val="00477979"/>
    <w:rsid w:val="004779CB"/>
    <w:rsid w:val="004779E2"/>
    <w:rsid w:val="00477A4E"/>
    <w:rsid w:val="00477AB8"/>
    <w:rsid w:val="00477AEE"/>
    <w:rsid w:val="00477C30"/>
    <w:rsid w:val="00477E22"/>
    <w:rsid w:val="00477FDA"/>
    <w:rsid w:val="0048035B"/>
    <w:rsid w:val="00480382"/>
    <w:rsid w:val="004804F4"/>
    <w:rsid w:val="004805A9"/>
    <w:rsid w:val="0048066B"/>
    <w:rsid w:val="0048073D"/>
    <w:rsid w:val="00480790"/>
    <w:rsid w:val="00480844"/>
    <w:rsid w:val="0048088D"/>
    <w:rsid w:val="0048097B"/>
    <w:rsid w:val="00480C6B"/>
    <w:rsid w:val="00480E52"/>
    <w:rsid w:val="00480E89"/>
    <w:rsid w:val="0048113D"/>
    <w:rsid w:val="00481298"/>
    <w:rsid w:val="004813C5"/>
    <w:rsid w:val="00481435"/>
    <w:rsid w:val="0048145F"/>
    <w:rsid w:val="0048150D"/>
    <w:rsid w:val="00481865"/>
    <w:rsid w:val="00481A0B"/>
    <w:rsid w:val="00481A9A"/>
    <w:rsid w:val="00481C96"/>
    <w:rsid w:val="00481F39"/>
    <w:rsid w:val="00481F76"/>
    <w:rsid w:val="00481FC9"/>
    <w:rsid w:val="00481FD4"/>
    <w:rsid w:val="004821F8"/>
    <w:rsid w:val="00482298"/>
    <w:rsid w:val="004822D3"/>
    <w:rsid w:val="0048231F"/>
    <w:rsid w:val="00482665"/>
    <w:rsid w:val="00482C4F"/>
    <w:rsid w:val="00482DAD"/>
    <w:rsid w:val="004830F3"/>
    <w:rsid w:val="00483100"/>
    <w:rsid w:val="00483188"/>
    <w:rsid w:val="004831AC"/>
    <w:rsid w:val="004832AC"/>
    <w:rsid w:val="00483401"/>
    <w:rsid w:val="00483413"/>
    <w:rsid w:val="00483454"/>
    <w:rsid w:val="0048355C"/>
    <w:rsid w:val="00483A77"/>
    <w:rsid w:val="00483C25"/>
    <w:rsid w:val="00483C5A"/>
    <w:rsid w:val="00483E51"/>
    <w:rsid w:val="004844C6"/>
    <w:rsid w:val="00484723"/>
    <w:rsid w:val="004847D0"/>
    <w:rsid w:val="00484CE8"/>
    <w:rsid w:val="00484E4A"/>
    <w:rsid w:val="00484FD3"/>
    <w:rsid w:val="004850BF"/>
    <w:rsid w:val="004850C7"/>
    <w:rsid w:val="0048517C"/>
    <w:rsid w:val="004851E1"/>
    <w:rsid w:val="004853F3"/>
    <w:rsid w:val="004854AA"/>
    <w:rsid w:val="004855D6"/>
    <w:rsid w:val="0048563A"/>
    <w:rsid w:val="004858F2"/>
    <w:rsid w:val="004859CA"/>
    <w:rsid w:val="00485A64"/>
    <w:rsid w:val="00485BA1"/>
    <w:rsid w:val="00485CD4"/>
    <w:rsid w:val="00485DAA"/>
    <w:rsid w:val="00485EEC"/>
    <w:rsid w:val="00486238"/>
    <w:rsid w:val="0048626B"/>
    <w:rsid w:val="004862AA"/>
    <w:rsid w:val="004863CA"/>
    <w:rsid w:val="004863CC"/>
    <w:rsid w:val="0048641F"/>
    <w:rsid w:val="0048656D"/>
    <w:rsid w:val="00486603"/>
    <w:rsid w:val="0048679C"/>
    <w:rsid w:val="004867EC"/>
    <w:rsid w:val="0048689A"/>
    <w:rsid w:val="00486BB8"/>
    <w:rsid w:val="00486C78"/>
    <w:rsid w:val="00486C9D"/>
    <w:rsid w:val="00486CEE"/>
    <w:rsid w:val="00486EB5"/>
    <w:rsid w:val="00486F03"/>
    <w:rsid w:val="00486F75"/>
    <w:rsid w:val="00487238"/>
    <w:rsid w:val="0048725C"/>
    <w:rsid w:val="004873E7"/>
    <w:rsid w:val="004876FD"/>
    <w:rsid w:val="00487707"/>
    <w:rsid w:val="00487876"/>
    <w:rsid w:val="00487A60"/>
    <w:rsid w:val="00487AC4"/>
    <w:rsid w:val="00487E2F"/>
    <w:rsid w:val="00487EA8"/>
    <w:rsid w:val="00490169"/>
    <w:rsid w:val="004904BB"/>
    <w:rsid w:val="0049073A"/>
    <w:rsid w:val="004907F8"/>
    <w:rsid w:val="00490AC6"/>
    <w:rsid w:val="00490D67"/>
    <w:rsid w:val="00490D8C"/>
    <w:rsid w:val="00490D92"/>
    <w:rsid w:val="00490FF9"/>
    <w:rsid w:val="00491064"/>
    <w:rsid w:val="004911A1"/>
    <w:rsid w:val="0049126D"/>
    <w:rsid w:val="004913B0"/>
    <w:rsid w:val="00491493"/>
    <w:rsid w:val="004915BD"/>
    <w:rsid w:val="00491680"/>
    <w:rsid w:val="0049175E"/>
    <w:rsid w:val="004917EA"/>
    <w:rsid w:val="004919A8"/>
    <w:rsid w:val="00491AD5"/>
    <w:rsid w:val="00491E97"/>
    <w:rsid w:val="00491EEC"/>
    <w:rsid w:val="00491F55"/>
    <w:rsid w:val="0049204F"/>
    <w:rsid w:val="00492065"/>
    <w:rsid w:val="00492173"/>
    <w:rsid w:val="00492446"/>
    <w:rsid w:val="0049257A"/>
    <w:rsid w:val="00492626"/>
    <w:rsid w:val="00492684"/>
    <w:rsid w:val="004926D6"/>
    <w:rsid w:val="0049279D"/>
    <w:rsid w:val="004928B3"/>
    <w:rsid w:val="0049298E"/>
    <w:rsid w:val="00492A18"/>
    <w:rsid w:val="00492B93"/>
    <w:rsid w:val="00492C08"/>
    <w:rsid w:val="00492F4E"/>
    <w:rsid w:val="00492F84"/>
    <w:rsid w:val="00492FEA"/>
    <w:rsid w:val="0049304F"/>
    <w:rsid w:val="00493238"/>
    <w:rsid w:val="0049323E"/>
    <w:rsid w:val="00493344"/>
    <w:rsid w:val="004934C5"/>
    <w:rsid w:val="004935E3"/>
    <w:rsid w:val="00493639"/>
    <w:rsid w:val="004936C1"/>
    <w:rsid w:val="004937AF"/>
    <w:rsid w:val="004937D9"/>
    <w:rsid w:val="00493AC9"/>
    <w:rsid w:val="00493B09"/>
    <w:rsid w:val="00493C9E"/>
    <w:rsid w:val="00493CE5"/>
    <w:rsid w:val="00493D65"/>
    <w:rsid w:val="00493FCA"/>
    <w:rsid w:val="004940E6"/>
    <w:rsid w:val="00494281"/>
    <w:rsid w:val="0049436A"/>
    <w:rsid w:val="00494617"/>
    <w:rsid w:val="0049474A"/>
    <w:rsid w:val="00494848"/>
    <w:rsid w:val="0049499A"/>
    <w:rsid w:val="00494C7D"/>
    <w:rsid w:val="00494CAE"/>
    <w:rsid w:val="00494E5A"/>
    <w:rsid w:val="00494ED3"/>
    <w:rsid w:val="0049504C"/>
    <w:rsid w:val="004950EE"/>
    <w:rsid w:val="004953BB"/>
    <w:rsid w:val="004953C1"/>
    <w:rsid w:val="004954B1"/>
    <w:rsid w:val="00495659"/>
    <w:rsid w:val="0049567F"/>
    <w:rsid w:val="004956FE"/>
    <w:rsid w:val="0049580A"/>
    <w:rsid w:val="00495AB4"/>
    <w:rsid w:val="00495C10"/>
    <w:rsid w:val="00495D75"/>
    <w:rsid w:val="00495D86"/>
    <w:rsid w:val="00495DB1"/>
    <w:rsid w:val="00495E1A"/>
    <w:rsid w:val="00495E61"/>
    <w:rsid w:val="00496091"/>
    <w:rsid w:val="004961BB"/>
    <w:rsid w:val="00496558"/>
    <w:rsid w:val="004965FA"/>
    <w:rsid w:val="0049670B"/>
    <w:rsid w:val="00496750"/>
    <w:rsid w:val="00496788"/>
    <w:rsid w:val="004967A1"/>
    <w:rsid w:val="00496BDE"/>
    <w:rsid w:val="00496E3C"/>
    <w:rsid w:val="00496F96"/>
    <w:rsid w:val="00496FD5"/>
    <w:rsid w:val="00497117"/>
    <w:rsid w:val="004972BB"/>
    <w:rsid w:val="00497501"/>
    <w:rsid w:val="004975ED"/>
    <w:rsid w:val="004978C3"/>
    <w:rsid w:val="00497966"/>
    <w:rsid w:val="00497B9C"/>
    <w:rsid w:val="00497F31"/>
    <w:rsid w:val="004A00D3"/>
    <w:rsid w:val="004A011E"/>
    <w:rsid w:val="004A036E"/>
    <w:rsid w:val="004A04B3"/>
    <w:rsid w:val="004A0545"/>
    <w:rsid w:val="004A05C2"/>
    <w:rsid w:val="004A0AC7"/>
    <w:rsid w:val="004A0B6E"/>
    <w:rsid w:val="004A0D80"/>
    <w:rsid w:val="004A0FCC"/>
    <w:rsid w:val="004A11A1"/>
    <w:rsid w:val="004A11EA"/>
    <w:rsid w:val="004A1222"/>
    <w:rsid w:val="004A1235"/>
    <w:rsid w:val="004A1248"/>
    <w:rsid w:val="004A13AD"/>
    <w:rsid w:val="004A13B6"/>
    <w:rsid w:val="004A1486"/>
    <w:rsid w:val="004A149D"/>
    <w:rsid w:val="004A14BC"/>
    <w:rsid w:val="004A15A6"/>
    <w:rsid w:val="004A16FF"/>
    <w:rsid w:val="004A1D26"/>
    <w:rsid w:val="004A1D89"/>
    <w:rsid w:val="004A1DA2"/>
    <w:rsid w:val="004A21AA"/>
    <w:rsid w:val="004A22D8"/>
    <w:rsid w:val="004A240C"/>
    <w:rsid w:val="004A2634"/>
    <w:rsid w:val="004A286F"/>
    <w:rsid w:val="004A299E"/>
    <w:rsid w:val="004A2B81"/>
    <w:rsid w:val="004A2F14"/>
    <w:rsid w:val="004A2FF6"/>
    <w:rsid w:val="004A3002"/>
    <w:rsid w:val="004A3061"/>
    <w:rsid w:val="004A32B8"/>
    <w:rsid w:val="004A331C"/>
    <w:rsid w:val="004A3475"/>
    <w:rsid w:val="004A3477"/>
    <w:rsid w:val="004A348A"/>
    <w:rsid w:val="004A39C5"/>
    <w:rsid w:val="004A3B9C"/>
    <w:rsid w:val="004A3D10"/>
    <w:rsid w:val="004A408D"/>
    <w:rsid w:val="004A43DC"/>
    <w:rsid w:val="004A4A5D"/>
    <w:rsid w:val="004A4C6E"/>
    <w:rsid w:val="004A4D28"/>
    <w:rsid w:val="004A4D3D"/>
    <w:rsid w:val="004A4DAA"/>
    <w:rsid w:val="004A4DE4"/>
    <w:rsid w:val="004A51E0"/>
    <w:rsid w:val="004A5326"/>
    <w:rsid w:val="004A57F7"/>
    <w:rsid w:val="004A598D"/>
    <w:rsid w:val="004A5B88"/>
    <w:rsid w:val="004A5C2F"/>
    <w:rsid w:val="004A5F92"/>
    <w:rsid w:val="004A613A"/>
    <w:rsid w:val="004A61D9"/>
    <w:rsid w:val="004A639A"/>
    <w:rsid w:val="004A6738"/>
    <w:rsid w:val="004A6789"/>
    <w:rsid w:val="004A67C8"/>
    <w:rsid w:val="004A6B85"/>
    <w:rsid w:val="004A6D34"/>
    <w:rsid w:val="004A6DEA"/>
    <w:rsid w:val="004A6F3A"/>
    <w:rsid w:val="004A6FE4"/>
    <w:rsid w:val="004A7084"/>
    <w:rsid w:val="004A7131"/>
    <w:rsid w:val="004A7295"/>
    <w:rsid w:val="004A73CA"/>
    <w:rsid w:val="004A74C5"/>
    <w:rsid w:val="004A77C0"/>
    <w:rsid w:val="004A796B"/>
    <w:rsid w:val="004A7A32"/>
    <w:rsid w:val="004A7ACB"/>
    <w:rsid w:val="004A7E81"/>
    <w:rsid w:val="004B01D7"/>
    <w:rsid w:val="004B0708"/>
    <w:rsid w:val="004B074B"/>
    <w:rsid w:val="004B0766"/>
    <w:rsid w:val="004B07EE"/>
    <w:rsid w:val="004B089D"/>
    <w:rsid w:val="004B09D4"/>
    <w:rsid w:val="004B0B1D"/>
    <w:rsid w:val="004B0E8C"/>
    <w:rsid w:val="004B0F25"/>
    <w:rsid w:val="004B0F7C"/>
    <w:rsid w:val="004B1007"/>
    <w:rsid w:val="004B1084"/>
    <w:rsid w:val="004B10C1"/>
    <w:rsid w:val="004B1451"/>
    <w:rsid w:val="004B15CE"/>
    <w:rsid w:val="004B166B"/>
    <w:rsid w:val="004B16EF"/>
    <w:rsid w:val="004B174D"/>
    <w:rsid w:val="004B1A65"/>
    <w:rsid w:val="004B1BE0"/>
    <w:rsid w:val="004B1C2A"/>
    <w:rsid w:val="004B1DBB"/>
    <w:rsid w:val="004B1E31"/>
    <w:rsid w:val="004B1ED7"/>
    <w:rsid w:val="004B1EED"/>
    <w:rsid w:val="004B1FA8"/>
    <w:rsid w:val="004B1FE1"/>
    <w:rsid w:val="004B2397"/>
    <w:rsid w:val="004B26BB"/>
    <w:rsid w:val="004B2776"/>
    <w:rsid w:val="004B284B"/>
    <w:rsid w:val="004B2974"/>
    <w:rsid w:val="004B2AB7"/>
    <w:rsid w:val="004B2D87"/>
    <w:rsid w:val="004B2EA6"/>
    <w:rsid w:val="004B337C"/>
    <w:rsid w:val="004B34C2"/>
    <w:rsid w:val="004B34F0"/>
    <w:rsid w:val="004B3500"/>
    <w:rsid w:val="004B36EB"/>
    <w:rsid w:val="004B3B40"/>
    <w:rsid w:val="004B4003"/>
    <w:rsid w:val="004B40AB"/>
    <w:rsid w:val="004B4219"/>
    <w:rsid w:val="004B4291"/>
    <w:rsid w:val="004B44A0"/>
    <w:rsid w:val="004B44A2"/>
    <w:rsid w:val="004B4B52"/>
    <w:rsid w:val="004B4DB0"/>
    <w:rsid w:val="004B5070"/>
    <w:rsid w:val="004B5437"/>
    <w:rsid w:val="004B5757"/>
    <w:rsid w:val="004B578F"/>
    <w:rsid w:val="004B5AD4"/>
    <w:rsid w:val="004B5B52"/>
    <w:rsid w:val="004B5B6C"/>
    <w:rsid w:val="004B5C00"/>
    <w:rsid w:val="004B5EBA"/>
    <w:rsid w:val="004B60A2"/>
    <w:rsid w:val="004B6314"/>
    <w:rsid w:val="004B63F8"/>
    <w:rsid w:val="004B652A"/>
    <w:rsid w:val="004B66BB"/>
    <w:rsid w:val="004B69E1"/>
    <w:rsid w:val="004B6A48"/>
    <w:rsid w:val="004B6E26"/>
    <w:rsid w:val="004B6EE4"/>
    <w:rsid w:val="004B6EFE"/>
    <w:rsid w:val="004B7052"/>
    <w:rsid w:val="004B706B"/>
    <w:rsid w:val="004B70C4"/>
    <w:rsid w:val="004B718C"/>
    <w:rsid w:val="004B740B"/>
    <w:rsid w:val="004B740E"/>
    <w:rsid w:val="004B7497"/>
    <w:rsid w:val="004B76C0"/>
    <w:rsid w:val="004B7735"/>
    <w:rsid w:val="004B786C"/>
    <w:rsid w:val="004B7A29"/>
    <w:rsid w:val="004B7B9E"/>
    <w:rsid w:val="004B7DF1"/>
    <w:rsid w:val="004C050B"/>
    <w:rsid w:val="004C053C"/>
    <w:rsid w:val="004C0B9D"/>
    <w:rsid w:val="004C0C16"/>
    <w:rsid w:val="004C0E5C"/>
    <w:rsid w:val="004C0FA6"/>
    <w:rsid w:val="004C115D"/>
    <w:rsid w:val="004C11E4"/>
    <w:rsid w:val="004C129B"/>
    <w:rsid w:val="004C13F5"/>
    <w:rsid w:val="004C160C"/>
    <w:rsid w:val="004C17F7"/>
    <w:rsid w:val="004C1B53"/>
    <w:rsid w:val="004C1E57"/>
    <w:rsid w:val="004C208B"/>
    <w:rsid w:val="004C2B3F"/>
    <w:rsid w:val="004C2BE0"/>
    <w:rsid w:val="004C2C5B"/>
    <w:rsid w:val="004C2E68"/>
    <w:rsid w:val="004C2ED4"/>
    <w:rsid w:val="004C2FD4"/>
    <w:rsid w:val="004C3084"/>
    <w:rsid w:val="004C30B1"/>
    <w:rsid w:val="004C32A4"/>
    <w:rsid w:val="004C33E2"/>
    <w:rsid w:val="004C377E"/>
    <w:rsid w:val="004C39B0"/>
    <w:rsid w:val="004C3D20"/>
    <w:rsid w:val="004C3DD2"/>
    <w:rsid w:val="004C3F27"/>
    <w:rsid w:val="004C3FFF"/>
    <w:rsid w:val="004C4151"/>
    <w:rsid w:val="004C464B"/>
    <w:rsid w:val="004C468A"/>
    <w:rsid w:val="004C47B8"/>
    <w:rsid w:val="004C4939"/>
    <w:rsid w:val="004C49A1"/>
    <w:rsid w:val="004C4BD4"/>
    <w:rsid w:val="004C4CEA"/>
    <w:rsid w:val="004C4E41"/>
    <w:rsid w:val="004C50E4"/>
    <w:rsid w:val="004C52AA"/>
    <w:rsid w:val="004C53F4"/>
    <w:rsid w:val="004C5550"/>
    <w:rsid w:val="004C5654"/>
    <w:rsid w:val="004C5667"/>
    <w:rsid w:val="004C5A9D"/>
    <w:rsid w:val="004C5B73"/>
    <w:rsid w:val="004C5EB3"/>
    <w:rsid w:val="004C5F60"/>
    <w:rsid w:val="004C616F"/>
    <w:rsid w:val="004C61CD"/>
    <w:rsid w:val="004C6202"/>
    <w:rsid w:val="004C6455"/>
    <w:rsid w:val="004C6544"/>
    <w:rsid w:val="004C655B"/>
    <w:rsid w:val="004C6795"/>
    <w:rsid w:val="004C68AA"/>
    <w:rsid w:val="004C68B0"/>
    <w:rsid w:val="004C6C47"/>
    <w:rsid w:val="004C6D03"/>
    <w:rsid w:val="004C6D17"/>
    <w:rsid w:val="004C6FE6"/>
    <w:rsid w:val="004C711D"/>
    <w:rsid w:val="004C7350"/>
    <w:rsid w:val="004C735D"/>
    <w:rsid w:val="004C756D"/>
    <w:rsid w:val="004C7623"/>
    <w:rsid w:val="004C78F3"/>
    <w:rsid w:val="004C7988"/>
    <w:rsid w:val="004C7A35"/>
    <w:rsid w:val="004C7AFF"/>
    <w:rsid w:val="004C7BBB"/>
    <w:rsid w:val="004C7CEB"/>
    <w:rsid w:val="004C7EB6"/>
    <w:rsid w:val="004C7FE6"/>
    <w:rsid w:val="004D00D0"/>
    <w:rsid w:val="004D0422"/>
    <w:rsid w:val="004D050B"/>
    <w:rsid w:val="004D058C"/>
    <w:rsid w:val="004D060B"/>
    <w:rsid w:val="004D065D"/>
    <w:rsid w:val="004D08B0"/>
    <w:rsid w:val="004D09F7"/>
    <w:rsid w:val="004D0C5C"/>
    <w:rsid w:val="004D0D83"/>
    <w:rsid w:val="004D0D96"/>
    <w:rsid w:val="004D0E2B"/>
    <w:rsid w:val="004D1008"/>
    <w:rsid w:val="004D1155"/>
    <w:rsid w:val="004D1342"/>
    <w:rsid w:val="004D13B1"/>
    <w:rsid w:val="004D157B"/>
    <w:rsid w:val="004D16E1"/>
    <w:rsid w:val="004D1783"/>
    <w:rsid w:val="004D19BE"/>
    <w:rsid w:val="004D1B29"/>
    <w:rsid w:val="004D1D95"/>
    <w:rsid w:val="004D1DA3"/>
    <w:rsid w:val="004D1F1E"/>
    <w:rsid w:val="004D1FA1"/>
    <w:rsid w:val="004D20D1"/>
    <w:rsid w:val="004D20E2"/>
    <w:rsid w:val="004D25EE"/>
    <w:rsid w:val="004D2646"/>
    <w:rsid w:val="004D26D8"/>
    <w:rsid w:val="004D2750"/>
    <w:rsid w:val="004D2846"/>
    <w:rsid w:val="004D2869"/>
    <w:rsid w:val="004D295A"/>
    <w:rsid w:val="004D2B15"/>
    <w:rsid w:val="004D2D9A"/>
    <w:rsid w:val="004D2E28"/>
    <w:rsid w:val="004D2F03"/>
    <w:rsid w:val="004D2FD9"/>
    <w:rsid w:val="004D381D"/>
    <w:rsid w:val="004D3883"/>
    <w:rsid w:val="004D3B80"/>
    <w:rsid w:val="004D3C66"/>
    <w:rsid w:val="004D3C68"/>
    <w:rsid w:val="004D40B8"/>
    <w:rsid w:val="004D41BD"/>
    <w:rsid w:val="004D4289"/>
    <w:rsid w:val="004D4400"/>
    <w:rsid w:val="004D4634"/>
    <w:rsid w:val="004D4811"/>
    <w:rsid w:val="004D484E"/>
    <w:rsid w:val="004D4A3E"/>
    <w:rsid w:val="004D4C41"/>
    <w:rsid w:val="004D4CE9"/>
    <w:rsid w:val="004D4D2C"/>
    <w:rsid w:val="004D4E89"/>
    <w:rsid w:val="004D5180"/>
    <w:rsid w:val="004D527F"/>
    <w:rsid w:val="004D536F"/>
    <w:rsid w:val="004D53F6"/>
    <w:rsid w:val="004D5483"/>
    <w:rsid w:val="004D565C"/>
    <w:rsid w:val="004D5707"/>
    <w:rsid w:val="004D5725"/>
    <w:rsid w:val="004D5765"/>
    <w:rsid w:val="004D579F"/>
    <w:rsid w:val="004D589F"/>
    <w:rsid w:val="004D5919"/>
    <w:rsid w:val="004D5C00"/>
    <w:rsid w:val="004D5C0A"/>
    <w:rsid w:val="004D6090"/>
    <w:rsid w:val="004D6582"/>
    <w:rsid w:val="004D6747"/>
    <w:rsid w:val="004D676E"/>
    <w:rsid w:val="004D68AB"/>
    <w:rsid w:val="004D6971"/>
    <w:rsid w:val="004D6AEE"/>
    <w:rsid w:val="004D6C47"/>
    <w:rsid w:val="004D72EF"/>
    <w:rsid w:val="004D74F3"/>
    <w:rsid w:val="004D7524"/>
    <w:rsid w:val="004D762A"/>
    <w:rsid w:val="004D7681"/>
    <w:rsid w:val="004D77A0"/>
    <w:rsid w:val="004D7A0F"/>
    <w:rsid w:val="004D7C4E"/>
    <w:rsid w:val="004E0039"/>
    <w:rsid w:val="004E00DC"/>
    <w:rsid w:val="004E0683"/>
    <w:rsid w:val="004E0745"/>
    <w:rsid w:val="004E0A8B"/>
    <w:rsid w:val="004E0C65"/>
    <w:rsid w:val="004E0FE2"/>
    <w:rsid w:val="004E1161"/>
    <w:rsid w:val="004E1473"/>
    <w:rsid w:val="004E1977"/>
    <w:rsid w:val="004E203E"/>
    <w:rsid w:val="004E20A1"/>
    <w:rsid w:val="004E25DF"/>
    <w:rsid w:val="004E294F"/>
    <w:rsid w:val="004E2D5D"/>
    <w:rsid w:val="004E2D65"/>
    <w:rsid w:val="004E2E74"/>
    <w:rsid w:val="004E2F5A"/>
    <w:rsid w:val="004E2F82"/>
    <w:rsid w:val="004E2FB3"/>
    <w:rsid w:val="004E3152"/>
    <w:rsid w:val="004E333F"/>
    <w:rsid w:val="004E3442"/>
    <w:rsid w:val="004E35C0"/>
    <w:rsid w:val="004E3664"/>
    <w:rsid w:val="004E3768"/>
    <w:rsid w:val="004E3A79"/>
    <w:rsid w:val="004E3B60"/>
    <w:rsid w:val="004E3DDD"/>
    <w:rsid w:val="004E3E9A"/>
    <w:rsid w:val="004E3F05"/>
    <w:rsid w:val="004E3F1F"/>
    <w:rsid w:val="004E4099"/>
    <w:rsid w:val="004E413D"/>
    <w:rsid w:val="004E4195"/>
    <w:rsid w:val="004E424C"/>
    <w:rsid w:val="004E429F"/>
    <w:rsid w:val="004E479F"/>
    <w:rsid w:val="004E495A"/>
    <w:rsid w:val="004E49BB"/>
    <w:rsid w:val="004E4AD7"/>
    <w:rsid w:val="004E4AFB"/>
    <w:rsid w:val="004E4C79"/>
    <w:rsid w:val="004E4D97"/>
    <w:rsid w:val="004E4E1A"/>
    <w:rsid w:val="004E4E81"/>
    <w:rsid w:val="004E4EC5"/>
    <w:rsid w:val="004E4EE7"/>
    <w:rsid w:val="004E4F36"/>
    <w:rsid w:val="004E4FC4"/>
    <w:rsid w:val="004E5013"/>
    <w:rsid w:val="004E5343"/>
    <w:rsid w:val="004E5BB9"/>
    <w:rsid w:val="004E5C22"/>
    <w:rsid w:val="004E5C26"/>
    <w:rsid w:val="004E5D0A"/>
    <w:rsid w:val="004E6106"/>
    <w:rsid w:val="004E650E"/>
    <w:rsid w:val="004E655D"/>
    <w:rsid w:val="004E668B"/>
    <w:rsid w:val="004E6822"/>
    <w:rsid w:val="004E6BEB"/>
    <w:rsid w:val="004E6C21"/>
    <w:rsid w:val="004E6CC9"/>
    <w:rsid w:val="004E6E6D"/>
    <w:rsid w:val="004E6EE4"/>
    <w:rsid w:val="004E6F49"/>
    <w:rsid w:val="004E6F9C"/>
    <w:rsid w:val="004E6FC1"/>
    <w:rsid w:val="004E71EB"/>
    <w:rsid w:val="004E739B"/>
    <w:rsid w:val="004E73FE"/>
    <w:rsid w:val="004E746F"/>
    <w:rsid w:val="004E7528"/>
    <w:rsid w:val="004E76CF"/>
    <w:rsid w:val="004E77B6"/>
    <w:rsid w:val="004E7835"/>
    <w:rsid w:val="004E7A96"/>
    <w:rsid w:val="004E7AFB"/>
    <w:rsid w:val="004E7BA1"/>
    <w:rsid w:val="004E7BCA"/>
    <w:rsid w:val="004E7CB8"/>
    <w:rsid w:val="004F0011"/>
    <w:rsid w:val="004F0024"/>
    <w:rsid w:val="004F0375"/>
    <w:rsid w:val="004F03D6"/>
    <w:rsid w:val="004F0433"/>
    <w:rsid w:val="004F0664"/>
    <w:rsid w:val="004F066D"/>
    <w:rsid w:val="004F083D"/>
    <w:rsid w:val="004F0850"/>
    <w:rsid w:val="004F09FC"/>
    <w:rsid w:val="004F0DE8"/>
    <w:rsid w:val="004F0E4A"/>
    <w:rsid w:val="004F0F3B"/>
    <w:rsid w:val="004F0FB1"/>
    <w:rsid w:val="004F1101"/>
    <w:rsid w:val="004F1258"/>
    <w:rsid w:val="004F1706"/>
    <w:rsid w:val="004F193E"/>
    <w:rsid w:val="004F19C2"/>
    <w:rsid w:val="004F1A99"/>
    <w:rsid w:val="004F1DB6"/>
    <w:rsid w:val="004F1E04"/>
    <w:rsid w:val="004F1FE5"/>
    <w:rsid w:val="004F1FF2"/>
    <w:rsid w:val="004F2055"/>
    <w:rsid w:val="004F206E"/>
    <w:rsid w:val="004F21B6"/>
    <w:rsid w:val="004F2367"/>
    <w:rsid w:val="004F2679"/>
    <w:rsid w:val="004F2765"/>
    <w:rsid w:val="004F2852"/>
    <w:rsid w:val="004F2862"/>
    <w:rsid w:val="004F28A0"/>
    <w:rsid w:val="004F29FC"/>
    <w:rsid w:val="004F2A3E"/>
    <w:rsid w:val="004F2F57"/>
    <w:rsid w:val="004F2FA4"/>
    <w:rsid w:val="004F301F"/>
    <w:rsid w:val="004F302D"/>
    <w:rsid w:val="004F31BB"/>
    <w:rsid w:val="004F31E5"/>
    <w:rsid w:val="004F32DF"/>
    <w:rsid w:val="004F3303"/>
    <w:rsid w:val="004F3384"/>
    <w:rsid w:val="004F3413"/>
    <w:rsid w:val="004F3771"/>
    <w:rsid w:val="004F39C3"/>
    <w:rsid w:val="004F3AD9"/>
    <w:rsid w:val="004F3AF0"/>
    <w:rsid w:val="004F3C7A"/>
    <w:rsid w:val="004F3DE9"/>
    <w:rsid w:val="004F3E22"/>
    <w:rsid w:val="004F3E48"/>
    <w:rsid w:val="004F3E6C"/>
    <w:rsid w:val="004F3ED6"/>
    <w:rsid w:val="004F3FD9"/>
    <w:rsid w:val="004F4657"/>
    <w:rsid w:val="004F4988"/>
    <w:rsid w:val="004F49D5"/>
    <w:rsid w:val="004F4B22"/>
    <w:rsid w:val="004F4D39"/>
    <w:rsid w:val="004F4F37"/>
    <w:rsid w:val="004F4FB1"/>
    <w:rsid w:val="004F51B9"/>
    <w:rsid w:val="004F532D"/>
    <w:rsid w:val="004F5731"/>
    <w:rsid w:val="004F59BF"/>
    <w:rsid w:val="004F5B02"/>
    <w:rsid w:val="004F5CCF"/>
    <w:rsid w:val="004F5E1E"/>
    <w:rsid w:val="004F5E3A"/>
    <w:rsid w:val="004F5E4C"/>
    <w:rsid w:val="004F5E88"/>
    <w:rsid w:val="004F6097"/>
    <w:rsid w:val="004F60DD"/>
    <w:rsid w:val="004F629B"/>
    <w:rsid w:val="004F62B0"/>
    <w:rsid w:val="004F638A"/>
    <w:rsid w:val="004F655C"/>
    <w:rsid w:val="004F669B"/>
    <w:rsid w:val="004F6A38"/>
    <w:rsid w:val="004F6AE8"/>
    <w:rsid w:val="004F6B17"/>
    <w:rsid w:val="004F6BF1"/>
    <w:rsid w:val="004F6CDD"/>
    <w:rsid w:val="004F6DA2"/>
    <w:rsid w:val="004F6EFE"/>
    <w:rsid w:val="004F70A4"/>
    <w:rsid w:val="004F70D0"/>
    <w:rsid w:val="004F713C"/>
    <w:rsid w:val="004F7270"/>
    <w:rsid w:val="004F734C"/>
    <w:rsid w:val="004F7438"/>
    <w:rsid w:val="004F764F"/>
    <w:rsid w:val="004F7799"/>
    <w:rsid w:val="004F78B2"/>
    <w:rsid w:val="004F7920"/>
    <w:rsid w:val="004F7C03"/>
    <w:rsid w:val="004F7D7C"/>
    <w:rsid w:val="005000A2"/>
    <w:rsid w:val="005003C9"/>
    <w:rsid w:val="00500569"/>
    <w:rsid w:val="00500624"/>
    <w:rsid w:val="0050069E"/>
    <w:rsid w:val="005006D0"/>
    <w:rsid w:val="00500719"/>
    <w:rsid w:val="00500A60"/>
    <w:rsid w:val="00501193"/>
    <w:rsid w:val="00501618"/>
    <w:rsid w:val="005016B7"/>
    <w:rsid w:val="005017A9"/>
    <w:rsid w:val="0050190F"/>
    <w:rsid w:val="00501951"/>
    <w:rsid w:val="00501A3F"/>
    <w:rsid w:val="00501B28"/>
    <w:rsid w:val="00501B64"/>
    <w:rsid w:val="00501E1C"/>
    <w:rsid w:val="00501EA3"/>
    <w:rsid w:val="00501F37"/>
    <w:rsid w:val="00502265"/>
    <w:rsid w:val="0050234F"/>
    <w:rsid w:val="005023B7"/>
    <w:rsid w:val="0050252B"/>
    <w:rsid w:val="005028E0"/>
    <w:rsid w:val="00502957"/>
    <w:rsid w:val="00502C8E"/>
    <w:rsid w:val="00502D37"/>
    <w:rsid w:val="00502D6E"/>
    <w:rsid w:val="00502FFB"/>
    <w:rsid w:val="00503063"/>
    <w:rsid w:val="00503171"/>
    <w:rsid w:val="00503190"/>
    <w:rsid w:val="005032E0"/>
    <w:rsid w:val="005033FD"/>
    <w:rsid w:val="00503402"/>
    <w:rsid w:val="00503488"/>
    <w:rsid w:val="00503736"/>
    <w:rsid w:val="005037B3"/>
    <w:rsid w:val="005037DF"/>
    <w:rsid w:val="00503945"/>
    <w:rsid w:val="00503A27"/>
    <w:rsid w:val="00503BE0"/>
    <w:rsid w:val="00503BEF"/>
    <w:rsid w:val="00503FB5"/>
    <w:rsid w:val="005040E8"/>
    <w:rsid w:val="00504198"/>
    <w:rsid w:val="0050449A"/>
    <w:rsid w:val="005044A1"/>
    <w:rsid w:val="005046C8"/>
    <w:rsid w:val="00504710"/>
    <w:rsid w:val="0050477B"/>
    <w:rsid w:val="0050488D"/>
    <w:rsid w:val="0050498E"/>
    <w:rsid w:val="00504F47"/>
    <w:rsid w:val="005050E5"/>
    <w:rsid w:val="0050522C"/>
    <w:rsid w:val="0050538D"/>
    <w:rsid w:val="00505506"/>
    <w:rsid w:val="0050566A"/>
    <w:rsid w:val="005058B8"/>
    <w:rsid w:val="00505A28"/>
    <w:rsid w:val="00505B19"/>
    <w:rsid w:val="00505FF4"/>
    <w:rsid w:val="00506055"/>
    <w:rsid w:val="00506238"/>
    <w:rsid w:val="00506401"/>
    <w:rsid w:val="0050663C"/>
    <w:rsid w:val="00506676"/>
    <w:rsid w:val="005066F8"/>
    <w:rsid w:val="0050670C"/>
    <w:rsid w:val="00506727"/>
    <w:rsid w:val="005067CD"/>
    <w:rsid w:val="00506934"/>
    <w:rsid w:val="005069EE"/>
    <w:rsid w:val="00506A88"/>
    <w:rsid w:val="00506C5F"/>
    <w:rsid w:val="00506CE2"/>
    <w:rsid w:val="00506F95"/>
    <w:rsid w:val="005070FE"/>
    <w:rsid w:val="0050735A"/>
    <w:rsid w:val="005075EA"/>
    <w:rsid w:val="00507631"/>
    <w:rsid w:val="00507968"/>
    <w:rsid w:val="0050796F"/>
    <w:rsid w:val="0051027D"/>
    <w:rsid w:val="00510375"/>
    <w:rsid w:val="005103E1"/>
    <w:rsid w:val="00510598"/>
    <w:rsid w:val="00510653"/>
    <w:rsid w:val="005106ED"/>
    <w:rsid w:val="00510706"/>
    <w:rsid w:val="00510838"/>
    <w:rsid w:val="00510849"/>
    <w:rsid w:val="0051084D"/>
    <w:rsid w:val="00510A70"/>
    <w:rsid w:val="00510B2A"/>
    <w:rsid w:val="00510B7F"/>
    <w:rsid w:val="00510C2A"/>
    <w:rsid w:val="00510C48"/>
    <w:rsid w:val="00510C96"/>
    <w:rsid w:val="0051105A"/>
    <w:rsid w:val="00511205"/>
    <w:rsid w:val="0051187C"/>
    <w:rsid w:val="005118F2"/>
    <w:rsid w:val="00511BBD"/>
    <w:rsid w:val="00511DF2"/>
    <w:rsid w:val="00511E99"/>
    <w:rsid w:val="00511F3D"/>
    <w:rsid w:val="00511FC1"/>
    <w:rsid w:val="005125F5"/>
    <w:rsid w:val="005126D8"/>
    <w:rsid w:val="0051271B"/>
    <w:rsid w:val="00512839"/>
    <w:rsid w:val="00512882"/>
    <w:rsid w:val="00512B99"/>
    <w:rsid w:val="00512C84"/>
    <w:rsid w:val="00512D7A"/>
    <w:rsid w:val="00512E0F"/>
    <w:rsid w:val="0051307F"/>
    <w:rsid w:val="00513115"/>
    <w:rsid w:val="00513458"/>
    <w:rsid w:val="005134F8"/>
    <w:rsid w:val="00513595"/>
    <w:rsid w:val="005135D5"/>
    <w:rsid w:val="0051375A"/>
    <w:rsid w:val="00513845"/>
    <w:rsid w:val="0051384E"/>
    <w:rsid w:val="00513886"/>
    <w:rsid w:val="00513919"/>
    <w:rsid w:val="00513DA4"/>
    <w:rsid w:val="00513E0B"/>
    <w:rsid w:val="00513F22"/>
    <w:rsid w:val="00513FC3"/>
    <w:rsid w:val="00513FCE"/>
    <w:rsid w:val="00514190"/>
    <w:rsid w:val="00514259"/>
    <w:rsid w:val="005144E9"/>
    <w:rsid w:val="0051450A"/>
    <w:rsid w:val="00514529"/>
    <w:rsid w:val="00514697"/>
    <w:rsid w:val="0051489A"/>
    <w:rsid w:val="005149FC"/>
    <w:rsid w:val="00514A9B"/>
    <w:rsid w:val="005151B3"/>
    <w:rsid w:val="005151D9"/>
    <w:rsid w:val="00515315"/>
    <w:rsid w:val="00515601"/>
    <w:rsid w:val="00515657"/>
    <w:rsid w:val="0051568D"/>
    <w:rsid w:val="005156CD"/>
    <w:rsid w:val="005157DA"/>
    <w:rsid w:val="005158EC"/>
    <w:rsid w:val="00515A27"/>
    <w:rsid w:val="00515AAD"/>
    <w:rsid w:val="00515BB2"/>
    <w:rsid w:val="00515C19"/>
    <w:rsid w:val="00515D0F"/>
    <w:rsid w:val="00515D9C"/>
    <w:rsid w:val="00515DB9"/>
    <w:rsid w:val="00515DF6"/>
    <w:rsid w:val="00515E9C"/>
    <w:rsid w:val="00515EEE"/>
    <w:rsid w:val="0051638C"/>
    <w:rsid w:val="0051642C"/>
    <w:rsid w:val="00516539"/>
    <w:rsid w:val="0051654A"/>
    <w:rsid w:val="0051659D"/>
    <w:rsid w:val="00516A12"/>
    <w:rsid w:val="00516C72"/>
    <w:rsid w:val="00516F39"/>
    <w:rsid w:val="00517118"/>
    <w:rsid w:val="00517190"/>
    <w:rsid w:val="0051721B"/>
    <w:rsid w:val="00517480"/>
    <w:rsid w:val="005174D5"/>
    <w:rsid w:val="00517529"/>
    <w:rsid w:val="005175B2"/>
    <w:rsid w:val="00517C38"/>
    <w:rsid w:val="00517C95"/>
    <w:rsid w:val="00517DC3"/>
    <w:rsid w:val="00517F37"/>
    <w:rsid w:val="0052016E"/>
    <w:rsid w:val="005205ED"/>
    <w:rsid w:val="005209E4"/>
    <w:rsid w:val="00520BB9"/>
    <w:rsid w:val="00520C90"/>
    <w:rsid w:val="00520E1E"/>
    <w:rsid w:val="00521193"/>
    <w:rsid w:val="005211F5"/>
    <w:rsid w:val="005212A1"/>
    <w:rsid w:val="005213F5"/>
    <w:rsid w:val="0052182F"/>
    <w:rsid w:val="005218FF"/>
    <w:rsid w:val="005219C5"/>
    <w:rsid w:val="00521C89"/>
    <w:rsid w:val="00521C94"/>
    <w:rsid w:val="00521D77"/>
    <w:rsid w:val="00522037"/>
    <w:rsid w:val="00522076"/>
    <w:rsid w:val="005222B2"/>
    <w:rsid w:val="0052244B"/>
    <w:rsid w:val="00522528"/>
    <w:rsid w:val="005226F8"/>
    <w:rsid w:val="00522723"/>
    <w:rsid w:val="005228B1"/>
    <w:rsid w:val="00522901"/>
    <w:rsid w:val="005229A9"/>
    <w:rsid w:val="00522A12"/>
    <w:rsid w:val="00522B08"/>
    <w:rsid w:val="00522BBF"/>
    <w:rsid w:val="00522DBE"/>
    <w:rsid w:val="00522DE1"/>
    <w:rsid w:val="00522F83"/>
    <w:rsid w:val="00522FDC"/>
    <w:rsid w:val="00523145"/>
    <w:rsid w:val="00523234"/>
    <w:rsid w:val="0052328A"/>
    <w:rsid w:val="00523538"/>
    <w:rsid w:val="0052364B"/>
    <w:rsid w:val="005236F4"/>
    <w:rsid w:val="005237E6"/>
    <w:rsid w:val="00523AA0"/>
    <w:rsid w:val="00523B25"/>
    <w:rsid w:val="00523B4B"/>
    <w:rsid w:val="00523BE9"/>
    <w:rsid w:val="00523CC4"/>
    <w:rsid w:val="00523E01"/>
    <w:rsid w:val="005242D1"/>
    <w:rsid w:val="005242F0"/>
    <w:rsid w:val="0052430D"/>
    <w:rsid w:val="00524381"/>
    <w:rsid w:val="00524390"/>
    <w:rsid w:val="0052463C"/>
    <w:rsid w:val="00524AA3"/>
    <w:rsid w:val="00524AD1"/>
    <w:rsid w:val="00524AD6"/>
    <w:rsid w:val="00524DA2"/>
    <w:rsid w:val="00524DE2"/>
    <w:rsid w:val="00524F09"/>
    <w:rsid w:val="00524F44"/>
    <w:rsid w:val="00524F62"/>
    <w:rsid w:val="0052519A"/>
    <w:rsid w:val="0052519D"/>
    <w:rsid w:val="0052524D"/>
    <w:rsid w:val="005252D2"/>
    <w:rsid w:val="0052536A"/>
    <w:rsid w:val="005253AD"/>
    <w:rsid w:val="00525598"/>
    <w:rsid w:val="005257C1"/>
    <w:rsid w:val="0052583B"/>
    <w:rsid w:val="00525AD6"/>
    <w:rsid w:val="00525E34"/>
    <w:rsid w:val="00525E58"/>
    <w:rsid w:val="00525E94"/>
    <w:rsid w:val="00525F81"/>
    <w:rsid w:val="0052605A"/>
    <w:rsid w:val="00526182"/>
    <w:rsid w:val="0052623F"/>
    <w:rsid w:val="005262B0"/>
    <w:rsid w:val="005263A8"/>
    <w:rsid w:val="005263EA"/>
    <w:rsid w:val="0052651A"/>
    <w:rsid w:val="0052659A"/>
    <w:rsid w:val="00526654"/>
    <w:rsid w:val="00526798"/>
    <w:rsid w:val="005267C9"/>
    <w:rsid w:val="005269C4"/>
    <w:rsid w:val="00526AD0"/>
    <w:rsid w:val="00526B26"/>
    <w:rsid w:val="00526E12"/>
    <w:rsid w:val="00526F7C"/>
    <w:rsid w:val="0052717A"/>
    <w:rsid w:val="0052728F"/>
    <w:rsid w:val="005273AD"/>
    <w:rsid w:val="0052746E"/>
    <w:rsid w:val="0052762D"/>
    <w:rsid w:val="0052771A"/>
    <w:rsid w:val="00527743"/>
    <w:rsid w:val="005279F5"/>
    <w:rsid w:val="00527A2F"/>
    <w:rsid w:val="00527ABA"/>
    <w:rsid w:val="00527B1D"/>
    <w:rsid w:val="00527BFB"/>
    <w:rsid w:val="00527C78"/>
    <w:rsid w:val="00527D80"/>
    <w:rsid w:val="00527DCD"/>
    <w:rsid w:val="00527FDA"/>
    <w:rsid w:val="0053011C"/>
    <w:rsid w:val="005302D6"/>
    <w:rsid w:val="0053034F"/>
    <w:rsid w:val="00530366"/>
    <w:rsid w:val="00530386"/>
    <w:rsid w:val="005304F9"/>
    <w:rsid w:val="00530519"/>
    <w:rsid w:val="005306DF"/>
    <w:rsid w:val="005306E8"/>
    <w:rsid w:val="00530885"/>
    <w:rsid w:val="005308AF"/>
    <w:rsid w:val="00530A2D"/>
    <w:rsid w:val="00530B3D"/>
    <w:rsid w:val="00531093"/>
    <w:rsid w:val="00531272"/>
    <w:rsid w:val="00531402"/>
    <w:rsid w:val="005314CF"/>
    <w:rsid w:val="00531586"/>
    <w:rsid w:val="0053165B"/>
    <w:rsid w:val="00531848"/>
    <w:rsid w:val="005318A3"/>
    <w:rsid w:val="005318AB"/>
    <w:rsid w:val="00531933"/>
    <w:rsid w:val="00531B26"/>
    <w:rsid w:val="00531C58"/>
    <w:rsid w:val="00531CC3"/>
    <w:rsid w:val="00531F20"/>
    <w:rsid w:val="00531F72"/>
    <w:rsid w:val="00531F7A"/>
    <w:rsid w:val="005321F3"/>
    <w:rsid w:val="00532208"/>
    <w:rsid w:val="00532259"/>
    <w:rsid w:val="00532264"/>
    <w:rsid w:val="00532310"/>
    <w:rsid w:val="005325A4"/>
    <w:rsid w:val="00532913"/>
    <w:rsid w:val="0053293B"/>
    <w:rsid w:val="00532B46"/>
    <w:rsid w:val="00532B6B"/>
    <w:rsid w:val="00532B75"/>
    <w:rsid w:val="00532BD9"/>
    <w:rsid w:val="00532C33"/>
    <w:rsid w:val="00532DA7"/>
    <w:rsid w:val="00532F1F"/>
    <w:rsid w:val="00532FEF"/>
    <w:rsid w:val="00533253"/>
    <w:rsid w:val="0053348A"/>
    <w:rsid w:val="0053355F"/>
    <w:rsid w:val="005335AB"/>
    <w:rsid w:val="005335F1"/>
    <w:rsid w:val="005338B3"/>
    <w:rsid w:val="00533D3F"/>
    <w:rsid w:val="00533EC6"/>
    <w:rsid w:val="00533EE4"/>
    <w:rsid w:val="0053409F"/>
    <w:rsid w:val="00534236"/>
    <w:rsid w:val="0053430C"/>
    <w:rsid w:val="00534336"/>
    <w:rsid w:val="00534607"/>
    <w:rsid w:val="00534696"/>
    <w:rsid w:val="005346AF"/>
    <w:rsid w:val="005346F8"/>
    <w:rsid w:val="00534725"/>
    <w:rsid w:val="005347D2"/>
    <w:rsid w:val="005348CD"/>
    <w:rsid w:val="005348ED"/>
    <w:rsid w:val="00534979"/>
    <w:rsid w:val="005349F4"/>
    <w:rsid w:val="005349FF"/>
    <w:rsid w:val="00534D00"/>
    <w:rsid w:val="00534F19"/>
    <w:rsid w:val="005350EC"/>
    <w:rsid w:val="00535331"/>
    <w:rsid w:val="00535618"/>
    <w:rsid w:val="00535637"/>
    <w:rsid w:val="0053577F"/>
    <w:rsid w:val="005357A8"/>
    <w:rsid w:val="00535B4F"/>
    <w:rsid w:val="00535B55"/>
    <w:rsid w:val="00535C22"/>
    <w:rsid w:val="00535CAA"/>
    <w:rsid w:val="00535DCD"/>
    <w:rsid w:val="00535E77"/>
    <w:rsid w:val="00535F01"/>
    <w:rsid w:val="00535FBC"/>
    <w:rsid w:val="0053606E"/>
    <w:rsid w:val="005361FE"/>
    <w:rsid w:val="0053620D"/>
    <w:rsid w:val="005362EC"/>
    <w:rsid w:val="00536507"/>
    <w:rsid w:val="00536573"/>
    <w:rsid w:val="005366AF"/>
    <w:rsid w:val="005366D8"/>
    <w:rsid w:val="005367C8"/>
    <w:rsid w:val="00536834"/>
    <w:rsid w:val="00536848"/>
    <w:rsid w:val="00536998"/>
    <w:rsid w:val="005369AF"/>
    <w:rsid w:val="00536F57"/>
    <w:rsid w:val="00537101"/>
    <w:rsid w:val="00537223"/>
    <w:rsid w:val="00537367"/>
    <w:rsid w:val="005375AB"/>
    <w:rsid w:val="005376D4"/>
    <w:rsid w:val="00537727"/>
    <w:rsid w:val="0053787E"/>
    <w:rsid w:val="00537A25"/>
    <w:rsid w:val="00537B78"/>
    <w:rsid w:val="00537C82"/>
    <w:rsid w:val="00537DC3"/>
    <w:rsid w:val="00537E35"/>
    <w:rsid w:val="00540030"/>
    <w:rsid w:val="0054006F"/>
    <w:rsid w:val="00540343"/>
    <w:rsid w:val="005404EC"/>
    <w:rsid w:val="0054052C"/>
    <w:rsid w:val="005405B2"/>
    <w:rsid w:val="005405C9"/>
    <w:rsid w:val="0054060F"/>
    <w:rsid w:val="005406B4"/>
    <w:rsid w:val="005406E1"/>
    <w:rsid w:val="00540752"/>
    <w:rsid w:val="00540820"/>
    <w:rsid w:val="00540886"/>
    <w:rsid w:val="0054089D"/>
    <w:rsid w:val="00540B58"/>
    <w:rsid w:val="00540DB4"/>
    <w:rsid w:val="00540E0B"/>
    <w:rsid w:val="00540E27"/>
    <w:rsid w:val="00540FC2"/>
    <w:rsid w:val="00540FE7"/>
    <w:rsid w:val="005411D6"/>
    <w:rsid w:val="00541338"/>
    <w:rsid w:val="00541349"/>
    <w:rsid w:val="0054137E"/>
    <w:rsid w:val="00541492"/>
    <w:rsid w:val="0054151B"/>
    <w:rsid w:val="00541894"/>
    <w:rsid w:val="00541C02"/>
    <w:rsid w:val="00541D39"/>
    <w:rsid w:val="00541D50"/>
    <w:rsid w:val="005421AB"/>
    <w:rsid w:val="00542256"/>
    <w:rsid w:val="005424FC"/>
    <w:rsid w:val="00542672"/>
    <w:rsid w:val="00542693"/>
    <w:rsid w:val="005427BF"/>
    <w:rsid w:val="00542ABF"/>
    <w:rsid w:val="00542B53"/>
    <w:rsid w:val="00542B55"/>
    <w:rsid w:val="00542C63"/>
    <w:rsid w:val="00542EEF"/>
    <w:rsid w:val="005431F3"/>
    <w:rsid w:val="00543211"/>
    <w:rsid w:val="005434C2"/>
    <w:rsid w:val="0054361D"/>
    <w:rsid w:val="0054369E"/>
    <w:rsid w:val="00543E72"/>
    <w:rsid w:val="00543F7D"/>
    <w:rsid w:val="005443AC"/>
    <w:rsid w:val="005444F2"/>
    <w:rsid w:val="005446D1"/>
    <w:rsid w:val="00544745"/>
    <w:rsid w:val="005448FD"/>
    <w:rsid w:val="00544A04"/>
    <w:rsid w:val="00544B7C"/>
    <w:rsid w:val="00544C63"/>
    <w:rsid w:val="00544D51"/>
    <w:rsid w:val="00544F60"/>
    <w:rsid w:val="00545050"/>
    <w:rsid w:val="005451E7"/>
    <w:rsid w:val="00545227"/>
    <w:rsid w:val="0054535F"/>
    <w:rsid w:val="005453C5"/>
    <w:rsid w:val="00545454"/>
    <w:rsid w:val="00545505"/>
    <w:rsid w:val="005455CD"/>
    <w:rsid w:val="00545753"/>
    <w:rsid w:val="00545787"/>
    <w:rsid w:val="00545941"/>
    <w:rsid w:val="005459D1"/>
    <w:rsid w:val="00545A0B"/>
    <w:rsid w:val="00545A1B"/>
    <w:rsid w:val="00545CD1"/>
    <w:rsid w:val="00545CEA"/>
    <w:rsid w:val="00545E6B"/>
    <w:rsid w:val="00546063"/>
    <w:rsid w:val="005461EC"/>
    <w:rsid w:val="005461F4"/>
    <w:rsid w:val="0054626F"/>
    <w:rsid w:val="005462CE"/>
    <w:rsid w:val="0054632E"/>
    <w:rsid w:val="0054660A"/>
    <w:rsid w:val="005466E1"/>
    <w:rsid w:val="00546D36"/>
    <w:rsid w:val="00546D84"/>
    <w:rsid w:val="00547271"/>
    <w:rsid w:val="00547308"/>
    <w:rsid w:val="005473BF"/>
    <w:rsid w:val="0054769E"/>
    <w:rsid w:val="005476BD"/>
    <w:rsid w:val="00547869"/>
    <w:rsid w:val="0054798B"/>
    <w:rsid w:val="005479C4"/>
    <w:rsid w:val="00547CE3"/>
    <w:rsid w:val="00547DCD"/>
    <w:rsid w:val="00550297"/>
    <w:rsid w:val="005508ED"/>
    <w:rsid w:val="00550B9A"/>
    <w:rsid w:val="00550BF7"/>
    <w:rsid w:val="00550D3B"/>
    <w:rsid w:val="00550D7C"/>
    <w:rsid w:val="00550E05"/>
    <w:rsid w:val="00550E69"/>
    <w:rsid w:val="00550EAC"/>
    <w:rsid w:val="00550F25"/>
    <w:rsid w:val="00550F62"/>
    <w:rsid w:val="00550FC0"/>
    <w:rsid w:val="0055102F"/>
    <w:rsid w:val="005510B7"/>
    <w:rsid w:val="005510EB"/>
    <w:rsid w:val="005511B3"/>
    <w:rsid w:val="00551256"/>
    <w:rsid w:val="0055132C"/>
    <w:rsid w:val="0055173D"/>
    <w:rsid w:val="005517F7"/>
    <w:rsid w:val="005519DF"/>
    <w:rsid w:val="00551A49"/>
    <w:rsid w:val="00551ABF"/>
    <w:rsid w:val="00551BEE"/>
    <w:rsid w:val="00551C0B"/>
    <w:rsid w:val="00551D4A"/>
    <w:rsid w:val="00551D94"/>
    <w:rsid w:val="00551E91"/>
    <w:rsid w:val="00552039"/>
    <w:rsid w:val="0055203C"/>
    <w:rsid w:val="005520B0"/>
    <w:rsid w:val="005520C7"/>
    <w:rsid w:val="005521C4"/>
    <w:rsid w:val="005523E9"/>
    <w:rsid w:val="00552489"/>
    <w:rsid w:val="005524DF"/>
    <w:rsid w:val="00552885"/>
    <w:rsid w:val="0055288D"/>
    <w:rsid w:val="005529D3"/>
    <w:rsid w:val="00552EB8"/>
    <w:rsid w:val="00552F51"/>
    <w:rsid w:val="00552F67"/>
    <w:rsid w:val="0055302B"/>
    <w:rsid w:val="00553211"/>
    <w:rsid w:val="00553457"/>
    <w:rsid w:val="005534B2"/>
    <w:rsid w:val="005535E2"/>
    <w:rsid w:val="00553AA4"/>
    <w:rsid w:val="00553BFC"/>
    <w:rsid w:val="00553C5E"/>
    <w:rsid w:val="00553D5E"/>
    <w:rsid w:val="005540B0"/>
    <w:rsid w:val="00554135"/>
    <w:rsid w:val="005543C5"/>
    <w:rsid w:val="005543DF"/>
    <w:rsid w:val="005544BC"/>
    <w:rsid w:val="0055486F"/>
    <w:rsid w:val="0055494D"/>
    <w:rsid w:val="00554F03"/>
    <w:rsid w:val="0055516F"/>
    <w:rsid w:val="00555204"/>
    <w:rsid w:val="00555465"/>
    <w:rsid w:val="005555D7"/>
    <w:rsid w:val="00555623"/>
    <w:rsid w:val="0055564A"/>
    <w:rsid w:val="00555967"/>
    <w:rsid w:val="00555BE6"/>
    <w:rsid w:val="00555C9C"/>
    <w:rsid w:val="00555D21"/>
    <w:rsid w:val="00555FDA"/>
    <w:rsid w:val="00556397"/>
    <w:rsid w:val="005564A5"/>
    <w:rsid w:val="005564D1"/>
    <w:rsid w:val="005566FC"/>
    <w:rsid w:val="00556955"/>
    <w:rsid w:val="0055695C"/>
    <w:rsid w:val="00556BE9"/>
    <w:rsid w:val="005571B5"/>
    <w:rsid w:val="005572BC"/>
    <w:rsid w:val="005572CE"/>
    <w:rsid w:val="005573A4"/>
    <w:rsid w:val="00557701"/>
    <w:rsid w:val="005577B2"/>
    <w:rsid w:val="00557EED"/>
    <w:rsid w:val="0056001A"/>
    <w:rsid w:val="005600B9"/>
    <w:rsid w:val="00560321"/>
    <w:rsid w:val="00560376"/>
    <w:rsid w:val="005605DD"/>
    <w:rsid w:val="00560830"/>
    <w:rsid w:val="00560C8E"/>
    <w:rsid w:val="00560DEB"/>
    <w:rsid w:val="00560F10"/>
    <w:rsid w:val="00561353"/>
    <w:rsid w:val="00561552"/>
    <w:rsid w:val="00561607"/>
    <w:rsid w:val="0056160D"/>
    <w:rsid w:val="00561666"/>
    <w:rsid w:val="005616AD"/>
    <w:rsid w:val="005616D8"/>
    <w:rsid w:val="0056184A"/>
    <w:rsid w:val="00561918"/>
    <w:rsid w:val="005619F4"/>
    <w:rsid w:val="00561A11"/>
    <w:rsid w:val="00561D0C"/>
    <w:rsid w:val="00561D3A"/>
    <w:rsid w:val="00561EFF"/>
    <w:rsid w:val="005623B8"/>
    <w:rsid w:val="005624BD"/>
    <w:rsid w:val="005625DA"/>
    <w:rsid w:val="00562F51"/>
    <w:rsid w:val="00563090"/>
    <w:rsid w:val="0056338D"/>
    <w:rsid w:val="00563434"/>
    <w:rsid w:val="00563540"/>
    <w:rsid w:val="005635B0"/>
    <w:rsid w:val="0056363F"/>
    <w:rsid w:val="0056393A"/>
    <w:rsid w:val="00563963"/>
    <w:rsid w:val="005639AB"/>
    <w:rsid w:val="00563A8D"/>
    <w:rsid w:val="00563A96"/>
    <w:rsid w:val="00563B06"/>
    <w:rsid w:val="00563BCD"/>
    <w:rsid w:val="00563BF3"/>
    <w:rsid w:val="00563E18"/>
    <w:rsid w:val="00563E7F"/>
    <w:rsid w:val="00563F12"/>
    <w:rsid w:val="0056429C"/>
    <w:rsid w:val="005642C7"/>
    <w:rsid w:val="005642D8"/>
    <w:rsid w:val="0056450D"/>
    <w:rsid w:val="0056492F"/>
    <w:rsid w:val="00564DB7"/>
    <w:rsid w:val="00564E51"/>
    <w:rsid w:val="00565146"/>
    <w:rsid w:val="00565226"/>
    <w:rsid w:val="0056525F"/>
    <w:rsid w:val="00565334"/>
    <w:rsid w:val="0056539D"/>
    <w:rsid w:val="0056543E"/>
    <w:rsid w:val="005657D5"/>
    <w:rsid w:val="005657F9"/>
    <w:rsid w:val="00565BFF"/>
    <w:rsid w:val="00565F7D"/>
    <w:rsid w:val="00565F8B"/>
    <w:rsid w:val="005662F8"/>
    <w:rsid w:val="00566326"/>
    <w:rsid w:val="00566527"/>
    <w:rsid w:val="005666BF"/>
    <w:rsid w:val="00566724"/>
    <w:rsid w:val="005668CE"/>
    <w:rsid w:val="005668E1"/>
    <w:rsid w:val="00566986"/>
    <w:rsid w:val="00566C5D"/>
    <w:rsid w:val="00566C7D"/>
    <w:rsid w:val="00566E02"/>
    <w:rsid w:val="00567155"/>
    <w:rsid w:val="00567196"/>
    <w:rsid w:val="00567291"/>
    <w:rsid w:val="00567406"/>
    <w:rsid w:val="00567572"/>
    <w:rsid w:val="005675D9"/>
    <w:rsid w:val="0056770C"/>
    <w:rsid w:val="005677DF"/>
    <w:rsid w:val="0056781B"/>
    <w:rsid w:val="005678B2"/>
    <w:rsid w:val="00567943"/>
    <w:rsid w:val="00567963"/>
    <w:rsid w:val="00567D1F"/>
    <w:rsid w:val="0057000B"/>
    <w:rsid w:val="00570072"/>
    <w:rsid w:val="00570469"/>
    <w:rsid w:val="005705BD"/>
    <w:rsid w:val="005705C2"/>
    <w:rsid w:val="005706BD"/>
    <w:rsid w:val="0057086A"/>
    <w:rsid w:val="005709A0"/>
    <w:rsid w:val="005709A9"/>
    <w:rsid w:val="00570A3E"/>
    <w:rsid w:val="00570ACA"/>
    <w:rsid w:val="00570D25"/>
    <w:rsid w:val="00570E9E"/>
    <w:rsid w:val="00570FB5"/>
    <w:rsid w:val="00570FD5"/>
    <w:rsid w:val="00571025"/>
    <w:rsid w:val="00571133"/>
    <w:rsid w:val="00571159"/>
    <w:rsid w:val="005712C3"/>
    <w:rsid w:val="005715AD"/>
    <w:rsid w:val="005718DE"/>
    <w:rsid w:val="0057195E"/>
    <w:rsid w:val="00571969"/>
    <w:rsid w:val="00571993"/>
    <w:rsid w:val="005719A8"/>
    <w:rsid w:val="005719DA"/>
    <w:rsid w:val="00571AD6"/>
    <w:rsid w:val="00571AE6"/>
    <w:rsid w:val="00571BC8"/>
    <w:rsid w:val="00571D38"/>
    <w:rsid w:val="00572076"/>
    <w:rsid w:val="005722AF"/>
    <w:rsid w:val="005723C4"/>
    <w:rsid w:val="00572874"/>
    <w:rsid w:val="005729BF"/>
    <w:rsid w:val="00572D70"/>
    <w:rsid w:val="00572D90"/>
    <w:rsid w:val="00572DAC"/>
    <w:rsid w:val="00572EEC"/>
    <w:rsid w:val="00573016"/>
    <w:rsid w:val="00573039"/>
    <w:rsid w:val="00573088"/>
    <w:rsid w:val="0057357F"/>
    <w:rsid w:val="00573752"/>
    <w:rsid w:val="005738C0"/>
    <w:rsid w:val="00573AC1"/>
    <w:rsid w:val="00573BD3"/>
    <w:rsid w:val="00573C5F"/>
    <w:rsid w:val="00573C89"/>
    <w:rsid w:val="00573D3D"/>
    <w:rsid w:val="00573DE2"/>
    <w:rsid w:val="00573EC3"/>
    <w:rsid w:val="00574038"/>
    <w:rsid w:val="005741D8"/>
    <w:rsid w:val="005743A4"/>
    <w:rsid w:val="005743D5"/>
    <w:rsid w:val="0057455D"/>
    <w:rsid w:val="005745F2"/>
    <w:rsid w:val="00574876"/>
    <w:rsid w:val="00574FB8"/>
    <w:rsid w:val="0057511C"/>
    <w:rsid w:val="00575389"/>
    <w:rsid w:val="00575610"/>
    <w:rsid w:val="005756B3"/>
    <w:rsid w:val="005758B5"/>
    <w:rsid w:val="00575C08"/>
    <w:rsid w:val="00575D4D"/>
    <w:rsid w:val="00575E37"/>
    <w:rsid w:val="00575E43"/>
    <w:rsid w:val="00575E5C"/>
    <w:rsid w:val="005760D5"/>
    <w:rsid w:val="005760D7"/>
    <w:rsid w:val="005761E2"/>
    <w:rsid w:val="0057662A"/>
    <w:rsid w:val="00576830"/>
    <w:rsid w:val="0057686C"/>
    <w:rsid w:val="00576C89"/>
    <w:rsid w:val="00576DA3"/>
    <w:rsid w:val="00576DE2"/>
    <w:rsid w:val="00576EF9"/>
    <w:rsid w:val="00576FDA"/>
    <w:rsid w:val="00577260"/>
    <w:rsid w:val="005776EE"/>
    <w:rsid w:val="0057787E"/>
    <w:rsid w:val="00577880"/>
    <w:rsid w:val="005778DD"/>
    <w:rsid w:val="00577970"/>
    <w:rsid w:val="00577994"/>
    <w:rsid w:val="00577A6E"/>
    <w:rsid w:val="00577B31"/>
    <w:rsid w:val="00577B80"/>
    <w:rsid w:val="00577E02"/>
    <w:rsid w:val="00577E60"/>
    <w:rsid w:val="00577FB5"/>
    <w:rsid w:val="00580067"/>
    <w:rsid w:val="005800BD"/>
    <w:rsid w:val="00580148"/>
    <w:rsid w:val="00580167"/>
    <w:rsid w:val="00580180"/>
    <w:rsid w:val="0058018F"/>
    <w:rsid w:val="00580367"/>
    <w:rsid w:val="0058036B"/>
    <w:rsid w:val="00580921"/>
    <w:rsid w:val="00580A32"/>
    <w:rsid w:val="00580A4F"/>
    <w:rsid w:val="00580A67"/>
    <w:rsid w:val="00580ABB"/>
    <w:rsid w:val="00580E8D"/>
    <w:rsid w:val="00580EF2"/>
    <w:rsid w:val="00581032"/>
    <w:rsid w:val="00581144"/>
    <w:rsid w:val="00581576"/>
    <w:rsid w:val="00581580"/>
    <w:rsid w:val="005815A0"/>
    <w:rsid w:val="005815D0"/>
    <w:rsid w:val="00581A58"/>
    <w:rsid w:val="00581C51"/>
    <w:rsid w:val="00581DD9"/>
    <w:rsid w:val="00581E9F"/>
    <w:rsid w:val="0058230C"/>
    <w:rsid w:val="00582384"/>
    <w:rsid w:val="00582802"/>
    <w:rsid w:val="00582851"/>
    <w:rsid w:val="005828D0"/>
    <w:rsid w:val="00582919"/>
    <w:rsid w:val="00582A8A"/>
    <w:rsid w:val="00582ACF"/>
    <w:rsid w:val="00582BF4"/>
    <w:rsid w:val="00583396"/>
    <w:rsid w:val="00583585"/>
    <w:rsid w:val="0058358E"/>
    <w:rsid w:val="00583853"/>
    <w:rsid w:val="00583E3C"/>
    <w:rsid w:val="0058404E"/>
    <w:rsid w:val="005841DA"/>
    <w:rsid w:val="00584249"/>
    <w:rsid w:val="00584374"/>
    <w:rsid w:val="0058441B"/>
    <w:rsid w:val="00584842"/>
    <w:rsid w:val="00584890"/>
    <w:rsid w:val="00584A54"/>
    <w:rsid w:val="00584C87"/>
    <w:rsid w:val="00584E04"/>
    <w:rsid w:val="00584EC4"/>
    <w:rsid w:val="00584F67"/>
    <w:rsid w:val="00584FD8"/>
    <w:rsid w:val="0058508D"/>
    <w:rsid w:val="0058515A"/>
    <w:rsid w:val="005851B4"/>
    <w:rsid w:val="005853E2"/>
    <w:rsid w:val="0058557A"/>
    <w:rsid w:val="00585596"/>
    <w:rsid w:val="00585631"/>
    <w:rsid w:val="005856F6"/>
    <w:rsid w:val="0058574A"/>
    <w:rsid w:val="005857E1"/>
    <w:rsid w:val="00585A96"/>
    <w:rsid w:val="00585F5B"/>
    <w:rsid w:val="00585FDD"/>
    <w:rsid w:val="0058605A"/>
    <w:rsid w:val="00586139"/>
    <w:rsid w:val="0058614E"/>
    <w:rsid w:val="005864DF"/>
    <w:rsid w:val="0058661D"/>
    <w:rsid w:val="005866FD"/>
    <w:rsid w:val="005867A4"/>
    <w:rsid w:val="005869D1"/>
    <w:rsid w:val="00586A9D"/>
    <w:rsid w:val="00586AB4"/>
    <w:rsid w:val="00586C43"/>
    <w:rsid w:val="00586EE2"/>
    <w:rsid w:val="005871B8"/>
    <w:rsid w:val="00587546"/>
    <w:rsid w:val="00587674"/>
    <w:rsid w:val="0058776E"/>
    <w:rsid w:val="00587847"/>
    <w:rsid w:val="0058784A"/>
    <w:rsid w:val="005879BE"/>
    <w:rsid w:val="00587A5C"/>
    <w:rsid w:val="00587BD6"/>
    <w:rsid w:val="00587E6B"/>
    <w:rsid w:val="00587EAC"/>
    <w:rsid w:val="005900B6"/>
    <w:rsid w:val="005901B8"/>
    <w:rsid w:val="005904BC"/>
    <w:rsid w:val="00590788"/>
    <w:rsid w:val="0059078B"/>
    <w:rsid w:val="00590AE3"/>
    <w:rsid w:val="00590BD6"/>
    <w:rsid w:val="00590C1C"/>
    <w:rsid w:val="00590C2E"/>
    <w:rsid w:val="00590CF9"/>
    <w:rsid w:val="00591018"/>
    <w:rsid w:val="00591142"/>
    <w:rsid w:val="00591236"/>
    <w:rsid w:val="0059139B"/>
    <w:rsid w:val="005913B5"/>
    <w:rsid w:val="005913FA"/>
    <w:rsid w:val="0059158E"/>
    <w:rsid w:val="0059164E"/>
    <w:rsid w:val="0059165B"/>
    <w:rsid w:val="00591901"/>
    <w:rsid w:val="00591B91"/>
    <w:rsid w:val="00591C00"/>
    <w:rsid w:val="00591F70"/>
    <w:rsid w:val="0059218F"/>
    <w:rsid w:val="00592358"/>
    <w:rsid w:val="00592360"/>
    <w:rsid w:val="005923C2"/>
    <w:rsid w:val="0059253E"/>
    <w:rsid w:val="005925B8"/>
    <w:rsid w:val="005926B3"/>
    <w:rsid w:val="00592804"/>
    <w:rsid w:val="00592ABF"/>
    <w:rsid w:val="00592C01"/>
    <w:rsid w:val="00592C99"/>
    <w:rsid w:val="00592D4A"/>
    <w:rsid w:val="00592FCF"/>
    <w:rsid w:val="0059326E"/>
    <w:rsid w:val="005933AB"/>
    <w:rsid w:val="00593470"/>
    <w:rsid w:val="005934AC"/>
    <w:rsid w:val="00593619"/>
    <w:rsid w:val="005937B1"/>
    <w:rsid w:val="005938A4"/>
    <w:rsid w:val="00593A3E"/>
    <w:rsid w:val="00593BA8"/>
    <w:rsid w:val="00593C41"/>
    <w:rsid w:val="00593CA5"/>
    <w:rsid w:val="00593EBB"/>
    <w:rsid w:val="00593FFB"/>
    <w:rsid w:val="005942C5"/>
    <w:rsid w:val="0059430C"/>
    <w:rsid w:val="00594312"/>
    <w:rsid w:val="00594388"/>
    <w:rsid w:val="005944A4"/>
    <w:rsid w:val="005944D4"/>
    <w:rsid w:val="005944DF"/>
    <w:rsid w:val="0059464C"/>
    <w:rsid w:val="00594724"/>
    <w:rsid w:val="0059477D"/>
    <w:rsid w:val="0059479F"/>
    <w:rsid w:val="005947A2"/>
    <w:rsid w:val="005947F5"/>
    <w:rsid w:val="00594E00"/>
    <w:rsid w:val="00594E72"/>
    <w:rsid w:val="00595055"/>
    <w:rsid w:val="005951E1"/>
    <w:rsid w:val="005954F7"/>
    <w:rsid w:val="00595683"/>
    <w:rsid w:val="0059569A"/>
    <w:rsid w:val="0059583F"/>
    <w:rsid w:val="005958C9"/>
    <w:rsid w:val="00595A7E"/>
    <w:rsid w:val="00595AC3"/>
    <w:rsid w:val="00595B52"/>
    <w:rsid w:val="00595B9D"/>
    <w:rsid w:val="00595D88"/>
    <w:rsid w:val="00595FF2"/>
    <w:rsid w:val="0059628F"/>
    <w:rsid w:val="005962F1"/>
    <w:rsid w:val="005965D9"/>
    <w:rsid w:val="00596602"/>
    <w:rsid w:val="0059660F"/>
    <w:rsid w:val="00596634"/>
    <w:rsid w:val="0059667B"/>
    <w:rsid w:val="005966EE"/>
    <w:rsid w:val="00596726"/>
    <w:rsid w:val="0059695D"/>
    <w:rsid w:val="00596B21"/>
    <w:rsid w:val="00596BC8"/>
    <w:rsid w:val="00596D1C"/>
    <w:rsid w:val="00596F15"/>
    <w:rsid w:val="0059703B"/>
    <w:rsid w:val="005970D6"/>
    <w:rsid w:val="00597121"/>
    <w:rsid w:val="00597240"/>
    <w:rsid w:val="00597373"/>
    <w:rsid w:val="005973AD"/>
    <w:rsid w:val="00597450"/>
    <w:rsid w:val="005975CA"/>
    <w:rsid w:val="00597662"/>
    <w:rsid w:val="005978B0"/>
    <w:rsid w:val="005978DD"/>
    <w:rsid w:val="005978E2"/>
    <w:rsid w:val="0059790B"/>
    <w:rsid w:val="00597911"/>
    <w:rsid w:val="00597A12"/>
    <w:rsid w:val="00597B0B"/>
    <w:rsid w:val="00597B2E"/>
    <w:rsid w:val="00597B70"/>
    <w:rsid w:val="00597C46"/>
    <w:rsid w:val="00597DDF"/>
    <w:rsid w:val="00597E24"/>
    <w:rsid w:val="005A0089"/>
    <w:rsid w:val="005A008D"/>
    <w:rsid w:val="005A0218"/>
    <w:rsid w:val="005A02A4"/>
    <w:rsid w:val="005A02F2"/>
    <w:rsid w:val="005A039E"/>
    <w:rsid w:val="005A041A"/>
    <w:rsid w:val="005A05DF"/>
    <w:rsid w:val="005A075F"/>
    <w:rsid w:val="005A0788"/>
    <w:rsid w:val="005A0828"/>
    <w:rsid w:val="005A0B98"/>
    <w:rsid w:val="005A0D0A"/>
    <w:rsid w:val="005A0EC1"/>
    <w:rsid w:val="005A0F9B"/>
    <w:rsid w:val="005A1174"/>
    <w:rsid w:val="005A123E"/>
    <w:rsid w:val="005A1309"/>
    <w:rsid w:val="005A1426"/>
    <w:rsid w:val="005A142B"/>
    <w:rsid w:val="005A144E"/>
    <w:rsid w:val="005A1566"/>
    <w:rsid w:val="005A1577"/>
    <w:rsid w:val="005A15BE"/>
    <w:rsid w:val="005A171C"/>
    <w:rsid w:val="005A1918"/>
    <w:rsid w:val="005A1AFA"/>
    <w:rsid w:val="005A1B6D"/>
    <w:rsid w:val="005A1BC5"/>
    <w:rsid w:val="005A1BEF"/>
    <w:rsid w:val="005A1DAF"/>
    <w:rsid w:val="005A1EDE"/>
    <w:rsid w:val="005A1F52"/>
    <w:rsid w:val="005A2069"/>
    <w:rsid w:val="005A208B"/>
    <w:rsid w:val="005A220D"/>
    <w:rsid w:val="005A2571"/>
    <w:rsid w:val="005A259C"/>
    <w:rsid w:val="005A25D4"/>
    <w:rsid w:val="005A2C37"/>
    <w:rsid w:val="005A2C57"/>
    <w:rsid w:val="005A2DCF"/>
    <w:rsid w:val="005A2DDC"/>
    <w:rsid w:val="005A2F52"/>
    <w:rsid w:val="005A2F9E"/>
    <w:rsid w:val="005A302E"/>
    <w:rsid w:val="005A30B3"/>
    <w:rsid w:val="005A30E2"/>
    <w:rsid w:val="005A3326"/>
    <w:rsid w:val="005A356A"/>
    <w:rsid w:val="005A3593"/>
    <w:rsid w:val="005A35AE"/>
    <w:rsid w:val="005A36FA"/>
    <w:rsid w:val="005A38B5"/>
    <w:rsid w:val="005A3AC2"/>
    <w:rsid w:val="005A3AFC"/>
    <w:rsid w:val="005A3B31"/>
    <w:rsid w:val="005A3F1A"/>
    <w:rsid w:val="005A4003"/>
    <w:rsid w:val="005A4057"/>
    <w:rsid w:val="005A42C6"/>
    <w:rsid w:val="005A43A4"/>
    <w:rsid w:val="005A4703"/>
    <w:rsid w:val="005A48C0"/>
    <w:rsid w:val="005A49B9"/>
    <w:rsid w:val="005A4E79"/>
    <w:rsid w:val="005A5039"/>
    <w:rsid w:val="005A537A"/>
    <w:rsid w:val="005A53B5"/>
    <w:rsid w:val="005A53F9"/>
    <w:rsid w:val="005A562F"/>
    <w:rsid w:val="005A588F"/>
    <w:rsid w:val="005A58B7"/>
    <w:rsid w:val="005A597F"/>
    <w:rsid w:val="005A59B1"/>
    <w:rsid w:val="005A5A0C"/>
    <w:rsid w:val="005A5AC9"/>
    <w:rsid w:val="005A5BF5"/>
    <w:rsid w:val="005A5F2A"/>
    <w:rsid w:val="005A5FA4"/>
    <w:rsid w:val="005A60BE"/>
    <w:rsid w:val="005A6170"/>
    <w:rsid w:val="005A6855"/>
    <w:rsid w:val="005A6B51"/>
    <w:rsid w:val="005A6C71"/>
    <w:rsid w:val="005A6C77"/>
    <w:rsid w:val="005A6CF6"/>
    <w:rsid w:val="005A6DC7"/>
    <w:rsid w:val="005A6E11"/>
    <w:rsid w:val="005A6F5F"/>
    <w:rsid w:val="005A7158"/>
    <w:rsid w:val="005A719D"/>
    <w:rsid w:val="005A726A"/>
    <w:rsid w:val="005A727D"/>
    <w:rsid w:val="005A72C4"/>
    <w:rsid w:val="005A7340"/>
    <w:rsid w:val="005A74F8"/>
    <w:rsid w:val="005A75B7"/>
    <w:rsid w:val="005A768C"/>
    <w:rsid w:val="005A76A2"/>
    <w:rsid w:val="005A76D8"/>
    <w:rsid w:val="005A77A9"/>
    <w:rsid w:val="005A785F"/>
    <w:rsid w:val="005A79C0"/>
    <w:rsid w:val="005A7C54"/>
    <w:rsid w:val="005A7DBA"/>
    <w:rsid w:val="005A7E3E"/>
    <w:rsid w:val="005A7E8E"/>
    <w:rsid w:val="005A7EDB"/>
    <w:rsid w:val="005A7FD9"/>
    <w:rsid w:val="005B04E9"/>
    <w:rsid w:val="005B04F1"/>
    <w:rsid w:val="005B0670"/>
    <w:rsid w:val="005B0742"/>
    <w:rsid w:val="005B08A0"/>
    <w:rsid w:val="005B0B8E"/>
    <w:rsid w:val="005B0D03"/>
    <w:rsid w:val="005B0E58"/>
    <w:rsid w:val="005B1031"/>
    <w:rsid w:val="005B1035"/>
    <w:rsid w:val="005B1184"/>
    <w:rsid w:val="005B14F6"/>
    <w:rsid w:val="005B1620"/>
    <w:rsid w:val="005B1644"/>
    <w:rsid w:val="005B1647"/>
    <w:rsid w:val="005B168A"/>
    <w:rsid w:val="005B1843"/>
    <w:rsid w:val="005B1B40"/>
    <w:rsid w:val="005B1C5A"/>
    <w:rsid w:val="005B1D27"/>
    <w:rsid w:val="005B1D84"/>
    <w:rsid w:val="005B2047"/>
    <w:rsid w:val="005B21F9"/>
    <w:rsid w:val="005B22B0"/>
    <w:rsid w:val="005B24B1"/>
    <w:rsid w:val="005B25E8"/>
    <w:rsid w:val="005B2743"/>
    <w:rsid w:val="005B28F4"/>
    <w:rsid w:val="005B2E4E"/>
    <w:rsid w:val="005B2E58"/>
    <w:rsid w:val="005B2F30"/>
    <w:rsid w:val="005B3010"/>
    <w:rsid w:val="005B32D0"/>
    <w:rsid w:val="005B341A"/>
    <w:rsid w:val="005B3460"/>
    <w:rsid w:val="005B35E0"/>
    <w:rsid w:val="005B36E8"/>
    <w:rsid w:val="005B385E"/>
    <w:rsid w:val="005B39EE"/>
    <w:rsid w:val="005B39FF"/>
    <w:rsid w:val="005B3D50"/>
    <w:rsid w:val="005B3EA7"/>
    <w:rsid w:val="005B3ECB"/>
    <w:rsid w:val="005B3EF4"/>
    <w:rsid w:val="005B3F85"/>
    <w:rsid w:val="005B3F89"/>
    <w:rsid w:val="005B4037"/>
    <w:rsid w:val="005B41DB"/>
    <w:rsid w:val="005B4279"/>
    <w:rsid w:val="005B4379"/>
    <w:rsid w:val="005B4483"/>
    <w:rsid w:val="005B44C5"/>
    <w:rsid w:val="005B4563"/>
    <w:rsid w:val="005B458F"/>
    <w:rsid w:val="005B469F"/>
    <w:rsid w:val="005B471E"/>
    <w:rsid w:val="005B4BA1"/>
    <w:rsid w:val="005B4CD7"/>
    <w:rsid w:val="005B4DA7"/>
    <w:rsid w:val="005B4E10"/>
    <w:rsid w:val="005B4ECB"/>
    <w:rsid w:val="005B50CD"/>
    <w:rsid w:val="005B516C"/>
    <w:rsid w:val="005B524A"/>
    <w:rsid w:val="005B54F5"/>
    <w:rsid w:val="005B5536"/>
    <w:rsid w:val="005B560A"/>
    <w:rsid w:val="005B579B"/>
    <w:rsid w:val="005B57CE"/>
    <w:rsid w:val="005B58B1"/>
    <w:rsid w:val="005B5936"/>
    <w:rsid w:val="005B5A21"/>
    <w:rsid w:val="005B5A6E"/>
    <w:rsid w:val="005B5AAB"/>
    <w:rsid w:val="005B5AC9"/>
    <w:rsid w:val="005B5DAA"/>
    <w:rsid w:val="005B5DCF"/>
    <w:rsid w:val="005B5E28"/>
    <w:rsid w:val="005B5F94"/>
    <w:rsid w:val="005B6016"/>
    <w:rsid w:val="005B619E"/>
    <w:rsid w:val="005B6246"/>
    <w:rsid w:val="005B645C"/>
    <w:rsid w:val="005B66A1"/>
    <w:rsid w:val="005B66B5"/>
    <w:rsid w:val="005B66CB"/>
    <w:rsid w:val="005B683C"/>
    <w:rsid w:val="005B6866"/>
    <w:rsid w:val="005B69FB"/>
    <w:rsid w:val="005B6AED"/>
    <w:rsid w:val="005B6C51"/>
    <w:rsid w:val="005B6CB6"/>
    <w:rsid w:val="005B6E97"/>
    <w:rsid w:val="005B6F0E"/>
    <w:rsid w:val="005B6FF4"/>
    <w:rsid w:val="005B710A"/>
    <w:rsid w:val="005B732C"/>
    <w:rsid w:val="005B734A"/>
    <w:rsid w:val="005B7482"/>
    <w:rsid w:val="005B75B0"/>
    <w:rsid w:val="005B75C2"/>
    <w:rsid w:val="005B792B"/>
    <w:rsid w:val="005B7AA9"/>
    <w:rsid w:val="005B7E29"/>
    <w:rsid w:val="005B7F1A"/>
    <w:rsid w:val="005B7FEF"/>
    <w:rsid w:val="005C0051"/>
    <w:rsid w:val="005C0153"/>
    <w:rsid w:val="005C01FA"/>
    <w:rsid w:val="005C03A9"/>
    <w:rsid w:val="005C055F"/>
    <w:rsid w:val="005C070E"/>
    <w:rsid w:val="005C0BDF"/>
    <w:rsid w:val="005C0E0D"/>
    <w:rsid w:val="005C0ECC"/>
    <w:rsid w:val="005C0FEA"/>
    <w:rsid w:val="005C1265"/>
    <w:rsid w:val="005C1462"/>
    <w:rsid w:val="005C151A"/>
    <w:rsid w:val="005C1714"/>
    <w:rsid w:val="005C2033"/>
    <w:rsid w:val="005C2133"/>
    <w:rsid w:val="005C232A"/>
    <w:rsid w:val="005C2546"/>
    <w:rsid w:val="005C2584"/>
    <w:rsid w:val="005C2613"/>
    <w:rsid w:val="005C2757"/>
    <w:rsid w:val="005C28E9"/>
    <w:rsid w:val="005C2A63"/>
    <w:rsid w:val="005C2C6F"/>
    <w:rsid w:val="005C2E27"/>
    <w:rsid w:val="005C2F59"/>
    <w:rsid w:val="005C2F7E"/>
    <w:rsid w:val="005C305D"/>
    <w:rsid w:val="005C33E7"/>
    <w:rsid w:val="005C3514"/>
    <w:rsid w:val="005C3515"/>
    <w:rsid w:val="005C35B8"/>
    <w:rsid w:val="005C35E8"/>
    <w:rsid w:val="005C3619"/>
    <w:rsid w:val="005C3678"/>
    <w:rsid w:val="005C38EE"/>
    <w:rsid w:val="005C3985"/>
    <w:rsid w:val="005C39A9"/>
    <w:rsid w:val="005C3A30"/>
    <w:rsid w:val="005C3F75"/>
    <w:rsid w:val="005C44DE"/>
    <w:rsid w:val="005C45A3"/>
    <w:rsid w:val="005C4705"/>
    <w:rsid w:val="005C4725"/>
    <w:rsid w:val="005C4BA4"/>
    <w:rsid w:val="005C4C58"/>
    <w:rsid w:val="005C4E3C"/>
    <w:rsid w:val="005C4ED1"/>
    <w:rsid w:val="005C4F56"/>
    <w:rsid w:val="005C50D4"/>
    <w:rsid w:val="005C51AF"/>
    <w:rsid w:val="005C5252"/>
    <w:rsid w:val="005C53B8"/>
    <w:rsid w:val="005C555B"/>
    <w:rsid w:val="005C55BA"/>
    <w:rsid w:val="005C57E9"/>
    <w:rsid w:val="005C58E3"/>
    <w:rsid w:val="005C5935"/>
    <w:rsid w:val="005C59E7"/>
    <w:rsid w:val="005C5A78"/>
    <w:rsid w:val="005C5B35"/>
    <w:rsid w:val="005C5BAD"/>
    <w:rsid w:val="005C5BDA"/>
    <w:rsid w:val="005C5CDB"/>
    <w:rsid w:val="005C5CF8"/>
    <w:rsid w:val="005C5D71"/>
    <w:rsid w:val="005C5F49"/>
    <w:rsid w:val="005C615D"/>
    <w:rsid w:val="005C6602"/>
    <w:rsid w:val="005C673D"/>
    <w:rsid w:val="005C68DD"/>
    <w:rsid w:val="005C6972"/>
    <w:rsid w:val="005C6A03"/>
    <w:rsid w:val="005C6A28"/>
    <w:rsid w:val="005C6BCF"/>
    <w:rsid w:val="005C6FBC"/>
    <w:rsid w:val="005C70F6"/>
    <w:rsid w:val="005C7105"/>
    <w:rsid w:val="005C7113"/>
    <w:rsid w:val="005C732A"/>
    <w:rsid w:val="005C756D"/>
    <w:rsid w:val="005C75E0"/>
    <w:rsid w:val="005C771D"/>
    <w:rsid w:val="005C7A33"/>
    <w:rsid w:val="005C7C19"/>
    <w:rsid w:val="005C7FA4"/>
    <w:rsid w:val="005D0421"/>
    <w:rsid w:val="005D0452"/>
    <w:rsid w:val="005D05EF"/>
    <w:rsid w:val="005D0675"/>
    <w:rsid w:val="005D0975"/>
    <w:rsid w:val="005D0DBA"/>
    <w:rsid w:val="005D0E05"/>
    <w:rsid w:val="005D0F05"/>
    <w:rsid w:val="005D1072"/>
    <w:rsid w:val="005D11F4"/>
    <w:rsid w:val="005D1225"/>
    <w:rsid w:val="005D1250"/>
    <w:rsid w:val="005D1622"/>
    <w:rsid w:val="005D1670"/>
    <w:rsid w:val="005D1AC7"/>
    <w:rsid w:val="005D1EE4"/>
    <w:rsid w:val="005D1F2F"/>
    <w:rsid w:val="005D1F81"/>
    <w:rsid w:val="005D209D"/>
    <w:rsid w:val="005D2161"/>
    <w:rsid w:val="005D21BF"/>
    <w:rsid w:val="005D224E"/>
    <w:rsid w:val="005D2355"/>
    <w:rsid w:val="005D23CB"/>
    <w:rsid w:val="005D246C"/>
    <w:rsid w:val="005D24CB"/>
    <w:rsid w:val="005D25A1"/>
    <w:rsid w:val="005D2735"/>
    <w:rsid w:val="005D2755"/>
    <w:rsid w:val="005D28C8"/>
    <w:rsid w:val="005D29BD"/>
    <w:rsid w:val="005D2F88"/>
    <w:rsid w:val="005D301A"/>
    <w:rsid w:val="005D3049"/>
    <w:rsid w:val="005D31A9"/>
    <w:rsid w:val="005D341E"/>
    <w:rsid w:val="005D3820"/>
    <w:rsid w:val="005D384C"/>
    <w:rsid w:val="005D3877"/>
    <w:rsid w:val="005D3A78"/>
    <w:rsid w:val="005D3B87"/>
    <w:rsid w:val="005D3D1E"/>
    <w:rsid w:val="005D3D37"/>
    <w:rsid w:val="005D3F6A"/>
    <w:rsid w:val="005D3FCA"/>
    <w:rsid w:val="005D4046"/>
    <w:rsid w:val="005D4293"/>
    <w:rsid w:val="005D43EE"/>
    <w:rsid w:val="005D4418"/>
    <w:rsid w:val="005D444C"/>
    <w:rsid w:val="005D46E8"/>
    <w:rsid w:val="005D46EE"/>
    <w:rsid w:val="005D4852"/>
    <w:rsid w:val="005D4905"/>
    <w:rsid w:val="005D4A54"/>
    <w:rsid w:val="005D4C4E"/>
    <w:rsid w:val="005D4E09"/>
    <w:rsid w:val="005D4EEE"/>
    <w:rsid w:val="005D508D"/>
    <w:rsid w:val="005D518A"/>
    <w:rsid w:val="005D5594"/>
    <w:rsid w:val="005D578B"/>
    <w:rsid w:val="005D58CA"/>
    <w:rsid w:val="005D5B98"/>
    <w:rsid w:val="005D5C6D"/>
    <w:rsid w:val="005D5C88"/>
    <w:rsid w:val="005D604E"/>
    <w:rsid w:val="005D61B4"/>
    <w:rsid w:val="005D61F7"/>
    <w:rsid w:val="005D6207"/>
    <w:rsid w:val="005D6226"/>
    <w:rsid w:val="005D6461"/>
    <w:rsid w:val="005D66C2"/>
    <w:rsid w:val="005D6897"/>
    <w:rsid w:val="005D6994"/>
    <w:rsid w:val="005D6ADA"/>
    <w:rsid w:val="005D6C80"/>
    <w:rsid w:val="005D6D1B"/>
    <w:rsid w:val="005D6E08"/>
    <w:rsid w:val="005D6E74"/>
    <w:rsid w:val="005D704C"/>
    <w:rsid w:val="005D7119"/>
    <w:rsid w:val="005D732F"/>
    <w:rsid w:val="005D7494"/>
    <w:rsid w:val="005D77E3"/>
    <w:rsid w:val="005D7994"/>
    <w:rsid w:val="005D7CC5"/>
    <w:rsid w:val="005D7D33"/>
    <w:rsid w:val="005D7DAB"/>
    <w:rsid w:val="005D7F14"/>
    <w:rsid w:val="005D7FAC"/>
    <w:rsid w:val="005E035F"/>
    <w:rsid w:val="005E046F"/>
    <w:rsid w:val="005E04E2"/>
    <w:rsid w:val="005E05A0"/>
    <w:rsid w:val="005E0662"/>
    <w:rsid w:val="005E123F"/>
    <w:rsid w:val="005E12DC"/>
    <w:rsid w:val="005E142A"/>
    <w:rsid w:val="005E149D"/>
    <w:rsid w:val="005E1590"/>
    <w:rsid w:val="005E162B"/>
    <w:rsid w:val="005E18E4"/>
    <w:rsid w:val="005E1939"/>
    <w:rsid w:val="005E1B6A"/>
    <w:rsid w:val="005E1BD5"/>
    <w:rsid w:val="005E1E59"/>
    <w:rsid w:val="005E1F0A"/>
    <w:rsid w:val="005E1FCB"/>
    <w:rsid w:val="005E1FDD"/>
    <w:rsid w:val="005E23FC"/>
    <w:rsid w:val="005E2516"/>
    <w:rsid w:val="005E2702"/>
    <w:rsid w:val="005E2DE3"/>
    <w:rsid w:val="005E2E7C"/>
    <w:rsid w:val="005E31FB"/>
    <w:rsid w:val="005E3224"/>
    <w:rsid w:val="005E3233"/>
    <w:rsid w:val="005E3383"/>
    <w:rsid w:val="005E342B"/>
    <w:rsid w:val="005E346C"/>
    <w:rsid w:val="005E3505"/>
    <w:rsid w:val="005E35E8"/>
    <w:rsid w:val="005E3676"/>
    <w:rsid w:val="005E3701"/>
    <w:rsid w:val="005E38FD"/>
    <w:rsid w:val="005E39B8"/>
    <w:rsid w:val="005E39BD"/>
    <w:rsid w:val="005E3B25"/>
    <w:rsid w:val="005E3B73"/>
    <w:rsid w:val="005E3BA9"/>
    <w:rsid w:val="005E3F92"/>
    <w:rsid w:val="005E40B5"/>
    <w:rsid w:val="005E4339"/>
    <w:rsid w:val="005E4519"/>
    <w:rsid w:val="005E4548"/>
    <w:rsid w:val="005E4600"/>
    <w:rsid w:val="005E476E"/>
    <w:rsid w:val="005E4863"/>
    <w:rsid w:val="005E49CE"/>
    <w:rsid w:val="005E4A9E"/>
    <w:rsid w:val="005E4AE1"/>
    <w:rsid w:val="005E4C75"/>
    <w:rsid w:val="005E4C92"/>
    <w:rsid w:val="005E4D2A"/>
    <w:rsid w:val="005E4E65"/>
    <w:rsid w:val="005E4EC8"/>
    <w:rsid w:val="005E4F85"/>
    <w:rsid w:val="005E4FA6"/>
    <w:rsid w:val="005E50F6"/>
    <w:rsid w:val="005E513A"/>
    <w:rsid w:val="005E5493"/>
    <w:rsid w:val="005E5681"/>
    <w:rsid w:val="005E582C"/>
    <w:rsid w:val="005E5B08"/>
    <w:rsid w:val="005E5C23"/>
    <w:rsid w:val="005E5C9B"/>
    <w:rsid w:val="005E605B"/>
    <w:rsid w:val="005E60F1"/>
    <w:rsid w:val="005E617B"/>
    <w:rsid w:val="005E6433"/>
    <w:rsid w:val="005E64A3"/>
    <w:rsid w:val="005E656D"/>
    <w:rsid w:val="005E66BB"/>
    <w:rsid w:val="005E67D5"/>
    <w:rsid w:val="005E68FC"/>
    <w:rsid w:val="005E697F"/>
    <w:rsid w:val="005E698B"/>
    <w:rsid w:val="005E6BCD"/>
    <w:rsid w:val="005E6CF0"/>
    <w:rsid w:val="005E6D1B"/>
    <w:rsid w:val="005E7051"/>
    <w:rsid w:val="005E71D3"/>
    <w:rsid w:val="005E7210"/>
    <w:rsid w:val="005E721B"/>
    <w:rsid w:val="005E72EE"/>
    <w:rsid w:val="005E750A"/>
    <w:rsid w:val="005E756C"/>
    <w:rsid w:val="005E756E"/>
    <w:rsid w:val="005E7822"/>
    <w:rsid w:val="005E792C"/>
    <w:rsid w:val="005E7A14"/>
    <w:rsid w:val="005E7B17"/>
    <w:rsid w:val="005E7C51"/>
    <w:rsid w:val="005E7D0E"/>
    <w:rsid w:val="005E7E01"/>
    <w:rsid w:val="005E7E67"/>
    <w:rsid w:val="005F07C1"/>
    <w:rsid w:val="005F07F1"/>
    <w:rsid w:val="005F09E9"/>
    <w:rsid w:val="005F0AD6"/>
    <w:rsid w:val="005F0B12"/>
    <w:rsid w:val="005F0D92"/>
    <w:rsid w:val="005F1078"/>
    <w:rsid w:val="005F10BB"/>
    <w:rsid w:val="005F110D"/>
    <w:rsid w:val="005F1170"/>
    <w:rsid w:val="005F11A3"/>
    <w:rsid w:val="005F11E5"/>
    <w:rsid w:val="005F12C6"/>
    <w:rsid w:val="005F1411"/>
    <w:rsid w:val="005F153A"/>
    <w:rsid w:val="005F158E"/>
    <w:rsid w:val="005F16DA"/>
    <w:rsid w:val="005F17AA"/>
    <w:rsid w:val="005F1906"/>
    <w:rsid w:val="005F1A6D"/>
    <w:rsid w:val="005F1C12"/>
    <w:rsid w:val="005F1C61"/>
    <w:rsid w:val="005F1D9E"/>
    <w:rsid w:val="005F1E2B"/>
    <w:rsid w:val="005F1E86"/>
    <w:rsid w:val="005F1EC3"/>
    <w:rsid w:val="005F1F0B"/>
    <w:rsid w:val="005F1FCF"/>
    <w:rsid w:val="005F201B"/>
    <w:rsid w:val="005F20C6"/>
    <w:rsid w:val="005F24BF"/>
    <w:rsid w:val="005F2683"/>
    <w:rsid w:val="005F2792"/>
    <w:rsid w:val="005F2B41"/>
    <w:rsid w:val="005F2C49"/>
    <w:rsid w:val="005F2E2C"/>
    <w:rsid w:val="005F2EB6"/>
    <w:rsid w:val="005F2EDD"/>
    <w:rsid w:val="005F3049"/>
    <w:rsid w:val="005F30AA"/>
    <w:rsid w:val="005F336F"/>
    <w:rsid w:val="005F347C"/>
    <w:rsid w:val="005F3486"/>
    <w:rsid w:val="005F367E"/>
    <w:rsid w:val="005F3AB1"/>
    <w:rsid w:val="005F3B1B"/>
    <w:rsid w:val="005F3B75"/>
    <w:rsid w:val="005F3B93"/>
    <w:rsid w:val="005F3BFF"/>
    <w:rsid w:val="005F3CD3"/>
    <w:rsid w:val="005F434F"/>
    <w:rsid w:val="005F436B"/>
    <w:rsid w:val="005F493B"/>
    <w:rsid w:val="005F4995"/>
    <w:rsid w:val="005F49DE"/>
    <w:rsid w:val="005F4C97"/>
    <w:rsid w:val="005F515E"/>
    <w:rsid w:val="005F5212"/>
    <w:rsid w:val="005F530F"/>
    <w:rsid w:val="005F55D5"/>
    <w:rsid w:val="005F5645"/>
    <w:rsid w:val="005F5668"/>
    <w:rsid w:val="005F5752"/>
    <w:rsid w:val="005F575E"/>
    <w:rsid w:val="005F57A5"/>
    <w:rsid w:val="005F58D7"/>
    <w:rsid w:val="005F58DF"/>
    <w:rsid w:val="005F59B1"/>
    <w:rsid w:val="005F5CEB"/>
    <w:rsid w:val="005F5CFA"/>
    <w:rsid w:val="005F5EB2"/>
    <w:rsid w:val="005F5EB8"/>
    <w:rsid w:val="005F5ED1"/>
    <w:rsid w:val="005F6162"/>
    <w:rsid w:val="005F6535"/>
    <w:rsid w:val="005F65B9"/>
    <w:rsid w:val="005F6701"/>
    <w:rsid w:val="005F6814"/>
    <w:rsid w:val="005F6E2A"/>
    <w:rsid w:val="005F7229"/>
    <w:rsid w:val="005F73E0"/>
    <w:rsid w:val="005F7437"/>
    <w:rsid w:val="005F7525"/>
    <w:rsid w:val="005F75C3"/>
    <w:rsid w:val="005F76B6"/>
    <w:rsid w:val="005F7874"/>
    <w:rsid w:val="005F7CD7"/>
    <w:rsid w:val="005F7F52"/>
    <w:rsid w:val="005F7F7A"/>
    <w:rsid w:val="006001E1"/>
    <w:rsid w:val="0060024D"/>
    <w:rsid w:val="0060033E"/>
    <w:rsid w:val="0060039C"/>
    <w:rsid w:val="006004F0"/>
    <w:rsid w:val="006004F6"/>
    <w:rsid w:val="0060059B"/>
    <w:rsid w:val="00600AA6"/>
    <w:rsid w:val="00600D9D"/>
    <w:rsid w:val="00600E20"/>
    <w:rsid w:val="00600F2B"/>
    <w:rsid w:val="00601085"/>
    <w:rsid w:val="00601086"/>
    <w:rsid w:val="00601133"/>
    <w:rsid w:val="00601289"/>
    <w:rsid w:val="006013E4"/>
    <w:rsid w:val="00601598"/>
    <w:rsid w:val="00601774"/>
    <w:rsid w:val="00601825"/>
    <w:rsid w:val="00601998"/>
    <w:rsid w:val="006019E7"/>
    <w:rsid w:val="00601BEE"/>
    <w:rsid w:val="00601ED7"/>
    <w:rsid w:val="00601F1E"/>
    <w:rsid w:val="00601F2A"/>
    <w:rsid w:val="0060201D"/>
    <w:rsid w:val="00602109"/>
    <w:rsid w:val="00602379"/>
    <w:rsid w:val="00602423"/>
    <w:rsid w:val="00602799"/>
    <w:rsid w:val="006028C8"/>
    <w:rsid w:val="00602B15"/>
    <w:rsid w:val="00602B82"/>
    <w:rsid w:val="00602C6C"/>
    <w:rsid w:val="0060302C"/>
    <w:rsid w:val="0060305C"/>
    <w:rsid w:val="0060321D"/>
    <w:rsid w:val="006032FB"/>
    <w:rsid w:val="006035BB"/>
    <w:rsid w:val="0060361E"/>
    <w:rsid w:val="00603774"/>
    <w:rsid w:val="006039DA"/>
    <w:rsid w:val="00603B2D"/>
    <w:rsid w:val="00603C2E"/>
    <w:rsid w:val="00603E0B"/>
    <w:rsid w:val="006040E2"/>
    <w:rsid w:val="0060419C"/>
    <w:rsid w:val="00604608"/>
    <w:rsid w:val="00604721"/>
    <w:rsid w:val="00604D05"/>
    <w:rsid w:val="00604D26"/>
    <w:rsid w:val="00604DA9"/>
    <w:rsid w:val="0060518B"/>
    <w:rsid w:val="006052C9"/>
    <w:rsid w:val="006052F9"/>
    <w:rsid w:val="0060532E"/>
    <w:rsid w:val="006057BE"/>
    <w:rsid w:val="00605828"/>
    <w:rsid w:val="0060595A"/>
    <w:rsid w:val="00605D30"/>
    <w:rsid w:val="00605DCA"/>
    <w:rsid w:val="00605F43"/>
    <w:rsid w:val="00605FA9"/>
    <w:rsid w:val="00605FED"/>
    <w:rsid w:val="00605FF0"/>
    <w:rsid w:val="00606027"/>
    <w:rsid w:val="00606064"/>
    <w:rsid w:val="006062F8"/>
    <w:rsid w:val="006063B9"/>
    <w:rsid w:val="00606403"/>
    <w:rsid w:val="00606538"/>
    <w:rsid w:val="0060686D"/>
    <w:rsid w:val="00606872"/>
    <w:rsid w:val="006069C8"/>
    <w:rsid w:val="00606BF3"/>
    <w:rsid w:val="00606E6F"/>
    <w:rsid w:val="00606ECC"/>
    <w:rsid w:val="00606EFC"/>
    <w:rsid w:val="006070EA"/>
    <w:rsid w:val="0060736E"/>
    <w:rsid w:val="0060746F"/>
    <w:rsid w:val="006075CD"/>
    <w:rsid w:val="006077F3"/>
    <w:rsid w:val="00607912"/>
    <w:rsid w:val="00607BB0"/>
    <w:rsid w:val="006100D2"/>
    <w:rsid w:val="00610117"/>
    <w:rsid w:val="006102F2"/>
    <w:rsid w:val="00610592"/>
    <w:rsid w:val="0061095D"/>
    <w:rsid w:val="00610A7E"/>
    <w:rsid w:val="00610B4C"/>
    <w:rsid w:val="00610C60"/>
    <w:rsid w:val="00610CD4"/>
    <w:rsid w:val="00610CE2"/>
    <w:rsid w:val="00610D3B"/>
    <w:rsid w:val="00610E52"/>
    <w:rsid w:val="00610FCE"/>
    <w:rsid w:val="00611039"/>
    <w:rsid w:val="00611632"/>
    <w:rsid w:val="00611887"/>
    <w:rsid w:val="00611C2B"/>
    <w:rsid w:val="00611D36"/>
    <w:rsid w:val="00612093"/>
    <w:rsid w:val="00612183"/>
    <w:rsid w:val="00612206"/>
    <w:rsid w:val="0061229E"/>
    <w:rsid w:val="006122B8"/>
    <w:rsid w:val="006123FF"/>
    <w:rsid w:val="00612641"/>
    <w:rsid w:val="00612678"/>
    <w:rsid w:val="0061277F"/>
    <w:rsid w:val="006127AC"/>
    <w:rsid w:val="006127CF"/>
    <w:rsid w:val="006129EC"/>
    <w:rsid w:val="006129F0"/>
    <w:rsid w:val="00612A4E"/>
    <w:rsid w:val="00612A62"/>
    <w:rsid w:val="00612C1F"/>
    <w:rsid w:val="00612D36"/>
    <w:rsid w:val="00612DBD"/>
    <w:rsid w:val="00612F25"/>
    <w:rsid w:val="00613133"/>
    <w:rsid w:val="00613251"/>
    <w:rsid w:val="00613464"/>
    <w:rsid w:val="00613560"/>
    <w:rsid w:val="00613945"/>
    <w:rsid w:val="0061397A"/>
    <w:rsid w:val="006139F9"/>
    <w:rsid w:val="00613ABD"/>
    <w:rsid w:val="00613AC6"/>
    <w:rsid w:val="00613EC6"/>
    <w:rsid w:val="006142A9"/>
    <w:rsid w:val="006142D4"/>
    <w:rsid w:val="00614314"/>
    <w:rsid w:val="00614554"/>
    <w:rsid w:val="006148DE"/>
    <w:rsid w:val="006148FD"/>
    <w:rsid w:val="00614CDD"/>
    <w:rsid w:val="00614D70"/>
    <w:rsid w:val="00614D94"/>
    <w:rsid w:val="00614FC4"/>
    <w:rsid w:val="00615078"/>
    <w:rsid w:val="0061515B"/>
    <w:rsid w:val="0061535F"/>
    <w:rsid w:val="00615609"/>
    <w:rsid w:val="0061565E"/>
    <w:rsid w:val="00615B9C"/>
    <w:rsid w:val="00615CFB"/>
    <w:rsid w:val="00616242"/>
    <w:rsid w:val="0061637E"/>
    <w:rsid w:val="006164C7"/>
    <w:rsid w:val="00616547"/>
    <w:rsid w:val="00616894"/>
    <w:rsid w:val="006168DF"/>
    <w:rsid w:val="006168F5"/>
    <w:rsid w:val="006169B3"/>
    <w:rsid w:val="006169F1"/>
    <w:rsid w:val="00616ACA"/>
    <w:rsid w:val="00616D7E"/>
    <w:rsid w:val="00616DF6"/>
    <w:rsid w:val="00616E86"/>
    <w:rsid w:val="00616FD4"/>
    <w:rsid w:val="00617051"/>
    <w:rsid w:val="006170FA"/>
    <w:rsid w:val="00617208"/>
    <w:rsid w:val="00617338"/>
    <w:rsid w:val="00617466"/>
    <w:rsid w:val="006175C6"/>
    <w:rsid w:val="00617772"/>
    <w:rsid w:val="006178CD"/>
    <w:rsid w:val="00617985"/>
    <w:rsid w:val="00617A5F"/>
    <w:rsid w:val="00617C21"/>
    <w:rsid w:val="00617D5D"/>
    <w:rsid w:val="00617DA8"/>
    <w:rsid w:val="00617F46"/>
    <w:rsid w:val="00617F50"/>
    <w:rsid w:val="0062009C"/>
    <w:rsid w:val="00620519"/>
    <w:rsid w:val="006206D9"/>
    <w:rsid w:val="006207AF"/>
    <w:rsid w:val="00620835"/>
    <w:rsid w:val="0062083D"/>
    <w:rsid w:val="006208AF"/>
    <w:rsid w:val="006208D0"/>
    <w:rsid w:val="00620924"/>
    <w:rsid w:val="00620C41"/>
    <w:rsid w:val="00620F8D"/>
    <w:rsid w:val="006211F5"/>
    <w:rsid w:val="00621514"/>
    <w:rsid w:val="00621676"/>
    <w:rsid w:val="0062168F"/>
    <w:rsid w:val="00621748"/>
    <w:rsid w:val="006217C2"/>
    <w:rsid w:val="00621949"/>
    <w:rsid w:val="00621A00"/>
    <w:rsid w:val="00621A19"/>
    <w:rsid w:val="00621E1F"/>
    <w:rsid w:val="0062214A"/>
    <w:rsid w:val="00622170"/>
    <w:rsid w:val="00622275"/>
    <w:rsid w:val="00622279"/>
    <w:rsid w:val="006225AE"/>
    <w:rsid w:val="0062277C"/>
    <w:rsid w:val="00622A1B"/>
    <w:rsid w:val="00622A23"/>
    <w:rsid w:val="00622A6C"/>
    <w:rsid w:val="00622B75"/>
    <w:rsid w:val="00622BF0"/>
    <w:rsid w:val="00622CDB"/>
    <w:rsid w:val="00622F1D"/>
    <w:rsid w:val="00623016"/>
    <w:rsid w:val="00623091"/>
    <w:rsid w:val="006230E0"/>
    <w:rsid w:val="006234C8"/>
    <w:rsid w:val="006234E1"/>
    <w:rsid w:val="006235DF"/>
    <w:rsid w:val="006236DF"/>
    <w:rsid w:val="00623749"/>
    <w:rsid w:val="00623801"/>
    <w:rsid w:val="00623897"/>
    <w:rsid w:val="00623966"/>
    <w:rsid w:val="00623A77"/>
    <w:rsid w:val="00623BF1"/>
    <w:rsid w:val="00623E9A"/>
    <w:rsid w:val="00623FF2"/>
    <w:rsid w:val="0062403B"/>
    <w:rsid w:val="006240EC"/>
    <w:rsid w:val="00624308"/>
    <w:rsid w:val="0062476F"/>
    <w:rsid w:val="0062495B"/>
    <w:rsid w:val="00624B1B"/>
    <w:rsid w:val="00624E42"/>
    <w:rsid w:val="00624E60"/>
    <w:rsid w:val="00624FF6"/>
    <w:rsid w:val="0062503F"/>
    <w:rsid w:val="00625133"/>
    <w:rsid w:val="00625348"/>
    <w:rsid w:val="00625533"/>
    <w:rsid w:val="00625620"/>
    <w:rsid w:val="0062590E"/>
    <w:rsid w:val="00625971"/>
    <w:rsid w:val="00625B01"/>
    <w:rsid w:val="00625B74"/>
    <w:rsid w:val="00625DED"/>
    <w:rsid w:val="00625E06"/>
    <w:rsid w:val="00625FAA"/>
    <w:rsid w:val="00626018"/>
    <w:rsid w:val="006261B7"/>
    <w:rsid w:val="00626251"/>
    <w:rsid w:val="00626554"/>
    <w:rsid w:val="006265F3"/>
    <w:rsid w:val="00626636"/>
    <w:rsid w:val="006268E0"/>
    <w:rsid w:val="00626AA2"/>
    <w:rsid w:val="00626AB0"/>
    <w:rsid w:val="00626AEF"/>
    <w:rsid w:val="00626C0F"/>
    <w:rsid w:val="00626C9F"/>
    <w:rsid w:val="00626E0F"/>
    <w:rsid w:val="00626F4B"/>
    <w:rsid w:val="0062726C"/>
    <w:rsid w:val="00627299"/>
    <w:rsid w:val="0062733D"/>
    <w:rsid w:val="006273C2"/>
    <w:rsid w:val="006275E3"/>
    <w:rsid w:val="0062769F"/>
    <w:rsid w:val="006276C9"/>
    <w:rsid w:val="006276FB"/>
    <w:rsid w:val="00627797"/>
    <w:rsid w:val="006278B4"/>
    <w:rsid w:val="0062793D"/>
    <w:rsid w:val="00627BFA"/>
    <w:rsid w:val="00627CDD"/>
    <w:rsid w:val="00627D42"/>
    <w:rsid w:val="006300A7"/>
    <w:rsid w:val="00630161"/>
    <w:rsid w:val="00630250"/>
    <w:rsid w:val="00630326"/>
    <w:rsid w:val="00630608"/>
    <w:rsid w:val="0063060B"/>
    <w:rsid w:val="006306CF"/>
    <w:rsid w:val="00630708"/>
    <w:rsid w:val="00630914"/>
    <w:rsid w:val="00630A67"/>
    <w:rsid w:val="00630C17"/>
    <w:rsid w:val="00630CDA"/>
    <w:rsid w:val="00630EEB"/>
    <w:rsid w:val="00630FA7"/>
    <w:rsid w:val="006310F3"/>
    <w:rsid w:val="006311C5"/>
    <w:rsid w:val="00631265"/>
    <w:rsid w:val="006313CE"/>
    <w:rsid w:val="006316F8"/>
    <w:rsid w:val="00631837"/>
    <w:rsid w:val="00631875"/>
    <w:rsid w:val="006318BE"/>
    <w:rsid w:val="00631974"/>
    <w:rsid w:val="00631988"/>
    <w:rsid w:val="006319CC"/>
    <w:rsid w:val="00631BDB"/>
    <w:rsid w:val="00631C16"/>
    <w:rsid w:val="00631F2C"/>
    <w:rsid w:val="0063202B"/>
    <w:rsid w:val="00632166"/>
    <w:rsid w:val="006325B5"/>
    <w:rsid w:val="006325CD"/>
    <w:rsid w:val="006326B1"/>
    <w:rsid w:val="006326B7"/>
    <w:rsid w:val="0063286F"/>
    <w:rsid w:val="0063297B"/>
    <w:rsid w:val="006329E1"/>
    <w:rsid w:val="006329F6"/>
    <w:rsid w:val="00632B09"/>
    <w:rsid w:val="00632BDF"/>
    <w:rsid w:val="00632C79"/>
    <w:rsid w:val="00632D1D"/>
    <w:rsid w:val="00632DFE"/>
    <w:rsid w:val="00632E21"/>
    <w:rsid w:val="00632F69"/>
    <w:rsid w:val="00633021"/>
    <w:rsid w:val="00633086"/>
    <w:rsid w:val="006332AA"/>
    <w:rsid w:val="006333AD"/>
    <w:rsid w:val="0063374D"/>
    <w:rsid w:val="0063374F"/>
    <w:rsid w:val="006338E8"/>
    <w:rsid w:val="00633B75"/>
    <w:rsid w:val="00633D8A"/>
    <w:rsid w:val="00633DD0"/>
    <w:rsid w:val="00633E94"/>
    <w:rsid w:val="00633E9F"/>
    <w:rsid w:val="00633F77"/>
    <w:rsid w:val="00633F9A"/>
    <w:rsid w:val="00633FCA"/>
    <w:rsid w:val="006342F8"/>
    <w:rsid w:val="0063439A"/>
    <w:rsid w:val="00634660"/>
    <w:rsid w:val="006346EF"/>
    <w:rsid w:val="00634911"/>
    <w:rsid w:val="00634D53"/>
    <w:rsid w:val="0063517F"/>
    <w:rsid w:val="00635445"/>
    <w:rsid w:val="006354A7"/>
    <w:rsid w:val="006354EA"/>
    <w:rsid w:val="006356CF"/>
    <w:rsid w:val="006358C2"/>
    <w:rsid w:val="006358DA"/>
    <w:rsid w:val="006359AB"/>
    <w:rsid w:val="00635AC1"/>
    <w:rsid w:val="00635B70"/>
    <w:rsid w:val="00635DB8"/>
    <w:rsid w:val="00635DEA"/>
    <w:rsid w:val="00635E1F"/>
    <w:rsid w:val="00635E83"/>
    <w:rsid w:val="00635EE9"/>
    <w:rsid w:val="00635F2E"/>
    <w:rsid w:val="00635F67"/>
    <w:rsid w:val="0063606C"/>
    <w:rsid w:val="00636218"/>
    <w:rsid w:val="00636389"/>
    <w:rsid w:val="00636395"/>
    <w:rsid w:val="00636945"/>
    <w:rsid w:val="00636B04"/>
    <w:rsid w:val="00636CA1"/>
    <w:rsid w:val="00636E80"/>
    <w:rsid w:val="006371D7"/>
    <w:rsid w:val="006372A2"/>
    <w:rsid w:val="00637358"/>
    <w:rsid w:val="006373AD"/>
    <w:rsid w:val="0063747F"/>
    <w:rsid w:val="006374D9"/>
    <w:rsid w:val="0063753A"/>
    <w:rsid w:val="006377E4"/>
    <w:rsid w:val="00637958"/>
    <w:rsid w:val="00637A0C"/>
    <w:rsid w:val="00637C12"/>
    <w:rsid w:val="00637DED"/>
    <w:rsid w:val="00637EA6"/>
    <w:rsid w:val="00637FC0"/>
    <w:rsid w:val="006400C1"/>
    <w:rsid w:val="0064014A"/>
    <w:rsid w:val="0064020F"/>
    <w:rsid w:val="00640236"/>
    <w:rsid w:val="0064037F"/>
    <w:rsid w:val="006404B7"/>
    <w:rsid w:val="00640510"/>
    <w:rsid w:val="00640558"/>
    <w:rsid w:val="00640F7F"/>
    <w:rsid w:val="00640FFE"/>
    <w:rsid w:val="0064116D"/>
    <w:rsid w:val="0064131F"/>
    <w:rsid w:val="00641505"/>
    <w:rsid w:val="00641574"/>
    <w:rsid w:val="0064162A"/>
    <w:rsid w:val="006417E3"/>
    <w:rsid w:val="006417F0"/>
    <w:rsid w:val="00641B73"/>
    <w:rsid w:val="00641FE4"/>
    <w:rsid w:val="006420CD"/>
    <w:rsid w:val="006423D0"/>
    <w:rsid w:val="00642B9B"/>
    <w:rsid w:val="00642BA3"/>
    <w:rsid w:val="00642C09"/>
    <w:rsid w:val="00643256"/>
    <w:rsid w:val="00643355"/>
    <w:rsid w:val="006433FC"/>
    <w:rsid w:val="00643574"/>
    <w:rsid w:val="006435B1"/>
    <w:rsid w:val="006436A6"/>
    <w:rsid w:val="006437D6"/>
    <w:rsid w:val="00643925"/>
    <w:rsid w:val="00643929"/>
    <w:rsid w:val="00643973"/>
    <w:rsid w:val="006439DD"/>
    <w:rsid w:val="00643A02"/>
    <w:rsid w:val="00643D85"/>
    <w:rsid w:val="00643D94"/>
    <w:rsid w:val="00644238"/>
    <w:rsid w:val="00644522"/>
    <w:rsid w:val="006445C7"/>
    <w:rsid w:val="006445D9"/>
    <w:rsid w:val="006448F9"/>
    <w:rsid w:val="0064498E"/>
    <w:rsid w:val="00644D71"/>
    <w:rsid w:val="00644EE3"/>
    <w:rsid w:val="00645051"/>
    <w:rsid w:val="00645082"/>
    <w:rsid w:val="00645352"/>
    <w:rsid w:val="00645367"/>
    <w:rsid w:val="00645456"/>
    <w:rsid w:val="00645536"/>
    <w:rsid w:val="00645549"/>
    <w:rsid w:val="006456E3"/>
    <w:rsid w:val="006457E8"/>
    <w:rsid w:val="0064593B"/>
    <w:rsid w:val="006459E6"/>
    <w:rsid w:val="00645C28"/>
    <w:rsid w:val="00645E3B"/>
    <w:rsid w:val="00646188"/>
    <w:rsid w:val="006461EB"/>
    <w:rsid w:val="006461FC"/>
    <w:rsid w:val="006462D1"/>
    <w:rsid w:val="00646316"/>
    <w:rsid w:val="006463F9"/>
    <w:rsid w:val="006465A2"/>
    <w:rsid w:val="0064674E"/>
    <w:rsid w:val="00646A15"/>
    <w:rsid w:val="00646A60"/>
    <w:rsid w:val="00646B20"/>
    <w:rsid w:val="00646D30"/>
    <w:rsid w:val="00646FDB"/>
    <w:rsid w:val="00647024"/>
    <w:rsid w:val="00647076"/>
    <w:rsid w:val="006470C0"/>
    <w:rsid w:val="0064723F"/>
    <w:rsid w:val="00647386"/>
    <w:rsid w:val="0064738C"/>
    <w:rsid w:val="0064745D"/>
    <w:rsid w:val="006477DB"/>
    <w:rsid w:val="00647869"/>
    <w:rsid w:val="006478B9"/>
    <w:rsid w:val="006478F0"/>
    <w:rsid w:val="00647B70"/>
    <w:rsid w:val="00647BBA"/>
    <w:rsid w:val="00647BDF"/>
    <w:rsid w:val="00647F17"/>
    <w:rsid w:val="00647FC3"/>
    <w:rsid w:val="00647FCE"/>
    <w:rsid w:val="00647FEE"/>
    <w:rsid w:val="006500A5"/>
    <w:rsid w:val="006500F5"/>
    <w:rsid w:val="006500FB"/>
    <w:rsid w:val="00650248"/>
    <w:rsid w:val="0065036C"/>
    <w:rsid w:val="006504D6"/>
    <w:rsid w:val="006504E5"/>
    <w:rsid w:val="0065061C"/>
    <w:rsid w:val="0065068E"/>
    <w:rsid w:val="0065079E"/>
    <w:rsid w:val="006508D2"/>
    <w:rsid w:val="006509D5"/>
    <w:rsid w:val="00650B9C"/>
    <w:rsid w:val="00650FFA"/>
    <w:rsid w:val="00651029"/>
    <w:rsid w:val="006510E3"/>
    <w:rsid w:val="006511E9"/>
    <w:rsid w:val="00651216"/>
    <w:rsid w:val="006517E4"/>
    <w:rsid w:val="006517F3"/>
    <w:rsid w:val="006518E7"/>
    <w:rsid w:val="00651B90"/>
    <w:rsid w:val="00651D93"/>
    <w:rsid w:val="00651F49"/>
    <w:rsid w:val="00652011"/>
    <w:rsid w:val="006520EE"/>
    <w:rsid w:val="00652193"/>
    <w:rsid w:val="006522AD"/>
    <w:rsid w:val="00652668"/>
    <w:rsid w:val="0065279F"/>
    <w:rsid w:val="006527B7"/>
    <w:rsid w:val="00652AE8"/>
    <w:rsid w:val="00652B74"/>
    <w:rsid w:val="00652BE0"/>
    <w:rsid w:val="00652CC3"/>
    <w:rsid w:val="00652F4E"/>
    <w:rsid w:val="00652F4F"/>
    <w:rsid w:val="00653250"/>
    <w:rsid w:val="00653256"/>
    <w:rsid w:val="00653836"/>
    <w:rsid w:val="00653972"/>
    <w:rsid w:val="006539A4"/>
    <w:rsid w:val="00653B1D"/>
    <w:rsid w:val="00653CA8"/>
    <w:rsid w:val="00653D2B"/>
    <w:rsid w:val="00653D98"/>
    <w:rsid w:val="00653D9C"/>
    <w:rsid w:val="00654148"/>
    <w:rsid w:val="006541B5"/>
    <w:rsid w:val="00654349"/>
    <w:rsid w:val="006544AD"/>
    <w:rsid w:val="006546E5"/>
    <w:rsid w:val="006549A0"/>
    <w:rsid w:val="00654C86"/>
    <w:rsid w:val="00654CB2"/>
    <w:rsid w:val="00654CF3"/>
    <w:rsid w:val="00654D83"/>
    <w:rsid w:val="00654DDE"/>
    <w:rsid w:val="00655119"/>
    <w:rsid w:val="00655122"/>
    <w:rsid w:val="006551BF"/>
    <w:rsid w:val="00655280"/>
    <w:rsid w:val="00655471"/>
    <w:rsid w:val="00655533"/>
    <w:rsid w:val="006555DA"/>
    <w:rsid w:val="006556DD"/>
    <w:rsid w:val="00655A98"/>
    <w:rsid w:val="00655E12"/>
    <w:rsid w:val="006560C2"/>
    <w:rsid w:val="0065669D"/>
    <w:rsid w:val="00656729"/>
    <w:rsid w:val="006567BB"/>
    <w:rsid w:val="006568AA"/>
    <w:rsid w:val="00656967"/>
    <w:rsid w:val="006569E2"/>
    <w:rsid w:val="00656A22"/>
    <w:rsid w:val="00656A40"/>
    <w:rsid w:val="00656CDA"/>
    <w:rsid w:val="00656D21"/>
    <w:rsid w:val="00656D38"/>
    <w:rsid w:val="00656EFF"/>
    <w:rsid w:val="00656FA0"/>
    <w:rsid w:val="006570A7"/>
    <w:rsid w:val="0065719E"/>
    <w:rsid w:val="006571AD"/>
    <w:rsid w:val="006572A0"/>
    <w:rsid w:val="006572F4"/>
    <w:rsid w:val="00657467"/>
    <w:rsid w:val="0065746B"/>
    <w:rsid w:val="0065761E"/>
    <w:rsid w:val="006576A9"/>
    <w:rsid w:val="006576CE"/>
    <w:rsid w:val="00657711"/>
    <w:rsid w:val="006577E8"/>
    <w:rsid w:val="006579AD"/>
    <w:rsid w:val="006579C7"/>
    <w:rsid w:val="00657A5E"/>
    <w:rsid w:val="00657D19"/>
    <w:rsid w:val="00657D1B"/>
    <w:rsid w:val="00657D2E"/>
    <w:rsid w:val="00657E52"/>
    <w:rsid w:val="00660289"/>
    <w:rsid w:val="0066030D"/>
    <w:rsid w:val="006604E6"/>
    <w:rsid w:val="006609B7"/>
    <w:rsid w:val="00660A13"/>
    <w:rsid w:val="00660ADD"/>
    <w:rsid w:val="00660DD1"/>
    <w:rsid w:val="00660DD9"/>
    <w:rsid w:val="00660F1E"/>
    <w:rsid w:val="00660FCE"/>
    <w:rsid w:val="00660FD1"/>
    <w:rsid w:val="006611E9"/>
    <w:rsid w:val="00661218"/>
    <w:rsid w:val="0066167B"/>
    <w:rsid w:val="00661785"/>
    <w:rsid w:val="00661B79"/>
    <w:rsid w:val="00661D3C"/>
    <w:rsid w:val="00661DCA"/>
    <w:rsid w:val="00661E65"/>
    <w:rsid w:val="00661ED4"/>
    <w:rsid w:val="00661FAD"/>
    <w:rsid w:val="006620A1"/>
    <w:rsid w:val="0066213D"/>
    <w:rsid w:val="006621CE"/>
    <w:rsid w:val="006622C3"/>
    <w:rsid w:val="006623AC"/>
    <w:rsid w:val="00662664"/>
    <w:rsid w:val="00662676"/>
    <w:rsid w:val="006627DB"/>
    <w:rsid w:val="00662815"/>
    <w:rsid w:val="00662826"/>
    <w:rsid w:val="006628CC"/>
    <w:rsid w:val="00662CAB"/>
    <w:rsid w:val="00662FBC"/>
    <w:rsid w:val="00663021"/>
    <w:rsid w:val="0066319F"/>
    <w:rsid w:val="006634D1"/>
    <w:rsid w:val="0066358C"/>
    <w:rsid w:val="006636B6"/>
    <w:rsid w:val="006638B1"/>
    <w:rsid w:val="00663A6F"/>
    <w:rsid w:val="00663B92"/>
    <w:rsid w:val="00663BAA"/>
    <w:rsid w:val="00663C3A"/>
    <w:rsid w:val="00663C84"/>
    <w:rsid w:val="00663CC0"/>
    <w:rsid w:val="00663CFE"/>
    <w:rsid w:val="00663D83"/>
    <w:rsid w:val="00663F9E"/>
    <w:rsid w:val="00664061"/>
    <w:rsid w:val="006642E9"/>
    <w:rsid w:val="0066434E"/>
    <w:rsid w:val="006643F3"/>
    <w:rsid w:val="00664677"/>
    <w:rsid w:val="0066472C"/>
    <w:rsid w:val="006647A2"/>
    <w:rsid w:val="00664997"/>
    <w:rsid w:val="00664B03"/>
    <w:rsid w:val="00664EF4"/>
    <w:rsid w:val="00664F1B"/>
    <w:rsid w:val="00665225"/>
    <w:rsid w:val="006652C9"/>
    <w:rsid w:val="006653E0"/>
    <w:rsid w:val="006654B2"/>
    <w:rsid w:val="006655FE"/>
    <w:rsid w:val="00665843"/>
    <w:rsid w:val="00665A75"/>
    <w:rsid w:val="00665AB8"/>
    <w:rsid w:val="00665B72"/>
    <w:rsid w:val="00665BFC"/>
    <w:rsid w:val="00665DBF"/>
    <w:rsid w:val="00665DE1"/>
    <w:rsid w:val="00665E80"/>
    <w:rsid w:val="00665FD9"/>
    <w:rsid w:val="00666402"/>
    <w:rsid w:val="00666717"/>
    <w:rsid w:val="00666BDF"/>
    <w:rsid w:val="00666C4E"/>
    <w:rsid w:val="00666DAF"/>
    <w:rsid w:val="00666E2F"/>
    <w:rsid w:val="00666F54"/>
    <w:rsid w:val="006671C6"/>
    <w:rsid w:val="006672A3"/>
    <w:rsid w:val="006674B5"/>
    <w:rsid w:val="00667525"/>
    <w:rsid w:val="00667668"/>
    <w:rsid w:val="00667943"/>
    <w:rsid w:val="00667980"/>
    <w:rsid w:val="00667A00"/>
    <w:rsid w:val="00667A34"/>
    <w:rsid w:val="00667B54"/>
    <w:rsid w:val="00667C5E"/>
    <w:rsid w:val="00667E3B"/>
    <w:rsid w:val="00670178"/>
    <w:rsid w:val="00670209"/>
    <w:rsid w:val="006703C0"/>
    <w:rsid w:val="00670412"/>
    <w:rsid w:val="006705CA"/>
    <w:rsid w:val="00670692"/>
    <w:rsid w:val="00670789"/>
    <w:rsid w:val="00670817"/>
    <w:rsid w:val="006708C8"/>
    <w:rsid w:val="0067097E"/>
    <w:rsid w:val="00670BD5"/>
    <w:rsid w:val="00670EB5"/>
    <w:rsid w:val="00670EF0"/>
    <w:rsid w:val="00671077"/>
    <w:rsid w:val="006710A7"/>
    <w:rsid w:val="00671200"/>
    <w:rsid w:val="006714CD"/>
    <w:rsid w:val="0067162B"/>
    <w:rsid w:val="006719B8"/>
    <w:rsid w:val="00671E02"/>
    <w:rsid w:val="00671E12"/>
    <w:rsid w:val="00671E3A"/>
    <w:rsid w:val="00672388"/>
    <w:rsid w:val="006723A7"/>
    <w:rsid w:val="006724EB"/>
    <w:rsid w:val="00672A33"/>
    <w:rsid w:val="00672A95"/>
    <w:rsid w:val="00672D1B"/>
    <w:rsid w:val="00672D43"/>
    <w:rsid w:val="00672F13"/>
    <w:rsid w:val="00673297"/>
    <w:rsid w:val="006732B1"/>
    <w:rsid w:val="00673471"/>
    <w:rsid w:val="00673899"/>
    <w:rsid w:val="00673C63"/>
    <w:rsid w:val="00673E79"/>
    <w:rsid w:val="00674085"/>
    <w:rsid w:val="00674177"/>
    <w:rsid w:val="00674193"/>
    <w:rsid w:val="0067438A"/>
    <w:rsid w:val="0067439A"/>
    <w:rsid w:val="006744CC"/>
    <w:rsid w:val="00674668"/>
    <w:rsid w:val="00674799"/>
    <w:rsid w:val="00674A64"/>
    <w:rsid w:val="00674B37"/>
    <w:rsid w:val="00674D5D"/>
    <w:rsid w:val="00674E42"/>
    <w:rsid w:val="0067509A"/>
    <w:rsid w:val="0067521F"/>
    <w:rsid w:val="0067559D"/>
    <w:rsid w:val="0067598A"/>
    <w:rsid w:val="006759A7"/>
    <w:rsid w:val="00675D14"/>
    <w:rsid w:val="00675D47"/>
    <w:rsid w:val="00675FD3"/>
    <w:rsid w:val="00676045"/>
    <w:rsid w:val="0067612E"/>
    <w:rsid w:val="00676136"/>
    <w:rsid w:val="00676203"/>
    <w:rsid w:val="006764E9"/>
    <w:rsid w:val="006766BC"/>
    <w:rsid w:val="006767B9"/>
    <w:rsid w:val="006767D9"/>
    <w:rsid w:val="00676A62"/>
    <w:rsid w:val="00676AAE"/>
    <w:rsid w:val="00676AD7"/>
    <w:rsid w:val="00676D45"/>
    <w:rsid w:val="00676EA6"/>
    <w:rsid w:val="00677168"/>
    <w:rsid w:val="00677192"/>
    <w:rsid w:val="0067756C"/>
    <w:rsid w:val="006775A0"/>
    <w:rsid w:val="0067766D"/>
    <w:rsid w:val="00677925"/>
    <w:rsid w:val="00677B17"/>
    <w:rsid w:val="00677BED"/>
    <w:rsid w:val="00677EBB"/>
    <w:rsid w:val="00677EBE"/>
    <w:rsid w:val="00677F64"/>
    <w:rsid w:val="00677FE5"/>
    <w:rsid w:val="0068007E"/>
    <w:rsid w:val="006801A7"/>
    <w:rsid w:val="00680441"/>
    <w:rsid w:val="006804E4"/>
    <w:rsid w:val="00680548"/>
    <w:rsid w:val="006805D6"/>
    <w:rsid w:val="00680645"/>
    <w:rsid w:val="006806A4"/>
    <w:rsid w:val="00680768"/>
    <w:rsid w:val="006807B7"/>
    <w:rsid w:val="006807C9"/>
    <w:rsid w:val="006808B1"/>
    <w:rsid w:val="00680A85"/>
    <w:rsid w:val="00680C1B"/>
    <w:rsid w:val="00680C28"/>
    <w:rsid w:val="00680DCC"/>
    <w:rsid w:val="00680DE7"/>
    <w:rsid w:val="006812CA"/>
    <w:rsid w:val="00681532"/>
    <w:rsid w:val="00681783"/>
    <w:rsid w:val="0068198E"/>
    <w:rsid w:val="00681AFD"/>
    <w:rsid w:val="00681B1C"/>
    <w:rsid w:val="00681C7B"/>
    <w:rsid w:val="00681F16"/>
    <w:rsid w:val="00681F45"/>
    <w:rsid w:val="00681F61"/>
    <w:rsid w:val="00681F69"/>
    <w:rsid w:val="00682149"/>
    <w:rsid w:val="00682179"/>
    <w:rsid w:val="0068242C"/>
    <w:rsid w:val="00682486"/>
    <w:rsid w:val="00682494"/>
    <w:rsid w:val="00682B6F"/>
    <w:rsid w:val="00682C32"/>
    <w:rsid w:val="00682CFE"/>
    <w:rsid w:val="00682D05"/>
    <w:rsid w:val="00682DAB"/>
    <w:rsid w:val="00682E65"/>
    <w:rsid w:val="00682F19"/>
    <w:rsid w:val="00683012"/>
    <w:rsid w:val="00683122"/>
    <w:rsid w:val="006832BB"/>
    <w:rsid w:val="00683387"/>
    <w:rsid w:val="0068340C"/>
    <w:rsid w:val="0068355A"/>
    <w:rsid w:val="006835F3"/>
    <w:rsid w:val="0068398E"/>
    <w:rsid w:val="00683BA5"/>
    <w:rsid w:val="00683D97"/>
    <w:rsid w:val="00683E29"/>
    <w:rsid w:val="00683F86"/>
    <w:rsid w:val="00684124"/>
    <w:rsid w:val="00684262"/>
    <w:rsid w:val="0068433A"/>
    <w:rsid w:val="0068433B"/>
    <w:rsid w:val="00684440"/>
    <w:rsid w:val="00684662"/>
    <w:rsid w:val="006849D4"/>
    <w:rsid w:val="00684B87"/>
    <w:rsid w:val="00684CFC"/>
    <w:rsid w:val="0068513D"/>
    <w:rsid w:val="00685227"/>
    <w:rsid w:val="006854B3"/>
    <w:rsid w:val="00685535"/>
    <w:rsid w:val="00685782"/>
    <w:rsid w:val="006859FF"/>
    <w:rsid w:val="00685B60"/>
    <w:rsid w:val="00685E56"/>
    <w:rsid w:val="006860A8"/>
    <w:rsid w:val="006864EC"/>
    <w:rsid w:val="00686571"/>
    <w:rsid w:val="0068661B"/>
    <w:rsid w:val="00686691"/>
    <w:rsid w:val="00686803"/>
    <w:rsid w:val="00686837"/>
    <w:rsid w:val="00686B04"/>
    <w:rsid w:val="00686D9D"/>
    <w:rsid w:val="00686ED2"/>
    <w:rsid w:val="0068710D"/>
    <w:rsid w:val="00687156"/>
    <w:rsid w:val="00687190"/>
    <w:rsid w:val="00687344"/>
    <w:rsid w:val="006874F1"/>
    <w:rsid w:val="006876AB"/>
    <w:rsid w:val="006876BC"/>
    <w:rsid w:val="0068793D"/>
    <w:rsid w:val="00687EC5"/>
    <w:rsid w:val="00687F43"/>
    <w:rsid w:val="00687F51"/>
    <w:rsid w:val="0069009A"/>
    <w:rsid w:val="006900F9"/>
    <w:rsid w:val="00690276"/>
    <w:rsid w:val="006907A3"/>
    <w:rsid w:val="00690864"/>
    <w:rsid w:val="00690894"/>
    <w:rsid w:val="00690A24"/>
    <w:rsid w:val="00690B9F"/>
    <w:rsid w:val="00690BE5"/>
    <w:rsid w:val="00690C27"/>
    <w:rsid w:val="00690E39"/>
    <w:rsid w:val="00690F02"/>
    <w:rsid w:val="00690F9C"/>
    <w:rsid w:val="0069104C"/>
    <w:rsid w:val="00691117"/>
    <w:rsid w:val="00691260"/>
    <w:rsid w:val="006913E0"/>
    <w:rsid w:val="006914CC"/>
    <w:rsid w:val="006915D2"/>
    <w:rsid w:val="006916EC"/>
    <w:rsid w:val="00691779"/>
    <w:rsid w:val="0069193E"/>
    <w:rsid w:val="0069194A"/>
    <w:rsid w:val="00691966"/>
    <w:rsid w:val="00691B87"/>
    <w:rsid w:val="00691C71"/>
    <w:rsid w:val="00691D18"/>
    <w:rsid w:val="00691EC2"/>
    <w:rsid w:val="00691EDA"/>
    <w:rsid w:val="00691FF6"/>
    <w:rsid w:val="00692105"/>
    <w:rsid w:val="0069219B"/>
    <w:rsid w:val="0069259B"/>
    <w:rsid w:val="0069266A"/>
    <w:rsid w:val="00692793"/>
    <w:rsid w:val="0069279F"/>
    <w:rsid w:val="00692895"/>
    <w:rsid w:val="0069290A"/>
    <w:rsid w:val="00692A39"/>
    <w:rsid w:val="00692AD3"/>
    <w:rsid w:val="00692BED"/>
    <w:rsid w:val="00692C1C"/>
    <w:rsid w:val="00692C5E"/>
    <w:rsid w:val="00692D11"/>
    <w:rsid w:val="00692D92"/>
    <w:rsid w:val="00693228"/>
    <w:rsid w:val="00693248"/>
    <w:rsid w:val="00693267"/>
    <w:rsid w:val="00693279"/>
    <w:rsid w:val="0069334B"/>
    <w:rsid w:val="00693476"/>
    <w:rsid w:val="00693642"/>
    <w:rsid w:val="00693702"/>
    <w:rsid w:val="00693758"/>
    <w:rsid w:val="00693775"/>
    <w:rsid w:val="0069380A"/>
    <w:rsid w:val="00693A06"/>
    <w:rsid w:val="00693C11"/>
    <w:rsid w:val="00693EDF"/>
    <w:rsid w:val="00693EE1"/>
    <w:rsid w:val="00693F2E"/>
    <w:rsid w:val="00693FAB"/>
    <w:rsid w:val="0069424D"/>
    <w:rsid w:val="00694284"/>
    <w:rsid w:val="006944EC"/>
    <w:rsid w:val="0069464A"/>
    <w:rsid w:val="00694698"/>
    <w:rsid w:val="00694707"/>
    <w:rsid w:val="006947E5"/>
    <w:rsid w:val="006948CC"/>
    <w:rsid w:val="00694C6D"/>
    <w:rsid w:val="00694CA0"/>
    <w:rsid w:val="00694DC1"/>
    <w:rsid w:val="00694EB9"/>
    <w:rsid w:val="00695094"/>
    <w:rsid w:val="006950D6"/>
    <w:rsid w:val="006950E8"/>
    <w:rsid w:val="00695207"/>
    <w:rsid w:val="00695824"/>
    <w:rsid w:val="006958ED"/>
    <w:rsid w:val="006958F3"/>
    <w:rsid w:val="00695C10"/>
    <w:rsid w:val="00695C48"/>
    <w:rsid w:val="00695C77"/>
    <w:rsid w:val="00695CF6"/>
    <w:rsid w:val="00695CFA"/>
    <w:rsid w:val="00695D40"/>
    <w:rsid w:val="00695E37"/>
    <w:rsid w:val="00696197"/>
    <w:rsid w:val="00696302"/>
    <w:rsid w:val="00696474"/>
    <w:rsid w:val="006964C3"/>
    <w:rsid w:val="006966AA"/>
    <w:rsid w:val="006967DA"/>
    <w:rsid w:val="006969F3"/>
    <w:rsid w:val="00696ABE"/>
    <w:rsid w:val="00696BD5"/>
    <w:rsid w:val="00696C79"/>
    <w:rsid w:val="00696C81"/>
    <w:rsid w:val="006970BC"/>
    <w:rsid w:val="006971E8"/>
    <w:rsid w:val="006974A7"/>
    <w:rsid w:val="00697834"/>
    <w:rsid w:val="00697BDB"/>
    <w:rsid w:val="00697C1A"/>
    <w:rsid w:val="00697DFD"/>
    <w:rsid w:val="00697FD8"/>
    <w:rsid w:val="006A0148"/>
    <w:rsid w:val="006A0238"/>
    <w:rsid w:val="006A04A9"/>
    <w:rsid w:val="006A05BB"/>
    <w:rsid w:val="006A05F6"/>
    <w:rsid w:val="006A07E2"/>
    <w:rsid w:val="006A0949"/>
    <w:rsid w:val="006A0BE2"/>
    <w:rsid w:val="006A0D47"/>
    <w:rsid w:val="006A0DBF"/>
    <w:rsid w:val="006A0DE3"/>
    <w:rsid w:val="006A0DF4"/>
    <w:rsid w:val="006A0E14"/>
    <w:rsid w:val="006A0E79"/>
    <w:rsid w:val="006A1083"/>
    <w:rsid w:val="006A12D1"/>
    <w:rsid w:val="006A13C0"/>
    <w:rsid w:val="006A13EB"/>
    <w:rsid w:val="006A1423"/>
    <w:rsid w:val="006A15F9"/>
    <w:rsid w:val="006A1645"/>
    <w:rsid w:val="006A1784"/>
    <w:rsid w:val="006A188E"/>
    <w:rsid w:val="006A199F"/>
    <w:rsid w:val="006A1A57"/>
    <w:rsid w:val="006A1ACE"/>
    <w:rsid w:val="006A1AFD"/>
    <w:rsid w:val="006A1C08"/>
    <w:rsid w:val="006A1C7A"/>
    <w:rsid w:val="006A1D0D"/>
    <w:rsid w:val="006A1DF0"/>
    <w:rsid w:val="006A1ECA"/>
    <w:rsid w:val="006A1ED3"/>
    <w:rsid w:val="006A1F48"/>
    <w:rsid w:val="006A1F53"/>
    <w:rsid w:val="006A1F93"/>
    <w:rsid w:val="006A2116"/>
    <w:rsid w:val="006A2389"/>
    <w:rsid w:val="006A2468"/>
    <w:rsid w:val="006A2720"/>
    <w:rsid w:val="006A28BE"/>
    <w:rsid w:val="006A2A51"/>
    <w:rsid w:val="006A2A81"/>
    <w:rsid w:val="006A2B34"/>
    <w:rsid w:val="006A2BAD"/>
    <w:rsid w:val="006A2BC3"/>
    <w:rsid w:val="006A2C9F"/>
    <w:rsid w:val="006A2FCF"/>
    <w:rsid w:val="006A2FD8"/>
    <w:rsid w:val="006A30A2"/>
    <w:rsid w:val="006A30F8"/>
    <w:rsid w:val="006A31B9"/>
    <w:rsid w:val="006A324F"/>
    <w:rsid w:val="006A3480"/>
    <w:rsid w:val="006A368E"/>
    <w:rsid w:val="006A3707"/>
    <w:rsid w:val="006A3840"/>
    <w:rsid w:val="006A3871"/>
    <w:rsid w:val="006A38CB"/>
    <w:rsid w:val="006A3A34"/>
    <w:rsid w:val="006A3C15"/>
    <w:rsid w:val="006A3CD1"/>
    <w:rsid w:val="006A405B"/>
    <w:rsid w:val="006A40C4"/>
    <w:rsid w:val="006A4195"/>
    <w:rsid w:val="006A4278"/>
    <w:rsid w:val="006A42BF"/>
    <w:rsid w:val="006A42E0"/>
    <w:rsid w:val="006A43C1"/>
    <w:rsid w:val="006A457E"/>
    <w:rsid w:val="006A49E8"/>
    <w:rsid w:val="006A4A5C"/>
    <w:rsid w:val="006A4CE8"/>
    <w:rsid w:val="006A4F34"/>
    <w:rsid w:val="006A5016"/>
    <w:rsid w:val="006A503A"/>
    <w:rsid w:val="006A5089"/>
    <w:rsid w:val="006A50B2"/>
    <w:rsid w:val="006A534F"/>
    <w:rsid w:val="006A5375"/>
    <w:rsid w:val="006A54CD"/>
    <w:rsid w:val="006A55B8"/>
    <w:rsid w:val="006A55EF"/>
    <w:rsid w:val="006A562F"/>
    <w:rsid w:val="006A5703"/>
    <w:rsid w:val="006A5757"/>
    <w:rsid w:val="006A59F8"/>
    <w:rsid w:val="006A5B50"/>
    <w:rsid w:val="006A5D62"/>
    <w:rsid w:val="006A5DB9"/>
    <w:rsid w:val="006A5EAC"/>
    <w:rsid w:val="006A6017"/>
    <w:rsid w:val="006A6192"/>
    <w:rsid w:val="006A61D8"/>
    <w:rsid w:val="006A624F"/>
    <w:rsid w:val="006A6413"/>
    <w:rsid w:val="006A6426"/>
    <w:rsid w:val="006A6574"/>
    <w:rsid w:val="006A679D"/>
    <w:rsid w:val="006A69F2"/>
    <w:rsid w:val="006A6ACD"/>
    <w:rsid w:val="006A6CB7"/>
    <w:rsid w:val="006A6FA3"/>
    <w:rsid w:val="006A73BF"/>
    <w:rsid w:val="006A74BB"/>
    <w:rsid w:val="006A74E0"/>
    <w:rsid w:val="006A758F"/>
    <w:rsid w:val="006A77BF"/>
    <w:rsid w:val="006A7C13"/>
    <w:rsid w:val="006A7DB2"/>
    <w:rsid w:val="006B0095"/>
    <w:rsid w:val="006B00D2"/>
    <w:rsid w:val="006B015E"/>
    <w:rsid w:val="006B02D2"/>
    <w:rsid w:val="006B0313"/>
    <w:rsid w:val="006B03C7"/>
    <w:rsid w:val="006B045F"/>
    <w:rsid w:val="006B0577"/>
    <w:rsid w:val="006B059E"/>
    <w:rsid w:val="006B0733"/>
    <w:rsid w:val="006B0787"/>
    <w:rsid w:val="006B0DAD"/>
    <w:rsid w:val="006B0E22"/>
    <w:rsid w:val="006B0E60"/>
    <w:rsid w:val="006B1034"/>
    <w:rsid w:val="006B1240"/>
    <w:rsid w:val="006B1251"/>
    <w:rsid w:val="006B13CE"/>
    <w:rsid w:val="006B13E6"/>
    <w:rsid w:val="006B156E"/>
    <w:rsid w:val="006B15CD"/>
    <w:rsid w:val="006B15E3"/>
    <w:rsid w:val="006B1684"/>
    <w:rsid w:val="006B168B"/>
    <w:rsid w:val="006B177A"/>
    <w:rsid w:val="006B1BBA"/>
    <w:rsid w:val="006B1C1F"/>
    <w:rsid w:val="006B1D2B"/>
    <w:rsid w:val="006B1ED3"/>
    <w:rsid w:val="006B1F46"/>
    <w:rsid w:val="006B1F69"/>
    <w:rsid w:val="006B20F8"/>
    <w:rsid w:val="006B26C8"/>
    <w:rsid w:val="006B2C92"/>
    <w:rsid w:val="006B308A"/>
    <w:rsid w:val="006B308C"/>
    <w:rsid w:val="006B3104"/>
    <w:rsid w:val="006B3360"/>
    <w:rsid w:val="006B3458"/>
    <w:rsid w:val="006B3643"/>
    <w:rsid w:val="006B3676"/>
    <w:rsid w:val="006B3951"/>
    <w:rsid w:val="006B3BB6"/>
    <w:rsid w:val="006B3C90"/>
    <w:rsid w:val="006B3D78"/>
    <w:rsid w:val="006B3D82"/>
    <w:rsid w:val="006B3D97"/>
    <w:rsid w:val="006B3F86"/>
    <w:rsid w:val="006B4042"/>
    <w:rsid w:val="006B422E"/>
    <w:rsid w:val="006B4260"/>
    <w:rsid w:val="006B490C"/>
    <w:rsid w:val="006B4982"/>
    <w:rsid w:val="006B4A07"/>
    <w:rsid w:val="006B4A6D"/>
    <w:rsid w:val="006B4C74"/>
    <w:rsid w:val="006B4DF4"/>
    <w:rsid w:val="006B4F82"/>
    <w:rsid w:val="006B51CA"/>
    <w:rsid w:val="006B521A"/>
    <w:rsid w:val="006B52A9"/>
    <w:rsid w:val="006B5531"/>
    <w:rsid w:val="006B564F"/>
    <w:rsid w:val="006B56C0"/>
    <w:rsid w:val="006B572B"/>
    <w:rsid w:val="006B57E3"/>
    <w:rsid w:val="006B58EF"/>
    <w:rsid w:val="006B594C"/>
    <w:rsid w:val="006B5F17"/>
    <w:rsid w:val="006B5F55"/>
    <w:rsid w:val="006B5FB8"/>
    <w:rsid w:val="006B60D7"/>
    <w:rsid w:val="006B6261"/>
    <w:rsid w:val="006B6284"/>
    <w:rsid w:val="006B628D"/>
    <w:rsid w:val="006B62AA"/>
    <w:rsid w:val="006B63D3"/>
    <w:rsid w:val="006B6409"/>
    <w:rsid w:val="006B6572"/>
    <w:rsid w:val="006B657C"/>
    <w:rsid w:val="006B684A"/>
    <w:rsid w:val="006B693E"/>
    <w:rsid w:val="006B6AD0"/>
    <w:rsid w:val="006B6B66"/>
    <w:rsid w:val="006B6F25"/>
    <w:rsid w:val="006B6FD6"/>
    <w:rsid w:val="006B7028"/>
    <w:rsid w:val="006B709B"/>
    <w:rsid w:val="006B72FA"/>
    <w:rsid w:val="006B73EC"/>
    <w:rsid w:val="006B7453"/>
    <w:rsid w:val="006B750B"/>
    <w:rsid w:val="006B78CA"/>
    <w:rsid w:val="006B78F5"/>
    <w:rsid w:val="006B7B12"/>
    <w:rsid w:val="006B7C16"/>
    <w:rsid w:val="006B7CB7"/>
    <w:rsid w:val="006B7D1E"/>
    <w:rsid w:val="006B7D76"/>
    <w:rsid w:val="006B7DE1"/>
    <w:rsid w:val="006C01BB"/>
    <w:rsid w:val="006C02D0"/>
    <w:rsid w:val="006C03DB"/>
    <w:rsid w:val="006C03EF"/>
    <w:rsid w:val="006C0400"/>
    <w:rsid w:val="006C062A"/>
    <w:rsid w:val="006C0684"/>
    <w:rsid w:val="006C0AC3"/>
    <w:rsid w:val="006C0C99"/>
    <w:rsid w:val="006C0CBC"/>
    <w:rsid w:val="006C0CED"/>
    <w:rsid w:val="006C0D0B"/>
    <w:rsid w:val="006C11C9"/>
    <w:rsid w:val="006C1249"/>
    <w:rsid w:val="006C1475"/>
    <w:rsid w:val="006C1494"/>
    <w:rsid w:val="006C15AD"/>
    <w:rsid w:val="006C187F"/>
    <w:rsid w:val="006C19EE"/>
    <w:rsid w:val="006C1A56"/>
    <w:rsid w:val="006C1BC0"/>
    <w:rsid w:val="006C1C16"/>
    <w:rsid w:val="006C1C2E"/>
    <w:rsid w:val="006C1E1B"/>
    <w:rsid w:val="006C1E62"/>
    <w:rsid w:val="006C20E4"/>
    <w:rsid w:val="006C2164"/>
    <w:rsid w:val="006C220B"/>
    <w:rsid w:val="006C255D"/>
    <w:rsid w:val="006C25CA"/>
    <w:rsid w:val="006C260D"/>
    <w:rsid w:val="006C2675"/>
    <w:rsid w:val="006C26A5"/>
    <w:rsid w:val="006C2752"/>
    <w:rsid w:val="006C2914"/>
    <w:rsid w:val="006C2A29"/>
    <w:rsid w:val="006C2AB5"/>
    <w:rsid w:val="006C2B46"/>
    <w:rsid w:val="006C2C2D"/>
    <w:rsid w:val="006C2CCB"/>
    <w:rsid w:val="006C2E2A"/>
    <w:rsid w:val="006C2EB7"/>
    <w:rsid w:val="006C2EDF"/>
    <w:rsid w:val="006C320E"/>
    <w:rsid w:val="006C32B5"/>
    <w:rsid w:val="006C336D"/>
    <w:rsid w:val="006C33A0"/>
    <w:rsid w:val="006C3499"/>
    <w:rsid w:val="006C3550"/>
    <w:rsid w:val="006C3576"/>
    <w:rsid w:val="006C3835"/>
    <w:rsid w:val="006C3976"/>
    <w:rsid w:val="006C39E8"/>
    <w:rsid w:val="006C3CBB"/>
    <w:rsid w:val="006C3E1F"/>
    <w:rsid w:val="006C3EF4"/>
    <w:rsid w:val="006C4039"/>
    <w:rsid w:val="006C43D3"/>
    <w:rsid w:val="006C442F"/>
    <w:rsid w:val="006C4469"/>
    <w:rsid w:val="006C45EA"/>
    <w:rsid w:val="006C47D6"/>
    <w:rsid w:val="006C4809"/>
    <w:rsid w:val="006C48BD"/>
    <w:rsid w:val="006C48D1"/>
    <w:rsid w:val="006C4A90"/>
    <w:rsid w:val="006C4AAF"/>
    <w:rsid w:val="006C4ABE"/>
    <w:rsid w:val="006C4B89"/>
    <w:rsid w:val="006C4DA6"/>
    <w:rsid w:val="006C4F2D"/>
    <w:rsid w:val="006C51EC"/>
    <w:rsid w:val="006C5273"/>
    <w:rsid w:val="006C59FB"/>
    <w:rsid w:val="006C5B34"/>
    <w:rsid w:val="006C5C55"/>
    <w:rsid w:val="006C5C6D"/>
    <w:rsid w:val="006C5DA3"/>
    <w:rsid w:val="006C6037"/>
    <w:rsid w:val="006C6092"/>
    <w:rsid w:val="006C6100"/>
    <w:rsid w:val="006C6221"/>
    <w:rsid w:val="006C6339"/>
    <w:rsid w:val="006C636F"/>
    <w:rsid w:val="006C6447"/>
    <w:rsid w:val="006C66DA"/>
    <w:rsid w:val="006C67B3"/>
    <w:rsid w:val="006C6D85"/>
    <w:rsid w:val="006C6EB5"/>
    <w:rsid w:val="006C6F0B"/>
    <w:rsid w:val="006C715D"/>
    <w:rsid w:val="006C7175"/>
    <w:rsid w:val="006C732D"/>
    <w:rsid w:val="006C73A2"/>
    <w:rsid w:val="006C73B6"/>
    <w:rsid w:val="006C73BB"/>
    <w:rsid w:val="006C74F8"/>
    <w:rsid w:val="006C7604"/>
    <w:rsid w:val="006C7734"/>
    <w:rsid w:val="006C7B32"/>
    <w:rsid w:val="006C7CBB"/>
    <w:rsid w:val="006C7DA9"/>
    <w:rsid w:val="006C7ED1"/>
    <w:rsid w:val="006C7EE2"/>
    <w:rsid w:val="006D005B"/>
    <w:rsid w:val="006D00AF"/>
    <w:rsid w:val="006D02E3"/>
    <w:rsid w:val="006D0333"/>
    <w:rsid w:val="006D038A"/>
    <w:rsid w:val="006D0414"/>
    <w:rsid w:val="006D04DC"/>
    <w:rsid w:val="006D05DA"/>
    <w:rsid w:val="006D0747"/>
    <w:rsid w:val="006D075F"/>
    <w:rsid w:val="006D0803"/>
    <w:rsid w:val="006D094B"/>
    <w:rsid w:val="006D0ABC"/>
    <w:rsid w:val="006D0B49"/>
    <w:rsid w:val="006D0D08"/>
    <w:rsid w:val="006D0DB9"/>
    <w:rsid w:val="006D0DC4"/>
    <w:rsid w:val="006D0F86"/>
    <w:rsid w:val="006D12AC"/>
    <w:rsid w:val="006D12E3"/>
    <w:rsid w:val="006D1548"/>
    <w:rsid w:val="006D1790"/>
    <w:rsid w:val="006D18DE"/>
    <w:rsid w:val="006D1910"/>
    <w:rsid w:val="006D19A6"/>
    <w:rsid w:val="006D1A60"/>
    <w:rsid w:val="006D1B00"/>
    <w:rsid w:val="006D1BEE"/>
    <w:rsid w:val="006D1D22"/>
    <w:rsid w:val="006D1E08"/>
    <w:rsid w:val="006D1FD2"/>
    <w:rsid w:val="006D202E"/>
    <w:rsid w:val="006D21D2"/>
    <w:rsid w:val="006D2307"/>
    <w:rsid w:val="006D23F7"/>
    <w:rsid w:val="006D24FB"/>
    <w:rsid w:val="006D2750"/>
    <w:rsid w:val="006D2933"/>
    <w:rsid w:val="006D29FC"/>
    <w:rsid w:val="006D2D2F"/>
    <w:rsid w:val="006D2DA7"/>
    <w:rsid w:val="006D2E9E"/>
    <w:rsid w:val="006D2ED7"/>
    <w:rsid w:val="006D3185"/>
    <w:rsid w:val="006D344D"/>
    <w:rsid w:val="006D348D"/>
    <w:rsid w:val="006D366D"/>
    <w:rsid w:val="006D371F"/>
    <w:rsid w:val="006D3725"/>
    <w:rsid w:val="006D384A"/>
    <w:rsid w:val="006D3AE6"/>
    <w:rsid w:val="006D3B0C"/>
    <w:rsid w:val="006D3BDC"/>
    <w:rsid w:val="006D3EBF"/>
    <w:rsid w:val="006D41B1"/>
    <w:rsid w:val="006D4472"/>
    <w:rsid w:val="006D44CC"/>
    <w:rsid w:val="006D45DE"/>
    <w:rsid w:val="006D45F7"/>
    <w:rsid w:val="006D45FC"/>
    <w:rsid w:val="006D46B0"/>
    <w:rsid w:val="006D4835"/>
    <w:rsid w:val="006D48AA"/>
    <w:rsid w:val="006D4983"/>
    <w:rsid w:val="006D4A30"/>
    <w:rsid w:val="006D4A4D"/>
    <w:rsid w:val="006D4A4F"/>
    <w:rsid w:val="006D4A73"/>
    <w:rsid w:val="006D4A98"/>
    <w:rsid w:val="006D4AEB"/>
    <w:rsid w:val="006D4C3B"/>
    <w:rsid w:val="006D4D04"/>
    <w:rsid w:val="006D4D5E"/>
    <w:rsid w:val="006D4DD9"/>
    <w:rsid w:val="006D4E85"/>
    <w:rsid w:val="006D4F43"/>
    <w:rsid w:val="006D4FE2"/>
    <w:rsid w:val="006D4FE9"/>
    <w:rsid w:val="006D505B"/>
    <w:rsid w:val="006D5172"/>
    <w:rsid w:val="006D584A"/>
    <w:rsid w:val="006D5850"/>
    <w:rsid w:val="006D590B"/>
    <w:rsid w:val="006D592E"/>
    <w:rsid w:val="006D59EC"/>
    <w:rsid w:val="006D5A5E"/>
    <w:rsid w:val="006D5A7B"/>
    <w:rsid w:val="006D5B94"/>
    <w:rsid w:val="006D5F9C"/>
    <w:rsid w:val="006D6040"/>
    <w:rsid w:val="006D6091"/>
    <w:rsid w:val="006D60A0"/>
    <w:rsid w:val="006D60A5"/>
    <w:rsid w:val="006D6263"/>
    <w:rsid w:val="006D638B"/>
    <w:rsid w:val="006D63F8"/>
    <w:rsid w:val="006D6484"/>
    <w:rsid w:val="006D654D"/>
    <w:rsid w:val="006D65B0"/>
    <w:rsid w:val="006D67DC"/>
    <w:rsid w:val="006D6E5E"/>
    <w:rsid w:val="006D6E6D"/>
    <w:rsid w:val="006D6EC5"/>
    <w:rsid w:val="006D7411"/>
    <w:rsid w:val="006D74F6"/>
    <w:rsid w:val="006D7648"/>
    <w:rsid w:val="006D7691"/>
    <w:rsid w:val="006D7697"/>
    <w:rsid w:val="006D76E8"/>
    <w:rsid w:val="006D77D9"/>
    <w:rsid w:val="006D7B66"/>
    <w:rsid w:val="006D7BF2"/>
    <w:rsid w:val="006D7CF4"/>
    <w:rsid w:val="006D7D61"/>
    <w:rsid w:val="006D7FB8"/>
    <w:rsid w:val="006E0044"/>
    <w:rsid w:val="006E004A"/>
    <w:rsid w:val="006E008D"/>
    <w:rsid w:val="006E03C7"/>
    <w:rsid w:val="006E0415"/>
    <w:rsid w:val="006E06DB"/>
    <w:rsid w:val="006E06F1"/>
    <w:rsid w:val="006E074B"/>
    <w:rsid w:val="006E0843"/>
    <w:rsid w:val="006E0996"/>
    <w:rsid w:val="006E0A23"/>
    <w:rsid w:val="006E0A5E"/>
    <w:rsid w:val="006E0BE8"/>
    <w:rsid w:val="006E0C0B"/>
    <w:rsid w:val="006E0F2B"/>
    <w:rsid w:val="006E1084"/>
    <w:rsid w:val="006E110F"/>
    <w:rsid w:val="006E1144"/>
    <w:rsid w:val="006E11A6"/>
    <w:rsid w:val="006E11EE"/>
    <w:rsid w:val="006E1320"/>
    <w:rsid w:val="006E135E"/>
    <w:rsid w:val="006E154B"/>
    <w:rsid w:val="006E15F2"/>
    <w:rsid w:val="006E1812"/>
    <w:rsid w:val="006E190F"/>
    <w:rsid w:val="006E1AE2"/>
    <w:rsid w:val="006E1D29"/>
    <w:rsid w:val="006E1D92"/>
    <w:rsid w:val="006E1EE6"/>
    <w:rsid w:val="006E2587"/>
    <w:rsid w:val="006E259F"/>
    <w:rsid w:val="006E25E1"/>
    <w:rsid w:val="006E25EE"/>
    <w:rsid w:val="006E28B0"/>
    <w:rsid w:val="006E2AB6"/>
    <w:rsid w:val="006E2D1C"/>
    <w:rsid w:val="006E2D52"/>
    <w:rsid w:val="006E31BD"/>
    <w:rsid w:val="006E31E9"/>
    <w:rsid w:val="006E36B1"/>
    <w:rsid w:val="006E3AE8"/>
    <w:rsid w:val="006E3F97"/>
    <w:rsid w:val="006E4020"/>
    <w:rsid w:val="006E402E"/>
    <w:rsid w:val="006E403D"/>
    <w:rsid w:val="006E4099"/>
    <w:rsid w:val="006E412C"/>
    <w:rsid w:val="006E427B"/>
    <w:rsid w:val="006E43C0"/>
    <w:rsid w:val="006E4631"/>
    <w:rsid w:val="006E488D"/>
    <w:rsid w:val="006E4B35"/>
    <w:rsid w:val="006E4B81"/>
    <w:rsid w:val="006E4EA0"/>
    <w:rsid w:val="006E4FB1"/>
    <w:rsid w:val="006E5030"/>
    <w:rsid w:val="006E507F"/>
    <w:rsid w:val="006E54BA"/>
    <w:rsid w:val="006E589C"/>
    <w:rsid w:val="006E593C"/>
    <w:rsid w:val="006E5ABE"/>
    <w:rsid w:val="006E5C38"/>
    <w:rsid w:val="006E5C5D"/>
    <w:rsid w:val="006E5D78"/>
    <w:rsid w:val="006E5DBF"/>
    <w:rsid w:val="006E6059"/>
    <w:rsid w:val="006E6224"/>
    <w:rsid w:val="006E62DA"/>
    <w:rsid w:val="006E6363"/>
    <w:rsid w:val="006E64E2"/>
    <w:rsid w:val="006E6596"/>
    <w:rsid w:val="006E65F3"/>
    <w:rsid w:val="006E671C"/>
    <w:rsid w:val="006E68F4"/>
    <w:rsid w:val="006E69C6"/>
    <w:rsid w:val="006E6A41"/>
    <w:rsid w:val="006E6B7B"/>
    <w:rsid w:val="006E6BC1"/>
    <w:rsid w:val="006E6C41"/>
    <w:rsid w:val="006E6C75"/>
    <w:rsid w:val="006E6C9E"/>
    <w:rsid w:val="006E6CEA"/>
    <w:rsid w:val="006E6D7B"/>
    <w:rsid w:val="006E6ECE"/>
    <w:rsid w:val="006E6F57"/>
    <w:rsid w:val="006E70B9"/>
    <w:rsid w:val="006E7102"/>
    <w:rsid w:val="006E75A9"/>
    <w:rsid w:val="006E75C2"/>
    <w:rsid w:val="006E79B6"/>
    <w:rsid w:val="006E7C2C"/>
    <w:rsid w:val="006E7CF5"/>
    <w:rsid w:val="006E7D4B"/>
    <w:rsid w:val="006E7D7F"/>
    <w:rsid w:val="006E7D92"/>
    <w:rsid w:val="006E7F46"/>
    <w:rsid w:val="006E7F78"/>
    <w:rsid w:val="006E7FCE"/>
    <w:rsid w:val="006F0191"/>
    <w:rsid w:val="006F0354"/>
    <w:rsid w:val="006F0357"/>
    <w:rsid w:val="006F04F3"/>
    <w:rsid w:val="006F07CD"/>
    <w:rsid w:val="006F0890"/>
    <w:rsid w:val="006F0D30"/>
    <w:rsid w:val="006F0E8D"/>
    <w:rsid w:val="006F0E8E"/>
    <w:rsid w:val="006F0F20"/>
    <w:rsid w:val="006F1229"/>
    <w:rsid w:val="006F12EF"/>
    <w:rsid w:val="006F1667"/>
    <w:rsid w:val="006F17ED"/>
    <w:rsid w:val="006F1A91"/>
    <w:rsid w:val="006F1BAB"/>
    <w:rsid w:val="006F1C4B"/>
    <w:rsid w:val="006F1E09"/>
    <w:rsid w:val="006F1EA3"/>
    <w:rsid w:val="006F1FBF"/>
    <w:rsid w:val="006F2288"/>
    <w:rsid w:val="006F23C4"/>
    <w:rsid w:val="006F252B"/>
    <w:rsid w:val="006F26D2"/>
    <w:rsid w:val="006F27AE"/>
    <w:rsid w:val="006F27C6"/>
    <w:rsid w:val="006F2AB4"/>
    <w:rsid w:val="006F2C92"/>
    <w:rsid w:val="006F2F0A"/>
    <w:rsid w:val="006F31FC"/>
    <w:rsid w:val="006F3262"/>
    <w:rsid w:val="006F3320"/>
    <w:rsid w:val="006F3349"/>
    <w:rsid w:val="006F36AA"/>
    <w:rsid w:val="006F39AA"/>
    <w:rsid w:val="006F3C3C"/>
    <w:rsid w:val="006F3DFB"/>
    <w:rsid w:val="006F40B0"/>
    <w:rsid w:val="006F42CF"/>
    <w:rsid w:val="006F457E"/>
    <w:rsid w:val="006F4603"/>
    <w:rsid w:val="006F467A"/>
    <w:rsid w:val="006F498C"/>
    <w:rsid w:val="006F4AA5"/>
    <w:rsid w:val="006F4AB6"/>
    <w:rsid w:val="006F4EC3"/>
    <w:rsid w:val="006F4EE4"/>
    <w:rsid w:val="006F4F57"/>
    <w:rsid w:val="006F504C"/>
    <w:rsid w:val="006F5169"/>
    <w:rsid w:val="006F5211"/>
    <w:rsid w:val="006F5384"/>
    <w:rsid w:val="006F5442"/>
    <w:rsid w:val="006F560D"/>
    <w:rsid w:val="006F564F"/>
    <w:rsid w:val="006F56E9"/>
    <w:rsid w:val="006F589F"/>
    <w:rsid w:val="006F5B39"/>
    <w:rsid w:val="006F5BC5"/>
    <w:rsid w:val="006F5C42"/>
    <w:rsid w:val="006F5DA8"/>
    <w:rsid w:val="006F5E13"/>
    <w:rsid w:val="006F5F08"/>
    <w:rsid w:val="006F61AE"/>
    <w:rsid w:val="006F62B4"/>
    <w:rsid w:val="006F62E4"/>
    <w:rsid w:val="006F6544"/>
    <w:rsid w:val="006F6729"/>
    <w:rsid w:val="006F6807"/>
    <w:rsid w:val="006F69A5"/>
    <w:rsid w:val="006F6A50"/>
    <w:rsid w:val="006F6AAD"/>
    <w:rsid w:val="006F6C7C"/>
    <w:rsid w:val="006F6D78"/>
    <w:rsid w:val="006F6DDB"/>
    <w:rsid w:val="006F71D5"/>
    <w:rsid w:val="006F7225"/>
    <w:rsid w:val="006F723F"/>
    <w:rsid w:val="006F72D1"/>
    <w:rsid w:val="006F7581"/>
    <w:rsid w:val="006F75D6"/>
    <w:rsid w:val="006F76DB"/>
    <w:rsid w:val="006F77BD"/>
    <w:rsid w:val="006F780B"/>
    <w:rsid w:val="006F7C89"/>
    <w:rsid w:val="006F7E0B"/>
    <w:rsid w:val="006F7E20"/>
    <w:rsid w:val="006F7EE4"/>
    <w:rsid w:val="006F7F28"/>
    <w:rsid w:val="00700253"/>
    <w:rsid w:val="007002EA"/>
    <w:rsid w:val="0070033D"/>
    <w:rsid w:val="0070036A"/>
    <w:rsid w:val="0070050A"/>
    <w:rsid w:val="0070073D"/>
    <w:rsid w:val="00700835"/>
    <w:rsid w:val="00700AF0"/>
    <w:rsid w:val="00700EE2"/>
    <w:rsid w:val="00700FD2"/>
    <w:rsid w:val="0070117A"/>
    <w:rsid w:val="007013D6"/>
    <w:rsid w:val="00701890"/>
    <w:rsid w:val="0070198C"/>
    <w:rsid w:val="00701994"/>
    <w:rsid w:val="00701A84"/>
    <w:rsid w:val="00701B80"/>
    <w:rsid w:val="00701BAF"/>
    <w:rsid w:val="00701EBB"/>
    <w:rsid w:val="0070203A"/>
    <w:rsid w:val="00702304"/>
    <w:rsid w:val="0070230D"/>
    <w:rsid w:val="0070246B"/>
    <w:rsid w:val="00702686"/>
    <w:rsid w:val="0070278F"/>
    <w:rsid w:val="007027A0"/>
    <w:rsid w:val="00702D16"/>
    <w:rsid w:val="00702E36"/>
    <w:rsid w:val="00703035"/>
    <w:rsid w:val="0070314D"/>
    <w:rsid w:val="0070316C"/>
    <w:rsid w:val="007032C1"/>
    <w:rsid w:val="007034FC"/>
    <w:rsid w:val="00703545"/>
    <w:rsid w:val="0070355A"/>
    <w:rsid w:val="007035F6"/>
    <w:rsid w:val="007039DE"/>
    <w:rsid w:val="00703ADB"/>
    <w:rsid w:val="00703C38"/>
    <w:rsid w:val="00704104"/>
    <w:rsid w:val="00704249"/>
    <w:rsid w:val="007045D0"/>
    <w:rsid w:val="0070463C"/>
    <w:rsid w:val="007046CE"/>
    <w:rsid w:val="0070472A"/>
    <w:rsid w:val="007048F5"/>
    <w:rsid w:val="00704B8D"/>
    <w:rsid w:val="00704BAD"/>
    <w:rsid w:val="00704C8F"/>
    <w:rsid w:val="00704D11"/>
    <w:rsid w:val="00704DE3"/>
    <w:rsid w:val="00704EFB"/>
    <w:rsid w:val="00704F54"/>
    <w:rsid w:val="007052C9"/>
    <w:rsid w:val="00705519"/>
    <w:rsid w:val="007055CC"/>
    <w:rsid w:val="00705622"/>
    <w:rsid w:val="007056FC"/>
    <w:rsid w:val="00705CCC"/>
    <w:rsid w:val="00705D09"/>
    <w:rsid w:val="00705DA5"/>
    <w:rsid w:val="00705F42"/>
    <w:rsid w:val="0070610D"/>
    <w:rsid w:val="00706276"/>
    <w:rsid w:val="00706286"/>
    <w:rsid w:val="00706437"/>
    <w:rsid w:val="007064FD"/>
    <w:rsid w:val="007065B8"/>
    <w:rsid w:val="007065C7"/>
    <w:rsid w:val="00706629"/>
    <w:rsid w:val="00706746"/>
    <w:rsid w:val="0070683A"/>
    <w:rsid w:val="00706997"/>
    <w:rsid w:val="00706CF4"/>
    <w:rsid w:val="00706F51"/>
    <w:rsid w:val="00706F5E"/>
    <w:rsid w:val="00706FDB"/>
    <w:rsid w:val="00707106"/>
    <w:rsid w:val="00707119"/>
    <w:rsid w:val="0070719E"/>
    <w:rsid w:val="007071A1"/>
    <w:rsid w:val="007071BE"/>
    <w:rsid w:val="007072CA"/>
    <w:rsid w:val="0070758E"/>
    <w:rsid w:val="00707750"/>
    <w:rsid w:val="007079C9"/>
    <w:rsid w:val="007079E1"/>
    <w:rsid w:val="00707D43"/>
    <w:rsid w:val="00707D73"/>
    <w:rsid w:val="00707D96"/>
    <w:rsid w:val="00707DEF"/>
    <w:rsid w:val="00707F69"/>
    <w:rsid w:val="00707FC2"/>
    <w:rsid w:val="00707FC3"/>
    <w:rsid w:val="00707FEF"/>
    <w:rsid w:val="00710016"/>
    <w:rsid w:val="0071004C"/>
    <w:rsid w:val="007102BA"/>
    <w:rsid w:val="007104D1"/>
    <w:rsid w:val="00710545"/>
    <w:rsid w:val="007107B4"/>
    <w:rsid w:val="00710822"/>
    <w:rsid w:val="00710926"/>
    <w:rsid w:val="00710981"/>
    <w:rsid w:val="00710A09"/>
    <w:rsid w:val="00710C36"/>
    <w:rsid w:val="00710C5C"/>
    <w:rsid w:val="007111D4"/>
    <w:rsid w:val="007111E9"/>
    <w:rsid w:val="007113F9"/>
    <w:rsid w:val="0071144A"/>
    <w:rsid w:val="0071166D"/>
    <w:rsid w:val="007116E6"/>
    <w:rsid w:val="0071177D"/>
    <w:rsid w:val="007118A0"/>
    <w:rsid w:val="007118BF"/>
    <w:rsid w:val="007119FD"/>
    <w:rsid w:val="00711A50"/>
    <w:rsid w:val="00711B7E"/>
    <w:rsid w:val="00711CFF"/>
    <w:rsid w:val="00711D14"/>
    <w:rsid w:val="00711EFA"/>
    <w:rsid w:val="00711F07"/>
    <w:rsid w:val="00711FB0"/>
    <w:rsid w:val="007123A6"/>
    <w:rsid w:val="00712416"/>
    <w:rsid w:val="0071263C"/>
    <w:rsid w:val="0071267B"/>
    <w:rsid w:val="00712773"/>
    <w:rsid w:val="007128D7"/>
    <w:rsid w:val="00712B4C"/>
    <w:rsid w:val="00712E45"/>
    <w:rsid w:val="00712FD3"/>
    <w:rsid w:val="007130F7"/>
    <w:rsid w:val="0071315A"/>
    <w:rsid w:val="007131E2"/>
    <w:rsid w:val="0071321F"/>
    <w:rsid w:val="00713413"/>
    <w:rsid w:val="007134B0"/>
    <w:rsid w:val="0071355C"/>
    <w:rsid w:val="00713576"/>
    <w:rsid w:val="00713D7F"/>
    <w:rsid w:val="00713DB9"/>
    <w:rsid w:val="00713EAF"/>
    <w:rsid w:val="007141EE"/>
    <w:rsid w:val="007143AA"/>
    <w:rsid w:val="00714647"/>
    <w:rsid w:val="00714909"/>
    <w:rsid w:val="00714911"/>
    <w:rsid w:val="007149BA"/>
    <w:rsid w:val="007149D9"/>
    <w:rsid w:val="00714A46"/>
    <w:rsid w:val="00714B25"/>
    <w:rsid w:val="007151F1"/>
    <w:rsid w:val="00715290"/>
    <w:rsid w:val="007153F4"/>
    <w:rsid w:val="0071548E"/>
    <w:rsid w:val="0071565F"/>
    <w:rsid w:val="00715899"/>
    <w:rsid w:val="007159EC"/>
    <w:rsid w:val="00715A95"/>
    <w:rsid w:val="00715AC1"/>
    <w:rsid w:val="00715AD5"/>
    <w:rsid w:val="00715EDE"/>
    <w:rsid w:val="00715F9D"/>
    <w:rsid w:val="0071627B"/>
    <w:rsid w:val="007162D5"/>
    <w:rsid w:val="0071632A"/>
    <w:rsid w:val="0071634C"/>
    <w:rsid w:val="007163B3"/>
    <w:rsid w:val="0071648C"/>
    <w:rsid w:val="007164FD"/>
    <w:rsid w:val="00716538"/>
    <w:rsid w:val="007166DD"/>
    <w:rsid w:val="00716784"/>
    <w:rsid w:val="00716896"/>
    <w:rsid w:val="0071694D"/>
    <w:rsid w:val="00716E29"/>
    <w:rsid w:val="00716ED7"/>
    <w:rsid w:val="00716FA4"/>
    <w:rsid w:val="00716FE7"/>
    <w:rsid w:val="007170B9"/>
    <w:rsid w:val="0071724C"/>
    <w:rsid w:val="00717420"/>
    <w:rsid w:val="00717717"/>
    <w:rsid w:val="0071776A"/>
    <w:rsid w:val="00717818"/>
    <w:rsid w:val="00717955"/>
    <w:rsid w:val="00717CA6"/>
    <w:rsid w:val="00717DFB"/>
    <w:rsid w:val="00717E22"/>
    <w:rsid w:val="00717EB6"/>
    <w:rsid w:val="00720114"/>
    <w:rsid w:val="00720219"/>
    <w:rsid w:val="00720240"/>
    <w:rsid w:val="007202BD"/>
    <w:rsid w:val="0072040F"/>
    <w:rsid w:val="0072049B"/>
    <w:rsid w:val="0072066B"/>
    <w:rsid w:val="0072068D"/>
    <w:rsid w:val="00720A9A"/>
    <w:rsid w:val="00720D1D"/>
    <w:rsid w:val="007210EC"/>
    <w:rsid w:val="00721232"/>
    <w:rsid w:val="00721274"/>
    <w:rsid w:val="007213E1"/>
    <w:rsid w:val="007213F2"/>
    <w:rsid w:val="00721454"/>
    <w:rsid w:val="007214F0"/>
    <w:rsid w:val="00721557"/>
    <w:rsid w:val="007217A3"/>
    <w:rsid w:val="00721821"/>
    <w:rsid w:val="0072185B"/>
    <w:rsid w:val="00721901"/>
    <w:rsid w:val="00721AAF"/>
    <w:rsid w:val="00721C98"/>
    <w:rsid w:val="00721CB2"/>
    <w:rsid w:val="00721DAC"/>
    <w:rsid w:val="00721DB8"/>
    <w:rsid w:val="00721EC1"/>
    <w:rsid w:val="00721FCF"/>
    <w:rsid w:val="00721FDD"/>
    <w:rsid w:val="0072212E"/>
    <w:rsid w:val="00722431"/>
    <w:rsid w:val="0072245E"/>
    <w:rsid w:val="007224A3"/>
    <w:rsid w:val="007227E2"/>
    <w:rsid w:val="00722926"/>
    <w:rsid w:val="00722A70"/>
    <w:rsid w:val="00722B7A"/>
    <w:rsid w:val="00722B91"/>
    <w:rsid w:val="00722CEC"/>
    <w:rsid w:val="00722DA4"/>
    <w:rsid w:val="00722FEA"/>
    <w:rsid w:val="0072301C"/>
    <w:rsid w:val="00723059"/>
    <w:rsid w:val="007230BD"/>
    <w:rsid w:val="007230D2"/>
    <w:rsid w:val="00723197"/>
    <w:rsid w:val="007232DC"/>
    <w:rsid w:val="007234BD"/>
    <w:rsid w:val="007234F8"/>
    <w:rsid w:val="00723778"/>
    <w:rsid w:val="00723C07"/>
    <w:rsid w:val="00723C38"/>
    <w:rsid w:val="00723CF2"/>
    <w:rsid w:val="00723F36"/>
    <w:rsid w:val="00724423"/>
    <w:rsid w:val="0072449F"/>
    <w:rsid w:val="007248BD"/>
    <w:rsid w:val="007248D6"/>
    <w:rsid w:val="0072492E"/>
    <w:rsid w:val="00724944"/>
    <w:rsid w:val="00724B12"/>
    <w:rsid w:val="00724BAD"/>
    <w:rsid w:val="00724EA6"/>
    <w:rsid w:val="00724EC8"/>
    <w:rsid w:val="007251BE"/>
    <w:rsid w:val="0072547A"/>
    <w:rsid w:val="0072548D"/>
    <w:rsid w:val="0072554C"/>
    <w:rsid w:val="00725897"/>
    <w:rsid w:val="007258BD"/>
    <w:rsid w:val="007258CD"/>
    <w:rsid w:val="00725986"/>
    <w:rsid w:val="0072599C"/>
    <w:rsid w:val="00725AE3"/>
    <w:rsid w:val="00725D51"/>
    <w:rsid w:val="00725D81"/>
    <w:rsid w:val="00725EAA"/>
    <w:rsid w:val="0072601C"/>
    <w:rsid w:val="00726094"/>
    <w:rsid w:val="00726129"/>
    <w:rsid w:val="007261AD"/>
    <w:rsid w:val="007262DE"/>
    <w:rsid w:val="007263C1"/>
    <w:rsid w:val="0072660C"/>
    <w:rsid w:val="00726BC3"/>
    <w:rsid w:val="00726BDC"/>
    <w:rsid w:val="00726ECB"/>
    <w:rsid w:val="0072705D"/>
    <w:rsid w:val="007270DB"/>
    <w:rsid w:val="007274AC"/>
    <w:rsid w:val="007274B5"/>
    <w:rsid w:val="007277D3"/>
    <w:rsid w:val="00727ACE"/>
    <w:rsid w:val="00727D91"/>
    <w:rsid w:val="00727DCB"/>
    <w:rsid w:val="00730149"/>
    <w:rsid w:val="007301F2"/>
    <w:rsid w:val="00730DCE"/>
    <w:rsid w:val="0073105C"/>
    <w:rsid w:val="00731116"/>
    <w:rsid w:val="007311DA"/>
    <w:rsid w:val="007312BB"/>
    <w:rsid w:val="007312E8"/>
    <w:rsid w:val="0073145C"/>
    <w:rsid w:val="00731624"/>
    <w:rsid w:val="00731659"/>
    <w:rsid w:val="007316A7"/>
    <w:rsid w:val="00731760"/>
    <w:rsid w:val="007317C0"/>
    <w:rsid w:val="00731838"/>
    <w:rsid w:val="00731959"/>
    <w:rsid w:val="00731F75"/>
    <w:rsid w:val="0073222B"/>
    <w:rsid w:val="007322AA"/>
    <w:rsid w:val="00732342"/>
    <w:rsid w:val="007326DE"/>
    <w:rsid w:val="0073283B"/>
    <w:rsid w:val="00732936"/>
    <w:rsid w:val="0073298D"/>
    <w:rsid w:val="007329F0"/>
    <w:rsid w:val="00732C31"/>
    <w:rsid w:val="00732D2F"/>
    <w:rsid w:val="00732E67"/>
    <w:rsid w:val="00732E78"/>
    <w:rsid w:val="00732F1E"/>
    <w:rsid w:val="00733147"/>
    <w:rsid w:val="007331FE"/>
    <w:rsid w:val="00733210"/>
    <w:rsid w:val="00733340"/>
    <w:rsid w:val="0073346E"/>
    <w:rsid w:val="007334D2"/>
    <w:rsid w:val="0073370A"/>
    <w:rsid w:val="0073386D"/>
    <w:rsid w:val="007339E1"/>
    <w:rsid w:val="00733B05"/>
    <w:rsid w:val="00733B92"/>
    <w:rsid w:val="00733FEB"/>
    <w:rsid w:val="00734072"/>
    <w:rsid w:val="007345B7"/>
    <w:rsid w:val="007349A4"/>
    <w:rsid w:val="00734A0B"/>
    <w:rsid w:val="00734B4F"/>
    <w:rsid w:val="00734C10"/>
    <w:rsid w:val="00734F31"/>
    <w:rsid w:val="00734F8A"/>
    <w:rsid w:val="007351B1"/>
    <w:rsid w:val="00735263"/>
    <w:rsid w:val="00735584"/>
    <w:rsid w:val="00735611"/>
    <w:rsid w:val="0073563C"/>
    <w:rsid w:val="00735681"/>
    <w:rsid w:val="00735770"/>
    <w:rsid w:val="00735786"/>
    <w:rsid w:val="007357E3"/>
    <w:rsid w:val="0073584A"/>
    <w:rsid w:val="00735C95"/>
    <w:rsid w:val="00735E8A"/>
    <w:rsid w:val="00736193"/>
    <w:rsid w:val="00736240"/>
    <w:rsid w:val="00736598"/>
    <w:rsid w:val="00736667"/>
    <w:rsid w:val="00736704"/>
    <w:rsid w:val="00736753"/>
    <w:rsid w:val="007368FE"/>
    <w:rsid w:val="00736ED3"/>
    <w:rsid w:val="00736FAB"/>
    <w:rsid w:val="00737034"/>
    <w:rsid w:val="0073713C"/>
    <w:rsid w:val="0073743E"/>
    <w:rsid w:val="0073747E"/>
    <w:rsid w:val="00737AB1"/>
    <w:rsid w:val="00737B89"/>
    <w:rsid w:val="00737D08"/>
    <w:rsid w:val="00740006"/>
    <w:rsid w:val="00740124"/>
    <w:rsid w:val="00740134"/>
    <w:rsid w:val="0074034C"/>
    <w:rsid w:val="007403E2"/>
    <w:rsid w:val="00740411"/>
    <w:rsid w:val="00740618"/>
    <w:rsid w:val="0074075F"/>
    <w:rsid w:val="0074084A"/>
    <w:rsid w:val="007409E3"/>
    <w:rsid w:val="00740AF5"/>
    <w:rsid w:val="00740B8D"/>
    <w:rsid w:val="00740CD0"/>
    <w:rsid w:val="00740FC4"/>
    <w:rsid w:val="00740FC6"/>
    <w:rsid w:val="00741143"/>
    <w:rsid w:val="0074124E"/>
    <w:rsid w:val="00741308"/>
    <w:rsid w:val="0074130A"/>
    <w:rsid w:val="00741353"/>
    <w:rsid w:val="007414B9"/>
    <w:rsid w:val="007414D2"/>
    <w:rsid w:val="0074155F"/>
    <w:rsid w:val="007416B3"/>
    <w:rsid w:val="007417B4"/>
    <w:rsid w:val="00741852"/>
    <w:rsid w:val="0074192D"/>
    <w:rsid w:val="00741DEB"/>
    <w:rsid w:val="00741E10"/>
    <w:rsid w:val="00741E3F"/>
    <w:rsid w:val="0074202E"/>
    <w:rsid w:val="007420E7"/>
    <w:rsid w:val="007421C0"/>
    <w:rsid w:val="00742224"/>
    <w:rsid w:val="00742304"/>
    <w:rsid w:val="0074232E"/>
    <w:rsid w:val="00742395"/>
    <w:rsid w:val="00742403"/>
    <w:rsid w:val="0074248C"/>
    <w:rsid w:val="00742780"/>
    <w:rsid w:val="007429B1"/>
    <w:rsid w:val="00742C1D"/>
    <w:rsid w:val="00742C4B"/>
    <w:rsid w:val="00742DD7"/>
    <w:rsid w:val="00742E51"/>
    <w:rsid w:val="00742FA3"/>
    <w:rsid w:val="00743002"/>
    <w:rsid w:val="0074314C"/>
    <w:rsid w:val="00743168"/>
    <w:rsid w:val="00743283"/>
    <w:rsid w:val="007432D4"/>
    <w:rsid w:val="007433D8"/>
    <w:rsid w:val="00743508"/>
    <w:rsid w:val="00743963"/>
    <w:rsid w:val="0074398B"/>
    <w:rsid w:val="007439E2"/>
    <w:rsid w:val="00743BF9"/>
    <w:rsid w:val="00743C86"/>
    <w:rsid w:val="00743DDD"/>
    <w:rsid w:val="00743F04"/>
    <w:rsid w:val="00743F49"/>
    <w:rsid w:val="00743F80"/>
    <w:rsid w:val="00743FDB"/>
    <w:rsid w:val="00744120"/>
    <w:rsid w:val="007441E1"/>
    <w:rsid w:val="007442EE"/>
    <w:rsid w:val="00744430"/>
    <w:rsid w:val="0074444E"/>
    <w:rsid w:val="007445B0"/>
    <w:rsid w:val="00744664"/>
    <w:rsid w:val="007446C2"/>
    <w:rsid w:val="00744757"/>
    <w:rsid w:val="00744877"/>
    <w:rsid w:val="00744923"/>
    <w:rsid w:val="007449CD"/>
    <w:rsid w:val="00744B53"/>
    <w:rsid w:val="00744D36"/>
    <w:rsid w:val="00744D9E"/>
    <w:rsid w:val="00744E32"/>
    <w:rsid w:val="00745144"/>
    <w:rsid w:val="0074516C"/>
    <w:rsid w:val="0074527D"/>
    <w:rsid w:val="0074550D"/>
    <w:rsid w:val="007458FB"/>
    <w:rsid w:val="00745A63"/>
    <w:rsid w:val="00745BCF"/>
    <w:rsid w:val="00745E7B"/>
    <w:rsid w:val="00745EB9"/>
    <w:rsid w:val="007463B8"/>
    <w:rsid w:val="0074642B"/>
    <w:rsid w:val="00746487"/>
    <w:rsid w:val="00746566"/>
    <w:rsid w:val="00746661"/>
    <w:rsid w:val="007466A4"/>
    <w:rsid w:val="00746793"/>
    <w:rsid w:val="007467BE"/>
    <w:rsid w:val="007468BF"/>
    <w:rsid w:val="007468D1"/>
    <w:rsid w:val="007469B1"/>
    <w:rsid w:val="00746A60"/>
    <w:rsid w:val="00746AE1"/>
    <w:rsid w:val="00747231"/>
    <w:rsid w:val="0074723E"/>
    <w:rsid w:val="0074735F"/>
    <w:rsid w:val="007473AF"/>
    <w:rsid w:val="007473D0"/>
    <w:rsid w:val="00747594"/>
    <w:rsid w:val="0074763F"/>
    <w:rsid w:val="007476F0"/>
    <w:rsid w:val="00747957"/>
    <w:rsid w:val="00747A7E"/>
    <w:rsid w:val="00747D61"/>
    <w:rsid w:val="00747EB5"/>
    <w:rsid w:val="00747F4F"/>
    <w:rsid w:val="0075011C"/>
    <w:rsid w:val="0075037F"/>
    <w:rsid w:val="00750439"/>
    <w:rsid w:val="00750AA0"/>
    <w:rsid w:val="00750F96"/>
    <w:rsid w:val="007510DC"/>
    <w:rsid w:val="0075118E"/>
    <w:rsid w:val="007512A2"/>
    <w:rsid w:val="007512DD"/>
    <w:rsid w:val="007513C7"/>
    <w:rsid w:val="00751474"/>
    <w:rsid w:val="0075157F"/>
    <w:rsid w:val="007515D4"/>
    <w:rsid w:val="00751621"/>
    <w:rsid w:val="00751805"/>
    <w:rsid w:val="00751B89"/>
    <w:rsid w:val="00751E59"/>
    <w:rsid w:val="00751E5A"/>
    <w:rsid w:val="00751ED1"/>
    <w:rsid w:val="00751FF2"/>
    <w:rsid w:val="007520EB"/>
    <w:rsid w:val="0075217F"/>
    <w:rsid w:val="00752586"/>
    <w:rsid w:val="007529A1"/>
    <w:rsid w:val="007529F3"/>
    <w:rsid w:val="00752A3E"/>
    <w:rsid w:val="00752D41"/>
    <w:rsid w:val="00752D66"/>
    <w:rsid w:val="00752E09"/>
    <w:rsid w:val="00753039"/>
    <w:rsid w:val="0075303E"/>
    <w:rsid w:val="0075331F"/>
    <w:rsid w:val="007534C3"/>
    <w:rsid w:val="0075355F"/>
    <w:rsid w:val="007535D0"/>
    <w:rsid w:val="00753773"/>
    <w:rsid w:val="00753A77"/>
    <w:rsid w:val="00753CA3"/>
    <w:rsid w:val="00753D8E"/>
    <w:rsid w:val="00753DAD"/>
    <w:rsid w:val="00753E29"/>
    <w:rsid w:val="007541ED"/>
    <w:rsid w:val="00754466"/>
    <w:rsid w:val="00754509"/>
    <w:rsid w:val="007545FA"/>
    <w:rsid w:val="0075462D"/>
    <w:rsid w:val="0075467B"/>
    <w:rsid w:val="0075490A"/>
    <w:rsid w:val="00754B16"/>
    <w:rsid w:val="00754C81"/>
    <w:rsid w:val="00754CF2"/>
    <w:rsid w:val="00754E97"/>
    <w:rsid w:val="00754E9F"/>
    <w:rsid w:val="00754EA8"/>
    <w:rsid w:val="00754EBE"/>
    <w:rsid w:val="007552DE"/>
    <w:rsid w:val="00755467"/>
    <w:rsid w:val="007556AA"/>
    <w:rsid w:val="00755780"/>
    <w:rsid w:val="00755986"/>
    <w:rsid w:val="00755F34"/>
    <w:rsid w:val="0075619C"/>
    <w:rsid w:val="00756500"/>
    <w:rsid w:val="00756580"/>
    <w:rsid w:val="00756705"/>
    <w:rsid w:val="00756755"/>
    <w:rsid w:val="007568BC"/>
    <w:rsid w:val="007568FC"/>
    <w:rsid w:val="00756A10"/>
    <w:rsid w:val="00756A68"/>
    <w:rsid w:val="00756B3E"/>
    <w:rsid w:val="00757195"/>
    <w:rsid w:val="00757328"/>
    <w:rsid w:val="007575B9"/>
    <w:rsid w:val="00757617"/>
    <w:rsid w:val="00757817"/>
    <w:rsid w:val="00757872"/>
    <w:rsid w:val="007579A5"/>
    <w:rsid w:val="00757B71"/>
    <w:rsid w:val="00757E84"/>
    <w:rsid w:val="00757F61"/>
    <w:rsid w:val="00757FA5"/>
    <w:rsid w:val="00760033"/>
    <w:rsid w:val="0076014D"/>
    <w:rsid w:val="007602DB"/>
    <w:rsid w:val="0076041A"/>
    <w:rsid w:val="007604AB"/>
    <w:rsid w:val="00760741"/>
    <w:rsid w:val="007607C0"/>
    <w:rsid w:val="00760A99"/>
    <w:rsid w:val="00760EDE"/>
    <w:rsid w:val="0076139A"/>
    <w:rsid w:val="00761698"/>
    <w:rsid w:val="007616FC"/>
    <w:rsid w:val="00761736"/>
    <w:rsid w:val="0076175C"/>
    <w:rsid w:val="00761812"/>
    <w:rsid w:val="00761888"/>
    <w:rsid w:val="00761B9C"/>
    <w:rsid w:val="00761D4A"/>
    <w:rsid w:val="00762061"/>
    <w:rsid w:val="007620A6"/>
    <w:rsid w:val="00762160"/>
    <w:rsid w:val="0076221F"/>
    <w:rsid w:val="007622BC"/>
    <w:rsid w:val="007623D0"/>
    <w:rsid w:val="00762464"/>
    <w:rsid w:val="007624AA"/>
    <w:rsid w:val="007625F9"/>
    <w:rsid w:val="007629E2"/>
    <w:rsid w:val="00762B2A"/>
    <w:rsid w:val="00762F3B"/>
    <w:rsid w:val="00762FDA"/>
    <w:rsid w:val="0076308D"/>
    <w:rsid w:val="007630D2"/>
    <w:rsid w:val="007632CE"/>
    <w:rsid w:val="007634CE"/>
    <w:rsid w:val="007634F4"/>
    <w:rsid w:val="00763528"/>
    <w:rsid w:val="007637F0"/>
    <w:rsid w:val="00763A13"/>
    <w:rsid w:val="00763DE0"/>
    <w:rsid w:val="00764159"/>
    <w:rsid w:val="00764325"/>
    <w:rsid w:val="007643B9"/>
    <w:rsid w:val="007643F4"/>
    <w:rsid w:val="00764475"/>
    <w:rsid w:val="00764525"/>
    <w:rsid w:val="007646CC"/>
    <w:rsid w:val="00764DB5"/>
    <w:rsid w:val="00764EF1"/>
    <w:rsid w:val="00765103"/>
    <w:rsid w:val="00765116"/>
    <w:rsid w:val="007651B8"/>
    <w:rsid w:val="0076521C"/>
    <w:rsid w:val="007653A2"/>
    <w:rsid w:val="007654D4"/>
    <w:rsid w:val="00765635"/>
    <w:rsid w:val="0076582D"/>
    <w:rsid w:val="007658C1"/>
    <w:rsid w:val="007658E6"/>
    <w:rsid w:val="0076590B"/>
    <w:rsid w:val="00765930"/>
    <w:rsid w:val="007659E5"/>
    <w:rsid w:val="00765A08"/>
    <w:rsid w:val="007664F6"/>
    <w:rsid w:val="007669C6"/>
    <w:rsid w:val="00766EE0"/>
    <w:rsid w:val="00766FA4"/>
    <w:rsid w:val="0076705D"/>
    <w:rsid w:val="00767233"/>
    <w:rsid w:val="007672BE"/>
    <w:rsid w:val="007674A2"/>
    <w:rsid w:val="00767664"/>
    <w:rsid w:val="00767728"/>
    <w:rsid w:val="007678A5"/>
    <w:rsid w:val="00767918"/>
    <w:rsid w:val="007679CC"/>
    <w:rsid w:val="00767DA0"/>
    <w:rsid w:val="00767EDB"/>
    <w:rsid w:val="00770315"/>
    <w:rsid w:val="007703C7"/>
    <w:rsid w:val="007703D1"/>
    <w:rsid w:val="007706C7"/>
    <w:rsid w:val="0077090C"/>
    <w:rsid w:val="00770961"/>
    <w:rsid w:val="007709D4"/>
    <w:rsid w:val="007709F1"/>
    <w:rsid w:val="00770A20"/>
    <w:rsid w:val="00770A42"/>
    <w:rsid w:val="00770BB6"/>
    <w:rsid w:val="00770BD2"/>
    <w:rsid w:val="00770D9F"/>
    <w:rsid w:val="00770FB2"/>
    <w:rsid w:val="00771528"/>
    <w:rsid w:val="0077155D"/>
    <w:rsid w:val="00771577"/>
    <w:rsid w:val="00771595"/>
    <w:rsid w:val="007715BB"/>
    <w:rsid w:val="0077184C"/>
    <w:rsid w:val="007718B5"/>
    <w:rsid w:val="00771909"/>
    <w:rsid w:val="007719B5"/>
    <w:rsid w:val="00771C02"/>
    <w:rsid w:val="00771D84"/>
    <w:rsid w:val="00771D88"/>
    <w:rsid w:val="00771EDB"/>
    <w:rsid w:val="007720F1"/>
    <w:rsid w:val="00772109"/>
    <w:rsid w:val="007721F2"/>
    <w:rsid w:val="00772288"/>
    <w:rsid w:val="0077230F"/>
    <w:rsid w:val="00772701"/>
    <w:rsid w:val="007728ED"/>
    <w:rsid w:val="00772973"/>
    <w:rsid w:val="00772A0D"/>
    <w:rsid w:val="00772B64"/>
    <w:rsid w:val="00772E8E"/>
    <w:rsid w:val="00773095"/>
    <w:rsid w:val="007730AB"/>
    <w:rsid w:val="007735E2"/>
    <w:rsid w:val="007738F4"/>
    <w:rsid w:val="00773A90"/>
    <w:rsid w:val="00773DD9"/>
    <w:rsid w:val="00773E1D"/>
    <w:rsid w:val="00773E62"/>
    <w:rsid w:val="00773EE7"/>
    <w:rsid w:val="00773FB0"/>
    <w:rsid w:val="007741C3"/>
    <w:rsid w:val="007742BD"/>
    <w:rsid w:val="00774336"/>
    <w:rsid w:val="0077459A"/>
    <w:rsid w:val="00774B13"/>
    <w:rsid w:val="00774BBB"/>
    <w:rsid w:val="00774EE8"/>
    <w:rsid w:val="0077519C"/>
    <w:rsid w:val="0077522A"/>
    <w:rsid w:val="007752F3"/>
    <w:rsid w:val="007755C0"/>
    <w:rsid w:val="00775703"/>
    <w:rsid w:val="00775AE0"/>
    <w:rsid w:val="00775E47"/>
    <w:rsid w:val="00775E66"/>
    <w:rsid w:val="00775E7D"/>
    <w:rsid w:val="00775EBD"/>
    <w:rsid w:val="00775F2D"/>
    <w:rsid w:val="00775F49"/>
    <w:rsid w:val="00775F6C"/>
    <w:rsid w:val="00775FE9"/>
    <w:rsid w:val="00776107"/>
    <w:rsid w:val="00776129"/>
    <w:rsid w:val="00776130"/>
    <w:rsid w:val="0077629E"/>
    <w:rsid w:val="00776378"/>
    <w:rsid w:val="0077647E"/>
    <w:rsid w:val="0077668B"/>
    <w:rsid w:val="00776756"/>
    <w:rsid w:val="00776834"/>
    <w:rsid w:val="00776CAF"/>
    <w:rsid w:val="00776DB6"/>
    <w:rsid w:val="00776E8F"/>
    <w:rsid w:val="00776FE5"/>
    <w:rsid w:val="00777315"/>
    <w:rsid w:val="00777388"/>
    <w:rsid w:val="00777488"/>
    <w:rsid w:val="007776F7"/>
    <w:rsid w:val="00777819"/>
    <w:rsid w:val="00777870"/>
    <w:rsid w:val="00777B60"/>
    <w:rsid w:val="00777C99"/>
    <w:rsid w:val="00777CA8"/>
    <w:rsid w:val="00777E11"/>
    <w:rsid w:val="00777E1F"/>
    <w:rsid w:val="00777F38"/>
    <w:rsid w:val="00777F73"/>
    <w:rsid w:val="00780000"/>
    <w:rsid w:val="00780171"/>
    <w:rsid w:val="00780326"/>
    <w:rsid w:val="007803E8"/>
    <w:rsid w:val="0078045C"/>
    <w:rsid w:val="00780489"/>
    <w:rsid w:val="0078099E"/>
    <w:rsid w:val="00780A93"/>
    <w:rsid w:val="00780E05"/>
    <w:rsid w:val="00780F45"/>
    <w:rsid w:val="00780F4A"/>
    <w:rsid w:val="007810CA"/>
    <w:rsid w:val="00781203"/>
    <w:rsid w:val="00781237"/>
    <w:rsid w:val="007812EE"/>
    <w:rsid w:val="00781333"/>
    <w:rsid w:val="007813CF"/>
    <w:rsid w:val="00781405"/>
    <w:rsid w:val="0078153A"/>
    <w:rsid w:val="0078154B"/>
    <w:rsid w:val="0078159F"/>
    <w:rsid w:val="007818BF"/>
    <w:rsid w:val="007819F8"/>
    <w:rsid w:val="00781DCE"/>
    <w:rsid w:val="00781E03"/>
    <w:rsid w:val="007823CD"/>
    <w:rsid w:val="007828FF"/>
    <w:rsid w:val="007829E1"/>
    <w:rsid w:val="00782A41"/>
    <w:rsid w:val="00782CF8"/>
    <w:rsid w:val="00782FE1"/>
    <w:rsid w:val="0078325D"/>
    <w:rsid w:val="0078330A"/>
    <w:rsid w:val="007834C2"/>
    <w:rsid w:val="00783564"/>
    <w:rsid w:val="007837B3"/>
    <w:rsid w:val="00783858"/>
    <w:rsid w:val="00783A73"/>
    <w:rsid w:val="00783AB3"/>
    <w:rsid w:val="00783C2E"/>
    <w:rsid w:val="00783F32"/>
    <w:rsid w:val="00784244"/>
    <w:rsid w:val="00784532"/>
    <w:rsid w:val="00784603"/>
    <w:rsid w:val="0078461D"/>
    <w:rsid w:val="0078472C"/>
    <w:rsid w:val="00784809"/>
    <w:rsid w:val="00784959"/>
    <w:rsid w:val="00784A18"/>
    <w:rsid w:val="00784DAA"/>
    <w:rsid w:val="00784E63"/>
    <w:rsid w:val="0078502B"/>
    <w:rsid w:val="0078506D"/>
    <w:rsid w:val="007850E1"/>
    <w:rsid w:val="00785173"/>
    <w:rsid w:val="007851CA"/>
    <w:rsid w:val="007851F1"/>
    <w:rsid w:val="007852C0"/>
    <w:rsid w:val="007854CF"/>
    <w:rsid w:val="007855A8"/>
    <w:rsid w:val="00785655"/>
    <w:rsid w:val="00785890"/>
    <w:rsid w:val="007859C1"/>
    <w:rsid w:val="007859EC"/>
    <w:rsid w:val="00785BE5"/>
    <w:rsid w:val="00785E0A"/>
    <w:rsid w:val="00785ED2"/>
    <w:rsid w:val="00785F6B"/>
    <w:rsid w:val="00785FC3"/>
    <w:rsid w:val="00786027"/>
    <w:rsid w:val="007860B4"/>
    <w:rsid w:val="0078611E"/>
    <w:rsid w:val="00786141"/>
    <w:rsid w:val="00786191"/>
    <w:rsid w:val="00786318"/>
    <w:rsid w:val="00786578"/>
    <w:rsid w:val="00786583"/>
    <w:rsid w:val="00786620"/>
    <w:rsid w:val="0078687E"/>
    <w:rsid w:val="00786C58"/>
    <w:rsid w:val="00786CEC"/>
    <w:rsid w:val="00786DA9"/>
    <w:rsid w:val="00787569"/>
    <w:rsid w:val="00787699"/>
    <w:rsid w:val="00787850"/>
    <w:rsid w:val="00787874"/>
    <w:rsid w:val="00787970"/>
    <w:rsid w:val="00787A90"/>
    <w:rsid w:val="00787D64"/>
    <w:rsid w:val="00787DEE"/>
    <w:rsid w:val="0079001A"/>
    <w:rsid w:val="007900E1"/>
    <w:rsid w:val="00790238"/>
    <w:rsid w:val="0079028D"/>
    <w:rsid w:val="00790410"/>
    <w:rsid w:val="00790686"/>
    <w:rsid w:val="00790773"/>
    <w:rsid w:val="007907E3"/>
    <w:rsid w:val="007908C7"/>
    <w:rsid w:val="00790A7C"/>
    <w:rsid w:val="00790BD4"/>
    <w:rsid w:val="00790C90"/>
    <w:rsid w:val="00790CC5"/>
    <w:rsid w:val="00790D3F"/>
    <w:rsid w:val="00790D73"/>
    <w:rsid w:val="00790E00"/>
    <w:rsid w:val="00790EB2"/>
    <w:rsid w:val="00790FDA"/>
    <w:rsid w:val="00791275"/>
    <w:rsid w:val="00791396"/>
    <w:rsid w:val="007913DD"/>
    <w:rsid w:val="007913E9"/>
    <w:rsid w:val="0079142D"/>
    <w:rsid w:val="0079144E"/>
    <w:rsid w:val="0079148E"/>
    <w:rsid w:val="00791503"/>
    <w:rsid w:val="00791514"/>
    <w:rsid w:val="007915A3"/>
    <w:rsid w:val="00791712"/>
    <w:rsid w:val="007918AA"/>
    <w:rsid w:val="00791A3C"/>
    <w:rsid w:val="00791B26"/>
    <w:rsid w:val="00791C89"/>
    <w:rsid w:val="00791E26"/>
    <w:rsid w:val="00791F13"/>
    <w:rsid w:val="00791F24"/>
    <w:rsid w:val="0079202C"/>
    <w:rsid w:val="0079230F"/>
    <w:rsid w:val="0079251B"/>
    <w:rsid w:val="00792946"/>
    <w:rsid w:val="00792991"/>
    <w:rsid w:val="00792B2B"/>
    <w:rsid w:val="00792CB5"/>
    <w:rsid w:val="00792D1A"/>
    <w:rsid w:val="00792F0C"/>
    <w:rsid w:val="007931CA"/>
    <w:rsid w:val="0079343C"/>
    <w:rsid w:val="00793464"/>
    <w:rsid w:val="00793574"/>
    <w:rsid w:val="007937B2"/>
    <w:rsid w:val="007939A6"/>
    <w:rsid w:val="007939B0"/>
    <w:rsid w:val="00793DE0"/>
    <w:rsid w:val="00793EED"/>
    <w:rsid w:val="00793F2B"/>
    <w:rsid w:val="0079423B"/>
    <w:rsid w:val="007942F1"/>
    <w:rsid w:val="00794B86"/>
    <w:rsid w:val="00794C58"/>
    <w:rsid w:val="00794C60"/>
    <w:rsid w:val="00794DA2"/>
    <w:rsid w:val="00794F14"/>
    <w:rsid w:val="00794FE1"/>
    <w:rsid w:val="007950A4"/>
    <w:rsid w:val="007951F6"/>
    <w:rsid w:val="0079530D"/>
    <w:rsid w:val="00795487"/>
    <w:rsid w:val="007954C4"/>
    <w:rsid w:val="00795562"/>
    <w:rsid w:val="007955C5"/>
    <w:rsid w:val="00795616"/>
    <w:rsid w:val="00795931"/>
    <w:rsid w:val="0079598D"/>
    <w:rsid w:val="00795C67"/>
    <w:rsid w:val="00795E57"/>
    <w:rsid w:val="00796043"/>
    <w:rsid w:val="007960E0"/>
    <w:rsid w:val="00796195"/>
    <w:rsid w:val="007961D3"/>
    <w:rsid w:val="0079644A"/>
    <w:rsid w:val="0079666E"/>
    <w:rsid w:val="007966A5"/>
    <w:rsid w:val="007966F3"/>
    <w:rsid w:val="00796B29"/>
    <w:rsid w:val="00796BF6"/>
    <w:rsid w:val="00796C26"/>
    <w:rsid w:val="00796F56"/>
    <w:rsid w:val="007971A5"/>
    <w:rsid w:val="0079735C"/>
    <w:rsid w:val="00797905"/>
    <w:rsid w:val="00797969"/>
    <w:rsid w:val="007979A7"/>
    <w:rsid w:val="00797A5B"/>
    <w:rsid w:val="00797BD9"/>
    <w:rsid w:val="00797BE1"/>
    <w:rsid w:val="00797FBF"/>
    <w:rsid w:val="00797FEF"/>
    <w:rsid w:val="007A0101"/>
    <w:rsid w:val="007A0191"/>
    <w:rsid w:val="007A0267"/>
    <w:rsid w:val="007A028D"/>
    <w:rsid w:val="007A028E"/>
    <w:rsid w:val="007A029D"/>
    <w:rsid w:val="007A02C3"/>
    <w:rsid w:val="007A0393"/>
    <w:rsid w:val="007A03E1"/>
    <w:rsid w:val="007A059C"/>
    <w:rsid w:val="007A05F3"/>
    <w:rsid w:val="007A0648"/>
    <w:rsid w:val="007A0785"/>
    <w:rsid w:val="007A083F"/>
    <w:rsid w:val="007A0895"/>
    <w:rsid w:val="007A0984"/>
    <w:rsid w:val="007A0A5F"/>
    <w:rsid w:val="007A0E2C"/>
    <w:rsid w:val="007A0F86"/>
    <w:rsid w:val="007A10D2"/>
    <w:rsid w:val="007A118B"/>
    <w:rsid w:val="007A150F"/>
    <w:rsid w:val="007A151C"/>
    <w:rsid w:val="007A1701"/>
    <w:rsid w:val="007A1804"/>
    <w:rsid w:val="007A1959"/>
    <w:rsid w:val="007A1A32"/>
    <w:rsid w:val="007A1BA2"/>
    <w:rsid w:val="007A1D26"/>
    <w:rsid w:val="007A1F5A"/>
    <w:rsid w:val="007A23E9"/>
    <w:rsid w:val="007A29BD"/>
    <w:rsid w:val="007A2C43"/>
    <w:rsid w:val="007A2DCB"/>
    <w:rsid w:val="007A2F3C"/>
    <w:rsid w:val="007A30EF"/>
    <w:rsid w:val="007A326B"/>
    <w:rsid w:val="007A32E3"/>
    <w:rsid w:val="007A380F"/>
    <w:rsid w:val="007A3BB0"/>
    <w:rsid w:val="007A3C68"/>
    <w:rsid w:val="007A3D03"/>
    <w:rsid w:val="007A3D22"/>
    <w:rsid w:val="007A3DAB"/>
    <w:rsid w:val="007A3E7B"/>
    <w:rsid w:val="007A3EEA"/>
    <w:rsid w:val="007A421F"/>
    <w:rsid w:val="007A42EA"/>
    <w:rsid w:val="007A42FD"/>
    <w:rsid w:val="007A4579"/>
    <w:rsid w:val="007A4737"/>
    <w:rsid w:val="007A475D"/>
    <w:rsid w:val="007A4931"/>
    <w:rsid w:val="007A49EF"/>
    <w:rsid w:val="007A4C18"/>
    <w:rsid w:val="007A4ECB"/>
    <w:rsid w:val="007A5040"/>
    <w:rsid w:val="007A508A"/>
    <w:rsid w:val="007A588F"/>
    <w:rsid w:val="007A5A98"/>
    <w:rsid w:val="007A5B11"/>
    <w:rsid w:val="007A5D2D"/>
    <w:rsid w:val="007A5D56"/>
    <w:rsid w:val="007A5E59"/>
    <w:rsid w:val="007A6025"/>
    <w:rsid w:val="007A6038"/>
    <w:rsid w:val="007A606E"/>
    <w:rsid w:val="007A61FC"/>
    <w:rsid w:val="007A63B6"/>
    <w:rsid w:val="007A6401"/>
    <w:rsid w:val="007A6A9A"/>
    <w:rsid w:val="007A6AE4"/>
    <w:rsid w:val="007A6AEC"/>
    <w:rsid w:val="007A6DFA"/>
    <w:rsid w:val="007A6ED4"/>
    <w:rsid w:val="007A7229"/>
    <w:rsid w:val="007A7388"/>
    <w:rsid w:val="007A754B"/>
    <w:rsid w:val="007A75EB"/>
    <w:rsid w:val="007A7716"/>
    <w:rsid w:val="007A78DC"/>
    <w:rsid w:val="007A79F0"/>
    <w:rsid w:val="007A7E74"/>
    <w:rsid w:val="007A7FA8"/>
    <w:rsid w:val="007B0238"/>
    <w:rsid w:val="007B04A8"/>
    <w:rsid w:val="007B05FA"/>
    <w:rsid w:val="007B07B5"/>
    <w:rsid w:val="007B0822"/>
    <w:rsid w:val="007B094D"/>
    <w:rsid w:val="007B097C"/>
    <w:rsid w:val="007B0AFD"/>
    <w:rsid w:val="007B0E6E"/>
    <w:rsid w:val="007B0F6C"/>
    <w:rsid w:val="007B10C6"/>
    <w:rsid w:val="007B12FF"/>
    <w:rsid w:val="007B1332"/>
    <w:rsid w:val="007B1490"/>
    <w:rsid w:val="007B161D"/>
    <w:rsid w:val="007B16E8"/>
    <w:rsid w:val="007B173E"/>
    <w:rsid w:val="007B18A3"/>
    <w:rsid w:val="007B1946"/>
    <w:rsid w:val="007B19A3"/>
    <w:rsid w:val="007B19DC"/>
    <w:rsid w:val="007B1E2F"/>
    <w:rsid w:val="007B1E66"/>
    <w:rsid w:val="007B1F2D"/>
    <w:rsid w:val="007B201D"/>
    <w:rsid w:val="007B20FA"/>
    <w:rsid w:val="007B2275"/>
    <w:rsid w:val="007B22C1"/>
    <w:rsid w:val="007B2380"/>
    <w:rsid w:val="007B24F4"/>
    <w:rsid w:val="007B2554"/>
    <w:rsid w:val="007B2571"/>
    <w:rsid w:val="007B26F9"/>
    <w:rsid w:val="007B2852"/>
    <w:rsid w:val="007B28CC"/>
    <w:rsid w:val="007B2A7B"/>
    <w:rsid w:val="007B2B53"/>
    <w:rsid w:val="007B2E1A"/>
    <w:rsid w:val="007B2E5E"/>
    <w:rsid w:val="007B3029"/>
    <w:rsid w:val="007B306C"/>
    <w:rsid w:val="007B30F2"/>
    <w:rsid w:val="007B3273"/>
    <w:rsid w:val="007B32C4"/>
    <w:rsid w:val="007B32C6"/>
    <w:rsid w:val="007B351A"/>
    <w:rsid w:val="007B3615"/>
    <w:rsid w:val="007B3830"/>
    <w:rsid w:val="007B3A9E"/>
    <w:rsid w:val="007B3C6B"/>
    <w:rsid w:val="007B3CA9"/>
    <w:rsid w:val="007B3DD4"/>
    <w:rsid w:val="007B3EA1"/>
    <w:rsid w:val="007B3EF1"/>
    <w:rsid w:val="007B4318"/>
    <w:rsid w:val="007B44AD"/>
    <w:rsid w:val="007B455A"/>
    <w:rsid w:val="007B45CA"/>
    <w:rsid w:val="007B467D"/>
    <w:rsid w:val="007B4908"/>
    <w:rsid w:val="007B497C"/>
    <w:rsid w:val="007B49FC"/>
    <w:rsid w:val="007B4A41"/>
    <w:rsid w:val="007B4C3C"/>
    <w:rsid w:val="007B4D85"/>
    <w:rsid w:val="007B4FD3"/>
    <w:rsid w:val="007B5198"/>
    <w:rsid w:val="007B51B8"/>
    <w:rsid w:val="007B51BA"/>
    <w:rsid w:val="007B525C"/>
    <w:rsid w:val="007B5300"/>
    <w:rsid w:val="007B538D"/>
    <w:rsid w:val="007B54ED"/>
    <w:rsid w:val="007B557A"/>
    <w:rsid w:val="007B5AE4"/>
    <w:rsid w:val="007B5BB2"/>
    <w:rsid w:val="007B5C3B"/>
    <w:rsid w:val="007B5C65"/>
    <w:rsid w:val="007B5C9E"/>
    <w:rsid w:val="007B5CED"/>
    <w:rsid w:val="007B5DD7"/>
    <w:rsid w:val="007B5E62"/>
    <w:rsid w:val="007B604C"/>
    <w:rsid w:val="007B62F2"/>
    <w:rsid w:val="007B63BF"/>
    <w:rsid w:val="007B63DF"/>
    <w:rsid w:val="007B63FE"/>
    <w:rsid w:val="007B64EE"/>
    <w:rsid w:val="007B67CF"/>
    <w:rsid w:val="007B696C"/>
    <w:rsid w:val="007B69A2"/>
    <w:rsid w:val="007B6B70"/>
    <w:rsid w:val="007B6D7C"/>
    <w:rsid w:val="007B6E75"/>
    <w:rsid w:val="007B6F10"/>
    <w:rsid w:val="007B6FB7"/>
    <w:rsid w:val="007B7066"/>
    <w:rsid w:val="007B7221"/>
    <w:rsid w:val="007B7300"/>
    <w:rsid w:val="007B735C"/>
    <w:rsid w:val="007B788D"/>
    <w:rsid w:val="007B7BFF"/>
    <w:rsid w:val="007B7E67"/>
    <w:rsid w:val="007B7E7A"/>
    <w:rsid w:val="007C00F2"/>
    <w:rsid w:val="007C04A0"/>
    <w:rsid w:val="007C0576"/>
    <w:rsid w:val="007C08EE"/>
    <w:rsid w:val="007C0931"/>
    <w:rsid w:val="007C0AA5"/>
    <w:rsid w:val="007C0D41"/>
    <w:rsid w:val="007C117D"/>
    <w:rsid w:val="007C11D5"/>
    <w:rsid w:val="007C11DF"/>
    <w:rsid w:val="007C17E2"/>
    <w:rsid w:val="007C19AB"/>
    <w:rsid w:val="007C1A4F"/>
    <w:rsid w:val="007C1AAC"/>
    <w:rsid w:val="007C1AF7"/>
    <w:rsid w:val="007C1CE3"/>
    <w:rsid w:val="007C1CF2"/>
    <w:rsid w:val="007C2037"/>
    <w:rsid w:val="007C233E"/>
    <w:rsid w:val="007C239E"/>
    <w:rsid w:val="007C2499"/>
    <w:rsid w:val="007C27A7"/>
    <w:rsid w:val="007C286B"/>
    <w:rsid w:val="007C299C"/>
    <w:rsid w:val="007C29D3"/>
    <w:rsid w:val="007C2C92"/>
    <w:rsid w:val="007C2EA5"/>
    <w:rsid w:val="007C2F9F"/>
    <w:rsid w:val="007C307C"/>
    <w:rsid w:val="007C3100"/>
    <w:rsid w:val="007C314A"/>
    <w:rsid w:val="007C3194"/>
    <w:rsid w:val="007C3215"/>
    <w:rsid w:val="007C3221"/>
    <w:rsid w:val="007C33A4"/>
    <w:rsid w:val="007C350D"/>
    <w:rsid w:val="007C36B6"/>
    <w:rsid w:val="007C36E4"/>
    <w:rsid w:val="007C3845"/>
    <w:rsid w:val="007C3873"/>
    <w:rsid w:val="007C3955"/>
    <w:rsid w:val="007C3A79"/>
    <w:rsid w:val="007C3BAE"/>
    <w:rsid w:val="007C3C31"/>
    <w:rsid w:val="007C3C3D"/>
    <w:rsid w:val="007C3DE4"/>
    <w:rsid w:val="007C3ED7"/>
    <w:rsid w:val="007C40AF"/>
    <w:rsid w:val="007C40B2"/>
    <w:rsid w:val="007C4113"/>
    <w:rsid w:val="007C418C"/>
    <w:rsid w:val="007C4489"/>
    <w:rsid w:val="007C465E"/>
    <w:rsid w:val="007C46A0"/>
    <w:rsid w:val="007C4AB3"/>
    <w:rsid w:val="007C4BA8"/>
    <w:rsid w:val="007C4C13"/>
    <w:rsid w:val="007C4D34"/>
    <w:rsid w:val="007C4D3D"/>
    <w:rsid w:val="007C4DB5"/>
    <w:rsid w:val="007C4DC4"/>
    <w:rsid w:val="007C5095"/>
    <w:rsid w:val="007C54BC"/>
    <w:rsid w:val="007C56DB"/>
    <w:rsid w:val="007C56FF"/>
    <w:rsid w:val="007C585F"/>
    <w:rsid w:val="007C5A45"/>
    <w:rsid w:val="007C5C8E"/>
    <w:rsid w:val="007C5C96"/>
    <w:rsid w:val="007C5C9C"/>
    <w:rsid w:val="007C5D48"/>
    <w:rsid w:val="007C5DDD"/>
    <w:rsid w:val="007C5E61"/>
    <w:rsid w:val="007C5E7E"/>
    <w:rsid w:val="007C5F69"/>
    <w:rsid w:val="007C5FC9"/>
    <w:rsid w:val="007C605D"/>
    <w:rsid w:val="007C62AC"/>
    <w:rsid w:val="007C63A6"/>
    <w:rsid w:val="007C63AC"/>
    <w:rsid w:val="007C65EB"/>
    <w:rsid w:val="007C6886"/>
    <w:rsid w:val="007C698B"/>
    <w:rsid w:val="007C6BB9"/>
    <w:rsid w:val="007C6D41"/>
    <w:rsid w:val="007C6E8D"/>
    <w:rsid w:val="007C6F0F"/>
    <w:rsid w:val="007C73AD"/>
    <w:rsid w:val="007C762F"/>
    <w:rsid w:val="007C7D98"/>
    <w:rsid w:val="007D0053"/>
    <w:rsid w:val="007D00AB"/>
    <w:rsid w:val="007D012B"/>
    <w:rsid w:val="007D078F"/>
    <w:rsid w:val="007D08B7"/>
    <w:rsid w:val="007D08D2"/>
    <w:rsid w:val="007D0A00"/>
    <w:rsid w:val="007D0A60"/>
    <w:rsid w:val="007D0CD4"/>
    <w:rsid w:val="007D0CE9"/>
    <w:rsid w:val="007D0D80"/>
    <w:rsid w:val="007D11CF"/>
    <w:rsid w:val="007D1217"/>
    <w:rsid w:val="007D153F"/>
    <w:rsid w:val="007D15FE"/>
    <w:rsid w:val="007D1700"/>
    <w:rsid w:val="007D1820"/>
    <w:rsid w:val="007D1A0E"/>
    <w:rsid w:val="007D1BA9"/>
    <w:rsid w:val="007D1C78"/>
    <w:rsid w:val="007D1C8D"/>
    <w:rsid w:val="007D2153"/>
    <w:rsid w:val="007D220C"/>
    <w:rsid w:val="007D2213"/>
    <w:rsid w:val="007D2360"/>
    <w:rsid w:val="007D2597"/>
    <w:rsid w:val="007D2607"/>
    <w:rsid w:val="007D265B"/>
    <w:rsid w:val="007D2665"/>
    <w:rsid w:val="007D2790"/>
    <w:rsid w:val="007D2834"/>
    <w:rsid w:val="007D2956"/>
    <w:rsid w:val="007D2A3C"/>
    <w:rsid w:val="007D2A89"/>
    <w:rsid w:val="007D2B89"/>
    <w:rsid w:val="007D2EF0"/>
    <w:rsid w:val="007D3078"/>
    <w:rsid w:val="007D30B4"/>
    <w:rsid w:val="007D30BD"/>
    <w:rsid w:val="007D3132"/>
    <w:rsid w:val="007D3462"/>
    <w:rsid w:val="007D34CA"/>
    <w:rsid w:val="007D401B"/>
    <w:rsid w:val="007D4352"/>
    <w:rsid w:val="007D43E8"/>
    <w:rsid w:val="007D46E4"/>
    <w:rsid w:val="007D47B5"/>
    <w:rsid w:val="007D480A"/>
    <w:rsid w:val="007D481A"/>
    <w:rsid w:val="007D4A0E"/>
    <w:rsid w:val="007D4AA6"/>
    <w:rsid w:val="007D4B12"/>
    <w:rsid w:val="007D4CB5"/>
    <w:rsid w:val="007D4D93"/>
    <w:rsid w:val="007D4F37"/>
    <w:rsid w:val="007D4FB4"/>
    <w:rsid w:val="007D4FCD"/>
    <w:rsid w:val="007D5192"/>
    <w:rsid w:val="007D53F7"/>
    <w:rsid w:val="007D554C"/>
    <w:rsid w:val="007D55E0"/>
    <w:rsid w:val="007D56BE"/>
    <w:rsid w:val="007D5784"/>
    <w:rsid w:val="007D597D"/>
    <w:rsid w:val="007D5987"/>
    <w:rsid w:val="007D599D"/>
    <w:rsid w:val="007D59F0"/>
    <w:rsid w:val="007D5AEF"/>
    <w:rsid w:val="007D5CB2"/>
    <w:rsid w:val="007D5D09"/>
    <w:rsid w:val="007D5D6C"/>
    <w:rsid w:val="007D5EE1"/>
    <w:rsid w:val="007D6087"/>
    <w:rsid w:val="007D61B3"/>
    <w:rsid w:val="007D6227"/>
    <w:rsid w:val="007D629F"/>
    <w:rsid w:val="007D649F"/>
    <w:rsid w:val="007D65DE"/>
    <w:rsid w:val="007D65FE"/>
    <w:rsid w:val="007D686A"/>
    <w:rsid w:val="007D68BC"/>
    <w:rsid w:val="007D6905"/>
    <w:rsid w:val="007D69CC"/>
    <w:rsid w:val="007D6A3A"/>
    <w:rsid w:val="007D6B7A"/>
    <w:rsid w:val="007D6DDC"/>
    <w:rsid w:val="007D6E1E"/>
    <w:rsid w:val="007D6E81"/>
    <w:rsid w:val="007D7538"/>
    <w:rsid w:val="007D759B"/>
    <w:rsid w:val="007D7690"/>
    <w:rsid w:val="007D778A"/>
    <w:rsid w:val="007D7918"/>
    <w:rsid w:val="007D798B"/>
    <w:rsid w:val="007D7BE3"/>
    <w:rsid w:val="007D7C77"/>
    <w:rsid w:val="007D7EC4"/>
    <w:rsid w:val="007E00DE"/>
    <w:rsid w:val="007E02D5"/>
    <w:rsid w:val="007E0831"/>
    <w:rsid w:val="007E0973"/>
    <w:rsid w:val="007E0A3B"/>
    <w:rsid w:val="007E0B2A"/>
    <w:rsid w:val="007E0B47"/>
    <w:rsid w:val="007E0F42"/>
    <w:rsid w:val="007E0FB0"/>
    <w:rsid w:val="007E115B"/>
    <w:rsid w:val="007E1233"/>
    <w:rsid w:val="007E1487"/>
    <w:rsid w:val="007E1572"/>
    <w:rsid w:val="007E165B"/>
    <w:rsid w:val="007E1A3D"/>
    <w:rsid w:val="007E1A44"/>
    <w:rsid w:val="007E1A4D"/>
    <w:rsid w:val="007E1B1D"/>
    <w:rsid w:val="007E1C14"/>
    <w:rsid w:val="007E1C22"/>
    <w:rsid w:val="007E1CDB"/>
    <w:rsid w:val="007E1D3C"/>
    <w:rsid w:val="007E1DA0"/>
    <w:rsid w:val="007E1DC0"/>
    <w:rsid w:val="007E1E5C"/>
    <w:rsid w:val="007E1F5F"/>
    <w:rsid w:val="007E20E9"/>
    <w:rsid w:val="007E2257"/>
    <w:rsid w:val="007E22B2"/>
    <w:rsid w:val="007E2446"/>
    <w:rsid w:val="007E25A6"/>
    <w:rsid w:val="007E25EF"/>
    <w:rsid w:val="007E2659"/>
    <w:rsid w:val="007E296A"/>
    <w:rsid w:val="007E2ADC"/>
    <w:rsid w:val="007E2CEF"/>
    <w:rsid w:val="007E2E07"/>
    <w:rsid w:val="007E2E0C"/>
    <w:rsid w:val="007E2E75"/>
    <w:rsid w:val="007E2EFC"/>
    <w:rsid w:val="007E2F74"/>
    <w:rsid w:val="007E2FFB"/>
    <w:rsid w:val="007E30FA"/>
    <w:rsid w:val="007E3150"/>
    <w:rsid w:val="007E3231"/>
    <w:rsid w:val="007E35BE"/>
    <w:rsid w:val="007E38D5"/>
    <w:rsid w:val="007E3A4D"/>
    <w:rsid w:val="007E3CDF"/>
    <w:rsid w:val="007E3E96"/>
    <w:rsid w:val="007E3FB4"/>
    <w:rsid w:val="007E43EF"/>
    <w:rsid w:val="007E4769"/>
    <w:rsid w:val="007E48A1"/>
    <w:rsid w:val="007E4AEA"/>
    <w:rsid w:val="007E4B92"/>
    <w:rsid w:val="007E4D8C"/>
    <w:rsid w:val="007E4EA6"/>
    <w:rsid w:val="007E4F94"/>
    <w:rsid w:val="007E51DD"/>
    <w:rsid w:val="007E5225"/>
    <w:rsid w:val="007E52BC"/>
    <w:rsid w:val="007E5303"/>
    <w:rsid w:val="007E541F"/>
    <w:rsid w:val="007E55E7"/>
    <w:rsid w:val="007E57AB"/>
    <w:rsid w:val="007E5810"/>
    <w:rsid w:val="007E5B87"/>
    <w:rsid w:val="007E5B8A"/>
    <w:rsid w:val="007E5E2E"/>
    <w:rsid w:val="007E5F9A"/>
    <w:rsid w:val="007E6069"/>
    <w:rsid w:val="007E61DB"/>
    <w:rsid w:val="007E6261"/>
    <w:rsid w:val="007E6329"/>
    <w:rsid w:val="007E64AD"/>
    <w:rsid w:val="007E653F"/>
    <w:rsid w:val="007E6545"/>
    <w:rsid w:val="007E654F"/>
    <w:rsid w:val="007E6735"/>
    <w:rsid w:val="007E6837"/>
    <w:rsid w:val="007E6880"/>
    <w:rsid w:val="007E689E"/>
    <w:rsid w:val="007E6A05"/>
    <w:rsid w:val="007E6C3E"/>
    <w:rsid w:val="007E6EF6"/>
    <w:rsid w:val="007E6F15"/>
    <w:rsid w:val="007E703B"/>
    <w:rsid w:val="007E70DC"/>
    <w:rsid w:val="007E7239"/>
    <w:rsid w:val="007E7301"/>
    <w:rsid w:val="007E740E"/>
    <w:rsid w:val="007E74C3"/>
    <w:rsid w:val="007E74DA"/>
    <w:rsid w:val="007E76D5"/>
    <w:rsid w:val="007E7745"/>
    <w:rsid w:val="007E7822"/>
    <w:rsid w:val="007E797F"/>
    <w:rsid w:val="007E7D58"/>
    <w:rsid w:val="007F022C"/>
    <w:rsid w:val="007F03E9"/>
    <w:rsid w:val="007F058D"/>
    <w:rsid w:val="007F05CA"/>
    <w:rsid w:val="007F06B5"/>
    <w:rsid w:val="007F076F"/>
    <w:rsid w:val="007F0793"/>
    <w:rsid w:val="007F08A9"/>
    <w:rsid w:val="007F0A14"/>
    <w:rsid w:val="007F0BBB"/>
    <w:rsid w:val="007F0DB4"/>
    <w:rsid w:val="007F0E64"/>
    <w:rsid w:val="007F0E96"/>
    <w:rsid w:val="007F1213"/>
    <w:rsid w:val="007F12FB"/>
    <w:rsid w:val="007F1341"/>
    <w:rsid w:val="007F16CE"/>
    <w:rsid w:val="007F1802"/>
    <w:rsid w:val="007F19F5"/>
    <w:rsid w:val="007F1ADE"/>
    <w:rsid w:val="007F1C0D"/>
    <w:rsid w:val="007F1C67"/>
    <w:rsid w:val="007F1C9C"/>
    <w:rsid w:val="007F1EE0"/>
    <w:rsid w:val="007F1F26"/>
    <w:rsid w:val="007F20E1"/>
    <w:rsid w:val="007F249A"/>
    <w:rsid w:val="007F24DE"/>
    <w:rsid w:val="007F26C9"/>
    <w:rsid w:val="007F2748"/>
    <w:rsid w:val="007F2A15"/>
    <w:rsid w:val="007F2A82"/>
    <w:rsid w:val="007F2ADA"/>
    <w:rsid w:val="007F2BB3"/>
    <w:rsid w:val="007F2C4E"/>
    <w:rsid w:val="007F2DBD"/>
    <w:rsid w:val="007F3047"/>
    <w:rsid w:val="007F31CE"/>
    <w:rsid w:val="007F3261"/>
    <w:rsid w:val="007F32D0"/>
    <w:rsid w:val="007F349C"/>
    <w:rsid w:val="007F3551"/>
    <w:rsid w:val="007F3554"/>
    <w:rsid w:val="007F38D0"/>
    <w:rsid w:val="007F38EF"/>
    <w:rsid w:val="007F3BED"/>
    <w:rsid w:val="007F3E6C"/>
    <w:rsid w:val="007F4026"/>
    <w:rsid w:val="007F416E"/>
    <w:rsid w:val="007F4440"/>
    <w:rsid w:val="007F462D"/>
    <w:rsid w:val="007F47F8"/>
    <w:rsid w:val="007F4851"/>
    <w:rsid w:val="007F485B"/>
    <w:rsid w:val="007F48A8"/>
    <w:rsid w:val="007F4951"/>
    <w:rsid w:val="007F49A9"/>
    <w:rsid w:val="007F4A64"/>
    <w:rsid w:val="007F4B85"/>
    <w:rsid w:val="007F4BB3"/>
    <w:rsid w:val="007F4BDE"/>
    <w:rsid w:val="007F4F04"/>
    <w:rsid w:val="007F5023"/>
    <w:rsid w:val="007F5354"/>
    <w:rsid w:val="007F57A1"/>
    <w:rsid w:val="007F57BF"/>
    <w:rsid w:val="007F587D"/>
    <w:rsid w:val="007F58C4"/>
    <w:rsid w:val="007F5975"/>
    <w:rsid w:val="007F598D"/>
    <w:rsid w:val="007F5BF5"/>
    <w:rsid w:val="007F5C4B"/>
    <w:rsid w:val="007F5CE1"/>
    <w:rsid w:val="007F5EC0"/>
    <w:rsid w:val="007F6046"/>
    <w:rsid w:val="007F60A1"/>
    <w:rsid w:val="007F61B8"/>
    <w:rsid w:val="007F61BA"/>
    <w:rsid w:val="007F64CB"/>
    <w:rsid w:val="007F65A0"/>
    <w:rsid w:val="007F6954"/>
    <w:rsid w:val="007F69F3"/>
    <w:rsid w:val="007F6A0C"/>
    <w:rsid w:val="007F6AB9"/>
    <w:rsid w:val="007F6FFD"/>
    <w:rsid w:val="007F718B"/>
    <w:rsid w:val="007F7266"/>
    <w:rsid w:val="007F7595"/>
    <w:rsid w:val="007F75AA"/>
    <w:rsid w:val="007F7612"/>
    <w:rsid w:val="007F76CD"/>
    <w:rsid w:val="007F7827"/>
    <w:rsid w:val="007F7A3B"/>
    <w:rsid w:val="007F7EF6"/>
    <w:rsid w:val="00800152"/>
    <w:rsid w:val="0080026F"/>
    <w:rsid w:val="00800346"/>
    <w:rsid w:val="008003F0"/>
    <w:rsid w:val="00800413"/>
    <w:rsid w:val="008004E5"/>
    <w:rsid w:val="00800618"/>
    <w:rsid w:val="0080062F"/>
    <w:rsid w:val="00800CF1"/>
    <w:rsid w:val="00800FAC"/>
    <w:rsid w:val="008012A7"/>
    <w:rsid w:val="0080141B"/>
    <w:rsid w:val="00801578"/>
    <w:rsid w:val="0080157A"/>
    <w:rsid w:val="008017D8"/>
    <w:rsid w:val="0080189F"/>
    <w:rsid w:val="00801B27"/>
    <w:rsid w:val="00801C12"/>
    <w:rsid w:val="00801CCF"/>
    <w:rsid w:val="00801D73"/>
    <w:rsid w:val="00801DAF"/>
    <w:rsid w:val="00801E92"/>
    <w:rsid w:val="00802001"/>
    <w:rsid w:val="008020D6"/>
    <w:rsid w:val="008020E6"/>
    <w:rsid w:val="00802234"/>
    <w:rsid w:val="008022D0"/>
    <w:rsid w:val="008022DC"/>
    <w:rsid w:val="00802510"/>
    <w:rsid w:val="008025A0"/>
    <w:rsid w:val="00802790"/>
    <w:rsid w:val="00802879"/>
    <w:rsid w:val="00802970"/>
    <w:rsid w:val="008029AC"/>
    <w:rsid w:val="00802A60"/>
    <w:rsid w:val="00802CA0"/>
    <w:rsid w:val="00803277"/>
    <w:rsid w:val="00803385"/>
    <w:rsid w:val="0080373D"/>
    <w:rsid w:val="00803827"/>
    <w:rsid w:val="00803904"/>
    <w:rsid w:val="00803973"/>
    <w:rsid w:val="00803B80"/>
    <w:rsid w:val="00803C64"/>
    <w:rsid w:val="008041DB"/>
    <w:rsid w:val="008044F3"/>
    <w:rsid w:val="0080475F"/>
    <w:rsid w:val="00804767"/>
    <w:rsid w:val="00804AE7"/>
    <w:rsid w:val="00804C35"/>
    <w:rsid w:val="00804ED2"/>
    <w:rsid w:val="0080524E"/>
    <w:rsid w:val="0080550B"/>
    <w:rsid w:val="008056CE"/>
    <w:rsid w:val="00805744"/>
    <w:rsid w:val="00805760"/>
    <w:rsid w:val="008058A8"/>
    <w:rsid w:val="008059C5"/>
    <w:rsid w:val="008059CA"/>
    <w:rsid w:val="00805C85"/>
    <w:rsid w:val="00805E74"/>
    <w:rsid w:val="00805EB6"/>
    <w:rsid w:val="00806121"/>
    <w:rsid w:val="0080626B"/>
    <w:rsid w:val="008062FA"/>
    <w:rsid w:val="008065C8"/>
    <w:rsid w:val="008066C9"/>
    <w:rsid w:val="00806745"/>
    <w:rsid w:val="00806A87"/>
    <w:rsid w:val="00806B05"/>
    <w:rsid w:val="00806B3C"/>
    <w:rsid w:val="00806B92"/>
    <w:rsid w:val="00806C81"/>
    <w:rsid w:val="00806CFA"/>
    <w:rsid w:val="00806F1E"/>
    <w:rsid w:val="00806F24"/>
    <w:rsid w:val="00806F56"/>
    <w:rsid w:val="00807420"/>
    <w:rsid w:val="008074A4"/>
    <w:rsid w:val="0080754C"/>
    <w:rsid w:val="0080772D"/>
    <w:rsid w:val="00807904"/>
    <w:rsid w:val="00807A89"/>
    <w:rsid w:val="00807AF2"/>
    <w:rsid w:val="00807BBC"/>
    <w:rsid w:val="00807D3B"/>
    <w:rsid w:val="00807FC8"/>
    <w:rsid w:val="008100A3"/>
    <w:rsid w:val="00810105"/>
    <w:rsid w:val="00810275"/>
    <w:rsid w:val="008103A4"/>
    <w:rsid w:val="00810721"/>
    <w:rsid w:val="00810857"/>
    <w:rsid w:val="00810900"/>
    <w:rsid w:val="00810B24"/>
    <w:rsid w:val="00811205"/>
    <w:rsid w:val="00811614"/>
    <w:rsid w:val="0081170D"/>
    <w:rsid w:val="00811866"/>
    <w:rsid w:val="008118FC"/>
    <w:rsid w:val="00811937"/>
    <w:rsid w:val="008119E4"/>
    <w:rsid w:val="00811CB9"/>
    <w:rsid w:val="00811E8F"/>
    <w:rsid w:val="00812016"/>
    <w:rsid w:val="00812286"/>
    <w:rsid w:val="00812342"/>
    <w:rsid w:val="0081241D"/>
    <w:rsid w:val="00812450"/>
    <w:rsid w:val="008124E8"/>
    <w:rsid w:val="00812540"/>
    <w:rsid w:val="008125FE"/>
    <w:rsid w:val="00812A0C"/>
    <w:rsid w:val="00812DD4"/>
    <w:rsid w:val="008131E9"/>
    <w:rsid w:val="00813236"/>
    <w:rsid w:val="008133B5"/>
    <w:rsid w:val="00813444"/>
    <w:rsid w:val="00813536"/>
    <w:rsid w:val="00813726"/>
    <w:rsid w:val="0081374B"/>
    <w:rsid w:val="00813790"/>
    <w:rsid w:val="00813856"/>
    <w:rsid w:val="008138A8"/>
    <w:rsid w:val="008138CE"/>
    <w:rsid w:val="0081392C"/>
    <w:rsid w:val="00813AF2"/>
    <w:rsid w:val="00813B01"/>
    <w:rsid w:val="00813B1F"/>
    <w:rsid w:val="00813B35"/>
    <w:rsid w:val="00813FAC"/>
    <w:rsid w:val="008140F0"/>
    <w:rsid w:val="00814479"/>
    <w:rsid w:val="00814493"/>
    <w:rsid w:val="00814647"/>
    <w:rsid w:val="0081476F"/>
    <w:rsid w:val="00814895"/>
    <w:rsid w:val="008149F5"/>
    <w:rsid w:val="00814BD1"/>
    <w:rsid w:val="00814E05"/>
    <w:rsid w:val="00814EB6"/>
    <w:rsid w:val="00815056"/>
    <w:rsid w:val="008154EB"/>
    <w:rsid w:val="00815701"/>
    <w:rsid w:val="00815A6B"/>
    <w:rsid w:val="00815A85"/>
    <w:rsid w:val="00815AA1"/>
    <w:rsid w:val="00815E17"/>
    <w:rsid w:val="00815EE7"/>
    <w:rsid w:val="0081617E"/>
    <w:rsid w:val="008162B9"/>
    <w:rsid w:val="0081639D"/>
    <w:rsid w:val="00816403"/>
    <w:rsid w:val="008166A5"/>
    <w:rsid w:val="008167B2"/>
    <w:rsid w:val="0081689F"/>
    <w:rsid w:val="008168D8"/>
    <w:rsid w:val="00816C7D"/>
    <w:rsid w:val="00816D05"/>
    <w:rsid w:val="00816F36"/>
    <w:rsid w:val="00816FCE"/>
    <w:rsid w:val="008170CA"/>
    <w:rsid w:val="00817299"/>
    <w:rsid w:val="008173E2"/>
    <w:rsid w:val="0081750A"/>
    <w:rsid w:val="008175D7"/>
    <w:rsid w:val="00817771"/>
    <w:rsid w:val="0081777A"/>
    <w:rsid w:val="00817821"/>
    <w:rsid w:val="008179B4"/>
    <w:rsid w:val="00817D10"/>
    <w:rsid w:val="00820198"/>
    <w:rsid w:val="00820207"/>
    <w:rsid w:val="008204E6"/>
    <w:rsid w:val="00820521"/>
    <w:rsid w:val="00820731"/>
    <w:rsid w:val="008209A0"/>
    <w:rsid w:val="008209C5"/>
    <w:rsid w:val="00820B2F"/>
    <w:rsid w:val="00820D6A"/>
    <w:rsid w:val="00820DD7"/>
    <w:rsid w:val="00820E46"/>
    <w:rsid w:val="00820EBE"/>
    <w:rsid w:val="00820F0E"/>
    <w:rsid w:val="00820F22"/>
    <w:rsid w:val="00820F63"/>
    <w:rsid w:val="00821249"/>
    <w:rsid w:val="008213C5"/>
    <w:rsid w:val="008213FE"/>
    <w:rsid w:val="00821491"/>
    <w:rsid w:val="0082163B"/>
    <w:rsid w:val="008216A7"/>
    <w:rsid w:val="0082182D"/>
    <w:rsid w:val="008219A3"/>
    <w:rsid w:val="00821B81"/>
    <w:rsid w:val="00821C35"/>
    <w:rsid w:val="00821C66"/>
    <w:rsid w:val="00821CEE"/>
    <w:rsid w:val="00821D83"/>
    <w:rsid w:val="00821EDB"/>
    <w:rsid w:val="00822025"/>
    <w:rsid w:val="00822239"/>
    <w:rsid w:val="008222BA"/>
    <w:rsid w:val="008222E6"/>
    <w:rsid w:val="008224CA"/>
    <w:rsid w:val="00822609"/>
    <w:rsid w:val="00822653"/>
    <w:rsid w:val="00822663"/>
    <w:rsid w:val="00822A3E"/>
    <w:rsid w:val="00822F22"/>
    <w:rsid w:val="00823006"/>
    <w:rsid w:val="0082306B"/>
    <w:rsid w:val="008230A1"/>
    <w:rsid w:val="008231C9"/>
    <w:rsid w:val="008236CC"/>
    <w:rsid w:val="0082380D"/>
    <w:rsid w:val="00823823"/>
    <w:rsid w:val="00823C12"/>
    <w:rsid w:val="00823CBA"/>
    <w:rsid w:val="00823DB5"/>
    <w:rsid w:val="00823E0C"/>
    <w:rsid w:val="00823E91"/>
    <w:rsid w:val="008245E5"/>
    <w:rsid w:val="00824C0A"/>
    <w:rsid w:val="00824E06"/>
    <w:rsid w:val="00824E07"/>
    <w:rsid w:val="008250C1"/>
    <w:rsid w:val="008250CE"/>
    <w:rsid w:val="0082513A"/>
    <w:rsid w:val="00825325"/>
    <w:rsid w:val="008253FB"/>
    <w:rsid w:val="0082561E"/>
    <w:rsid w:val="0082566A"/>
    <w:rsid w:val="008256C8"/>
    <w:rsid w:val="008257E9"/>
    <w:rsid w:val="0082587F"/>
    <w:rsid w:val="008259E3"/>
    <w:rsid w:val="00825A3B"/>
    <w:rsid w:val="00825BC4"/>
    <w:rsid w:val="00825D2E"/>
    <w:rsid w:val="00825DE7"/>
    <w:rsid w:val="00825F93"/>
    <w:rsid w:val="00826079"/>
    <w:rsid w:val="0082611B"/>
    <w:rsid w:val="00826133"/>
    <w:rsid w:val="008262CD"/>
    <w:rsid w:val="00826590"/>
    <w:rsid w:val="008267D8"/>
    <w:rsid w:val="008268AF"/>
    <w:rsid w:val="008268D0"/>
    <w:rsid w:val="0082699E"/>
    <w:rsid w:val="00826AB3"/>
    <w:rsid w:val="00826B0D"/>
    <w:rsid w:val="00826C4F"/>
    <w:rsid w:val="00826F56"/>
    <w:rsid w:val="00826F94"/>
    <w:rsid w:val="00827012"/>
    <w:rsid w:val="00827019"/>
    <w:rsid w:val="008271F8"/>
    <w:rsid w:val="00827234"/>
    <w:rsid w:val="0082725C"/>
    <w:rsid w:val="008275DE"/>
    <w:rsid w:val="00827693"/>
    <w:rsid w:val="008276F4"/>
    <w:rsid w:val="008278D3"/>
    <w:rsid w:val="00827927"/>
    <w:rsid w:val="00827995"/>
    <w:rsid w:val="00827AC4"/>
    <w:rsid w:val="00827AFD"/>
    <w:rsid w:val="00827CB6"/>
    <w:rsid w:val="00827E6C"/>
    <w:rsid w:val="00827E87"/>
    <w:rsid w:val="008300AF"/>
    <w:rsid w:val="00830130"/>
    <w:rsid w:val="008304EF"/>
    <w:rsid w:val="008306A3"/>
    <w:rsid w:val="00830B1F"/>
    <w:rsid w:val="00830BB4"/>
    <w:rsid w:val="00830BF1"/>
    <w:rsid w:val="00830CC1"/>
    <w:rsid w:val="00830F2D"/>
    <w:rsid w:val="00831B79"/>
    <w:rsid w:val="00831BA6"/>
    <w:rsid w:val="00831C18"/>
    <w:rsid w:val="008323C8"/>
    <w:rsid w:val="00832507"/>
    <w:rsid w:val="008326C2"/>
    <w:rsid w:val="0083275C"/>
    <w:rsid w:val="0083289A"/>
    <w:rsid w:val="008328FD"/>
    <w:rsid w:val="00832A83"/>
    <w:rsid w:val="00832BBC"/>
    <w:rsid w:val="00832DB1"/>
    <w:rsid w:val="00832E85"/>
    <w:rsid w:val="0083302C"/>
    <w:rsid w:val="00833060"/>
    <w:rsid w:val="008331D2"/>
    <w:rsid w:val="00833216"/>
    <w:rsid w:val="0083348B"/>
    <w:rsid w:val="00833653"/>
    <w:rsid w:val="008336EB"/>
    <w:rsid w:val="00833742"/>
    <w:rsid w:val="0083379A"/>
    <w:rsid w:val="00833808"/>
    <w:rsid w:val="00833865"/>
    <w:rsid w:val="00833B23"/>
    <w:rsid w:val="00833BFD"/>
    <w:rsid w:val="00833C1A"/>
    <w:rsid w:val="00834006"/>
    <w:rsid w:val="008340B1"/>
    <w:rsid w:val="00834154"/>
    <w:rsid w:val="00834352"/>
    <w:rsid w:val="0083450A"/>
    <w:rsid w:val="0083469D"/>
    <w:rsid w:val="00834926"/>
    <w:rsid w:val="00834AD0"/>
    <w:rsid w:val="00834B39"/>
    <w:rsid w:val="00834BE2"/>
    <w:rsid w:val="00834C97"/>
    <w:rsid w:val="00834DC0"/>
    <w:rsid w:val="00834E02"/>
    <w:rsid w:val="00834F1F"/>
    <w:rsid w:val="00835127"/>
    <w:rsid w:val="008351B1"/>
    <w:rsid w:val="008351F5"/>
    <w:rsid w:val="0083525D"/>
    <w:rsid w:val="008354AF"/>
    <w:rsid w:val="00835998"/>
    <w:rsid w:val="00835B67"/>
    <w:rsid w:val="00835CBA"/>
    <w:rsid w:val="008360BE"/>
    <w:rsid w:val="00836335"/>
    <w:rsid w:val="008363D6"/>
    <w:rsid w:val="0083641D"/>
    <w:rsid w:val="00836679"/>
    <w:rsid w:val="0083668A"/>
    <w:rsid w:val="008368B5"/>
    <w:rsid w:val="008368D7"/>
    <w:rsid w:val="00836B04"/>
    <w:rsid w:val="00836B4D"/>
    <w:rsid w:val="00836C93"/>
    <w:rsid w:val="00836CDE"/>
    <w:rsid w:val="008371D8"/>
    <w:rsid w:val="00837295"/>
    <w:rsid w:val="00837399"/>
    <w:rsid w:val="008373FF"/>
    <w:rsid w:val="00837584"/>
    <w:rsid w:val="008377E7"/>
    <w:rsid w:val="008378E6"/>
    <w:rsid w:val="00837AAE"/>
    <w:rsid w:val="00837BA0"/>
    <w:rsid w:val="00837CD9"/>
    <w:rsid w:val="00840272"/>
    <w:rsid w:val="00840589"/>
    <w:rsid w:val="008405D8"/>
    <w:rsid w:val="00840621"/>
    <w:rsid w:val="008406C3"/>
    <w:rsid w:val="00840888"/>
    <w:rsid w:val="00840AA8"/>
    <w:rsid w:val="00840C2C"/>
    <w:rsid w:val="00840D13"/>
    <w:rsid w:val="00840F2C"/>
    <w:rsid w:val="008411AE"/>
    <w:rsid w:val="0084134B"/>
    <w:rsid w:val="0084199E"/>
    <w:rsid w:val="00841AE6"/>
    <w:rsid w:val="00841AF0"/>
    <w:rsid w:val="00841C43"/>
    <w:rsid w:val="00841CDA"/>
    <w:rsid w:val="00841D76"/>
    <w:rsid w:val="00841D98"/>
    <w:rsid w:val="00841F57"/>
    <w:rsid w:val="00841FE9"/>
    <w:rsid w:val="00842002"/>
    <w:rsid w:val="0084204B"/>
    <w:rsid w:val="00842185"/>
    <w:rsid w:val="0084226F"/>
    <w:rsid w:val="008425FD"/>
    <w:rsid w:val="00842752"/>
    <w:rsid w:val="00842873"/>
    <w:rsid w:val="0084288D"/>
    <w:rsid w:val="008428EA"/>
    <w:rsid w:val="008429A5"/>
    <w:rsid w:val="00842A62"/>
    <w:rsid w:val="00842A67"/>
    <w:rsid w:val="00842A95"/>
    <w:rsid w:val="00842CA4"/>
    <w:rsid w:val="00842E9E"/>
    <w:rsid w:val="00842FC0"/>
    <w:rsid w:val="00843012"/>
    <w:rsid w:val="00843165"/>
    <w:rsid w:val="00843341"/>
    <w:rsid w:val="00843528"/>
    <w:rsid w:val="00843623"/>
    <w:rsid w:val="00843625"/>
    <w:rsid w:val="008436A6"/>
    <w:rsid w:val="00843774"/>
    <w:rsid w:val="00843847"/>
    <w:rsid w:val="0084384F"/>
    <w:rsid w:val="00843986"/>
    <w:rsid w:val="00843B0F"/>
    <w:rsid w:val="00843B66"/>
    <w:rsid w:val="00843D71"/>
    <w:rsid w:val="00843E8E"/>
    <w:rsid w:val="00843FC0"/>
    <w:rsid w:val="00844006"/>
    <w:rsid w:val="0084401C"/>
    <w:rsid w:val="008440DB"/>
    <w:rsid w:val="0084412C"/>
    <w:rsid w:val="00844362"/>
    <w:rsid w:val="008444A9"/>
    <w:rsid w:val="008445F8"/>
    <w:rsid w:val="0084470B"/>
    <w:rsid w:val="00844756"/>
    <w:rsid w:val="0084479F"/>
    <w:rsid w:val="00844834"/>
    <w:rsid w:val="00844AC1"/>
    <w:rsid w:val="00844B36"/>
    <w:rsid w:val="00844EFF"/>
    <w:rsid w:val="00845000"/>
    <w:rsid w:val="00845099"/>
    <w:rsid w:val="00845202"/>
    <w:rsid w:val="00845323"/>
    <w:rsid w:val="008458C1"/>
    <w:rsid w:val="00845ABE"/>
    <w:rsid w:val="00845B1A"/>
    <w:rsid w:val="00845D17"/>
    <w:rsid w:val="0084601C"/>
    <w:rsid w:val="00846070"/>
    <w:rsid w:val="008460B6"/>
    <w:rsid w:val="008460F9"/>
    <w:rsid w:val="008462EF"/>
    <w:rsid w:val="00846697"/>
    <w:rsid w:val="00846EEE"/>
    <w:rsid w:val="008470E9"/>
    <w:rsid w:val="008473C5"/>
    <w:rsid w:val="0084741F"/>
    <w:rsid w:val="008474D3"/>
    <w:rsid w:val="0084752B"/>
    <w:rsid w:val="008479DA"/>
    <w:rsid w:val="00847A01"/>
    <w:rsid w:val="00847A24"/>
    <w:rsid w:val="00847B97"/>
    <w:rsid w:val="00847BBD"/>
    <w:rsid w:val="00847D25"/>
    <w:rsid w:val="00847E2A"/>
    <w:rsid w:val="00847EC4"/>
    <w:rsid w:val="008500EB"/>
    <w:rsid w:val="0085034E"/>
    <w:rsid w:val="00850441"/>
    <w:rsid w:val="008507F0"/>
    <w:rsid w:val="00850999"/>
    <w:rsid w:val="008509C5"/>
    <w:rsid w:val="00850B0A"/>
    <w:rsid w:val="00850D58"/>
    <w:rsid w:val="00850D6E"/>
    <w:rsid w:val="0085144E"/>
    <w:rsid w:val="00851642"/>
    <w:rsid w:val="008516A7"/>
    <w:rsid w:val="008517D3"/>
    <w:rsid w:val="00851B32"/>
    <w:rsid w:val="00851BC1"/>
    <w:rsid w:val="00851C3C"/>
    <w:rsid w:val="00851D12"/>
    <w:rsid w:val="008522B1"/>
    <w:rsid w:val="00852487"/>
    <w:rsid w:val="00852509"/>
    <w:rsid w:val="0085265D"/>
    <w:rsid w:val="00852663"/>
    <w:rsid w:val="0085267F"/>
    <w:rsid w:val="008526BB"/>
    <w:rsid w:val="008527BB"/>
    <w:rsid w:val="00852B03"/>
    <w:rsid w:val="00852BCC"/>
    <w:rsid w:val="00852E0F"/>
    <w:rsid w:val="008530F5"/>
    <w:rsid w:val="00853521"/>
    <w:rsid w:val="0085359F"/>
    <w:rsid w:val="00853737"/>
    <w:rsid w:val="00853783"/>
    <w:rsid w:val="00853820"/>
    <w:rsid w:val="0085392B"/>
    <w:rsid w:val="00853BC5"/>
    <w:rsid w:val="00853CAA"/>
    <w:rsid w:val="00853E7B"/>
    <w:rsid w:val="00854013"/>
    <w:rsid w:val="00854292"/>
    <w:rsid w:val="0085429B"/>
    <w:rsid w:val="0085490C"/>
    <w:rsid w:val="00854C22"/>
    <w:rsid w:val="00854DF0"/>
    <w:rsid w:val="00854E38"/>
    <w:rsid w:val="00854E5A"/>
    <w:rsid w:val="00855144"/>
    <w:rsid w:val="0085515D"/>
    <w:rsid w:val="0085528F"/>
    <w:rsid w:val="008552B2"/>
    <w:rsid w:val="008552B4"/>
    <w:rsid w:val="00855455"/>
    <w:rsid w:val="00855651"/>
    <w:rsid w:val="0085565B"/>
    <w:rsid w:val="008556AE"/>
    <w:rsid w:val="008559F1"/>
    <w:rsid w:val="00855A0E"/>
    <w:rsid w:val="00855BA3"/>
    <w:rsid w:val="00855D31"/>
    <w:rsid w:val="00855EBF"/>
    <w:rsid w:val="00856044"/>
    <w:rsid w:val="008560E0"/>
    <w:rsid w:val="00856556"/>
    <w:rsid w:val="00856600"/>
    <w:rsid w:val="008567E9"/>
    <w:rsid w:val="0085681E"/>
    <w:rsid w:val="0085693F"/>
    <w:rsid w:val="00856B67"/>
    <w:rsid w:val="0085739D"/>
    <w:rsid w:val="0085746B"/>
    <w:rsid w:val="008574C8"/>
    <w:rsid w:val="0085753F"/>
    <w:rsid w:val="00857606"/>
    <w:rsid w:val="008576B3"/>
    <w:rsid w:val="008577A8"/>
    <w:rsid w:val="00857820"/>
    <w:rsid w:val="00857B64"/>
    <w:rsid w:val="00857F96"/>
    <w:rsid w:val="00857FE5"/>
    <w:rsid w:val="00860213"/>
    <w:rsid w:val="00860220"/>
    <w:rsid w:val="0086037A"/>
    <w:rsid w:val="0086044A"/>
    <w:rsid w:val="0086081B"/>
    <w:rsid w:val="0086096F"/>
    <w:rsid w:val="00860A2A"/>
    <w:rsid w:val="00860B14"/>
    <w:rsid w:val="00860B33"/>
    <w:rsid w:val="00860B7B"/>
    <w:rsid w:val="00860B91"/>
    <w:rsid w:val="00860C0F"/>
    <w:rsid w:val="00860C94"/>
    <w:rsid w:val="00860D33"/>
    <w:rsid w:val="00860DDA"/>
    <w:rsid w:val="00860DF0"/>
    <w:rsid w:val="00860EE0"/>
    <w:rsid w:val="00861063"/>
    <w:rsid w:val="0086115B"/>
    <w:rsid w:val="00861166"/>
    <w:rsid w:val="00861200"/>
    <w:rsid w:val="00861370"/>
    <w:rsid w:val="00861422"/>
    <w:rsid w:val="0086152E"/>
    <w:rsid w:val="00861538"/>
    <w:rsid w:val="00861740"/>
    <w:rsid w:val="008617C5"/>
    <w:rsid w:val="00861880"/>
    <w:rsid w:val="008618EF"/>
    <w:rsid w:val="00861ADE"/>
    <w:rsid w:val="00861B94"/>
    <w:rsid w:val="00861D8B"/>
    <w:rsid w:val="00861DAC"/>
    <w:rsid w:val="008620C7"/>
    <w:rsid w:val="0086212C"/>
    <w:rsid w:val="008621AA"/>
    <w:rsid w:val="00862327"/>
    <w:rsid w:val="0086237E"/>
    <w:rsid w:val="008624EB"/>
    <w:rsid w:val="008626D4"/>
    <w:rsid w:val="008626EA"/>
    <w:rsid w:val="00862C2D"/>
    <w:rsid w:val="00862C62"/>
    <w:rsid w:val="00862DC2"/>
    <w:rsid w:val="00862E0B"/>
    <w:rsid w:val="00862E30"/>
    <w:rsid w:val="0086305C"/>
    <w:rsid w:val="00863091"/>
    <w:rsid w:val="008630E7"/>
    <w:rsid w:val="00863163"/>
    <w:rsid w:val="0086318F"/>
    <w:rsid w:val="00863291"/>
    <w:rsid w:val="00863435"/>
    <w:rsid w:val="00863503"/>
    <w:rsid w:val="0086356C"/>
    <w:rsid w:val="0086377E"/>
    <w:rsid w:val="00863859"/>
    <w:rsid w:val="00863A6E"/>
    <w:rsid w:val="00863AB1"/>
    <w:rsid w:val="00863C4A"/>
    <w:rsid w:val="00863D1B"/>
    <w:rsid w:val="00863D83"/>
    <w:rsid w:val="00863D9D"/>
    <w:rsid w:val="00863DF0"/>
    <w:rsid w:val="00863E71"/>
    <w:rsid w:val="00864132"/>
    <w:rsid w:val="00864190"/>
    <w:rsid w:val="008643E6"/>
    <w:rsid w:val="00864562"/>
    <w:rsid w:val="008645B7"/>
    <w:rsid w:val="008645D9"/>
    <w:rsid w:val="008649FD"/>
    <w:rsid w:val="00864CD7"/>
    <w:rsid w:val="00864DE8"/>
    <w:rsid w:val="00864E02"/>
    <w:rsid w:val="00864F73"/>
    <w:rsid w:val="00865217"/>
    <w:rsid w:val="008652FE"/>
    <w:rsid w:val="00865580"/>
    <w:rsid w:val="00865633"/>
    <w:rsid w:val="00865721"/>
    <w:rsid w:val="008657F6"/>
    <w:rsid w:val="00865809"/>
    <w:rsid w:val="00865A6F"/>
    <w:rsid w:val="00865B22"/>
    <w:rsid w:val="00865B6C"/>
    <w:rsid w:val="00865E19"/>
    <w:rsid w:val="00865E5E"/>
    <w:rsid w:val="0086612B"/>
    <w:rsid w:val="008662FF"/>
    <w:rsid w:val="00866372"/>
    <w:rsid w:val="00866676"/>
    <w:rsid w:val="00866B00"/>
    <w:rsid w:val="00866D58"/>
    <w:rsid w:val="00866E84"/>
    <w:rsid w:val="00866FB9"/>
    <w:rsid w:val="008670FC"/>
    <w:rsid w:val="008671FA"/>
    <w:rsid w:val="00867723"/>
    <w:rsid w:val="008678DF"/>
    <w:rsid w:val="00867A5D"/>
    <w:rsid w:val="00867AAD"/>
    <w:rsid w:val="00867BE0"/>
    <w:rsid w:val="00867C7B"/>
    <w:rsid w:val="00867E02"/>
    <w:rsid w:val="00867EEA"/>
    <w:rsid w:val="00870173"/>
    <w:rsid w:val="008702CA"/>
    <w:rsid w:val="008702EC"/>
    <w:rsid w:val="008702F9"/>
    <w:rsid w:val="00870444"/>
    <w:rsid w:val="00870585"/>
    <w:rsid w:val="0087096D"/>
    <w:rsid w:val="00870BB1"/>
    <w:rsid w:val="00870BEC"/>
    <w:rsid w:val="00870C17"/>
    <w:rsid w:val="0087103F"/>
    <w:rsid w:val="008711A6"/>
    <w:rsid w:val="008711B9"/>
    <w:rsid w:val="00871746"/>
    <w:rsid w:val="00871813"/>
    <w:rsid w:val="00871A02"/>
    <w:rsid w:val="00871B4D"/>
    <w:rsid w:val="00871C4D"/>
    <w:rsid w:val="00871D44"/>
    <w:rsid w:val="008720B6"/>
    <w:rsid w:val="008720E5"/>
    <w:rsid w:val="008723DE"/>
    <w:rsid w:val="0087258E"/>
    <w:rsid w:val="0087269B"/>
    <w:rsid w:val="008727D3"/>
    <w:rsid w:val="008728E4"/>
    <w:rsid w:val="00872A5D"/>
    <w:rsid w:val="00872CC6"/>
    <w:rsid w:val="00872F89"/>
    <w:rsid w:val="0087307A"/>
    <w:rsid w:val="00873245"/>
    <w:rsid w:val="008733F9"/>
    <w:rsid w:val="00873622"/>
    <w:rsid w:val="0087375E"/>
    <w:rsid w:val="00873951"/>
    <w:rsid w:val="00873B3E"/>
    <w:rsid w:val="00873E2D"/>
    <w:rsid w:val="00873EFD"/>
    <w:rsid w:val="00873F19"/>
    <w:rsid w:val="00873FB3"/>
    <w:rsid w:val="00874025"/>
    <w:rsid w:val="00874126"/>
    <w:rsid w:val="00874139"/>
    <w:rsid w:val="00874146"/>
    <w:rsid w:val="00874243"/>
    <w:rsid w:val="008742AB"/>
    <w:rsid w:val="00874618"/>
    <w:rsid w:val="008746F9"/>
    <w:rsid w:val="00874790"/>
    <w:rsid w:val="008747C2"/>
    <w:rsid w:val="0087493C"/>
    <w:rsid w:val="00874BE1"/>
    <w:rsid w:val="00875100"/>
    <w:rsid w:val="00875118"/>
    <w:rsid w:val="0087528D"/>
    <w:rsid w:val="00875302"/>
    <w:rsid w:val="00875421"/>
    <w:rsid w:val="008754A5"/>
    <w:rsid w:val="008754F1"/>
    <w:rsid w:val="0087555C"/>
    <w:rsid w:val="008755C3"/>
    <w:rsid w:val="00875669"/>
    <w:rsid w:val="00875886"/>
    <w:rsid w:val="00875CB4"/>
    <w:rsid w:val="00875FCF"/>
    <w:rsid w:val="0087612A"/>
    <w:rsid w:val="00876215"/>
    <w:rsid w:val="0087628C"/>
    <w:rsid w:val="008762A2"/>
    <w:rsid w:val="0087637C"/>
    <w:rsid w:val="00876388"/>
    <w:rsid w:val="00876410"/>
    <w:rsid w:val="0087641F"/>
    <w:rsid w:val="00876722"/>
    <w:rsid w:val="00876C41"/>
    <w:rsid w:val="00876C84"/>
    <w:rsid w:val="00876CF1"/>
    <w:rsid w:val="00876E41"/>
    <w:rsid w:val="00876E60"/>
    <w:rsid w:val="00876F22"/>
    <w:rsid w:val="008770DD"/>
    <w:rsid w:val="00877233"/>
    <w:rsid w:val="008772BD"/>
    <w:rsid w:val="008775FC"/>
    <w:rsid w:val="00877840"/>
    <w:rsid w:val="00877941"/>
    <w:rsid w:val="00877BAD"/>
    <w:rsid w:val="00877E9C"/>
    <w:rsid w:val="00877F39"/>
    <w:rsid w:val="00877F53"/>
    <w:rsid w:val="00880132"/>
    <w:rsid w:val="0088037B"/>
    <w:rsid w:val="00880424"/>
    <w:rsid w:val="00880458"/>
    <w:rsid w:val="008804EF"/>
    <w:rsid w:val="008805E5"/>
    <w:rsid w:val="008805F0"/>
    <w:rsid w:val="008806E3"/>
    <w:rsid w:val="008807DB"/>
    <w:rsid w:val="00880B1B"/>
    <w:rsid w:val="00880EAD"/>
    <w:rsid w:val="00880ECB"/>
    <w:rsid w:val="0088124B"/>
    <w:rsid w:val="00881251"/>
    <w:rsid w:val="008814A2"/>
    <w:rsid w:val="00881A45"/>
    <w:rsid w:val="00881A9A"/>
    <w:rsid w:val="00881BA8"/>
    <w:rsid w:val="00881D59"/>
    <w:rsid w:val="00881DC5"/>
    <w:rsid w:val="00881F00"/>
    <w:rsid w:val="00882080"/>
    <w:rsid w:val="008820A3"/>
    <w:rsid w:val="008822F7"/>
    <w:rsid w:val="00882317"/>
    <w:rsid w:val="0088249C"/>
    <w:rsid w:val="00882877"/>
    <w:rsid w:val="00882BDB"/>
    <w:rsid w:val="00882C0F"/>
    <w:rsid w:val="00882D27"/>
    <w:rsid w:val="008831CD"/>
    <w:rsid w:val="00883340"/>
    <w:rsid w:val="00883647"/>
    <w:rsid w:val="00883650"/>
    <w:rsid w:val="0088370D"/>
    <w:rsid w:val="00883728"/>
    <w:rsid w:val="00883969"/>
    <w:rsid w:val="00883C5B"/>
    <w:rsid w:val="00883CCB"/>
    <w:rsid w:val="00883D2C"/>
    <w:rsid w:val="00883E11"/>
    <w:rsid w:val="00883F66"/>
    <w:rsid w:val="00883F8E"/>
    <w:rsid w:val="0088413B"/>
    <w:rsid w:val="00884170"/>
    <w:rsid w:val="0088436F"/>
    <w:rsid w:val="008843B3"/>
    <w:rsid w:val="0088460B"/>
    <w:rsid w:val="00884676"/>
    <w:rsid w:val="008846BE"/>
    <w:rsid w:val="00884984"/>
    <w:rsid w:val="008849EF"/>
    <w:rsid w:val="00884ACF"/>
    <w:rsid w:val="00885163"/>
    <w:rsid w:val="0088534B"/>
    <w:rsid w:val="00885388"/>
    <w:rsid w:val="008853A9"/>
    <w:rsid w:val="00885579"/>
    <w:rsid w:val="00885620"/>
    <w:rsid w:val="008856D2"/>
    <w:rsid w:val="008857C6"/>
    <w:rsid w:val="0088599E"/>
    <w:rsid w:val="00885A23"/>
    <w:rsid w:val="00885B2E"/>
    <w:rsid w:val="00885B6C"/>
    <w:rsid w:val="00885BCB"/>
    <w:rsid w:val="00885DB6"/>
    <w:rsid w:val="00885DE9"/>
    <w:rsid w:val="00885FF1"/>
    <w:rsid w:val="00886448"/>
    <w:rsid w:val="00886516"/>
    <w:rsid w:val="008865B3"/>
    <w:rsid w:val="008865DD"/>
    <w:rsid w:val="00886625"/>
    <w:rsid w:val="0088676B"/>
    <w:rsid w:val="00886796"/>
    <w:rsid w:val="008867EB"/>
    <w:rsid w:val="00886863"/>
    <w:rsid w:val="008868ED"/>
    <w:rsid w:val="00886A6F"/>
    <w:rsid w:val="00886BE1"/>
    <w:rsid w:val="00886CAD"/>
    <w:rsid w:val="00886EA6"/>
    <w:rsid w:val="00886F5C"/>
    <w:rsid w:val="0088734C"/>
    <w:rsid w:val="008873FE"/>
    <w:rsid w:val="00887566"/>
    <w:rsid w:val="008876A0"/>
    <w:rsid w:val="0088785B"/>
    <w:rsid w:val="00887C14"/>
    <w:rsid w:val="00887CFB"/>
    <w:rsid w:val="00887E9F"/>
    <w:rsid w:val="00887EA3"/>
    <w:rsid w:val="00890069"/>
    <w:rsid w:val="0089016E"/>
    <w:rsid w:val="00890238"/>
    <w:rsid w:val="0089052D"/>
    <w:rsid w:val="0089056D"/>
    <w:rsid w:val="0089081C"/>
    <w:rsid w:val="008908EB"/>
    <w:rsid w:val="00890952"/>
    <w:rsid w:val="008909C7"/>
    <w:rsid w:val="00890A7D"/>
    <w:rsid w:val="00890B4E"/>
    <w:rsid w:val="00890B57"/>
    <w:rsid w:val="00890CE9"/>
    <w:rsid w:val="00890D5B"/>
    <w:rsid w:val="00890DA9"/>
    <w:rsid w:val="00890E67"/>
    <w:rsid w:val="00890E6D"/>
    <w:rsid w:val="00891305"/>
    <w:rsid w:val="0089176B"/>
    <w:rsid w:val="00891786"/>
    <w:rsid w:val="00891790"/>
    <w:rsid w:val="008917AE"/>
    <w:rsid w:val="0089181C"/>
    <w:rsid w:val="008918A8"/>
    <w:rsid w:val="00891AF3"/>
    <w:rsid w:val="00891BCE"/>
    <w:rsid w:val="00891BEA"/>
    <w:rsid w:val="00891C74"/>
    <w:rsid w:val="00891CD0"/>
    <w:rsid w:val="0089211E"/>
    <w:rsid w:val="00892315"/>
    <w:rsid w:val="00892327"/>
    <w:rsid w:val="00892552"/>
    <w:rsid w:val="00892D67"/>
    <w:rsid w:val="00892D71"/>
    <w:rsid w:val="00892FAC"/>
    <w:rsid w:val="008931CD"/>
    <w:rsid w:val="008933E4"/>
    <w:rsid w:val="008934F2"/>
    <w:rsid w:val="00893613"/>
    <w:rsid w:val="0089391B"/>
    <w:rsid w:val="00893A60"/>
    <w:rsid w:val="00893B35"/>
    <w:rsid w:val="00893C18"/>
    <w:rsid w:val="00893CF1"/>
    <w:rsid w:val="00893E84"/>
    <w:rsid w:val="0089403D"/>
    <w:rsid w:val="00894141"/>
    <w:rsid w:val="0089423B"/>
    <w:rsid w:val="0089456F"/>
    <w:rsid w:val="008946A7"/>
    <w:rsid w:val="00894754"/>
    <w:rsid w:val="008948BE"/>
    <w:rsid w:val="00894971"/>
    <w:rsid w:val="00894B7B"/>
    <w:rsid w:val="00894C03"/>
    <w:rsid w:val="00894CAC"/>
    <w:rsid w:val="00894CF9"/>
    <w:rsid w:val="00894ECB"/>
    <w:rsid w:val="00894F1A"/>
    <w:rsid w:val="008950BB"/>
    <w:rsid w:val="00895230"/>
    <w:rsid w:val="00895350"/>
    <w:rsid w:val="008957E7"/>
    <w:rsid w:val="00895808"/>
    <w:rsid w:val="00895859"/>
    <w:rsid w:val="0089588B"/>
    <w:rsid w:val="00895A40"/>
    <w:rsid w:val="00895A82"/>
    <w:rsid w:val="00895AF5"/>
    <w:rsid w:val="00895C1A"/>
    <w:rsid w:val="00895C90"/>
    <w:rsid w:val="00895F0D"/>
    <w:rsid w:val="00895F19"/>
    <w:rsid w:val="00895FC7"/>
    <w:rsid w:val="008963F3"/>
    <w:rsid w:val="00896490"/>
    <w:rsid w:val="00896505"/>
    <w:rsid w:val="008965F9"/>
    <w:rsid w:val="00896776"/>
    <w:rsid w:val="008967EE"/>
    <w:rsid w:val="00896998"/>
    <w:rsid w:val="008969CF"/>
    <w:rsid w:val="00896AF3"/>
    <w:rsid w:val="00896B6A"/>
    <w:rsid w:val="00896B6E"/>
    <w:rsid w:val="00896F87"/>
    <w:rsid w:val="00896FA2"/>
    <w:rsid w:val="00896FE4"/>
    <w:rsid w:val="008972F0"/>
    <w:rsid w:val="008975DE"/>
    <w:rsid w:val="00897866"/>
    <w:rsid w:val="00897A1B"/>
    <w:rsid w:val="00897B2E"/>
    <w:rsid w:val="00897C27"/>
    <w:rsid w:val="00897C63"/>
    <w:rsid w:val="00897CCD"/>
    <w:rsid w:val="00897EA0"/>
    <w:rsid w:val="008A015D"/>
    <w:rsid w:val="008A0200"/>
    <w:rsid w:val="008A02E2"/>
    <w:rsid w:val="008A032C"/>
    <w:rsid w:val="008A03D3"/>
    <w:rsid w:val="008A067E"/>
    <w:rsid w:val="008A0690"/>
    <w:rsid w:val="008A0887"/>
    <w:rsid w:val="008A09F2"/>
    <w:rsid w:val="008A0A27"/>
    <w:rsid w:val="008A0A43"/>
    <w:rsid w:val="008A0AE0"/>
    <w:rsid w:val="008A0AF6"/>
    <w:rsid w:val="008A0BA2"/>
    <w:rsid w:val="008A0D58"/>
    <w:rsid w:val="008A0DA1"/>
    <w:rsid w:val="008A12FA"/>
    <w:rsid w:val="008A15DC"/>
    <w:rsid w:val="008A1778"/>
    <w:rsid w:val="008A1D26"/>
    <w:rsid w:val="008A1EF1"/>
    <w:rsid w:val="008A1F18"/>
    <w:rsid w:val="008A2006"/>
    <w:rsid w:val="008A2271"/>
    <w:rsid w:val="008A236B"/>
    <w:rsid w:val="008A270C"/>
    <w:rsid w:val="008A2A71"/>
    <w:rsid w:val="008A2AFF"/>
    <w:rsid w:val="008A2CBE"/>
    <w:rsid w:val="008A2EF9"/>
    <w:rsid w:val="008A3180"/>
    <w:rsid w:val="008A31AC"/>
    <w:rsid w:val="008A33E8"/>
    <w:rsid w:val="008A374E"/>
    <w:rsid w:val="008A37A8"/>
    <w:rsid w:val="008A3881"/>
    <w:rsid w:val="008A3932"/>
    <w:rsid w:val="008A39F5"/>
    <w:rsid w:val="008A3ADF"/>
    <w:rsid w:val="008A3B01"/>
    <w:rsid w:val="008A3B55"/>
    <w:rsid w:val="008A3B96"/>
    <w:rsid w:val="008A3BC2"/>
    <w:rsid w:val="008A3CFC"/>
    <w:rsid w:val="008A3F9E"/>
    <w:rsid w:val="008A40D0"/>
    <w:rsid w:val="008A41FD"/>
    <w:rsid w:val="008A433A"/>
    <w:rsid w:val="008A4696"/>
    <w:rsid w:val="008A492B"/>
    <w:rsid w:val="008A4AF9"/>
    <w:rsid w:val="008A4D0E"/>
    <w:rsid w:val="008A4DBE"/>
    <w:rsid w:val="008A51BB"/>
    <w:rsid w:val="008A540E"/>
    <w:rsid w:val="008A5606"/>
    <w:rsid w:val="008A5620"/>
    <w:rsid w:val="008A5755"/>
    <w:rsid w:val="008A5B20"/>
    <w:rsid w:val="008A5B36"/>
    <w:rsid w:val="008A5B59"/>
    <w:rsid w:val="008A5C44"/>
    <w:rsid w:val="008A5DE0"/>
    <w:rsid w:val="008A6046"/>
    <w:rsid w:val="008A609C"/>
    <w:rsid w:val="008A633A"/>
    <w:rsid w:val="008A66DC"/>
    <w:rsid w:val="008A66E0"/>
    <w:rsid w:val="008A6997"/>
    <w:rsid w:val="008A6B37"/>
    <w:rsid w:val="008A6C10"/>
    <w:rsid w:val="008A6DB1"/>
    <w:rsid w:val="008A6E69"/>
    <w:rsid w:val="008A73A8"/>
    <w:rsid w:val="008A742C"/>
    <w:rsid w:val="008A7661"/>
    <w:rsid w:val="008A76F3"/>
    <w:rsid w:val="008A7719"/>
    <w:rsid w:val="008A7917"/>
    <w:rsid w:val="008A7A75"/>
    <w:rsid w:val="008A7BA3"/>
    <w:rsid w:val="008A7CC2"/>
    <w:rsid w:val="008A7E23"/>
    <w:rsid w:val="008A7FEC"/>
    <w:rsid w:val="008B005B"/>
    <w:rsid w:val="008B01B7"/>
    <w:rsid w:val="008B02B4"/>
    <w:rsid w:val="008B0525"/>
    <w:rsid w:val="008B0631"/>
    <w:rsid w:val="008B0939"/>
    <w:rsid w:val="008B0AD5"/>
    <w:rsid w:val="008B0B54"/>
    <w:rsid w:val="008B0D15"/>
    <w:rsid w:val="008B0D54"/>
    <w:rsid w:val="008B0DD3"/>
    <w:rsid w:val="008B0F47"/>
    <w:rsid w:val="008B0F89"/>
    <w:rsid w:val="008B0FBA"/>
    <w:rsid w:val="008B119C"/>
    <w:rsid w:val="008B1218"/>
    <w:rsid w:val="008B12D6"/>
    <w:rsid w:val="008B12F5"/>
    <w:rsid w:val="008B1613"/>
    <w:rsid w:val="008B16A0"/>
    <w:rsid w:val="008B1768"/>
    <w:rsid w:val="008B177E"/>
    <w:rsid w:val="008B17A3"/>
    <w:rsid w:val="008B17E3"/>
    <w:rsid w:val="008B1DD2"/>
    <w:rsid w:val="008B2116"/>
    <w:rsid w:val="008B22B0"/>
    <w:rsid w:val="008B22D1"/>
    <w:rsid w:val="008B23EB"/>
    <w:rsid w:val="008B2607"/>
    <w:rsid w:val="008B2A20"/>
    <w:rsid w:val="008B2C15"/>
    <w:rsid w:val="008B2C3B"/>
    <w:rsid w:val="008B2F29"/>
    <w:rsid w:val="008B3157"/>
    <w:rsid w:val="008B3304"/>
    <w:rsid w:val="008B346D"/>
    <w:rsid w:val="008B36A2"/>
    <w:rsid w:val="008B3DFC"/>
    <w:rsid w:val="008B4010"/>
    <w:rsid w:val="008B402A"/>
    <w:rsid w:val="008B437D"/>
    <w:rsid w:val="008B43CA"/>
    <w:rsid w:val="008B44CC"/>
    <w:rsid w:val="008B452B"/>
    <w:rsid w:val="008B4835"/>
    <w:rsid w:val="008B48A5"/>
    <w:rsid w:val="008B4AD7"/>
    <w:rsid w:val="008B4C45"/>
    <w:rsid w:val="008B4FFF"/>
    <w:rsid w:val="008B501F"/>
    <w:rsid w:val="008B51CD"/>
    <w:rsid w:val="008B529A"/>
    <w:rsid w:val="008B52BD"/>
    <w:rsid w:val="008B52E0"/>
    <w:rsid w:val="008B54A6"/>
    <w:rsid w:val="008B55F5"/>
    <w:rsid w:val="008B56E6"/>
    <w:rsid w:val="008B5718"/>
    <w:rsid w:val="008B5950"/>
    <w:rsid w:val="008B59C3"/>
    <w:rsid w:val="008B59DA"/>
    <w:rsid w:val="008B5AE7"/>
    <w:rsid w:val="008B5CFC"/>
    <w:rsid w:val="008B5D46"/>
    <w:rsid w:val="008B5E77"/>
    <w:rsid w:val="008B5FD0"/>
    <w:rsid w:val="008B5FF7"/>
    <w:rsid w:val="008B602B"/>
    <w:rsid w:val="008B609A"/>
    <w:rsid w:val="008B617D"/>
    <w:rsid w:val="008B641D"/>
    <w:rsid w:val="008B657C"/>
    <w:rsid w:val="008B66B5"/>
    <w:rsid w:val="008B66E0"/>
    <w:rsid w:val="008B670D"/>
    <w:rsid w:val="008B67CF"/>
    <w:rsid w:val="008B6922"/>
    <w:rsid w:val="008B6D88"/>
    <w:rsid w:val="008B6E34"/>
    <w:rsid w:val="008B6EDD"/>
    <w:rsid w:val="008B6F05"/>
    <w:rsid w:val="008B6F89"/>
    <w:rsid w:val="008B6FAD"/>
    <w:rsid w:val="008B7076"/>
    <w:rsid w:val="008B71AF"/>
    <w:rsid w:val="008B72A3"/>
    <w:rsid w:val="008B73D0"/>
    <w:rsid w:val="008B7474"/>
    <w:rsid w:val="008B74E9"/>
    <w:rsid w:val="008B750D"/>
    <w:rsid w:val="008B75D3"/>
    <w:rsid w:val="008B760E"/>
    <w:rsid w:val="008B762D"/>
    <w:rsid w:val="008B78A6"/>
    <w:rsid w:val="008B78B4"/>
    <w:rsid w:val="008B7916"/>
    <w:rsid w:val="008B7C32"/>
    <w:rsid w:val="008B7D30"/>
    <w:rsid w:val="008B7FBE"/>
    <w:rsid w:val="008C014B"/>
    <w:rsid w:val="008C0156"/>
    <w:rsid w:val="008C05F2"/>
    <w:rsid w:val="008C0611"/>
    <w:rsid w:val="008C08C5"/>
    <w:rsid w:val="008C0A23"/>
    <w:rsid w:val="008C0B42"/>
    <w:rsid w:val="008C0BAD"/>
    <w:rsid w:val="008C0BEB"/>
    <w:rsid w:val="008C0D45"/>
    <w:rsid w:val="008C0E13"/>
    <w:rsid w:val="008C0E84"/>
    <w:rsid w:val="008C102D"/>
    <w:rsid w:val="008C10E3"/>
    <w:rsid w:val="008C1118"/>
    <w:rsid w:val="008C1135"/>
    <w:rsid w:val="008C1235"/>
    <w:rsid w:val="008C12BE"/>
    <w:rsid w:val="008C131B"/>
    <w:rsid w:val="008C1669"/>
    <w:rsid w:val="008C17BF"/>
    <w:rsid w:val="008C19CC"/>
    <w:rsid w:val="008C1C98"/>
    <w:rsid w:val="008C1CFE"/>
    <w:rsid w:val="008C2016"/>
    <w:rsid w:val="008C2149"/>
    <w:rsid w:val="008C22BD"/>
    <w:rsid w:val="008C238E"/>
    <w:rsid w:val="008C24A7"/>
    <w:rsid w:val="008C25FB"/>
    <w:rsid w:val="008C2646"/>
    <w:rsid w:val="008C2820"/>
    <w:rsid w:val="008C29D5"/>
    <w:rsid w:val="008C29D7"/>
    <w:rsid w:val="008C2AAD"/>
    <w:rsid w:val="008C2AE2"/>
    <w:rsid w:val="008C2C4E"/>
    <w:rsid w:val="008C2F19"/>
    <w:rsid w:val="008C30E2"/>
    <w:rsid w:val="008C3142"/>
    <w:rsid w:val="008C3529"/>
    <w:rsid w:val="008C359D"/>
    <w:rsid w:val="008C362C"/>
    <w:rsid w:val="008C3727"/>
    <w:rsid w:val="008C37A4"/>
    <w:rsid w:val="008C3927"/>
    <w:rsid w:val="008C3B62"/>
    <w:rsid w:val="008C3CF8"/>
    <w:rsid w:val="008C3E5D"/>
    <w:rsid w:val="008C3FDD"/>
    <w:rsid w:val="008C402F"/>
    <w:rsid w:val="008C4083"/>
    <w:rsid w:val="008C40E3"/>
    <w:rsid w:val="008C422D"/>
    <w:rsid w:val="008C42B6"/>
    <w:rsid w:val="008C42C7"/>
    <w:rsid w:val="008C437E"/>
    <w:rsid w:val="008C43C1"/>
    <w:rsid w:val="008C4507"/>
    <w:rsid w:val="008C4563"/>
    <w:rsid w:val="008C471E"/>
    <w:rsid w:val="008C477E"/>
    <w:rsid w:val="008C480A"/>
    <w:rsid w:val="008C4A27"/>
    <w:rsid w:val="008C4C23"/>
    <w:rsid w:val="008C4F1D"/>
    <w:rsid w:val="008C5076"/>
    <w:rsid w:val="008C50B4"/>
    <w:rsid w:val="008C537C"/>
    <w:rsid w:val="008C562C"/>
    <w:rsid w:val="008C562F"/>
    <w:rsid w:val="008C5643"/>
    <w:rsid w:val="008C56E1"/>
    <w:rsid w:val="008C58F5"/>
    <w:rsid w:val="008C5B86"/>
    <w:rsid w:val="008C5BC1"/>
    <w:rsid w:val="008C5DE6"/>
    <w:rsid w:val="008C5EBB"/>
    <w:rsid w:val="008C6007"/>
    <w:rsid w:val="008C64F4"/>
    <w:rsid w:val="008C6877"/>
    <w:rsid w:val="008C6AE5"/>
    <w:rsid w:val="008C6C56"/>
    <w:rsid w:val="008C6DA1"/>
    <w:rsid w:val="008C70A0"/>
    <w:rsid w:val="008C710E"/>
    <w:rsid w:val="008C73AA"/>
    <w:rsid w:val="008C751B"/>
    <w:rsid w:val="008C75B9"/>
    <w:rsid w:val="008C7634"/>
    <w:rsid w:val="008C7ADF"/>
    <w:rsid w:val="008C7E18"/>
    <w:rsid w:val="008C7E78"/>
    <w:rsid w:val="008C7F6D"/>
    <w:rsid w:val="008D01F2"/>
    <w:rsid w:val="008D0249"/>
    <w:rsid w:val="008D02A2"/>
    <w:rsid w:val="008D0305"/>
    <w:rsid w:val="008D0407"/>
    <w:rsid w:val="008D0430"/>
    <w:rsid w:val="008D06A7"/>
    <w:rsid w:val="008D070D"/>
    <w:rsid w:val="008D094E"/>
    <w:rsid w:val="008D0AEF"/>
    <w:rsid w:val="008D0CA7"/>
    <w:rsid w:val="008D0F6A"/>
    <w:rsid w:val="008D1048"/>
    <w:rsid w:val="008D1448"/>
    <w:rsid w:val="008D1607"/>
    <w:rsid w:val="008D1779"/>
    <w:rsid w:val="008D1DD4"/>
    <w:rsid w:val="008D1E46"/>
    <w:rsid w:val="008D206C"/>
    <w:rsid w:val="008D209E"/>
    <w:rsid w:val="008D20BB"/>
    <w:rsid w:val="008D222B"/>
    <w:rsid w:val="008D2490"/>
    <w:rsid w:val="008D262B"/>
    <w:rsid w:val="008D27C1"/>
    <w:rsid w:val="008D28AD"/>
    <w:rsid w:val="008D2A4C"/>
    <w:rsid w:val="008D2B6D"/>
    <w:rsid w:val="008D2BCB"/>
    <w:rsid w:val="008D2BDE"/>
    <w:rsid w:val="008D2C08"/>
    <w:rsid w:val="008D2D09"/>
    <w:rsid w:val="008D2E45"/>
    <w:rsid w:val="008D2F26"/>
    <w:rsid w:val="008D2F7E"/>
    <w:rsid w:val="008D301D"/>
    <w:rsid w:val="008D309D"/>
    <w:rsid w:val="008D32A6"/>
    <w:rsid w:val="008D335C"/>
    <w:rsid w:val="008D33A0"/>
    <w:rsid w:val="008D3453"/>
    <w:rsid w:val="008D3459"/>
    <w:rsid w:val="008D34A9"/>
    <w:rsid w:val="008D3696"/>
    <w:rsid w:val="008D37C1"/>
    <w:rsid w:val="008D3953"/>
    <w:rsid w:val="008D39C8"/>
    <w:rsid w:val="008D3CA1"/>
    <w:rsid w:val="008D3DA2"/>
    <w:rsid w:val="008D3E40"/>
    <w:rsid w:val="008D3EF8"/>
    <w:rsid w:val="008D4089"/>
    <w:rsid w:val="008D41C7"/>
    <w:rsid w:val="008D4361"/>
    <w:rsid w:val="008D45DE"/>
    <w:rsid w:val="008D4701"/>
    <w:rsid w:val="008D484B"/>
    <w:rsid w:val="008D485C"/>
    <w:rsid w:val="008D4A36"/>
    <w:rsid w:val="008D4AB5"/>
    <w:rsid w:val="008D4B33"/>
    <w:rsid w:val="008D4B86"/>
    <w:rsid w:val="008D4BCE"/>
    <w:rsid w:val="008D4C40"/>
    <w:rsid w:val="008D4F05"/>
    <w:rsid w:val="008D4F60"/>
    <w:rsid w:val="008D4FBE"/>
    <w:rsid w:val="008D52B6"/>
    <w:rsid w:val="008D5336"/>
    <w:rsid w:val="008D54FF"/>
    <w:rsid w:val="008D55F9"/>
    <w:rsid w:val="008D562A"/>
    <w:rsid w:val="008D567D"/>
    <w:rsid w:val="008D5923"/>
    <w:rsid w:val="008D5A27"/>
    <w:rsid w:val="008D5C31"/>
    <w:rsid w:val="008D5D2A"/>
    <w:rsid w:val="008D5DCB"/>
    <w:rsid w:val="008D5EAE"/>
    <w:rsid w:val="008D5EBC"/>
    <w:rsid w:val="008D5FAD"/>
    <w:rsid w:val="008D5FB2"/>
    <w:rsid w:val="008D61A1"/>
    <w:rsid w:val="008D61D9"/>
    <w:rsid w:val="008D63B6"/>
    <w:rsid w:val="008D6416"/>
    <w:rsid w:val="008D6590"/>
    <w:rsid w:val="008D670B"/>
    <w:rsid w:val="008D699B"/>
    <w:rsid w:val="008D6C7C"/>
    <w:rsid w:val="008D6C89"/>
    <w:rsid w:val="008D6E86"/>
    <w:rsid w:val="008D6F07"/>
    <w:rsid w:val="008D6F77"/>
    <w:rsid w:val="008D6FA5"/>
    <w:rsid w:val="008D71E5"/>
    <w:rsid w:val="008D7368"/>
    <w:rsid w:val="008D7654"/>
    <w:rsid w:val="008D7763"/>
    <w:rsid w:val="008D7926"/>
    <w:rsid w:val="008D7A63"/>
    <w:rsid w:val="008D7BC8"/>
    <w:rsid w:val="008D7C5F"/>
    <w:rsid w:val="008D7DDD"/>
    <w:rsid w:val="008D7E85"/>
    <w:rsid w:val="008E0232"/>
    <w:rsid w:val="008E0393"/>
    <w:rsid w:val="008E0573"/>
    <w:rsid w:val="008E0574"/>
    <w:rsid w:val="008E077D"/>
    <w:rsid w:val="008E07EF"/>
    <w:rsid w:val="008E09DB"/>
    <w:rsid w:val="008E0A6A"/>
    <w:rsid w:val="008E0BFC"/>
    <w:rsid w:val="008E0C0D"/>
    <w:rsid w:val="008E0CDF"/>
    <w:rsid w:val="008E0D6B"/>
    <w:rsid w:val="008E0D75"/>
    <w:rsid w:val="008E0F0F"/>
    <w:rsid w:val="008E10D6"/>
    <w:rsid w:val="008E11CF"/>
    <w:rsid w:val="008E13F1"/>
    <w:rsid w:val="008E1551"/>
    <w:rsid w:val="008E15A1"/>
    <w:rsid w:val="008E15FA"/>
    <w:rsid w:val="008E1796"/>
    <w:rsid w:val="008E1806"/>
    <w:rsid w:val="008E184C"/>
    <w:rsid w:val="008E1961"/>
    <w:rsid w:val="008E198C"/>
    <w:rsid w:val="008E1AA2"/>
    <w:rsid w:val="008E1C14"/>
    <w:rsid w:val="008E1C26"/>
    <w:rsid w:val="008E1C7B"/>
    <w:rsid w:val="008E1E30"/>
    <w:rsid w:val="008E1F2F"/>
    <w:rsid w:val="008E2095"/>
    <w:rsid w:val="008E21A7"/>
    <w:rsid w:val="008E228D"/>
    <w:rsid w:val="008E22B1"/>
    <w:rsid w:val="008E23E7"/>
    <w:rsid w:val="008E2919"/>
    <w:rsid w:val="008E2ACC"/>
    <w:rsid w:val="008E2B99"/>
    <w:rsid w:val="008E2C01"/>
    <w:rsid w:val="008E2E3F"/>
    <w:rsid w:val="008E2EB1"/>
    <w:rsid w:val="008E2F6C"/>
    <w:rsid w:val="008E3021"/>
    <w:rsid w:val="008E333D"/>
    <w:rsid w:val="008E3381"/>
    <w:rsid w:val="008E3486"/>
    <w:rsid w:val="008E3739"/>
    <w:rsid w:val="008E375C"/>
    <w:rsid w:val="008E37FC"/>
    <w:rsid w:val="008E388B"/>
    <w:rsid w:val="008E3A30"/>
    <w:rsid w:val="008E3A6D"/>
    <w:rsid w:val="008E3BE2"/>
    <w:rsid w:val="008E3C3C"/>
    <w:rsid w:val="008E3E74"/>
    <w:rsid w:val="008E402A"/>
    <w:rsid w:val="008E410C"/>
    <w:rsid w:val="008E45D0"/>
    <w:rsid w:val="008E4827"/>
    <w:rsid w:val="008E4A59"/>
    <w:rsid w:val="008E4B09"/>
    <w:rsid w:val="008E4D63"/>
    <w:rsid w:val="008E4EA2"/>
    <w:rsid w:val="008E4EC7"/>
    <w:rsid w:val="008E4F8E"/>
    <w:rsid w:val="008E4FA9"/>
    <w:rsid w:val="008E50DE"/>
    <w:rsid w:val="008E51E2"/>
    <w:rsid w:val="008E5580"/>
    <w:rsid w:val="008E56D1"/>
    <w:rsid w:val="008E576B"/>
    <w:rsid w:val="008E57D2"/>
    <w:rsid w:val="008E5838"/>
    <w:rsid w:val="008E5842"/>
    <w:rsid w:val="008E5982"/>
    <w:rsid w:val="008E59C9"/>
    <w:rsid w:val="008E5BC2"/>
    <w:rsid w:val="008E5CB6"/>
    <w:rsid w:val="008E5D6A"/>
    <w:rsid w:val="008E5EA2"/>
    <w:rsid w:val="008E6149"/>
    <w:rsid w:val="008E66E3"/>
    <w:rsid w:val="008E6720"/>
    <w:rsid w:val="008E69E8"/>
    <w:rsid w:val="008E6B2F"/>
    <w:rsid w:val="008E6BF2"/>
    <w:rsid w:val="008E6D77"/>
    <w:rsid w:val="008E6ED0"/>
    <w:rsid w:val="008E701F"/>
    <w:rsid w:val="008E7057"/>
    <w:rsid w:val="008E7076"/>
    <w:rsid w:val="008E70F0"/>
    <w:rsid w:val="008E7225"/>
    <w:rsid w:val="008E7238"/>
    <w:rsid w:val="008E7288"/>
    <w:rsid w:val="008E7402"/>
    <w:rsid w:val="008E7419"/>
    <w:rsid w:val="008E7449"/>
    <w:rsid w:val="008E7764"/>
    <w:rsid w:val="008E77E5"/>
    <w:rsid w:val="008E7819"/>
    <w:rsid w:val="008E7A1E"/>
    <w:rsid w:val="008E7B5F"/>
    <w:rsid w:val="008E7C3C"/>
    <w:rsid w:val="008E7D7A"/>
    <w:rsid w:val="008E7E99"/>
    <w:rsid w:val="008E7EDD"/>
    <w:rsid w:val="008F00CE"/>
    <w:rsid w:val="008F0305"/>
    <w:rsid w:val="008F0839"/>
    <w:rsid w:val="008F0C31"/>
    <w:rsid w:val="008F0DF9"/>
    <w:rsid w:val="008F1349"/>
    <w:rsid w:val="008F13AB"/>
    <w:rsid w:val="008F1490"/>
    <w:rsid w:val="008F151A"/>
    <w:rsid w:val="008F15C3"/>
    <w:rsid w:val="008F15CB"/>
    <w:rsid w:val="008F18AD"/>
    <w:rsid w:val="008F1BB8"/>
    <w:rsid w:val="008F1C22"/>
    <w:rsid w:val="008F1DC3"/>
    <w:rsid w:val="008F1E38"/>
    <w:rsid w:val="008F1E77"/>
    <w:rsid w:val="008F21D9"/>
    <w:rsid w:val="008F2264"/>
    <w:rsid w:val="008F22EE"/>
    <w:rsid w:val="008F2405"/>
    <w:rsid w:val="008F2430"/>
    <w:rsid w:val="008F265F"/>
    <w:rsid w:val="008F27DE"/>
    <w:rsid w:val="008F2A31"/>
    <w:rsid w:val="008F2A76"/>
    <w:rsid w:val="008F2A95"/>
    <w:rsid w:val="008F2A9A"/>
    <w:rsid w:val="008F2B01"/>
    <w:rsid w:val="008F2BF6"/>
    <w:rsid w:val="008F2D53"/>
    <w:rsid w:val="008F2D79"/>
    <w:rsid w:val="008F2E62"/>
    <w:rsid w:val="008F307B"/>
    <w:rsid w:val="008F3085"/>
    <w:rsid w:val="008F335D"/>
    <w:rsid w:val="008F3408"/>
    <w:rsid w:val="008F3655"/>
    <w:rsid w:val="008F37D3"/>
    <w:rsid w:val="008F384F"/>
    <w:rsid w:val="008F3A6F"/>
    <w:rsid w:val="008F3A83"/>
    <w:rsid w:val="008F3DF0"/>
    <w:rsid w:val="008F3E4A"/>
    <w:rsid w:val="008F3E52"/>
    <w:rsid w:val="008F3ECA"/>
    <w:rsid w:val="008F3FB1"/>
    <w:rsid w:val="008F4182"/>
    <w:rsid w:val="008F41BF"/>
    <w:rsid w:val="008F42DB"/>
    <w:rsid w:val="008F4623"/>
    <w:rsid w:val="008F47DF"/>
    <w:rsid w:val="008F4ABC"/>
    <w:rsid w:val="008F4C3B"/>
    <w:rsid w:val="008F4DF5"/>
    <w:rsid w:val="008F4FF1"/>
    <w:rsid w:val="008F4FF6"/>
    <w:rsid w:val="008F513A"/>
    <w:rsid w:val="008F5373"/>
    <w:rsid w:val="008F5476"/>
    <w:rsid w:val="008F55F8"/>
    <w:rsid w:val="008F568D"/>
    <w:rsid w:val="008F5778"/>
    <w:rsid w:val="008F57AB"/>
    <w:rsid w:val="008F5931"/>
    <w:rsid w:val="008F5A26"/>
    <w:rsid w:val="008F5B01"/>
    <w:rsid w:val="008F5B1C"/>
    <w:rsid w:val="008F5DDB"/>
    <w:rsid w:val="008F5DEF"/>
    <w:rsid w:val="008F6128"/>
    <w:rsid w:val="008F6472"/>
    <w:rsid w:val="008F6745"/>
    <w:rsid w:val="008F676F"/>
    <w:rsid w:val="008F6829"/>
    <w:rsid w:val="008F6991"/>
    <w:rsid w:val="008F6B24"/>
    <w:rsid w:val="008F6B46"/>
    <w:rsid w:val="008F6BE0"/>
    <w:rsid w:val="008F6D6C"/>
    <w:rsid w:val="008F6F29"/>
    <w:rsid w:val="008F702C"/>
    <w:rsid w:val="008F70DE"/>
    <w:rsid w:val="008F711F"/>
    <w:rsid w:val="008F721D"/>
    <w:rsid w:val="008F7384"/>
    <w:rsid w:val="008F7489"/>
    <w:rsid w:val="008F74ED"/>
    <w:rsid w:val="008F75E8"/>
    <w:rsid w:val="008F7726"/>
    <w:rsid w:val="008F77F2"/>
    <w:rsid w:val="008F7982"/>
    <w:rsid w:val="008F7A31"/>
    <w:rsid w:val="008F7BCC"/>
    <w:rsid w:val="008F7C72"/>
    <w:rsid w:val="008F7CCC"/>
    <w:rsid w:val="00900005"/>
    <w:rsid w:val="0090006F"/>
    <w:rsid w:val="00900223"/>
    <w:rsid w:val="00900232"/>
    <w:rsid w:val="009002A0"/>
    <w:rsid w:val="0090036B"/>
    <w:rsid w:val="0090046A"/>
    <w:rsid w:val="009004D8"/>
    <w:rsid w:val="0090053B"/>
    <w:rsid w:val="00900630"/>
    <w:rsid w:val="00900850"/>
    <w:rsid w:val="009008C6"/>
    <w:rsid w:val="00900C98"/>
    <w:rsid w:val="00900D84"/>
    <w:rsid w:val="00900DFE"/>
    <w:rsid w:val="00900ED0"/>
    <w:rsid w:val="00900EF9"/>
    <w:rsid w:val="00900F4E"/>
    <w:rsid w:val="00900F58"/>
    <w:rsid w:val="0090118D"/>
    <w:rsid w:val="00901199"/>
    <w:rsid w:val="009011C8"/>
    <w:rsid w:val="00901283"/>
    <w:rsid w:val="009012A4"/>
    <w:rsid w:val="009012C4"/>
    <w:rsid w:val="00901493"/>
    <w:rsid w:val="0090151A"/>
    <w:rsid w:val="009017C9"/>
    <w:rsid w:val="00901882"/>
    <w:rsid w:val="009019DE"/>
    <w:rsid w:val="00901A23"/>
    <w:rsid w:val="00901B56"/>
    <w:rsid w:val="00901D43"/>
    <w:rsid w:val="00901D66"/>
    <w:rsid w:val="00901E11"/>
    <w:rsid w:val="009024EB"/>
    <w:rsid w:val="00902932"/>
    <w:rsid w:val="009029B8"/>
    <w:rsid w:val="00902A91"/>
    <w:rsid w:val="00902ABD"/>
    <w:rsid w:val="00902B3B"/>
    <w:rsid w:val="00902B65"/>
    <w:rsid w:val="00902D9F"/>
    <w:rsid w:val="00902E8B"/>
    <w:rsid w:val="00902EE7"/>
    <w:rsid w:val="00902FC8"/>
    <w:rsid w:val="00902FD1"/>
    <w:rsid w:val="0090347B"/>
    <w:rsid w:val="009036B9"/>
    <w:rsid w:val="00903A94"/>
    <w:rsid w:val="00903BC3"/>
    <w:rsid w:val="00903D08"/>
    <w:rsid w:val="00903E10"/>
    <w:rsid w:val="00903E3C"/>
    <w:rsid w:val="00903F76"/>
    <w:rsid w:val="009040D4"/>
    <w:rsid w:val="00904107"/>
    <w:rsid w:val="00904124"/>
    <w:rsid w:val="009041B0"/>
    <w:rsid w:val="009041B4"/>
    <w:rsid w:val="009041B6"/>
    <w:rsid w:val="009041EB"/>
    <w:rsid w:val="0090436E"/>
    <w:rsid w:val="0090447C"/>
    <w:rsid w:val="009044F0"/>
    <w:rsid w:val="009045BD"/>
    <w:rsid w:val="00904639"/>
    <w:rsid w:val="0090470A"/>
    <w:rsid w:val="0090473E"/>
    <w:rsid w:val="00904817"/>
    <w:rsid w:val="00904829"/>
    <w:rsid w:val="00904B9B"/>
    <w:rsid w:val="00904C57"/>
    <w:rsid w:val="00904EBE"/>
    <w:rsid w:val="00904F25"/>
    <w:rsid w:val="00905038"/>
    <w:rsid w:val="009050A8"/>
    <w:rsid w:val="00905398"/>
    <w:rsid w:val="0090546B"/>
    <w:rsid w:val="00905625"/>
    <w:rsid w:val="00905750"/>
    <w:rsid w:val="00905837"/>
    <w:rsid w:val="00905980"/>
    <w:rsid w:val="00905BF4"/>
    <w:rsid w:val="00905CFB"/>
    <w:rsid w:val="00905D2F"/>
    <w:rsid w:val="00905EA7"/>
    <w:rsid w:val="00905F69"/>
    <w:rsid w:val="00905FCF"/>
    <w:rsid w:val="009061D9"/>
    <w:rsid w:val="00906496"/>
    <w:rsid w:val="009065E0"/>
    <w:rsid w:val="009066A6"/>
    <w:rsid w:val="00906714"/>
    <w:rsid w:val="009067B7"/>
    <w:rsid w:val="009067FE"/>
    <w:rsid w:val="009068AD"/>
    <w:rsid w:val="009068E9"/>
    <w:rsid w:val="009069D9"/>
    <w:rsid w:val="009069FB"/>
    <w:rsid w:val="00906A4F"/>
    <w:rsid w:val="00906B59"/>
    <w:rsid w:val="00906D57"/>
    <w:rsid w:val="00906E13"/>
    <w:rsid w:val="00906ED4"/>
    <w:rsid w:val="0090706C"/>
    <w:rsid w:val="009071F5"/>
    <w:rsid w:val="00907203"/>
    <w:rsid w:val="0090725F"/>
    <w:rsid w:val="009076A9"/>
    <w:rsid w:val="00907783"/>
    <w:rsid w:val="00907787"/>
    <w:rsid w:val="00907923"/>
    <w:rsid w:val="00907995"/>
    <w:rsid w:val="00907BE6"/>
    <w:rsid w:val="00907BF9"/>
    <w:rsid w:val="00907C67"/>
    <w:rsid w:val="00907CB2"/>
    <w:rsid w:val="00907FBC"/>
    <w:rsid w:val="00907FC3"/>
    <w:rsid w:val="00910069"/>
    <w:rsid w:val="009101BC"/>
    <w:rsid w:val="00910262"/>
    <w:rsid w:val="0091068A"/>
    <w:rsid w:val="00910B03"/>
    <w:rsid w:val="00910C09"/>
    <w:rsid w:val="00910C46"/>
    <w:rsid w:val="00911044"/>
    <w:rsid w:val="0091110C"/>
    <w:rsid w:val="0091145A"/>
    <w:rsid w:val="0091167A"/>
    <w:rsid w:val="00911B61"/>
    <w:rsid w:val="00911BBE"/>
    <w:rsid w:val="00911D95"/>
    <w:rsid w:val="00911E24"/>
    <w:rsid w:val="00911E87"/>
    <w:rsid w:val="00911EA7"/>
    <w:rsid w:val="0091239F"/>
    <w:rsid w:val="009126E2"/>
    <w:rsid w:val="00912776"/>
    <w:rsid w:val="009129D6"/>
    <w:rsid w:val="00912B12"/>
    <w:rsid w:val="00912BB7"/>
    <w:rsid w:val="00912D18"/>
    <w:rsid w:val="00912D8A"/>
    <w:rsid w:val="00912E6B"/>
    <w:rsid w:val="00912E80"/>
    <w:rsid w:val="00912F87"/>
    <w:rsid w:val="00912FE7"/>
    <w:rsid w:val="00913581"/>
    <w:rsid w:val="009135B9"/>
    <w:rsid w:val="0091379E"/>
    <w:rsid w:val="009137F7"/>
    <w:rsid w:val="0091386D"/>
    <w:rsid w:val="00913BA6"/>
    <w:rsid w:val="00913D61"/>
    <w:rsid w:val="00913FA8"/>
    <w:rsid w:val="00914007"/>
    <w:rsid w:val="00914019"/>
    <w:rsid w:val="0091432D"/>
    <w:rsid w:val="00914935"/>
    <w:rsid w:val="00914BA6"/>
    <w:rsid w:val="00914CAD"/>
    <w:rsid w:val="00914CCE"/>
    <w:rsid w:val="00914D49"/>
    <w:rsid w:val="00914D95"/>
    <w:rsid w:val="00914FDC"/>
    <w:rsid w:val="00915253"/>
    <w:rsid w:val="00915272"/>
    <w:rsid w:val="009152E3"/>
    <w:rsid w:val="00915442"/>
    <w:rsid w:val="0091561F"/>
    <w:rsid w:val="00915699"/>
    <w:rsid w:val="009156BE"/>
    <w:rsid w:val="009156DB"/>
    <w:rsid w:val="00915AF3"/>
    <w:rsid w:val="00915BDF"/>
    <w:rsid w:val="00915CCD"/>
    <w:rsid w:val="00915E34"/>
    <w:rsid w:val="00915F25"/>
    <w:rsid w:val="00916164"/>
    <w:rsid w:val="0091619A"/>
    <w:rsid w:val="009162E3"/>
    <w:rsid w:val="009164F4"/>
    <w:rsid w:val="00916699"/>
    <w:rsid w:val="009166B9"/>
    <w:rsid w:val="00916846"/>
    <w:rsid w:val="009168FD"/>
    <w:rsid w:val="00916992"/>
    <w:rsid w:val="009169D2"/>
    <w:rsid w:val="00916A70"/>
    <w:rsid w:val="00916AD1"/>
    <w:rsid w:val="00916C77"/>
    <w:rsid w:val="00917157"/>
    <w:rsid w:val="009175CB"/>
    <w:rsid w:val="00917787"/>
    <w:rsid w:val="00917815"/>
    <w:rsid w:val="0091786E"/>
    <w:rsid w:val="009178D0"/>
    <w:rsid w:val="00917C93"/>
    <w:rsid w:val="00917F16"/>
    <w:rsid w:val="00917FEF"/>
    <w:rsid w:val="0092004E"/>
    <w:rsid w:val="0092005D"/>
    <w:rsid w:val="0092007B"/>
    <w:rsid w:val="00920129"/>
    <w:rsid w:val="009202D9"/>
    <w:rsid w:val="009204EB"/>
    <w:rsid w:val="00920609"/>
    <w:rsid w:val="0092067B"/>
    <w:rsid w:val="00920726"/>
    <w:rsid w:val="00920986"/>
    <w:rsid w:val="00920A6D"/>
    <w:rsid w:val="00920E83"/>
    <w:rsid w:val="00920EDF"/>
    <w:rsid w:val="00921054"/>
    <w:rsid w:val="0092156B"/>
    <w:rsid w:val="00921661"/>
    <w:rsid w:val="00921E1C"/>
    <w:rsid w:val="00921E39"/>
    <w:rsid w:val="00921EC6"/>
    <w:rsid w:val="00921F4A"/>
    <w:rsid w:val="0092202F"/>
    <w:rsid w:val="009220DF"/>
    <w:rsid w:val="009222F2"/>
    <w:rsid w:val="0092235B"/>
    <w:rsid w:val="00922494"/>
    <w:rsid w:val="009227CE"/>
    <w:rsid w:val="009229FF"/>
    <w:rsid w:val="00922B0D"/>
    <w:rsid w:val="00922B6A"/>
    <w:rsid w:val="00922C8B"/>
    <w:rsid w:val="00922CCB"/>
    <w:rsid w:val="00922D1C"/>
    <w:rsid w:val="00922DD3"/>
    <w:rsid w:val="00922F42"/>
    <w:rsid w:val="00923165"/>
    <w:rsid w:val="009231AC"/>
    <w:rsid w:val="009232E5"/>
    <w:rsid w:val="009233C6"/>
    <w:rsid w:val="00923542"/>
    <w:rsid w:val="00923603"/>
    <w:rsid w:val="009237D6"/>
    <w:rsid w:val="00923960"/>
    <w:rsid w:val="00923A35"/>
    <w:rsid w:val="00923B40"/>
    <w:rsid w:val="00923C87"/>
    <w:rsid w:val="00923EA1"/>
    <w:rsid w:val="00924099"/>
    <w:rsid w:val="009240AE"/>
    <w:rsid w:val="009242AE"/>
    <w:rsid w:val="0092445D"/>
    <w:rsid w:val="009245AA"/>
    <w:rsid w:val="009247B3"/>
    <w:rsid w:val="00924B03"/>
    <w:rsid w:val="00924E13"/>
    <w:rsid w:val="00924E74"/>
    <w:rsid w:val="00924E8A"/>
    <w:rsid w:val="00924EF8"/>
    <w:rsid w:val="009251A8"/>
    <w:rsid w:val="009252DE"/>
    <w:rsid w:val="009253D3"/>
    <w:rsid w:val="00925458"/>
    <w:rsid w:val="00925526"/>
    <w:rsid w:val="0092565E"/>
    <w:rsid w:val="0092568A"/>
    <w:rsid w:val="00925815"/>
    <w:rsid w:val="00925915"/>
    <w:rsid w:val="009259E7"/>
    <w:rsid w:val="00925F12"/>
    <w:rsid w:val="009260E4"/>
    <w:rsid w:val="009261C2"/>
    <w:rsid w:val="00926247"/>
    <w:rsid w:val="009262CA"/>
    <w:rsid w:val="009262D9"/>
    <w:rsid w:val="0092633D"/>
    <w:rsid w:val="00926529"/>
    <w:rsid w:val="00926598"/>
    <w:rsid w:val="0092665D"/>
    <w:rsid w:val="00926726"/>
    <w:rsid w:val="00926A73"/>
    <w:rsid w:val="00926D22"/>
    <w:rsid w:val="00926E68"/>
    <w:rsid w:val="00927100"/>
    <w:rsid w:val="0092715A"/>
    <w:rsid w:val="0092715D"/>
    <w:rsid w:val="009275E0"/>
    <w:rsid w:val="00927762"/>
    <w:rsid w:val="0092788B"/>
    <w:rsid w:val="0092792E"/>
    <w:rsid w:val="009279BF"/>
    <w:rsid w:val="009279CC"/>
    <w:rsid w:val="009279D7"/>
    <w:rsid w:val="00927D27"/>
    <w:rsid w:val="00927DDE"/>
    <w:rsid w:val="00927EB7"/>
    <w:rsid w:val="00930160"/>
    <w:rsid w:val="0093019F"/>
    <w:rsid w:val="009301BD"/>
    <w:rsid w:val="00930381"/>
    <w:rsid w:val="009303E0"/>
    <w:rsid w:val="00930463"/>
    <w:rsid w:val="009308D5"/>
    <w:rsid w:val="00930A0D"/>
    <w:rsid w:val="00930AC9"/>
    <w:rsid w:val="00930ADA"/>
    <w:rsid w:val="00930B26"/>
    <w:rsid w:val="00930BD9"/>
    <w:rsid w:val="00930C32"/>
    <w:rsid w:val="00930C63"/>
    <w:rsid w:val="00930E58"/>
    <w:rsid w:val="00930E73"/>
    <w:rsid w:val="00930F8F"/>
    <w:rsid w:val="00930F9E"/>
    <w:rsid w:val="0093111D"/>
    <w:rsid w:val="00931143"/>
    <w:rsid w:val="009312AC"/>
    <w:rsid w:val="009314B4"/>
    <w:rsid w:val="0093164F"/>
    <w:rsid w:val="0093169B"/>
    <w:rsid w:val="009316E0"/>
    <w:rsid w:val="009316F2"/>
    <w:rsid w:val="009317CD"/>
    <w:rsid w:val="0093185C"/>
    <w:rsid w:val="009318F1"/>
    <w:rsid w:val="00931B77"/>
    <w:rsid w:val="00931F0A"/>
    <w:rsid w:val="00931FCA"/>
    <w:rsid w:val="00932307"/>
    <w:rsid w:val="009323BF"/>
    <w:rsid w:val="00932AB3"/>
    <w:rsid w:val="00932D49"/>
    <w:rsid w:val="00932F75"/>
    <w:rsid w:val="009330DC"/>
    <w:rsid w:val="009330FE"/>
    <w:rsid w:val="0093323A"/>
    <w:rsid w:val="009332FE"/>
    <w:rsid w:val="009334B4"/>
    <w:rsid w:val="0093363A"/>
    <w:rsid w:val="00933C0E"/>
    <w:rsid w:val="00933EB9"/>
    <w:rsid w:val="00934010"/>
    <w:rsid w:val="0093410D"/>
    <w:rsid w:val="0093417D"/>
    <w:rsid w:val="009341B8"/>
    <w:rsid w:val="009343C9"/>
    <w:rsid w:val="009344AF"/>
    <w:rsid w:val="0093450F"/>
    <w:rsid w:val="009345C5"/>
    <w:rsid w:val="00934694"/>
    <w:rsid w:val="009346AB"/>
    <w:rsid w:val="00934792"/>
    <w:rsid w:val="00934895"/>
    <w:rsid w:val="00934BB1"/>
    <w:rsid w:val="00934D28"/>
    <w:rsid w:val="00934E72"/>
    <w:rsid w:val="00934E88"/>
    <w:rsid w:val="00934EFB"/>
    <w:rsid w:val="00934F14"/>
    <w:rsid w:val="00934FFD"/>
    <w:rsid w:val="009351BB"/>
    <w:rsid w:val="009351EF"/>
    <w:rsid w:val="009352BB"/>
    <w:rsid w:val="009352E8"/>
    <w:rsid w:val="00935358"/>
    <w:rsid w:val="00935385"/>
    <w:rsid w:val="009353D5"/>
    <w:rsid w:val="00935503"/>
    <w:rsid w:val="0093566D"/>
    <w:rsid w:val="009356ED"/>
    <w:rsid w:val="0093589E"/>
    <w:rsid w:val="009359B2"/>
    <w:rsid w:val="00935D74"/>
    <w:rsid w:val="00935D9F"/>
    <w:rsid w:val="00935E28"/>
    <w:rsid w:val="00935F74"/>
    <w:rsid w:val="0093627B"/>
    <w:rsid w:val="009365AD"/>
    <w:rsid w:val="009367E5"/>
    <w:rsid w:val="009367E6"/>
    <w:rsid w:val="009369A4"/>
    <w:rsid w:val="00936A54"/>
    <w:rsid w:val="00936A82"/>
    <w:rsid w:val="00936B76"/>
    <w:rsid w:val="00936CDB"/>
    <w:rsid w:val="00936D2D"/>
    <w:rsid w:val="00936D35"/>
    <w:rsid w:val="00937182"/>
    <w:rsid w:val="0093746C"/>
    <w:rsid w:val="0093756F"/>
    <w:rsid w:val="009375EB"/>
    <w:rsid w:val="00937638"/>
    <w:rsid w:val="00937719"/>
    <w:rsid w:val="00937743"/>
    <w:rsid w:val="0093775B"/>
    <w:rsid w:val="00937797"/>
    <w:rsid w:val="00937C31"/>
    <w:rsid w:val="00937D27"/>
    <w:rsid w:val="00940260"/>
    <w:rsid w:val="009404A4"/>
    <w:rsid w:val="00940662"/>
    <w:rsid w:val="00940668"/>
    <w:rsid w:val="00940D4F"/>
    <w:rsid w:val="00940D5A"/>
    <w:rsid w:val="00940DF2"/>
    <w:rsid w:val="009410C9"/>
    <w:rsid w:val="00941135"/>
    <w:rsid w:val="0094144D"/>
    <w:rsid w:val="009416E7"/>
    <w:rsid w:val="00941871"/>
    <w:rsid w:val="00941983"/>
    <w:rsid w:val="00941B2A"/>
    <w:rsid w:val="00941BB0"/>
    <w:rsid w:val="00941C35"/>
    <w:rsid w:val="00942099"/>
    <w:rsid w:val="009420B6"/>
    <w:rsid w:val="00942275"/>
    <w:rsid w:val="00942308"/>
    <w:rsid w:val="0094253A"/>
    <w:rsid w:val="009425FE"/>
    <w:rsid w:val="009427CD"/>
    <w:rsid w:val="009427FC"/>
    <w:rsid w:val="0094283D"/>
    <w:rsid w:val="00942930"/>
    <w:rsid w:val="009429C0"/>
    <w:rsid w:val="00942AD5"/>
    <w:rsid w:val="00942C55"/>
    <w:rsid w:val="00942CCD"/>
    <w:rsid w:val="00942D01"/>
    <w:rsid w:val="00942E1B"/>
    <w:rsid w:val="00942FB8"/>
    <w:rsid w:val="009432A0"/>
    <w:rsid w:val="00943347"/>
    <w:rsid w:val="009433BD"/>
    <w:rsid w:val="0094345F"/>
    <w:rsid w:val="0094369E"/>
    <w:rsid w:val="009436A2"/>
    <w:rsid w:val="009436B0"/>
    <w:rsid w:val="0094389E"/>
    <w:rsid w:val="009438CF"/>
    <w:rsid w:val="00943A8A"/>
    <w:rsid w:val="00943B8A"/>
    <w:rsid w:val="00943C8B"/>
    <w:rsid w:val="00943E10"/>
    <w:rsid w:val="00944104"/>
    <w:rsid w:val="00944130"/>
    <w:rsid w:val="00944394"/>
    <w:rsid w:val="009444CE"/>
    <w:rsid w:val="00944541"/>
    <w:rsid w:val="0094466A"/>
    <w:rsid w:val="00944766"/>
    <w:rsid w:val="00944ACC"/>
    <w:rsid w:val="00944BF8"/>
    <w:rsid w:val="00944CFA"/>
    <w:rsid w:val="00944D49"/>
    <w:rsid w:val="00944D4E"/>
    <w:rsid w:val="00944DD0"/>
    <w:rsid w:val="00945020"/>
    <w:rsid w:val="00945299"/>
    <w:rsid w:val="0094539E"/>
    <w:rsid w:val="009453C0"/>
    <w:rsid w:val="00945436"/>
    <w:rsid w:val="00945454"/>
    <w:rsid w:val="0094546B"/>
    <w:rsid w:val="009455B0"/>
    <w:rsid w:val="009457B0"/>
    <w:rsid w:val="0094585A"/>
    <w:rsid w:val="00945952"/>
    <w:rsid w:val="00945B2A"/>
    <w:rsid w:val="00945C29"/>
    <w:rsid w:val="00945C2E"/>
    <w:rsid w:val="00945D3F"/>
    <w:rsid w:val="00945D5F"/>
    <w:rsid w:val="00945DE3"/>
    <w:rsid w:val="00945FB3"/>
    <w:rsid w:val="009461BB"/>
    <w:rsid w:val="009464B2"/>
    <w:rsid w:val="009464C7"/>
    <w:rsid w:val="009465E4"/>
    <w:rsid w:val="009466B1"/>
    <w:rsid w:val="009467CE"/>
    <w:rsid w:val="009467DE"/>
    <w:rsid w:val="00946AD7"/>
    <w:rsid w:val="00946D19"/>
    <w:rsid w:val="00946DCF"/>
    <w:rsid w:val="00946E44"/>
    <w:rsid w:val="00946E73"/>
    <w:rsid w:val="00946EDF"/>
    <w:rsid w:val="00947129"/>
    <w:rsid w:val="00947142"/>
    <w:rsid w:val="00947186"/>
    <w:rsid w:val="009471FA"/>
    <w:rsid w:val="00947417"/>
    <w:rsid w:val="00947573"/>
    <w:rsid w:val="00947592"/>
    <w:rsid w:val="0094765F"/>
    <w:rsid w:val="00947704"/>
    <w:rsid w:val="009477DB"/>
    <w:rsid w:val="009478C6"/>
    <w:rsid w:val="009478F9"/>
    <w:rsid w:val="00947D68"/>
    <w:rsid w:val="00947F07"/>
    <w:rsid w:val="00947FDD"/>
    <w:rsid w:val="00950008"/>
    <w:rsid w:val="009500BC"/>
    <w:rsid w:val="00950201"/>
    <w:rsid w:val="0095022E"/>
    <w:rsid w:val="00950256"/>
    <w:rsid w:val="0095030D"/>
    <w:rsid w:val="0095034C"/>
    <w:rsid w:val="00950417"/>
    <w:rsid w:val="009505F2"/>
    <w:rsid w:val="009509C1"/>
    <w:rsid w:val="00950A07"/>
    <w:rsid w:val="00950A6A"/>
    <w:rsid w:val="00950A71"/>
    <w:rsid w:val="00950B58"/>
    <w:rsid w:val="00950D34"/>
    <w:rsid w:val="00950EE2"/>
    <w:rsid w:val="009510A3"/>
    <w:rsid w:val="00951101"/>
    <w:rsid w:val="009511AB"/>
    <w:rsid w:val="009511F2"/>
    <w:rsid w:val="0095136A"/>
    <w:rsid w:val="0095143C"/>
    <w:rsid w:val="0095144E"/>
    <w:rsid w:val="0095150C"/>
    <w:rsid w:val="00951692"/>
    <w:rsid w:val="00951698"/>
    <w:rsid w:val="00951789"/>
    <w:rsid w:val="0095185F"/>
    <w:rsid w:val="009518C0"/>
    <w:rsid w:val="00951B69"/>
    <w:rsid w:val="00951C64"/>
    <w:rsid w:val="00951D22"/>
    <w:rsid w:val="00951E15"/>
    <w:rsid w:val="00951EA1"/>
    <w:rsid w:val="00951FE2"/>
    <w:rsid w:val="009520AF"/>
    <w:rsid w:val="009520EC"/>
    <w:rsid w:val="00952209"/>
    <w:rsid w:val="009524FD"/>
    <w:rsid w:val="009525D0"/>
    <w:rsid w:val="0095269D"/>
    <w:rsid w:val="009526DA"/>
    <w:rsid w:val="00952B64"/>
    <w:rsid w:val="00952E03"/>
    <w:rsid w:val="00952EA2"/>
    <w:rsid w:val="00953032"/>
    <w:rsid w:val="00953241"/>
    <w:rsid w:val="009532B7"/>
    <w:rsid w:val="009533A9"/>
    <w:rsid w:val="00953471"/>
    <w:rsid w:val="0095369C"/>
    <w:rsid w:val="009537D5"/>
    <w:rsid w:val="00953894"/>
    <w:rsid w:val="0095390E"/>
    <w:rsid w:val="009539A8"/>
    <w:rsid w:val="00953D99"/>
    <w:rsid w:val="0095402B"/>
    <w:rsid w:val="009543DE"/>
    <w:rsid w:val="009544E4"/>
    <w:rsid w:val="009547BB"/>
    <w:rsid w:val="009547EB"/>
    <w:rsid w:val="00954814"/>
    <w:rsid w:val="0095483D"/>
    <w:rsid w:val="00954945"/>
    <w:rsid w:val="00954B95"/>
    <w:rsid w:val="00954F6A"/>
    <w:rsid w:val="00954F76"/>
    <w:rsid w:val="00954FBD"/>
    <w:rsid w:val="0095514D"/>
    <w:rsid w:val="00955262"/>
    <w:rsid w:val="00955419"/>
    <w:rsid w:val="00955425"/>
    <w:rsid w:val="00955576"/>
    <w:rsid w:val="00955657"/>
    <w:rsid w:val="00955AEB"/>
    <w:rsid w:val="00955BBE"/>
    <w:rsid w:val="00955C20"/>
    <w:rsid w:val="00955D07"/>
    <w:rsid w:val="00955EA0"/>
    <w:rsid w:val="00956063"/>
    <w:rsid w:val="009563E3"/>
    <w:rsid w:val="0095641B"/>
    <w:rsid w:val="00956595"/>
    <w:rsid w:val="009566A8"/>
    <w:rsid w:val="009567CB"/>
    <w:rsid w:val="00956AE9"/>
    <w:rsid w:val="00956CE0"/>
    <w:rsid w:val="00957069"/>
    <w:rsid w:val="00957101"/>
    <w:rsid w:val="0095710E"/>
    <w:rsid w:val="00957146"/>
    <w:rsid w:val="00957199"/>
    <w:rsid w:val="009572D8"/>
    <w:rsid w:val="00957388"/>
    <w:rsid w:val="00957521"/>
    <w:rsid w:val="009575E4"/>
    <w:rsid w:val="00957620"/>
    <w:rsid w:val="0095769B"/>
    <w:rsid w:val="0095771E"/>
    <w:rsid w:val="0095778F"/>
    <w:rsid w:val="009577E5"/>
    <w:rsid w:val="00957CA6"/>
    <w:rsid w:val="00957CD0"/>
    <w:rsid w:val="00957FEB"/>
    <w:rsid w:val="00960077"/>
    <w:rsid w:val="00960196"/>
    <w:rsid w:val="009602CC"/>
    <w:rsid w:val="0096038D"/>
    <w:rsid w:val="0096039F"/>
    <w:rsid w:val="009604A8"/>
    <w:rsid w:val="00960614"/>
    <w:rsid w:val="009606A1"/>
    <w:rsid w:val="0096089C"/>
    <w:rsid w:val="009609A7"/>
    <w:rsid w:val="00960FBF"/>
    <w:rsid w:val="00961023"/>
    <w:rsid w:val="0096105D"/>
    <w:rsid w:val="0096133B"/>
    <w:rsid w:val="0096149C"/>
    <w:rsid w:val="009615F1"/>
    <w:rsid w:val="00961645"/>
    <w:rsid w:val="00961806"/>
    <w:rsid w:val="0096195D"/>
    <w:rsid w:val="00961A38"/>
    <w:rsid w:val="00961A9D"/>
    <w:rsid w:val="00961AC3"/>
    <w:rsid w:val="00961C62"/>
    <w:rsid w:val="00961D44"/>
    <w:rsid w:val="00961D51"/>
    <w:rsid w:val="00961EC0"/>
    <w:rsid w:val="0096240B"/>
    <w:rsid w:val="00962415"/>
    <w:rsid w:val="00962796"/>
    <w:rsid w:val="00962A6E"/>
    <w:rsid w:val="00962A7E"/>
    <w:rsid w:val="00962BCE"/>
    <w:rsid w:val="00962D5F"/>
    <w:rsid w:val="00962DB8"/>
    <w:rsid w:val="00962EBD"/>
    <w:rsid w:val="00962EF5"/>
    <w:rsid w:val="00962F3D"/>
    <w:rsid w:val="009632AB"/>
    <w:rsid w:val="0096338B"/>
    <w:rsid w:val="009633BF"/>
    <w:rsid w:val="00963712"/>
    <w:rsid w:val="0096377B"/>
    <w:rsid w:val="00963963"/>
    <w:rsid w:val="00963B1A"/>
    <w:rsid w:val="00963BDF"/>
    <w:rsid w:val="00963CAA"/>
    <w:rsid w:val="00963DAB"/>
    <w:rsid w:val="00963DEB"/>
    <w:rsid w:val="00963E23"/>
    <w:rsid w:val="00963FF7"/>
    <w:rsid w:val="00964217"/>
    <w:rsid w:val="00964276"/>
    <w:rsid w:val="0096428F"/>
    <w:rsid w:val="009642F1"/>
    <w:rsid w:val="00964370"/>
    <w:rsid w:val="0096437A"/>
    <w:rsid w:val="0096438D"/>
    <w:rsid w:val="0096448D"/>
    <w:rsid w:val="009644B8"/>
    <w:rsid w:val="009644E8"/>
    <w:rsid w:val="00964573"/>
    <w:rsid w:val="0096461E"/>
    <w:rsid w:val="00964693"/>
    <w:rsid w:val="00964AAF"/>
    <w:rsid w:val="00964BB8"/>
    <w:rsid w:val="00964CFF"/>
    <w:rsid w:val="00964DE2"/>
    <w:rsid w:val="00964EF4"/>
    <w:rsid w:val="00964F29"/>
    <w:rsid w:val="009650DD"/>
    <w:rsid w:val="009650FF"/>
    <w:rsid w:val="009651AC"/>
    <w:rsid w:val="00965712"/>
    <w:rsid w:val="00965753"/>
    <w:rsid w:val="0096577A"/>
    <w:rsid w:val="0096589E"/>
    <w:rsid w:val="00965B59"/>
    <w:rsid w:val="00965CAF"/>
    <w:rsid w:val="0096635F"/>
    <w:rsid w:val="0096648A"/>
    <w:rsid w:val="00966650"/>
    <w:rsid w:val="009669F1"/>
    <w:rsid w:val="00966B30"/>
    <w:rsid w:val="00966B7F"/>
    <w:rsid w:val="00966C4B"/>
    <w:rsid w:val="00966D84"/>
    <w:rsid w:val="00966DDD"/>
    <w:rsid w:val="00966E2A"/>
    <w:rsid w:val="00967119"/>
    <w:rsid w:val="009671B0"/>
    <w:rsid w:val="009672B8"/>
    <w:rsid w:val="00967358"/>
    <w:rsid w:val="00967499"/>
    <w:rsid w:val="00967624"/>
    <w:rsid w:val="0096765F"/>
    <w:rsid w:val="009676ED"/>
    <w:rsid w:val="00967B76"/>
    <w:rsid w:val="00967DF6"/>
    <w:rsid w:val="00967DF9"/>
    <w:rsid w:val="00967E09"/>
    <w:rsid w:val="00967E0F"/>
    <w:rsid w:val="00967F00"/>
    <w:rsid w:val="00967FE9"/>
    <w:rsid w:val="009700CB"/>
    <w:rsid w:val="009701A9"/>
    <w:rsid w:val="009704EC"/>
    <w:rsid w:val="00970520"/>
    <w:rsid w:val="00970548"/>
    <w:rsid w:val="009706A4"/>
    <w:rsid w:val="009706F6"/>
    <w:rsid w:val="00970820"/>
    <w:rsid w:val="009709BC"/>
    <w:rsid w:val="00970B8E"/>
    <w:rsid w:val="00970BC0"/>
    <w:rsid w:val="00970C6C"/>
    <w:rsid w:val="00970E4A"/>
    <w:rsid w:val="00970EDF"/>
    <w:rsid w:val="00970EE8"/>
    <w:rsid w:val="00970FD9"/>
    <w:rsid w:val="00971273"/>
    <w:rsid w:val="009712DF"/>
    <w:rsid w:val="0097136C"/>
    <w:rsid w:val="009715A6"/>
    <w:rsid w:val="0097179D"/>
    <w:rsid w:val="009718BB"/>
    <w:rsid w:val="009718DC"/>
    <w:rsid w:val="00971911"/>
    <w:rsid w:val="009719D9"/>
    <w:rsid w:val="00971A22"/>
    <w:rsid w:val="00971A28"/>
    <w:rsid w:val="00971BC6"/>
    <w:rsid w:val="00971C90"/>
    <w:rsid w:val="00971E07"/>
    <w:rsid w:val="009720F3"/>
    <w:rsid w:val="00972238"/>
    <w:rsid w:val="0097241A"/>
    <w:rsid w:val="00972435"/>
    <w:rsid w:val="00972743"/>
    <w:rsid w:val="009728DF"/>
    <w:rsid w:val="00972A1C"/>
    <w:rsid w:val="00972B32"/>
    <w:rsid w:val="00972F2B"/>
    <w:rsid w:val="0097316E"/>
    <w:rsid w:val="009731A0"/>
    <w:rsid w:val="009732DC"/>
    <w:rsid w:val="00973545"/>
    <w:rsid w:val="0097363A"/>
    <w:rsid w:val="0097363B"/>
    <w:rsid w:val="00973688"/>
    <w:rsid w:val="00973829"/>
    <w:rsid w:val="00973872"/>
    <w:rsid w:val="009738E6"/>
    <w:rsid w:val="00973977"/>
    <w:rsid w:val="009739CC"/>
    <w:rsid w:val="009739D3"/>
    <w:rsid w:val="00973CAE"/>
    <w:rsid w:val="00973CC6"/>
    <w:rsid w:val="00973CFF"/>
    <w:rsid w:val="00973EB7"/>
    <w:rsid w:val="00973EBF"/>
    <w:rsid w:val="00973EDB"/>
    <w:rsid w:val="00973FD6"/>
    <w:rsid w:val="0097411F"/>
    <w:rsid w:val="00974301"/>
    <w:rsid w:val="00974341"/>
    <w:rsid w:val="009746EE"/>
    <w:rsid w:val="00974728"/>
    <w:rsid w:val="00974790"/>
    <w:rsid w:val="00974A68"/>
    <w:rsid w:val="00974DF5"/>
    <w:rsid w:val="00974F8A"/>
    <w:rsid w:val="0097526D"/>
    <w:rsid w:val="00975376"/>
    <w:rsid w:val="009755C3"/>
    <w:rsid w:val="009757FD"/>
    <w:rsid w:val="00975993"/>
    <w:rsid w:val="0097599D"/>
    <w:rsid w:val="00975A3A"/>
    <w:rsid w:val="00975A70"/>
    <w:rsid w:val="00975BBE"/>
    <w:rsid w:val="00975CC9"/>
    <w:rsid w:val="00975DF0"/>
    <w:rsid w:val="00975EBD"/>
    <w:rsid w:val="00975F2A"/>
    <w:rsid w:val="00976003"/>
    <w:rsid w:val="009760DD"/>
    <w:rsid w:val="009760F7"/>
    <w:rsid w:val="009761EC"/>
    <w:rsid w:val="0097624A"/>
    <w:rsid w:val="00976367"/>
    <w:rsid w:val="00976475"/>
    <w:rsid w:val="009766DA"/>
    <w:rsid w:val="0097675D"/>
    <w:rsid w:val="009768A1"/>
    <w:rsid w:val="00976BD9"/>
    <w:rsid w:val="00976CC4"/>
    <w:rsid w:val="00976EA0"/>
    <w:rsid w:val="00976EF0"/>
    <w:rsid w:val="009770BD"/>
    <w:rsid w:val="00977174"/>
    <w:rsid w:val="00977397"/>
    <w:rsid w:val="009773E4"/>
    <w:rsid w:val="0097766F"/>
    <w:rsid w:val="00977E5E"/>
    <w:rsid w:val="00977EAF"/>
    <w:rsid w:val="00980077"/>
    <w:rsid w:val="0098044D"/>
    <w:rsid w:val="009804F5"/>
    <w:rsid w:val="009804FE"/>
    <w:rsid w:val="00980895"/>
    <w:rsid w:val="009809AE"/>
    <w:rsid w:val="00980A2A"/>
    <w:rsid w:val="00980CE6"/>
    <w:rsid w:val="00980D14"/>
    <w:rsid w:val="00980D23"/>
    <w:rsid w:val="00980D60"/>
    <w:rsid w:val="00980EFD"/>
    <w:rsid w:val="0098116D"/>
    <w:rsid w:val="009813FB"/>
    <w:rsid w:val="009814F0"/>
    <w:rsid w:val="009818E2"/>
    <w:rsid w:val="0098192E"/>
    <w:rsid w:val="00981A1C"/>
    <w:rsid w:val="00981B7D"/>
    <w:rsid w:val="00981C6E"/>
    <w:rsid w:val="00981C87"/>
    <w:rsid w:val="00981D66"/>
    <w:rsid w:val="00981D7A"/>
    <w:rsid w:val="00981FEE"/>
    <w:rsid w:val="009821C2"/>
    <w:rsid w:val="00982236"/>
    <w:rsid w:val="0098229B"/>
    <w:rsid w:val="009822C3"/>
    <w:rsid w:val="00982351"/>
    <w:rsid w:val="009823FF"/>
    <w:rsid w:val="00982707"/>
    <w:rsid w:val="00982A97"/>
    <w:rsid w:val="00982AE1"/>
    <w:rsid w:val="00982B00"/>
    <w:rsid w:val="00982C0F"/>
    <w:rsid w:val="00982C79"/>
    <w:rsid w:val="00982E54"/>
    <w:rsid w:val="009831C1"/>
    <w:rsid w:val="00983362"/>
    <w:rsid w:val="009833D5"/>
    <w:rsid w:val="0098352D"/>
    <w:rsid w:val="0098360E"/>
    <w:rsid w:val="00983B0A"/>
    <w:rsid w:val="00984328"/>
    <w:rsid w:val="009843DB"/>
    <w:rsid w:val="00984604"/>
    <w:rsid w:val="0098467A"/>
    <w:rsid w:val="0098469F"/>
    <w:rsid w:val="009846E2"/>
    <w:rsid w:val="009847C8"/>
    <w:rsid w:val="009847F9"/>
    <w:rsid w:val="0098497F"/>
    <w:rsid w:val="00984A00"/>
    <w:rsid w:val="00984B89"/>
    <w:rsid w:val="00984BBC"/>
    <w:rsid w:val="00984BFE"/>
    <w:rsid w:val="00985154"/>
    <w:rsid w:val="00985418"/>
    <w:rsid w:val="009857C1"/>
    <w:rsid w:val="00985A7E"/>
    <w:rsid w:val="00985CA0"/>
    <w:rsid w:val="00985CFA"/>
    <w:rsid w:val="00986230"/>
    <w:rsid w:val="00986255"/>
    <w:rsid w:val="0098629D"/>
    <w:rsid w:val="009862C8"/>
    <w:rsid w:val="009862E2"/>
    <w:rsid w:val="00986490"/>
    <w:rsid w:val="0098654F"/>
    <w:rsid w:val="009867E1"/>
    <w:rsid w:val="00986867"/>
    <w:rsid w:val="00986FD8"/>
    <w:rsid w:val="009870A8"/>
    <w:rsid w:val="0098713E"/>
    <w:rsid w:val="0098719B"/>
    <w:rsid w:val="00987309"/>
    <w:rsid w:val="009874E4"/>
    <w:rsid w:val="0098755B"/>
    <w:rsid w:val="009875A7"/>
    <w:rsid w:val="00987671"/>
    <w:rsid w:val="009876D2"/>
    <w:rsid w:val="009876DE"/>
    <w:rsid w:val="009876F1"/>
    <w:rsid w:val="009877E2"/>
    <w:rsid w:val="00987B57"/>
    <w:rsid w:val="00987DBE"/>
    <w:rsid w:val="00987E0C"/>
    <w:rsid w:val="00987E9D"/>
    <w:rsid w:val="00987F49"/>
    <w:rsid w:val="00990141"/>
    <w:rsid w:val="00990163"/>
    <w:rsid w:val="00990803"/>
    <w:rsid w:val="0099090B"/>
    <w:rsid w:val="00990992"/>
    <w:rsid w:val="00990BF1"/>
    <w:rsid w:val="00990C5A"/>
    <w:rsid w:val="00990CE1"/>
    <w:rsid w:val="00990D10"/>
    <w:rsid w:val="00990D34"/>
    <w:rsid w:val="00990D49"/>
    <w:rsid w:val="00990E99"/>
    <w:rsid w:val="00991048"/>
    <w:rsid w:val="009910AA"/>
    <w:rsid w:val="00991226"/>
    <w:rsid w:val="009913E1"/>
    <w:rsid w:val="0099148A"/>
    <w:rsid w:val="009914AA"/>
    <w:rsid w:val="009915DF"/>
    <w:rsid w:val="00991711"/>
    <w:rsid w:val="009918B6"/>
    <w:rsid w:val="00991917"/>
    <w:rsid w:val="00991954"/>
    <w:rsid w:val="00991AA4"/>
    <w:rsid w:val="00991CC2"/>
    <w:rsid w:val="00991CDB"/>
    <w:rsid w:val="00991DF6"/>
    <w:rsid w:val="00992024"/>
    <w:rsid w:val="009920DB"/>
    <w:rsid w:val="0099216D"/>
    <w:rsid w:val="009922F6"/>
    <w:rsid w:val="0099239B"/>
    <w:rsid w:val="0099249F"/>
    <w:rsid w:val="0099250D"/>
    <w:rsid w:val="00992873"/>
    <w:rsid w:val="00992BD1"/>
    <w:rsid w:val="00992BEC"/>
    <w:rsid w:val="00992CE6"/>
    <w:rsid w:val="00992DCB"/>
    <w:rsid w:val="00992DF4"/>
    <w:rsid w:val="00993049"/>
    <w:rsid w:val="00993065"/>
    <w:rsid w:val="00993105"/>
    <w:rsid w:val="0099331A"/>
    <w:rsid w:val="00993657"/>
    <w:rsid w:val="00993899"/>
    <w:rsid w:val="009938C4"/>
    <w:rsid w:val="009939CB"/>
    <w:rsid w:val="00993C92"/>
    <w:rsid w:val="00993CB6"/>
    <w:rsid w:val="00993EAF"/>
    <w:rsid w:val="00993EE9"/>
    <w:rsid w:val="00993F32"/>
    <w:rsid w:val="009943B4"/>
    <w:rsid w:val="009943C6"/>
    <w:rsid w:val="009944D3"/>
    <w:rsid w:val="00994561"/>
    <w:rsid w:val="0099471F"/>
    <w:rsid w:val="0099472A"/>
    <w:rsid w:val="00994730"/>
    <w:rsid w:val="0099484A"/>
    <w:rsid w:val="00994B08"/>
    <w:rsid w:val="00994CFE"/>
    <w:rsid w:val="00994D7E"/>
    <w:rsid w:val="00994EFB"/>
    <w:rsid w:val="00995004"/>
    <w:rsid w:val="00995047"/>
    <w:rsid w:val="009950FD"/>
    <w:rsid w:val="00995204"/>
    <w:rsid w:val="00995335"/>
    <w:rsid w:val="009953FA"/>
    <w:rsid w:val="00995507"/>
    <w:rsid w:val="009955DD"/>
    <w:rsid w:val="00995624"/>
    <w:rsid w:val="009957C5"/>
    <w:rsid w:val="0099597F"/>
    <w:rsid w:val="009959B6"/>
    <w:rsid w:val="00995B16"/>
    <w:rsid w:val="00995B3F"/>
    <w:rsid w:val="00995D41"/>
    <w:rsid w:val="00995E46"/>
    <w:rsid w:val="009966CB"/>
    <w:rsid w:val="009966E1"/>
    <w:rsid w:val="009966E5"/>
    <w:rsid w:val="009967FF"/>
    <w:rsid w:val="0099680A"/>
    <w:rsid w:val="0099695B"/>
    <w:rsid w:val="009969B2"/>
    <w:rsid w:val="00996A89"/>
    <w:rsid w:val="00996B6B"/>
    <w:rsid w:val="00996C22"/>
    <w:rsid w:val="00996CFB"/>
    <w:rsid w:val="00996D07"/>
    <w:rsid w:val="00996E9B"/>
    <w:rsid w:val="00996FB9"/>
    <w:rsid w:val="00997029"/>
    <w:rsid w:val="009973D7"/>
    <w:rsid w:val="009975F0"/>
    <w:rsid w:val="009976EB"/>
    <w:rsid w:val="009978CA"/>
    <w:rsid w:val="00997913"/>
    <w:rsid w:val="00997AF9"/>
    <w:rsid w:val="00997C18"/>
    <w:rsid w:val="00997CA5"/>
    <w:rsid w:val="00997CAD"/>
    <w:rsid w:val="00997D73"/>
    <w:rsid w:val="00997E43"/>
    <w:rsid w:val="00997F87"/>
    <w:rsid w:val="009A0295"/>
    <w:rsid w:val="009A02BA"/>
    <w:rsid w:val="009A02C8"/>
    <w:rsid w:val="009A043E"/>
    <w:rsid w:val="009A058D"/>
    <w:rsid w:val="009A063D"/>
    <w:rsid w:val="009A07C3"/>
    <w:rsid w:val="009A0990"/>
    <w:rsid w:val="009A09F3"/>
    <w:rsid w:val="009A0B16"/>
    <w:rsid w:val="009A0EBD"/>
    <w:rsid w:val="009A0EE6"/>
    <w:rsid w:val="009A100B"/>
    <w:rsid w:val="009A1204"/>
    <w:rsid w:val="009A1215"/>
    <w:rsid w:val="009A1360"/>
    <w:rsid w:val="009A13FD"/>
    <w:rsid w:val="009A15DE"/>
    <w:rsid w:val="009A1745"/>
    <w:rsid w:val="009A175A"/>
    <w:rsid w:val="009A1967"/>
    <w:rsid w:val="009A19B3"/>
    <w:rsid w:val="009A1A7F"/>
    <w:rsid w:val="009A1C15"/>
    <w:rsid w:val="009A1C6D"/>
    <w:rsid w:val="009A1E22"/>
    <w:rsid w:val="009A1F2E"/>
    <w:rsid w:val="009A228B"/>
    <w:rsid w:val="009A234C"/>
    <w:rsid w:val="009A23A0"/>
    <w:rsid w:val="009A2695"/>
    <w:rsid w:val="009A289F"/>
    <w:rsid w:val="009A28F2"/>
    <w:rsid w:val="009A2C7E"/>
    <w:rsid w:val="009A2CF4"/>
    <w:rsid w:val="009A2DA4"/>
    <w:rsid w:val="009A2F86"/>
    <w:rsid w:val="009A2FBB"/>
    <w:rsid w:val="009A2FBC"/>
    <w:rsid w:val="009A3329"/>
    <w:rsid w:val="009A3994"/>
    <w:rsid w:val="009A3A15"/>
    <w:rsid w:val="009A3D44"/>
    <w:rsid w:val="009A3E06"/>
    <w:rsid w:val="009A3EB5"/>
    <w:rsid w:val="009A3F9F"/>
    <w:rsid w:val="009A3FD8"/>
    <w:rsid w:val="009A414D"/>
    <w:rsid w:val="009A4327"/>
    <w:rsid w:val="009A4340"/>
    <w:rsid w:val="009A44BF"/>
    <w:rsid w:val="009A462B"/>
    <w:rsid w:val="009A46CC"/>
    <w:rsid w:val="009A4945"/>
    <w:rsid w:val="009A49FA"/>
    <w:rsid w:val="009A4F6D"/>
    <w:rsid w:val="009A4FA4"/>
    <w:rsid w:val="009A5032"/>
    <w:rsid w:val="009A5041"/>
    <w:rsid w:val="009A50CA"/>
    <w:rsid w:val="009A5108"/>
    <w:rsid w:val="009A5233"/>
    <w:rsid w:val="009A5247"/>
    <w:rsid w:val="009A528D"/>
    <w:rsid w:val="009A52CB"/>
    <w:rsid w:val="009A54E1"/>
    <w:rsid w:val="009A553C"/>
    <w:rsid w:val="009A5751"/>
    <w:rsid w:val="009A57C1"/>
    <w:rsid w:val="009A5817"/>
    <w:rsid w:val="009A5978"/>
    <w:rsid w:val="009A5A7B"/>
    <w:rsid w:val="009A5D7D"/>
    <w:rsid w:val="009A5F38"/>
    <w:rsid w:val="009A612E"/>
    <w:rsid w:val="009A6337"/>
    <w:rsid w:val="009A63D3"/>
    <w:rsid w:val="009A6536"/>
    <w:rsid w:val="009A6692"/>
    <w:rsid w:val="009A66CD"/>
    <w:rsid w:val="009A68C0"/>
    <w:rsid w:val="009A690A"/>
    <w:rsid w:val="009A6AB8"/>
    <w:rsid w:val="009A6BB6"/>
    <w:rsid w:val="009A6CC0"/>
    <w:rsid w:val="009A6CDA"/>
    <w:rsid w:val="009A6D73"/>
    <w:rsid w:val="009A6E0C"/>
    <w:rsid w:val="009A6EB2"/>
    <w:rsid w:val="009A6F6F"/>
    <w:rsid w:val="009A7094"/>
    <w:rsid w:val="009A7329"/>
    <w:rsid w:val="009A732F"/>
    <w:rsid w:val="009A74FC"/>
    <w:rsid w:val="009A76B3"/>
    <w:rsid w:val="009A78C9"/>
    <w:rsid w:val="009A79A0"/>
    <w:rsid w:val="009A7B4F"/>
    <w:rsid w:val="009A7D14"/>
    <w:rsid w:val="009A7DCC"/>
    <w:rsid w:val="009A7FB6"/>
    <w:rsid w:val="009B00B7"/>
    <w:rsid w:val="009B017A"/>
    <w:rsid w:val="009B025B"/>
    <w:rsid w:val="009B026C"/>
    <w:rsid w:val="009B02D9"/>
    <w:rsid w:val="009B05A7"/>
    <w:rsid w:val="009B05DF"/>
    <w:rsid w:val="009B0623"/>
    <w:rsid w:val="009B075F"/>
    <w:rsid w:val="009B0CA7"/>
    <w:rsid w:val="009B0E04"/>
    <w:rsid w:val="009B0E38"/>
    <w:rsid w:val="009B0F21"/>
    <w:rsid w:val="009B0FD3"/>
    <w:rsid w:val="009B129D"/>
    <w:rsid w:val="009B12DE"/>
    <w:rsid w:val="009B1318"/>
    <w:rsid w:val="009B14F2"/>
    <w:rsid w:val="009B155E"/>
    <w:rsid w:val="009B17FC"/>
    <w:rsid w:val="009B181E"/>
    <w:rsid w:val="009B183E"/>
    <w:rsid w:val="009B19EC"/>
    <w:rsid w:val="009B1A80"/>
    <w:rsid w:val="009B1BAE"/>
    <w:rsid w:val="009B1DAE"/>
    <w:rsid w:val="009B1DF3"/>
    <w:rsid w:val="009B1E5D"/>
    <w:rsid w:val="009B1EAA"/>
    <w:rsid w:val="009B1ED1"/>
    <w:rsid w:val="009B24D5"/>
    <w:rsid w:val="009B2526"/>
    <w:rsid w:val="009B252E"/>
    <w:rsid w:val="009B26C8"/>
    <w:rsid w:val="009B2710"/>
    <w:rsid w:val="009B27D2"/>
    <w:rsid w:val="009B2BFE"/>
    <w:rsid w:val="009B2C10"/>
    <w:rsid w:val="009B2CFA"/>
    <w:rsid w:val="009B2E07"/>
    <w:rsid w:val="009B2EA5"/>
    <w:rsid w:val="009B302C"/>
    <w:rsid w:val="009B316B"/>
    <w:rsid w:val="009B3222"/>
    <w:rsid w:val="009B322F"/>
    <w:rsid w:val="009B32CC"/>
    <w:rsid w:val="009B34B3"/>
    <w:rsid w:val="009B3796"/>
    <w:rsid w:val="009B3914"/>
    <w:rsid w:val="009B3DCE"/>
    <w:rsid w:val="009B3E26"/>
    <w:rsid w:val="009B3EF8"/>
    <w:rsid w:val="009B3F1D"/>
    <w:rsid w:val="009B3F5F"/>
    <w:rsid w:val="009B401E"/>
    <w:rsid w:val="009B4117"/>
    <w:rsid w:val="009B456C"/>
    <w:rsid w:val="009B48B5"/>
    <w:rsid w:val="009B4B3F"/>
    <w:rsid w:val="009B4B6A"/>
    <w:rsid w:val="009B4BD6"/>
    <w:rsid w:val="009B4D29"/>
    <w:rsid w:val="009B4DCB"/>
    <w:rsid w:val="009B4E34"/>
    <w:rsid w:val="009B56C1"/>
    <w:rsid w:val="009B57C8"/>
    <w:rsid w:val="009B57D0"/>
    <w:rsid w:val="009B5889"/>
    <w:rsid w:val="009B59D1"/>
    <w:rsid w:val="009B5E54"/>
    <w:rsid w:val="009B6202"/>
    <w:rsid w:val="009B64D4"/>
    <w:rsid w:val="009B6527"/>
    <w:rsid w:val="009B66BC"/>
    <w:rsid w:val="009B6841"/>
    <w:rsid w:val="009B6864"/>
    <w:rsid w:val="009B68CE"/>
    <w:rsid w:val="009B6A00"/>
    <w:rsid w:val="009B6A74"/>
    <w:rsid w:val="009B6C1A"/>
    <w:rsid w:val="009B6C6F"/>
    <w:rsid w:val="009B6C71"/>
    <w:rsid w:val="009B6D1D"/>
    <w:rsid w:val="009B6E01"/>
    <w:rsid w:val="009B6FD9"/>
    <w:rsid w:val="009B7560"/>
    <w:rsid w:val="009B7767"/>
    <w:rsid w:val="009B777D"/>
    <w:rsid w:val="009B7C73"/>
    <w:rsid w:val="009B7CD3"/>
    <w:rsid w:val="009B7CDC"/>
    <w:rsid w:val="009B7E9A"/>
    <w:rsid w:val="009C0037"/>
    <w:rsid w:val="009C0175"/>
    <w:rsid w:val="009C05C3"/>
    <w:rsid w:val="009C0796"/>
    <w:rsid w:val="009C0A19"/>
    <w:rsid w:val="009C0B13"/>
    <w:rsid w:val="009C0B2C"/>
    <w:rsid w:val="009C0DF1"/>
    <w:rsid w:val="009C0ECC"/>
    <w:rsid w:val="009C145C"/>
    <w:rsid w:val="009C1629"/>
    <w:rsid w:val="009C164A"/>
    <w:rsid w:val="009C1652"/>
    <w:rsid w:val="009C166C"/>
    <w:rsid w:val="009C1AC7"/>
    <w:rsid w:val="009C1ED7"/>
    <w:rsid w:val="009C1F33"/>
    <w:rsid w:val="009C237C"/>
    <w:rsid w:val="009C259C"/>
    <w:rsid w:val="009C2772"/>
    <w:rsid w:val="009C2892"/>
    <w:rsid w:val="009C2CB2"/>
    <w:rsid w:val="009C2E89"/>
    <w:rsid w:val="009C2FD4"/>
    <w:rsid w:val="009C2FE1"/>
    <w:rsid w:val="009C3140"/>
    <w:rsid w:val="009C31BA"/>
    <w:rsid w:val="009C32F4"/>
    <w:rsid w:val="009C3441"/>
    <w:rsid w:val="009C34ED"/>
    <w:rsid w:val="009C34F1"/>
    <w:rsid w:val="009C37E9"/>
    <w:rsid w:val="009C3A40"/>
    <w:rsid w:val="009C3D84"/>
    <w:rsid w:val="009C3F63"/>
    <w:rsid w:val="009C4022"/>
    <w:rsid w:val="009C42EF"/>
    <w:rsid w:val="009C43D1"/>
    <w:rsid w:val="009C43DA"/>
    <w:rsid w:val="009C4447"/>
    <w:rsid w:val="009C45DB"/>
    <w:rsid w:val="009C4905"/>
    <w:rsid w:val="009C49BB"/>
    <w:rsid w:val="009C4AC9"/>
    <w:rsid w:val="009C4C3C"/>
    <w:rsid w:val="009C4E69"/>
    <w:rsid w:val="009C4F23"/>
    <w:rsid w:val="009C5069"/>
    <w:rsid w:val="009C51E1"/>
    <w:rsid w:val="009C54DE"/>
    <w:rsid w:val="009C5544"/>
    <w:rsid w:val="009C55F2"/>
    <w:rsid w:val="009C5604"/>
    <w:rsid w:val="009C56F1"/>
    <w:rsid w:val="009C5A88"/>
    <w:rsid w:val="009C5DDA"/>
    <w:rsid w:val="009C5E0E"/>
    <w:rsid w:val="009C5FBD"/>
    <w:rsid w:val="009C629D"/>
    <w:rsid w:val="009C6422"/>
    <w:rsid w:val="009C68D4"/>
    <w:rsid w:val="009C6AC7"/>
    <w:rsid w:val="009C6C2F"/>
    <w:rsid w:val="009C6C85"/>
    <w:rsid w:val="009C6E16"/>
    <w:rsid w:val="009C6FAF"/>
    <w:rsid w:val="009C70F1"/>
    <w:rsid w:val="009C74B6"/>
    <w:rsid w:val="009C7579"/>
    <w:rsid w:val="009C78E8"/>
    <w:rsid w:val="009C79B5"/>
    <w:rsid w:val="009C7ADD"/>
    <w:rsid w:val="009C7B54"/>
    <w:rsid w:val="009C7E1C"/>
    <w:rsid w:val="009C7EBA"/>
    <w:rsid w:val="009C7ECD"/>
    <w:rsid w:val="009C7ECF"/>
    <w:rsid w:val="009C7FAA"/>
    <w:rsid w:val="009D0150"/>
    <w:rsid w:val="009D017B"/>
    <w:rsid w:val="009D0396"/>
    <w:rsid w:val="009D04D0"/>
    <w:rsid w:val="009D0622"/>
    <w:rsid w:val="009D0A97"/>
    <w:rsid w:val="009D0B8F"/>
    <w:rsid w:val="009D0D06"/>
    <w:rsid w:val="009D0D3F"/>
    <w:rsid w:val="009D15FD"/>
    <w:rsid w:val="009D16B9"/>
    <w:rsid w:val="009D17D5"/>
    <w:rsid w:val="009D1975"/>
    <w:rsid w:val="009D198C"/>
    <w:rsid w:val="009D1BBA"/>
    <w:rsid w:val="009D1C95"/>
    <w:rsid w:val="009D1E6F"/>
    <w:rsid w:val="009D1E9E"/>
    <w:rsid w:val="009D1F21"/>
    <w:rsid w:val="009D213F"/>
    <w:rsid w:val="009D2183"/>
    <w:rsid w:val="009D2502"/>
    <w:rsid w:val="009D2683"/>
    <w:rsid w:val="009D26CC"/>
    <w:rsid w:val="009D2719"/>
    <w:rsid w:val="009D27E5"/>
    <w:rsid w:val="009D291C"/>
    <w:rsid w:val="009D29C9"/>
    <w:rsid w:val="009D29EE"/>
    <w:rsid w:val="009D29F6"/>
    <w:rsid w:val="009D2A40"/>
    <w:rsid w:val="009D2E08"/>
    <w:rsid w:val="009D2E7E"/>
    <w:rsid w:val="009D2EFC"/>
    <w:rsid w:val="009D2F57"/>
    <w:rsid w:val="009D3041"/>
    <w:rsid w:val="009D3221"/>
    <w:rsid w:val="009D37E8"/>
    <w:rsid w:val="009D3820"/>
    <w:rsid w:val="009D3B53"/>
    <w:rsid w:val="009D3B76"/>
    <w:rsid w:val="009D3B97"/>
    <w:rsid w:val="009D3F46"/>
    <w:rsid w:val="009D3FDC"/>
    <w:rsid w:val="009D40BB"/>
    <w:rsid w:val="009D44CF"/>
    <w:rsid w:val="009D44FF"/>
    <w:rsid w:val="009D45B9"/>
    <w:rsid w:val="009D4675"/>
    <w:rsid w:val="009D48F0"/>
    <w:rsid w:val="009D49C2"/>
    <w:rsid w:val="009D4A5B"/>
    <w:rsid w:val="009D4D29"/>
    <w:rsid w:val="009D4DF3"/>
    <w:rsid w:val="009D4E77"/>
    <w:rsid w:val="009D4F4D"/>
    <w:rsid w:val="009D509B"/>
    <w:rsid w:val="009D52B5"/>
    <w:rsid w:val="009D538F"/>
    <w:rsid w:val="009D546C"/>
    <w:rsid w:val="009D54C3"/>
    <w:rsid w:val="009D550E"/>
    <w:rsid w:val="009D5563"/>
    <w:rsid w:val="009D58B6"/>
    <w:rsid w:val="009D5977"/>
    <w:rsid w:val="009D5980"/>
    <w:rsid w:val="009D5B13"/>
    <w:rsid w:val="009D5B37"/>
    <w:rsid w:val="009D5D74"/>
    <w:rsid w:val="009D5E9A"/>
    <w:rsid w:val="009D5FE0"/>
    <w:rsid w:val="009D659B"/>
    <w:rsid w:val="009D6631"/>
    <w:rsid w:val="009D6953"/>
    <w:rsid w:val="009D6B42"/>
    <w:rsid w:val="009D6B6C"/>
    <w:rsid w:val="009D6B97"/>
    <w:rsid w:val="009D6F46"/>
    <w:rsid w:val="009D7065"/>
    <w:rsid w:val="009D7110"/>
    <w:rsid w:val="009D71EA"/>
    <w:rsid w:val="009D727D"/>
    <w:rsid w:val="009D7471"/>
    <w:rsid w:val="009D7662"/>
    <w:rsid w:val="009D79EB"/>
    <w:rsid w:val="009D7B3F"/>
    <w:rsid w:val="009D7BA8"/>
    <w:rsid w:val="009D7BBE"/>
    <w:rsid w:val="009E00CE"/>
    <w:rsid w:val="009E024B"/>
    <w:rsid w:val="009E03FB"/>
    <w:rsid w:val="009E05CC"/>
    <w:rsid w:val="009E07B6"/>
    <w:rsid w:val="009E095F"/>
    <w:rsid w:val="009E0A61"/>
    <w:rsid w:val="009E103E"/>
    <w:rsid w:val="009E1125"/>
    <w:rsid w:val="009E121B"/>
    <w:rsid w:val="009E148F"/>
    <w:rsid w:val="009E14BB"/>
    <w:rsid w:val="009E160C"/>
    <w:rsid w:val="009E1895"/>
    <w:rsid w:val="009E19F7"/>
    <w:rsid w:val="009E1A2E"/>
    <w:rsid w:val="009E1DA9"/>
    <w:rsid w:val="009E1E8D"/>
    <w:rsid w:val="009E21BE"/>
    <w:rsid w:val="009E2595"/>
    <w:rsid w:val="009E2A7A"/>
    <w:rsid w:val="009E2AE3"/>
    <w:rsid w:val="009E2AE8"/>
    <w:rsid w:val="009E2D4B"/>
    <w:rsid w:val="009E2D62"/>
    <w:rsid w:val="009E2F75"/>
    <w:rsid w:val="009E2FA6"/>
    <w:rsid w:val="009E3265"/>
    <w:rsid w:val="009E3285"/>
    <w:rsid w:val="009E32DA"/>
    <w:rsid w:val="009E3423"/>
    <w:rsid w:val="009E3501"/>
    <w:rsid w:val="009E3517"/>
    <w:rsid w:val="009E353A"/>
    <w:rsid w:val="009E36C4"/>
    <w:rsid w:val="009E36D8"/>
    <w:rsid w:val="009E380C"/>
    <w:rsid w:val="009E39CA"/>
    <w:rsid w:val="009E3B87"/>
    <w:rsid w:val="009E3C0F"/>
    <w:rsid w:val="009E3CD1"/>
    <w:rsid w:val="009E4123"/>
    <w:rsid w:val="009E414F"/>
    <w:rsid w:val="009E4264"/>
    <w:rsid w:val="009E42C6"/>
    <w:rsid w:val="009E42EA"/>
    <w:rsid w:val="009E4456"/>
    <w:rsid w:val="009E4D4E"/>
    <w:rsid w:val="009E5096"/>
    <w:rsid w:val="009E5139"/>
    <w:rsid w:val="009E5146"/>
    <w:rsid w:val="009E51F0"/>
    <w:rsid w:val="009E525B"/>
    <w:rsid w:val="009E5607"/>
    <w:rsid w:val="009E577C"/>
    <w:rsid w:val="009E5949"/>
    <w:rsid w:val="009E5AFA"/>
    <w:rsid w:val="009E5C80"/>
    <w:rsid w:val="009E5D56"/>
    <w:rsid w:val="009E6018"/>
    <w:rsid w:val="009E612A"/>
    <w:rsid w:val="009E61D4"/>
    <w:rsid w:val="009E6860"/>
    <w:rsid w:val="009E6879"/>
    <w:rsid w:val="009E6C9A"/>
    <w:rsid w:val="009E6E21"/>
    <w:rsid w:val="009E6E30"/>
    <w:rsid w:val="009E6E50"/>
    <w:rsid w:val="009E73C1"/>
    <w:rsid w:val="009E766A"/>
    <w:rsid w:val="009E773A"/>
    <w:rsid w:val="009E78C4"/>
    <w:rsid w:val="009E7900"/>
    <w:rsid w:val="009E7C74"/>
    <w:rsid w:val="009E7F7E"/>
    <w:rsid w:val="009F00FB"/>
    <w:rsid w:val="009F0106"/>
    <w:rsid w:val="009F011C"/>
    <w:rsid w:val="009F020F"/>
    <w:rsid w:val="009F0294"/>
    <w:rsid w:val="009F02A4"/>
    <w:rsid w:val="009F0330"/>
    <w:rsid w:val="009F0450"/>
    <w:rsid w:val="009F0810"/>
    <w:rsid w:val="009F0950"/>
    <w:rsid w:val="009F0B67"/>
    <w:rsid w:val="009F0B70"/>
    <w:rsid w:val="009F0C36"/>
    <w:rsid w:val="009F0DD2"/>
    <w:rsid w:val="009F0F02"/>
    <w:rsid w:val="009F1013"/>
    <w:rsid w:val="009F10E2"/>
    <w:rsid w:val="009F1121"/>
    <w:rsid w:val="009F129E"/>
    <w:rsid w:val="009F146C"/>
    <w:rsid w:val="009F155F"/>
    <w:rsid w:val="009F1A2C"/>
    <w:rsid w:val="009F1A43"/>
    <w:rsid w:val="009F1BFA"/>
    <w:rsid w:val="009F1E51"/>
    <w:rsid w:val="009F1E73"/>
    <w:rsid w:val="009F1EDB"/>
    <w:rsid w:val="009F1F01"/>
    <w:rsid w:val="009F2020"/>
    <w:rsid w:val="009F2107"/>
    <w:rsid w:val="009F2183"/>
    <w:rsid w:val="009F2191"/>
    <w:rsid w:val="009F2664"/>
    <w:rsid w:val="009F27A2"/>
    <w:rsid w:val="009F29FB"/>
    <w:rsid w:val="009F2B73"/>
    <w:rsid w:val="009F2B9F"/>
    <w:rsid w:val="009F2D0A"/>
    <w:rsid w:val="009F2F18"/>
    <w:rsid w:val="009F2F46"/>
    <w:rsid w:val="009F3079"/>
    <w:rsid w:val="009F3108"/>
    <w:rsid w:val="009F3244"/>
    <w:rsid w:val="009F33FD"/>
    <w:rsid w:val="009F360A"/>
    <w:rsid w:val="009F3958"/>
    <w:rsid w:val="009F39AA"/>
    <w:rsid w:val="009F3B74"/>
    <w:rsid w:val="009F3F63"/>
    <w:rsid w:val="009F3FC1"/>
    <w:rsid w:val="009F3FEE"/>
    <w:rsid w:val="009F400E"/>
    <w:rsid w:val="009F4025"/>
    <w:rsid w:val="009F4224"/>
    <w:rsid w:val="009F432A"/>
    <w:rsid w:val="009F4379"/>
    <w:rsid w:val="009F4427"/>
    <w:rsid w:val="009F450A"/>
    <w:rsid w:val="009F45C9"/>
    <w:rsid w:val="009F46D1"/>
    <w:rsid w:val="009F4804"/>
    <w:rsid w:val="009F4B07"/>
    <w:rsid w:val="009F4D67"/>
    <w:rsid w:val="009F4DD8"/>
    <w:rsid w:val="009F4E83"/>
    <w:rsid w:val="009F5095"/>
    <w:rsid w:val="009F50E4"/>
    <w:rsid w:val="009F50F9"/>
    <w:rsid w:val="009F51B9"/>
    <w:rsid w:val="009F530B"/>
    <w:rsid w:val="009F5312"/>
    <w:rsid w:val="009F5321"/>
    <w:rsid w:val="009F57B8"/>
    <w:rsid w:val="009F5872"/>
    <w:rsid w:val="009F58C1"/>
    <w:rsid w:val="009F5A3C"/>
    <w:rsid w:val="009F5AA1"/>
    <w:rsid w:val="009F5B42"/>
    <w:rsid w:val="009F5CB4"/>
    <w:rsid w:val="009F5D82"/>
    <w:rsid w:val="009F5F07"/>
    <w:rsid w:val="009F5F97"/>
    <w:rsid w:val="009F6014"/>
    <w:rsid w:val="009F612B"/>
    <w:rsid w:val="009F6174"/>
    <w:rsid w:val="009F64A2"/>
    <w:rsid w:val="009F6740"/>
    <w:rsid w:val="009F6757"/>
    <w:rsid w:val="009F6869"/>
    <w:rsid w:val="009F68C5"/>
    <w:rsid w:val="009F6977"/>
    <w:rsid w:val="009F6A28"/>
    <w:rsid w:val="009F6CFB"/>
    <w:rsid w:val="009F6D74"/>
    <w:rsid w:val="009F6D8A"/>
    <w:rsid w:val="009F6DC9"/>
    <w:rsid w:val="009F6F53"/>
    <w:rsid w:val="009F7031"/>
    <w:rsid w:val="009F7121"/>
    <w:rsid w:val="009F713E"/>
    <w:rsid w:val="009F733D"/>
    <w:rsid w:val="009F7592"/>
    <w:rsid w:val="009F7603"/>
    <w:rsid w:val="009F7778"/>
    <w:rsid w:val="009F777F"/>
    <w:rsid w:val="009F779C"/>
    <w:rsid w:val="009F77D5"/>
    <w:rsid w:val="009F7948"/>
    <w:rsid w:val="009F7A36"/>
    <w:rsid w:val="009F7B06"/>
    <w:rsid w:val="009F7D9C"/>
    <w:rsid w:val="00A000B4"/>
    <w:rsid w:val="00A003CB"/>
    <w:rsid w:val="00A0048F"/>
    <w:rsid w:val="00A0054B"/>
    <w:rsid w:val="00A00594"/>
    <w:rsid w:val="00A0062B"/>
    <w:rsid w:val="00A00756"/>
    <w:rsid w:val="00A007CD"/>
    <w:rsid w:val="00A009B7"/>
    <w:rsid w:val="00A00C20"/>
    <w:rsid w:val="00A00CCB"/>
    <w:rsid w:val="00A00F80"/>
    <w:rsid w:val="00A00FA1"/>
    <w:rsid w:val="00A01138"/>
    <w:rsid w:val="00A01381"/>
    <w:rsid w:val="00A01465"/>
    <w:rsid w:val="00A017B4"/>
    <w:rsid w:val="00A018DA"/>
    <w:rsid w:val="00A01945"/>
    <w:rsid w:val="00A01947"/>
    <w:rsid w:val="00A01C70"/>
    <w:rsid w:val="00A01D7B"/>
    <w:rsid w:val="00A01E88"/>
    <w:rsid w:val="00A01EA6"/>
    <w:rsid w:val="00A01EFF"/>
    <w:rsid w:val="00A02027"/>
    <w:rsid w:val="00A023F5"/>
    <w:rsid w:val="00A02555"/>
    <w:rsid w:val="00A025D7"/>
    <w:rsid w:val="00A02747"/>
    <w:rsid w:val="00A02DC6"/>
    <w:rsid w:val="00A02E02"/>
    <w:rsid w:val="00A02E5C"/>
    <w:rsid w:val="00A02F40"/>
    <w:rsid w:val="00A031BF"/>
    <w:rsid w:val="00A0333D"/>
    <w:rsid w:val="00A034AA"/>
    <w:rsid w:val="00A0358A"/>
    <w:rsid w:val="00A0358E"/>
    <w:rsid w:val="00A036A6"/>
    <w:rsid w:val="00A03923"/>
    <w:rsid w:val="00A03AEC"/>
    <w:rsid w:val="00A03B6D"/>
    <w:rsid w:val="00A03CA4"/>
    <w:rsid w:val="00A03CA7"/>
    <w:rsid w:val="00A03D65"/>
    <w:rsid w:val="00A03ED3"/>
    <w:rsid w:val="00A03F76"/>
    <w:rsid w:val="00A041A6"/>
    <w:rsid w:val="00A04304"/>
    <w:rsid w:val="00A043FD"/>
    <w:rsid w:val="00A04430"/>
    <w:rsid w:val="00A04475"/>
    <w:rsid w:val="00A04481"/>
    <w:rsid w:val="00A044DC"/>
    <w:rsid w:val="00A0450C"/>
    <w:rsid w:val="00A046C4"/>
    <w:rsid w:val="00A046DE"/>
    <w:rsid w:val="00A04973"/>
    <w:rsid w:val="00A04988"/>
    <w:rsid w:val="00A04A17"/>
    <w:rsid w:val="00A04A26"/>
    <w:rsid w:val="00A04B9F"/>
    <w:rsid w:val="00A04C19"/>
    <w:rsid w:val="00A04F97"/>
    <w:rsid w:val="00A0506A"/>
    <w:rsid w:val="00A05172"/>
    <w:rsid w:val="00A05265"/>
    <w:rsid w:val="00A05312"/>
    <w:rsid w:val="00A053C6"/>
    <w:rsid w:val="00A05449"/>
    <w:rsid w:val="00A0547E"/>
    <w:rsid w:val="00A0556D"/>
    <w:rsid w:val="00A056EF"/>
    <w:rsid w:val="00A05715"/>
    <w:rsid w:val="00A0573A"/>
    <w:rsid w:val="00A058AB"/>
    <w:rsid w:val="00A05953"/>
    <w:rsid w:val="00A05B24"/>
    <w:rsid w:val="00A05B2E"/>
    <w:rsid w:val="00A05CA3"/>
    <w:rsid w:val="00A05D96"/>
    <w:rsid w:val="00A05E1A"/>
    <w:rsid w:val="00A06062"/>
    <w:rsid w:val="00A061BF"/>
    <w:rsid w:val="00A06494"/>
    <w:rsid w:val="00A0654F"/>
    <w:rsid w:val="00A065C6"/>
    <w:rsid w:val="00A0668F"/>
    <w:rsid w:val="00A0669C"/>
    <w:rsid w:val="00A069EC"/>
    <w:rsid w:val="00A06A23"/>
    <w:rsid w:val="00A06C1C"/>
    <w:rsid w:val="00A06DD4"/>
    <w:rsid w:val="00A06DE7"/>
    <w:rsid w:val="00A06E18"/>
    <w:rsid w:val="00A06F1F"/>
    <w:rsid w:val="00A072EE"/>
    <w:rsid w:val="00A0746E"/>
    <w:rsid w:val="00A074B1"/>
    <w:rsid w:val="00A07533"/>
    <w:rsid w:val="00A07540"/>
    <w:rsid w:val="00A07666"/>
    <w:rsid w:val="00A077B9"/>
    <w:rsid w:val="00A07844"/>
    <w:rsid w:val="00A078A8"/>
    <w:rsid w:val="00A07B23"/>
    <w:rsid w:val="00A07D62"/>
    <w:rsid w:val="00A07D8A"/>
    <w:rsid w:val="00A07E8D"/>
    <w:rsid w:val="00A07E98"/>
    <w:rsid w:val="00A10673"/>
    <w:rsid w:val="00A10823"/>
    <w:rsid w:val="00A10849"/>
    <w:rsid w:val="00A108B1"/>
    <w:rsid w:val="00A10968"/>
    <w:rsid w:val="00A10C53"/>
    <w:rsid w:val="00A10CED"/>
    <w:rsid w:val="00A10D45"/>
    <w:rsid w:val="00A10EDE"/>
    <w:rsid w:val="00A11212"/>
    <w:rsid w:val="00A11214"/>
    <w:rsid w:val="00A11589"/>
    <w:rsid w:val="00A11689"/>
    <w:rsid w:val="00A116F1"/>
    <w:rsid w:val="00A11704"/>
    <w:rsid w:val="00A11B6C"/>
    <w:rsid w:val="00A11F5D"/>
    <w:rsid w:val="00A11FAC"/>
    <w:rsid w:val="00A121EE"/>
    <w:rsid w:val="00A12283"/>
    <w:rsid w:val="00A124A9"/>
    <w:rsid w:val="00A12801"/>
    <w:rsid w:val="00A12812"/>
    <w:rsid w:val="00A1291F"/>
    <w:rsid w:val="00A12931"/>
    <w:rsid w:val="00A12AC5"/>
    <w:rsid w:val="00A12AD6"/>
    <w:rsid w:val="00A12D19"/>
    <w:rsid w:val="00A1313A"/>
    <w:rsid w:val="00A13169"/>
    <w:rsid w:val="00A13173"/>
    <w:rsid w:val="00A131B0"/>
    <w:rsid w:val="00A131CA"/>
    <w:rsid w:val="00A13252"/>
    <w:rsid w:val="00A1355D"/>
    <w:rsid w:val="00A1363E"/>
    <w:rsid w:val="00A13746"/>
    <w:rsid w:val="00A13963"/>
    <w:rsid w:val="00A13A79"/>
    <w:rsid w:val="00A13AB7"/>
    <w:rsid w:val="00A13ABC"/>
    <w:rsid w:val="00A13E29"/>
    <w:rsid w:val="00A13FD2"/>
    <w:rsid w:val="00A13FEB"/>
    <w:rsid w:val="00A13FFC"/>
    <w:rsid w:val="00A14155"/>
    <w:rsid w:val="00A1418A"/>
    <w:rsid w:val="00A14249"/>
    <w:rsid w:val="00A1449D"/>
    <w:rsid w:val="00A1453F"/>
    <w:rsid w:val="00A14839"/>
    <w:rsid w:val="00A148AB"/>
    <w:rsid w:val="00A148F5"/>
    <w:rsid w:val="00A14F60"/>
    <w:rsid w:val="00A15011"/>
    <w:rsid w:val="00A154F4"/>
    <w:rsid w:val="00A156B2"/>
    <w:rsid w:val="00A15814"/>
    <w:rsid w:val="00A15987"/>
    <w:rsid w:val="00A15A14"/>
    <w:rsid w:val="00A15BE2"/>
    <w:rsid w:val="00A15DCE"/>
    <w:rsid w:val="00A15EDB"/>
    <w:rsid w:val="00A15F3C"/>
    <w:rsid w:val="00A162C6"/>
    <w:rsid w:val="00A166F0"/>
    <w:rsid w:val="00A16944"/>
    <w:rsid w:val="00A16B0C"/>
    <w:rsid w:val="00A16C16"/>
    <w:rsid w:val="00A16D4A"/>
    <w:rsid w:val="00A16EBD"/>
    <w:rsid w:val="00A170D2"/>
    <w:rsid w:val="00A173DE"/>
    <w:rsid w:val="00A174F2"/>
    <w:rsid w:val="00A175B6"/>
    <w:rsid w:val="00A175B9"/>
    <w:rsid w:val="00A176F3"/>
    <w:rsid w:val="00A179AA"/>
    <w:rsid w:val="00A17B9D"/>
    <w:rsid w:val="00A17DB0"/>
    <w:rsid w:val="00A17E17"/>
    <w:rsid w:val="00A17E75"/>
    <w:rsid w:val="00A17E9D"/>
    <w:rsid w:val="00A17EC4"/>
    <w:rsid w:val="00A17F93"/>
    <w:rsid w:val="00A17FA0"/>
    <w:rsid w:val="00A20282"/>
    <w:rsid w:val="00A20444"/>
    <w:rsid w:val="00A20714"/>
    <w:rsid w:val="00A20733"/>
    <w:rsid w:val="00A20852"/>
    <w:rsid w:val="00A208A3"/>
    <w:rsid w:val="00A20BAA"/>
    <w:rsid w:val="00A20E55"/>
    <w:rsid w:val="00A20E7E"/>
    <w:rsid w:val="00A21540"/>
    <w:rsid w:val="00A215B7"/>
    <w:rsid w:val="00A215DD"/>
    <w:rsid w:val="00A215F8"/>
    <w:rsid w:val="00A21647"/>
    <w:rsid w:val="00A21753"/>
    <w:rsid w:val="00A21928"/>
    <w:rsid w:val="00A21940"/>
    <w:rsid w:val="00A21964"/>
    <w:rsid w:val="00A21CB6"/>
    <w:rsid w:val="00A21EA7"/>
    <w:rsid w:val="00A22216"/>
    <w:rsid w:val="00A2245E"/>
    <w:rsid w:val="00A22B32"/>
    <w:rsid w:val="00A22C4A"/>
    <w:rsid w:val="00A22CB7"/>
    <w:rsid w:val="00A22FF2"/>
    <w:rsid w:val="00A230FB"/>
    <w:rsid w:val="00A23138"/>
    <w:rsid w:val="00A2321A"/>
    <w:rsid w:val="00A233A0"/>
    <w:rsid w:val="00A234B9"/>
    <w:rsid w:val="00A23521"/>
    <w:rsid w:val="00A235DC"/>
    <w:rsid w:val="00A235EC"/>
    <w:rsid w:val="00A23687"/>
    <w:rsid w:val="00A23768"/>
    <w:rsid w:val="00A2381C"/>
    <w:rsid w:val="00A23949"/>
    <w:rsid w:val="00A2398A"/>
    <w:rsid w:val="00A23B23"/>
    <w:rsid w:val="00A23EF1"/>
    <w:rsid w:val="00A23FC9"/>
    <w:rsid w:val="00A240E5"/>
    <w:rsid w:val="00A24123"/>
    <w:rsid w:val="00A24268"/>
    <w:rsid w:val="00A24371"/>
    <w:rsid w:val="00A24640"/>
    <w:rsid w:val="00A248B2"/>
    <w:rsid w:val="00A2492D"/>
    <w:rsid w:val="00A24B21"/>
    <w:rsid w:val="00A24FF2"/>
    <w:rsid w:val="00A250BD"/>
    <w:rsid w:val="00A253CB"/>
    <w:rsid w:val="00A2567C"/>
    <w:rsid w:val="00A25687"/>
    <w:rsid w:val="00A256CC"/>
    <w:rsid w:val="00A256E6"/>
    <w:rsid w:val="00A259CE"/>
    <w:rsid w:val="00A25B41"/>
    <w:rsid w:val="00A25D0E"/>
    <w:rsid w:val="00A25E10"/>
    <w:rsid w:val="00A25F57"/>
    <w:rsid w:val="00A25F75"/>
    <w:rsid w:val="00A25F8A"/>
    <w:rsid w:val="00A261FC"/>
    <w:rsid w:val="00A26245"/>
    <w:rsid w:val="00A263FA"/>
    <w:rsid w:val="00A264B2"/>
    <w:rsid w:val="00A26624"/>
    <w:rsid w:val="00A267A2"/>
    <w:rsid w:val="00A267BA"/>
    <w:rsid w:val="00A268AC"/>
    <w:rsid w:val="00A26A77"/>
    <w:rsid w:val="00A26B4E"/>
    <w:rsid w:val="00A26D05"/>
    <w:rsid w:val="00A26D82"/>
    <w:rsid w:val="00A26DB5"/>
    <w:rsid w:val="00A26EEB"/>
    <w:rsid w:val="00A270C8"/>
    <w:rsid w:val="00A272A2"/>
    <w:rsid w:val="00A273EC"/>
    <w:rsid w:val="00A2756B"/>
    <w:rsid w:val="00A27629"/>
    <w:rsid w:val="00A2775A"/>
    <w:rsid w:val="00A27802"/>
    <w:rsid w:val="00A27919"/>
    <w:rsid w:val="00A27935"/>
    <w:rsid w:val="00A27B05"/>
    <w:rsid w:val="00A27CF8"/>
    <w:rsid w:val="00A3048E"/>
    <w:rsid w:val="00A304BC"/>
    <w:rsid w:val="00A304CE"/>
    <w:rsid w:val="00A3057B"/>
    <w:rsid w:val="00A305A9"/>
    <w:rsid w:val="00A3080B"/>
    <w:rsid w:val="00A30812"/>
    <w:rsid w:val="00A309C1"/>
    <w:rsid w:val="00A30CB8"/>
    <w:rsid w:val="00A30CC0"/>
    <w:rsid w:val="00A30D57"/>
    <w:rsid w:val="00A30DDF"/>
    <w:rsid w:val="00A311DB"/>
    <w:rsid w:val="00A31216"/>
    <w:rsid w:val="00A312EF"/>
    <w:rsid w:val="00A31305"/>
    <w:rsid w:val="00A313DC"/>
    <w:rsid w:val="00A31494"/>
    <w:rsid w:val="00A314A7"/>
    <w:rsid w:val="00A319A7"/>
    <w:rsid w:val="00A31B70"/>
    <w:rsid w:val="00A31CE3"/>
    <w:rsid w:val="00A31E14"/>
    <w:rsid w:val="00A31ECC"/>
    <w:rsid w:val="00A31FB0"/>
    <w:rsid w:val="00A32206"/>
    <w:rsid w:val="00A32222"/>
    <w:rsid w:val="00A322BC"/>
    <w:rsid w:val="00A324C3"/>
    <w:rsid w:val="00A324CE"/>
    <w:rsid w:val="00A32692"/>
    <w:rsid w:val="00A3269B"/>
    <w:rsid w:val="00A32757"/>
    <w:rsid w:val="00A32CEF"/>
    <w:rsid w:val="00A32D0D"/>
    <w:rsid w:val="00A32E37"/>
    <w:rsid w:val="00A32E59"/>
    <w:rsid w:val="00A32F40"/>
    <w:rsid w:val="00A32F58"/>
    <w:rsid w:val="00A33099"/>
    <w:rsid w:val="00A33320"/>
    <w:rsid w:val="00A333C6"/>
    <w:rsid w:val="00A33555"/>
    <w:rsid w:val="00A3355F"/>
    <w:rsid w:val="00A336E9"/>
    <w:rsid w:val="00A336F1"/>
    <w:rsid w:val="00A33A8B"/>
    <w:rsid w:val="00A33B6A"/>
    <w:rsid w:val="00A33B9C"/>
    <w:rsid w:val="00A33E15"/>
    <w:rsid w:val="00A33F24"/>
    <w:rsid w:val="00A3454C"/>
    <w:rsid w:val="00A346EE"/>
    <w:rsid w:val="00A3470C"/>
    <w:rsid w:val="00A3475E"/>
    <w:rsid w:val="00A34866"/>
    <w:rsid w:val="00A348A0"/>
    <w:rsid w:val="00A3496C"/>
    <w:rsid w:val="00A34981"/>
    <w:rsid w:val="00A34CB6"/>
    <w:rsid w:val="00A34EDC"/>
    <w:rsid w:val="00A34F1A"/>
    <w:rsid w:val="00A3522C"/>
    <w:rsid w:val="00A35275"/>
    <w:rsid w:val="00A3548A"/>
    <w:rsid w:val="00A35623"/>
    <w:rsid w:val="00A359E5"/>
    <w:rsid w:val="00A35A0A"/>
    <w:rsid w:val="00A35A78"/>
    <w:rsid w:val="00A35A9F"/>
    <w:rsid w:val="00A35B63"/>
    <w:rsid w:val="00A35D4F"/>
    <w:rsid w:val="00A35DC5"/>
    <w:rsid w:val="00A35F15"/>
    <w:rsid w:val="00A360D5"/>
    <w:rsid w:val="00A361E4"/>
    <w:rsid w:val="00A3628A"/>
    <w:rsid w:val="00A36594"/>
    <w:rsid w:val="00A3664A"/>
    <w:rsid w:val="00A36880"/>
    <w:rsid w:val="00A36C4F"/>
    <w:rsid w:val="00A36FB1"/>
    <w:rsid w:val="00A37204"/>
    <w:rsid w:val="00A3723C"/>
    <w:rsid w:val="00A37509"/>
    <w:rsid w:val="00A3756E"/>
    <w:rsid w:val="00A37810"/>
    <w:rsid w:val="00A37ADD"/>
    <w:rsid w:val="00A37BFD"/>
    <w:rsid w:val="00A402E4"/>
    <w:rsid w:val="00A402EC"/>
    <w:rsid w:val="00A40389"/>
    <w:rsid w:val="00A4062A"/>
    <w:rsid w:val="00A40682"/>
    <w:rsid w:val="00A40879"/>
    <w:rsid w:val="00A4092A"/>
    <w:rsid w:val="00A40993"/>
    <w:rsid w:val="00A40B86"/>
    <w:rsid w:val="00A40D65"/>
    <w:rsid w:val="00A40D83"/>
    <w:rsid w:val="00A40E82"/>
    <w:rsid w:val="00A40F25"/>
    <w:rsid w:val="00A4117C"/>
    <w:rsid w:val="00A41233"/>
    <w:rsid w:val="00A413B5"/>
    <w:rsid w:val="00A416C5"/>
    <w:rsid w:val="00A41BDE"/>
    <w:rsid w:val="00A41C24"/>
    <w:rsid w:val="00A41D7F"/>
    <w:rsid w:val="00A42003"/>
    <w:rsid w:val="00A42010"/>
    <w:rsid w:val="00A425C4"/>
    <w:rsid w:val="00A426BE"/>
    <w:rsid w:val="00A42960"/>
    <w:rsid w:val="00A42A63"/>
    <w:rsid w:val="00A42ACB"/>
    <w:rsid w:val="00A42B48"/>
    <w:rsid w:val="00A42BA8"/>
    <w:rsid w:val="00A42DC5"/>
    <w:rsid w:val="00A42DDE"/>
    <w:rsid w:val="00A42DFF"/>
    <w:rsid w:val="00A42E20"/>
    <w:rsid w:val="00A42EA0"/>
    <w:rsid w:val="00A42F77"/>
    <w:rsid w:val="00A43115"/>
    <w:rsid w:val="00A43207"/>
    <w:rsid w:val="00A43636"/>
    <w:rsid w:val="00A437A2"/>
    <w:rsid w:val="00A438F9"/>
    <w:rsid w:val="00A43A0C"/>
    <w:rsid w:val="00A43FA5"/>
    <w:rsid w:val="00A44018"/>
    <w:rsid w:val="00A440D1"/>
    <w:rsid w:val="00A44153"/>
    <w:rsid w:val="00A44159"/>
    <w:rsid w:val="00A444C4"/>
    <w:rsid w:val="00A445ED"/>
    <w:rsid w:val="00A44917"/>
    <w:rsid w:val="00A44A17"/>
    <w:rsid w:val="00A44BE9"/>
    <w:rsid w:val="00A44D12"/>
    <w:rsid w:val="00A44D3E"/>
    <w:rsid w:val="00A44E97"/>
    <w:rsid w:val="00A44EB1"/>
    <w:rsid w:val="00A450FD"/>
    <w:rsid w:val="00A453CE"/>
    <w:rsid w:val="00A453E4"/>
    <w:rsid w:val="00A4553D"/>
    <w:rsid w:val="00A4593E"/>
    <w:rsid w:val="00A45A4E"/>
    <w:rsid w:val="00A45B28"/>
    <w:rsid w:val="00A45CCE"/>
    <w:rsid w:val="00A45CD5"/>
    <w:rsid w:val="00A45CF8"/>
    <w:rsid w:val="00A45F14"/>
    <w:rsid w:val="00A45FA9"/>
    <w:rsid w:val="00A46006"/>
    <w:rsid w:val="00A46172"/>
    <w:rsid w:val="00A46213"/>
    <w:rsid w:val="00A4622D"/>
    <w:rsid w:val="00A4631F"/>
    <w:rsid w:val="00A46356"/>
    <w:rsid w:val="00A463AB"/>
    <w:rsid w:val="00A4646B"/>
    <w:rsid w:val="00A464FC"/>
    <w:rsid w:val="00A465A3"/>
    <w:rsid w:val="00A467BB"/>
    <w:rsid w:val="00A467F0"/>
    <w:rsid w:val="00A46859"/>
    <w:rsid w:val="00A46D4C"/>
    <w:rsid w:val="00A46E2A"/>
    <w:rsid w:val="00A46F98"/>
    <w:rsid w:val="00A47051"/>
    <w:rsid w:val="00A47086"/>
    <w:rsid w:val="00A470AC"/>
    <w:rsid w:val="00A471E4"/>
    <w:rsid w:val="00A4736E"/>
    <w:rsid w:val="00A473F7"/>
    <w:rsid w:val="00A474EE"/>
    <w:rsid w:val="00A475AB"/>
    <w:rsid w:val="00A475BD"/>
    <w:rsid w:val="00A47831"/>
    <w:rsid w:val="00A478E4"/>
    <w:rsid w:val="00A4790A"/>
    <w:rsid w:val="00A479B7"/>
    <w:rsid w:val="00A479CC"/>
    <w:rsid w:val="00A47A42"/>
    <w:rsid w:val="00A47AE1"/>
    <w:rsid w:val="00A47B88"/>
    <w:rsid w:val="00A47DFD"/>
    <w:rsid w:val="00A47EDE"/>
    <w:rsid w:val="00A47F6B"/>
    <w:rsid w:val="00A501F9"/>
    <w:rsid w:val="00A50275"/>
    <w:rsid w:val="00A50433"/>
    <w:rsid w:val="00A506A4"/>
    <w:rsid w:val="00A5079A"/>
    <w:rsid w:val="00A5086C"/>
    <w:rsid w:val="00A5087E"/>
    <w:rsid w:val="00A509FE"/>
    <w:rsid w:val="00A50B71"/>
    <w:rsid w:val="00A50E17"/>
    <w:rsid w:val="00A50F2F"/>
    <w:rsid w:val="00A51179"/>
    <w:rsid w:val="00A51275"/>
    <w:rsid w:val="00A51374"/>
    <w:rsid w:val="00A513D0"/>
    <w:rsid w:val="00A51501"/>
    <w:rsid w:val="00A5169C"/>
    <w:rsid w:val="00A5187D"/>
    <w:rsid w:val="00A518F1"/>
    <w:rsid w:val="00A51A68"/>
    <w:rsid w:val="00A51E5F"/>
    <w:rsid w:val="00A51E79"/>
    <w:rsid w:val="00A51FA7"/>
    <w:rsid w:val="00A51FFA"/>
    <w:rsid w:val="00A520EB"/>
    <w:rsid w:val="00A521B0"/>
    <w:rsid w:val="00A5253C"/>
    <w:rsid w:val="00A526F0"/>
    <w:rsid w:val="00A52836"/>
    <w:rsid w:val="00A528E2"/>
    <w:rsid w:val="00A5299D"/>
    <w:rsid w:val="00A529EA"/>
    <w:rsid w:val="00A52AFA"/>
    <w:rsid w:val="00A52BBB"/>
    <w:rsid w:val="00A52CC9"/>
    <w:rsid w:val="00A52E25"/>
    <w:rsid w:val="00A52EAB"/>
    <w:rsid w:val="00A52FF6"/>
    <w:rsid w:val="00A5305D"/>
    <w:rsid w:val="00A534AD"/>
    <w:rsid w:val="00A5353D"/>
    <w:rsid w:val="00A535F6"/>
    <w:rsid w:val="00A536F4"/>
    <w:rsid w:val="00A53863"/>
    <w:rsid w:val="00A53887"/>
    <w:rsid w:val="00A538EE"/>
    <w:rsid w:val="00A5394D"/>
    <w:rsid w:val="00A539D3"/>
    <w:rsid w:val="00A53B53"/>
    <w:rsid w:val="00A53B87"/>
    <w:rsid w:val="00A53EFE"/>
    <w:rsid w:val="00A53FBC"/>
    <w:rsid w:val="00A540CB"/>
    <w:rsid w:val="00A5431E"/>
    <w:rsid w:val="00A54378"/>
    <w:rsid w:val="00A543AF"/>
    <w:rsid w:val="00A543EB"/>
    <w:rsid w:val="00A545B4"/>
    <w:rsid w:val="00A547E8"/>
    <w:rsid w:val="00A54919"/>
    <w:rsid w:val="00A54B0F"/>
    <w:rsid w:val="00A54C5A"/>
    <w:rsid w:val="00A54CD1"/>
    <w:rsid w:val="00A54E75"/>
    <w:rsid w:val="00A54EDF"/>
    <w:rsid w:val="00A551A3"/>
    <w:rsid w:val="00A551B5"/>
    <w:rsid w:val="00A5520C"/>
    <w:rsid w:val="00A55271"/>
    <w:rsid w:val="00A552E6"/>
    <w:rsid w:val="00A5545C"/>
    <w:rsid w:val="00A55705"/>
    <w:rsid w:val="00A55729"/>
    <w:rsid w:val="00A557D8"/>
    <w:rsid w:val="00A558BB"/>
    <w:rsid w:val="00A55967"/>
    <w:rsid w:val="00A55970"/>
    <w:rsid w:val="00A55F85"/>
    <w:rsid w:val="00A55FDB"/>
    <w:rsid w:val="00A5614E"/>
    <w:rsid w:val="00A56223"/>
    <w:rsid w:val="00A56418"/>
    <w:rsid w:val="00A56506"/>
    <w:rsid w:val="00A56578"/>
    <w:rsid w:val="00A5672B"/>
    <w:rsid w:val="00A5679D"/>
    <w:rsid w:val="00A56AFF"/>
    <w:rsid w:val="00A56B27"/>
    <w:rsid w:val="00A56B89"/>
    <w:rsid w:val="00A56C06"/>
    <w:rsid w:val="00A56CF1"/>
    <w:rsid w:val="00A56E5C"/>
    <w:rsid w:val="00A56F0D"/>
    <w:rsid w:val="00A56F27"/>
    <w:rsid w:val="00A56F83"/>
    <w:rsid w:val="00A56FD7"/>
    <w:rsid w:val="00A57143"/>
    <w:rsid w:val="00A57146"/>
    <w:rsid w:val="00A5728B"/>
    <w:rsid w:val="00A5751E"/>
    <w:rsid w:val="00A57643"/>
    <w:rsid w:val="00A57717"/>
    <w:rsid w:val="00A57741"/>
    <w:rsid w:val="00A57C4C"/>
    <w:rsid w:val="00A57D8A"/>
    <w:rsid w:val="00A57F4A"/>
    <w:rsid w:val="00A605A5"/>
    <w:rsid w:val="00A60678"/>
    <w:rsid w:val="00A606E5"/>
    <w:rsid w:val="00A607C9"/>
    <w:rsid w:val="00A607DC"/>
    <w:rsid w:val="00A607FD"/>
    <w:rsid w:val="00A6081A"/>
    <w:rsid w:val="00A608B9"/>
    <w:rsid w:val="00A608E4"/>
    <w:rsid w:val="00A609D8"/>
    <w:rsid w:val="00A60A63"/>
    <w:rsid w:val="00A60ABF"/>
    <w:rsid w:val="00A60B80"/>
    <w:rsid w:val="00A60BFA"/>
    <w:rsid w:val="00A60C95"/>
    <w:rsid w:val="00A60CB7"/>
    <w:rsid w:val="00A60CD9"/>
    <w:rsid w:val="00A60E0A"/>
    <w:rsid w:val="00A60EB0"/>
    <w:rsid w:val="00A60F3E"/>
    <w:rsid w:val="00A6106C"/>
    <w:rsid w:val="00A6117B"/>
    <w:rsid w:val="00A612E8"/>
    <w:rsid w:val="00A61306"/>
    <w:rsid w:val="00A6135D"/>
    <w:rsid w:val="00A61450"/>
    <w:rsid w:val="00A614B3"/>
    <w:rsid w:val="00A616EC"/>
    <w:rsid w:val="00A617E1"/>
    <w:rsid w:val="00A619C9"/>
    <w:rsid w:val="00A61A72"/>
    <w:rsid w:val="00A61B1D"/>
    <w:rsid w:val="00A61B74"/>
    <w:rsid w:val="00A620D0"/>
    <w:rsid w:val="00A62152"/>
    <w:rsid w:val="00A6216B"/>
    <w:rsid w:val="00A6221F"/>
    <w:rsid w:val="00A627E9"/>
    <w:rsid w:val="00A62803"/>
    <w:rsid w:val="00A6283E"/>
    <w:rsid w:val="00A62A89"/>
    <w:rsid w:val="00A62ABD"/>
    <w:rsid w:val="00A62CEE"/>
    <w:rsid w:val="00A62D19"/>
    <w:rsid w:val="00A62DC6"/>
    <w:rsid w:val="00A62FF3"/>
    <w:rsid w:val="00A6320B"/>
    <w:rsid w:val="00A63952"/>
    <w:rsid w:val="00A63C0E"/>
    <w:rsid w:val="00A63C96"/>
    <w:rsid w:val="00A63D1C"/>
    <w:rsid w:val="00A63E14"/>
    <w:rsid w:val="00A63EB9"/>
    <w:rsid w:val="00A6425D"/>
    <w:rsid w:val="00A64338"/>
    <w:rsid w:val="00A643BB"/>
    <w:rsid w:val="00A64424"/>
    <w:rsid w:val="00A645FC"/>
    <w:rsid w:val="00A64651"/>
    <w:rsid w:val="00A64869"/>
    <w:rsid w:val="00A6486D"/>
    <w:rsid w:val="00A6488B"/>
    <w:rsid w:val="00A64A2A"/>
    <w:rsid w:val="00A64BF8"/>
    <w:rsid w:val="00A64CF3"/>
    <w:rsid w:val="00A64D03"/>
    <w:rsid w:val="00A64FA1"/>
    <w:rsid w:val="00A65028"/>
    <w:rsid w:val="00A65085"/>
    <w:rsid w:val="00A651BF"/>
    <w:rsid w:val="00A651FC"/>
    <w:rsid w:val="00A65426"/>
    <w:rsid w:val="00A654F2"/>
    <w:rsid w:val="00A6563D"/>
    <w:rsid w:val="00A65857"/>
    <w:rsid w:val="00A65A68"/>
    <w:rsid w:val="00A65C6C"/>
    <w:rsid w:val="00A65C98"/>
    <w:rsid w:val="00A66397"/>
    <w:rsid w:val="00A6652A"/>
    <w:rsid w:val="00A669C6"/>
    <w:rsid w:val="00A66A4A"/>
    <w:rsid w:val="00A66C46"/>
    <w:rsid w:val="00A66CD0"/>
    <w:rsid w:val="00A67146"/>
    <w:rsid w:val="00A671D8"/>
    <w:rsid w:val="00A6725C"/>
    <w:rsid w:val="00A67290"/>
    <w:rsid w:val="00A672EA"/>
    <w:rsid w:val="00A67389"/>
    <w:rsid w:val="00A673AA"/>
    <w:rsid w:val="00A67614"/>
    <w:rsid w:val="00A67727"/>
    <w:rsid w:val="00A677DC"/>
    <w:rsid w:val="00A6795E"/>
    <w:rsid w:val="00A67997"/>
    <w:rsid w:val="00A67A52"/>
    <w:rsid w:val="00A67C6B"/>
    <w:rsid w:val="00A67C97"/>
    <w:rsid w:val="00A67DB7"/>
    <w:rsid w:val="00A7002B"/>
    <w:rsid w:val="00A70058"/>
    <w:rsid w:val="00A70064"/>
    <w:rsid w:val="00A70096"/>
    <w:rsid w:val="00A702E3"/>
    <w:rsid w:val="00A703D5"/>
    <w:rsid w:val="00A703DB"/>
    <w:rsid w:val="00A704E5"/>
    <w:rsid w:val="00A7055C"/>
    <w:rsid w:val="00A70702"/>
    <w:rsid w:val="00A70756"/>
    <w:rsid w:val="00A707BF"/>
    <w:rsid w:val="00A70B47"/>
    <w:rsid w:val="00A70B90"/>
    <w:rsid w:val="00A70C38"/>
    <w:rsid w:val="00A70C62"/>
    <w:rsid w:val="00A70CA6"/>
    <w:rsid w:val="00A70CDA"/>
    <w:rsid w:val="00A70EF8"/>
    <w:rsid w:val="00A710D8"/>
    <w:rsid w:val="00A715E6"/>
    <w:rsid w:val="00A71650"/>
    <w:rsid w:val="00A71735"/>
    <w:rsid w:val="00A717A6"/>
    <w:rsid w:val="00A71AD7"/>
    <w:rsid w:val="00A71F14"/>
    <w:rsid w:val="00A72142"/>
    <w:rsid w:val="00A7218E"/>
    <w:rsid w:val="00A722F5"/>
    <w:rsid w:val="00A72369"/>
    <w:rsid w:val="00A723B3"/>
    <w:rsid w:val="00A723C5"/>
    <w:rsid w:val="00A72601"/>
    <w:rsid w:val="00A72746"/>
    <w:rsid w:val="00A727CC"/>
    <w:rsid w:val="00A727EC"/>
    <w:rsid w:val="00A729A4"/>
    <w:rsid w:val="00A72A53"/>
    <w:rsid w:val="00A72A59"/>
    <w:rsid w:val="00A72BDA"/>
    <w:rsid w:val="00A72BEA"/>
    <w:rsid w:val="00A72FE1"/>
    <w:rsid w:val="00A7304C"/>
    <w:rsid w:val="00A73073"/>
    <w:rsid w:val="00A7325D"/>
    <w:rsid w:val="00A732C8"/>
    <w:rsid w:val="00A73556"/>
    <w:rsid w:val="00A73829"/>
    <w:rsid w:val="00A73C1F"/>
    <w:rsid w:val="00A73C60"/>
    <w:rsid w:val="00A73DC3"/>
    <w:rsid w:val="00A73E34"/>
    <w:rsid w:val="00A73E74"/>
    <w:rsid w:val="00A743DA"/>
    <w:rsid w:val="00A74595"/>
    <w:rsid w:val="00A7476F"/>
    <w:rsid w:val="00A74826"/>
    <w:rsid w:val="00A748AB"/>
    <w:rsid w:val="00A74BB9"/>
    <w:rsid w:val="00A74CCF"/>
    <w:rsid w:val="00A74E36"/>
    <w:rsid w:val="00A75083"/>
    <w:rsid w:val="00A7525A"/>
    <w:rsid w:val="00A75746"/>
    <w:rsid w:val="00A757E3"/>
    <w:rsid w:val="00A759D3"/>
    <w:rsid w:val="00A75C37"/>
    <w:rsid w:val="00A75EA7"/>
    <w:rsid w:val="00A75ECA"/>
    <w:rsid w:val="00A76039"/>
    <w:rsid w:val="00A762A8"/>
    <w:rsid w:val="00A76706"/>
    <w:rsid w:val="00A76721"/>
    <w:rsid w:val="00A7676D"/>
    <w:rsid w:val="00A76880"/>
    <w:rsid w:val="00A768AE"/>
    <w:rsid w:val="00A76B13"/>
    <w:rsid w:val="00A76B3C"/>
    <w:rsid w:val="00A76CEF"/>
    <w:rsid w:val="00A76E44"/>
    <w:rsid w:val="00A76ED9"/>
    <w:rsid w:val="00A770C3"/>
    <w:rsid w:val="00A772FC"/>
    <w:rsid w:val="00A7730A"/>
    <w:rsid w:val="00A777A0"/>
    <w:rsid w:val="00A7780F"/>
    <w:rsid w:val="00A77EB1"/>
    <w:rsid w:val="00A8009C"/>
    <w:rsid w:val="00A801A2"/>
    <w:rsid w:val="00A802D6"/>
    <w:rsid w:val="00A802F8"/>
    <w:rsid w:val="00A80640"/>
    <w:rsid w:val="00A807D8"/>
    <w:rsid w:val="00A809AC"/>
    <w:rsid w:val="00A809BB"/>
    <w:rsid w:val="00A80D61"/>
    <w:rsid w:val="00A810CB"/>
    <w:rsid w:val="00A81745"/>
    <w:rsid w:val="00A8179A"/>
    <w:rsid w:val="00A817AA"/>
    <w:rsid w:val="00A81921"/>
    <w:rsid w:val="00A81928"/>
    <w:rsid w:val="00A819BA"/>
    <w:rsid w:val="00A819BF"/>
    <w:rsid w:val="00A81A87"/>
    <w:rsid w:val="00A81C82"/>
    <w:rsid w:val="00A82123"/>
    <w:rsid w:val="00A82306"/>
    <w:rsid w:val="00A82307"/>
    <w:rsid w:val="00A82340"/>
    <w:rsid w:val="00A82353"/>
    <w:rsid w:val="00A82384"/>
    <w:rsid w:val="00A824B7"/>
    <w:rsid w:val="00A824F1"/>
    <w:rsid w:val="00A828D8"/>
    <w:rsid w:val="00A82B03"/>
    <w:rsid w:val="00A82BC9"/>
    <w:rsid w:val="00A82CE7"/>
    <w:rsid w:val="00A82E49"/>
    <w:rsid w:val="00A82EDB"/>
    <w:rsid w:val="00A83015"/>
    <w:rsid w:val="00A83149"/>
    <w:rsid w:val="00A8319E"/>
    <w:rsid w:val="00A831A9"/>
    <w:rsid w:val="00A831CC"/>
    <w:rsid w:val="00A832AA"/>
    <w:rsid w:val="00A83342"/>
    <w:rsid w:val="00A83525"/>
    <w:rsid w:val="00A837FB"/>
    <w:rsid w:val="00A83899"/>
    <w:rsid w:val="00A838D9"/>
    <w:rsid w:val="00A83A16"/>
    <w:rsid w:val="00A83A76"/>
    <w:rsid w:val="00A83A79"/>
    <w:rsid w:val="00A83E48"/>
    <w:rsid w:val="00A83FAA"/>
    <w:rsid w:val="00A841DA"/>
    <w:rsid w:val="00A84205"/>
    <w:rsid w:val="00A842A9"/>
    <w:rsid w:val="00A84379"/>
    <w:rsid w:val="00A84439"/>
    <w:rsid w:val="00A84467"/>
    <w:rsid w:val="00A84738"/>
    <w:rsid w:val="00A8476C"/>
    <w:rsid w:val="00A8476E"/>
    <w:rsid w:val="00A847D8"/>
    <w:rsid w:val="00A848E0"/>
    <w:rsid w:val="00A84932"/>
    <w:rsid w:val="00A84943"/>
    <w:rsid w:val="00A84AD7"/>
    <w:rsid w:val="00A84CD4"/>
    <w:rsid w:val="00A84CE3"/>
    <w:rsid w:val="00A84D7F"/>
    <w:rsid w:val="00A84DAD"/>
    <w:rsid w:val="00A84EEE"/>
    <w:rsid w:val="00A84F2D"/>
    <w:rsid w:val="00A84FD0"/>
    <w:rsid w:val="00A8521C"/>
    <w:rsid w:val="00A85576"/>
    <w:rsid w:val="00A855C3"/>
    <w:rsid w:val="00A85756"/>
    <w:rsid w:val="00A85845"/>
    <w:rsid w:val="00A85878"/>
    <w:rsid w:val="00A8589B"/>
    <w:rsid w:val="00A85951"/>
    <w:rsid w:val="00A85D32"/>
    <w:rsid w:val="00A86009"/>
    <w:rsid w:val="00A86151"/>
    <w:rsid w:val="00A863CA"/>
    <w:rsid w:val="00A863D4"/>
    <w:rsid w:val="00A86511"/>
    <w:rsid w:val="00A866FD"/>
    <w:rsid w:val="00A8698C"/>
    <w:rsid w:val="00A869D2"/>
    <w:rsid w:val="00A86A02"/>
    <w:rsid w:val="00A86D8D"/>
    <w:rsid w:val="00A86DCF"/>
    <w:rsid w:val="00A86F4A"/>
    <w:rsid w:val="00A86F78"/>
    <w:rsid w:val="00A87063"/>
    <w:rsid w:val="00A8735A"/>
    <w:rsid w:val="00A87507"/>
    <w:rsid w:val="00A876AF"/>
    <w:rsid w:val="00A87888"/>
    <w:rsid w:val="00A878B5"/>
    <w:rsid w:val="00A8797D"/>
    <w:rsid w:val="00A87A01"/>
    <w:rsid w:val="00A87A55"/>
    <w:rsid w:val="00A87A9F"/>
    <w:rsid w:val="00A87CD2"/>
    <w:rsid w:val="00A87E9F"/>
    <w:rsid w:val="00A87FBA"/>
    <w:rsid w:val="00A90216"/>
    <w:rsid w:val="00A90240"/>
    <w:rsid w:val="00A90303"/>
    <w:rsid w:val="00A9045F"/>
    <w:rsid w:val="00A90519"/>
    <w:rsid w:val="00A90574"/>
    <w:rsid w:val="00A905BC"/>
    <w:rsid w:val="00A905FB"/>
    <w:rsid w:val="00A906AF"/>
    <w:rsid w:val="00A90730"/>
    <w:rsid w:val="00A9089A"/>
    <w:rsid w:val="00A90AC1"/>
    <w:rsid w:val="00A90B30"/>
    <w:rsid w:val="00A90B90"/>
    <w:rsid w:val="00A90C25"/>
    <w:rsid w:val="00A90D11"/>
    <w:rsid w:val="00A90DC1"/>
    <w:rsid w:val="00A90F3F"/>
    <w:rsid w:val="00A91408"/>
    <w:rsid w:val="00A91478"/>
    <w:rsid w:val="00A9147F"/>
    <w:rsid w:val="00A91738"/>
    <w:rsid w:val="00A9192A"/>
    <w:rsid w:val="00A91A65"/>
    <w:rsid w:val="00A91AEA"/>
    <w:rsid w:val="00A91B97"/>
    <w:rsid w:val="00A91BA1"/>
    <w:rsid w:val="00A91F9B"/>
    <w:rsid w:val="00A91FB9"/>
    <w:rsid w:val="00A91FDA"/>
    <w:rsid w:val="00A920CB"/>
    <w:rsid w:val="00A922E0"/>
    <w:rsid w:val="00A92442"/>
    <w:rsid w:val="00A9247B"/>
    <w:rsid w:val="00A926FC"/>
    <w:rsid w:val="00A928BA"/>
    <w:rsid w:val="00A928D9"/>
    <w:rsid w:val="00A929A3"/>
    <w:rsid w:val="00A929A7"/>
    <w:rsid w:val="00A929D4"/>
    <w:rsid w:val="00A92A65"/>
    <w:rsid w:val="00A92A66"/>
    <w:rsid w:val="00A92C69"/>
    <w:rsid w:val="00A92DB5"/>
    <w:rsid w:val="00A92DF4"/>
    <w:rsid w:val="00A92DF6"/>
    <w:rsid w:val="00A92E5A"/>
    <w:rsid w:val="00A92FED"/>
    <w:rsid w:val="00A93058"/>
    <w:rsid w:val="00A930B9"/>
    <w:rsid w:val="00A9314F"/>
    <w:rsid w:val="00A93415"/>
    <w:rsid w:val="00A9368C"/>
    <w:rsid w:val="00A936CE"/>
    <w:rsid w:val="00A9385C"/>
    <w:rsid w:val="00A93A32"/>
    <w:rsid w:val="00A93B09"/>
    <w:rsid w:val="00A93EB1"/>
    <w:rsid w:val="00A93F60"/>
    <w:rsid w:val="00A9414F"/>
    <w:rsid w:val="00A941D7"/>
    <w:rsid w:val="00A9420E"/>
    <w:rsid w:val="00A94247"/>
    <w:rsid w:val="00A9427F"/>
    <w:rsid w:val="00A942FB"/>
    <w:rsid w:val="00A943D1"/>
    <w:rsid w:val="00A94529"/>
    <w:rsid w:val="00A9453A"/>
    <w:rsid w:val="00A94568"/>
    <w:rsid w:val="00A946EB"/>
    <w:rsid w:val="00A947AA"/>
    <w:rsid w:val="00A949E8"/>
    <w:rsid w:val="00A94B0D"/>
    <w:rsid w:val="00A94B9C"/>
    <w:rsid w:val="00A94CE3"/>
    <w:rsid w:val="00A94DE6"/>
    <w:rsid w:val="00A94E82"/>
    <w:rsid w:val="00A94F70"/>
    <w:rsid w:val="00A94FBD"/>
    <w:rsid w:val="00A951EB"/>
    <w:rsid w:val="00A9522E"/>
    <w:rsid w:val="00A9555B"/>
    <w:rsid w:val="00A95B09"/>
    <w:rsid w:val="00A95BB1"/>
    <w:rsid w:val="00A95BBD"/>
    <w:rsid w:val="00A95C56"/>
    <w:rsid w:val="00A95FE6"/>
    <w:rsid w:val="00A962F3"/>
    <w:rsid w:val="00A96346"/>
    <w:rsid w:val="00A96449"/>
    <w:rsid w:val="00A964C0"/>
    <w:rsid w:val="00A96654"/>
    <w:rsid w:val="00A96660"/>
    <w:rsid w:val="00A9668D"/>
    <w:rsid w:val="00A96742"/>
    <w:rsid w:val="00A9698B"/>
    <w:rsid w:val="00A96E02"/>
    <w:rsid w:val="00A97131"/>
    <w:rsid w:val="00A97153"/>
    <w:rsid w:val="00A974A0"/>
    <w:rsid w:val="00A976AD"/>
    <w:rsid w:val="00A976F5"/>
    <w:rsid w:val="00A97A4A"/>
    <w:rsid w:val="00A97B83"/>
    <w:rsid w:val="00A97E85"/>
    <w:rsid w:val="00A97F28"/>
    <w:rsid w:val="00A97F80"/>
    <w:rsid w:val="00AA008E"/>
    <w:rsid w:val="00AA0184"/>
    <w:rsid w:val="00AA020F"/>
    <w:rsid w:val="00AA027F"/>
    <w:rsid w:val="00AA02E4"/>
    <w:rsid w:val="00AA02E8"/>
    <w:rsid w:val="00AA0329"/>
    <w:rsid w:val="00AA0380"/>
    <w:rsid w:val="00AA04FB"/>
    <w:rsid w:val="00AA0592"/>
    <w:rsid w:val="00AA07BD"/>
    <w:rsid w:val="00AA08CB"/>
    <w:rsid w:val="00AA0E4B"/>
    <w:rsid w:val="00AA0E96"/>
    <w:rsid w:val="00AA0EA2"/>
    <w:rsid w:val="00AA0FA9"/>
    <w:rsid w:val="00AA108F"/>
    <w:rsid w:val="00AA115D"/>
    <w:rsid w:val="00AA119C"/>
    <w:rsid w:val="00AA1307"/>
    <w:rsid w:val="00AA1315"/>
    <w:rsid w:val="00AA14AE"/>
    <w:rsid w:val="00AA14FB"/>
    <w:rsid w:val="00AA1654"/>
    <w:rsid w:val="00AA1827"/>
    <w:rsid w:val="00AA1A35"/>
    <w:rsid w:val="00AA1B6F"/>
    <w:rsid w:val="00AA1D77"/>
    <w:rsid w:val="00AA202F"/>
    <w:rsid w:val="00AA207A"/>
    <w:rsid w:val="00AA20EB"/>
    <w:rsid w:val="00AA211C"/>
    <w:rsid w:val="00AA21CC"/>
    <w:rsid w:val="00AA21EE"/>
    <w:rsid w:val="00AA22B7"/>
    <w:rsid w:val="00AA23E4"/>
    <w:rsid w:val="00AA2469"/>
    <w:rsid w:val="00AA263C"/>
    <w:rsid w:val="00AA2651"/>
    <w:rsid w:val="00AA2726"/>
    <w:rsid w:val="00AA2961"/>
    <w:rsid w:val="00AA2C8F"/>
    <w:rsid w:val="00AA2F97"/>
    <w:rsid w:val="00AA2FA7"/>
    <w:rsid w:val="00AA2FDB"/>
    <w:rsid w:val="00AA3049"/>
    <w:rsid w:val="00AA31BC"/>
    <w:rsid w:val="00AA3246"/>
    <w:rsid w:val="00AA3281"/>
    <w:rsid w:val="00AA32F0"/>
    <w:rsid w:val="00AA349C"/>
    <w:rsid w:val="00AA34B7"/>
    <w:rsid w:val="00AA3654"/>
    <w:rsid w:val="00AA399D"/>
    <w:rsid w:val="00AA39B5"/>
    <w:rsid w:val="00AA39F0"/>
    <w:rsid w:val="00AA4009"/>
    <w:rsid w:val="00AA424F"/>
    <w:rsid w:val="00AA46A7"/>
    <w:rsid w:val="00AA478B"/>
    <w:rsid w:val="00AA48C9"/>
    <w:rsid w:val="00AA495B"/>
    <w:rsid w:val="00AA4A00"/>
    <w:rsid w:val="00AA4A15"/>
    <w:rsid w:val="00AA4AFD"/>
    <w:rsid w:val="00AA4BD1"/>
    <w:rsid w:val="00AA4C35"/>
    <w:rsid w:val="00AA4E16"/>
    <w:rsid w:val="00AA5017"/>
    <w:rsid w:val="00AA514D"/>
    <w:rsid w:val="00AA5229"/>
    <w:rsid w:val="00AA5439"/>
    <w:rsid w:val="00AA5AAC"/>
    <w:rsid w:val="00AA5B8B"/>
    <w:rsid w:val="00AA5B90"/>
    <w:rsid w:val="00AA5F0D"/>
    <w:rsid w:val="00AA5F49"/>
    <w:rsid w:val="00AA6208"/>
    <w:rsid w:val="00AA6243"/>
    <w:rsid w:val="00AA638D"/>
    <w:rsid w:val="00AA6434"/>
    <w:rsid w:val="00AA645E"/>
    <w:rsid w:val="00AA648B"/>
    <w:rsid w:val="00AA64E0"/>
    <w:rsid w:val="00AA6632"/>
    <w:rsid w:val="00AA66E7"/>
    <w:rsid w:val="00AA6955"/>
    <w:rsid w:val="00AA69A1"/>
    <w:rsid w:val="00AA6A00"/>
    <w:rsid w:val="00AA6A5E"/>
    <w:rsid w:val="00AA6BDB"/>
    <w:rsid w:val="00AA6C76"/>
    <w:rsid w:val="00AA6CE5"/>
    <w:rsid w:val="00AA6E5E"/>
    <w:rsid w:val="00AA6FA1"/>
    <w:rsid w:val="00AA6FE5"/>
    <w:rsid w:val="00AA7184"/>
    <w:rsid w:val="00AA71C6"/>
    <w:rsid w:val="00AA71CA"/>
    <w:rsid w:val="00AA71F1"/>
    <w:rsid w:val="00AA7222"/>
    <w:rsid w:val="00AA774F"/>
    <w:rsid w:val="00AA7894"/>
    <w:rsid w:val="00AA79E7"/>
    <w:rsid w:val="00AA7A41"/>
    <w:rsid w:val="00AA7B91"/>
    <w:rsid w:val="00AA7C9F"/>
    <w:rsid w:val="00AA7EDD"/>
    <w:rsid w:val="00AB00C0"/>
    <w:rsid w:val="00AB0266"/>
    <w:rsid w:val="00AB02C2"/>
    <w:rsid w:val="00AB035E"/>
    <w:rsid w:val="00AB05ED"/>
    <w:rsid w:val="00AB06CA"/>
    <w:rsid w:val="00AB0704"/>
    <w:rsid w:val="00AB071E"/>
    <w:rsid w:val="00AB099A"/>
    <w:rsid w:val="00AB09BC"/>
    <w:rsid w:val="00AB0AD5"/>
    <w:rsid w:val="00AB0B05"/>
    <w:rsid w:val="00AB0D7E"/>
    <w:rsid w:val="00AB145C"/>
    <w:rsid w:val="00AB1609"/>
    <w:rsid w:val="00AB165B"/>
    <w:rsid w:val="00AB1721"/>
    <w:rsid w:val="00AB19AB"/>
    <w:rsid w:val="00AB1D5B"/>
    <w:rsid w:val="00AB20AA"/>
    <w:rsid w:val="00AB221E"/>
    <w:rsid w:val="00AB2501"/>
    <w:rsid w:val="00AB25D1"/>
    <w:rsid w:val="00AB2696"/>
    <w:rsid w:val="00AB2789"/>
    <w:rsid w:val="00AB287D"/>
    <w:rsid w:val="00AB2901"/>
    <w:rsid w:val="00AB29D8"/>
    <w:rsid w:val="00AB2A4D"/>
    <w:rsid w:val="00AB2C85"/>
    <w:rsid w:val="00AB2E1B"/>
    <w:rsid w:val="00AB2EE6"/>
    <w:rsid w:val="00AB2F10"/>
    <w:rsid w:val="00AB2F1E"/>
    <w:rsid w:val="00AB30B5"/>
    <w:rsid w:val="00AB31FF"/>
    <w:rsid w:val="00AB321A"/>
    <w:rsid w:val="00AB3272"/>
    <w:rsid w:val="00AB32D4"/>
    <w:rsid w:val="00AB33EE"/>
    <w:rsid w:val="00AB3407"/>
    <w:rsid w:val="00AB344F"/>
    <w:rsid w:val="00AB3536"/>
    <w:rsid w:val="00AB37BA"/>
    <w:rsid w:val="00AB3A59"/>
    <w:rsid w:val="00AB3CC1"/>
    <w:rsid w:val="00AB3F42"/>
    <w:rsid w:val="00AB4370"/>
    <w:rsid w:val="00AB452F"/>
    <w:rsid w:val="00AB496F"/>
    <w:rsid w:val="00AB4B15"/>
    <w:rsid w:val="00AB4B97"/>
    <w:rsid w:val="00AB4BB0"/>
    <w:rsid w:val="00AB4D1B"/>
    <w:rsid w:val="00AB4D5A"/>
    <w:rsid w:val="00AB4DB4"/>
    <w:rsid w:val="00AB4E56"/>
    <w:rsid w:val="00AB4FAB"/>
    <w:rsid w:val="00AB4FDB"/>
    <w:rsid w:val="00AB5213"/>
    <w:rsid w:val="00AB525B"/>
    <w:rsid w:val="00AB528B"/>
    <w:rsid w:val="00AB52B4"/>
    <w:rsid w:val="00AB5435"/>
    <w:rsid w:val="00AB5522"/>
    <w:rsid w:val="00AB553D"/>
    <w:rsid w:val="00AB575A"/>
    <w:rsid w:val="00AB5793"/>
    <w:rsid w:val="00AB5872"/>
    <w:rsid w:val="00AB5C12"/>
    <w:rsid w:val="00AB5DB8"/>
    <w:rsid w:val="00AB5E51"/>
    <w:rsid w:val="00AB617D"/>
    <w:rsid w:val="00AB61E1"/>
    <w:rsid w:val="00AB61FA"/>
    <w:rsid w:val="00AB63E2"/>
    <w:rsid w:val="00AB63E5"/>
    <w:rsid w:val="00AB6459"/>
    <w:rsid w:val="00AB67D4"/>
    <w:rsid w:val="00AB681A"/>
    <w:rsid w:val="00AB6B46"/>
    <w:rsid w:val="00AB6D1C"/>
    <w:rsid w:val="00AB6D45"/>
    <w:rsid w:val="00AB6FBA"/>
    <w:rsid w:val="00AB7209"/>
    <w:rsid w:val="00AB728C"/>
    <w:rsid w:val="00AB7343"/>
    <w:rsid w:val="00AB75CB"/>
    <w:rsid w:val="00AB7718"/>
    <w:rsid w:val="00AB774A"/>
    <w:rsid w:val="00AB77F7"/>
    <w:rsid w:val="00AB797C"/>
    <w:rsid w:val="00AB7A0B"/>
    <w:rsid w:val="00AB7C34"/>
    <w:rsid w:val="00AB7DAD"/>
    <w:rsid w:val="00AB7E7F"/>
    <w:rsid w:val="00AC0072"/>
    <w:rsid w:val="00AC0333"/>
    <w:rsid w:val="00AC04F2"/>
    <w:rsid w:val="00AC08C2"/>
    <w:rsid w:val="00AC08DE"/>
    <w:rsid w:val="00AC0C16"/>
    <w:rsid w:val="00AC0D6F"/>
    <w:rsid w:val="00AC0E18"/>
    <w:rsid w:val="00AC120A"/>
    <w:rsid w:val="00AC15CB"/>
    <w:rsid w:val="00AC168A"/>
    <w:rsid w:val="00AC17A4"/>
    <w:rsid w:val="00AC186A"/>
    <w:rsid w:val="00AC1924"/>
    <w:rsid w:val="00AC1B68"/>
    <w:rsid w:val="00AC1FA2"/>
    <w:rsid w:val="00AC20A3"/>
    <w:rsid w:val="00AC21C1"/>
    <w:rsid w:val="00AC220A"/>
    <w:rsid w:val="00AC232F"/>
    <w:rsid w:val="00AC24AB"/>
    <w:rsid w:val="00AC2655"/>
    <w:rsid w:val="00AC26D9"/>
    <w:rsid w:val="00AC28B8"/>
    <w:rsid w:val="00AC2A73"/>
    <w:rsid w:val="00AC2AB4"/>
    <w:rsid w:val="00AC2B20"/>
    <w:rsid w:val="00AC2FED"/>
    <w:rsid w:val="00AC345F"/>
    <w:rsid w:val="00AC35E1"/>
    <w:rsid w:val="00AC37FE"/>
    <w:rsid w:val="00AC384D"/>
    <w:rsid w:val="00AC39B3"/>
    <w:rsid w:val="00AC3A5E"/>
    <w:rsid w:val="00AC3B3E"/>
    <w:rsid w:val="00AC3C20"/>
    <w:rsid w:val="00AC3E0D"/>
    <w:rsid w:val="00AC3F86"/>
    <w:rsid w:val="00AC3FA6"/>
    <w:rsid w:val="00AC3FCC"/>
    <w:rsid w:val="00AC4316"/>
    <w:rsid w:val="00AC43F4"/>
    <w:rsid w:val="00AC4463"/>
    <w:rsid w:val="00AC45B9"/>
    <w:rsid w:val="00AC4690"/>
    <w:rsid w:val="00AC46B2"/>
    <w:rsid w:val="00AC46E3"/>
    <w:rsid w:val="00AC47AB"/>
    <w:rsid w:val="00AC493E"/>
    <w:rsid w:val="00AC4999"/>
    <w:rsid w:val="00AC4A3E"/>
    <w:rsid w:val="00AC4ABD"/>
    <w:rsid w:val="00AC4B5E"/>
    <w:rsid w:val="00AC4BC9"/>
    <w:rsid w:val="00AC4CBC"/>
    <w:rsid w:val="00AC4F2C"/>
    <w:rsid w:val="00AC4FC2"/>
    <w:rsid w:val="00AC5032"/>
    <w:rsid w:val="00AC50B2"/>
    <w:rsid w:val="00AC5131"/>
    <w:rsid w:val="00AC524B"/>
    <w:rsid w:val="00AC5278"/>
    <w:rsid w:val="00AC533D"/>
    <w:rsid w:val="00AC534C"/>
    <w:rsid w:val="00AC554A"/>
    <w:rsid w:val="00AC55F6"/>
    <w:rsid w:val="00AC5615"/>
    <w:rsid w:val="00AC561E"/>
    <w:rsid w:val="00AC581B"/>
    <w:rsid w:val="00AC585D"/>
    <w:rsid w:val="00AC5909"/>
    <w:rsid w:val="00AC5BA9"/>
    <w:rsid w:val="00AC5D6E"/>
    <w:rsid w:val="00AC5FDB"/>
    <w:rsid w:val="00AC6012"/>
    <w:rsid w:val="00AC616B"/>
    <w:rsid w:val="00AC6273"/>
    <w:rsid w:val="00AC6802"/>
    <w:rsid w:val="00AC6A26"/>
    <w:rsid w:val="00AC6B4C"/>
    <w:rsid w:val="00AC6F96"/>
    <w:rsid w:val="00AC7136"/>
    <w:rsid w:val="00AC71C4"/>
    <w:rsid w:val="00AC75F2"/>
    <w:rsid w:val="00AC763E"/>
    <w:rsid w:val="00AC7A19"/>
    <w:rsid w:val="00AC7B49"/>
    <w:rsid w:val="00AC7BCA"/>
    <w:rsid w:val="00AC7BE3"/>
    <w:rsid w:val="00AC7C40"/>
    <w:rsid w:val="00AC7D54"/>
    <w:rsid w:val="00AC7D65"/>
    <w:rsid w:val="00AC7E52"/>
    <w:rsid w:val="00AD0091"/>
    <w:rsid w:val="00AD014D"/>
    <w:rsid w:val="00AD0450"/>
    <w:rsid w:val="00AD0545"/>
    <w:rsid w:val="00AD0589"/>
    <w:rsid w:val="00AD06F3"/>
    <w:rsid w:val="00AD0AA8"/>
    <w:rsid w:val="00AD0AAD"/>
    <w:rsid w:val="00AD0B34"/>
    <w:rsid w:val="00AD0D32"/>
    <w:rsid w:val="00AD0FD8"/>
    <w:rsid w:val="00AD12B7"/>
    <w:rsid w:val="00AD1466"/>
    <w:rsid w:val="00AD14DB"/>
    <w:rsid w:val="00AD1560"/>
    <w:rsid w:val="00AD1772"/>
    <w:rsid w:val="00AD188C"/>
    <w:rsid w:val="00AD19D3"/>
    <w:rsid w:val="00AD1AEB"/>
    <w:rsid w:val="00AD1CB4"/>
    <w:rsid w:val="00AD1D85"/>
    <w:rsid w:val="00AD1E4B"/>
    <w:rsid w:val="00AD2140"/>
    <w:rsid w:val="00AD2226"/>
    <w:rsid w:val="00AD2437"/>
    <w:rsid w:val="00AD283E"/>
    <w:rsid w:val="00AD2851"/>
    <w:rsid w:val="00AD286D"/>
    <w:rsid w:val="00AD2929"/>
    <w:rsid w:val="00AD2D98"/>
    <w:rsid w:val="00AD2EF8"/>
    <w:rsid w:val="00AD2F0A"/>
    <w:rsid w:val="00AD3016"/>
    <w:rsid w:val="00AD31A3"/>
    <w:rsid w:val="00AD33A7"/>
    <w:rsid w:val="00AD33DC"/>
    <w:rsid w:val="00AD3567"/>
    <w:rsid w:val="00AD3955"/>
    <w:rsid w:val="00AD3A4F"/>
    <w:rsid w:val="00AD3E6B"/>
    <w:rsid w:val="00AD41F8"/>
    <w:rsid w:val="00AD439E"/>
    <w:rsid w:val="00AD45E0"/>
    <w:rsid w:val="00AD4792"/>
    <w:rsid w:val="00AD4793"/>
    <w:rsid w:val="00AD479C"/>
    <w:rsid w:val="00AD487A"/>
    <w:rsid w:val="00AD4C70"/>
    <w:rsid w:val="00AD4D79"/>
    <w:rsid w:val="00AD4F6A"/>
    <w:rsid w:val="00AD507C"/>
    <w:rsid w:val="00AD52E7"/>
    <w:rsid w:val="00AD5307"/>
    <w:rsid w:val="00AD5696"/>
    <w:rsid w:val="00AD5808"/>
    <w:rsid w:val="00AD59F4"/>
    <w:rsid w:val="00AD5A20"/>
    <w:rsid w:val="00AD5BDE"/>
    <w:rsid w:val="00AD5C18"/>
    <w:rsid w:val="00AD5F49"/>
    <w:rsid w:val="00AD5F7E"/>
    <w:rsid w:val="00AD605F"/>
    <w:rsid w:val="00AD6091"/>
    <w:rsid w:val="00AD611C"/>
    <w:rsid w:val="00AD6429"/>
    <w:rsid w:val="00AD68DA"/>
    <w:rsid w:val="00AD6954"/>
    <w:rsid w:val="00AD6A71"/>
    <w:rsid w:val="00AD6B5F"/>
    <w:rsid w:val="00AD6D25"/>
    <w:rsid w:val="00AD6D47"/>
    <w:rsid w:val="00AD6D7C"/>
    <w:rsid w:val="00AD6E52"/>
    <w:rsid w:val="00AD70D6"/>
    <w:rsid w:val="00AD75D2"/>
    <w:rsid w:val="00AD7891"/>
    <w:rsid w:val="00AD7976"/>
    <w:rsid w:val="00AD7A9E"/>
    <w:rsid w:val="00AD7AA3"/>
    <w:rsid w:val="00AD7AC1"/>
    <w:rsid w:val="00AD7CFF"/>
    <w:rsid w:val="00AD7D0C"/>
    <w:rsid w:val="00AD7D4A"/>
    <w:rsid w:val="00AD7D4F"/>
    <w:rsid w:val="00AD7D78"/>
    <w:rsid w:val="00AD7FA0"/>
    <w:rsid w:val="00AE013C"/>
    <w:rsid w:val="00AE0198"/>
    <w:rsid w:val="00AE01A9"/>
    <w:rsid w:val="00AE0245"/>
    <w:rsid w:val="00AE033C"/>
    <w:rsid w:val="00AE03E0"/>
    <w:rsid w:val="00AE0585"/>
    <w:rsid w:val="00AE0752"/>
    <w:rsid w:val="00AE0790"/>
    <w:rsid w:val="00AE0867"/>
    <w:rsid w:val="00AE08C9"/>
    <w:rsid w:val="00AE095F"/>
    <w:rsid w:val="00AE0A54"/>
    <w:rsid w:val="00AE0CB8"/>
    <w:rsid w:val="00AE0CCB"/>
    <w:rsid w:val="00AE0E6A"/>
    <w:rsid w:val="00AE0F8D"/>
    <w:rsid w:val="00AE11DF"/>
    <w:rsid w:val="00AE121F"/>
    <w:rsid w:val="00AE12E0"/>
    <w:rsid w:val="00AE17F4"/>
    <w:rsid w:val="00AE17FA"/>
    <w:rsid w:val="00AE1C82"/>
    <w:rsid w:val="00AE1EF3"/>
    <w:rsid w:val="00AE1F83"/>
    <w:rsid w:val="00AE2059"/>
    <w:rsid w:val="00AE21D4"/>
    <w:rsid w:val="00AE23E6"/>
    <w:rsid w:val="00AE240A"/>
    <w:rsid w:val="00AE2412"/>
    <w:rsid w:val="00AE251F"/>
    <w:rsid w:val="00AE25B2"/>
    <w:rsid w:val="00AE25D2"/>
    <w:rsid w:val="00AE2A92"/>
    <w:rsid w:val="00AE2E4D"/>
    <w:rsid w:val="00AE3245"/>
    <w:rsid w:val="00AE3351"/>
    <w:rsid w:val="00AE3517"/>
    <w:rsid w:val="00AE3521"/>
    <w:rsid w:val="00AE3527"/>
    <w:rsid w:val="00AE378F"/>
    <w:rsid w:val="00AE37AE"/>
    <w:rsid w:val="00AE3811"/>
    <w:rsid w:val="00AE38EB"/>
    <w:rsid w:val="00AE3966"/>
    <w:rsid w:val="00AE3B1D"/>
    <w:rsid w:val="00AE3CAD"/>
    <w:rsid w:val="00AE3D9F"/>
    <w:rsid w:val="00AE3FBC"/>
    <w:rsid w:val="00AE3FCF"/>
    <w:rsid w:val="00AE400A"/>
    <w:rsid w:val="00AE403D"/>
    <w:rsid w:val="00AE41D8"/>
    <w:rsid w:val="00AE44C2"/>
    <w:rsid w:val="00AE455F"/>
    <w:rsid w:val="00AE4626"/>
    <w:rsid w:val="00AE4821"/>
    <w:rsid w:val="00AE4837"/>
    <w:rsid w:val="00AE4A18"/>
    <w:rsid w:val="00AE4A1E"/>
    <w:rsid w:val="00AE4B62"/>
    <w:rsid w:val="00AE4D3A"/>
    <w:rsid w:val="00AE4FAF"/>
    <w:rsid w:val="00AE50BE"/>
    <w:rsid w:val="00AE5125"/>
    <w:rsid w:val="00AE53DA"/>
    <w:rsid w:val="00AE56CB"/>
    <w:rsid w:val="00AE599D"/>
    <w:rsid w:val="00AE5B50"/>
    <w:rsid w:val="00AE5B52"/>
    <w:rsid w:val="00AE5B5B"/>
    <w:rsid w:val="00AE5BE9"/>
    <w:rsid w:val="00AE5D8D"/>
    <w:rsid w:val="00AE658E"/>
    <w:rsid w:val="00AE6700"/>
    <w:rsid w:val="00AE69BB"/>
    <w:rsid w:val="00AE69D9"/>
    <w:rsid w:val="00AE6A6B"/>
    <w:rsid w:val="00AE6C3B"/>
    <w:rsid w:val="00AE6F23"/>
    <w:rsid w:val="00AE701F"/>
    <w:rsid w:val="00AE7075"/>
    <w:rsid w:val="00AE71F3"/>
    <w:rsid w:val="00AE74D6"/>
    <w:rsid w:val="00AE762B"/>
    <w:rsid w:val="00AE7736"/>
    <w:rsid w:val="00AE78B6"/>
    <w:rsid w:val="00AE78BD"/>
    <w:rsid w:val="00AE7960"/>
    <w:rsid w:val="00AE7BEF"/>
    <w:rsid w:val="00AE7C5E"/>
    <w:rsid w:val="00AE7DB0"/>
    <w:rsid w:val="00AE7FC8"/>
    <w:rsid w:val="00AF01F8"/>
    <w:rsid w:val="00AF039D"/>
    <w:rsid w:val="00AF03E9"/>
    <w:rsid w:val="00AF07A5"/>
    <w:rsid w:val="00AF0971"/>
    <w:rsid w:val="00AF0B81"/>
    <w:rsid w:val="00AF0C45"/>
    <w:rsid w:val="00AF0E7C"/>
    <w:rsid w:val="00AF10F1"/>
    <w:rsid w:val="00AF1126"/>
    <w:rsid w:val="00AF12B1"/>
    <w:rsid w:val="00AF140F"/>
    <w:rsid w:val="00AF1600"/>
    <w:rsid w:val="00AF1620"/>
    <w:rsid w:val="00AF16DF"/>
    <w:rsid w:val="00AF198A"/>
    <w:rsid w:val="00AF1CAB"/>
    <w:rsid w:val="00AF1CC7"/>
    <w:rsid w:val="00AF1CCE"/>
    <w:rsid w:val="00AF1D0E"/>
    <w:rsid w:val="00AF1F33"/>
    <w:rsid w:val="00AF21F1"/>
    <w:rsid w:val="00AF252C"/>
    <w:rsid w:val="00AF2577"/>
    <w:rsid w:val="00AF270A"/>
    <w:rsid w:val="00AF293B"/>
    <w:rsid w:val="00AF2997"/>
    <w:rsid w:val="00AF2A26"/>
    <w:rsid w:val="00AF2A74"/>
    <w:rsid w:val="00AF2B42"/>
    <w:rsid w:val="00AF2B7D"/>
    <w:rsid w:val="00AF2C6B"/>
    <w:rsid w:val="00AF2CEF"/>
    <w:rsid w:val="00AF2DCE"/>
    <w:rsid w:val="00AF2F4D"/>
    <w:rsid w:val="00AF3003"/>
    <w:rsid w:val="00AF301A"/>
    <w:rsid w:val="00AF30FA"/>
    <w:rsid w:val="00AF322C"/>
    <w:rsid w:val="00AF330D"/>
    <w:rsid w:val="00AF3543"/>
    <w:rsid w:val="00AF3565"/>
    <w:rsid w:val="00AF364B"/>
    <w:rsid w:val="00AF3736"/>
    <w:rsid w:val="00AF3777"/>
    <w:rsid w:val="00AF3794"/>
    <w:rsid w:val="00AF37B3"/>
    <w:rsid w:val="00AF3D02"/>
    <w:rsid w:val="00AF3FB2"/>
    <w:rsid w:val="00AF3FE5"/>
    <w:rsid w:val="00AF404A"/>
    <w:rsid w:val="00AF4075"/>
    <w:rsid w:val="00AF417C"/>
    <w:rsid w:val="00AF43B9"/>
    <w:rsid w:val="00AF43E8"/>
    <w:rsid w:val="00AF4549"/>
    <w:rsid w:val="00AF4554"/>
    <w:rsid w:val="00AF466B"/>
    <w:rsid w:val="00AF477C"/>
    <w:rsid w:val="00AF4830"/>
    <w:rsid w:val="00AF4C19"/>
    <w:rsid w:val="00AF4E15"/>
    <w:rsid w:val="00AF50C5"/>
    <w:rsid w:val="00AF5286"/>
    <w:rsid w:val="00AF5326"/>
    <w:rsid w:val="00AF53B7"/>
    <w:rsid w:val="00AF54D4"/>
    <w:rsid w:val="00AF562F"/>
    <w:rsid w:val="00AF566C"/>
    <w:rsid w:val="00AF575F"/>
    <w:rsid w:val="00AF57AD"/>
    <w:rsid w:val="00AF58C1"/>
    <w:rsid w:val="00AF5A23"/>
    <w:rsid w:val="00AF5B00"/>
    <w:rsid w:val="00AF5C05"/>
    <w:rsid w:val="00AF5D05"/>
    <w:rsid w:val="00AF5D19"/>
    <w:rsid w:val="00AF5F27"/>
    <w:rsid w:val="00AF603C"/>
    <w:rsid w:val="00AF669B"/>
    <w:rsid w:val="00AF686B"/>
    <w:rsid w:val="00AF6D8A"/>
    <w:rsid w:val="00AF6DCA"/>
    <w:rsid w:val="00AF6F81"/>
    <w:rsid w:val="00AF7070"/>
    <w:rsid w:val="00AF7177"/>
    <w:rsid w:val="00AF7671"/>
    <w:rsid w:val="00AF7785"/>
    <w:rsid w:val="00AF7C98"/>
    <w:rsid w:val="00AF7CB9"/>
    <w:rsid w:val="00AF7D8C"/>
    <w:rsid w:val="00AF7DFA"/>
    <w:rsid w:val="00B0006C"/>
    <w:rsid w:val="00B0022E"/>
    <w:rsid w:val="00B00345"/>
    <w:rsid w:val="00B004D4"/>
    <w:rsid w:val="00B00521"/>
    <w:rsid w:val="00B0058D"/>
    <w:rsid w:val="00B00766"/>
    <w:rsid w:val="00B00946"/>
    <w:rsid w:val="00B00A0D"/>
    <w:rsid w:val="00B00AEE"/>
    <w:rsid w:val="00B013FD"/>
    <w:rsid w:val="00B01573"/>
    <w:rsid w:val="00B015A9"/>
    <w:rsid w:val="00B015F3"/>
    <w:rsid w:val="00B0166A"/>
    <w:rsid w:val="00B019A3"/>
    <w:rsid w:val="00B019B6"/>
    <w:rsid w:val="00B01A1C"/>
    <w:rsid w:val="00B01A20"/>
    <w:rsid w:val="00B01A42"/>
    <w:rsid w:val="00B01ABE"/>
    <w:rsid w:val="00B01D1B"/>
    <w:rsid w:val="00B01DE3"/>
    <w:rsid w:val="00B01E71"/>
    <w:rsid w:val="00B02014"/>
    <w:rsid w:val="00B020B1"/>
    <w:rsid w:val="00B02279"/>
    <w:rsid w:val="00B02524"/>
    <w:rsid w:val="00B025B7"/>
    <w:rsid w:val="00B02ADF"/>
    <w:rsid w:val="00B02AFA"/>
    <w:rsid w:val="00B02B18"/>
    <w:rsid w:val="00B02B6D"/>
    <w:rsid w:val="00B02B74"/>
    <w:rsid w:val="00B02EB6"/>
    <w:rsid w:val="00B02F65"/>
    <w:rsid w:val="00B0353E"/>
    <w:rsid w:val="00B035A8"/>
    <w:rsid w:val="00B0380F"/>
    <w:rsid w:val="00B039A3"/>
    <w:rsid w:val="00B03B44"/>
    <w:rsid w:val="00B03D04"/>
    <w:rsid w:val="00B03DBA"/>
    <w:rsid w:val="00B03E64"/>
    <w:rsid w:val="00B04034"/>
    <w:rsid w:val="00B0403F"/>
    <w:rsid w:val="00B04079"/>
    <w:rsid w:val="00B045FE"/>
    <w:rsid w:val="00B04656"/>
    <w:rsid w:val="00B049FF"/>
    <w:rsid w:val="00B04C39"/>
    <w:rsid w:val="00B04E21"/>
    <w:rsid w:val="00B04E39"/>
    <w:rsid w:val="00B04EB6"/>
    <w:rsid w:val="00B04F4A"/>
    <w:rsid w:val="00B051A6"/>
    <w:rsid w:val="00B052AD"/>
    <w:rsid w:val="00B05445"/>
    <w:rsid w:val="00B05515"/>
    <w:rsid w:val="00B0596F"/>
    <w:rsid w:val="00B05A78"/>
    <w:rsid w:val="00B05A99"/>
    <w:rsid w:val="00B05CA0"/>
    <w:rsid w:val="00B05EED"/>
    <w:rsid w:val="00B05F6E"/>
    <w:rsid w:val="00B0605D"/>
    <w:rsid w:val="00B0606D"/>
    <w:rsid w:val="00B06076"/>
    <w:rsid w:val="00B061B7"/>
    <w:rsid w:val="00B062AE"/>
    <w:rsid w:val="00B06463"/>
    <w:rsid w:val="00B0648B"/>
    <w:rsid w:val="00B065A8"/>
    <w:rsid w:val="00B0671C"/>
    <w:rsid w:val="00B06BFD"/>
    <w:rsid w:val="00B06C8F"/>
    <w:rsid w:val="00B06ED6"/>
    <w:rsid w:val="00B07018"/>
    <w:rsid w:val="00B07034"/>
    <w:rsid w:val="00B071BD"/>
    <w:rsid w:val="00B07254"/>
    <w:rsid w:val="00B0739D"/>
    <w:rsid w:val="00B073E4"/>
    <w:rsid w:val="00B07505"/>
    <w:rsid w:val="00B07529"/>
    <w:rsid w:val="00B07682"/>
    <w:rsid w:val="00B07928"/>
    <w:rsid w:val="00B0794D"/>
    <w:rsid w:val="00B07C02"/>
    <w:rsid w:val="00B07C2D"/>
    <w:rsid w:val="00B07D10"/>
    <w:rsid w:val="00B101DF"/>
    <w:rsid w:val="00B10368"/>
    <w:rsid w:val="00B10443"/>
    <w:rsid w:val="00B104F2"/>
    <w:rsid w:val="00B105A7"/>
    <w:rsid w:val="00B10833"/>
    <w:rsid w:val="00B10935"/>
    <w:rsid w:val="00B10A81"/>
    <w:rsid w:val="00B10CC0"/>
    <w:rsid w:val="00B10CCF"/>
    <w:rsid w:val="00B10DE2"/>
    <w:rsid w:val="00B10EBA"/>
    <w:rsid w:val="00B111BF"/>
    <w:rsid w:val="00B11239"/>
    <w:rsid w:val="00B11418"/>
    <w:rsid w:val="00B1153F"/>
    <w:rsid w:val="00B11544"/>
    <w:rsid w:val="00B11638"/>
    <w:rsid w:val="00B1170E"/>
    <w:rsid w:val="00B11725"/>
    <w:rsid w:val="00B11785"/>
    <w:rsid w:val="00B11833"/>
    <w:rsid w:val="00B11D3D"/>
    <w:rsid w:val="00B11DD1"/>
    <w:rsid w:val="00B11E07"/>
    <w:rsid w:val="00B1204C"/>
    <w:rsid w:val="00B1204E"/>
    <w:rsid w:val="00B1222D"/>
    <w:rsid w:val="00B122FC"/>
    <w:rsid w:val="00B12599"/>
    <w:rsid w:val="00B12849"/>
    <w:rsid w:val="00B1297B"/>
    <w:rsid w:val="00B129A8"/>
    <w:rsid w:val="00B12A4E"/>
    <w:rsid w:val="00B12AC5"/>
    <w:rsid w:val="00B12F46"/>
    <w:rsid w:val="00B12FC1"/>
    <w:rsid w:val="00B12FC8"/>
    <w:rsid w:val="00B12FD8"/>
    <w:rsid w:val="00B13426"/>
    <w:rsid w:val="00B136BA"/>
    <w:rsid w:val="00B137D7"/>
    <w:rsid w:val="00B13A12"/>
    <w:rsid w:val="00B13C4D"/>
    <w:rsid w:val="00B13FD6"/>
    <w:rsid w:val="00B140CA"/>
    <w:rsid w:val="00B14104"/>
    <w:rsid w:val="00B14130"/>
    <w:rsid w:val="00B144B0"/>
    <w:rsid w:val="00B144F7"/>
    <w:rsid w:val="00B145E6"/>
    <w:rsid w:val="00B146B5"/>
    <w:rsid w:val="00B149EA"/>
    <w:rsid w:val="00B14CB8"/>
    <w:rsid w:val="00B14EA4"/>
    <w:rsid w:val="00B14EB0"/>
    <w:rsid w:val="00B14FFF"/>
    <w:rsid w:val="00B15273"/>
    <w:rsid w:val="00B1539E"/>
    <w:rsid w:val="00B15596"/>
    <w:rsid w:val="00B158FA"/>
    <w:rsid w:val="00B15990"/>
    <w:rsid w:val="00B15B9A"/>
    <w:rsid w:val="00B15C47"/>
    <w:rsid w:val="00B15DD9"/>
    <w:rsid w:val="00B15F64"/>
    <w:rsid w:val="00B1604D"/>
    <w:rsid w:val="00B16148"/>
    <w:rsid w:val="00B16454"/>
    <w:rsid w:val="00B165B6"/>
    <w:rsid w:val="00B165D2"/>
    <w:rsid w:val="00B16695"/>
    <w:rsid w:val="00B166BF"/>
    <w:rsid w:val="00B166DC"/>
    <w:rsid w:val="00B16941"/>
    <w:rsid w:val="00B16A47"/>
    <w:rsid w:val="00B16AEF"/>
    <w:rsid w:val="00B16B08"/>
    <w:rsid w:val="00B16B88"/>
    <w:rsid w:val="00B16BB0"/>
    <w:rsid w:val="00B16C52"/>
    <w:rsid w:val="00B16DA7"/>
    <w:rsid w:val="00B16E51"/>
    <w:rsid w:val="00B16ECB"/>
    <w:rsid w:val="00B1732B"/>
    <w:rsid w:val="00B173C2"/>
    <w:rsid w:val="00B173C5"/>
    <w:rsid w:val="00B174F6"/>
    <w:rsid w:val="00B17720"/>
    <w:rsid w:val="00B17972"/>
    <w:rsid w:val="00B179D1"/>
    <w:rsid w:val="00B17B3D"/>
    <w:rsid w:val="00B17C1E"/>
    <w:rsid w:val="00B17C54"/>
    <w:rsid w:val="00B17E74"/>
    <w:rsid w:val="00B17FCA"/>
    <w:rsid w:val="00B200CA"/>
    <w:rsid w:val="00B20293"/>
    <w:rsid w:val="00B202B0"/>
    <w:rsid w:val="00B20398"/>
    <w:rsid w:val="00B2061B"/>
    <w:rsid w:val="00B206E3"/>
    <w:rsid w:val="00B20A8F"/>
    <w:rsid w:val="00B20C16"/>
    <w:rsid w:val="00B20C76"/>
    <w:rsid w:val="00B20C92"/>
    <w:rsid w:val="00B20D39"/>
    <w:rsid w:val="00B20D49"/>
    <w:rsid w:val="00B210EC"/>
    <w:rsid w:val="00B2123F"/>
    <w:rsid w:val="00B2135B"/>
    <w:rsid w:val="00B21440"/>
    <w:rsid w:val="00B21595"/>
    <w:rsid w:val="00B217EE"/>
    <w:rsid w:val="00B21B66"/>
    <w:rsid w:val="00B21B99"/>
    <w:rsid w:val="00B21D78"/>
    <w:rsid w:val="00B21DA5"/>
    <w:rsid w:val="00B21DB3"/>
    <w:rsid w:val="00B21E1C"/>
    <w:rsid w:val="00B22068"/>
    <w:rsid w:val="00B2213A"/>
    <w:rsid w:val="00B22207"/>
    <w:rsid w:val="00B2236E"/>
    <w:rsid w:val="00B2239D"/>
    <w:rsid w:val="00B223EB"/>
    <w:rsid w:val="00B223FE"/>
    <w:rsid w:val="00B2242D"/>
    <w:rsid w:val="00B224C0"/>
    <w:rsid w:val="00B2297D"/>
    <w:rsid w:val="00B22AE1"/>
    <w:rsid w:val="00B22B3D"/>
    <w:rsid w:val="00B230A1"/>
    <w:rsid w:val="00B23212"/>
    <w:rsid w:val="00B234BD"/>
    <w:rsid w:val="00B234D0"/>
    <w:rsid w:val="00B238D2"/>
    <w:rsid w:val="00B238E3"/>
    <w:rsid w:val="00B239F6"/>
    <w:rsid w:val="00B23A01"/>
    <w:rsid w:val="00B23B53"/>
    <w:rsid w:val="00B23BA7"/>
    <w:rsid w:val="00B241B3"/>
    <w:rsid w:val="00B242B0"/>
    <w:rsid w:val="00B242F1"/>
    <w:rsid w:val="00B24380"/>
    <w:rsid w:val="00B2475B"/>
    <w:rsid w:val="00B24ACC"/>
    <w:rsid w:val="00B24B22"/>
    <w:rsid w:val="00B24BC9"/>
    <w:rsid w:val="00B24CE5"/>
    <w:rsid w:val="00B24E23"/>
    <w:rsid w:val="00B2546B"/>
    <w:rsid w:val="00B25647"/>
    <w:rsid w:val="00B25959"/>
    <w:rsid w:val="00B25982"/>
    <w:rsid w:val="00B25C92"/>
    <w:rsid w:val="00B25EE4"/>
    <w:rsid w:val="00B26241"/>
    <w:rsid w:val="00B2642D"/>
    <w:rsid w:val="00B269CD"/>
    <w:rsid w:val="00B26C0C"/>
    <w:rsid w:val="00B26C10"/>
    <w:rsid w:val="00B26C50"/>
    <w:rsid w:val="00B2700F"/>
    <w:rsid w:val="00B27098"/>
    <w:rsid w:val="00B27441"/>
    <w:rsid w:val="00B2747C"/>
    <w:rsid w:val="00B27493"/>
    <w:rsid w:val="00B275F2"/>
    <w:rsid w:val="00B27689"/>
    <w:rsid w:val="00B2778E"/>
    <w:rsid w:val="00B2781B"/>
    <w:rsid w:val="00B278C3"/>
    <w:rsid w:val="00B27934"/>
    <w:rsid w:val="00B27A4B"/>
    <w:rsid w:val="00B27BE0"/>
    <w:rsid w:val="00B27C5C"/>
    <w:rsid w:val="00B27F4E"/>
    <w:rsid w:val="00B27F9B"/>
    <w:rsid w:val="00B30032"/>
    <w:rsid w:val="00B300E7"/>
    <w:rsid w:val="00B30452"/>
    <w:rsid w:val="00B30491"/>
    <w:rsid w:val="00B3051A"/>
    <w:rsid w:val="00B30580"/>
    <w:rsid w:val="00B30584"/>
    <w:rsid w:val="00B3058E"/>
    <w:rsid w:val="00B30632"/>
    <w:rsid w:val="00B307D4"/>
    <w:rsid w:val="00B30B9D"/>
    <w:rsid w:val="00B30F78"/>
    <w:rsid w:val="00B31139"/>
    <w:rsid w:val="00B311CE"/>
    <w:rsid w:val="00B31205"/>
    <w:rsid w:val="00B312AC"/>
    <w:rsid w:val="00B31336"/>
    <w:rsid w:val="00B31388"/>
    <w:rsid w:val="00B31436"/>
    <w:rsid w:val="00B31741"/>
    <w:rsid w:val="00B31803"/>
    <w:rsid w:val="00B3181A"/>
    <w:rsid w:val="00B318DE"/>
    <w:rsid w:val="00B31992"/>
    <w:rsid w:val="00B31B80"/>
    <w:rsid w:val="00B31C81"/>
    <w:rsid w:val="00B31CAA"/>
    <w:rsid w:val="00B31D18"/>
    <w:rsid w:val="00B31E17"/>
    <w:rsid w:val="00B32240"/>
    <w:rsid w:val="00B3234F"/>
    <w:rsid w:val="00B3237F"/>
    <w:rsid w:val="00B3252F"/>
    <w:rsid w:val="00B325C1"/>
    <w:rsid w:val="00B32618"/>
    <w:rsid w:val="00B32773"/>
    <w:rsid w:val="00B32C2A"/>
    <w:rsid w:val="00B32EE4"/>
    <w:rsid w:val="00B32EF8"/>
    <w:rsid w:val="00B32F53"/>
    <w:rsid w:val="00B331DC"/>
    <w:rsid w:val="00B3326F"/>
    <w:rsid w:val="00B3358C"/>
    <w:rsid w:val="00B335E9"/>
    <w:rsid w:val="00B3370D"/>
    <w:rsid w:val="00B33841"/>
    <w:rsid w:val="00B33875"/>
    <w:rsid w:val="00B33879"/>
    <w:rsid w:val="00B338AC"/>
    <w:rsid w:val="00B338EE"/>
    <w:rsid w:val="00B33AFC"/>
    <w:rsid w:val="00B33C37"/>
    <w:rsid w:val="00B33D3A"/>
    <w:rsid w:val="00B33D4A"/>
    <w:rsid w:val="00B33DCC"/>
    <w:rsid w:val="00B33F8B"/>
    <w:rsid w:val="00B33FC2"/>
    <w:rsid w:val="00B340CA"/>
    <w:rsid w:val="00B3418C"/>
    <w:rsid w:val="00B342CB"/>
    <w:rsid w:val="00B34660"/>
    <w:rsid w:val="00B3476D"/>
    <w:rsid w:val="00B349F2"/>
    <w:rsid w:val="00B34A61"/>
    <w:rsid w:val="00B34A87"/>
    <w:rsid w:val="00B34AB3"/>
    <w:rsid w:val="00B34C42"/>
    <w:rsid w:val="00B34D03"/>
    <w:rsid w:val="00B34D92"/>
    <w:rsid w:val="00B34E62"/>
    <w:rsid w:val="00B34E8F"/>
    <w:rsid w:val="00B34F81"/>
    <w:rsid w:val="00B3502B"/>
    <w:rsid w:val="00B352F5"/>
    <w:rsid w:val="00B35382"/>
    <w:rsid w:val="00B3565D"/>
    <w:rsid w:val="00B35C76"/>
    <w:rsid w:val="00B35D62"/>
    <w:rsid w:val="00B35D9E"/>
    <w:rsid w:val="00B35DB9"/>
    <w:rsid w:val="00B35DC0"/>
    <w:rsid w:val="00B35E25"/>
    <w:rsid w:val="00B35EF7"/>
    <w:rsid w:val="00B3631E"/>
    <w:rsid w:val="00B3679E"/>
    <w:rsid w:val="00B368CB"/>
    <w:rsid w:val="00B36A04"/>
    <w:rsid w:val="00B36A5A"/>
    <w:rsid w:val="00B36AA0"/>
    <w:rsid w:val="00B36B68"/>
    <w:rsid w:val="00B36CBD"/>
    <w:rsid w:val="00B36F08"/>
    <w:rsid w:val="00B36FEF"/>
    <w:rsid w:val="00B37139"/>
    <w:rsid w:val="00B37373"/>
    <w:rsid w:val="00B37559"/>
    <w:rsid w:val="00B37629"/>
    <w:rsid w:val="00B377D2"/>
    <w:rsid w:val="00B379C0"/>
    <w:rsid w:val="00B37A2B"/>
    <w:rsid w:val="00B37A75"/>
    <w:rsid w:val="00B37A90"/>
    <w:rsid w:val="00B37A95"/>
    <w:rsid w:val="00B37C40"/>
    <w:rsid w:val="00B37DB2"/>
    <w:rsid w:val="00B37EDD"/>
    <w:rsid w:val="00B40093"/>
    <w:rsid w:val="00B404AB"/>
    <w:rsid w:val="00B40656"/>
    <w:rsid w:val="00B40724"/>
    <w:rsid w:val="00B40734"/>
    <w:rsid w:val="00B407A8"/>
    <w:rsid w:val="00B4086C"/>
    <w:rsid w:val="00B40A29"/>
    <w:rsid w:val="00B40D34"/>
    <w:rsid w:val="00B41026"/>
    <w:rsid w:val="00B41426"/>
    <w:rsid w:val="00B41506"/>
    <w:rsid w:val="00B41546"/>
    <w:rsid w:val="00B41664"/>
    <w:rsid w:val="00B416E2"/>
    <w:rsid w:val="00B41724"/>
    <w:rsid w:val="00B41727"/>
    <w:rsid w:val="00B41757"/>
    <w:rsid w:val="00B417F8"/>
    <w:rsid w:val="00B4184D"/>
    <w:rsid w:val="00B419BD"/>
    <w:rsid w:val="00B41B43"/>
    <w:rsid w:val="00B41C03"/>
    <w:rsid w:val="00B41D3A"/>
    <w:rsid w:val="00B41D56"/>
    <w:rsid w:val="00B42040"/>
    <w:rsid w:val="00B421AD"/>
    <w:rsid w:val="00B4239B"/>
    <w:rsid w:val="00B423B1"/>
    <w:rsid w:val="00B42467"/>
    <w:rsid w:val="00B42566"/>
    <w:rsid w:val="00B42573"/>
    <w:rsid w:val="00B42903"/>
    <w:rsid w:val="00B429EA"/>
    <w:rsid w:val="00B42C73"/>
    <w:rsid w:val="00B42D64"/>
    <w:rsid w:val="00B42DF3"/>
    <w:rsid w:val="00B42E5D"/>
    <w:rsid w:val="00B430B0"/>
    <w:rsid w:val="00B43155"/>
    <w:rsid w:val="00B433B5"/>
    <w:rsid w:val="00B43438"/>
    <w:rsid w:val="00B434FB"/>
    <w:rsid w:val="00B4350A"/>
    <w:rsid w:val="00B435E1"/>
    <w:rsid w:val="00B437B5"/>
    <w:rsid w:val="00B43AE0"/>
    <w:rsid w:val="00B43B49"/>
    <w:rsid w:val="00B43B9F"/>
    <w:rsid w:val="00B43EFD"/>
    <w:rsid w:val="00B43FB8"/>
    <w:rsid w:val="00B4476B"/>
    <w:rsid w:val="00B44854"/>
    <w:rsid w:val="00B44AC7"/>
    <w:rsid w:val="00B44C61"/>
    <w:rsid w:val="00B44C7C"/>
    <w:rsid w:val="00B44E82"/>
    <w:rsid w:val="00B45032"/>
    <w:rsid w:val="00B45356"/>
    <w:rsid w:val="00B45462"/>
    <w:rsid w:val="00B4573D"/>
    <w:rsid w:val="00B4576D"/>
    <w:rsid w:val="00B45965"/>
    <w:rsid w:val="00B45A95"/>
    <w:rsid w:val="00B45FE8"/>
    <w:rsid w:val="00B464D9"/>
    <w:rsid w:val="00B465C0"/>
    <w:rsid w:val="00B46653"/>
    <w:rsid w:val="00B467D2"/>
    <w:rsid w:val="00B4693A"/>
    <w:rsid w:val="00B46AAA"/>
    <w:rsid w:val="00B46F76"/>
    <w:rsid w:val="00B4739A"/>
    <w:rsid w:val="00B47459"/>
    <w:rsid w:val="00B47469"/>
    <w:rsid w:val="00B474CF"/>
    <w:rsid w:val="00B476AF"/>
    <w:rsid w:val="00B4774E"/>
    <w:rsid w:val="00B47AAA"/>
    <w:rsid w:val="00B47ADA"/>
    <w:rsid w:val="00B47BC5"/>
    <w:rsid w:val="00B47C38"/>
    <w:rsid w:val="00B47C88"/>
    <w:rsid w:val="00B47E0D"/>
    <w:rsid w:val="00B47E79"/>
    <w:rsid w:val="00B50012"/>
    <w:rsid w:val="00B50283"/>
    <w:rsid w:val="00B502AC"/>
    <w:rsid w:val="00B50341"/>
    <w:rsid w:val="00B503AD"/>
    <w:rsid w:val="00B503B4"/>
    <w:rsid w:val="00B50488"/>
    <w:rsid w:val="00B504F4"/>
    <w:rsid w:val="00B506B1"/>
    <w:rsid w:val="00B50A5F"/>
    <w:rsid w:val="00B50C3F"/>
    <w:rsid w:val="00B50CDB"/>
    <w:rsid w:val="00B50E6A"/>
    <w:rsid w:val="00B51466"/>
    <w:rsid w:val="00B514E7"/>
    <w:rsid w:val="00B5168E"/>
    <w:rsid w:val="00B51819"/>
    <w:rsid w:val="00B5192D"/>
    <w:rsid w:val="00B51A0E"/>
    <w:rsid w:val="00B51D9C"/>
    <w:rsid w:val="00B51DD5"/>
    <w:rsid w:val="00B51E30"/>
    <w:rsid w:val="00B51E5D"/>
    <w:rsid w:val="00B51F2C"/>
    <w:rsid w:val="00B51F5E"/>
    <w:rsid w:val="00B51FFE"/>
    <w:rsid w:val="00B523F4"/>
    <w:rsid w:val="00B52521"/>
    <w:rsid w:val="00B52637"/>
    <w:rsid w:val="00B526A0"/>
    <w:rsid w:val="00B5283E"/>
    <w:rsid w:val="00B53068"/>
    <w:rsid w:val="00B5306F"/>
    <w:rsid w:val="00B53123"/>
    <w:rsid w:val="00B531CF"/>
    <w:rsid w:val="00B5391D"/>
    <w:rsid w:val="00B5399C"/>
    <w:rsid w:val="00B539DD"/>
    <w:rsid w:val="00B53A1E"/>
    <w:rsid w:val="00B53AC8"/>
    <w:rsid w:val="00B53C44"/>
    <w:rsid w:val="00B53C7F"/>
    <w:rsid w:val="00B53CA4"/>
    <w:rsid w:val="00B53DFE"/>
    <w:rsid w:val="00B53F53"/>
    <w:rsid w:val="00B540EB"/>
    <w:rsid w:val="00B5413E"/>
    <w:rsid w:val="00B543B8"/>
    <w:rsid w:val="00B5454C"/>
    <w:rsid w:val="00B54853"/>
    <w:rsid w:val="00B548B3"/>
    <w:rsid w:val="00B54AD1"/>
    <w:rsid w:val="00B54C48"/>
    <w:rsid w:val="00B54F9E"/>
    <w:rsid w:val="00B55094"/>
    <w:rsid w:val="00B553E6"/>
    <w:rsid w:val="00B55439"/>
    <w:rsid w:val="00B55476"/>
    <w:rsid w:val="00B55515"/>
    <w:rsid w:val="00B55AC3"/>
    <w:rsid w:val="00B55B46"/>
    <w:rsid w:val="00B56157"/>
    <w:rsid w:val="00B5658A"/>
    <w:rsid w:val="00B565C3"/>
    <w:rsid w:val="00B5670E"/>
    <w:rsid w:val="00B568D7"/>
    <w:rsid w:val="00B56B83"/>
    <w:rsid w:val="00B56BCC"/>
    <w:rsid w:val="00B56C32"/>
    <w:rsid w:val="00B56C66"/>
    <w:rsid w:val="00B56CC8"/>
    <w:rsid w:val="00B56EB4"/>
    <w:rsid w:val="00B56F63"/>
    <w:rsid w:val="00B571D4"/>
    <w:rsid w:val="00B571F1"/>
    <w:rsid w:val="00B5727E"/>
    <w:rsid w:val="00B5728B"/>
    <w:rsid w:val="00B5732B"/>
    <w:rsid w:val="00B573A8"/>
    <w:rsid w:val="00B57562"/>
    <w:rsid w:val="00B5776C"/>
    <w:rsid w:val="00B5792F"/>
    <w:rsid w:val="00B5797A"/>
    <w:rsid w:val="00B57B58"/>
    <w:rsid w:val="00B57BFB"/>
    <w:rsid w:val="00B57D1C"/>
    <w:rsid w:val="00B57D89"/>
    <w:rsid w:val="00B600DE"/>
    <w:rsid w:val="00B60192"/>
    <w:rsid w:val="00B60350"/>
    <w:rsid w:val="00B60564"/>
    <w:rsid w:val="00B6058A"/>
    <w:rsid w:val="00B60656"/>
    <w:rsid w:val="00B6070C"/>
    <w:rsid w:val="00B6079B"/>
    <w:rsid w:val="00B609ED"/>
    <w:rsid w:val="00B60A63"/>
    <w:rsid w:val="00B60C17"/>
    <w:rsid w:val="00B60CBE"/>
    <w:rsid w:val="00B60D0B"/>
    <w:rsid w:val="00B60DBA"/>
    <w:rsid w:val="00B60FBC"/>
    <w:rsid w:val="00B60FE7"/>
    <w:rsid w:val="00B61297"/>
    <w:rsid w:val="00B6135F"/>
    <w:rsid w:val="00B613EC"/>
    <w:rsid w:val="00B614F0"/>
    <w:rsid w:val="00B61764"/>
    <w:rsid w:val="00B618A7"/>
    <w:rsid w:val="00B618C2"/>
    <w:rsid w:val="00B61922"/>
    <w:rsid w:val="00B61A24"/>
    <w:rsid w:val="00B61AAE"/>
    <w:rsid w:val="00B61B7A"/>
    <w:rsid w:val="00B61C37"/>
    <w:rsid w:val="00B61C7F"/>
    <w:rsid w:val="00B61D03"/>
    <w:rsid w:val="00B61DD4"/>
    <w:rsid w:val="00B620AB"/>
    <w:rsid w:val="00B6213A"/>
    <w:rsid w:val="00B62146"/>
    <w:rsid w:val="00B62176"/>
    <w:rsid w:val="00B62282"/>
    <w:rsid w:val="00B62356"/>
    <w:rsid w:val="00B62474"/>
    <w:rsid w:val="00B624F3"/>
    <w:rsid w:val="00B62547"/>
    <w:rsid w:val="00B6262C"/>
    <w:rsid w:val="00B62654"/>
    <w:rsid w:val="00B62907"/>
    <w:rsid w:val="00B62D21"/>
    <w:rsid w:val="00B62ED2"/>
    <w:rsid w:val="00B63151"/>
    <w:rsid w:val="00B631C0"/>
    <w:rsid w:val="00B632E9"/>
    <w:rsid w:val="00B6369F"/>
    <w:rsid w:val="00B6386B"/>
    <w:rsid w:val="00B63DB3"/>
    <w:rsid w:val="00B63EDE"/>
    <w:rsid w:val="00B63F71"/>
    <w:rsid w:val="00B64280"/>
    <w:rsid w:val="00B64419"/>
    <w:rsid w:val="00B646DF"/>
    <w:rsid w:val="00B64840"/>
    <w:rsid w:val="00B64A5F"/>
    <w:rsid w:val="00B64AED"/>
    <w:rsid w:val="00B64BA5"/>
    <w:rsid w:val="00B64C2A"/>
    <w:rsid w:val="00B64C7D"/>
    <w:rsid w:val="00B64D13"/>
    <w:rsid w:val="00B64D6B"/>
    <w:rsid w:val="00B64D73"/>
    <w:rsid w:val="00B64D7A"/>
    <w:rsid w:val="00B64DFB"/>
    <w:rsid w:val="00B64FFD"/>
    <w:rsid w:val="00B650E4"/>
    <w:rsid w:val="00B650F1"/>
    <w:rsid w:val="00B651EF"/>
    <w:rsid w:val="00B65260"/>
    <w:rsid w:val="00B6539F"/>
    <w:rsid w:val="00B65660"/>
    <w:rsid w:val="00B65799"/>
    <w:rsid w:val="00B657E3"/>
    <w:rsid w:val="00B658EE"/>
    <w:rsid w:val="00B65BA8"/>
    <w:rsid w:val="00B65DB6"/>
    <w:rsid w:val="00B65F8B"/>
    <w:rsid w:val="00B66174"/>
    <w:rsid w:val="00B661D5"/>
    <w:rsid w:val="00B66289"/>
    <w:rsid w:val="00B6628B"/>
    <w:rsid w:val="00B66A89"/>
    <w:rsid w:val="00B66A9E"/>
    <w:rsid w:val="00B66B38"/>
    <w:rsid w:val="00B66CC4"/>
    <w:rsid w:val="00B66D0F"/>
    <w:rsid w:val="00B66E92"/>
    <w:rsid w:val="00B670EB"/>
    <w:rsid w:val="00B67221"/>
    <w:rsid w:val="00B6737F"/>
    <w:rsid w:val="00B6749A"/>
    <w:rsid w:val="00B676FA"/>
    <w:rsid w:val="00B678C6"/>
    <w:rsid w:val="00B67918"/>
    <w:rsid w:val="00B67971"/>
    <w:rsid w:val="00B67B57"/>
    <w:rsid w:val="00B67D51"/>
    <w:rsid w:val="00B67DFA"/>
    <w:rsid w:val="00B67EF2"/>
    <w:rsid w:val="00B67FED"/>
    <w:rsid w:val="00B700B2"/>
    <w:rsid w:val="00B701EC"/>
    <w:rsid w:val="00B70469"/>
    <w:rsid w:val="00B70499"/>
    <w:rsid w:val="00B70805"/>
    <w:rsid w:val="00B70954"/>
    <w:rsid w:val="00B709BE"/>
    <w:rsid w:val="00B70A10"/>
    <w:rsid w:val="00B70A5A"/>
    <w:rsid w:val="00B70BE2"/>
    <w:rsid w:val="00B70C41"/>
    <w:rsid w:val="00B70D3B"/>
    <w:rsid w:val="00B70DF0"/>
    <w:rsid w:val="00B70DFE"/>
    <w:rsid w:val="00B70F65"/>
    <w:rsid w:val="00B70FBD"/>
    <w:rsid w:val="00B71005"/>
    <w:rsid w:val="00B712AE"/>
    <w:rsid w:val="00B7135D"/>
    <w:rsid w:val="00B717F8"/>
    <w:rsid w:val="00B71EDB"/>
    <w:rsid w:val="00B71F2F"/>
    <w:rsid w:val="00B720B8"/>
    <w:rsid w:val="00B720F0"/>
    <w:rsid w:val="00B72167"/>
    <w:rsid w:val="00B721F9"/>
    <w:rsid w:val="00B72250"/>
    <w:rsid w:val="00B7225D"/>
    <w:rsid w:val="00B723E1"/>
    <w:rsid w:val="00B724BC"/>
    <w:rsid w:val="00B725CB"/>
    <w:rsid w:val="00B725F4"/>
    <w:rsid w:val="00B7265F"/>
    <w:rsid w:val="00B7272F"/>
    <w:rsid w:val="00B72A76"/>
    <w:rsid w:val="00B72B41"/>
    <w:rsid w:val="00B72B91"/>
    <w:rsid w:val="00B72BF3"/>
    <w:rsid w:val="00B730E8"/>
    <w:rsid w:val="00B73123"/>
    <w:rsid w:val="00B7319F"/>
    <w:rsid w:val="00B731C8"/>
    <w:rsid w:val="00B731F5"/>
    <w:rsid w:val="00B73422"/>
    <w:rsid w:val="00B7343B"/>
    <w:rsid w:val="00B734E9"/>
    <w:rsid w:val="00B73C16"/>
    <w:rsid w:val="00B73C85"/>
    <w:rsid w:val="00B73EC0"/>
    <w:rsid w:val="00B74175"/>
    <w:rsid w:val="00B742E3"/>
    <w:rsid w:val="00B7439F"/>
    <w:rsid w:val="00B7444C"/>
    <w:rsid w:val="00B74505"/>
    <w:rsid w:val="00B7454D"/>
    <w:rsid w:val="00B74614"/>
    <w:rsid w:val="00B74A08"/>
    <w:rsid w:val="00B74DB9"/>
    <w:rsid w:val="00B74F10"/>
    <w:rsid w:val="00B74F93"/>
    <w:rsid w:val="00B750A3"/>
    <w:rsid w:val="00B755F2"/>
    <w:rsid w:val="00B75818"/>
    <w:rsid w:val="00B75873"/>
    <w:rsid w:val="00B758A4"/>
    <w:rsid w:val="00B758BF"/>
    <w:rsid w:val="00B7598D"/>
    <w:rsid w:val="00B75A34"/>
    <w:rsid w:val="00B75A5F"/>
    <w:rsid w:val="00B75A70"/>
    <w:rsid w:val="00B75AAA"/>
    <w:rsid w:val="00B75AE0"/>
    <w:rsid w:val="00B75B04"/>
    <w:rsid w:val="00B75D1A"/>
    <w:rsid w:val="00B75F41"/>
    <w:rsid w:val="00B75FD1"/>
    <w:rsid w:val="00B76025"/>
    <w:rsid w:val="00B760E7"/>
    <w:rsid w:val="00B7654D"/>
    <w:rsid w:val="00B7657D"/>
    <w:rsid w:val="00B7666F"/>
    <w:rsid w:val="00B76B27"/>
    <w:rsid w:val="00B76B84"/>
    <w:rsid w:val="00B77064"/>
    <w:rsid w:val="00B77384"/>
    <w:rsid w:val="00B77491"/>
    <w:rsid w:val="00B7756A"/>
    <w:rsid w:val="00B77592"/>
    <w:rsid w:val="00B7764C"/>
    <w:rsid w:val="00B7787A"/>
    <w:rsid w:val="00B779DD"/>
    <w:rsid w:val="00B77D63"/>
    <w:rsid w:val="00B77DD2"/>
    <w:rsid w:val="00B77DD9"/>
    <w:rsid w:val="00B77EF7"/>
    <w:rsid w:val="00B8026C"/>
    <w:rsid w:val="00B8029F"/>
    <w:rsid w:val="00B802CD"/>
    <w:rsid w:val="00B80349"/>
    <w:rsid w:val="00B80637"/>
    <w:rsid w:val="00B80746"/>
    <w:rsid w:val="00B8074F"/>
    <w:rsid w:val="00B8077D"/>
    <w:rsid w:val="00B80962"/>
    <w:rsid w:val="00B80CC2"/>
    <w:rsid w:val="00B80DB1"/>
    <w:rsid w:val="00B80F5B"/>
    <w:rsid w:val="00B81190"/>
    <w:rsid w:val="00B811E8"/>
    <w:rsid w:val="00B81239"/>
    <w:rsid w:val="00B815A8"/>
    <w:rsid w:val="00B8168D"/>
    <w:rsid w:val="00B819CA"/>
    <w:rsid w:val="00B819D8"/>
    <w:rsid w:val="00B81B06"/>
    <w:rsid w:val="00B81B10"/>
    <w:rsid w:val="00B81B99"/>
    <w:rsid w:val="00B81C35"/>
    <w:rsid w:val="00B81D15"/>
    <w:rsid w:val="00B822AC"/>
    <w:rsid w:val="00B822B8"/>
    <w:rsid w:val="00B82350"/>
    <w:rsid w:val="00B8240E"/>
    <w:rsid w:val="00B82463"/>
    <w:rsid w:val="00B824B4"/>
    <w:rsid w:val="00B824FE"/>
    <w:rsid w:val="00B8261F"/>
    <w:rsid w:val="00B82678"/>
    <w:rsid w:val="00B826CE"/>
    <w:rsid w:val="00B8275E"/>
    <w:rsid w:val="00B82EB0"/>
    <w:rsid w:val="00B82FEF"/>
    <w:rsid w:val="00B832C5"/>
    <w:rsid w:val="00B83380"/>
    <w:rsid w:val="00B835B7"/>
    <w:rsid w:val="00B835F5"/>
    <w:rsid w:val="00B83E14"/>
    <w:rsid w:val="00B8451B"/>
    <w:rsid w:val="00B84676"/>
    <w:rsid w:val="00B84701"/>
    <w:rsid w:val="00B84740"/>
    <w:rsid w:val="00B8475B"/>
    <w:rsid w:val="00B84858"/>
    <w:rsid w:val="00B849DB"/>
    <w:rsid w:val="00B84BDE"/>
    <w:rsid w:val="00B84C6E"/>
    <w:rsid w:val="00B84CB3"/>
    <w:rsid w:val="00B84D73"/>
    <w:rsid w:val="00B84DEB"/>
    <w:rsid w:val="00B850D8"/>
    <w:rsid w:val="00B852DE"/>
    <w:rsid w:val="00B854B2"/>
    <w:rsid w:val="00B85506"/>
    <w:rsid w:val="00B85AF8"/>
    <w:rsid w:val="00B85B06"/>
    <w:rsid w:val="00B85BAF"/>
    <w:rsid w:val="00B85CB1"/>
    <w:rsid w:val="00B85E3A"/>
    <w:rsid w:val="00B85F8F"/>
    <w:rsid w:val="00B861E0"/>
    <w:rsid w:val="00B862B7"/>
    <w:rsid w:val="00B8635E"/>
    <w:rsid w:val="00B8637C"/>
    <w:rsid w:val="00B86550"/>
    <w:rsid w:val="00B8662D"/>
    <w:rsid w:val="00B86868"/>
    <w:rsid w:val="00B86910"/>
    <w:rsid w:val="00B86A57"/>
    <w:rsid w:val="00B86B8B"/>
    <w:rsid w:val="00B86CAC"/>
    <w:rsid w:val="00B86F34"/>
    <w:rsid w:val="00B86FF2"/>
    <w:rsid w:val="00B87155"/>
    <w:rsid w:val="00B872DF"/>
    <w:rsid w:val="00B87367"/>
    <w:rsid w:val="00B8740C"/>
    <w:rsid w:val="00B87616"/>
    <w:rsid w:val="00B87929"/>
    <w:rsid w:val="00B87AAE"/>
    <w:rsid w:val="00B87AF1"/>
    <w:rsid w:val="00B87C81"/>
    <w:rsid w:val="00B87C96"/>
    <w:rsid w:val="00B87D66"/>
    <w:rsid w:val="00B87D69"/>
    <w:rsid w:val="00B87D7C"/>
    <w:rsid w:val="00B87F94"/>
    <w:rsid w:val="00B90177"/>
    <w:rsid w:val="00B9018C"/>
    <w:rsid w:val="00B901D9"/>
    <w:rsid w:val="00B90276"/>
    <w:rsid w:val="00B904A4"/>
    <w:rsid w:val="00B904F8"/>
    <w:rsid w:val="00B90595"/>
    <w:rsid w:val="00B90A0D"/>
    <w:rsid w:val="00B90E35"/>
    <w:rsid w:val="00B91050"/>
    <w:rsid w:val="00B91224"/>
    <w:rsid w:val="00B914BD"/>
    <w:rsid w:val="00B918B0"/>
    <w:rsid w:val="00B918CE"/>
    <w:rsid w:val="00B91980"/>
    <w:rsid w:val="00B91AED"/>
    <w:rsid w:val="00B91B47"/>
    <w:rsid w:val="00B91CA4"/>
    <w:rsid w:val="00B91D66"/>
    <w:rsid w:val="00B92351"/>
    <w:rsid w:val="00B926FE"/>
    <w:rsid w:val="00B92881"/>
    <w:rsid w:val="00B928F4"/>
    <w:rsid w:val="00B92937"/>
    <w:rsid w:val="00B92A28"/>
    <w:rsid w:val="00B92C90"/>
    <w:rsid w:val="00B93019"/>
    <w:rsid w:val="00B9315F"/>
    <w:rsid w:val="00B9318E"/>
    <w:rsid w:val="00B932AC"/>
    <w:rsid w:val="00B933D0"/>
    <w:rsid w:val="00B934BE"/>
    <w:rsid w:val="00B934C4"/>
    <w:rsid w:val="00B93675"/>
    <w:rsid w:val="00B9370A"/>
    <w:rsid w:val="00B937D1"/>
    <w:rsid w:val="00B93857"/>
    <w:rsid w:val="00B939A4"/>
    <w:rsid w:val="00B93A04"/>
    <w:rsid w:val="00B93B3D"/>
    <w:rsid w:val="00B93B90"/>
    <w:rsid w:val="00B93D55"/>
    <w:rsid w:val="00B9400B"/>
    <w:rsid w:val="00B9401E"/>
    <w:rsid w:val="00B9414F"/>
    <w:rsid w:val="00B94187"/>
    <w:rsid w:val="00B941AC"/>
    <w:rsid w:val="00B942B2"/>
    <w:rsid w:val="00B94348"/>
    <w:rsid w:val="00B94437"/>
    <w:rsid w:val="00B9491B"/>
    <w:rsid w:val="00B94993"/>
    <w:rsid w:val="00B949CB"/>
    <w:rsid w:val="00B94A2A"/>
    <w:rsid w:val="00B94A5B"/>
    <w:rsid w:val="00B94B5C"/>
    <w:rsid w:val="00B94F33"/>
    <w:rsid w:val="00B95019"/>
    <w:rsid w:val="00B950C8"/>
    <w:rsid w:val="00B95273"/>
    <w:rsid w:val="00B9543B"/>
    <w:rsid w:val="00B95745"/>
    <w:rsid w:val="00B957C9"/>
    <w:rsid w:val="00B959CE"/>
    <w:rsid w:val="00B95A23"/>
    <w:rsid w:val="00B95A71"/>
    <w:rsid w:val="00B95B09"/>
    <w:rsid w:val="00B95D21"/>
    <w:rsid w:val="00B95D70"/>
    <w:rsid w:val="00B95E7E"/>
    <w:rsid w:val="00B962E2"/>
    <w:rsid w:val="00B96342"/>
    <w:rsid w:val="00B965F0"/>
    <w:rsid w:val="00B967E6"/>
    <w:rsid w:val="00B96A23"/>
    <w:rsid w:val="00B96AD1"/>
    <w:rsid w:val="00B96B85"/>
    <w:rsid w:val="00B96E4F"/>
    <w:rsid w:val="00B96ECB"/>
    <w:rsid w:val="00B96F0C"/>
    <w:rsid w:val="00B96F47"/>
    <w:rsid w:val="00B96F67"/>
    <w:rsid w:val="00B96FE9"/>
    <w:rsid w:val="00B971F8"/>
    <w:rsid w:val="00B97247"/>
    <w:rsid w:val="00B97300"/>
    <w:rsid w:val="00B9751D"/>
    <w:rsid w:val="00B97603"/>
    <w:rsid w:val="00B97737"/>
    <w:rsid w:val="00B9783E"/>
    <w:rsid w:val="00B9799E"/>
    <w:rsid w:val="00B97A47"/>
    <w:rsid w:val="00B97B11"/>
    <w:rsid w:val="00BA020F"/>
    <w:rsid w:val="00BA0593"/>
    <w:rsid w:val="00BA06E7"/>
    <w:rsid w:val="00BA0942"/>
    <w:rsid w:val="00BA0A4C"/>
    <w:rsid w:val="00BA0AA9"/>
    <w:rsid w:val="00BA0D82"/>
    <w:rsid w:val="00BA0F0D"/>
    <w:rsid w:val="00BA1086"/>
    <w:rsid w:val="00BA11DD"/>
    <w:rsid w:val="00BA12C3"/>
    <w:rsid w:val="00BA135A"/>
    <w:rsid w:val="00BA13E1"/>
    <w:rsid w:val="00BA140D"/>
    <w:rsid w:val="00BA1607"/>
    <w:rsid w:val="00BA19B0"/>
    <w:rsid w:val="00BA19B3"/>
    <w:rsid w:val="00BA1A03"/>
    <w:rsid w:val="00BA1A7A"/>
    <w:rsid w:val="00BA1DD7"/>
    <w:rsid w:val="00BA1F03"/>
    <w:rsid w:val="00BA2125"/>
    <w:rsid w:val="00BA2226"/>
    <w:rsid w:val="00BA2380"/>
    <w:rsid w:val="00BA2385"/>
    <w:rsid w:val="00BA25B3"/>
    <w:rsid w:val="00BA29E5"/>
    <w:rsid w:val="00BA29FF"/>
    <w:rsid w:val="00BA2A2B"/>
    <w:rsid w:val="00BA2D91"/>
    <w:rsid w:val="00BA2EAB"/>
    <w:rsid w:val="00BA2EDC"/>
    <w:rsid w:val="00BA3115"/>
    <w:rsid w:val="00BA3259"/>
    <w:rsid w:val="00BA341C"/>
    <w:rsid w:val="00BA3469"/>
    <w:rsid w:val="00BA34AE"/>
    <w:rsid w:val="00BA363D"/>
    <w:rsid w:val="00BA3640"/>
    <w:rsid w:val="00BA3A65"/>
    <w:rsid w:val="00BA3BC8"/>
    <w:rsid w:val="00BA3CAF"/>
    <w:rsid w:val="00BA3CE9"/>
    <w:rsid w:val="00BA3E79"/>
    <w:rsid w:val="00BA3F4E"/>
    <w:rsid w:val="00BA3FE7"/>
    <w:rsid w:val="00BA407A"/>
    <w:rsid w:val="00BA4384"/>
    <w:rsid w:val="00BA43B0"/>
    <w:rsid w:val="00BA4476"/>
    <w:rsid w:val="00BA4609"/>
    <w:rsid w:val="00BA47F8"/>
    <w:rsid w:val="00BA49E8"/>
    <w:rsid w:val="00BA4DCB"/>
    <w:rsid w:val="00BA4E56"/>
    <w:rsid w:val="00BA5354"/>
    <w:rsid w:val="00BA546F"/>
    <w:rsid w:val="00BA56CC"/>
    <w:rsid w:val="00BA57B4"/>
    <w:rsid w:val="00BA58EA"/>
    <w:rsid w:val="00BA5B20"/>
    <w:rsid w:val="00BA5C67"/>
    <w:rsid w:val="00BA5DD2"/>
    <w:rsid w:val="00BA5E07"/>
    <w:rsid w:val="00BA6337"/>
    <w:rsid w:val="00BA63F1"/>
    <w:rsid w:val="00BA65E9"/>
    <w:rsid w:val="00BA661B"/>
    <w:rsid w:val="00BA6665"/>
    <w:rsid w:val="00BA6670"/>
    <w:rsid w:val="00BA676E"/>
    <w:rsid w:val="00BA6BF9"/>
    <w:rsid w:val="00BA6C43"/>
    <w:rsid w:val="00BA6E6C"/>
    <w:rsid w:val="00BA6F41"/>
    <w:rsid w:val="00BA7246"/>
    <w:rsid w:val="00BA7291"/>
    <w:rsid w:val="00BA7362"/>
    <w:rsid w:val="00BA73C4"/>
    <w:rsid w:val="00BA755F"/>
    <w:rsid w:val="00BA7568"/>
    <w:rsid w:val="00BA7659"/>
    <w:rsid w:val="00BA778A"/>
    <w:rsid w:val="00BA782A"/>
    <w:rsid w:val="00BA78F5"/>
    <w:rsid w:val="00BA7B0A"/>
    <w:rsid w:val="00BA7B4F"/>
    <w:rsid w:val="00BA7D53"/>
    <w:rsid w:val="00BA7D5B"/>
    <w:rsid w:val="00BA7FE8"/>
    <w:rsid w:val="00BB0148"/>
    <w:rsid w:val="00BB0247"/>
    <w:rsid w:val="00BB025C"/>
    <w:rsid w:val="00BB02E0"/>
    <w:rsid w:val="00BB0510"/>
    <w:rsid w:val="00BB0864"/>
    <w:rsid w:val="00BB096B"/>
    <w:rsid w:val="00BB0B7E"/>
    <w:rsid w:val="00BB0B85"/>
    <w:rsid w:val="00BB0D58"/>
    <w:rsid w:val="00BB0DD1"/>
    <w:rsid w:val="00BB0E59"/>
    <w:rsid w:val="00BB0EE2"/>
    <w:rsid w:val="00BB1136"/>
    <w:rsid w:val="00BB115E"/>
    <w:rsid w:val="00BB124A"/>
    <w:rsid w:val="00BB1376"/>
    <w:rsid w:val="00BB15CD"/>
    <w:rsid w:val="00BB162F"/>
    <w:rsid w:val="00BB186A"/>
    <w:rsid w:val="00BB1A65"/>
    <w:rsid w:val="00BB1B20"/>
    <w:rsid w:val="00BB1D4C"/>
    <w:rsid w:val="00BB1DE5"/>
    <w:rsid w:val="00BB1E72"/>
    <w:rsid w:val="00BB1F10"/>
    <w:rsid w:val="00BB207D"/>
    <w:rsid w:val="00BB2091"/>
    <w:rsid w:val="00BB219E"/>
    <w:rsid w:val="00BB23B7"/>
    <w:rsid w:val="00BB2443"/>
    <w:rsid w:val="00BB25F7"/>
    <w:rsid w:val="00BB26CD"/>
    <w:rsid w:val="00BB27DE"/>
    <w:rsid w:val="00BB281C"/>
    <w:rsid w:val="00BB2958"/>
    <w:rsid w:val="00BB29E7"/>
    <w:rsid w:val="00BB2A65"/>
    <w:rsid w:val="00BB2B80"/>
    <w:rsid w:val="00BB2E27"/>
    <w:rsid w:val="00BB2F51"/>
    <w:rsid w:val="00BB30A5"/>
    <w:rsid w:val="00BB3258"/>
    <w:rsid w:val="00BB331E"/>
    <w:rsid w:val="00BB35B0"/>
    <w:rsid w:val="00BB37AC"/>
    <w:rsid w:val="00BB3804"/>
    <w:rsid w:val="00BB387B"/>
    <w:rsid w:val="00BB3A87"/>
    <w:rsid w:val="00BB3BEF"/>
    <w:rsid w:val="00BB3DDE"/>
    <w:rsid w:val="00BB3E8C"/>
    <w:rsid w:val="00BB3FD4"/>
    <w:rsid w:val="00BB4880"/>
    <w:rsid w:val="00BB48E2"/>
    <w:rsid w:val="00BB4D37"/>
    <w:rsid w:val="00BB4D61"/>
    <w:rsid w:val="00BB5290"/>
    <w:rsid w:val="00BB52EC"/>
    <w:rsid w:val="00BB5944"/>
    <w:rsid w:val="00BB59E1"/>
    <w:rsid w:val="00BB5BAD"/>
    <w:rsid w:val="00BB5BEE"/>
    <w:rsid w:val="00BB5F41"/>
    <w:rsid w:val="00BB6187"/>
    <w:rsid w:val="00BB65AC"/>
    <w:rsid w:val="00BB68C5"/>
    <w:rsid w:val="00BB694E"/>
    <w:rsid w:val="00BB6A92"/>
    <w:rsid w:val="00BB6C19"/>
    <w:rsid w:val="00BB6D29"/>
    <w:rsid w:val="00BB6E1E"/>
    <w:rsid w:val="00BB6E72"/>
    <w:rsid w:val="00BB7104"/>
    <w:rsid w:val="00BB718A"/>
    <w:rsid w:val="00BB7242"/>
    <w:rsid w:val="00BB73C3"/>
    <w:rsid w:val="00BB7546"/>
    <w:rsid w:val="00BB7583"/>
    <w:rsid w:val="00BB765F"/>
    <w:rsid w:val="00BB79F3"/>
    <w:rsid w:val="00BB7A17"/>
    <w:rsid w:val="00BB7C68"/>
    <w:rsid w:val="00BC0032"/>
    <w:rsid w:val="00BC0120"/>
    <w:rsid w:val="00BC027A"/>
    <w:rsid w:val="00BC02BD"/>
    <w:rsid w:val="00BC065D"/>
    <w:rsid w:val="00BC078D"/>
    <w:rsid w:val="00BC07E3"/>
    <w:rsid w:val="00BC09A0"/>
    <w:rsid w:val="00BC0BEE"/>
    <w:rsid w:val="00BC0DFA"/>
    <w:rsid w:val="00BC0E11"/>
    <w:rsid w:val="00BC0F55"/>
    <w:rsid w:val="00BC10ED"/>
    <w:rsid w:val="00BC126C"/>
    <w:rsid w:val="00BC1384"/>
    <w:rsid w:val="00BC14B4"/>
    <w:rsid w:val="00BC172A"/>
    <w:rsid w:val="00BC1845"/>
    <w:rsid w:val="00BC190B"/>
    <w:rsid w:val="00BC19B9"/>
    <w:rsid w:val="00BC19C2"/>
    <w:rsid w:val="00BC1A0E"/>
    <w:rsid w:val="00BC1A50"/>
    <w:rsid w:val="00BC1AA1"/>
    <w:rsid w:val="00BC1BEB"/>
    <w:rsid w:val="00BC1F2C"/>
    <w:rsid w:val="00BC1FA5"/>
    <w:rsid w:val="00BC2278"/>
    <w:rsid w:val="00BC2381"/>
    <w:rsid w:val="00BC23B0"/>
    <w:rsid w:val="00BC24B3"/>
    <w:rsid w:val="00BC25AD"/>
    <w:rsid w:val="00BC2854"/>
    <w:rsid w:val="00BC289B"/>
    <w:rsid w:val="00BC297D"/>
    <w:rsid w:val="00BC2996"/>
    <w:rsid w:val="00BC2C0E"/>
    <w:rsid w:val="00BC2DE1"/>
    <w:rsid w:val="00BC2FC4"/>
    <w:rsid w:val="00BC2FEE"/>
    <w:rsid w:val="00BC334A"/>
    <w:rsid w:val="00BC335C"/>
    <w:rsid w:val="00BC33AD"/>
    <w:rsid w:val="00BC360B"/>
    <w:rsid w:val="00BC3666"/>
    <w:rsid w:val="00BC371C"/>
    <w:rsid w:val="00BC38F3"/>
    <w:rsid w:val="00BC3996"/>
    <w:rsid w:val="00BC39C3"/>
    <w:rsid w:val="00BC3BFC"/>
    <w:rsid w:val="00BC3D61"/>
    <w:rsid w:val="00BC3E54"/>
    <w:rsid w:val="00BC4065"/>
    <w:rsid w:val="00BC408F"/>
    <w:rsid w:val="00BC41D6"/>
    <w:rsid w:val="00BC4231"/>
    <w:rsid w:val="00BC437E"/>
    <w:rsid w:val="00BC483E"/>
    <w:rsid w:val="00BC4AE4"/>
    <w:rsid w:val="00BC4C33"/>
    <w:rsid w:val="00BC4C9B"/>
    <w:rsid w:val="00BC4D06"/>
    <w:rsid w:val="00BC4E72"/>
    <w:rsid w:val="00BC4EFA"/>
    <w:rsid w:val="00BC51CE"/>
    <w:rsid w:val="00BC520D"/>
    <w:rsid w:val="00BC5249"/>
    <w:rsid w:val="00BC5283"/>
    <w:rsid w:val="00BC52E6"/>
    <w:rsid w:val="00BC5364"/>
    <w:rsid w:val="00BC55BF"/>
    <w:rsid w:val="00BC55E2"/>
    <w:rsid w:val="00BC57E4"/>
    <w:rsid w:val="00BC585C"/>
    <w:rsid w:val="00BC5E64"/>
    <w:rsid w:val="00BC5FF3"/>
    <w:rsid w:val="00BC6205"/>
    <w:rsid w:val="00BC622E"/>
    <w:rsid w:val="00BC62EF"/>
    <w:rsid w:val="00BC63C6"/>
    <w:rsid w:val="00BC6521"/>
    <w:rsid w:val="00BC667F"/>
    <w:rsid w:val="00BC66E0"/>
    <w:rsid w:val="00BC69B8"/>
    <w:rsid w:val="00BC6A99"/>
    <w:rsid w:val="00BC6ACB"/>
    <w:rsid w:val="00BC6B32"/>
    <w:rsid w:val="00BC6C53"/>
    <w:rsid w:val="00BC6C7E"/>
    <w:rsid w:val="00BC6FFB"/>
    <w:rsid w:val="00BC70CB"/>
    <w:rsid w:val="00BC756F"/>
    <w:rsid w:val="00BC75BA"/>
    <w:rsid w:val="00BC78D7"/>
    <w:rsid w:val="00BC7AA4"/>
    <w:rsid w:val="00BC7B84"/>
    <w:rsid w:val="00BC7BBE"/>
    <w:rsid w:val="00BC7BFB"/>
    <w:rsid w:val="00BC7C67"/>
    <w:rsid w:val="00BC7C75"/>
    <w:rsid w:val="00BC7DA5"/>
    <w:rsid w:val="00BC7DDA"/>
    <w:rsid w:val="00BC7E92"/>
    <w:rsid w:val="00BC7F41"/>
    <w:rsid w:val="00BD00EC"/>
    <w:rsid w:val="00BD0550"/>
    <w:rsid w:val="00BD05B9"/>
    <w:rsid w:val="00BD076A"/>
    <w:rsid w:val="00BD07BD"/>
    <w:rsid w:val="00BD0BCB"/>
    <w:rsid w:val="00BD0C7B"/>
    <w:rsid w:val="00BD0CCF"/>
    <w:rsid w:val="00BD0E7E"/>
    <w:rsid w:val="00BD0EC1"/>
    <w:rsid w:val="00BD1418"/>
    <w:rsid w:val="00BD156A"/>
    <w:rsid w:val="00BD15CD"/>
    <w:rsid w:val="00BD1756"/>
    <w:rsid w:val="00BD1AFE"/>
    <w:rsid w:val="00BD1C78"/>
    <w:rsid w:val="00BD1E33"/>
    <w:rsid w:val="00BD205B"/>
    <w:rsid w:val="00BD2092"/>
    <w:rsid w:val="00BD20A0"/>
    <w:rsid w:val="00BD2466"/>
    <w:rsid w:val="00BD2493"/>
    <w:rsid w:val="00BD2498"/>
    <w:rsid w:val="00BD252F"/>
    <w:rsid w:val="00BD28DC"/>
    <w:rsid w:val="00BD2A44"/>
    <w:rsid w:val="00BD2C3E"/>
    <w:rsid w:val="00BD2CB5"/>
    <w:rsid w:val="00BD2D75"/>
    <w:rsid w:val="00BD2F24"/>
    <w:rsid w:val="00BD3044"/>
    <w:rsid w:val="00BD30BF"/>
    <w:rsid w:val="00BD31D8"/>
    <w:rsid w:val="00BD33BE"/>
    <w:rsid w:val="00BD349A"/>
    <w:rsid w:val="00BD34E1"/>
    <w:rsid w:val="00BD3713"/>
    <w:rsid w:val="00BD3816"/>
    <w:rsid w:val="00BD38F9"/>
    <w:rsid w:val="00BD398C"/>
    <w:rsid w:val="00BD39CE"/>
    <w:rsid w:val="00BD3A2C"/>
    <w:rsid w:val="00BD3A33"/>
    <w:rsid w:val="00BD3B09"/>
    <w:rsid w:val="00BD3BED"/>
    <w:rsid w:val="00BD3C62"/>
    <w:rsid w:val="00BD3CC0"/>
    <w:rsid w:val="00BD3FCE"/>
    <w:rsid w:val="00BD3FDA"/>
    <w:rsid w:val="00BD40E1"/>
    <w:rsid w:val="00BD41C7"/>
    <w:rsid w:val="00BD4239"/>
    <w:rsid w:val="00BD4331"/>
    <w:rsid w:val="00BD4631"/>
    <w:rsid w:val="00BD4928"/>
    <w:rsid w:val="00BD493A"/>
    <w:rsid w:val="00BD49DE"/>
    <w:rsid w:val="00BD50FB"/>
    <w:rsid w:val="00BD52ED"/>
    <w:rsid w:val="00BD533F"/>
    <w:rsid w:val="00BD53B9"/>
    <w:rsid w:val="00BD5499"/>
    <w:rsid w:val="00BD55AA"/>
    <w:rsid w:val="00BD5761"/>
    <w:rsid w:val="00BD5787"/>
    <w:rsid w:val="00BD5979"/>
    <w:rsid w:val="00BD5C2F"/>
    <w:rsid w:val="00BD5D09"/>
    <w:rsid w:val="00BD5FDA"/>
    <w:rsid w:val="00BD6104"/>
    <w:rsid w:val="00BD6132"/>
    <w:rsid w:val="00BD632A"/>
    <w:rsid w:val="00BD63B8"/>
    <w:rsid w:val="00BD6552"/>
    <w:rsid w:val="00BD6834"/>
    <w:rsid w:val="00BD6947"/>
    <w:rsid w:val="00BD696E"/>
    <w:rsid w:val="00BD6B66"/>
    <w:rsid w:val="00BD6D1F"/>
    <w:rsid w:val="00BD71AD"/>
    <w:rsid w:val="00BD7548"/>
    <w:rsid w:val="00BD76A5"/>
    <w:rsid w:val="00BD772A"/>
    <w:rsid w:val="00BD774C"/>
    <w:rsid w:val="00BD7ABF"/>
    <w:rsid w:val="00BD7B3B"/>
    <w:rsid w:val="00BD7D19"/>
    <w:rsid w:val="00BD7E28"/>
    <w:rsid w:val="00BE0310"/>
    <w:rsid w:val="00BE050F"/>
    <w:rsid w:val="00BE0A43"/>
    <w:rsid w:val="00BE0A91"/>
    <w:rsid w:val="00BE0B9E"/>
    <w:rsid w:val="00BE0D44"/>
    <w:rsid w:val="00BE0D7A"/>
    <w:rsid w:val="00BE0DF6"/>
    <w:rsid w:val="00BE0FAC"/>
    <w:rsid w:val="00BE115F"/>
    <w:rsid w:val="00BE135D"/>
    <w:rsid w:val="00BE13AD"/>
    <w:rsid w:val="00BE1469"/>
    <w:rsid w:val="00BE1848"/>
    <w:rsid w:val="00BE19AD"/>
    <w:rsid w:val="00BE1F55"/>
    <w:rsid w:val="00BE20AE"/>
    <w:rsid w:val="00BE21CE"/>
    <w:rsid w:val="00BE2420"/>
    <w:rsid w:val="00BE248C"/>
    <w:rsid w:val="00BE24C4"/>
    <w:rsid w:val="00BE25C4"/>
    <w:rsid w:val="00BE299D"/>
    <w:rsid w:val="00BE2BA5"/>
    <w:rsid w:val="00BE2C81"/>
    <w:rsid w:val="00BE2EC5"/>
    <w:rsid w:val="00BE2F4C"/>
    <w:rsid w:val="00BE300E"/>
    <w:rsid w:val="00BE301E"/>
    <w:rsid w:val="00BE3083"/>
    <w:rsid w:val="00BE3196"/>
    <w:rsid w:val="00BE3410"/>
    <w:rsid w:val="00BE36F4"/>
    <w:rsid w:val="00BE37C1"/>
    <w:rsid w:val="00BE37C7"/>
    <w:rsid w:val="00BE386A"/>
    <w:rsid w:val="00BE390D"/>
    <w:rsid w:val="00BE39B5"/>
    <w:rsid w:val="00BE39D9"/>
    <w:rsid w:val="00BE3AA0"/>
    <w:rsid w:val="00BE3BB9"/>
    <w:rsid w:val="00BE3C45"/>
    <w:rsid w:val="00BE3F55"/>
    <w:rsid w:val="00BE4109"/>
    <w:rsid w:val="00BE467E"/>
    <w:rsid w:val="00BE4A83"/>
    <w:rsid w:val="00BE4A97"/>
    <w:rsid w:val="00BE4E72"/>
    <w:rsid w:val="00BE50AC"/>
    <w:rsid w:val="00BE5101"/>
    <w:rsid w:val="00BE5196"/>
    <w:rsid w:val="00BE539C"/>
    <w:rsid w:val="00BE558E"/>
    <w:rsid w:val="00BE572F"/>
    <w:rsid w:val="00BE59F3"/>
    <w:rsid w:val="00BE5B22"/>
    <w:rsid w:val="00BE5B6D"/>
    <w:rsid w:val="00BE5C6E"/>
    <w:rsid w:val="00BE5CC8"/>
    <w:rsid w:val="00BE5CD8"/>
    <w:rsid w:val="00BE5CFF"/>
    <w:rsid w:val="00BE6154"/>
    <w:rsid w:val="00BE6176"/>
    <w:rsid w:val="00BE627E"/>
    <w:rsid w:val="00BE6291"/>
    <w:rsid w:val="00BE637E"/>
    <w:rsid w:val="00BE654A"/>
    <w:rsid w:val="00BE656F"/>
    <w:rsid w:val="00BE6659"/>
    <w:rsid w:val="00BE67D2"/>
    <w:rsid w:val="00BE686E"/>
    <w:rsid w:val="00BE68AA"/>
    <w:rsid w:val="00BE68F7"/>
    <w:rsid w:val="00BE6903"/>
    <w:rsid w:val="00BE6BC7"/>
    <w:rsid w:val="00BE6BCC"/>
    <w:rsid w:val="00BE7043"/>
    <w:rsid w:val="00BE7063"/>
    <w:rsid w:val="00BE712B"/>
    <w:rsid w:val="00BE735B"/>
    <w:rsid w:val="00BE7428"/>
    <w:rsid w:val="00BE74E8"/>
    <w:rsid w:val="00BE799A"/>
    <w:rsid w:val="00BE79A8"/>
    <w:rsid w:val="00BE7A8D"/>
    <w:rsid w:val="00BE7B1E"/>
    <w:rsid w:val="00BE7B92"/>
    <w:rsid w:val="00BE7EEA"/>
    <w:rsid w:val="00BF012C"/>
    <w:rsid w:val="00BF0160"/>
    <w:rsid w:val="00BF035F"/>
    <w:rsid w:val="00BF041B"/>
    <w:rsid w:val="00BF0652"/>
    <w:rsid w:val="00BF069C"/>
    <w:rsid w:val="00BF06DD"/>
    <w:rsid w:val="00BF070D"/>
    <w:rsid w:val="00BF071F"/>
    <w:rsid w:val="00BF073A"/>
    <w:rsid w:val="00BF0839"/>
    <w:rsid w:val="00BF0A7E"/>
    <w:rsid w:val="00BF0ABD"/>
    <w:rsid w:val="00BF0BA0"/>
    <w:rsid w:val="00BF0D5D"/>
    <w:rsid w:val="00BF0F4D"/>
    <w:rsid w:val="00BF0FC9"/>
    <w:rsid w:val="00BF0FD7"/>
    <w:rsid w:val="00BF1057"/>
    <w:rsid w:val="00BF147D"/>
    <w:rsid w:val="00BF16D5"/>
    <w:rsid w:val="00BF172B"/>
    <w:rsid w:val="00BF19D5"/>
    <w:rsid w:val="00BF1C0B"/>
    <w:rsid w:val="00BF1D87"/>
    <w:rsid w:val="00BF1EE7"/>
    <w:rsid w:val="00BF1F8B"/>
    <w:rsid w:val="00BF21DC"/>
    <w:rsid w:val="00BF21EE"/>
    <w:rsid w:val="00BF2416"/>
    <w:rsid w:val="00BF26D5"/>
    <w:rsid w:val="00BF2911"/>
    <w:rsid w:val="00BF2984"/>
    <w:rsid w:val="00BF2AFB"/>
    <w:rsid w:val="00BF2C79"/>
    <w:rsid w:val="00BF3179"/>
    <w:rsid w:val="00BF33D0"/>
    <w:rsid w:val="00BF34FB"/>
    <w:rsid w:val="00BF3632"/>
    <w:rsid w:val="00BF37FF"/>
    <w:rsid w:val="00BF3836"/>
    <w:rsid w:val="00BF38E1"/>
    <w:rsid w:val="00BF38FB"/>
    <w:rsid w:val="00BF3BB9"/>
    <w:rsid w:val="00BF3D02"/>
    <w:rsid w:val="00BF3D4E"/>
    <w:rsid w:val="00BF3FF9"/>
    <w:rsid w:val="00BF4154"/>
    <w:rsid w:val="00BF4209"/>
    <w:rsid w:val="00BF42C6"/>
    <w:rsid w:val="00BF42F8"/>
    <w:rsid w:val="00BF4353"/>
    <w:rsid w:val="00BF4455"/>
    <w:rsid w:val="00BF4574"/>
    <w:rsid w:val="00BF4701"/>
    <w:rsid w:val="00BF4709"/>
    <w:rsid w:val="00BF478B"/>
    <w:rsid w:val="00BF492C"/>
    <w:rsid w:val="00BF4987"/>
    <w:rsid w:val="00BF49AA"/>
    <w:rsid w:val="00BF49D7"/>
    <w:rsid w:val="00BF4EC8"/>
    <w:rsid w:val="00BF4FFD"/>
    <w:rsid w:val="00BF5038"/>
    <w:rsid w:val="00BF50DB"/>
    <w:rsid w:val="00BF521F"/>
    <w:rsid w:val="00BF5235"/>
    <w:rsid w:val="00BF529C"/>
    <w:rsid w:val="00BF557C"/>
    <w:rsid w:val="00BF5789"/>
    <w:rsid w:val="00BF57CE"/>
    <w:rsid w:val="00BF5C89"/>
    <w:rsid w:val="00BF5D9B"/>
    <w:rsid w:val="00BF5E88"/>
    <w:rsid w:val="00BF5EBE"/>
    <w:rsid w:val="00BF5F11"/>
    <w:rsid w:val="00BF6224"/>
    <w:rsid w:val="00BF62DC"/>
    <w:rsid w:val="00BF6794"/>
    <w:rsid w:val="00BF69D1"/>
    <w:rsid w:val="00BF6AA9"/>
    <w:rsid w:val="00BF6BB1"/>
    <w:rsid w:val="00BF70FD"/>
    <w:rsid w:val="00BF715A"/>
    <w:rsid w:val="00BF73E8"/>
    <w:rsid w:val="00BF77BF"/>
    <w:rsid w:val="00BF7881"/>
    <w:rsid w:val="00BF7A6A"/>
    <w:rsid w:val="00BF7B8F"/>
    <w:rsid w:val="00BF7BC9"/>
    <w:rsid w:val="00BF7CAA"/>
    <w:rsid w:val="00BF7CD2"/>
    <w:rsid w:val="00BF7F25"/>
    <w:rsid w:val="00C00069"/>
    <w:rsid w:val="00C00075"/>
    <w:rsid w:val="00C0022E"/>
    <w:rsid w:val="00C00276"/>
    <w:rsid w:val="00C004B2"/>
    <w:rsid w:val="00C00580"/>
    <w:rsid w:val="00C0063E"/>
    <w:rsid w:val="00C006D8"/>
    <w:rsid w:val="00C0075D"/>
    <w:rsid w:val="00C008F7"/>
    <w:rsid w:val="00C00992"/>
    <w:rsid w:val="00C009AB"/>
    <w:rsid w:val="00C00BC2"/>
    <w:rsid w:val="00C00CDF"/>
    <w:rsid w:val="00C00D45"/>
    <w:rsid w:val="00C00D4C"/>
    <w:rsid w:val="00C00F7F"/>
    <w:rsid w:val="00C0101E"/>
    <w:rsid w:val="00C01044"/>
    <w:rsid w:val="00C0121F"/>
    <w:rsid w:val="00C01403"/>
    <w:rsid w:val="00C01447"/>
    <w:rsid w:val="00C01577"/>
    <w:rsid w:val="00C0163B"/>
    <w:rsid w:val="00C01D31"/>
    <w:rsid w:val="00C01DA5"/>
    <w:rsid w:val="00C01ECE"/>
    <w:rsid w:val="00C01EF8"/>
    <w:rsid w:val="00C01F2B"/>
    <w:rsid w:val="00C02127"/>
    <w:rsid w:val="00C0216F"/>
    <w:rsid w:val="00C022D8"/>
    <w:rsid w:val="00C02305"/>
    <w:rsid w:val="00C02463"/>
    <w:rsid w:val="00C02572"/>
    <w:rsid w:val="00C02868"/>
    <w:rsid w:val="00C02A99"/>
    <w:rsid w:val="00C02B18"/>
    <w:rsid w:val="00C02C5D"/>
    <w:rsid w:val="00C02F19"/>
    <w:rsid w:val="00C03007"/>
    <w:rsid w:val="00C035B9"/>
    <w:rsid w:val="00C03675"/>
    <w:rsid w:val="00C03BE2"/>
    <w:rsid w:val="00C0401D"/>
    <w:rsid w:val="00C040DA"/>
    <w:rsid w:val="00C04116"/>
    <w:rsid w:val="00C0419D"/>
    <w:rsid w:val="00C04299"/>
    <w:rsid w:val="00C042D4"/>
    <w:rsid w:val="00C043D6"/>
    <w:rsid w:val="00C04960"/>
    <w:rsid w:val="00C04B03"/>
    <w:rsid w:val="00C04C62"/>
    <w:rsid w:val="00C04CE9"/>
    <w:rsid w:val="00C04F0D"/>
    <w:rsid w:val="00C051D9"/>
    <w:rsid w:val="00C05263"/>
    <w:rsid w:val="00C05351"/>
    <w:rsid w:val="00C05693"/>
    <w:rsid w:val="00C0573C"/>
    <w:rsid w:val="00C057D8"/>
    <w:rsid w:val="00C05A82"/>
    <w:rsid w:val="00C05B6C"/>
    <w:rsid w:val="00C05B6F"/>
    <w:rsid w:val="00C05CA5"/>
    <w:rsid w:val="00C05DC6"/>
    <w:rsid w:val="00C05DFE"/>
    <w:rsid w:val="00C05E99"/>
    <w:rsid w:val="00C05F38"/>
    <w:rsid w:val="00C05F6C"/>
    <w:rsid w:val="00C06027"/>
    <w:rsid w:val="00C0609F"/>
    <w:rsid w:val="00C060D7"/>
    <w:rsid w:val="00C061ED"/>
    <w:rsid w:val="00C061FB"/>
    <w:rsid w:val="00C0624B"/>
    <w:rsid w:val="00C06371"/>
    <w:rsid w:val="00C063BF"/>
    <w:rsid w:val="00C06507"/>
    <w:rsid w:val="00C06553"/>
    <w:rsid w:val="00C06567"/>
    <w:rsid w:val="00C06870"/>
    <w:rsid w:val="00C069EE"/>
    <w:rsid w:val="00C06D31"/>
    <w:rsid w:val="00C06E4A"/>
    <w:rsid w:val="00C06F11"/>
    <w:rsid w:val="00C06F8E"/>
    <w:rsid w:val="00C07252"/>
    <w:rsid w:val="00C074F4"/>
    <w:rsid w:val="00C076E4"/>
    <w:rsid w:val="00C07886"/>
    <w:rsid w:val="00C07B56"/>
    <w:rsid w:val="00C07E5E"/>
    <w:rsid w:val="00C100EB"/>
    <w:rsid w:val="00C10125"/>
    <w:rsid w:val="00C1012A"/>
    <w:rsid w:val="00C10266"/>
    <w:rsid w:val="00C102F3"/>
    <w:rsid w:val="00C104A8"/>
    <w:rsid w:val="00C1058F"/>
    <w:rsid w:val="00C10622"/>
    <w:rsid w:val="00C1072E"/>
    <w:rsid w:val="00C107E3"/>
    <w:rsid w:val="00C10B5D"/>
    <w:rsid w:val="00C10EDC"/>
    <w:rsid w:val="00C11204"/>
    <w:rsid w:val="00C113ED"/>
    <w:rsid w:val="00C11484"/>
    <w:rsid w:val="00C11AFB"/>
    <w:rsid w:val="00C11B36"/>
    <w:rsid w:val="00C11D44"/>
    <w:rsid w:val="00C11F35"/>
    <w:rsid w:val="00C11F71"/>
    <w:rsid w:val="00C121DA"/>
    <w:rsid w:val="00C1220D"/>
    <w:rsid w:val="00C12313"/>
    <w:rsid w:val="00C1255B"/>
    <w:rsid w:val="00C12625"/>
    <w:rsid w:val="00C129EE"/>
    <w:rsid w:val="00C12A90"/>
    <w:rsid w:val="00C12E83"/>
    <w:rsid w:val="00C12F7E"/>
    <w:rsid w:val="00C12F7F"/>
    <w:rsid w:val="00C13011"/>
    <w:rsid w:val="00C13250"/>
    <w:rsid w:val="00C13276"/>
    <w:rsid w:val="00C13286"/>
    <w:rsid w:val="00C1328F"/>
    <w:rsid w:val="00C133FE"/>
    <w:rsid w:val="00C13569"/>
    <w:rsid w:val="00C135A7"/>
    <w:rsid w:val="00C13856"/>
    <w:rsid w:val="00C13A04"/>
    <w:rsid w:val="00C13A83"/>
    <w:rsid w:val="00C13E3F"/>
    <w:rsid w:val="00C13F52"/>
    <w:rsid w:val="00C14151"/>
    <w:rsid w:val="00C149C4"/>
    <w:rsid w:val="00C14BF9"/>
    <w:rsid w:val="00C14CC5"/>
    <w:rsid w:val="00C14E51"/>
    <w:rsid w:val="00C15000"/>
    <w:rsid w:val="00C150A0"/>
    <w:rsid w:val="00C151E7"/>
    <w:rsid w:val="00C15969"/>
    <w:rsid w:val="00C15A83"/>
    <w:rsid w:val="00C15BE7"/>
    <w:rsid w:val="00C15DA0"/>
    <w:rsid w:val="00C162B6"/>
    <w:rsid w:val="00C1637B"/>
    <w:rsid w:val="00C165F0"/>
    <w:rsid w:val="00C1666D"/>
    <w:rsid w:val="00C16785"/>
    <w:rsid w:val="00C16844"/>
    <w:rsid w:val="00C16AE5"/>
    <w:rsid w:val="00C16D18"/>
    <w:rsid w:val="00C170AD"/>
    <w:rsid w:val="00C171A2"/>
    <w:rsid w:val="00C1722B"/>
    <w:rsid w:val="00C1741D"/>
    <w:rsid w:val="00C17532"/>
    <w:rsid w:val="00C1756D"/>
    <w:rsid w:val="00C17593"/>
    <w:rsid w:val="00C17702"/>
    <w:rsid w:val="00C178D3"/>
    <w:rsid w:val="00C17BE1"/>
    <w:rsid w:val="00C17CE6"/>
    <w:rsid w:val="00C17F09"/>
    <w:rsid w:val="00C200DE"/>
    <w:rsid w:val="00C201CB"/>
    <w:rsid w:val="00C20236"/>
    <w:rsid w:val="00C202A2"/>
    <w:rsid w:val="00C20693"/>
    <w:rsid w:val="00C20976"/>
    <w:rsid w:val="00C20AA1"/>
    <w:rsid w:val="00C20B9D"/>
    <w:rsid w:val="00C20BC9"/>
    <w:rsid w:val="00C20C19"/>
    <w:rsid w:val="00C20C3D"/>
    <w:rsid w:val="00C20F15"/>
    <w:rsid w:val="00C20FF9"/>
    <w:rsid w:val="00C21110"/>
    <w:rsid w:val="00C21187"/>
    <w:rsid w:val="00C21311"/>
    <w:rsid w:val="00C215B5"/>
    <w:rsid w:val="00C215DB"/>
    <w:rsid w:val="00C215E2"/>
    <w:rsid w:val="00C217DC"/>
    <w:rsid w:val="00C217F4"/>
    <w:rsid w:val="00C21826"/>
    <w:rsid w:val="00C21A2B"/>
    <w:rsid w:val="00C21A3C"/>
    <w:rsid w:val="00C21A85"/>
    <w:rsid w:val="00C21AE1"/>
    <w:rsid w:val="00C21B38"/>
    <w:rsid w:val="00C21B8F"/>
    <w:rsid w:val="00C21BD7"/>
    <w:rsid w:val="00C21F66"/>
    <w:rsid w:val="00C22095"/>
    <w:rsid w:val="00C2218E"/>
    <w:rsid w:val="00C2226A"/>
    <w:rsid w:val="00C22320"/>
    <w:rsid w:val="00C223C2"/>
    <w:rsid w:val="00C229F6"/>
    <w:rsid w:val="00C22E3E"/>
    <w:rsid w:val="00C2306C"/>
    <w:rsid w:val="00C231D1"/>
    <w:rsid w:val="00C232E1"/>
    <w:rsid w:val="00C233EA"/>
    <w:rsid w:val="00C23440"/>
    <w:rsid w:val="00C235E5"/>
    <w:rsid w:val="00C2378F"/>
    <w:rsid w:val="00C238F4"/>
    <w:rsid w:val="00C23933"/>
    <w:rsid w:val="00C239B8"/>
    <w:rsid w:val="00C239EC"/>
    <w:rsid w:val="00C23B16"/>
    <w:rsid w:val="00C23B8F"/>
    <w:rsid w:val="00C23CE7"/>
    <w:rsid w:val="00C23EFF"/>
    <w:rsid w:val="00C23F2B"/>
    <w:rsid w:val="00C23FDC"/>
    <w:rsid w:val="00C2407B"/>
    <w:rsid w:val="00C2413C"/>
    <w:rsid w:val="00C24236"/>
    <w:rsid w:val="00C242C7"/>
    <w:rsid w:val="00C245A8"/>
    <w:rsid w:val="00C24647"/>
    <w:rsid w:val="00C248F8"/>
    <w:rsid w:val="00C24C6A"/>
    <w:rsid w:val="00C24C7F"/>
    <w:rsid w:val="00C24D35"/>
    <w:rsid w:val="00C24D42"/>
    <w:rsid w:val="00C24E43"/>
    <w:rsid w:val="00C24ED3"/>
    <w:rsid w:val="00C250E5"/>
    <w:rsid w:val="00C2524C"/>
    <w:rsid w:val="00C2551B"/>
    <w:rsid w:val="00C2551D"/>
    <w:rsid w:val="00C2558B"/>
    <w:rsid w:val="00C25740"/>
    <w:rsid w:val="00C2591D"/>
    <w:rsid w:val="00C25A96"/>
    <w:rsid w:val="00C25CF3"/>
    <w:rsid w:val="00C25E87"/>
    <w:rsid w:val="00C25EA8"/>
    <w:rsid w:val="00C261B4"/>
    <w:rsid w:val="00C26231"/>
    <w:rsid w:val="00C263AD"/>
    <w:rsid w:val="00C264AA"/>
    <w:rsid w:val="00C264E5"/>
    <w:rsid w:val="00C267F7"/>
    <w:rsid w:val="00C26E7F"/>
    <w:rsid w:val="00C270AD"/>
    <w:rsid w:val="00C271D1"/>
    <w:rsid w:val="00C272C9"/>
    <w:rsid w:val="00C273B5"/>
    <w:rsid w:val="00C274E8"/>
    <w:rsid w:val="00C2752D"/>
    <w:rsid w:val="00C27568"/>
    <w:rsid w:val="00C276EC"/>
    <w:rsid w:val="00C277A8"/>
    <w:rsid w:val="00C278B9"/>
    <w:rsid w:val="00C2798F"/>
    <w:rsid w:val="00C279AB"/>
    <w:rsid w:val="00C279C5"/>
    <w:rsid w:val="00C27A80"/>
    <w:rsid w:val="00C27A89"/>
    <w:rsid w:val="00C27BB2"/>
    <w:rsid w:val="00C27C1F"/>
    <w:rsid w:val="00C27C48"/>
    <w:rsid w:val="00C27D01"/>
    <w:rsid w:val="00C27DF7"/>
    <w:rsid w:val="00C27E0E"/>
    <w:rsid w:val="00C27E6E"/>
    <w:rsid w:val="00C27E79"/>
    <w:rsid w:val="00C3006D"/>
    <w:rsid w:val="00C3011A"/>
    <w:rsid w:val="00C302B0"/>
    <w:rsid w:val="00C302B7"/>
    <w:rsid w:val="00C303EA"/>
    <w:rsid w:val="00C3044D"/>
    <w:rsid w:val="00C30618"/>
    <w:rsid w:val="00C30786"/>
    <w:rsid w:val="00C30A53"/>
    <w:rsid w:val="00C30BB6"/>
    <w:rsid w:val="00C30BD0"/>
    <w:rsid w:val="00C3136A"/>
    <w:rsid w:val="00C3146D"/>
    <w:rsid w:val="00C31509"/>
    <w:rsid w:val="00C3156D"/>
    <w:rsid w:val="00C3157A"/>
    <w:rsid w:val="00C31611"/>
    <w:rsid w:val="00C316DA"/>
    <w:rsid w:val="00C317BE"/>
    <w:rsid w:val="00C317DC"/>
    <w:rsid w:val="00C31A78"/>
    <w:rsid w:val="00C31D22"/>
    <w:rsid w:val="00C31D53"/>
    <w:rsid w:val="00C31E7A"/>
    <w:rsid w:val="00C32303"/>
    <w:rsid w:val="00C32650"/>
    <w:rsid w:val="00C3270C"/>
    <w:rsid w:val="00C32758"/>
    <w:rsid w:val="00C327E4"/>
    <w:rsid w:val="00C3291C"/>
    <w:rsid w:val="00C329B3"/>
    <w:rsid w:val="00C32B2D"/>
    <w:rsid w:val="00C32C0E"/>
    <w:rsid w:val="00C32C62"/>
    <w:rsid w:val="00C32E3F"/>
    <w:rsid w:val="00C33129"/>
    <w:rsid w:val="00C33389"/>
    <w:rsid w:val="00C333C2"/>
    <w:rsid w:val="00C33A24"/>
    <w:rsid w:val="00C3409B"/>
    <w:rsid w:val="00C3441E"/>
    <w:rsid w:val="00C34478"/>
    <w:rsid w:val="00C344AA"/>
    <w:rsid w:val="00C346D1"/>
    <w:rsid w:val="00C34728"/>
    <w:rsid w:val="00C34834"/>
    <w:rsid w:val="00C34890"/>
    <w:rsid w:val="00C34CDB"/>
    <w:rsid w:val="00C34DE7"/>
    <w:rsid w:val="00C3503A"/>
    <w:rsid w:val="00C3515E"/>
    <w:rsid w:val="00C352FF"/>
    <w:rsid w:val="00C3546E"/>
    <w:rsid w:val="00C355E0"/>
    <w:rsid w:val="00C356FE"/>
    <w:rsid w:val="00C35883"/>
    <w:rsid w:val="00C3593C"/>
    <w:rsid w:val="00C35A18"/>
    <w:rsid w:val="00C35B6F"/>
    <w:rsid w:val="00C35E11"/>
    <w:rsid w:val="00C35E4B"/>
    <w:rsid w:val="00C35ED6"/>
    <w:rsid w:val="00C360A1"/>
    <w:rsid w:val="00C36452"/>
    <w:rsid w:val="00C3670F"/>
    <w:rsid w:val="00C3682D"/>
    <w:rsid w:val="00C36971"/>
    <w:rsid w:val="00C369E6"/>
    <w:rsid w:val="00C36B23"/>
    <w:rsid w:val="00C36BA0"/>
    <w:rsid w:val="00C36C86"/>
    <w:rsid w:val="00C36DC2"/>
    <w:rsid w:val="00C37020"/>
    <w:rsid w:val="00C37609"/>
    <w:rsid w:val="00C3765E"/>
    <w:rsid w:val="00C37842"/>
    <w:rsid w:val="00C37850"/>
    <w:rsid w:val="00C379FD"/>
    <w:rsid w:val="00C37A9F"/>
    <w:rsid w:val="00C37DF6"/>
    <w:rsid w:val="00C37E8A"/>
    <w:rsid w:val="00C37F2B"/>
    <w:rsid w:val="00C400A5"/>
    <w:rsid w:val="00C40217"/>
    <w:rsid w:val="00C40400"/>
    <w:rsid w:val="00C40477"/>
    <w:rsid w:val="00C4053E"/>
    <w:rsid w:val="00C405A4"/>
    <w:rsid w:val="00C40713"/>
    <w:rsid w:val="00C4076C"/>
    <w:rsid w:val="00C408F9"/>
    <w:rsid w:val="00C40AD6"/>
    <w:rsid w:val="00C40B96"/>
    <w:rsid w:val="00C40D9D"/>
    <w:rsid w:val="00C40D9F"/>
    <w:rsid w:val="00C40DB0"/>
    <w:rsid w:val="00C41029"/>
    <w:rsid w:val="00C41142"/>
    <w:rsid w:val="00C41171"/>
    <w:rsid w:val="00C412AC"/>
    <w:rsid w:val="00C412AF"/>
    <w:rsid w:val="00C412B4"/>
    <w:rsid w:val="00C413C3"/>
    <w:rsid w:val="00C41404"/>
    <w:rsid w:val="00C41490"/>
    <w:rsid w:val="00C414FD"/>
    <w:rsid w:val="00C41528"/>
    <w:rsid w:val="00C41614"/>
    <w:rsid w:val="00C41665"/>
    <w:rsid w:val="00C41848"/>
    <w:rsid w:val="00C41B84"/>
    <w:rsid w:val="00C41CEB"/>
    <w:rsid w:val="00C41DD8"/>
    <w:rsid w:val="00C421CD"/>
    <w:rsid w:val="00C4239B"/>
    <w:rsid w:val="00C424C4"/>
    <w:rsid w:val="00C424FD"/>
    <w:rsid w:val="00C4275E"/>
    <w:rsid w:val="00C4283B"/>
    <w:rsid w:val="00C4293F"/>
    <w:rsid w:val="00C42CDB"/>
    <w:rsid w:val="00C42CDF"/>
    <w:rsid w:val="00C42E09"/>
    <w:rsid w:val="00C42E20"/>
    <w:rsid w:val="00C42E42"/>
    <w:rsid w:val="00C42F4E"/>
    <w:rsid w:val="00C43030"/>
    <w:rsid w:val="00C430DD"/>
    <w:rsid w:val="00C43211"/>
    <w:rsid w:val="00C432CC"/>
    <w:rsid w:val="00C4353E"/>
    <w:rsid w:val="00C43738"/>
    <w:rsid w:val="00C4381F"/>
    <w:rsid w:val="00C438B8"/>
    <w:rsid w:val="00C43931"/>
    <w:rsid w:val="00C43A72"/>
    <w:rsid w:val="00C43B52"/>
    <w:rsid w:val="00C43C36"/>
    <w:rsid w:val="00C43CD3"/>
    <w:rsid w:val="00C43CFB"/>
    <w:rsid w:val="00C43DC3"/>
    <w:rsid w:val="00C43E69"/>
    <w:rsid w:val="00C43EF6"/>
    <w:rsid w:val="00C44098"/>
    <w:rsid w:val="00C44148"/>
    <w:rsid w:val="00C44195"/>
    <w:rsid w:val="00C4443D"/>
    <w:rsid w:val="00C44456"/>
    <w:rsid w:val="00C445DD"/>
    <w:rsid w:val="00C44A03"/>
    <w:rsid w:val="00C44ADA"/>
    <w:rsid w:val="00C44ED7"/>
    <w:rsid w:val="00C4502E"/>
    <w:rsid w:val="00C450D0"/>
    <w:rsid w:val="00C45100"/>
    <w:rsid w:val="00C45566"/>
    <w:rsid w:val="00C45C7D"/>
    <w:rsid w:val="00C45D7F"/>
    <w:rsid w:val="00C45E9D"/>
    <w:rsid w:val="00C45F99"/>
    <w:rsid w:val="00C460A5"/>
    <w:rsid w:val="00C461BE"/>
    <w:rsid w:val="00C46269"/>
    <w:rsid w:val="00C4637C"/>
    <w:rsid w:val="00C464BC"/>
    <w:rsid w:val="00C46670"/>
    <w:rsid w:val="00C46691"/>
    <w:rsid w:val="00C46783"/>
    <w:rsid w:val="00C46787"/>
    <w:rsid w:val="00C468A1"/>
    <w:rsid w:val="00C46908"/>
    <w:rsid w:val="00C46A0E"/>
    <w:rsid w:val="00C46AC6"/>
    <w:rsid w:val="00C46C98"/>
    <w:rsid w:val="00C46CD3"/>
    <w:rsid w:val="00C46EAD"/>
    <w:rsid w:val="00C470D1"/>
    <w:rsid w:val="00C4713E"/>
    <w:rsid w:val="00C47223"/>
    <w:rsid w:val="00C472BB"/>
    <w:rsid w:val="00C473C1"/>
    <w:rsid w:val="00C47951"/>
    <w:rsid w:val="00C47ACA"/>
    <w:rsid w:val="00C47C71"/>
    <w:rsid w:val="00C5016E"/>
    <w:rsid w:val="00C501C1"/>
    <w:rsid w:val="00C501EE"/>
    <w:rsid w:val="00C50520"/>
    <w:rsid w:val="00C5091D"/>
    <w:rsid w:val="00C50AF5"/>
    <w:rsid w:val="00C50BA4"/>
    <w:rsid w:val="00C50CCC"/>
    <w:rsid w:val="00C50CDA"/>
    <w:rsid w:val="00C50DDA"/>
    <w:rsid w:val="00C50E48"/>
    <w:rsid w:val="00C50FB1"/>
    <w:rsid w:val="00C51066"/>
    <w:rsid w:val="00C51173"/>
    <w:rsid w:val="00C512B4"/>
    <w:rsid w:val="00C51472"/>
    <w:rsid w:val="00C518B3"/>
    <w:rsid w:val="00C51E76"/>
    <w:rsid w:val="00C51FE2"/>
    <w:rsid w:val="00C52062"/>
    <w:rsid w:val="00C52248"/>
    <w:rsid w:val="00C5280E"/>
    <w:rsid w:val="00C52851"/>
    <w:rsid w:val="00C529F5"/>
    <w:rsid w:val="00C531D1"/>
    <w:rsid w:val="00C5366E"/>
    <w:rsid w:val="00C53707"/>
    <w:rsid w:val="00C53782"/>
    <w:rsid w:val="00C538DF"/>
    <w:rsid w:val="00C53968"/>
    <w:rsid w:val="00C53BED"/>
    <w:rsid w:val="00C53D2D"/>
    <w:rsid w:val="00C53FD3"/>
    <w:rsid w:val="00C54033"/>
    <w:rsid w:val="00C541B8"/>
    <w:rsid w:val="00C543E2"/>
    <w:rsid w:val="00C54415"/>
    <w:rsid w:val="00C544BF"/>
    <w:rsid w:val="00C5471C"/>
    <w:rsid w:val="00C54960"/>
    <w:rsid w:val="00C54B81"/>
    <w:rsid w:val="00C54C52"/>
    <w:rsid w:val="00C54E6E"/>
    <w:rsid w:val="00C54F60"/>
    <w:rsid w:val="00C54FC1"/>
    <w:rsid w:val="00C55065"/>
    <w:rsid w:val="00C55174"/>
    <w:rsid w:val="00C55392"/>
    <w:rsid w:val="00C553B0"/>
    <w:rsid w:val="00C5557F"/>
    <w:rsid w:val="00C555F7"/>
    <w:rsid w:val="00C55613"/>
    <w:rsid w:val="00C55675"/>
    <w:rsid w:val="00C557DE"/>
    <w:rsid w:val="00C55948"/>
    <w:rsid w:val="00C55B64"/>
    <w:rsid w:val="00C55B69"/>
    <w:rsid w:val="00C55D9F"/>
    <w:rsid w:val="00C55E20"/>
    <w:rsid w:val="00C56087"/>
    <w:rsid w:val="00C56600"/>
    <w:rsid w:val="00C56699"/>
    <w:rsid w:val="00C56712"/>
    <w:rsid w:val="00C56876"/>
    <w:rsid w:val="00C56A1B"/>
    <w:rsid w:val="00C56B0F"/>
    <w:rsid w:val="00C56B79"/>
    <w:rsid w:val="00C56E84"/>
    <w:rsid w:val="00C56F6C"/>
    <w:rsid w:val="00C57020"/>
    <w:rsid w:val="00C570A9"/>
    <w:rsid w:val="00C572E0"/>
    <w:rsid w:val="00C57334"/>
    <w:rsid w:val="00C5739A"/>
    <w:rsid w:val="00C574F3"/>
    <w:rsid w:val="00C57B51"/>
    <w:rsid w:val="00C57B81"/>
    <w:rsid w:val="00C57C90"/>
    <w:rsid w:val="00C57E39"/>
    <w:rsid w:val="00C57ECF"/>
    <w:rsid w:val="00C60095"/>
    <w:rsid w:val="00C6012A"/>
    <w:rsid w:val="00C601D0"/>
    <w:rsid w:val="00C60321"/>
    <w:rsid w:val="00C60334"/>
    <w:rsid w:val="00C603E3"/>
    <w:rsid w:val="00C60696"/>
    <w:rsid w:val="00C606FF"/>
    <w:rsid w:val="00C607CF"/>
    <w:rsid w:val="00C60B50"/>
    <w:rsid w:val="00C60CB0"/>
    <w:rsid w:val="00C60D15"/>
    <w:rsid w:val="00C60DAE"/>
    <w:rsid w:val="00C60DB8"/>
    <w:rsid w:val="00C61066"/>
    <w:rsid w:val="00C61089"/>
    <w:rsid w:val="00C61129"/>
    <w:rsid w:val="00C6114D"/>
    <w:rsid w:val="00C61302"/>
    <w:rsid w:val="00C6137E"/>
    <w:rsid w:val="00C6149B"/>
    <w:rsid w:val="00C61886"/>
    <w:rsid w:val="00C619C2"/>
    <w:rsid w:val="00C61AC3"/>
    <w:rsid w:val="00C61C5D"/>
    <w:rsid w:val="00C61F0D"/>
    <w:rsid w:val="00C620D4"/>
    <w:rsid w:val="00C621A3"/>
    <w:rsid w:val="00C62242"/>
    <w:rsid w:val="00C6231A"/>
    <w:rsid w:val="00C625D1"/>
    <w:rsid w:val="00C62647"/>
    <w:rsid w:val="00C626CC"/>
    <w:rsid w:val="00C626F8"/>
    <w:rsid w:val="00C627D6"/>
    <w:rsid w:val="00C62F13"/>
    <w:rsid w:val="00C631C7"/>
    <w:rsid w:val="00C63251"/>
    <w:rsid w:val="00C63698"/>
    <w:rsid w:val="00C636C4"/>
    <w:rsid w:val="00C636E0"/>
    <w:rsid w:val="00C6372A"/>
    <w:rsid w:val="00C63743"/>
    <w:rsid w:val="00C63AC2"/>
    <w:rsid w:val="00C63B4C"/>
    <w:rsid w:val="00C63B98"/>
    <w:rsid w:val="00C63DAE"/>
    <w:rsid w:val="00C63E82"/>
    <w:rsid w:val="00C64176"/>
    <w:rsid w:val="00C641FD"/>
    <w:rsid w:val="00C64331"/>
    <w:rsid w:val="00C6434C"/>
    <w:rsid w:val="00C64427"/>
    <w:rsid w:val="00C645F1"/>
    <w:rsid w:val="00C64636"/>
    <w:rsid w:val="00C64699"/>
    <w:rsid w:val="00C64C02"/>
    <w:rsid w:val="00C64CC1"/>
    <w:rsid w:val="00C64CF9"/>
    <w:rsid w:val="00C64F4B"/>
    <w:rsid w:val="00C64FB9"/>
    <w:rsid w:val="00C65001"/>
    <w:rsid w:val="00C650C9"/>
    <w:rsid w:val="00C650D0"/>
    <w:rsid w:val="00C65188"/>
    <w:rsid w:val="00C652D8"/>
    <w:rsid w:val="00C652EF"/>
    <w:rsid w:val="00C6541A"/>
    <w:rsid w:val="00C65490"/>
    <w:rsid w:val="00C655D3"/>
    <w:rsid w:val="00C65E80"/>
    <w:rsid w:val="00C65F36"/>
    <w:rsid w:val="00C66013"/>
    <w:rsid w:val="00C6603D"/>
    <w:rsid w:val="00C66117"/>
    <w:rsid w:val="00C662AD"/>
    <w:rsid w:val="00C6637B"/>
    <w:rsid w:val="00C664A5"/>
    <w:rsid w:val="00C664BD"/>
    <w:rsid w:val="00C66575"/>
    <w:rsid w:val="00C666B6"/>
    <w:rsid w:val="00C6673D"/>
    <w:rsid w:val="00C6681F"/>
    <w:rsid w:val="00C66822"/>
    <w:rsid w:val="00C668E6"/>
    <w:rsid w:val="00C66935"/>
    <w:rsid w:val="00C66E92"/>
    <w:rsid w:val="00C66EFA"/>
    <w:rsid w:val="00C673AC"/>
    <w:rsid w:val="00C674C7"/>
    <w:rsid w:val="00C674D8"/>
    <w:rsid w:val="00C675C3"/>
    <w:rsid w:val="00C67816"/>
    <w:rsid w:val="00C6792B"/>
    <w:rsid w:val="00C67AFA"/>
    <w:rsid w:val="00C67BF6"/>
    <w:rsid w:val="00C67C24"/>
    <w:rsid w:val="00C67FAC"/>
    <w:rsid w:val="00C67FFE"/>
    <w:rsid w:val="00C70018"/>
    <w:rsid w:val="00C705F4"/>
    <w:rsid w:val="00C70689"/>
    <w:rsid w:val="00C70750"/>
    <w:rsid w:val="00C70794"/>
    <w:rsid w:val="00C70960"/>
    <w:rsid w:val="00C70985"/>
    <w:rsid w:val="00C70986"/>
    <w:rsid w:val="00C70BB9"/>
    <w:rsid w:val="00C70CCD"/>
    <w:rsid w:val="00C70D26"/>
    <w:rsid w:val="00C70DA5"/>
    <w:rsid w:val="00C70E79"/>
    <w:rsid w:val="00C70EB7"/>
    <w:rsid w:val="00C70FB5"/>
    <w:rsid w:val="00C7101D"/>
    <w:rsid w:val="00C71510"/>
    <w:rsid w:val="00C71542"/>
    <w:rsid w:val="00C71674"/>
    <w:rsid w:val="00C71683"/>
    <w:rsid w:val="00C7190D"/>
    <w:rsid w:val="00C71A5A"/>
    <w:rsid w:val="00C71CA2"/>
    <w:rsid w:val="00C71E8E"/>
    <w:rsid w:val="00C71EBB"/>
    <w:rsid w:val="00C721F4"/>
    <w:rsid w:val="00C723A5"/>
    <w:rsid w:val="00C723C8"/>
    <w:rsid w:val="00C7272D"/>
    <w:rsid w:val="00C72995"/>
    <w:rsid w:val="00C72BF0"/>
    <w:rsid w:val="00C72C33"/>
    <w:rsid w:val="00C72C5A"/>
    <w:rsid w:val="00C72D1B"/>
    <w:rsid w:val="00C72F14"/>
    <w:rsid w:val="00C72F65"/>
    <w:rsid w:val="00C73298"/>
    <w:rsid w:val="00C733AE"/>
    <w:rsid w:val="00C7343B"/>
    <w:rsid w:val="00C73509"/>
    <w:rsid w:val="00C73520"/>
    <w:rsid w:val="00C738A7"/>
    <w:rsid w:val="00C73AD0"/>
    <w:rsid w:val="00C73DF8"/>
    <w:rsid w:val="00C73E0A"/>
    <w:rsid w:val="00C73E9E"/>
    <w:rsid w:val="00C73F1D"/>
    <w:rsid w:val="00C74016"/>
    <w:rsid w:val="00C74034"/>
    <w:rsid w:val="00C74103"/>
    <w:rsid w:val="00C74229"/>
    <w:rsid w:val="00C7424B"/>
    <w:rsid w:val="00C7439B"/>
    <w:rsid w:val="00C7442A"/>
    <w:rsid w:val="00C744E7"/>
    <w:rsid w:val="00C748FE"/>
    <w:rsid w:val="00C74997"/>
    <w:rsid w:val="00C74A70"/>
    <w:rsid w:val="00C74B2D"/>
    <w:rsid w:val="00C74B63"/>
    <w:rsid w:val="00C75092"/>
    <w:rsid w:val="00C750CC"/>
    <w:rsid w:val="00C75361"/>
    <w:rsid w:val="00C753BA"/>
    <w:rsid w:val="00C7543D"/>
    <w:rsid w:val="00C7551C"/>
    <w:rsid w:val="00C756E5"/>
    <w:rsid w:val="00C75820"/>
    <w:rsid w:val="00C75824"/>
    <w:rsid w:val="00C758FA"/>
    <w:rsid w:val="00C75A43"/>
    <w:rsid w:val="00C75AB7"/>
    <w:rsid w:val="00C75ABC"/>
    <w:rsid w:val="00C75DCA"/>
    <w:rsid w:val="00C75ECD"/>
    <w:rsid w:val="00C76251"/>
    <w:rsid w:val="00C762F8"/>
    <w:rsid w:val="00C765F2"/>
    <w:rsid w:val="00C7660B"/>
    <w:rsid w:val="00C7673D"/>
    <w:rsid w:val="00C76AEB"/>
    <w:rsid w:val="00C76AF1"/>
    <w:rsid w:val="00C76C18"/>
    <w:rsid w:val="00C76D30"/>
    <w:rsid w:val="00C76F0D"/>
    <w:rsid w:val="00C7724F"/>
    <w:rsid w:val="00C77552"/>
    <w:rsid w:val="00C77739"/>
    <w:rsid w:val="00C7786E"/>
    <w:rsid w:val="00C77A6B"/>
    <w:rsid w:val="00C77CFE"/>
    <w:rsid w:val="00C80000"/>
    <w:rsid w:val="00C800C1"/>
    <w:rsid w:val="00C800C3"/>
    <w:rsid w:val="00C80179"/>
    <w:rsid w:val="00C80276"/>
    <w:rsid w:val="00C802AF"/>
    <w:rsid w:val="00C803D6"/>
    <w:rsid w:val="00C80524"/>
    <w:rsid w:val="00C80556"/>
    <w:rsid w:val="00C805BE"/>
    <w:rsid w:val="00C8070B"/>
    <w:rsid w:val="00C807D4"/>
    <w:rsid w:val="00C8091A"/>
    <w:rsid w:val="00C8098B"/>
    <w:rsid w:val="00C809AF"/>
    <w:rsid w:val="00C80D00"/>
    <w:rsid w:val="00C80F68"/>
    <w:rsid w:val="00C80FE0"/>
    <w:rsid w:val="00C8112A"/>
    <w:rsid w:val="00C812A7"/>
    <w:rsid w:val="00C812EE"/>
    <w:rsid w:val="00C814D5"/>
    <w:rsid w:val="00C817DA"/>
    <w:rsid w:val="00C818CA"/>
    <w:rsid w:val="00C81A15"/>
    <w:rsid w:val="00C81AB2"/>
    <w:rsid w:val="00C81D0C"/>
    <w:rsid w:val="00C81D80"/>
    <w:rsid w:val="00C81DB0"/>
    <w:rsid w:val="00C81DC6"/>
    <w:rsid w:val="00C81EF5"/>
    <w:rsid w:val="00C81FC0"/>
    <w:rsid w:val="00C820BD"/>
    <w:rsid w:val="00C824C5"/>
    <w:rsid w:val="00C82575"/>
    <w:rsid w:val="00C82677"/>
    <w:rsid w:val="00C82986"/>
    <w:rsid w:val="00C829E3"/>
    <w:rsid w:val="00C82A96"/>
    <w:rsid w:val="00C82B77"/>
    <w:rsid w:val="00C82B8B"/>
    <w:rsid w:val="00C82CC5"/>
    <w:rsid w:val="00C82CFA"/>
    <w:rsid w:val="00C82F31"/>
    <w:rsid w:val="00C82F67"/>
    <w:rsid w:val="00C82FA2"/>
    <w:rsid w:val="00C82FC0"/>
    <w:rsid w:val="00C8314E"/>
    <w:rsid w:val="00C833FC"/>
    <w:rsid w:val="00C835DF"/>
    <w:rsid w:val="00C83652"/>
    <w:rsid w:val="00C836B1"/>
    <w:rsid w:val="00C8381B"/>
    <w:rsid w:val="00C838F0"/>
    <w:rsid w:val="00C839CA"/>
    <w:rsid w:val="00C83C7A"/>
    <w:rsid w:val="00C83DB0"/>
    <w:rsid w:val="00C84015"/>
    <w:rsid w:val="00C841EB"/>
    <w:rsid w:val="00C843C3"/>
    <w:rsid w:val="00C8446D"/>
    <w:rsid w:val="00C84827"/>
    <w:rsid w:val="00C84A46"/>
    <w:rsid w:val="00C84B85"/>
    <w:rsid w:val="00C84BC0"/>
    <w:rsid w:val="00C84E74"/>
    <w:rsid w:val="00C84F72"/>
    <w:rsid w:val="00C851F4"/>
    <w:rsid w:val="00C852A5"/>
    <w:rsid w:val="00C85316"/>
    <w:rsid w:val="00C85372"/>
    <w:rsid w:val="00C854C2"/>
    <w:rsid w:val="00C85595"/>
    <w:rsid w:val="00C855B7"/>
    <w:rsid w:val="00C85660"/>
    <w:rsid w:val="00C85AB2"/>
    <w:rsid w:val="00C85CE7"/>
    <w:rsid w:val="00C85D09"/>
    <w:rsid w:val="00C85FE8"/>
    <w:rsid w:val="00C8613B"/>
    <w:rsid w:val="00C861C6"/>
    <w:rsid w:val="00C86681"/>
    <w:rsid w:val="00C8671A"/>
    <w:rsid w:val="00C86826"/>
    <w:rsid w:val="00C86831"/>
    <w:rsid w:val="00C868C6"/>
    <w:rsid w:val="00C86A06"/>
    <w:rsid w:val="00C86B01"/>
    <w:rsid w:val="00C86B03"/>
    <w:rsid w:val="00C86B1D"/>
    <w:rsid w:val="00C86B43"/>
    <w:rsid w:val="00C86B54"/>
    <w:rsid w:val="00C86D3B"/>
    <w:rsid w:val="00C86D84"/>
    <w:rsid w:val="00C86DE4"/>
    <w:rsid w:val="00C86E13"/>
    <w:rsid w:val="00C870DF"/>
    <w:rsid w:val="00C8739C"/>
    <w:rsid w:val="00C87417"/>
    <w:rsid w:val="00C876FE"/>
    <w:rsid w:val="00C8771B"/>
    <w:rsid w:val="00C878E2"/>
    <w:rsid w:val="00C87AA4"/>
    <w:rsid w:val="00C87BBD"/>
    <w:rsid w:val="00C87D44"/>
    <w:rsid w:val="00C87D48"/>
    <w:rsid w:val="00C87EBA"/>
    <w:rsid w:val="00C90047"/>
    <w:rsid w:val="00C902AB"/>
    <w:rsid w:val="00C903FF"/>
    <w:rsid w:val="00C904D0"/>
    <w:rsid w:val="00C905CF"/>
    <w:rsid w:val="00C90810"/>
    <w:rsid w:val="00C9087C"/>
    <w:rsid w:val="00C909E1"/>
    <w:rsid w:val="00C91025"/>
    <w:rsid w:val="00C91354"/>
    <w:rsid w:val="00C91492"/>
    <w:rsid w:val="00C915A8"/>
    <w:rsid w:val="00C91633"/>
    <w:rsid w:val="00C91641"/>
    <w:rsid w:val="00C91829"/>
    <w:rsid w:val="00C91AB7"/>
    <w:rsid w:val="00C91EC7"/>
    <w:rsid w:val="00C91F28"/>
    <w:rsid w:val="00C922DC"/>
    <w:rsid w:val="00C92426"/>
    <w:rsid w:val="00C92520"/>
    <w:rsid w:val="00C92527"/>
    <w:rsid w:val="00C9288E"/>
    <w:rsid w:val="00C92B01"/>
    <w:rsid w:val="00C92CE1"/>
    <w:rsid w:val="00C92D03"/>
    <w:rsid w:val="00C92DA3"/>
    <w:rsid w:val="00C92E9F"/>
    <w:rsid w:val="00C92EB7"/>
    <w:rsid w:val="00C92F4E"/>
    <w:rsid w:val="00C9325D"/>
    <w:rsid w:val="00C93398"/>
    <w:rsid w:val="00C93404"/>
    <w:rsid w:val="00C9346C"/>
    <w:rsid w:val="00C9363F"/>
    <w:rsid w:val="00C93688"/>
    <w:rsid w:val="00C93760"/>
    <w:rsid w:val="00C93892"/>
    <w:rsid w:val="00C9389A"/>
    <w:rsid w:val="00C93921"/>
    <w:rsid w:val="00C9396C"/>
    <w:rsid w:val="00C93CA0"/>
    <w:rsid w:val="00C93F70"/>
    <w:rsid w:val="00C9407A"/>
    <w:rsid w:val="00C942DC"/>
    <w:rsid w:val="00C943D5"/>
    <w:rsid w:val="00C9465F"/>
    <w:rsid w:val="00C94878"/>
    <w:rsid w:val="00C94910"/>
    <w:rsid w:val="00C94AB7"/>
    <w:rsid w:val="00C94E6F"/>
    <w:rsid w:val="00C94F80"/>
    <w:rsid w:val="00C95061"/>
    <w:rsid w:val="00C9511B"/>
    <w:rsid w:val="00C9543B"/>
    <w:rsid w:val="00C9555A"/>
    <w:rsid w:val="00C956E2"/>
    <w:rsid w:val="00C95744"/>
    <w:rsid w:val="00C95D26"/>
    <w:rsid w:val="00C95FE3"/>
    <w:rsid w:val="00C96211"/>
    <w:rsid w:val="00C962D1"/>
    <w:rsid w:val="00C963A7"/>
    <w:rsid w:val="00C96491"/>
    <w:rsid w:val="00C96588"/>
    <w:rsid w:val="00C969F4"/>
    <w:rsid w:val="00C96A1F"/>
    <w:rsid w:val="00C96A28"/>
    <w:rsid w:val="00C96B1D"/>
    <w:rsid w:val="00C96C26"/>
    <w:rsid w:val="00C96C3C"/>
    <w:rsid w:val="00C96CC6"/>
    <w:rsid w:val="00C96D04"/>
    <w:rsid w:val="00C96EB2"/>
    <w:rsid w:val="00C96FD6"/>
    <w:rsid w:val="00C96FE9"/>
    <w:rsid w:val="00C97024"/>
    <w:rsid w:val="00C9743D"/>
    <w:rsid w:val="00C977A1"/>
    <w:rsid w:val="00C977FE"/>
    <w:rsid w:val="00C978C9"/>
    <w:rsid w:val="00C97909"/>
    <w:rsid w:val="00C97B50"/>
    <w:rsid w:val="00C97B61"/>
    <w:rsid w:val="00C97C9F"/>
    <w:rsid w:val="00C97EF1"/>
    <w:rsid w:val="00C97F23"/>
    <w:rsid w:val="00CA001B"/>
    <w:rsid w:val="00CA00DB"/>
    <w:rsid w:val="00CA01C5"/>
    <w:rsid w:val="00CA01CB"/>
    <w:rsid w:val="00CA0291"/>
    <w:rsid w:val="00CA0358"/>
    <w:rsid w:val="00CA0498"/>
    <w:rsid w:val="00CA04E6"/>
    <w:rsid w:val="00CA08F1"/>
    <w:rsid w:val="00CA0AE5"/>
    <w:rsid w:val="00CA0C85"/>
    <w:rsid w:val="00CA0C90"/>
    <w:rsid w:val="00CA0CED"/>
    <w:rsid w:val="00CA0DBC"/>
    <w:rsid w:val="00CA0E8F"/>
    <w:rsid w:val="00CA1092"/>
    <w:rsid w:val="00CA10CC"/>
    <w:rsid w:val="00CA11C8"/>
    <w:rsid w:val="00CA11CA"/>
    <w:rsid w:val="00CA12D1"/>
    <w:rsid w:val="00CA13C4"/>
    <w:rsid w:val="00CA14B8"/>
    <w:rsid w:val="00CA14C3"/>
    <w:rsid w:val="00CA14C7"/>
    <w:rsid w:val="00CA162F"/>
    <w:rsid w:val="00CA16FF"/>
    <w:rsid w:val="00CA1761"/>
    <w:rsid w:val="00CA1799"/>
    <w:rsid w:val="00CA17CC"/>
    <w:rsid w:val="00CA1819"/>
    <w:rsid w:val="00CA1DAB"/>
    <w:rsid w:val="00CA2063"/>
    <w:rsid w:val="00CA20B0"/>
    <w:rsid w:val="00CA24D9"/>
    <w:rsid w:val="00CA2590"/>
    <w:rsid w:val="00CA2635"/>
    <w:rsid w:val="00CA2720"/>
    <w:rsid w:val="00CA27B3"/>
    <w:rsid w:val="00CA28AD"/>
    <w:rsid w:val="00CA28CB"/>
    <w:rsid w:val="00CA2AB1"/>
    <w:rsid w:val="00CA2FF0"/>
    <w:rsid w:val="00CA319F"/>
    <w:rsid w:val="00CA34C1"/>
    <w:rsid w:val="00CA3791"/>
    <w:rsid w:val="00CA389E"/>
    <w:rsid w:val="00CA390E"/>
    <w:rsid w:val="00CA3A57"/>
    <w:rsid w:val="00CA3BC7"/>
    <w:rsid w:val="00CA3C58"/>
    <w:rsid w:val="00CA3E1C"/>
    <w:rsid w:val="00CA3EDC"/>
    <w:rsid w:val="00CA404B"/>
    <w:rsid w:val="00CA4070"/>
    <w:rsid w:val="00CA416E"/>
    <w:rsid w:val="00CA41B1"/>
    <w:rsid w:val="00CA43A6"/>
    <w:rsid w:val="00CA4434"/>
    <w:rsid w:val="00CA45C5"/>
    <w:rsid w:val="00CA45ED"/>
    <w:rsid w:val="00CA463A"/>
    <w:rsid w:val="00CA496A"/>
    <w:rsid w:val="00CA4DA0"/>
    <w:rsid w:val="00CA4DE5"/>
    <w:rsid w:val="00CA4FF2"/>
    <w:rsid w:val="00CA5110"/>
    <w:rsid w:val="00CA514B"/>
    <w:rsid w:val="00CA5843"/>
    <w:rsid w:val="00CA5883"/>
    <w:rsid w:val="00CA5961"/>
    <w:rsid w:val="00CA5974"/>
    <w:rsid w:val="00CA5998"/>
    <w:rsid w:val="00CA5B05"/>
    <w:rsid w:val="00CA5B40"/>
    <w:rsid w:val="00CA5B9A"/>
    <w:rsid w:val="00CA5C60"/>
    <w:rsid w:val="00CA5D1F"/>
    <w:rsid w:val="00CA5E9C"/>
    <w:rsid w:val="00CA5EEC"/>
    <w:rsid w:val="00CA5F92"/>
    <w:rsid w:val="00CA5FC5"/>
    <w:rsid w:val="00CA6089"/>
    <w:rsid w:val="00CA61AE"/>
    <w:rsid w:val="00CA638A"/>
    <w:rsid w:val="00CA647C"/>
    <w:rsid w:val="00CA658D"/>
    <w:rsid w:val="00CA6598"/>
    <w:rsid w:val="00CA65DF"/>
    <w:rsid w:val="00CA6612"/>
    <w:rsid w:val="00CA66DE"/>
    <w:rsid w:val="00CA66F4"/>
    <w:rsid w:val="00CA679E"/>
    <w:rsid w:val="00CA68C9"/>
    <w:rsid w:val="00CA6C64"/>
    <w:rsid w:val="00CA6CF5"/>
    <w:rsid w:val="00CA6D00"/>
    <w:rsid w:val="00CA6DDF"/>
    <w:rsid w:val="00CA6E7A"/>
    <w:rsid w:val="00CA6EA8"/>
    <w:rsid w:val="00CA70C7"/>
    <w:rsid w:val="00CA70CE"/>
    <w:rsid w:val="00CA7153"/>
    <w:rsid w:val="00CA71CC"/>
    <w:rsid w:val="00CA71E6"/>
    <w:rsid w:val="00CA726F"/>
    <w:rsid w:val="00CA750E"/>
    <w:rsid w:val="00CA76BF"/>
    <w:rsid w:val="00CA7A7B"/>
    <w:rsid w:val="00CA7AEC"/>
    <w:rsid w:val="00CA7B79"/>
    <w:rsid w:val="00CA7BB0"/>
    <w:rsid w:val="00CA7BE9"/>
    <w:rsid w:val="00CB00A2"/>
    <w:rsid w:val="00CB00D4"/>
    <w:rsid w:val="00CB00E5"/>
    <w:rsid w:val="00CB03CF"/>
    <w:rsid w:val="00CB0412"/>
    <w:rsid w:val="00CB04F3"/>
    <w:rsid w:val="00CB058E"/>
    <w:rsid w:val="00CB0732"/>
    <w:rsid w:val="00CB088C"/>
    <w:rsid w:val="00CB09E6"/>
    <w:rsid w:val="00CB0A6D"/>
    <w:rsid w:val="00CB0AB8"/>
    <w:rsid w:val="00CB0CEE"/>
    <w:rsid w:val="00CB0E8E"/>
    <w:rsid w:val="00CB137E"/>
    <w:rsid w:val="00CB1826"/>
    <w:rsid w:val="00CB18B2"/>
    <w:rsid w:val="00CB18FA"/>
    <w:rsid w:val="00CB1A0B"/>
    <w:rsid w:val="00CB1B02"/>
    <w:rsid w:val="00CB1B25"/>
    <w:rsid w:val="00CB1B31"/>
    <w:rsid w:val="00CB1D9E"/>
    <w:rsid w:val="00CB1FF8"/>
    <w:rsid w:val="00CB20AB"/>
    <w:rsid w:val="00CB224C"/>
    <w:rsid w:val="00CB2285"/>
    <w:rsid w:val="00CB22DA"/>
    <w:rsid w:val="00CB2371"/>
    <w:rsid w:val="00CB23C6"/>
    <w:rsid w:val="00CB2829"/>
    <w:rsid w:val="00CB28F2"/>
    <w:rsid w:val="00CB290F"/>
    <w:rsid w:val="00CB2CD9"/>
    <w:rsid w:val="00CB2D0E"/>
    <w:rsid w:val="00CB2E5A"/>
    <w:rsid w:val="00CB3194"/>
    <w:rsid w:val="00CB321C"/>
    <w:rsid w:val="00CB3367"/>
    <w:rsid w:val="00CB36B4"/>
    <w:rsid w:val="00CB3711"/>
    <w:rsid w:val="00CB37E7"/>
    <w:rsid w:val="00CB3980"/>
    <w:rsid w:val="00CB3A12"/>
    <w:rsid w:val="00CB3A56"/>
    <w:rsid w:val="00CB3B62"/>
    <w:rsid w:val="00CB3CA5"/>
    <w:rsid w:val="00CB3D42"/>
    <w:rsid w:val="00CB3D6F"/>
    <w:rsid w:val="00CB3E7C"/>
    <w:rsid w:val="00CB3F63"/>
    <w:rsid w:val="00CB4136"/>
    <w:rsid w:val="00CB4141"/>
    <w:rsid w:val="00CB42C3"/>
    <w:rsid w:val="00CB444F"/>
    <w:rsid w:val="00CB4694"/>
    <w:rsid w:val="00CB478B"/>
    <w:rsid w:val="00CB47B1"/>
    <w:rsid w:val="00CB4A20"/>
    <w:rsid w:val="00CB4B2E"/>
    <w:rsid w:val="00CB4CA3"/>
    <w:rsid w:val="00CB4D9D"/>
    <w:rsid w:val="00CB5922"/>
    <w:rsid w:val="00CB59C5"/>
    <w:rsid w:val="00CB5BCD"/>
    <w:rsid w:val="00CB5DE8"/>
    <w:rsid w:val="00CB5E93"/>
    <w:rsid w:val="00CB5EF8"/>
    <w:rsid w:val="00CB5FA1"/>
    <w:rsid w:val="00CB6015"/>
    <w:rsid w:val="00CB60E6"/>
    <w:rsid w:val="00CB61B9"/>
    <w:rsid w:val="00CB61E6"/>
    <w:rsid w:val="00CB6467"/>
    <w:rsid w:val="00CB655D"/>
    <w:rsid w:val="00CB6698"/>
    <w:rsid w:val="00CB678E"/>
    <w:rsid w:val="00CB696C"/>
    <w:rsid w:val="00CB6D67"/>
    <w:rsid w:val="00CB6EBB"/>
    <w:rsid w:val="00CB70D1"/>
    <w:rsid w:val="00CB7285"/>
    <w:rsid w:val="00CB73B0"/>
    <w:rsid w:val="00CB7596"/>
    <w:rsid w:val="00CB7828"/>
    <w:rsid w:val="00CB794F"/>
    <w:rsid w:val="00CB7965"/>
    <w:rsid w:val="00CB7BD9"/>
    <w:rsid w:val="00CB7DC4"/>
    <w:rsid w:val="00CB7FB4"/>
    <w:rsid w:val="00CC0238"/>
    <w:rsid w:val="00CC033C"/>
    <w:rsid w:val="00CC06C6"/>
    <w:rsid w:val="00CC0AC2"/>
    <w:rsid w:val="00CC0CC7"/>
    <w:rsid w:val="00CC0D3A"/>
    <w:rsid w:val="00CC1029"/>
    <w:rsid w:val="00CC1057"/>
    <w:rsid w:val="00CC1350"/>
    <w:rsid w:val="00CC13B7"/>
    <w:rsid w:val="00CC15D8"/>
    <w:rsid w:val="00CC16A4"/>
    <w:rsid w:val="00CC16B8"/>
    <w:rsid w:val="00CC17CF"/>
    <w:rsid w:val="00CC18C2"/>
    <w:rsid w:val="00CC191D"/>
    <w:rsid w:val="00CC1FDA"/>
    <w:rsid w:val="00CC2289"/>
    <w:rsid w:val="00CC248B"/>
    <w:rsid w:val="00CC2564"/>
    <w:rsid w:val="00CC273E"/>
    <w:rsid w:val="00CC2D9D"/>
    <w:rsid w:val="00CC2DAE"/>
    <w:rsid w:val="00CC2DEE"/>
    <w:rsid w:val="00CC2F68"/>
    <w:rsid w:val="00CC2F75"/>
    <w:rsid w:val="00CC3051"/>
    <w:rsid w:val="00CC323C"/>
    <w:rsid w:val="00CC34E2"/>
    <w:rsid w:val="00CC3870"/>
    <w:rsid w:val="00CC3896"/>
    <w:rsid w:val="00CC3990"/>
    <w:rsid w:val="00CC39F7"/>
    <w:rsid w:val="00CC3C09"/>
    <w:rsid w:val="00CC3C9C"/>
    <w:rsid w:val="00CC3D42"/>
    <w:rsid w:val="00CC3D8A"/>
    <w:rsid w:val="00CC3E9A"/>
    <w:rsid w:val="00CC4130"/>
    <w:rsid w:val="00CC4156"/>
    <w:rsid w:val="00CC41A3"/>
    <w:rsid w:val="00CC41CC"/>
    <w:rsid w:val="00CC4690"/>
    <w:rsid w:val="00CC4754"/>
    <w:rsid w:val="00CC480A"/>
    <w:rsid w:val="00CC482D"/>
    <w:rsid w:val="00CC482E"/>
    <w:rsid w:val="00CC4862"/>
    <w:rsid w:val="00CC495E"/>
    <w:rsid w:val="00CC4B55"/>
    <w:rsid w:val="00CC4BB4"/>
    <w:rsid w:val="00CC4C2D"/>
    <w:rsid w:val="00CC4D35"/>
    <w:rsid w:val="00CC4DD9"/>
    <w:rsid w:val="00CC4EB0"/>
    <w:rsid w:val="00CC4FC0"/>
    <w:rsid w:val="00CC5099"/>
    <w:rsid w:val="00CC5104"/>
    <w:rsid w:val="00CC5156"/>
    <w:rsid w:val="00CC51F7"/>
    <w:rsid w:val="00CC5203"/>
    <w:rsid w:val="00CC5289"/>
    <w:rsid w:val="00CC53A5"/>
    <w:rsid w:val="00CC5466"/>
    <w:rsid w:val="00CC5578"/>
    <w:rsid w:val="00CC5678"/>
    <w:rsid w:val="00CC56DA"/>
    <w:rsid w:val="00CC5745"/>
    <w:rsid w:val="00CC58E8"/>
    <w:rsid w:val="00CC5907"/>
    <w:rsid w:val="00CC59BA"/>
    <w:rsid w:val="00CC5C41"/>
    <w:rsid w:val="00CC5C6B"/>
    <w:rsid w:val="00CC5C70"/>
    <w:rsid w:val="00CC5DD9"/>
    <w:rsid w:val="00CC5EEE"/>
    <w:rsid w:val="00CC6004"/>
    <w:rsid w:val="00CC600A"/>
    <w:rsid w:val="00CC6045"/>
    <w:rsid w:val="00CC6048"/>
    <w:rsid w:val="00CC6322"/>
    <w:rsid w:val="00CC6551"/>
    <w:rsid w:val="00CC65CE"/>
    <w:rsid w:val="00CC6749"/>
    <w:rsid w:val="00CC68BC"/>
    <w:rsid w:val="00CC6C53"/>
    <w:rsid w:val="00CC6C63"/>
    <w:rsid w:val="00CC6D33"/>
    <w:rsid w:val="00CC6F5B"/>
    <w:rsid w:val="00CC7358"/>
    <w:rsid w:val="00CC770B"/>
    <w:rsid w:val="00CC7829"/>
    <w:rsid w:val="00CC784D"/>
    <w:rsid w:val="00CC7AC3"/>
    <w:rsid w:val="00CC7AEC"/>
    <w:rsid w:val="00CC7CB8"/>
    <w:rsid w:val="00CC7D94"/>
    <w:rsid w:val="00CC7EAD"/>
    <w:rsid w:val="00CC7F76"/>
    <w:rsid w:val="00CD0061"/>
    <w:rsid w:val="00CD01BE"/>
    <w:rsid w:val="00CD0518"/>
    <w:rsid w:val="00CD052C"/>
    <w:rsid w:val="00CD0664"/>
    <w:rsid w:val="00CD09C1"/>
    <w:rsid w:val="00CD0A81"/>
    <w:rsid w:val="00CD0BBD"/>
    <w:rsid w:val="00CD0C21"/>
    <w:rsid w:val="00CD0FD1"/>
    <w:rsid w:val="00CD114E"/>
    <w:rsid w:val="00CD116E"/>
    <w:rsid w:val="00CD149B"/>
    <w:rsid w:val="00CD1594"/>
    <w:rsid w:val="00CD15F0"/>
    <w:rsid w:val="00CD1710"/>
    <w:rsid w:val="00CD184F"/>
    <w:rsid w:val="00CD193C"/>
    <w:rsid w:val="00CD1958"/>
    <w:rsid w:val="00CD1BCB"/>
    <w:rsid w:val="00CD1BED"/>
    <w:rsid w:val="00CD1CE5"/>
    <w:rsid w:val="00CD2126"/>
    <w:rsid w:val="00CD2252"/>
    <w:rsid w:val="00CD22FB"/>
    <w:rsid w:val="00CD250F"/>
    <w:rsid w:val="00CD2739"/>
    <w:rsid w:val="00CD2774"/>
    <w:rsid w:val="00CD2784"/>
    <w:rsid w:val="00CD281F"/>
    <w:rsid w:val="00CD28A7"/>
    <w:rsid w:val="00CD29FD"/>
    <w:rsid w:val="00CD2A59"/>
    <w:rsid w:val="00CD2D21"/>
    <w:rsid w:val="00CD3017"/>
    <w:rsid w:val="00CD30C2"/>
    <w:rsid w:val="00CD31B9"/>
    <w:rsid w:val="00CD32F4"/>
    <w:rsid w:val="00CD3314"/>
    <w:rsid w:val="00CD3341"/>
    <w:rsid w:val="00CD335F"/>
    <w:rsid w:val="00CD339D"/>
    <w:rsid w:val="00CD351C"/>
    <w:rsid w:val="00CD3612"/>
    <w:rsid w:val="00CD363D"/>
    <w:rsid w:val="00CD3706"/>
    <w:rsid w:val="00CD3728"/>
    <w:rsid w:val="00CD38AE"/>
    <w:rsid w:val="00CD39EF"/>
    <w:rsid w:val="00CD3A93"/>
    <w:rsid w:val="00CD3E4A"/>
    <w:rsid w:val="00CD3E89"/>
    <w:rsid w:val="00CD3F45"/>
    <w:rsid w:val="00CD3F48"/>
    <w:rsid w:val="00CD404B"/>
    <w:rsid w:val="00CD42D8"/>
    <w:rsid w:val="00CD437D"/>
    <w:rsid w:val="00CD4454"/>
    <w:rsid w:val="00CD44E1"/>
    <w:rsid w:val="00CD47CC"/>
    <w:rsid w:val="00CD4856"/>
    <w:rsid w:val="00CD4A58"/>
    <w:rsid w:val="00CD4A81"/>
    <w:rsid w:val="00CD4A85"/>
    <w:rsid w:val="00CD4B3D"/>
    <w:rsid w:val="00CD4CA4"/>
    <w:rsid w:val="00CD4D57"/>
    <w:rsid w:val="00CD4D90"/>
    <w:rsid w:val="00CD50AF"/>
    <w:rsid w:val="00CD511E"/>
    <w:rsid w:val="00CD51BD"/>
    <w:rsid w:val="00CD520B"/>
    <w:rsid w:val="00CD522B"/>
    <w:rsid w:val="00CD5375"/>
    <w:rsid w:val="00CD540E"/>
    <w:rsid w:val="00CD5718"/>
    <w:rsid w:val="00CD5838"/>
    <w:rsid w:val="00CD58F3"/>
    <w:rsid w:val="00CD5971"/>
    <w:rsid w:val="00CD59A5"/>
    <w:rsid w:val="00CD59D9"/>
    <w:rsid w:val="00CD59FE"/>
    <w:rsid w:val="00CD5A12"/>
    <w:rsid w:val="00CD5BD6"/>
    <w:rsid w:val="00CD5C01"/>
    <w:rsid w:val="00CD5C8C"/>
    <w:rsid w:val="00CD5EB3"/>
    <w:rsid w:val="00CD61F6"/>
    <w:rsid w:val="00CD630D"/>
    <w:rsid w:val="00CD6375"/>
    <w:rsid w:val="00CD64A6"/>
    <w:rsid w:val="00CD64EF"/>
    <w:rsid w:val="00CD6516"/>
    <w:rsid w:val="00CD6586"/>
    <w:rsid w:val="00CD69AA"/>
    <w:rsid w:val="00CD69D3"/>
    <w:rsid w:val="00CD6A01"/>
    <w:rsid w:val="00CD6B4B"/>
    <w:rsid w:val="00CD6C79"/>
    <w:rsid w:val="00CD6CC5"/>
    <w:rsid w:val="00CD6CDC"/>
    <w:rsid w:val="00CD6CFB"/>
    <w:rsid w:val="00CD6D8D"/>
    <w:rsid w:val="00CD6DAC"/>
    <w:rsid w:val="00CD6F97"/>
    <w:rsid w:val="00CD6FD9"/>
    <w:rsid w:val="00CD70B8"/>
    <w:rsid w:val="00CD740D"/>
    <w:rsid w:val="00CD7461"/>
    <w:rsid w:val="00CD74C7"/>
    <w:rsid w:val="00CD7542"/>
    <w:rsid w:val="00CD7804"/>
    <w:rsid w:val="00CD7975"/>
    <w:rsid w:val="00CD79A4"/>
    <w:rsid w:val="00CD7DE3"/>
    <w:rsid w:val="00CD7E56"/>
    <w:rsid w:val="00CD7F81"/>
    <w:rsid w:val="00CE0034"/>
    <w:rsid w:val="00CE0198"/>
    <w:rsid w:val="00CE01F2"/>
    <w:rsid w:val="00CE02DD"/>
    <w:rsid w:val="00CE02F1"/>
    <w:rsid w:val="00CE03FD"/>
    <w:rsid w:val="00CE0488"/>
    <w:rsid w:val="00CE04BC"/>
    <w:rsid w:val="00CE0621"/>
    <w:rsid w:val="00CE0A6A"/>
    <w:rsid w:val="00CE0BAB"/>
    <w:rsid w:val="00CE0BD1"/>
    <w:rsid w:val="00CE0C18"/>
    <w:rsid w:val="00CE0C7E"/>
    <w:rsid w:val="00CE0F64"/>
    <w:rsid w:val="00CE140D"/>
    <w:rsid w:val="00CE14AC"/>
    <w:rsid w:val="00CE1528"/>
    <w:rsid w:val="00CE1553"/>
    <w:rsid w:val="00CE15D9"/>
    <w:rsid w:val="00CE15E3"/>
    <w:rsid w:val="00CE15F9"/>
    <w:rsid w:val="00CE1B40"/>
    <w:rsid w:val="00CE1CB4"/>
    <w:rsid w:val="00CE2218"/>
    <w:rsid w:val="00CE22DD"/>
    <w:rsid w:val="00CE2371"/>
    <w:rsid w:val="00CE25C0"/>
    <w:rsid w:val="00CE2633"/>
    <w:rsid w:val="00CE28D5"/>
    <w:rsid w:val="00CE2A7C"/>
    <w:rsid w:val="00CE2AC3"/>
    <w:rsid w:val="00CE2CDF"/>
    <w:rsid w:val="00CE2F58"/>
    <w:rsid w:val="00CE2F8E"/>
    <w:rsid w:val="00CE2FBE"/>
    <w:rsid w:val="00CE2FFD"/>
    <w:rsid w:val="00CE33EA"/>
    <w:rsid w:val="00CE3442"/>
    <w:rsid w:val="00CE34F2"/>
    <w:rsid w:val="00CE365C"/>
    <w:rsid w:val="00CE3669"/>
    <w:rsid w:val="00CE370D"/>
    <w:rsid w:val="00CE3A3C"/>
    <w:rsid w:val="00CE3B38"/>
    <w:rsid w:val="00CE3BEF"/>
    <w:rsid w:val="00CE3C33"/>
    <w:rsid w:val="00CE3F46"/>
    <w:rsid w:val="00CE3F5C"/>
    <w:rsid w:val="00CE3FD8"/>
    <w:rsid w:val="00CE3FF2"/>
    <w:rsid w:val="00CE4029"/>
    <w:rsid w:val="00CE4158"/>
    <w:rsid w:val="00CE43BB"/>
    <w:rsid w:val="00CE441E"/>
    <w:rsid w:val="00CE45AB"/>
    <w:rsid w:val="00CE47CE"/>
    <w:rsid w:val="00CE4972"/>
    <w:rsid w:val="00CE4A53"/>
    <w:rsid w:val="00CE4AF5"/>
    <w:rsid w:val="00CE4D77"/>
    <w:rsid w:val="00CE4EAC"/>
    <w:rsid w:val="00CE4F6D"/>
    <w:rsid w:val="00CE503E"/>
    <w:rsid w:val="00CE537F"/>
    <w:rsid w:val="00CE54BB"/>
    <w:rsid w:val="00CE55E5"/>
    <w:rsid w:val="00CE564A"/>
    <w:rsid w:val="00CE596A"/>
    <w:rsid w:val="00CE5A0B"/>
    <w:rsid w:val="00CE5A53"/>
    <w:rsid w:val="00CE5AA4"/>
    <w:rsid w:val="00CE5B0B"/>
    <w:rsid w:val="00CE5BAA"/>
    <w:rsid w:val="00CE5CFC"/>
    <w:rsid w:val="00CE5D0C"/>
    <w:rsid w:val="00CE5D67"/>
    <w:rsid w:val="00CE5ECE"/>
    <w:rsid w:val="00CE5F8B"/>
    <w:rsid w:val="00CE6258"/>
    <w:rsid w:val="00CE6354"/>
    <w:rsid w:val="00CE63D4"/>
    <w:rsid w:val="00CE63F1"/>
    <w:rsid w:val="00CE6466"/>
    <w:rsid w:val="00CE6487"/>
    <w:rsid w:val="00CE64CB"/>
    <w:rsid w:val="00CE66BD"/>
    <w:rsid w:val="00CE674A"/>
    <w:rsid w:val="00CE6A2C"/>
    <w:rsid w:val="00CE6A75"/>
    <w:rsid w:val="00CE6BF8"/>
    <w:rsid w:val="00CE6DD7"/>
    <w:rsid w:val="00CE6F09"/>
    <w:rsid w:val="00CE6FFB"/>
    <w:rsid w:val="00CE73FB"/>
    <w:rsid w:val="00CE74ED"/>
    <w:rsid w:val="00CE7502"/>
    <w:rsid w:val="00CE77A3"/>
    <w:rsid w:val="00CE78E3"/>
    <w:rsid w:val="00CE7973"/>
    <w:rsid w:val="00CE7A1A"/>
    <w:rsid w:val="00CE7AD6"/>
    <w:rsid w:val="00CE7C0F"/>
    <w:rsid w:val="00CE7D47"/>
    <w:rsid w:val="00CE7E44"/>
    <w:rsid w:val="00CE7E6E"/>
    <w:rsid w:val="00CE7E9D"/>
    <w:rsid w:val="00CE7EEB"/>
    <w:rsid w:val="00CF0035"/>
    <w:rsid w:val="00CF009E"/>
    <w:rsid w:val="00CF02FB"/>
    <w:rsid w:val="00CF0369"/>
    <w:rsid w:val="00CF0392"/>
    <w:rsid w:val="00CF039D"/>
    <w:rsid w:val="00CF0545"/>
    <w:rsid w:val="00CF0707"/>
    <w:rsid w:val="00CF0BAB"/>
    <w:rsid w:val="00CF0BDA"/>
    <w:rsid w:val="00CF1007"/>
    <w:rsid w:val="00CF10E2"/>
    <w:rsid w:val="00CF1201"/>
    <w:rsid w:val="00CF1259"/>
    <w:rsid w:val="00CF12E0"/>
    <w:rsid w:val="00CF1416"/>
    <w:rsid w:val="00CF1562"/>
    <w:rsid w:val="00CF1771"/>
    <w:rsid w:val="00CF18D8"/>
    <w:rsid w:val="00CF19C2"/>
    <w:rsid w:val="00CF1D82"/>
    <w:rsid w:val="00CF21A8"/>
    <w:rsid w:val="00CF2270"/>
    <w:rsid w:val="00CF2397"/>
    <w:rsid w:val="00CF2472"/>
    <w:rsid w:val="00CF24AD"/>
    <w:rsid w:val="00CF2833"/>
    <w:rsid w:val="00CF2CAB"/>
    <w:rsid w:val="00CF2D6E"/>
    <w:rsid w:val="00CF2DD0"/>
    <w:rsid w:val="00CF2DD3"/>
    <w:rsid w:val="00CF31D7"/>
    <w:rsid w:val="00CF3282"/>
    <w:rsid w:val="00CF3408"/>
    <w:rsid w:val="00CF34B7"/>
    <w:rsid w:val="00CF35CF"/>
    <w:rsid w:val="00CF36D5"/>
    <w:rsid w:val="00CF3AC0"/>
    <w:rsid w:val="00CF3C57"/>
    <w:rsid w:val="00CF3DCA"/>
    <w:rsid w:val="00CF422B"/>
    <w:rsid w:val="00CF427B"/>
    <w:rsid w:val="00CF42DA"/>
    <w:rsid w:val="00CF43DB"/>
    <w:rsid w:val="00CF448D"/>
    <w:rsid w:val="00CF4530"/>
    <w:rsid w:val="00CF4543"/>
    <w:rsid w:val="00CF45C0"/>
    <w:rsid w:val="00CF4805"/>
    <w:rsid w:val="00CF4845"/>
    <w:rsid w:val="00CF4AD1"/>
    <w:rsid w:val="00CF4D26"/>
    <w:rsid w:val="00CF4E63"/>
    <w:rsid w:val="00CF4FD5"/>
    <w:rsid w:val="00CF5364"/>
    <w:rsid w:val="00CF5423"/>
    <w:rsid w:val="00CF55B4"/>
    <w:rsid w:val="00CF580A"/>
    <w:rsid w:val="00CF5A81"/>
    <w:rsid w:val="00CF5ABF"/>
    <w:rsid w:val="00CF5BB2"/>
    <w:rsid w:val="00CF5D68"/>
    <w:rsid w:val="00CF5EB7"/>
    <w:rsid w:val="00CF6098"/>
    <w:rsid w:val="00CF6146"/>
    <w:rsid w:val="00CF624E"/>
    <w:rsid w:val="00CF636D"/>
    <w:rsid w:val="00CF6476"/>
    <w:rsid w:val="00CF65A8"/>
    <w:rsid w:val="00CF65C8"/>
    <w:rsid w:val="00CF6690"/>
    <w:rsid w:val="00CF66F1"/>
    <w:rsid w:val="00CF67CE"/>
    <w:rsid w:val="00CF6877"/>
    <w:rsid w:val="00CF6A13"/>
    <w:rsid w:val="00CF6A95"/>
    <w:rsid w:val="00CF6AE3"/>
    <w:rsid w:val="00CF6B1A"/>
    <w:rsid w:val="00CF6E0A"/>
    <w:rsid w:val="00CF6F57"/>
    <w:rsid w:val="00CF7260"/>
    <w:rsid w:val="00CF72B0"/>
    <w:rsid w:val="00CF72BE"/>
    <w:rsid w:val="00CF735A"/>
    <w:rsid w:val="00CF7390"/>
    <w:rsid w:val="00CF757B"/>
    <w:rsid w:val="00CF75A7"/>
    <w:rsid w:val="00CF7608"/>
    <w:rsid w:val="00CF76CE"/>
    <w:rsid w:val="00CF7A0D"/>
    <w:rsid w:val="00CF7BBB"/>
    <w:rsid w:val="00CF7BCF"/>
    <w:rsid w:val="00CF7C00"/>
    <w:rsid w:val="00CF7FB0"/>
    <w:rsid w:val="00D0019A"/>
    <w:rsid w:val="00D001A4"/>
    <w:rsid w:val="00D005C6"/>
    <w:rsid w:val="00D00671"/>
    <w:rsid w:val="00D006CA"/>
    <w:rsid w:val="00D00799"/>
    <w:rsid w:val="00D00B44"/>
    <w:rsid w:val="00D00CEB"/>
    <w:rsid w:val="00D00D9D"/>
    <w:rsid w:val="00D00E0E"/>
    <w:rsid w:val="00D00ED1"/>
    <w:rsid w:val="00D01127"/>
    <w:rsid w:val="00D012C0"/>
    <w:rsid w:val="00D013D5"/>
    <w:rsid w:val="00D01502"/>
    <w:rsid w:val="00D01A0C"/>
    <w:rsid w:val="00D01A4A"/>
    <w:rsid w:val="00D01AE7"/>
    <w:rsid w:val="00D01BD2"/>
    <w:rsid w:val="00D01BE1"/>
    <w:rsid w:val="00D01C55"/>
    <w:rsid w:val="00D01C59"/>
    <w:rsid w:val="00D01C7D"/>
    <w:rsid w:val="00D01D23"/>
    <w:rsid w:val="00D01E30"/>
    <w:rsid w:val="00D01FCD"/>
    <w:rsid w:val="00D021C1"/>
    <w:rsid w:val="00D0224B"/>
    <w:rsid w:val="00D02296"/>
    <w:rsid w:val="00D022D9"/>
    <w:rsid w:val="00D0232D"/>
    <w:rsid w:val="00D0244B"/>
    <w:rsid w:val="00D0286E"/>
    <w:rsid w:val="00D0294B"/>
    <w:rsid w:val="00D02CE0"/>
    <w:rsid w:val="00D02EA6"/>
    <w:rsid w:val="00D02F86"/>
    <w:rsid w:val="00D02FB9"/>
    <w:rsid w:val="00D031BD"/>
    <w:rsid w:val="00D03209"/>
    <w:rsid w:val="00D03442"/>
    <w:rsid w:val="00D03558"/>
    <w:rsid w:val="00D03754"/>
    <w:rsid w:val="00D0392C"/>
    <w:rsid w:val="00D03E09"/>
    <w:rsid w:val="00D03E48"/>
    <w:rsid w:val="00D03EC7"/>
    <w:rsid w:val="00D0400F"/>
    <w:rsid w:val="00D04070"/>
    <w:rsid w:val="00D04164"/>
    <w:rsid w:val="00D04244"/>
    <w:rsid w:val="00D042E7"/>
    <w:rsid w:val="00D04321"/>
    <w:rsid w:val="00D0439D"/>
    <w:rsid w:val="00D04474"/>
    <w:rsid w:val="00D04534"/>
    <w:rsid w:val="00D04535"/>
    <w:rsid w:val="00D04669"/>
    <w:rsid w:val="00D04874"/>
    <w:rsid w:val="00D04A28"/>
    <w:rsid w:val="00D04B2E"/>
    <w:rsid w:val="00D04BEA"/>
    <w:rsid w:val="00D04D18"/>
    <w:rsid w:val="00D05104"/>
    <w:rsid w:val="00D05146"/>
    <w:rsid w:val="00D052C7"/>
    <w:rsid w:val="00D053E1"/>
    <w:rsid w:val="00D05426"/>
    <w:rsid w:val="00D056B1"/>
    <w:rsid w:val="00D057D4"/>
    <w:rsid w:val="00D0599A"/>
    <w:rsid w:val="00D05A69"/>
    <w:rsid w:val="00D05BD6"/>
    <w:rsid w:val="00D05BDC"/>
    <w:rsid w:val="00D05CB2"/>
    <w:rsid w:val="00D05D5D"/>
    <w:rsid w:val="00D05FFE"/>
    <w:rsid w:val="00D06182"/>
    <w:rsid w:val="00D064AC"/>
    <w:rsid w:val="00D064D4"/>
    <w:rsid w:val="00D065D2"/>
    <w:rsid w:val="00D06A97"/>
    <w:rsid w:val="00D06F3D"/>
    <w:rsid w:val="00D070F1"/>
    <w:rsid w:val="00D07200"/>
    <w:rsid w:val="00D074B5"/>
    <w:rsid w:val="00D074F3"/>
    <w:rsid w:val="00D0758C"/>
    <w:rsid w:val="00D0759C"/>
    <w:rsid w:val="00D075AC"/>
    <w:rsid w:val="00D0765C"/>
    <w:rsid w:val="00D077C1"/>
    <w:rsid w:val="00D077D2"/>
    <w:rsid w:val="00D078F0"/>
    <w:rsid w:val="00D07AA5"/>
    <w:rsid w:val="00D07AAF"/>
    <w:rsid w:val="00D07DEE"/>
    <w:rsid w:val="00D07EBD"/>
    <w:rsid w:val="00D07F46"/>
    <w:rsid w:val="00D10272"/>
    <w:rsid w:val="00D10726"/>
    <w:rsid w:val="00D10890"/>
    <w:rsid w:val="00D108A0"/>
    <w:rsid w:val="00D108EC"/>
    <w:rsid w:val="00D10986"/>
    <w:rsid w:val="00D10A6B"/>
    <w:rsid w:val="00D10B74"/>
    <w:rsid w:val="00D10BBB"/>
    <w:rsid w:val="00D10C56"/>
    <w:rsid w:val="00D10FAD"/>
    <w:rsid w:val="00D10FF0"/>
    <w:rsid w:val="00D1100C"/>
    <w:rsid w:val="00D11109"/>
    <w:rsid w:val="00D1117C"/>
    <w:rsid w:val="00D1155F"/>
    <w:rsid w:val="00D119ED"/>
    <w:rsid w:val="00D11B02"/>
    <w:rsid w:val="00D11B6F"/>
    <w:rsid w:val="00D11B85"/>
    <w:rsid w:val="00D11BF4"/>
    <w:rsid w:val="00D11CC3"/>
    <w:rsid w:val="00D11F5B"/>
    <w:rsid w:val="00D11FB9"/>
    <w:rsid w:val="00D12136"/>
    <w:rsid w:val="00D125E6"/>
    <w:rsid w:val="00D12969"/>
    <w:rsid w:val="00D12994"/>
    <w:rsid w:val="00D12CE6"/>
    <w:rsid w:val="00D12D16"/>
    <w:rsid w:val="00D12D46"/>
    <w:rsid w:val="00D12FC1"/>
    <w:rsid w:val="00D130E6"/>
    <w:rsid w:val="00D131D7"/>
    <w:rsid w:val="00D1327E"/>
    <w:rsid w:val="00D134C9"/>
    <w:rsid w:val="00D13771"/>
    <w:rsid w:val="00D13847"/>
    <w:rsid w:val="00D13861"/>
    <w:rsid w:val="00D13916"/>
    <w:rsid w:val="00D13BF9"/>
    <w:rsid w:val="00D13C44"/>
    <w:rsid w:val="00D13CD6"/>
    <w:rsid w:val="00D13F5B"/>
    <w:rsid w:val="00D140FE"/>
    <w:rsid w:val="00D1420C"/>
    <w:rsid w:val="00D1420E"/>
    <w:rsid w:val="00D14225"/>
    <w:rsid w:val="00D142A7"/>
    <w:rsid w:val="00D142DA"/>
    <w:rsid w:val="00D14370"/>
    <w:rsid w:val="00D143E7"/>
    <w:rsid w:val="00D14588"/>
    <w:rsid w:val="00D14679"/>
    <w:rsid w:val="00D146F0"/>
    <w:rsid w:val="00D14971"/>
    <w:rsid w:val="00D14996"/>
    <w:rsid w:val="00D14ABB"/>
    <w:rsid w:val="00D14B60"/>
    <w:rsid w:val="00D14BF2"/>
    <w:rsid w:val="00D1518A"/>
    <w:rsid w:val="00D15333"/>
    <w:rsid w:val="00D1553E"/>
    <w:rsid w:val="00D15600"/>
    <w:rsid w:val="00D1587D"/>
    <w:rsid w:val="00D158C1"/>
    <w:rsid w:val="00D1595E"/>
    <w:rsid w:val="00D15B19"/>
    <w:rsid w:val="00D15DAC"/>
    <w:rsid w:val="00D15EEA"/>
    <w:rsid w:val="00D15F23"/>
    <w:rsid w:val="00D162C3"/>
    <w:rsid w:val="00D164AE"/>
    <w:rsid w:val="00D164FF"/>
    <w:rsid w:val="00D1656D"/>
    <w:rsid w:val="00D1659F"/>
    <w:rsid w:val="00D165A2"/>
    <w:rsid w:val="00D16788"/>
    <w:rsid w:val="00D1685E"/>
    <w:rsid w:val="00D1686D"/>
    <w:rsid w:val="00D168B0"/>
    <w:rsid w:val="00D16C66"/>
    <w:rsid w:val="00D16D2A"/>
    <w:rsid w:val="00D16D9D"/>
    <w:rsid w:val="00D16DF2"/>
    <w:rsid w:val="00D16E37"/>
    <w:rsid w:val="00D16FE0"/>
    <w:rsid w:val="00D17275"/>
    <w:rsid w:val="00D17316"/>
    <w:rsid w:val="00D17362"/>
    <w:rsid w:val="00D1745F"/>
    <w:rsid w:val="00D174D9"/>
    <w:rsid w:val="00D17509"/>
    <w:rsid w:val="00D17558"/>
    <w:rsid w:val="00D17561"/>
    <w:rsid w:val="00D1766E"/>
    <w:rsid w:val="00D17702"/>
    <w:rsid w:val="00D1770F"/>
    <w:rsid w:val="00D17A5D"/>
    <w:rsid w:val="00D17AAD"/>
    <w:rsid w:val="00D17AE0"/>
    <w:rsid w:val="00D17AF1"/>
    <w:rsid w:val="00D17B7B"/>
    <w:rsid w:val="00D17BCF"/>
    <w:rsid w:val="00D17D74"/>
    <w:rsid w:val="00D17E6B"/>
    <w:rsid w:val="00D17EEF"/>
    <w:rsid w:val="00D17EFE"/>
    <w:rsid w:val="00D200A1"/>
    <w:rsid w:val="00D201CC"/>
    <w:rsid w:val="00D203AB"/>
    <w:rsid w:val="00D204D3"/>
    <w:rsid w:val="00D20790"/>
    <w:rsid w:val="00D207F8"/>
    <w:rsid w:val="00D208A6"/>
    <w:rsid w:val="00D208AE"/>
    <w:rsid w:val="00D209E2"/>
    <w:rsid w:val="00D20CA4"/>
    <w:rsid w:val="00D20EA9"/>
    <w:rsid w:val="00D20EBB"/>
    <w:rsid w:val="00D21037"/>
    <w:rsid w:val="00D210F8"/>
    <w:rsid w:val="00D2117A"/>
    <w:rsid w:val="00D212EE"/>
    <w:rsid w:val="00D2133C"/>
    <w:rsid w:val="00D2147A"/>
    <w:rsid w:val="00D215C8"/>
    <w:rsid w:val="00D2176B"/>
    <w:rsid w:val="00D21813"/>
    <w:rsid w:val="00D21A66"/>
    <w:rsid w:val="00D21ADE"/>
    <w:rsid w:val="00D21CCE"/>
    <w:rsid w:val="00D21ED4"/>
    <w:rsid w:val="00D220ED"/>
    <w:rsid w:val="00D22174"/>
    <w:rsid w:val="00D22188"/>
    <w:rsid w:val="00D22254"/>
    <w:rsid w:val="00D222E6"/>
    <w:rsid w:val="00D223A2"/>
    <w:rsid w:val="00D22410"/>
    <w:rsid w:val="00D224C7"/>
    <w:rsid w:val="00D224F8"/>
    <w:rsid w:val="00D2258B"/>
    <w:rsid w:val="00D22618"/>
    <w:rsid w:val="00D2262E"/>
    <w:rsid w:val="00D22937"/>
    <w:rsid w:val="00D22940"/>
    <w:rsid w:val="00D229CB"/>
    <w:rsid w:val="00D22A61"/>
    <w:rsid w:val="00D22AAC"/>
    <w:rsid w:val="00D22AC0"/>
    <w:rsid w:val="00D22B5D"/>
    <w:rsid w:val="00D22BA6"/>
    <w:rsid w:val="00D22D1E"/>
    <w:rsid w:val="00D22DCB"/>
    <w:rsid w:val="00D22EDF"/>
    <w:rsid w:val="00D231A4"/>
    <w:rsid w:val="00D23212"/>
    <w:rsid w:val="00D2325D"/>
    <w:rsid w:val="00D23372"/>
    <w:rsid w:val="00D23649"/>
    <w:rsid w:val="00D238FA"/>
    <w:rsid w:val="00D23B48"/>
    <w:rsid w:val="00D23CBC"/>
    <w:rsid w:val="00D23E51"/>
    <w:rsid w:val="00D23EED"/>
    <w:rsid w:val="00D23F34"/>
    <w:rsid w:val="00D23FCB"/>
    <w:rsid w:val="00D2408C"/>
    <w:rsid w:val="00D241A3"/>
    <w:rsid w:val="00D24372"/>
    <w:rsid w:val="00D245CB"/>
    <w:rsid w:val="00D24776"/>
    <w:rsid w:val="00D247D9"/>
    <w:rsid w:val="00D24901"/>
    <w:rsid w:val="00D24A50"/>
    <w:rsid w:val="00D24A76"/>
    <w:rsid w:val="00D24C6A"/>
    <w:rsid w:val="00D24DDC"/>
    <w:rsid w:val="00D24E01"/>
    <w:rsid w:val="00D24E1D"/>
    <w:rsid w:val="00D24E5C"/>
    <w:rsid w:val="00D24FBC"/>
    <w:rsid w:val="00D2504B"/>
    <w:rsid w:val="00D2508F"/>
    <w:rsid w:val="00D252B1"/>
    <w:rsid w:val="00D2536F"/>
    <w:rsid w:val="00D253B2"/>
    <w:rsid w:val="00D253E0"/>
    <w:rsid w:val="00D254A3"/>
    <w:rsid w:val="00D2574E"/>
    <w:rsid w:val="00D25C18"/>
    <w:rsid w:val="00D25D0E"/>
    <w:rsid w:val="00D26091"/>
    <w:rsid w:val="00D26251"/>
    <w:rsid w:val="00D263B2"/>
    <w:rsid w:val="00D268C8"/>
    <w:rsid w:val="00D269BC"/>
    <w:rsid w:val="00D26C7B"/>
    <w:rsid w:val="00D2701E"/>
    <w:rsid w:val="00D27078"/>
    <w:rsid w:val="00D270F4"/>
    <w:rsid w:val="00D2724A"/>
    <w:rsid w:val="00D2735B"/>
    <w:rsid w:val="00D274A3"/>
    <w:rsid w:val="00D27606"/>
    <w:rsid w:val="00D276DB"/>
    <w:rsid w:val="00D277FF"/>
    <w:rsid w:val="00D27845"/>
    <w:rsid w:val="00D27BFF"/>
    <w:rsid w:val="00D27CC6"/>
    <w:rsid w:val="00D27FF9"/>
    <w:rsid w:val="00D30043"/>
    <w:rsid w:val="00D300E5"/>
    <w:rsid w:val="00D30118"/>
    <w:rsid w:val="00D302AA"/>
    <w:rsid w:val="00D3034C"/>
    <w:rsid w:val="00D30571"/>
    <w:rsid w:val="00D307D2"/>
    <w:rsid w:val="00D30856"/>
    <w:rsid w:val="00D3097F"/>
    <w:rsid w:val="00D30990"/>
    <w:rsid w:val="00D30AB5"/>
    <w:rsid w:val="00D30ACA"/>
    <w:rsid w:val="00D30B8B"/>
    <w:rsid w:val="00D30BBF"/>
    <w:rsid w:val="00D30BC1"/>
    <w:rsid w:val="00D30C2D"/>
    <w:rsid w:val="00D31149"/>
    <w:rsid w:val="00D3136A"/>
    <w:rsid w:val="00D31384"/>
    <w:rsid w:val="00D31541"/>
    <w:rsid w:val="00D3154D"/>
    <w:rsid w:val="00D3175C"/>
    <w:rsid w:val="00D317B9"/>
    <w:rsid w:val="00D3181F"/>
    <w:rsid w:val="00D31838"/>
    <w:rsid w:val="00D3184C"/>
    <w:rsid w:val="00D318FF"/>
    <w:rsid w:val="00D31AB7"/>
    <w:rsid w:val="00D31AEB"/>
    <w:rsid w:val="00D31D06"/>
    <w:rsid w:val="00D31DC3"/>
    <w:rsid w:val="00D31F3F"/>
    <w:rsid w:val="00D32026"/>
    <w:rsid w:val="00D320A7"/>
    <w:rsid w:val="00D32148"/>
    <w:rsid w:val="00D3220A"/>
    <w:rsid w:val="00D322AE"/>
    <w:rsid w:val="00D32320"/>
    <w:rsid w:val="00D32509"/>
    <w:rsid w:val="00D3258F"/>
    <w:rsid w:val="00D325B5"/>
    <w:rsid w:val="00D32713"/>
    <w:rsid w:val="00D3274D"/>
    <w:rsid w:val="00D328A9"/>
    <w:rsid w:val="00D329C5"/>
    <w:rsid w:val="00D32A8B"/>
    <w:rsid w:val="00D32AD4"/>
    <w:rsid w:val="00D32B0B"/>
    <w:rsid w:val="00D3317F"/>
    <w:rsid w:val="00D332C8"/>
    <w:rsid w:val="00D333D2"/>
    <w:rsid w:val="00D3344C"/>
    <w:rsid w:val="00D33473"/>
    <w:rsid w:val="00D335FD"/>
    <w:rsid w:val="00D33676"/>
    <w:rsid w:val="00D336C0"/>
    <w:rsid w:val="00D33A33"/>
    <w:rsid w:val="00D33E2E"/>
    <w:rsid w:val="00D33F2C"/>
    <w:rsid w:val="00D34001"/>
    <w:rsid w:val="00D34004"/>
    <w:rsid w:val="00D342F3"/>
    <w:rsid w:val="00D343D1"/>
    <w:rsid w:val="00D344F9"/>
    <w:rsid w:val="00D34732"/>
    <w:rsid w:val="00D34750"/>
    <w:rsid w:val="00D349D9"/>
    <w:rsid w:val="00D34C19"/>
    <w:rsid w:val="00D34C2B"/>
    <w:rsid w:val="00D34C8E"/>
    <w:rsid w:val="00D34D8B"/>
    <w:rsid w:val="00D34DB4"/>
    <w:rsid w:val="00D34E20"/>
    <w:rsid w:val="00D34EF1"/>
    <w:rsid w:val="00D3528B"/>
    <w:rsid w:val="00D352D4"/>
    <w:rsid w:val="00D35A04"/>
    <w:rsid w:val="00D35AB9"/>
    <w:rsid w:val="00D35B76"/>
    <w:rsid w:val="00D35CCE"/>
    <w:rsid w:val="00D35DCC"/>
    <w:rsid w:val="00D36245"/>
    <w:rsid w:val="00D362C2"/>
    <w:rsid w:val="00D36375"/>
    <w:rsid w:val="00D364D6"/>
    <w:rsid w:val="00D36607"/>
    <w:rsid w:val="00D3699F"/>
    <w:rsid w:val="00D369B7"/>
    <w:rsid w:val="00D369EF"/>
    <w:rsid w:val="00D36C91"/>
    <w:rsid w:val="00D36CC7"/>
    <w:rsid w:val="00D36DD8"/>
    <w:rsid w:val="00D37091"/>
    <w:rsid w:val="00D37174"/>
    <w:rsid w:val="00D37453"/>
    <w:rsid w:val="00D37BEF"/>
    <w:rsid w:val="00D37E56"/>
    <w:rsid w:val="00D37F08"/>
    <w:rsid w:val="00D400A0"/>
    <w:rsid w:val="00D40137"/>
    <w:rsid w:val="00D4014C"/>
    <w:rsid w:val="00D401BA"/>
    <w:rsid w:val="00D401DB"/>
    <w:rsid w:val="00D402A1"/>
    <w:rsid w:val="00D402B7"/>
    <w:rsid w:val="00D40319"/>
    <w:rsid w:val="00D4079C"/>
    <w:rsid w:val="00D40849"/>
    <w:rsid w:val="00D408B8"/>
    <w:rsid w:val="00D4093F"/>
    <w:rsid w:val="00D40C49"/>
    <w:rsid w:val="00D40CC8"/>
    <w:rsid w:val="00D40CCF"/>
    <w:rsid w:val="00D410C7"/>
    <w:rsid w:val="00D41173"/>
    <w:rsid w:val="00D413AE"/>
    <w:rsid w:val="00D414A8"/>
    <w:rsid w:val="00D4195D"/>
    <w:rsid w:val="00D41A6C"/>
    <w:rsid w:val="00D41B31"/>
    <w:rsid w:val="00D41B95"/>
    <w:rsid w:val="00D41C59"/>
    <w:rsid w:val="00D41CE9"/>
    <w:rsid w:val="00D41D67"/>
    <w:rsid w:val="00D41EF8"/>
    <w:rsid w:val="00D42002"/>
    <w:rsid w:val="00D42198"/>
    <w:rsid w:val="00D42336"/>
    <w:rsid w:val="00D4238B"/>
    <w:rsid w:val="00D42A53"/>
    <w:rsid w:val="00D42B60"/>
    <w:rsid w:val="00D42E08"/>
    <w:rsid w:val="00D42E26"/>
    <w:rsid w:val="00D42E81"/>
    <w:rsid w:val="00D42EBB"/>
    <w:rsid w:val="00D43146"/>
    <w:rsid w:val="00D43176"/>
    <w:rsid w:val="00D43241"/>
    <w:rsid w:val="00D433BB"/>
    <w:rsid w:val="00D43596"/>
    <w:rsid w:val="00D436E3"/>
    <w:rsid w:val="00D438AC"/>
    <w:rsid w:val="00D43934"/>
    <w:rsid w:val="00D43BDE"/>
    <w:rsid w:val="00D43C31"/>
    <w:rsid w:val="00D43DE8"/>
    <w:rsid w:val="00D44110"/>
    <w:rsid w:val="00D4421F"/>
    <w:rsid w:val="00D442AB"/>
    <w:rsid w:val="00D443B9"/>
    <w:rsid w:val="00D44506"/>
    <w:rsid w:val="00D44676"/>
    <w:rsid w:val="00D446CA"/>
    <w:rsid w:val="00D4476B"/>
    <w:rsid w:val="00D44A68"/>
    <w:rsid w:val="00D44A9D"/>
    <w:rsid w:val="00D44C7C"/>
    <w:rsid w:val="00D44DEC"/>
    <w:rsid w:val="00D45085"/>
    <w:rsid w:val="00D45097"/>
    <w:rsid w:val="00D45142"/>
    <w:rsid w:val="00D45308"/>
    <w:rsid w:val="00D45338"/>
    <w:rsid w:val="00D456F8"/>
    <w:rsid w:val="00D45811"/>
    <w:rsid w:val="00D4585A"/>
    <w:rsid w:val="00D459FC"/>
    <w:rsid w:val="00D45DD2"/>
    <w:rsid w:val="00D45FB5"/>
    <w:rsid w:val="00D4602C"/>
    <w:rsid w:val="00D460C5"/>
    <w:rsid w:val="00D460EE"/>
    <w:rsid w:val="00D4617C"/>
    <w:rsid w:val="00D4648F"/>
    <w:rsid w:val="00D464DC"/>
    <w:rsid w:val="00D46507"/>
    <w:rsid w:val="00D465CA"/>
    <w:rsid w:val="00D4661C"/>
    <w:rsid w:val="00D467EC"/>
    <w:rsid w:val="00D4688C"/>
    <w:rsid w:val="00D46928"/>
    <w:rsid w:val="00D46ABB"/>
    <w:rsid w:val="00D46D20"/>
    <w:rsid w:val="00D46DF7"/>
    <w:rsid w:val="00D46E92"/>
    <w:rsid w:val="00D46ECA"/>
    <w:rsid w:val="00D4700C"/>
    <w:rsid w:val="00D47117"/>
    <w:rsid w:val="00D47222"/>
    <w:rsid w:val="00D47315"/>
    <w:rsid w:val="00D47332"/>
    <w:rsid w:val="00D473CB"/>
    <w:rsid w:val="00D4753A"/>
    <w:rsid w:val="00D47716"/>
    <w:rsid w:val="00D47865"/>
    <w:rsid w:val="00D47ABD"/>
    <w:rsid w:val="00D47C6E"/>
    <w:rsid w:val="00D47C98"/>
    <w:rsid w:val="00D47D81"/>
    <w:rsid w:val="00D5037C"/>
    <w:rsid w:val="00D50633"/>
    <w:rsid w:val="00D5066F"/>
    <w:rsid w:val="00D5076A"/>
    <w:rsid w:val="00D50841"/>
    <w:rsid w:val="00D508C2"/>
    <w:rsid w:val="00D508F9"/>
    <w:rsid w:val="00D50A77"/>
    <w:rsid w:val="00D50A8C"/>
    <w:rsid w:val="00D50A96"/>
    <w:rsid w:val="00D50CA8"/>
    <w:rsid w:val="00D51030"/>
    <w:rsid w:val="00D5106E"/>
    <w:rsid w:val="00D5144D"/>
    <w:rsid w:val="00D514A5"/>
    <w:rsid w:val="00D5153E"/>
    <w:rsid w:val="00D515AB"/>
    <w:rsid w:val="00D51641"/>
    <w:rsid w:val="00D51674"/>
    <w:rsid w:val="00D5173F"/>
    <w:rsid w:val="00D51745"/>
    <w:rsid w:val="00D519B7"/>
    <w:rsid w:val="00D51A1A"/>
    <w:rsid w:val="00D51AA7"/>
    <w:rsid w:val="00D51B52"/>
    <w:rsid w:val="00D51EA6"/>
    <w:rsid w:val="00D51F12"/>
    <w:rsid w:val="00D52054"/>
    <w:rsid w:val="00D52089"/>
    <w:rsid w:val="00D52177"/>
    <w:rsid w:val="00D523C2"/>
    <w:rsid w:val="00D5252E"/>
    <w:rsid w:val="00D52617"/>
    <w:rsid w:val="00D5286E"/>
    <w:rsid w:val="00D528FB"/>
    <w:rsid w:val="00D5291B"/>
    <w:rsid w:val="00D52AAA"/>
    <w:rsid w:val="00D52E55"/>
    <w:rsid w:val="00D52F25"/>
    <w:rsid w:val="00D52FAD"/>
    <w:rsid w:val="00D535FD"/>
    <w:rsid w:val="00D53BBB"/>
    <w:rsid w:val="00D53BE9"/>
    <w:rsid w:val="00D53C86"/>
    <w:rsid w:val="00D53E21"/>
    <w:rsid w:val="00D540FC"/>
    <w:rsid w:val="00D5412A"/>
    <w:rsid w:val="00D5451B"/>
    <w:rsid w:val="00D54609"/>
    <w:rsid w:val="00D54716"/>
    <w:rsid w:val="00D548B5"/>
    <w:rsid w:val="00D54AE1"/>
    <w:rsid w:val="00D54B1E"/>
    <w:rsid w:val="00D54DA2"/>
    <w:rsid w:val="00D54DA5"/>
    <w:rsid w:val="00D54DAB"/>
    <w:rsid w:val="00D54DAC"/>
    <w:rsid w:val="00D54DDC"/>
    <w:rsid w:val="00D5511E"/>
    <w:rsid w:val="00D55158"/>
    <w:rsid w:val="00D5518D"/>
    <w:rsid w:val="00D55218"/>
    <w:rsid w:val="00D552B1"/>
    <w:rsid w:val="00D5569F"/>
    <w:rsid w:val="00D55720"/>
    <w:rsid w:val="00D55946"/>
    <w:rsid w:val="00D55AA9"/>
    <w:rsid w:val="00D55C04"/>
    <w:rsid w:val="00D55C26"/>
    <w:rsid w:val="00D55CF3"/>
    <w:rsid w:val="00D55D17"/>
    <w:rsid w:val="00D55DC2"/>
    <w:rsid w:val="00D56118"/>
    <w:rsid w:val="00D56126"/>
    <w:rsid w:val="00D561C3"/>
    <w:rsid w:val="00D56392"/>
    <w:rsid w:val="00D56645"/>
    <w:rsid w:val="00D5695B"/>
    <w:rsid w:val="00D56C54"/>
    <w:rsid w:val="00D56C5A"/>
    <w:rsid w:val="00D56C9F"/>
    <w:rsid w:val="00D56CF9"/>
    <w:rsid w:val="00D56E20"/>
    <w:rsid w:val="00D56EC8"/>
    <w:rsid w:val="00D57116"/>
    <w:rsid w:val="00D5712D"/>
    <w:rsid w:val="00D571C0"/>
    <w:rsid w:val="00D5750C"/>
    <w:rsid w:val="00D57574"/>
    <w:rsid w:val="00D575A2"/>
    <w:rsid w:val="00D57706"/>
    <w:rsid w:val="00D5786F"/>
    <w:rsid w:val="00D57978"/>
    <w:rsid w:val="00D57AD1"/>
    <w:rsid w:val="00D57CD5"/>
    <w:rsid w:val="00D57DBB"/>
    <w:rsid w:val="00D57E58"/>
    <w:rsid w:val="00D57F9A"/>
    <w:rsid w:val="00D600C6"/>
    <w:rsid w:val="00D6069D"/>
    <w:rsid w:val="00D606D7"/>
    <w:rsid w:val="00D60762"/>
    <w:rsid w:val="00D608E6"/>
    <w:rsid w:val="00D6096D"/>
    <w:rsid w:val="00D60A00"/>
    <w:rsid w:val="00D60A84"/>
    <w:rsid w:val="00D60B87"/>
    <w:rsid w:val="00D60B94"/>
    <w:rsid w:val="00D60DB5"/>
    <w:rsid w:val="00D60DE6"/>
    <w:rsid w:val="00D60EE0"/>
    <w:rsid w:val="00D60F3B"/>
    <w:rsid w:val="00D61022"/>
    <w:rsid w:val="00D61133"/>
    <w:rsid w:val="00D615A5"/>
    <w:rsid w:val="00D616B1"/>
    <w:rsid w:val="00D616EA"/>
    <w:rsid w:val="00D617DC"/>
    <w:rsid w:val="00D618BA"/>
    <w:rsid w:val="00D61B51"/>
    <w:rsid w:val="00D61C44"/>
    <w:rsid w:val="00D61D01"/>
    <w:rsid w:val="00D61D29"/>
    <w:rsid w:val="00D61D64"/>
    <w:rsid w:val="00D61D93"/>
    <w:rsid w:val="00D62151"/>
    <w:rsid w:val="00D6234F"/>
    <w:rsid w:val="00D623A0"/>
    <w:rsid w:val="00D623D6"/>
    <w:rsid w:val="00D62420"/>
    <w:rsid w:val="00D625D8"/>
    <w:rsid w:val="00D62631"/>
    <w:rsid w:val="00D627C6"/>
    <w:rsid w:val="00D628C7"/>
    <w:rsid w:val="00D628F8"/>
    <w:rsid w:val="00D629FA"/>
    <w:rsid w:val="00D62C28"/>
    <w:rsid w:val="00D62D20"/>
    <w:rsid w:val="00D62D88"/>
    <w:rsid w:val="00D63068"/>
    <w:rsid w:val="00D633F7"/>
    <w:rsid w:val="00D63493"/>
    <w:rsid w:val="00D634F3"/>
    <w:rsid w:val="00D6355E"/>
    <w:rsid w:val="00D635B0"/>
    <w:rsid w:val="00D636D1"/>
    <w:rsid w:val="00D637DB"/>
    <w:rsid w:val="00D6394E"/>
    <w:rsid w:val="00D63B33"/>
    <w:rsid w:val="00D63C70"/>
    <w:rsid w:val="00D63DFD"/>
    <w:rsid w:val="00D63E2E"/>
    <w:rsid w:val="00D63EBC"/>
    <w:rsid w:val="00D63F49"/>
    <w:rsid w:val="00D64694"/>
    <w:rsid w:val="00D646AF"/>
    <w:rsid w:val="00D64742"/>
    <w:rsid w:val="00D649D9"/>
    <w:rsid w:val="00D64AA5"/>
    <w:rsid w:val="00D64C8B"/>
    <w:rsid w:val="00D64CD2"/>
    <w:rsid w:val="00D64D45"/>
    <w:rsid w:val="00D64DC6"/>
    <w:rsid w:val="00D64E61"/>
    <w:rsid w:val="00D6517A"/>
    <w:rsid w:val="00D6520E"/>
    <w:rsid w:val="00D6525B"/>
    <w:rsid w:val="00D652E5"/>
    <w:rsid w:val="00D65529"/>
    <w:rsid w:val="00D655CE"/>
    <w:rsid w:val="00D65672"/>
    <w:rsid w:val="00D658DA"/>
    <w:rsid w:val="00D65BBE"/>
    <w:rsid w:val="00D65DB9"/>
    <w:rsid w:val="00D65EB8"/>
    <w:rsid w:val="00D65F42"/>
    <w:rsid w:val="00D65F88"/>
    <w:rsid w:val="00D661E4"/>
    <w:rsid w:val="00D66308"/>
    <w:rsid w:val="00D66582"/>
    <w:rsid w:val="00D665CD"/>
    <w:rsid w:val="00D667EB"/>
    <w:rsid w:val="00D6686F"/>
    <w:rsid w:val="00D669F2"/>
    <w:rsid w:val="00D66A72"/>
    <w:rsid w:val="00D66B5D"/>
    <w:rsid w:val="00D66C01"/>
    <w:rsid w:val="00D66D48"/>
    <w:rsid w:val="00D66EB5"/>
    <w:rsid w:val="00D66F0A"/>
    <w:rsid w:val="00D67178"/>
    <w:rsid w:val="00D672AC"/>
    <w:rsid w:val="00D67589"/>
    <w:rsid w:val="00D67792"/>
    <w:rsid w:val="00D67819"/>
    <w:rsid w:val="00D6784E"/>
    <w:rsid w:val="00D67A77"/>
    <w:rsid w:val="00D67B01"/>
    <w:rsid w:val="00D700F9"/>
    <w:rsid w:val="00D7012B"/>
    <w:rsid w:val="00D7018F"/>
    <w:rsid w:val="00D701BA"/>
    <w:rsid w:val="00D702A6"/>
    <w:rsid w:val="00D70362"/>
    <w:rsid w:val="00D705F1"/>
    <w:rsid w:val="00D7081E"/>
    <w:rsid w:val="00D70ABC"/>
    <w:rsid w:val="00D70AF3"/>
    <w:rsid w:val="00D70BC9"/>
    <w:rsid w:val="00D70EEC"/>
    <w:rsid w:val="00D7121E"/>
    <w:rsid w:val="00D71398"/>
    <w:rsid w:val="00D7149E"/>
    <w:rsid w:val="00D714B7"/>
    <w:rsid w:val="00D715B5"/>
    <w:rsid w:val="00D71602"/>
    <w:rsid w:val="00D716D9"/>
    <w:rsid w:val="00D71702"/>
    <w:rsid w:val="00D71756"/>
    <w:rsid w:val="00D71A34"/>
    <w:rsid w:val="00D71A38"/>
    <w:rsid w:val="00D71B3F"/>
    <w:rsid w:val="00D71B78"/>
    <w:rsid w:val="00D71C60"/>
    <w:rsid w:val="00D71D0E"/>
    <w:rsid w:val="00D71EE6"/>
    <w:rsid w:val="00D71F70"/>
    <w:rsid w:val="00D71FB6"/>
    <w:rsid w:val="00D71FCC"/>
    <w:rsid w:val="00D72317"/>
    <w:rsid w:val="00D7251D"/>
    <w:rsid w:val="00D72605"/>
    <w:rsid w:val="00D727E7"/>
    <w:rsid w:val="00D72825"/>
    <w:rsid w:val="00D72A09"/>
    <w:rsid w:val="00D72A0F"/>
    <w:rsid w:val="00D72A1B"/>
    <w:rsid w:val="00D72B73"/>
    <w:rsid w:val="00D7300B"/>
    <w:rsid w:val="00D7311B"/>
    <w:rsid w:val="00D7318B"/>
    <w:rsid w:val="00D731FA"/>
    <w:rsid w:val="00D73268"/>
    <w:rsid w:val="00D7339B"/>
    <w:rsid w:val="00D73465"/>
    <w:rsid w:val="00D7381D"/>
    <w:rsid w:val="00D73AF1"/>
    <w:rsid w:val="00D73BDB"/>
    <w:rsid w:val="00D73C98"/>
    <w:rsid w:val="00D73CE4"/>
    <w:rsid w:val="00D73D10"/>
    <w:rsid w:val="00D73E91"/>
    <w:rsid w:val="00D73F3C"/>
    <w:rsid w:val="00D741AE"/>
    <w:rsid w:val="00D7428C"/>
    <w:rsid w:val="00D7436A"/>
    <w:rsid w:val="00D7453A"/>
    <w:rsid w:val="00D74617"/>
    <w:rsid w:val="00D7471F"/>
    <w:rsid w:val="00D74765"/>
    <w:rsid w:val="00D74868"/>
    <w:rsid w:val="00D749F9"/>
    <w:rsid w:val="00D74AE3"/>
    <w:rsid w:val="00D74B82"/>
    <w:rsid w:val="00D74CA1"/>
    <w:rsid w:val="00D74E26"/>
    <w:rsid w:val="00D74EB1"/>
    <w:rsid w:val="00D74FE5"/>
    <w:rsid w:val="00D75082"/>
    <w:rsid w:val="00D750F9"/>
    <w:rsid w:val="00D75108"/>
    <w:rsid w:val="00D751F4"/>
    <w:rsid w:val="00D7541D"/>
    <w:rsid w:val="00D7556B"/>
    <w:rsid w:val="00D7560C"/>
    <w:rsid w:val="00D758DF"/>
    <w:rsid w:val="00D75A89"/>
    <w:rsid w:val="00D75A91"/>
    <w:rsid w:val="00D75C95"/>
    <w:rsid w:val="00D75EE2"/>
    <w:rsid w:val="00D7605A"/>
    <w:rsid w:val="00D761E6"/>
    <w:rsid w:val="00D76461"/>
    <w:rsid w:val="00D7657B"/>
    <w:rsid w:val="00D765C4"/>
    <w:rsid w:val="00D767EB"/>
    <w:rsid w:val="00D76A71"/>
    <w:rsid w:val="00D76C29"/>
    <w:rsid w:val="00D76D55"/>
    <w:rsid w:val="00D76F5B"/>
    <w:rsid w:val="00D77032"/>
    <w:rsid w:val="00D771FF"/>
    <w:rsid w:val="00D7738C"/>
    <w:rsid w:val="00D77452"/>
    <w:rsid w:val="00D7746A"/>
    <w:rsid w:val="00D77577"/>
    <w:rsid w:val="00D775BD"/>
    <w:rsid w:val="00D77647"/>
    <w:rsid w:val="00D778AE"/>
    <w:rsid w:val="00D77AB6"/>
    <w:rsid w:val="00D77D33"/>
    <w:rsid w:val="00D77DDE"/>
    <w:rsid w:val="00D77DEA"/>
    <w:rsid w:val="00D77DFE"/>
    <w:rsid w:val="00D803FB"/>
    <w:rsid w:val="00D80498"/>
    <w:rsid w:val="00D804C7"/>
    <w:rsid w:val="00D804DB"/>
    <w:rsid w:val="00D806BA"/>
    <w:rsid w:val="00D8079D"/>
    <w:rsid w:val="00D807DE"/>
    <w:rsid w:val="00D80836"/>
    <w:rsid w:val="00D80DA5"/>
    <w:rsid w:val="00D80DDF"/>
    <w:rsid w:val="00D80FAD"/>
    <w:rsid w:val="00D810EB"/>
    <w:rsid w:val="00D81153"/>
    <w:rsid w:val="00D8119F"/>
    <w:rsid w:val="00D811CB"/>
    <w:rsid w:val="00D81206"/>
    <w:rsid w:val="00D814D5"/>
    <w:rsid w:val="00D8158C"/>
    <w:rsid w:val="00D816C2"/>
    <w:rsid w:val="00D8175B"/>
    <w:rsid w:val="00D817CA"/>
    <w:rsid w:val="00D8197C"/>
    <w:rsid w:val="00D81A10"/>
    <w:rsid w:val="00D81A31"/>
    <w:rsid w:val="00D81ED1"/>
    <w:rsid w:val="00D81EE9"/>
    <w:rsid w:val="00D81F68"/>
    <w:rsid w:val="00D820C6"/>
    <w:rsid w:val="00D82228"/>
    <w:rsid w:val="00D82283"/>
    <w:rsid w:val="00D8239E"/>
    <w:rsid w:val="00D82448"/>
    <w:rsid w:val="00D828BC"/>
    <w:rsid w:val="00D828DA"/>
    <w:rsid w:val="00D82937"/>
    <w:rsid w:val="00D82B0F"/>
    <w:rsid w:val="00D82C1F"/>
    <w:rsid w:val="00D82C27"/>
    <w:rsid w:val="00D82DBE"/>
    <w:rsid w:val="00D83084"/>
    <w:rsid w:val="00D830A5"/>
    <w:rsid w:val="00D830D6"/>
    <w:rsid w:val="00D83113"/>
    <w:rsid w:val="00D832C4"/>
    <w:rsid w:val="00D833A8"/>
    <w:rsid w:val="00D83A52"/>
    <w:rsid w:val="00D83B3A"/>
    <w:rsid w:val="00D83BA2"/>
    <w:rsid w:val="00D83C81"/>
    <w:rsid w:val="00D83D35"/>
    <w:rsid w:val="00D83E1A"/>
    <w:rsid w:val="00D83E8E"/>
    <w:rsid w:val="00D83F01"/>
    <w:rsid w:val="00D83FE7"/>
    <w:rsid w:val="00D840BA"/>
    <w:rsid w:val="00D84232"/>
    <w:rsid w:val="00D844A4"/>
    <w:rsid w:val="00D84576"/>
    <w:rsid w:val="00D8466B"/>
    <w:rsid w:val="00D846D4"/>
    <w:rsid w:val="00D84709"/>
    <w:rsid w:val="00D84D26"/>
    <w:rsid w:val="00D84E2A"/>
    <w:rsid w:val="00D84E5E"/>
    <w:rsid w:val="00D84E7A"/>
    <w:rsid w:val="00D84ECB"/>
    <w:rsid w:val="00D84F23"/>
    <w:rsid w:val="00D85134"/>
    <w:rsid w:val="00D85251"/>
    <w:rsid w:val="00D8531F"/>
    <w:rsid w:val="00D85455"/>
    <w:rsid w:val="00D85599"/>
    <w:rsid w:val="00D8564F"/>
    <w:rsid w:val="00D8567C"/>
    <w:rsid w:val="00D8578D"/>
    <w:rsid w:val="00D857C2"/>
    <w:rsid w:val="00D85A92"/>
    <w:rsid w:val="00D85AC5"/>
    <w:rsid w:val="00D85F2E"/>
    <w:rsid w:val="00D85F47"/>
    <w:rsid w:val="00D8636A"/>
    <w:rsid w:val="00D865DA"/>
    <w:rsid w:val="00D86770"/>
    <w:rsid w:val="00D86862"/>
    <w:rsid w:val="00D868D6"/>
    <w:rsid w:val="00D868DE"/>
    <w:rsid w:val="00D86960"/>
    <w:rsid w:val="00D86966"/>
    <w:rsid w:val="00D869B8"/>
    <w:rsid w:val="00D86A1C"/>
    <w:rsid w:val="00D86A64"/>
    <w:rsid w:val="00D86A65"/>
    <w:rsid w:val="00D86D56"/>
    <w:rsid w:val="00D86EC2"/>
    <w:rsid w:val="00D86EC9"/>
    <w:rsid w:val="00D874FF"/>
    <w:rsid w:val="00D877EB"/>
    <w:rsid w:val="00D878BA"/>
    <w:rsid w:val="00D878C9"/>
    <w:rsid w:val="00D87957"/>
    <w:rsid w:val="00D87BFD"/>
    <w:rsid w:val="00D87C69"/>
    <w:rsid w:val="00D87C6D"/>
    <w:rsid w:val="00D90123"/>
    <w:rsid w:val="00D90204"/>
    <w:rsid w:val="00D9022D"/>
    <w:rsid w:val="00D9026E"/>
    <w:rsid w:val="00D90284"/>
    <w:rsid w:val="00D902A9"/>
    <w:rsid w:val="00D90677"/>
    <w:rsid w:val="00D90679"/>
    <w:rsid w:val="00D9073E"/>
    <w:rsid w:val="00D90767"/>
    <w:rsid w:val="00D9098A"/>
    <w:rsid w:val="00D90BDC"/>
    <w:rsid w:val="00D90C3A"/>
    <w:rsid w:val="00D90E27"/>
    <w:rsid w:val="00D9113D"/>
    <w:rsid w:val="00D911A8"/>
    <w:rsid w:val="00D9130D"/>
    <w:rsid w:val="00D914DC"/>
    <w:rsid w:val="00D917AA"/>
    <w:rsid w:val="00D918C6"/>
    <w:rsid w:val="00D91C5E"/>
    <w:rsid w:val="00D91CA6"/>
    <w:rsid w:val="00D91CF9"/>
    <w:rsid w:val="00D91D31"/>
    <w:rsid w:val="00D91D36"/>
    <w:rsid w:val="00D91D3F"/>
    <w:rsid w:val="00D92013"/>
    <w:rsid w:val="00D9204C"/>
    <w:rsid w:val="00D92225"/>
    <w:rsid w:val="00D92379"/>
    <w:rsid w:val="00D92405"/>
    <w:rsid w:val="00D927FB"/>
    <w:rsid w:val="00D92994"/>
    <w:rsid w:val="00D92CD6"/>
    <w:rsid w:val="00D92E3C"/>
    <w:rsid w:val="00D92E55"/>
    <w:rsid w:val="00D92EC1"/>
    <w:rsid w:val="00D92ED4"/>
    <w:rsid w:val="00D93007"/>
    <w:rsid w:val="00D9303A"/>
    <w:rsid w:val="00D93070"/>
    <w:rsid w:val="00D9316F"/>
    <w:rsid w:val="00D93555"/>
    <w:rsid w:val="00D93796"/>
    <w:rsid w:val="00D937C6"/>
    <w:rsid w:val="00D93809"/>
    <w:rsid w:val="00D938F0"/>
    <w:rsid w:val="00D938F3"/>
    <w:rsid w:val="00D93A3D"/>
    <w:rsid w:val="00D93CA2"/>
    <w:rsid w:val="00D93CD3"/>
    <w:rsid w:val="00D94069"/>
    <w:rsid w:val="00D9434E"/>
    <w:rsid w:val="00D94456"/>
    <w:rsid w:val="00D94504"/>
    <w:rsid w:val="00D946BC"/>
    <w:rsid w:val="00D94B83"/>
    <w:rsid w:val="00D94C64"/>
    <w:rsid w:val="00D94D6D"/>
    <w:rsid w:val="00D94EBD"/>
    <w:rsid w:val="00D95174"/>
    <w:rsid w:val="00D95181"/>
    <w:rsid w:val="00D95208"/>
    <w:rsid w:val="00D95601"/>
    <w:rsid w:val="00D95982"/>
    <w:rsid w:val="00D95AEA"/>
    <w:rsid w:val="00D95C80"/>
    <w:rsid w:val="00D96240"/>
    <w:rsid w:val="00D96482"/>
    <w:rsid w:val="00D96682"/>
    <w:rsid w:val="00D9668C"/>
    <w:rsid w:val="00D966D5"/>
    <w:rsid w:val="00D967B7"/>
    <w:rsid w:val="00D969E1"/>
    <w:rsid w:val="00D96A7F"/>
    <w:rsid w:val="00D96AD1"/>
    <w:rsid w:val="00D96B53"/>
    <w:rsid w:val="00D96BA1"/>
    <w:rsid w:val="00D96C9B"/>
    <w:rsid w:val="00D96E51"/>
    <w:rsid w:val="00D970D2"/>
    <w:rsid w:val="00D9712E"/>
    <w:rsid w:val="00D97216"/>
    <w:rsid w:val="00D97583"/>
    <w:rsid w:val="00D977DF"/>
    <w:rsid w:val="00D9791E"/>
    <w:rsid w:val="00D979F3"/>
    <w:rsid w:val="00D97A11"/>
    <w:rsid w:val="00D97F39"/>
    <w:rsid w:val="00D97FB6"/>
    <w:rsid w:val="00D97FBD"/>
    <w:rsid w:val="00DA044E"/>
    <w:rsid w:val="00DA060F"/>
    <w:rsid w:val="00DA062F"/>
    <w:rsid w:val="00DA06B6"/>
    <w:rsid w:val="00DA0B18"/>
    <w:rsid w:val="00DA0B3D"/>
    <w:rsid w:val="00DA0D9E"/>
    <w:rsid w:val="00DA0DA1"/>
    <w:rsid w:val="00DA0DD6"/>
    <w:rsid w:val="00DA0E5D"/>
    <w:rsid w:val="00DA10EF"/>
    <w:rsid w:val="00DA123B"/>
    <w:rsid w:val="00DA131C"/>
    <w:rsid w:val="00DA1392"/>
    <w:rsid w:val="00DA139B"/>
    <w:rsid w:val="00DA13A5"/>
    <w:rsid w:val="00DA141E"/>
    <w:rsid w:val="00DA1584"/>
    <w:rsid w:val="00DA160C"/>
    <w:rsid w:val="00DA1842"/>
    <w:rsid w:val="00DA1982"/>
    <w:rsid w:val="00DA1A33"/>
    <w:rsid w:val="00DA1BD2"/>
    <w:rsid w:val="00DA1D79"/>
    <w:rsid w:val="00DA1D8A"/>
    <w:rsid w:val="00DA1DFB"/>
    <w:rsid w:val="00DA1F27"/>
    <w:rsid w:val="00DA1F68"/>
    <w:rsid w:val="00DA20D2"/>
    <w:rsid w:val="00DA22B7"/>
    <w:rsid w:val="00DA25D9"/>
    <w:rsid w:val="00DA260E"/>
    <w:rsid w:val="00DA275F"/>
    <w:rsid w:val="00DA28D0"/>
    <w:rsid w:val="00DA2911"/>
    <w:rsid w:val="00DA298F"/>
    <w:rsid w:val="00DA2FB5"/>
    <w:rsid w:val="00DA30EC"/>
    <w:rsid w:val="00DA33FA"/>
    <w:rsid w:val="00DA3561"/>
    <w:rsid w:val="00DA3841"/>
    <w:rsid w:val="00DA39BC"/>
    <w:rsid w:val="00DA3A67"/>
    <w:rsid w:val="00DA3A73"/>
    <w:rsid w:val="00DA3DB7"/>
    <w:rsid w:val="00DA3F91"/>
    <w:rsid w:val="00DA40C7"/>
    <w:rsid w:val="00DA42A3"/>
    <w:rsid w:val="00DA44E8"/>
    <w:rsid w:val="00DA4805"/>
    <w:rsid w:val="00DA4880"/>
    <w:rsid w:val="00DA48B6"/>
    <w:rsid w:val="00DA4954"/>
    <w:rsid w:val="00DA498E"/>
    <w:rsid w:val="00DA4AF5"/>
    <w:rsid w:val="00DA4C3D"/>
    <w:rsid w:val="00DA4D27"/>
    <w:rsid w:val="00DA4DB1"/>
    <w:rsid w:val="00DA536E"/>
    <w:rsid w:val="00DA55D2"/>
    <w:rsid w:val="00DA5666"/>
    <w:rsid w:val="00DA56A0"/>
    <w:rsid w:val="00DA587D"/>
    <w:rsid w:val="00DA58C6"/>
    <w:rsid w:val="00DA58F5"/>
    <w:rsid w:val="00DA59BC"/>
    <w:rsid w:val="00DA5CD1"/>
    <w:rsid w:val="00DA5D37"/>
    <w:rsid w:val="00DA5D3E"/>
    <w:rsid w:val="00DA5F8B"/>
    <w:rsid w:val="00DA5F8F"/>
    <w:rsid w:val="00DA611E"/>
    <w:rsid w:val="00DA6299"/>
    <w:rsid w:val="00DA62D9"/>
    <w:rsid w:val="00DA63CF"/>
    <w:rsid w:val="00DA64F2"/>
    <w:rsid w:val="00DA6574"/>
    <w:rsid w:val="00DA67B4"/>
    <w:rsid w:val="00DA6975"/>
    <w:rsid w:val="00DA69D8"/>
    <w:rsid w:val="00DA6A1B"/>
    <w:rsid w:val="00DA6A1E"/>
    <w:rsid w:val="00DA6A21"/>
    <w:rsid w:val="00DA6AF9"/>
    <w:rsid w:val="00DA6BB3"/>
    <w:rsid w:val="00DA6D4B"/>
    <w:rsid w:val="00DA6E92"/>
    <w:rsid w:val="00DA6FAB"/>
    <w:rsid w:val="00DA7079"/>
    <w:rsid w:val="00DA70E8"/>
    <w:rsid w:val="00DA7232"/>
    <w:rsid w:val="00DA72B4"/>
    <w:rsid w:val="00DA739A"/>
    <w:rsid w:val="00DA744A"/>
    <w:rsid w:val="00DA7548"/>
    <w:rsid w:val="00DA77CD"/>
    <w:rsid w:val="00DA7891"/>
    <w:rsid w:val="00DA78AB"/>
    <w:rsid w:val="00DA7A03"/>
    <w:rsid w:val="00DA7D2B"/>
    <w:rsid w:val="00DA7D5E"/>
    <w:rsid w:val="00DA7E0A"/>
    <w:rsid w:val="00DA7E2B"/>
    <w:rsid w:val="00DA7E4C"/>
    <w:rsid w:val="00DB0846"/>
    <w:rsid w:val="00DB096F"/>
    <w:rsid w:val="00DB0B7C"/>
    <w:rsid w:val="00DB0BB4"/>
    <w:rsid w:val="00DB0C3C"/>
    <w:rsid w:val="00DB0C88"/>
    <w:rsid w:val="00DB0EB4"/>
    <w:rsid w:val="00DB0F6B"/>
    <w:rsid w:val="00DB112A"/>
    <w:rsid w:val="00DB11FD"/>
    <w:rsid w:val="00DB1266"/>
    <w:rsid w:val="00DB175B"/>
    <w:rsid w:val="00DB176C"/>
    <w:rsid w:val="00DB19E0"/>
    <w:rsid w:val="00DB202D"/>
    <w:rsid w:val="00DB2380"/>
    <w:rsid w:val="00DB24CC"/>
    <w:rsid w:val="00DB263B"/>
    <w:rsid w:val="00DB26B1"/>
    <w:rsid w:val="00DB2AF5"/>
    <w:rsid w:val="00DB2AF7"/>
    <w:rsid w:val="00DB2D06"/>
    <w:rsid w:val="00DB2EAC"/>
    <w:rsid w:val="00DB2F93"/>
    <w:rsid w:val="00DB300C"/>
    <w:rsid w:val="00DB30E3"/>
    <w:rsid w:val="00DB3150"/>
    <w:rsid w:val="00DB3304"/>
    <w:rsid w:val="00DB3488"/>
    <w:rsid w:val="00DB38FB"/>
    <w:rsid w:val="00DB3A1C"/>
    <w:rsid w:val="00DB3A7B"/>
    <w:rsid w:val="00DB3CA1"/>
    <w:rsid w:val="00DB3CD3"/>
    <w:rsid w:val="00DB3F1D"/>
    <w:rsid w:val="00DB3FC0"/>
    <w:rsid w:val="00DB4013"/>
    <w:rsid w:val="00DB45B6"/>
    <w:rsid w:val="00DB48C9"/>
    <w:rsid w:val="00DB4986"/>
    <w:rsid w:val="00DB4CE9"/>
    <w:rsid w:val="00DB4EC5"/>
    <w:rsid w:val="00DB4F96"/>
    <w:rsid w:val="00DB5010"/>
    <w:rsid w:val="00DB513A"/>
    <w:rsid w:val="00DB52FC"/>
    <w:rsid w:val="00DB5508"/>
    <w:rsid w:val="00DB5727"/>
    <w:rsid w:val="00DB5BA3"/>
    <w:rsid w:val="00DB5BF7"/>
    <w:rsid w:val="00DB5E84"/>
    <w:rsid w:val="00DB5F54"/>
    <w:rsid w:val="00DB602B"/>
    <w:rsid w:val="00DB60CF"/>
    <w:rsid w:val="00DB6103"/>
    <w:rsid w:val="00DB624B"/>
    <w:rsid w:val="00DB6811"/>
    <w:rsid w:val="00DB693D"/>
    <w:rsid w:val="00DB6AE3"/>
    <w:rsid w:val="00DB6B24"/>
    <w:rsid w:val="00DB6C24"/>
    <w:rsid w:val="00DB6C7E"/>
    <w:rsid w:val="00DB6DFA"/>
    <w:rsid w:val="00DB6EB4"/>
    <w:rsid w:val="00DB6F37"/>
    <w:rsid w:val="00DB6FCA"/>
    <w:rsid w:val="00DB7108"/>
    <w:rsid w:val="00DB729D"/>
    <w:rsid w:val="00DB74FA"/>
    <w:rsid w:val="00DB763F"/>
    <w:rsid w:val="00DB7993"/>
    <w:rsid w:val="00DC0127"/>
    <w:rsid w:val="00DC0659"/>
    <w:rsid w:val="00DC06A8"/>
    <w:rsid w:val="00DC06D2"/>
    <w:rsid w:val="00DC08B0"/>
    <w:rsid w:val="00DC0D51"/>
    <w:rsid w:val="00DC0EA9"/>
    <w:rsid w:val="00DC10B5"/>
    <w:rsid w:val="00DC133C"/>
    <w:rsid w:val="00DC1411"/>
    <w:rsid w:val="00DC14A2"/>
    <w:rsid w:val="00DC1563"/>
    <w:rsid w:val="00DC15AA"/>
    <w:rsid w:val="00DC165C"/>
    <w:rsid w:val="00DC18C4"/>
    <w:rsid w:val="00DC1B18"/>
    <w:rsid w:val="00DC1D28"/>
    <w:rsid w:val="00DC1D77"/>
    <w:rsid w:val="00DC22B4"/>
    <w:rsid w:val="00DC23B2"/>
    <w:rsid w:val="00DC23D2"/>
    <w:rsid w:val="00DC25E4"/>
    <w:rsid w:val="00DC272C"/>
    <w:rsid w:val="00DC27A6"/>
    <w:rsid w:val="00DC286B"/>
    <w:rsid w:val="00DC29CE"/>
    <w:rsid w:val="00DC2B38"/>
    <w:rsid w:val="00DC2C02"/>
    <w:rsid w:val="00DC2D05"/>
    <w:rsid w:val="00DC2D25"/>
    <w:rsid w:val="00DC2F9B"/>
    <w:rsid w:val="00DC3040"/>
    <w:rsid w:val="00DC31E4"/>
    <w:rsid w:val="00DC336B"/>
    <w:rsid w:val="00DC34B8"/>
    <w:rsid w:val="00DC34C5"/>
    <w:rsid w:val="00DC3549"/>
    <w:rsid w:val="00DC36DB"/>
    <w:rsid w:val="00DC38A6"/>
    <w:rsid w:val="00DC38A7"/>
    <w:rsid w:val="00DC39F3"/>
    <w:rsid w:val="00DC4025"/>
    <w:rsid w:val="00DC4113"/>
    <w:rsid w:val="00DC42E1"/>
    <w:rsid w:val="00DC47FB"/>
    <w:rsid w:val="00DC48F9"/>
    <w:rsid w:val="00DC491E"/>
    <w:rsid w:val="00DC4B72"/>
    <w:rsid w:val="00DC4C67"/>
    <w:rsid w:val="00DC50D0"/>
    <w:rsid w:val="00DC5110"/>
    <w:rsid w:val="00DC5114"/>
    <w:rsid w:val="00DC514B"/>
    <w:rsid w:val="00DC516F"/>
    <w:rsid w:val="00DC52DA"/>
    <w:rsid w:val="00DC556B"/>
    <w:rsid w:val="00DC5663"/>
    <w:rsid w:val="00DC5682"/>
    <w:rsid w:val="00DC5695"/>
    <w:rsid w:val="00DC5757"/>
    <w:rsid w:val="00DC5888"/>
    <w:rsid w:val="00DC58A2"/>
    <w:rsid w:val="00DC595E"/>
    <w:rsid w:val="00DC5B18"/>
    <w:rsid w:val="00DC5C5E"/>
    <w:rsid w:val="00DC5D05"/>
    <w:rsid w:val="00DC5F2D"/>
    <w:rsid w:val="00DC6069"/>
    <w:rsid w:val="00DC62EA"/>
    <w:rsid w:val="00DC64C8"/>
    <w:rsid w:val="00DC6684"/>
    <w:rsid w:val="00DC6BE7"/>
    <w:rsid w:val="00DC6DC7"/>
    <w:rsid w:val="00DC6DFE"/>
    <w:rsid w:val="00DC7118"/>
    <w:rsid w:val="00DC72A7"/>
    <w:rsid w:val="00DC72D7"/>
    <w:rsid w:val="00DC73B0"/>
    <w:rsid w:val="00DC73C0"/>
    <w:rsid w:val="00DC7646"/>
    <w:rsid w:val="00DC769E"/>
    <w:rsid w:val="00DC7722"/>
    <w:rsid w:val="00DC779A"/>
    <w:rsid w:val="00DC781A"/>
    <w:rsid w:val="00DC79EA"/>
    <w:rsid w:val="00DC7A18"/>
    <w:rsid w:val="00DC7CEC"/>
    <w:rsid w:val="00DC7EFF"/>
    <w:rsid w:val="00DD00FE"/>
    <w:rsid w:val="00DD03ED"/>
    <w:rsid w:val="00DD0450"/>
    <w:rsid w:val="00DD0511"/>
    <w:rsid w:val="00DD059C"/>
    <w:rsid w:val="00DD0625"/>
    <w:rsid w:val="00DD065B"/>
    <w:rsid w:val="00DD0750"/>
    <w:rsid w:val="00DD07DF"/>
    <w:rsid w:val="00DD0874"/>
    <w:rsid w:val="00DD08AB"/>
    <w:rsid w:val="00DD0A88"/>
    <w:rsid w:val="00DD0B90"/>
    <w:rsid w:val="00DD0FE6"/>
    <w:rsid w:val="00DD1214"/>
    <w:rsid w:val="00DD133E"/>
    <w:rsid w:val="00DD1341"/>
    <w:rsid w:val="00DD14DD"/>
    <w:rsid w:val="00DD1593"/>
    <w:rsid w:val="00DD167F"/>
    <w:rsid w:val="00DD1745"/>
    <w:rsid w:val="00DD17A5"/>
    <w:rsid w:val="00DD1940"/>
    <w:rsid w:val="00DD1AB8"/>
    <w:rsid w:val="00DD1AF8"/>
    <w:rsid w:val="00DD1B29"/>
    <w:rsid w:val="00DD1B8B"/>
    <w:rsid w:val="00DD1C3D"/>
    <w:rsid w:val="00DD1E1D"/>
    <w:rsid w:val="00DD1E3F"/>
    <w:rsid w:val="00DD1F94"/>
    <w:rsid w:val="00DD208A"/>
    <w:rsid w:val="00DD20B4"/>
    <w:rsid w:val="00DD2129"/>
    <w:rsid w:val="00DD214A"/>
    <w:rsid w:val="00DD2568"/>
    <w:rsid w:val="00DD25B0"/>
    <w:rsid w:val="00DD2851"/>
    <w:rsid w:val="00DD28C8"/>
    <w:rsid w:val="00DD2943"/>
    <w:rsid w:val="00DD29B2"/>
    <w:rsid w:val="00DD2B06"/>
    <w:rsid w:val="00DD2B07"/>
    <w:rsid w:val="00DD2B17"/>
    <w:rsid w:val="00DD3039"/>
    <w:rsid w:val="00DD322E"/>
    <w:rsid w:val="00DD3288"/>
    <w:rsid w:val="00DD32AA"/>
    <w:rsid w:val="00DD336D"/>
    <w:rsid w:val="00DD3459"/>
    <w:rsid w:val="00DD36CA"/>
    <w:rsid w:val="00DD3A46"/>
    <w:rsid w:val="00DD3FED"/>
    <w:rsid w:val="00DD4173"/>
    <w:rsid w:val="00DD488A"/>
    <w:rsid w:val="00DD48A3"/>
    <w:rsid w:val="00DD48D1"/>
    <w:rsid w:val="00DD48D7"/>
    <w:rsid w:val="00DD4F98"/>
    <w:rsid w:val="00DD5163"/>
    <w:rsid w:val="00DD5239"/>
    <w:rsid w:val="00DD5776"/>
    <w:rsid w:val="00DD5811"/>
    <w:rsid w:val="00DD59B0"/>
    <w:rsid w:val="00DD5A25"/>
    <w:rsid w:val="00DD5CEC"/>
    <w:rsid w:val="00DD5D67"/>
    <w:rsid w:val="00DD5DC5"/>
    <w:rsid w:val="00DD5FA8"/>
    <w:rsid w:val="00DD5FD6"/>
    <w:rsid w:val="00DD6044"/>
    <w:rsid w:val="00DD624E"/>
    <w:rsid w:val="00DD63C6"/>
    <w:rsid w:val="00DD6459"/>
    <w:rsid w:val="00DD65DA"/>
    <w:rsid w:val="00DD663B"/>
    <w:rsid w:val="00DD67ED"/>
    <w:rsid w:val="00DD6915"/>
    <w:rsid w:val="00DD6A40"/>
    <w:rsid w:val="00DD6E71"/>
    <w:rsid w:val="00DD6F7C"/>
    <w:rsid w:val="00DD7006"/>
    <w:rsid w:val="00DD71E6"/>
    <w:rsid w:val="00DD71E7"/>
    <w:rsid w:val="00DD720F"/>
    <w:rsid w:val="00DD72CF"/>
    <w:rsid w:val="00DD7308"/>
    <w:rsid w:val="00DD7585"/>
    <w:rsid w:val="00DD7A55"/>
    <w:rsid w:val="00DD7BA8"/>
    <w:rsid w:val="00DD7CD6"/>
    <w:rsid w:val="00DD7DF4"/>
    <w:rsid w:val="00DD7F79"/>
    <w:rsid w:val="00DE0161"/>
    <w:rsid w:val="00DE01B0"/>
    <w:rsid w:val="00DE020F"/>
    <w:rsid w:val="00DE0369"/>
    <w:rsid w:val="00DE0503"/>
    <w:rsid w:val="00DE0554"/>
    <w:rsid w:val="00DE056A"/>
    <w:rsid w:val="00DE07C0"/>
    <w:rsid w:val="00DE0844"/>
    <w:rsid w:val="00DE08D0"/>
    <w:rsid w:val="00DE0940"/>
    <w:rsid w:val="00DE0D6E"/>
    <w:rsid w:val="00DE0F28"/>
    <w:rsid w:val="00DE1151"/>
    <w:rsid w:val="00DE11CA"/>
    <w:rsid w:val="00DE11E6"/>
    <w:rsid w:val="00DE1342"/>
    <w:rsid w:val="00DE13F9"/>
    <w:rsid w:val="00DE14E9"/>
    <w:rsid w:val="00DE16FA"/>
    <w:rsid w:val="00DE1758"/>
    <w:rsid w:val="00DE1829"/>
    <w:rsid w:val="00DE1869"/>
    <w:rsid w:val="00DE18E0"/>
    <w:rsid w:val="00DE192D"/>
    <w:rsid w:val="00DE19C5"/>
    <w:rsid w:val="00DE19ED"/>
    <w:rsid w:val="00DE1CA5"/>
    <w:rsid w:val="00DE1D22"/>
    <w:rsid w:val="00DE1F46"/>
    <w:rsid w:val="00DE1F8C"/>
    <w:rsid w:val="00DE21AF"/>
    <w:rsid w:val="00DE21EB"/>
    <w:rsid w:val="00DE2387"/>
    <w:rsid w:val="00DE23C8"/>
    <w:rsid w:val="00DE24A0"/>
    <w:rsid w:val="00DE2603"/>
    <w:rsid w:val="00DE2648"/>
    <w:rsid w:val="00DE27C4"/>
    <w:rsid w:val="00DE2A66"/>
    <w:rsid w:val="00DE2A82"/>
    <w:rsid w:val="00DE2B93"/>
    <w:rsid w:val="00DE2E9C"/>
    <w:rsid w:val="00DE2FAB"/>
    <w:rsid w:val="00DE38D4"/>
    <w:rsid w:val="00DE3B3D"/>
    <w:rsid w:val="00DE3B76"/>
    <w:rsid w:val="00DE3D6B"/>
    <w:rsid w:val="00DE3EB0"/>
    <w:rsid w:val="00DE43A1"/>
    <w:rsid w:val="00DE464E"/>
    <w:rsid w:val="00DE4952"/>
    <w:rsid w:val="00DE4C55"/>
    <w:rsid w:val="00DE4DB9"/>
    <w:rsid w:val="00DE504B"/>
    <w:rsid w:val="00DE5188"/>
    <w:rsid w:val="00DE52F4"/>
    <w:rsid w:val="00DE5320"/>
    <w:rsid w:val="00DE5351"/>
    <w:rsid w:val="00DE5496"/>
    <w:rsid w:val="00DE5685"/>
    <w:rsid w:val="00DE56CB"/>
    <w:rsid w:val="00DE57AA"/>
    <w:rsid w:val="00DE5813"/>
    <w:rsid w:val="00DE591F"/>
    <w:rsid w:val="00DE5A55"/>
    <w:rsid w:val="00DE5B06"/>
    <w:rsid w:val="00DE5B8A"/>
    <w:rsid w:val="00DE5F15"/>
    <w:rsid w:val="00DE60BA"/>
    <w:rsid w:val="00DE65EA"/>
    <w:rsid w:val="00DE6618"/>
    <w:rsid w:val="00DE6992"/>
    <w:rsid w:val="00DE6AFE"/>
    <w:rsid w:val="00DE7053"/>
    <w:rsid w:val="00DE70C8"/>
    <w:rsid w:val="00DE71D2"/>
    <w:rsid w:val="00DE739D"/>
    <w:rsid w:val="00DE749F"/>
    <w:rsid w:val="00DE75DC"/>
    <w:rsid w:val="00DE77E5"/>
    <w:rsid w:val="00DE78B1"/>
    <w:rsid w:val="00DE7A3D"/>
    <w:rsid w:val="00DE7B06"/>
    <w:rsid w:val="00DE7CCE"/>
    <w:rsid w:val="00DE7DC8"/>
    <w:rsid w:val="00DE7E86"/>
    <w:rsid w:val="00DE7EB0"/>
    <w:rsid w:val="00DF010C"/>
    <w:rsid w:val="00DF011D"/>
    <w:rsid w:val="00DF0293"/>
    <w:rsid w:val="00DF033B"/>
    <w:rsid w:val="00DF038F"/>
    <w:rsid w:val="00DF0417"/>
    <w:rsid w:val="00DF0631"/>
    <w:rsid w:val="00DF07D7"/>
    <w:rsid w:val="00DF0902"/>
    <w:rsid w:val="00DF09B5"/>
    <w:rsid w:val="00DF09C7"/>
    <w:rsid w:val="00DF09E6"/>
    <w:rsid w:val="00DF0A11"/>
    <w:rsid w:val="00DF0A20"/>
    <w:rsid w:val="00DF0ABD"/>
    <w:rsid w:val="00DF0B98"/>
    <w:rsid w:val="00DF0F51"/>
    <w:rsid w:val="00DF10FF"/>
    <w:rsid w:val="00DF128B"/>
    <w:rsid w:val="00DF129C"/>
    <w:rsid w:val="00DF1308"/>
    <w:rsid w:val="00DF136D"/>
    <w:rsid w:val="00DF1399"/>
    <w:rsid w:val="00DF13FC"/>
    <w:rsid w:val="00DF1456"/>
    <w:rsid w:val="00DF1563"/>
    <w:rsid w:val="00DF1839"/>
    <w:rsid w:val="00DF18AC"/>
    <w:rsid w:val="00DF1FC8"/>
    <w:rsid w:val="00DF2045"/>
    <w:rsid w:val="00DF205A"/>
    <w:rsid w:val="00DF2066"/>
    <w:rsid w:val="00DF21EE"/>
    <w:rsid w:val="00DF2253"/>
    <w:rsid w:val="00DF238B"/>
    <w:rsid w:val="00DF2415"/>
    <w:rsid w:val="00DF2468"/>
    <w:rsid w:val="00DF24E8"/>
    <w:rsid w:val="00DF24F9"/>
    <w:rsid w:val="00DF2A75"/>
    <w:rsid w:val="00DF2C12"/>
    <w:rsid w:val="00DF2CC9"/>
    <w:rsid w:val="00DF2D1A"/>
    <w:rsid w:val="00DF2DCF"/>
    <w:rsid w:val="00DF2F1B"/>
    <w:rsid w:val="00DF3032"/>
    <w:rsid w:val="00DF3432"/>
    <w:rsid w:val="00DF36EB"/>
    <w:rsid w:val="00DF37A0"/>
    <w:rsid w:val="00DF3894"/>
    <w:rsid w:val="00DF38BD"/>
    <w:rsid w:val="00DF398F"/>
    <w:rsid w:val="00DF39D3"/>
    <w:rsid w:val="00DF3A63"/>
    <w:rsid w:val="00DF3CBD"/>
    <w:rsid w:val="00DF3E40"/>
    <w:rsid w:val="00DF4098"/>
    <w:rsid w:val="00DF4281"/>
    <w:rsid w:val="00DF484A"/>
    <w:rsid w:val="00DF4CDD"/>
    <w:rsid w:val="00DF4F56"/>
    <w:rsid w:val="00DF4F93"/>
    <w:rsid w:val="00DF5008"/>
    <w:rsid w:val="00DF5424"/>
    <w:rsid w:val="00DF5494"/>
    <w:rsid w:val="00DF552B"/>
    <w:rsid w:val="00DF5557"/>
    <w:rsid w:val="00DF556F"/>
    <w:rsid w:val="00DF55DC"/>
    <w:rsid w:val="00DF5876"/>
    <w:rsid w:val="00DF5A91"/>
    <w:rsid w:val="00DF5AE5"/>
    <w:rsid w:val="00DF5D6A"/>
    <w:rsid w:val="00DF5E35"/>
    <w:rsid w:val="00DF5EB7"/>
    <w:rsid w:val="00DF5FC1"/>
    <w:rsid w:val="00DF6213"/>
    <w:rsid w:val="00DF624F"/>
    <w:rsid w:val="00DF63E1"/>
    <w:rsid w:val="00DF669D"/>
    <w:rsid w:val="00DF6A60"/>
    <w:rsid w:val="00DF6A91"/>
    <w:rsid w:val="00DF6B33"/>
    <w:rsid w:val="00DF6C84"/>
    <w:rsid w:val="00DF6D42"/>
    <w:rsid w:val="00DF70FE"/>
    <w:rsid w:val="00DF716B"/>
    <w:rsid w:val="00DF7189"/>
    <w:rsid w:val="00DF72CE"/>
    <w:rsid w:val="00DF743E"/>
    <w:rsid w:val="00DF766E"/>
    <w:rsid w:val="00DF77BD"/>
    <w:rsid w:val="00DF7DB5"/>
    <w:rsid w:val="00DF7E62"/>
    <w:rsid w:val="00DF7EA8"/>
    <w:rsid w:val="00DF7F89"/>
    <w:rsid w:val="00E00085"/>
    <w:rsid w:val="00E000CB"/>
    <w:rsid w:val="00E00228"/>
    <w:rsid w:val="00E004A7"/>
    <w:rsid w:val="00E004DD"/>
    <w:rsid w:val="00E00509"/>
    <w:rsid w:val="00E006D2"/>
    <w:rsid w:val="00E00B59"/>
    <w:rsid w:val="00E00B92"/>
    <w:rsid w:val="00E00C6F"/>
    <w:rsid w:val="00E00F54"/>
    <w:rsid w:val="00E01087"/>
    <w:rsid w:val="00E012D7"/>
    <w:rsid w:val="00E013F0"/>
    <w:rsid w:val="00E014A9"/>
    <w:rsid w:val="00E01F0B"/>
    <w:rsid w:val="00E02029"/>
    <w:rsid w:val="00E020C8"/>
    <w:rsid w:val="00E02144"/>
    <w:rsid w:val="00E023F3"/>
    <w:rsid w:val="00E02413"/>
    <w:rsid w:val="00E02543"/>
    <w:rsid w:val="00E0258A"/>
    <w:rsid w:val="00E02591"/>
    <w:rsid w:val="00E0266D"/>
    <w:rsid w:val="00E0271E"/>
    <w:rsid w:val="00E02729"/>
    <w:rsid w:val="00E0277E"/>
    <w:rsid w:val="00E02918"/>
    <w:rsid w:val="00E029BD"/>
    <w:rsid w:val="00E02AD3"/>
    <w:rsid w:val="00E02C98"/>
    <w:rsid w:val="00E02DC4"/>
    <w:rsid w:val="00E02EEA"/>
    <w:rsid w:val="00E03050"/>
    <w:rsid w:val="00E03091"/>
    <w:rsid w:val="00E031B4"/>
    <w:rsid w:val="00E031DF"/>
    <w:rsid w:val="00E03293"/>
    <w:rsid w:val="00E032FD"/>
    <w:rsid w:val="00E03342"/>
    <w:rsid w:val="00E03410"/>
    <w:rsid w:val="00E034A8"/>
    <w:rsid w:val="00E03667"/>
    <w:rsid w:val="00E037C3"/>
    <w:rsid w:val="00E03A21"/>
    <w:rsid w:val="00E03ACD"/>
    <w:rsid w:val="00E03C32"/>
    <w:rsid w:val="00E03D57"/>
    <w:rsid w:val="00E03D7A"/>
    <w:rsid w:val="00E043CF"/>
    <w:rsid w:val="00E047D1"/>
    <w:rsid w:val="00E0484A"/>
    <w:rsid w:val="00E04B90"/>
    <w:rsid w:val="00E04C11"/>
    <w:rsid w:val="00E04C2D"/>
    <w:rsid w:val="00E04CD6"/>
    <w:rsid w:val="00E04D67"/>
    <w:rsid w:val="00E04F31"/>
    <w:rsid w:val="00E04F79"/>
    <w:rsid w:val="00E04FC5"/>
    <w:rsid w:val="00E04FD5"/>
    <w:rsid w:val="00E050AA"/>
    <w:rsid w:val="00E050FF"/>
    <w:rsid w:val="00E0512C"/>
    <w:rsid w:val="00E0521F"/>
    <w:rsid w:val="00E052B5"/>
    <w:rsid w:val="00E054D9"/>
    <w:rsid w:val="00E057C2"/>
    <w:rsid w:val="00E05A59"/>
    <w:rsid w:val="00E05AA1"/>
    <w:rsid w:val="00E05BA6"/>
    <w:rsid w:val="00E05D00"/>
    <w:rsid w:val="00E05FC9"/>
    <w:rsid w:val="00E0609D"/>
    <w:rsid w:val="00E06318"/>
    <w:rsid w:val="00E0652D"/>
    <w:rsid w:val="00E065D5"/>
    <w:rsid w:val="00E066BB"/>
    <w:rsid w:val="00E06ADA"/>
    <w:rsid w:val="00E06D0A"/>
    <w:rsid w:val="00E07273"/>
    <w:rsid w:val="00E07303"/>
    <w:rsid w:val="00E073F3"/>
    <w:rsid w:val="00E0754F"/>
    <w:rsid w:val="00E07604"/>
    <w:rsid w:val="00E076F7"/>
    <w:rsid w:val="00E0775D"/>
    <w:rsid w:val="00E079E6"/>
    <w:rsid w:val="00E07BEE"/>
    <w:rsid w:val="00E07C2D"/>
    <w:rsid w:val="00E07E3D"/>
    <w:rsid w:val="00E07F66"/>
    <w:rsid w:val="00E07F9C"/>
    <w:rsid w:val="00E1026C"/>
    <w:rsid w:val="00E102EB"/>
    <w:rsid w:val="00E10346"/>
    <w:rsid w:val="00E103DA"/>
    <w:rsid w:val="00E10514"/>
    <w:rsid w:val="00E105D6"/>
    <w:rsid w:val="00E10613"/>
    <w:rsid w:val="00E10717"/>
    <w:rsid w:val="00E1076F"/>
    <w:rsid w:val="00E10775"/>
    <w:rsid w:val="00E1077A"/>
    <w:rsid w:val="00E107F8"/>
    <w:rsid w:val="00E10B1C"/>
    <w:rsid w:val="00E10DA5"/>
    <w:rsid w:val="00E10E56"/>
    <w:rsid w:val="00E11097"/>
    <w:rsid w:val="00E110FA"/>
    <w:rsid w:val="00E11203"/>
    <w:rsid w:val="00E11218"/>
    <w:rsid w:val="00E1127D"/>
    <w:rsid w:val="00E112D0"/>
    <w:rsid w:val="00E113FF"/>
    <w:rsid w:val="00E1145C"/>
    <w:rsid w:val="00E116F3"/>
    <w:rsid w:val="00E118AD"/>
    <w:rsid w:val="00E11A67"/>
    <w:rsid w:val="00E11C6C"/>
    <w:rsid w:val="00E11D02"/>
    <w:rsid w:val="00E11E21"/>
    <w:rsid w:val="00E11FAE"/>
    <w:rsid w:val="00E11FC1"/>
    <w:rsid w:val="00E11FFF"/>
    <w:rsid w:val="00E12122"/>
    <w:rsid w:val="00E12503"/>
    <w:rsid w:val="00E125DE"/>
    <w:rsid w:val="00E1274F"/>
    <w:rsid w:val="00E1275A"/>
    <w:rsid w:val="00E12891"/>
    <w:rsid w:val="00E128EB"/>
    <w:rsid w:val="00E12A0B"/>
    <w:rsid w:val="00E12BCC"/>
    <w:rsid w:val="00E12C8D"/>
    <w:rsid w:val="00E12D06"/>
    <w:rsid w:val="00E12D57"/>
    <w:rsid w:val="00E12E7B"/>
    <w:rsid w:val="00E13158"/>
    <w:rsid w:val="00E131C1"/>
    <w:rsid w:val="00E1320E"/>
    <w:rsid w:val="00E133D3"/>
    <w:rsid w:val="00E13589"/>
    <w:rsid w:val="00E13631"/>
    <w:rsid w:val="00E13773"/>
    <w:rsid w:val="00E13A5B"/>
    <w:rsid w:val="00E13AAA"/>
    <w:rsid w:val="00E13B23"/>
    <w:rsid w:val="00E13B7F"/>
    <w:rsid w:val="00E13F1B"/>
    <w:rsid w:val="00E13F8C"/>
    <w:rsid w:val="00E13F97"/>
    <w:rsid w:val="00E14480"/>
    <w:rsid w:val="00E144A0"/>
    <w:rsid w:val="00E145E6"/>
    <w:rsid w:val="00E146FA"/>
    <w:rsid w:val="00E147A5"/>
    <w:rsid w:val="00E14AE2"/>
    <w:rsid w:val="00E14CFF"/>
    <w:rsid w:val="00E14D24"/>
    <w:rsid w:val="00E14D28"/>
    <w:rsid w:val="00E15053"/>
    <w:rsid w:val="00E15077"/>
    <w:rsid w:val="00E1519B"/>
    <w:rsid w:val="00E1525D"/>
    <w:rsid w:val="00E15529"/>
    <w:rsid w:val="00E15553"/>
    <w:rsid w:val="00E1562D"/>
    <w:rsid w:val="00E15713"/>
    <w:rsid w:val="00E1583E"/>
    <w:rsid w:val="00E1592B"/>
    <w:rsid w:val="00E15C44"/>
    <w:rsid w:val="00E1632B"/>
    <w:rsid w:val="00E1643A"/>
    <w:rsid w:val="00E16494"/>
    <w:rsid w:val="00E1682C"/>
    <w:rsid w:val="00E16929"/>
    <w:rsid w:val="00E16BF3"/>
    <w:rsid w:val="00E16C13"/>
    <w:rsid w:val="00E16E00"/>
    <w:rsid w:val="00E16E94"/>
    <w:rsid w:val="00E16F35"/>
    <w:rsid w:val="00E16F98"/>
    <w:rsid w:val="00E16FF6"/>
    <w:rsid w:val="00E1704E"/>
    <w:rsid w:val="00E17162"/>
    <w:rsid w:val="00E172D7"/>
    <w:rsid w:val="00E178C8"/>
    <w:rsid w:val="00E17B61"/>
    <w:rsid w:val="00E17D75"/>
    <w:rsid w:val="00E17DD0"/>
    <w:rsid w:val="00E17DDB"/>
    <w:rsid w:val="00E17E3D"/>
    <w:rsid w:val="00E20185"/>
    <w:rsid w:val="00E201D0"/>
    <w:rsid w:val="00E20872"/>
    <w:rsid w:val="00E208CC"/>
    <w:rsid w:val="00E20923"/>
    <w:rsid w:val="00E209BB"/>
    <w:rsid w:val="00E20BB2"/>
    <w:rsid w:val="00E20F06"/>
    <w:rsid w:val="00E20F43"/>
    <w:rsid w:val="00E212AB"/>
    <w:rsid w:val="00E2146F"/>
    <w:rsid w:val="00E21693"/>
    <w:rsid w:val="00E21768"/>
    <w:rsid w:val="00E2176C"/>
    <w:rsid w:val="00E218BB"/>
    <w:rsid w:val="00E21BAE"/>
    <w:rsid w:val="00E21E0C"/>
    <w:rsid w:val="00E21E76"/>
    <w:rsid w:val="00E21F0E"/>
    <w:rsid w:val="00E21F1F"/>
    <w:rsid w:val="00E21F59"/>
    <w:rsid w:val="00E22020"/>
    <w:rsid w:val="00E223C5"/>
    <w:rsid w:val="00E22564"/>
    <w:rsid w:val="00E22578"/>
    <w:rsid w:val="00E2261E"/>
    <w:rsid w:val="00E22645"/>
    <w:rsid w:val="00E226CA"/>
    <w:rsid w:val="00E2284B"/>
    <w:rsid w:val="00E229E3"/>
    <w:rsid w:val="00E22A04"/>
    <w:rsid w:val="00E22C01"/>
    <w:rsid w:val="00E22C26"/>
    <w:rsid w:val="00E22E3E"/>
    <w:rsid w:val="00E231BD"/>
    <w:rsid w:val="00E23825"/>
    <w:rsid w:val="00E2391B"/>
    <w:rsid w:val="00E23ABA"/>
    <w:rsid w:val="00E23B02"/>
    <w:rsid w:val="00E23BA9"/>
    <w:rsid w:val="00E23FCA"/>
    <w:rsid w:val="00E24046"/>
    <w:rsid w:val="00E24487"/>
    <w:rsid w:val="00E24597"/>
    <w:rsid w:val="00E245E5"/>
    <w:rsid w:val="00E24778"/>
    <w:rsid w:val="00E248D5"/>
    <w:rsid w:val="00E24930"/>
    <w:rsid w:val="00E24A34"/>
    <w:rsid w:val="00E24B5C"/>
    <w:rsid w:val="00E24CCA"/>
    <w:rsid w:val="00E24CE3"/>
    <w:rsid w:val="00E24DF9"/>
    <w:rsid w:val="00E24EFB"/>
    <w:rsid w:val="00E25223"/>
    <w:rsid w:val="00E2528C"/>
    <w:rsid w:val="00E2544A"/>
    <w:rsid w:val="00E255FC"/>
    <w:rsid w:val="00E25873"/>
    <w:rsid w:val="00E25AD5"/>
    <w:rsid w:val="00E25C81"/>
    <w:rsid w:val="00E25E30"/>
    <w:rsid w:val="00E25EF1"/>
    <w:rsid w:val="00E260FB"/>
    <w:rsid w:val="00E26142"/>
    <w:rsid w:val="00E2693A"/>
    <w:rsid w:val="00E26962"/>
    <w:rsid w:val="00E26B18"/>
    <w:rsid w:val="00E26D14"/>
    <w:rsid w:val="00E26EC5"/>
    <w:rsid w:val="00E27052"/>
    <w:rsid w:val="00E2736C"/>
    <w:rsid w:val="00E273FE"/>
    <w:rsid w:val="00E27792"/>
    <w:rsid w:val="00E277CE"/>
    <w:rsid w:val="00E279D5"/>
    <w:rsid w:val="00E27A50"/>
    <w:rsid w:val="00E27B4E"/>
    <w:rsid w:val="00E27C72"/>
    <w:rsid w:val="00E27DC4"/>
    <w:rsid w:val="00E27E3E"/>
    <w:rsid w:val="00E27E40"/>
    <w:rsid w:val="00E27EE1"/>
    <w:rsid w:val="00E27F2E"/>
    <w:rsid w:val="00E30079"/>
    <w:rsid w:val="00E302EC"/>
    <w:rsid w:val="00E30474"/>
    <w:rsid w:val="00E304AD"/>
    <w:rsid w:val="00E304C8"/>
    <w:rsid w:val="00E305A4"/>
    <w:rsid w:val="00E30B47"/>
    <w:rsid w:val="00E30B8A"/>
    <w:rsid w:val="00E30BCE"/>
    <w:rsid w:val="00E30C34"/>
    <w:rsid w:val="00E30CD7"/>
    <w:rsid w:val="00E31125"/>
    <w:rsid w:val="00E313AA"/>
    <w:rsid w:val="00E31440"/>
    <w:rsid w:val="00E314B4"/>
    <w:rsid w:val="00E316E4"/>
    <w:rsid w:val="00E316F6"/>
    <w:rsid w:val="00E3180F"/>
    <w:rsid w:val="00E31851"/>
    <w:rsid w:val="00E318D4"/>
    <w:rsid w:val="00E31973"/>
    <w:rsid w:val="00E319AB"/>
    <w:rsid w:val="00E31AF9"/>
    <w:rsid w:val="00E31B50"/>
    <w:rsid w:val="00E31C78"/>
    <w:rsid w:val="00E31EEA"/>
    <w:rsid w:val="00E322E5"/>
    <w:rsid w:val="00E32684"/>
    <w:rsid w:val="00E32A50"/>
    <w:rsid w:val="00E32A52"/>
    <w:rsid w:val="00E32FC3"/>
    <w:rsid w:val="00E330C9"/>
    <w:rsid w:val="00E3319B"/>
    <w:rsid w:val="00E331F3"/>
    <w:rsid w:val="00E33232"/>
    <w:rsid w:val="00E33327"/>
    <w:rsid w:val="00E333B7"/>
    <w:rsid w:val="00E333F3"/>
    <w:rsid w:val="00E33463"/>
    <w:rsid w:val="00E3346A"/>
    <w:rsid w:val="00E33473"/>
    <w:rsid w:val="00E335CC"/>
    <w:rsid w:val="00E339BB"/>
    <w:rsid w:val="00E33B07"/>
    <w:rsid w:val="00E33D2D"/>
    <w:rsid w:val="00E3444A"/>
    <w:rsid w:val="00E3471D"/>
    <w:rsid w:val="00E347F0"/>
    <w:rsid w:val="00E349D6"/>
    <w:rsid w:val="00E34A11"/>
    <w:rsid w:val="00E34A5C"/>
    <w:rsid w:val="00E34C88"/>
    <w:rsid w:val="00E34C90"/>
    <w:rsid w:val="00E34FB2"/>
    <w:rsid w:val="00E353C7"/>
    <w:rsid w:val="00E353D6"/>
    <w:rsid w:val="00E3547C"/>
    <w:rsid w:val="00E355E6"/>
    <w:rsid w:val="00E355F9"/>
    <w:rsid w:val="00E35648"/>
    <w:rsid w:val="00E35890"/>
    <w:rsid w:val="00E35928"/>
    <w:rsid w:val="00E35AF2"/>
    <w:rsid w:val="00E35C07"/>
    <w:rsid w:val="00E35CDD"/>
    <w:rsid w:val="00E35D24"/>
    <w:rsid w:val="00E35F12"/>
    <w:rsid w:val="00E3606A"/>
    <w:rsid w:val="00E36072"/>
    <w:rsid w:val="00E362DD"/>
    <w:rsid w:val="00E363A3"/>
    <w:rsid w:val="00E3691E"/>
    <w:rsid w:val="00E36A8A"/>
    <w:rsid w:val="00E36B09"/>
    <w:rsid w:val="00E36B23"/>
    <w:rsid w:val="00E36B7C"/>
    <w:rsid w:val="00E36CCA"/>
    <w:rsid w:val="00E36CFD"/>
    <w:rsid w:val="00E36FB7"/>
    <w:rsid w:val="00E36FD0"/>
    <w:rsid w:val="00E3718F"/>
    <w:rsid w:val="00E371F5"/>
    <w:rsid w:val="00E37276"/>
    <w:rsid w:val="00E373A8"/>
    <w:rsid w:val="00E3743D"/>
    <w:rsid w:val="00E37550"/>
    <w:rsid w:val="00E37795"/>
    <w:rsid w:val="00E377AB"/>
    <w:rsid w:val="00E37954"/>
    <w:rsid w:val="00E37965"/>
    <w:rsid w:val="00E37AFE"/>
    <w:rsid w:val="00E37D86"/>
    <w:rsid w:val="00E37E14"/>
    <w:rsid w:val="00E37EF7"/>
    <w:rsid w:val="00E37F10"/>
    <w:rsid w:val="00E37F95"/>
    <w:rsid w:val="00E4003F"/>
    <w:rsid w:val="00E401B3"/>
    <w:rsid w:val="00E40261"/>
    <w:rsid w:val="00E404C5"/>
    <w:rsid w:val="00E4053F"/>
    <w:rsid w:val="00E4063E"/>
    <w:rsid w:val="00E407A0"/>
    <w:rsid w:val="00E4099F"/>
    <w:rsid w:val="00E40C51"/>
    <w:rsid w:val="00E4135B"/>
    <w:rsid w:val="00E414BF"/>
    <w:rsid w:val="00E41A98"/>
    <w:rsid w:val="00E41BFC"/>
    <w:rsid w:val="00E41D03"/>
    <w:rsid w:val="00E41F99"/>
    <w:rsid w:val="00E41FB0"/>
    <w:rsid w:val="00E420D3"/>
    <w:rsid w:val="00E42131"/>
    <w:rsid w:val="00E4215B"/>
    <w:rsid w:val="00E42179"/>
    <w:rsid w:val="00E42185"/>
    <w:rsid w:val="00E42197"/>
    <w:rsid w:val="00E422C0"/>
    <w:rsid w:val="00E422DD"/>
    <w:rsid w:val="00E422E4"/>
    <w:rsid w:val="00E4239E"/>
    <w:rsid w:val="00E42433"/>
    <w:rsid w:val="00E424E3"/>
    <w:rsid w:val="00E426CA"/>
    <w:rsid w:val="00E42A09"/>
    <w:rsid w:val="00E42A44"/>
    <w:rsid w:val="00E42C1C"/>
    <w:rsid w:val="00E42C4E"/>
    <w:rsid w:val="00E42CAE"/>
    <w:rsid w:val="00E42E0B"/>
    <w:rsid w:val="00E42E4D"/>
    <w:rsid w:val="00E42F6C"/>
    <w:rsid w:val="00E43029"/>
    <w:rsid w:val="00E43191"/>
    <w:rsid w:val="00E431A2"/>
    <w:rsid w:val="00E4336B"/>
    <w:rsid w:val="00E433E5"/>
    <w:rsid w:val="00E43455"/>
    <w:rsid w:val="00E43676"/>
    <w:rsid w:val="00E4387B"/>
    <w:rsid w:val="00E43AB8"/>
    <w:rsid w:val="00E43C37"/>
    <w:rsid w:val="00E43C43"/>
    <w:rsid w:val="00E43C46"/>
    <w:rsid w:val="00E43CD4"/>
    <w:rsid w:val="00E43F4E"/>
    <w:rsid w:val="00E43FCB"/>
    <w:rsid w:val="00E44039"/>
    <w:rsid w:val="00E4460F"/>
    <w:rsid w:val="00E44675"/>
    <w:rsid w:val="00E4477F"/>
    <w:rsid w:val="00E44B5E"/>
    <w:rsid w:val="00E44B74"/>
    <w:rsid w:val="00E44E02"/>
    <w:rsid w:val="00E44FE7"/>
    <w:rsid w:val="00E45022"/>
    <w:rsid w:val="00E45256"/>
    <w:rsid w:val="00E453D0"/>
    <w:rsid w:val="00E45630"/>
    <w:rsid w:val="00E4578A"/>
    <w:rsid w:val="00E45A9B"/>
    <w:rsid w:val="00E45B2F"/>
    <w:rsid w:val="00E45D72"/>
    <w:rsid w:val="00E45D8E"/>
    <w:rsid w:val="00E460A3"/>
    <w:rsid w:val="00E46140"/>
    <w:rsid w:val="00E4615B"/>
    <w:rsid w:val="00E46296"/>
    <w:rsid w:val="00E463B4"/>
    <w:rsid w:val="00E4663D"/>
    <w:rsid w:val="00E466BA"/>
    <w:rsid w:val="00E46771"/>
    <w:rsid w:val="00E467E2"/>
    <w:rsid w:val="00E4685E"/>
    <w:rsid w:val="00E468EA"/>
    <w:rsid w:val="00E46D8D"/>
    <w:rsid w:val="00E46EA1"/>
    <w:rsid w:val="00E47117"/>
    <w:rsid w:val="00E4721E"/>
    <w:rsid w:val="00E472C3"/>
    <w:rsid w:val="00E47412"/>
    <w:rsid w:val="00E47535"/>
    <w:rsid w:val="00E476F9"/>
    <w:rsid w:val="00E47746"/>
    <w:rsid w:val="00E478D3"/>
    <w:rsid w:val="00E47A13"/>
    <w:rsid w:val="00E47DD0"/>
    <w:rsid w:val="00E47F44"/>
    <w:rsid w:val="00E5011E"/>
    <w:rsid w:val="00E5019C"/>
    <w:rsid w:val="00E50236"/>
    <w:rsid w:val="00E502A9"/>
    <w:rsid w:val="00E5054A"/>
    <w:rsid w:val="00E5054D"/>
    <w:rsid w:val="00E507F0"/>
    <w:rsid w:val="00E5081C"/>
    <w:rsid w:val="00E508E5"/>
    <w:rsid w:val="00E50BB2"/>
    <w:rsid w:val="00E50EDE"/>
    <w:rsid w:val="00E50FC3"/>
    <w:rsid w:val="00E510B1"/>
    <w:rsid w:val="00E5118C"/>
    <w:rsid w:val="00E512A8"/>
    <w:rsid w:val="00E51359"/>
    <w:rsid w:val="00E514C5"/>
    <w:rsid w:val="00E514E3"/>
    <w:rsid w:val="00E5151C"/>
    <w:rsid w:val="00E5157B"/>
    <w:rsid w:val="00E516A2"/>
    <w:rsid w:val="00E51899"/>
    <w:rsid w:val="00E5193C"/>
    <w:rsid w:val="00E51A1C"/>
    <w:rsid w:val="00E51CA6"/>
    <w:rsid w:val="00E51F59"/>
    <w:rsid w:val="00E5208E"/>
    <w:rsid w:val="00E52582"/>
    <w:rsid w:val="00E5269B"/>
    <w:rsid w:val="00E52753"/>
    <w:rsid w:val="00E52A2C"/>
    <w:rsid w:val="00E52B80"/>
    <w:rsid w:val="00E52B95"/>
    <w:rsid w:val="00E52E35"/>
    <w:rsid w:val="00E5311E"/>
    <w:rsid w:val="00E53413"/>
    <w:rsid w:val="00E53462"/>
    <w:rsid w:val="00E53654"/>
    <w:rsid w:val="00E53952"/>
    <w:rsid w:val="00E53960"/>
    <w:rsid w:val="00E5399B"/>
    <w:rsid w:val="00E53A3B"/>
    <w:rsid w:val="00E53C8F"/>
    <w:rsid w:val="00E53E0E"/>
    <w:rsid w:val="00E53EDC"/>
    <w:rsid w:val="00E54038"/>
    <w:rsid w:val="00E54217"/>
    <w:rsid w:val="00E542A5"/>
    <w:rsid w:val="00E5460E"/>
    <w:rsid w:val="00E549DC"/>
    <w:rsid w:val="00E54AAC"/>
    <w:rsid w:val="00E54AD9"/>
    <w:rsid w:val="00E54ADF"/>
    <w:rsid w:val="00E54B9B"/>
    <w:rsid w:val="00E54C36"/>
    <w:rsid w:val="00E54CB6"/>
    <w:rsid w:val="00E54D58"/>
    <w:rsid w:val="00E55066"/>
    <w:rsid w:val="00E5530F"/>
    <w:rsid w:val="00E553A9"/>
    <w:rsid w:val="00E553D3"/>
    <w:rsid w:val="00E55511"/>
    <w:rsid w:val="00E555A5"/>
    <w:rsid w:val="00E55703"/>
    <w:rsid w:val="00E55906"/>
    <w:rsid w:val="00E55A7D"/>
    <w:rsid w:val="00E55B35"/>
    <w:rsid w:val="00E55BB8"/>
    <w:rsid w:val="00E55CFE"/>
    <w:rsid w:val="00E56178"/>
    <w:rsid w:val="00E5644B"/>
    <w:rsid w:val="00E56573"/>
    <w:rsid w:val="00E56615"/>
    <w:rsid w:val="00E56623"/>
    <w:rsid w:val="00E567B5"/>
    <w:rsid w:val="00E567F7"/>
    <w:rsid w:val="00E56B12"/>
    <w:rsid w:val="00E56BA4"/>
    <w:rsid w:val="00E56BED"/>
    <w:rsid w:val="00E56C2D"/>
    <w:rsid w:val="00E56EC9"/>
    <w:rsid w:val="00E56F21"/>
    <w:rsid w:val="00E56F58"/>
    <w:rsid w:val="00E56FBA"/>
    <w:rsid w:val="00E57342"/>
    <w:rsid w:val="00E5739A"/>
    <w:rsid w:val="00E5745E"/>
    <w:rsid w:val="00E576AA"/>
    <w:rsid w:val="00E57760"/>
    <w:rsid w:val="00E57811"/>
    <w:rsid w:val="00E579D6"/>
    <w:rsid w:val="00E57A42"/>
    <w:rsid w:val="00E57D92"/>
    <w:rsid w:val="00E6014A"/>
    <w:rsid w:val="00E60328"/>
    <w:rsid w:val="00E6048A"/>
    <w:rsid w:val="00E60535"/>
    <w:rsid w:val="00E6063A"/>
    <w:rsid w:val="00E60848"/>
    <w:rsid w:val="00E608D9"/>
    <w:rsid w:val="00E60936"/>
    <w:rsid w:val="00E6099B"/>
    <w:rsid w:val="00E60A3D"/>
    <w:rsid w:val="00E60B96"/>
    <w:rsid w:val="00E60CAB"/>
    <w:rsid w:val="00E60D28"/>
    <w:rsid w:val="00E6104F"/>
    <w:rsid w:val="00E610AC"/>
    <w:rsid w:val="00E61331"/>
    <w:rsid w:val="00E61403"/>
    <w:rsid w:val="00E61440"/>
    <w:rsid w:val="00E61780"/>
    <w:rsid w:val="00E61AC3"/>
    <w:rsid w:val="00E61C64"/>
    <w:rsid w:val="00E61E45"/>
    <w:rsid w:val="00E6227A"/>
    <w:rsid w:val="00E6234C"/>
    <w:rsid w:val="00E62604"/>
    <w:rsid w:val="00E627A4"/>
    <w:rsid w:val="00E62921"/>
    <w:rsid w:val="00E629E6"/>
    <w:rsid w:val="00E62B94"/>
    <w:rsid w:val="00E62C82"/>
    <w:rsid w:val="00E62D70"/>
    <w:rsid w:val="00E631F7"/>
    <w:rsid w:val="00E63363"/>
    <w:rsid w:val="00E63487"/>
    <w:rsid w:val="00E6359A"/>
    <w:rsid w:val="00E635C7"/>
    <w:rsid w:val="00E635F5"/>
    <w:rsid w:val="00E63638"/>
    <w:rsid w:val="00E638FA"/>
    <w:rsid w:val="00E639DB"/>
    <w:rsid w:val="00E63B15"/>
    <w:rsid w:val="00E63EE2"/>
    <w:rsid w:val="00E64148"/>
    <w:rsid w:val="00E641C9"/>
    <w:rsid w:val="00E64305"/>
    <w:rsid w:val="00E6457A"/>
    <w:rsid w:val="00E645B7"/>
    <w:rsid w:val="00E6468D"/>
    <w:rsid w:val="00E64792"/>
    <w:rsid w:val="00E64960"/>
    <w:rsid w:val="00E64A75"/>
    <w:rsid w:val="00E64A91"/>
    <w:rsid w:val="00E64BC4"/>
    <w:rsid w:val="00E64D64"/>
    <w:rsid w:val="00E64DA5"/>
    <w:rsid w:val="00E64DB7"/>
    <w:rsid w:val="00E650A4"/>
    <w:rsid w:val="00E6523D"/>
    <w:rsid w:val="00E65301"/>
    <w:rsid w:val="00E6530C"/>
    <w:rsid w:val="00E65525"/>
    <w:rsid w:val="00E65592"/>
    <w:rsid w:val="00E65595"/>
    <w:rsid w:val="00E65648"/>
    <w:rsid w:val="00E656C0"/>
    <w:rsid w:val="00E656F9"/>
    <w:rsid w:val="00E658F0"/>
    <w:rsid w:val="00E65B0A"/>
    <w:rsid w:val="00E65FAF"/>
    <w:rsid w:val="00E66125"/>
    <w:rsid w:val="00E661B2"/>
    <w:rsid w:val="00E661C8"/>
    <w:rsid w:val="00E66263"/>
    <w:rsid w:val="00E66282"/>
    <w:rsid w:val="00E66389"/>
    <w:rsid w:val="00E66532"/>
    <w:rsid w:val="00E665EE"/>
    <w:rsid w:val="00E66727"/>
    <w:rsid w:val="00E6679D"/>
    <w:rsid w:val="00E66821"/>
    <w:rsid w:val="00E66971"/>
    <w:rsid w:val="00E66A2F"/>
    <w:rsid w:val="00E66AF4"/>
    <w:rsid w:val="00E66B3A"/>
    <w:rsid w:val="00E66C21"/>
    <w:rsid w:val="00E66F3B"/>
    <w:rsid w:val="00E66F75"/>
    <w:rsid w:val="00E67063"/>
    <w:rsid w:val="00E67090"/>
    <w:rsid w:val="00E671CD"/>
    <w:rsid w:val="00E67336"/>
    <w:rsid w:val="00E67457"/>
    <w:rsid w:val="00E6787D"/>
    <w:rsid w:val="00E678CC"/>
    <w:rsid w:val="00E679D5"/>
    <w:rsid w:val="00E67AFC"/>
    <w:rsid w:val="00E67BD4"/>
    <w:rsid w:val="00E67DDB"/>
    <w:rsid w:val="00E67ED7"/>
    <w:rsid w:val="00E70131"/>
    <w:rsid w:val="00E701E8"/>
    <w:rsid w:val="00E70282"/>
    <w:rsid w:val="00E7062E"/>
    <w:rsid w:val="00E70720"/>
    <w:rsid w:val="00E7073C"/>
    <w:rsid w:val="00E708EB"/>
    <w:rsid w:val="00E70900"/>
    <w:rsid w:val="00E70935"/>
    <w:rsid w:val="00E70940"/>
    <w:rsid w:val="00E7099C"/>
    <w:rsid w:val="00E70B09"/>
    <w:rsid w:val="00E70C89"/>
    <w:rsid w:val="00E70E4E"/>
    <w:rsid w:val="00E70FFC"/>
    <w:rsid w:val="00E71043"/>
    <w:rsid w:val="00E71045"/>
    <w:rsid w:val="00E71223"/>
    <w:rsid w:val="00E71227"/>
    <w:rsid w:val="00E712A2"/>
    <w:rsid w:val="00E71320"/>
    <w:rsid w:val="00E71364"/>
    <w:rsid w:val="00E713A1"/>
    <w:rsid w:val="00E713D4"/>
    <w:rsid w:val="00E7167A"/>
    <w:rsid w:val="00E71855"/>
    <w:rsid w:val="00E71993"/>
    <w:rsid w:val="00E7199A"/>
    <w:rsid w:val="00E71CF1"/>
    <w:rsid w:val="00E71E1E"/>
    <w:rsid w:val="00E71F66"/>
    <w:rsid w:val="00E71F9A"/>
    <w:rsid w:val="00E724EA"/>
    <w:rsid w:val="00E724F4"/>
    <w:rsid w:val="00E726A2"/>
    <w:rsid w:val="00E7299B"/>
    <w:rsid w:val="00E72A3C"/>
    <w:rsid w:val="00E72BF4"/>
    <w:rsid w:val="00E72C44"/>
    <w:rsid w:val="00E72CC8"/>
    <w:rsid w:val="00E733DB"/>
    <w:rsid w:val="00E73591"/>
    <w:rsid w:val="00E739FF"/>
    <w:rsid w:val="00E73A4B"/>
    <w:rsid w:val="00E73AE2"/>
    <w:rsid w:val="00E73B78"/>
    <w:rsid w:val="00E73BB3"/>
    <w:rsid w:val="00E73C1D"/>
    <w:rsid w:val="00E73E65"/>
    <w:rsid w:val="00E73F17"/>
    <w:rsid w:val="00E73FA7"/>
    <w:rsid w:val="00E742BB"/>
    <w:rsid w:val="00E7438D"/>
    <w:rsid w:val="00E743AA"/>
    <w:rsid w:val="00E743D3"/>
    <w:rsid w:val="00E74403"/>
    <w:rsid w:val="00E74405"/>
    <w:rsid w:val="00E74517"/>
    <w:rsid w:val="00E74601"/>
    <w:rsid w:val="00E7462A"/>
    <w:rsid w:val="00E7473A"/>
    <w:rsid w:val="00E74782"/>
    <w:rsid w:val="00E747BF"/>
    <w:rsid w:val="00E74805"/>
    <w:rsid w:val="00E74CE9"/>
    <w:rsid w:val="00E74CEB"/>
    <w:rsid w:val="00E74D22"/>
    <w:rsid w:val="00E74DA0"/>
    <w:rsid w:val="00E74F6C"/>
    <w:rsid w:val="00E74FD2"/>
    <w:rsid w:val="00E7506E"/>
    <w:rsid w:val="00E750BB"/>
    <w:rsid w:val="00E7527D"/>
    <w:rsid w:val="00E752F1"/>
    <w:rsid w:val="00E7537E"/>
    <w:rsid w:val="00E753DD"/>
    <w:rsid w:val="00E75503"/>
    <w:rsid w:val="00E755C4"/>
    <w:rsid w:val="00E7560D"/>
    <w:rsid w:val="00E75B3F"/>
    <w:rsid w:val="00E75C2D"/>
    <w:rsid w:val="00E75D68"/>
    <w:rsid w:val="00E76395"/>
    <w:rsid w:val="00E7663B"/>
    <w:rsid w:val="00E76946"/>
    <w:rsid w:val="00E76D7B"/>
    <w:rsid w:val="00E76F28"/>
    <w:rsid w:val="00E76F65"/>
    <w:rsid w:val="00E770BA"/>
    <w:rsid w:val="00E77118"/>
    <w:rsid w:val="00E77152"/>
    <w:rsid w:val="00E77426"/>
    <w:rsid w:val="00E77456"/>
    <w:rsid w:val="00E774CE"/>
    <w:rsid w:val="00E7756D"/>
    <w:rsid w:val="00E77659"/>
    <w:rsid w:val="00E776E2"/>
    <w:rsid w:val="00E776E9"/>
    <w:rsid w:val="00E77AB2"/>
    <w:rsid w:val="00E77E05"/>
    <w:rsid w:val="00E800AF"/>
    <w:rsid w:val="00E80210"/>
    <w:rsid w:val="00E8039A"/>
    <w:rsid w:val="00E80482"/>
    <w:rsid w:val="00E804E2"/>
    <w:rsid w:val="00E805D7"/>
    <w:rsid w:val="00E80642"/>
    <w:rsid w:val="00E809EC"/>
    <w:rsid w:val="00E80AC9"/>
    <w:rsid w:val="00E80AF4"/>
    <w:rsid w:val="00E80FEC"/>
    <w:rsid w:val="00E810C4"/>
    <w:rsid w:val="00E81204"/>
    <w:rsid w:val="00E81220"/>
    <w:rsid w:val="00E81392"/>
    <w:rsid w:val="00E813A7"/>
    <w:rsid w:val="00E8141E"/>
    <w:rsid w:val="00E81549"/>
    <w:rsid w:val="00E81862"/>
    <w:rsid w:val="00E818B7"/>
    <w:rsid w:val="00E81940"/>
    <w:rsid w:val="00E81CA0"/>
    <w:rsid w:val="00E81D20"/>
    <w:rsid w:val="00E81D93"/>
    <w:rsid w:val="00E81F0D"/>
    <w:rsid w:val="00E81F8A"/>
    <w:rsid w:val="00E81FCC"/>
    <w:rsid w:val="00E82074"/>
    <w:rsid w:val="00E82495"/>
    <w:rsid w:val="00E826A1"/>
    <w:rsid w:val="00E8275D"/>
    <w:rsid w:val="00E8296F"/>
    <w:rsid w:val="00E82A8B"/>
    <w:rsid w:val="00E82D70"/>
    <w:rsid w:val="00E82E44"/>
    <w:rsid w:val="00E82FE3"/>
    <w:rsid w:val="00E8312C"/>
    <w:rsid w:val="00E83383"/>
    <w:rsid w:val="00E8343A"/>
    <w:rsid w:val="00E8344E"/>
    <w:rsid w:val="00E8349D"/>
    <w:rsid w:val="00E83625"/>
    <w:rsid w:val="00E83B77"/>
    <w:rsid w:val="00E83BE3"/>
    <w:rsid w:val="00E83C6B"/>
    <w:rsid w:val="00E83D54"/>
    <w:rsid w:val="00E83DC9"/>
    <w:rsid w:val="00E83FB1"/>
    <w:rsid w:val="00E8416C"/>
    <w:rsid w:val="00E845B0"/>
    <w:rsid w:val="00E84646"/>
    <w:rsid w:val="00E8485B"/>
    <w:rsid w:val="00E84877"/>
    <w:rsid w:val="00E848AB"/>
    <w:rsid w:val="00E8494A"/>
    <w:rsid w:val="00E84B4D"/>
    <w:rsid w:val="00E84E1F"/>
    <w:rsid w:val="00E84EC3"/>
    <w:rsid w:val="00E84F61"/>
    <w:rsid w:val="00E85029"/>
    <w:rsid w:val="00E85483"/>
    <w:rsid w:val="00E854D2"/>
    <w:rsid w:val="00E85653"/>
    <w:rsid w:val="00E85709"/>
    <w:rsid w:val="00E857E8"/>
    <w:rsid w:val="00E85843"/>
    <w:rsid w:val="00E85B13"/>
    <w:rsid w:val="00E85B1F"/>
    <w:rsid w:val="00E85C43"/>
    <w:rsid w:val="00E863DC"/>
    <w:rsid w:val="00E86835"/>
    <w:rsid w:val="00E8683C"/>
    <w:rsid w:val="00E86D3A"/>
    <w:rsid w:val="00E870B7"/>
    <w:rsid w:val="00E87165"/>
    <w:rsid w:val="00E8718A"/>
    <w:rsid w:val="00E871D2"/>
    <w:rsid w:val="00E872C8"/>
    <w:rsid w:val="00E87334"/>
    <w:rsid w:val="00E874BF"/>
    <w:rsid w:val="00E875A9"/>
    <w:rsid w:val="00E875E5"/>
    <w:rsid w:val="00E875F2"/>
    <w:rsid w:val="00E879B1"/>
    <w:rsid w:val="00E87B83"/>
    <w:rsid w:val="00E87C5B"/>
    <w:rsid w:val="00E87D35"/>
    <w:rsid w:val="00E9000E"/>
    <w:rsid w:val="00E900DC"/>
    <w:rsid w:val="00E90219"/>
    <w:rsid w:val="00E90804"/>
    <w:rsid w:val="00E90A44"/>
    <w:rsid w:val="00E90B8A"/>
    <w:rsid w:val="00E90C71"/>
    <w:rsid w:val="00E90CE0"/>
    <w:rsid w:val="00E90CFF"/>
    <w:rsid w:val="00E90D1D"/>
    <w:rsid w:val="00E913A6"/>
    <w:rsid w:val="00E91589"/>
    <w:rsid w:val="00E91607"/>
    <w:rsid w:val="00E91664"/>
    <w:rsid w:val="00E916B1"/>
    <w:rsid w:val="00E91993"/>
    <w:rsid w:val="00E919F4"/>
    <w:rsid w:val="00E91A3F"/>
    <w:rsid w:val="00E91A5D"/>
    <w:rsid w:val="00E91E10"/>
    <w:rsid w:val="00E91E52"/>
    <w:rsid w:val="00E91F5A"/>
    <w:rsid w:val="00E920C3"/>
    <w:rsid w:val="00E920D5"/>
    <w:rsid w:val="00E92105"/>
    <w:rsid w:val="00E92189"/>
    <w:rsid w:val="00E92321"/>
    <w:rsid w:val="00E9235B"/>
    <w:rsid w:val="00E92462"/>
    <w:rsid w:val="00E92686"/>
    <w:rsid w:val="00E926E9"/>
    <w:rsid w:val="00E928AD"/>
    <w:rsid w:val="00E92C7C"/>
    <w:rsid w:val="00E92CA0"/>
    <w:rsid w:val="00E92DB7"/>
    <w:rsid w:val="00E92DBB"/>
    <w:rsid w:val="00E92F84"/>
    <w:rsid w:val="00E92F8A"/>
    <w:rsid w:val="00E9309C"/>
    <w:rsid w:val="00E93185"/>
    <w:rsid w:val="00E93239"/>
    <w:rsid w:val="00E9347B"/>
    <w:rsid w:val="00E9371F"/>
    <w:rsid w:val="00E9389B"/>
    <w:rsid w:val="00E93962"/>
    <w:rsid w:val="00E93E7D"/>
    <w:rsid w:val="00E93EAC"/>
    <w:rsid w:val="00E941F5"/>
    <w:rsid w:val="00E94593"/>
    <w:rsid w:val="00E946FB"/>
    <w:rsid w:val="00E94790"/>
    <w:rsid w:val="00E949F5"/>
    <w:rsid w:val="00E94A05"/>
    <w:rsid w:val="00E94BA2"/>
    <w:rsid w:val="00E94D50"/>
    <w:rsid w:val="00E94DE7"/>
    <w:rsid w:val="00E95067"/>
    <w:rsid w:val="00E9571F"/>
    <w:rsid w:val="00E957B9"/>
    <w:rsid w:val="00E95807"/>
    <w:rsid w:val="00E95B61"/>
    <w:rsid w:val="00E95B86"/>
    <w:rsid w:val="00E95D48"/>
    <w:rsid w:val="00E95D54"/>
    <w:rsid w:val="00E96240"/>
    <w:rsid w:val="00E9640A"/>
    <w:rsid w:val="00E9650C"/>
    <w:rsid w:val="00E9664C"/>
    <w:rsid w:val="00E96A27"/>
    <w:rsid w:val="00E96A62"/>
    <w:rsid w:val="00E96ADE"/>
    <w:rsid w:val="00E96B0E"/>
    <w:rsid w:val="00E96B4B"/>
    <w:rsid w:val="00E96BD1"/>
    <w:rsid w:val="00E96EC0"/>
    <w:rsid w:val="00E97785"/>
    <w:rsid w:val="00E97831"/>
    <w:rsid w:val="00E97AB3"/>
    <w:rsid w:val="00E97DBC"/>
    <w:rsid w:val="00E97E8D"/>
    <w:rsid w:val="00E97EF4"/>
    <w:rsid w:val="00EA0220"/>
    <w:rsid w:val="00EA047C"/>
    <w:rsid w:val="00EA04F9"/>
    <w:rsid w:val="00EA0ACF"/>
    <w:rsid w:val="00EA0C2D"/>
    <w:rsid w:val="00EA0CA3"/>
    <w:rsid w:val="00EA0D0B"/>
    <w:rsid w:val="00EA0D6B"/>
    <w:rsid w:val="00EA0E6E"/>
    <w:rsid w:val="00EA0EE7"/>
    <w:rsid w:val="00EA1216"/>
    <w:rsid w:val="00EA14B4"/>
    <w:rsid w:val="00EA15F6"/>
    <w:rsid w:val="00EA15FE"/>
    <w:rsid w:val="00EA1D03"/>
    <w:rsid w:val="00EA222B"/>
    <w:rsid w:val="00EA26F8"/>
    <w:rsid w:val="00EA2821"/>
    <w:rsid w:val="00EA2AE5"/>
    <w:rsid w:val="00EA2BEC"/>
    <w:rsid w:val="00EA2E70"/>
    <w:rsid w:val="00EA2F76"/>
    <w:rsid w:val="00EA301A"/>
    <w:rsid w:val="00EA3209"/>
    <w:rsid w:val="00EA3271"/>
    <w:rsid w:val="00EA332E"/>
    <w:rsid w:val="00EA337A"/>
    <w:rsid w:val="00EA362C"/>
    <w:rsid w:val="00EA38B5"/>
    <w:rsid w:val="00EA39E5"/>
    <w:rsid w:val="00EA3AF5"/>
    <w:rsid w:val="00EA3B35"/>
    <w:rsid w:val="00EA3BBE"/>
    <w:rsid w:val="00EA3C3D"/>
    <w:rsid w:val="00EA3C88"/>
    <w:rsid w:val="00EA3D69"/>
    <w:rsid w:val="00EA3F22"/>
    <w:rsid w:val="00EA42E4"/>
    <w:rsid w:val="00EA4400"/>
    <w:rsid w:val="00EA4453"/>
    <w:rsid w:val="00EA44DA"/>
    <w:rsid w:val="00EA47B8"/>
    <w:rsid w:val="00EA496E"/>
    <w:rsid w:val="00EA4992"/>
    <w:rsid w:val="00EA4C30"/>
    <w:rsid w:val="00EA4CB6"/>
    <w:rsid w:val="00EA4D8A"/>
    <w:rsid w:val="00EA4E2B"/>
    <w:rsid w:val="00EA52E4"/>
    <w:rsid w:val="00EA53A8"/>
    <w:rsid w:val="00EA5578"/>
    <w:rsid w:val="00EA5617"/>
    <w:rsid w:val="00EA569F"/>
    <w:rsid w:val="00EA5836"/>
    <w:rsid w:val="00EA5AA6"/>
    <w:rsid w:val="00EA5B70"/>
    <w:rsid w:val="00EA5D48"/>
    <w:rsid w:val="00EA5ED7"/>
    <w:rsid w:val="00EA5FDC"/>
    <w:rsid w:val="00EA6001"/>
    <w:rsid w:val="00EA613C"/>
    <w:rsid w:val="00EA6153"/>
    <w:rsid w:val="00EA6257"/>
    <w:rsid w:val="00EA625F"/>
    <w:rsid w:val="00EA6444"/>
    <w:rsid w:val="00EA65C8"/>
    <w:rsid w:val="00EA6627"/>
    <w:rsid w:val="00EA69C6"/>
    <w:rsid w:val="00EA6A44"/>
    <w:rsid w:val="00EA6BB6"/>
    <w:rsid w:val="00EA6BFB"/>
    <w:rsid w:val="00EA6DB3"/>
    <w:rsid w:val="00EA7182"/>
    <w:rsid w:val="00EA7509"/>
    <w:rsid w:val="00EA750E"/>
    <w:rsid w:val="00EA755F"/>
    <w:rsid w:val="00EA76B3"/>
    <w:rsid w:val="00EA7713"/>
    <w:rsid w:val="00EA7AD2"/>
    <w:rsid w:val="00EA7C45"/>
    <w:rsid w:val="00EA7CD9"/>
    <w:rsid w:val="00EA7D21"/>
    <w:rsid w:val="00EA7D9E"/>
    <w:rsid w:val="00EA7DCB"/>
    <w:rsid w:val="00EA7EAA"/>
    <w:rsid w:val="00EB0091"/>
    <w:rsid w:val="00EB0121"/>
    <w:rsid w:val="00EB02B2"/>
    <w:rsid w:val="00EB0340"/>
    <w:rsid w:val="00EB0539"/>
    <w:rsid w:val="00EB0658"/>
    <w:rsid w:val="00EB0834"/>
    <w:rsid w:val="00EB09D8"/>
    <w:rsid w:val="00EB0ABA"/>
    <w:rsid w:val="00EB0BCA"/>
    <w:rsid w:val="00EB0BE6"/>
    <w:rsid w:val="00EB0C64"/>
    <w:rsid w:val="00EB0CD2"/>
    <w:rsid w:val="00EB101C"/>
    <w:rsid w:val="00EB1027"/>
    <w:rsid w:val="00EB1139"/>
    <w:rsid w:val="00EB1217"/>
    <w:rsid w:val="00EB1537"/>
    <w:rsid w:val="00EB1737"/>
    <w:rsid w:val="00EB1FF1"/>
    <w:rsid w:val="00EB21A5"/>
    <w:rsid w:val="00EB222C"/>
    <w:rsid w:val="00EB23D3"/>
    <w:rsid w:val="00EB25C4"/>
    <w:rsid w:val="00EB27DE"/>
    <w:rsid w:val="00EB2BED"/>
    <w:rsid w:val="00EB2DA4"/>
    <w:rsid w:val="00EB3370"/>
    <w:rsid w:val="00EB39EB"/>
    <w:rsid w:val="00EB3ABC"/>
    <w:rsid w:val="00EB3C1E"/>
    <w:rsid w:val="00EB3D88"/>
    <w:rsid w:val="00EB3F55"/>
    <w:rsid w:val="00EB4244"/>
    <w:rsid w:val="00EB44B5"/>
    <w:rsid w:val="00EB4729"/>
    <w:rsid w:val="00EB47BE"/>
    <w:rsid w:val="00EB4947"/>
    <w:rsid w:val="00EB4A8B"/>
    <w:rsid w:val="00EB4B0F"/>
    <w:rsid w:val="00EB4B4A"/>
    <w:rsid w:val="00EB4D13"/>
    <w:rsid w:val="00EB4D1B"/>
    <w:rsid w:val="00EB4D49"/>
    <w:rsid w:val="00EB4F3C"/>
    <w:rsid w:val="00EB50B5"/>
    <w:rsid w:val="00EB51C7"/>
    <w:rsid w:val="00EB5269"/>
    <w:rsid w:val="00EB54D0"/>
    <w:rsid w:val="00EB5653"/>
    <w:rsid w:val="00EB56CE"/>
    <w:rsid w:val="00EB5733"/>
    <w:rsid w:val="00EB5735"/>
    <w:rsid w:val="00EB5762"/>
    <w:rsid w:val="00EB5789"/>
    <w:rsid w:val="00EB5A17"/>
    <w:rsid w:val="00EB5A2E"/>
    <w:rsid w:val="00EB5B5A"/>
    <w:rsid w:val="00EB5D47"/>
    <w:rsid w:val="00EB6035"/>
    <w:rsid w:val="00EB604B"/>
    <w:rsid w:val="00EB60DE"/>
    <w:rsid w:val="00EB637B"/>
    <w:rsid w:val="00EB6575"/>
    <w:rsid w:val="00EB6597"/>
    <w:rsid w:val="00EB681E"/>
    <w:rsid w:val="00EB683B"/>
    <w:rsid w:val="00EB6908"/>
    <w:rsid w:val="00EB6A6D"/>
    <w:rsid w:val="00EB6A94"/>
    <w:rsid w:val="00EB6C59"/>
    <w:rsid w:val="00EB6E0C"/>
    <w:rsid w:val="00EB7405"/>
    <w:rsid w:val="00EB7709"/>
    <w:rsid w:val="00EB78B3"/>
    <w:rsid w:val="00EB78C6"/>
    <w:rsid w:val="00EB7A13"/>
    <w:rsid w:val="00EB7B28"/>
    <w:rsid w:val="00EB7B74"/>
    <w:rsid w:val="00EB7BE4"/>
    <w:rsid w:val="00EB7BFA"/>
    <w:rsid w:val="00EB7E97"/>
    <w:rsid w:val="00EB7EA5"/>
    <w:rsid w:val="00EB7EEC"/>
    <w:rsid w:val="00EB7F02"/>
    <w:rsid w:val="00EB7F46"/>
    <w:rsid w:val="00EB7FDD"/>
    <w:rsid w:val="00EC0189"/>
    <w:rsid w:val="00EC019E"/>
    <w:rsid w:val="00EC02F0"/>
    <w:rsid w:val="00EC03FF"/>
    <w:rsid w:val="00EC046D"/>
    <w:rsid w:val="00EC0502"/>
    <w:rsid w:val="00EC053E"/>
    <w:rsid w:val="00EC061A"/>
    <w:rsid w:val="00EC08B8"/>
    <w:rsid w:val="00EC08BD"/>
    <w:rsid w:val="00EC08CB"/>
    <w:rsid w:val="00EC0992"/>
    <w:rsid w:val="00EC09F8"/>
    <w:rsid w:val="00EC09FB"/>
    <w:rsid w:val="00EC0A4B"/>
    <w:rsid w:val="00EC0AA8"/>
    <w:rsid w:val="00EC0E68"/>
    <w:rsid w:val="00EC0F31"/>
    <w:rsid w:val="00EC1436"/>
    <w:rsid w:val="00EC1470"/>
    <w:rsid w:val="00EC1726"/>
    <w:rsid w:val="00EC181E"/>
    <w:rsid w:val="00EC1885"/>
    <w:rsid w:val="00EC1964"/>
    <w:rsid w:val="00EC1966"/>
    <w:rsid w:val="00EC1A4B"/>
    <w:rsid w:val="00EC1CCC"/>
    <w:rsid w:val="00EC1DA9"/>
    <w:rsid w:val="00EC1E5F"/>
    <w:rsid w:val="00EC22E4"/>
    <w:rsid w:val="00EC25BA"/>
    <w:rsid w:val="00EC2881"/>
    <w:rsid w:val="00EC28FC"/>
    <w:rsid w:val="00EC2B0F"/>
    <w:rsid w:val="00EC2B4E"/>
    <w:rsid w:val="00EC2B9C"/>
    <w:rsid w:val="00EC2C42"/>
    <w:rsid w:val="00EC2DD9"/>
    <w:rsid w:val="00EC2FD6"/>
    <w:rsid w:val="00EC33B9"/>
    <w:rsid w:val="00EC35B5"/>
    <w:rsid w:val="00EC38D3"/>
    <w:rsid w:val="00EC3C38"/>
    <w:rsid w:val="00EC3C4C"/>
    <w:rsid w:val="00EC3E5D"/>
    <w:rsid w:val="00EC41B6"/>
    <w:rsid w:val="00EC428C"/>
    <w:rsid w:val="00EC43B3"/>
    <w:rsid w:val="00EC43F9"/>
    <w:rsid w:val="00EC45C1"/>
    <w:rsid w:val="00EC4861"/>
    <w:rsid w:val="00EC48FF"/>
    <w:rsid w:val="00EC4AC4"/>
    <w:rsid w:val="00EC4BD8"/>
    <w:rsid w:val="00EC4E79"/>
    <w:rsid w:val="00EC4F26"/>
    <w:rsid w:val="00EC5155"/>
    <w:rsid w:val="00EC5273"/>
    <w:rsid w:val="00EC53A1"/>
    <w:rsid w:val="00EC53EB"/>
    <w:rsid w:val="00EC5531"/>
    <w:rsid w:val="00EC56A0"/>
    <w:rsid w:val="00EC58E7"/>
    <w:rsid w:val="00EC5A4E"/>
    <w:rsid w:val="00EC5A90"/>
    <w:rsid w:val="00EC5B88"/>
    <w:rsid w:val="00EC5D5D"/>
    <w:rsid w:val="00EC5DFC"/>
    <w:rsid w:val="00EC5EFB"/>
    <w:rsid w:val="00EC6043"/>
    <w:rsid w:val="00EC60C8"/>
    <w:rsid w:val="00EC6141"/>
    <w:rsid w:val="00EC61F3"/>
    <w:rsid w:val="00EC63A3"/>
    <w:rsid w:val="00EC6512"/>
    <w:rsid w:val="00EC6599"/>
    <w:rsid w:val="00EC6620"/>
    <w:rsid w:val="00EC663F"/>
    <w:rsid w:val="00EC6719"/>
    <w:rsid w:val="00EC6856"/>
    <w:rsid w:val="00EC6A30"/>
    <w:rsid w:val="00EC6AB7"/>
    <w:rsid w:val="00EC6DC2"/>
    <w:rsid w:val="00EC6FD5"/>
    <w:rsid w:val="00EC6FEB"/>
    <w:rsid w:val="00EC70A4"/>
    <w:rsid w:val="00EC7184"/>
    <w:rsid w:val="00EC7248"/>
    <w:rsid w:val="00EC737C"/>
    <w:rsid w:val="00EC74DB"/>
    <w:rsid w:val="00EC77C2"/>
    <w:rsid w:val="00EC78A5"/>
    <w:rsid w:val="00EC7A34"/>
    <w:rsid w:val="00EC7A9B"/>
    <w:rsid w:val="00EC7C8A"/>
    <w:rsid w:val="00EC7CAB"/>
    <w:rsid w:val="00EC7CB9"/>
    <w:rsid w:val="00EC7DB9"/>
    <w:rsid w:val="00EC7F90"/>
    <w:rsid w:val="00ED01F6"/>
    <w:rsid w:val="00ED0434"/>
    <w:rsid w:val="00ED0642"/>
    <w:rsid w:val="00ED06C6"/>
    <w:rsid w:val="00ED0775"/>
    <w:rsid w:val="00ED0B92"/>
    <w:rsid w:val="00ED0D12"/>
    <w:rsid w:val="00ED0F42"/>
    <w:rsid w:val="00ED0FB6"/>
    <w:rsid w:val="00ED1033"/>
    <w:rsid w:val="00ED1141"/>
    <w:rsid w:val="00ED1299"/>
    <w:rsid w:val="00ED1389"/>
    <w:rsid w:val="00ED14A9"/>
    <w:rsid w:val="00ED14FD"/>
    <w:rsid w:val="00ED1508"/>
    <w:rsid w:val="00ED1535"/>
    <w:rsid w:val="00ED1587"/>
    <w:rsid w:val="00ED16A4"/>
    <w:rsid w:val="00ED184C"/>
    <w:rsid w:val="00ED187A"/>
    <w:rsid w:val="00ED198C"/>
    <w:rsid w:val="00ED1DB2"/>
    <w:rsid w:val="00ED1ED5"/>
    <w:rsid w:val="00ED2195"/>
    <w:rsid w:val="00ED21FB"/>
    <w:rsid w:val="00ED2219"/>
    <w:rsid w:val="00ED235E"/>
    <w:rsid w:val="00ED239F"/>
    <w:rsid w:val="00ED23DC"/>
    <w:rsid w:val="00ED23F4"/>
    <w:rsid w:val="00ED2500"/>
    <w:rsid w:val="00ED26C1"/>
    <w:rsid w:val="00ED2731"/>
    <w:rsid w:val="00ED2B62"/>
    <w:rsid w:val="00ED2B7D"/>
    <w:rsid w:val="00ED2B94"/>
    <w:rsid w:val="00ED2C6E"/>
    <w:rsid w:val="00ED2D73"/>
    <w:rsid w:val="00ED3038"/>
    <w:rsid w:val="00ED310A"/>
    <w:rsid w:val="00ED3201"/>
    <w:rsid w:val="00ED3365"/>
    <w:rsid w:val="00ED339B"/>
    <w:rsid w:val="00ED33B1"/>
    <w:rsid w:val="00ED3488"/>
    <w:rsid w:val="00ED3797"/>
    <w:rsid w:val="00ED3ABA"/>
    <w:rsid w:val="00ED3CCB"/>
    <w:rsid w:val="00ED3E5B"/>
    <w:rsid w:val="00ED427E"/>
    <w:rsid w:val="00ED4426"/>
    <w:rsid w:val="00ED4498"/>
    <w:rsid w:val="00ED44F5"/>
    <w:rsid w:val="00ED4677"/>
    <w:rsid w:val="00ED4799"/>
    <w:rsid w:val="00ED47A1"/>
    <w:rsid w:val="00ED4B28"/>
    <w:rsid w:val="00ED4B78"/>
    <w:rsid w:val="00ED4DA3"/>
    <w:rsid w:val="00ED50A4"/>
    <w:rsid w:val="00ED5167"/>
    <w:rsid w:val="00ED5350"/>
    <w:rsid w:val="00ED55E4"/>
    <w:rsid w:val="00ED5909"/>
    <w:rsid w:val="00ED5943"/>
    <w:rsid w:val="00ED601F"/>
    <w:rsid w:val="00ED61EC"/>
    <w:rsid w:val="00ED6256"/>
    <w:rsid w:val="00ED63F4"/>
    <w:rsid w:val="00ED6407"/>
    <w:rsid w:val="00ED6416"/>
    <w:rsid w:val="00ED642B"/>
    <w:rsid w:val="00ED6463"/>
    <w:rsid w:val="00ED6650"/>
    <w:rsid w:val="00ED669F"/>
    <w:rsid w:val="00ED670A"/>
    <w:rsid w:val="00ED67EC"/>
    <w:rsid w:val="00ED6A14"/>
    <w:rsid w:val="00ED6B69"/>
    <w:rsid w:val="00ED6CE5"/>
    <w:rsid w:val="00ED6DDC"/>
    <w:rsid w:val="00ED6E39"/>
    <w:rsid w:val="00ED70BA"/>
    <w:rsid w:val="00ED7211"/>
    <w:rsid w:val="00ED72D3"/>
    <w:rsid w:val="00ED745D"/>
    <w:rsid w:val="00ED7920"/>
    <w:rsid w:val="00ED7964"/>
    <w:rsid w:val="00ED7A06"/>
    <w:rsid w:val="00ED7F0A"/>
    <w:rsid w:val="00ED7F9A"/>
    <w:rsid w:val="00EE00B1"/>
    <w:rsid w:val="00EE0138"/>
    <w:rsid w:val="00EE0195"/>
    <w:rsid w:val="00EE024D"/>
    <w:rsid w:val="00EE03E6"/>
    <w:rsid w:val="00EE069A"/>
    <w:rsid w:val="00EE0E1D"/>
    <w:rsid w:val="00EE0EE4"/>
    <w:rsid w:val="00EE0F72"/>
    <w:rsid w:val="00EE1044"/>
    <w:rsid w:val="00EE1243"/>
    <w:rsid w:val="00EE1465"/>
    <w:rsid w:val="00EE1489"/>
    <w:rsid w:val="00EE151B"/>
    <w:rsid w:val="00EE15A7"/>
    <w:rsid w:val="00EE16AE"/>
    <w:rsid w:val="00EE179B"/>
    <w:rsid w:val="00EE1858"/>
    <w:rsid w:val="00EE1AC7"/>
    <w:rsid w:val="00EE1CD0"/>
    <w:rsid w:val="00EE1D09"/>
    <w:rsid w:val="00EE1E8E"/>
    <w:rsid w:val="00EE208D"/>
    <w:rsid w:val="00EE211C"/>
    <w:rsid w:val="00EE223F"/>
    <w:rsid w:val="00EE23BF"/>
    <w:rsid w:val="00EE23DB"/>
    <w:rsid w:val="00EE2471"/>
    <w:rsid w:val="00EE27FF"/>
    <w:rsid w:val="00EE28D5"/>
    <w:rsid w:val="00EE2B34"/>
    <w:rsid w:val="00EE2CDC"/>
    <w:rsid w:val="00EE2CFC"/>
    <w:rsid w:val="00EE2E91"/>
    <w:rsid w:val="00EE2F02"/>
    <w:rsid w:val="00EE3078"/>
    <w:rsid w:val="00EE309D"/>
    <w:rsid w:val="00EE320D"/>
    <w:rsid w:val="00EE3254"/>
    <w:rsid w:val="00EE3439"/>
    <w:rsid w:val="00EE3646"/>
    <w:rsid w:val="00EE36F1"/>
    <w:rsid w:val="00EE37CE"/>
    <w:rsid w:val="00EE3B25"/>
    <w:rsid w:val="00EE3B8F"/>
    <w:rsid w:val="00EE3BC7"/>
    <w:rsid w:val="00EE3C48"/>
    <w:rsid w:val="00EE3DAB"/>
    <w:rsid w:val="00EE4017"/>
    <w:rsid w:val="00EE4044"/>
    <w:rsid w:val="00EE41FE"/>
    <w:rsid w:val="00EE44A8"/>
    <w:rsid w:val="00EE44B3"/>
    <w:rsid w:val="00EE4527"/>
    <w:rsid w:val="00EE4787"/>
    <w:rsid w:val="00EE49AA"/>
    <w:rsid w:val="00EE49F2"/>
    <w:rsid w:val="00EE4A6A"/>
    <w:rsid w:val="00EE4A98"/>
    <w:rsid w:val="00EE4D9E"/>
    <w:rsid w:val="00EE4F98"/>
    <w:rsid w:val="00EE526A"/>
    <w:rsid w:val="00EE52BC"/>
    <w:rsid w:val="00EE5483"/>
    <w:rsid w:val="00EE555F"/>
    <w:rsid w:val="00EE5683"/>
    <w:rsid w:val="00EE56AD"/>
    <w:rsid w:val="00EE595B"/>
    <w:rsid w:val="00EE5AF0"/>
    <w:rsid w:val="00EE5CE9"/>
    <w:rsid w:val="00EE5DD7"/>
    <w:rsid w:val="00EE5ED6"/>
    <w:rsid w:val="00EE5FAE"/>
    <w:rsid w:val="00EE5FD6"/>
    <w:rsid w:val="00EE602A"/>
    <w:rsid w:val="00EE604A"/>
    <w:rsid w:val="00EE61F7"/>
    <w:rsid w:val="00EE6287"/>
    <w:rsid w:val="00EE658F"/>
    <w:rsid w:val="00EE69E6"/>
    <w:rsid w:val="00EE6B4C"/>
    <w:rsid w:val="00EE6F47"/>
    <w:rsid w:val="00EE6F4F"/>
    <w:rsid w:val="00EE6FBF"/>
    <w:rsid w:val="00EE704D"/>
    <w:rsid w:val="00EE7171"/>
    <w:rsid w:val="00EE781E"/>
    <w:rsid w:val="00EE78D8"/>
    <w:rsid w:val="00EE79D6"/>
    <w:rsid w:val="00EE7A34"/>
    <w:rsid w:val="00EE7BC2"/>
    <w:rsid w:val="00EE7C16"/>
    <w:rsid w:val="00EE7D17"/>
    <w:rsid w:val="00EE7D2F"/>
    <w:rsid w:val="00EF05A1"/>
    <w:rsid w:val="00EF06EB"/>
    <w:rsid w:val="00EF0800"/>
    <w:rsid w:val="00EF0891"/>
    <w:rsid w:val="00EF092F"/>
    <w:rsid w:val="00EF0A45"/>
    <w:rsid w:val="00EF0D06"/>
    <w:rsid w:val="00EF1111"/>
    <w:rsid w:val="00EF1407"/>
    <w:rsid w:val="00EF16CB"/>
    <w:rsid w:val="00EF174A"/>
    <w:rsid w:val="00EF179C"/>
    <w:rsid w:val="00EF182E"/>
    <w:rsid w:val="00EF18A6"/>
    <w:rsid w:val="00EF190B"/>
    <w:rsid w:val="00EF1AFC"/>
    <w:rsid w:val="00EF1B7E"/>
    <w:rsid w:val="00EF1D02"/>
    <w:rsid w:val="00EF1D22"/>
    <w:rsid w:val="00EF1D72"/>
    <w:rsid w:val="00EF1DF6"/>
    <w:rsid w:val="00EF1F80"/>
    <w:rsid w:val="00EF200D"/>
    <w:rsid w:val="00EF2012"/>
    <w:rsid w:val="00EF228A"/>
    <w:rsid w:val="00EF258E"/>
    <w:rsid w:val="00EF284D"/>
    <w:rsid w:val="00EF2B0E"/>
    <w:rsid w:val="00EF2C16"/>
    <w:rsid w:val="00EF2E44"/>
    <w:rsid w:val="00EF2E62"/>
    <w:rsid w:val="00EF2E7B"/>
    <w:rsid w:val="00EF338C"/>
    <w:rsid w:val="00EF34E5"/>
    <w:rsid w:val="00EF3664"/>
    <w:rsid w:val="00EF36CF"/>
    <w:rsid w:val="00EF37B6"/>
    <w:rsid w:val="00EF388B"/>
    <w:rsid w:val="00EF39C2"/>
    <w:rsid w:val="00EF3B11"/>
    <w:rsid w:val="00EF3C33"/>
    <w:rsid w:val="00EF4059"/>
    <w:rsid w:val="00EF412A"/>
    <w:rsid w:val="00EF43EC"/>
    <w:rsid w:val="00EF4764"/>
    <w:rsid w:val="00EF484C"/>
    <w:rsid w:val="00EF498B"/>
    <w:rsid w:val="00EF4A12"/>
    <w:rsid w:val="00EF4A69"/>
    <w:rsid w:val="00EF4C8A"/>
    <w:rsid w:val="00EF4E4C"/>
    <w:rsid w:val="00EF4E86"/>
    <w:rsid w:val="00EF4F22"/>
    <w:rsid w:val="00EF4FB9"/>
    <w:rsid w:val="00EF519E"/>
    <w:rsid w:val="00EF549A"/>
    <w:rsid w:val="00EF54EB"/>
    <w:rsid w:val="00EF55A9"/>
    <w:rsid w:val="00EF55AB"/>
    <w:rsid w:val="00EF5650"/>
    <w:rsid w:val="00EF5697"/>
    <w:rsid w:val="00EF583D"/>
    <w:rsid w:val="00EF58E5"/>
    <w:rsid w:val="00EF5953"/>
    <w:rsid w:val="00EF5A1A"/>
    <w:rsid w:val="00EF5BA5"/>
    <w:rsid w:val="00EF5BDD"/>
    <w:rsid w:val="00EF5ED7"/>
    <w:rsid w:val="00EF5F2E"/>
    <w:rsid w:val="00EF60AB"/>
    <w:rsid w:val="00EF619B"/>
    <w:rsid w:val="00EF6363"/>
    <w:rsid w:val="00EF642C"/>
    <w:rsid w:val="00EF6469"/>
    <w:rsid w:val="00EF655D"/>
    <w:rsid w:val="00EF6B3F"/>
    <w:rsid w:val="00EF6B49"/>
    <w:rsid w:val="00EF6D5E"/>
    <w:rsid w:val="00EF6E6C"/>
    <w:rsid w:val="00EF7057"/>
    <w:rsid w:val="00EF71C0"/>
    <w:rsid w:val="00EF72C3"/>
    <w:rsid w:val="00EF7367"/>
    <w:rsid w:val="00EF7456"/>
    <w:rsid w:val="00EF74DE"/>
    <w:rsid w:val="00EF74FA"/>
    <w:rsid w:val="00EF7501"/>
    <w:rsid w:val="00EF7704"/>
    <w:rsid w:val="00EF77AB"/>
    <w:rsid w:val="00EF7B7E"/>
    <w:rsid w:val="00EF7CA4"/>
    <w:rsid w:val="00EF7FE0"/>
    <w:rsid w:val="00F003AC"/>
    <w:rsid w:val="00F0046A"/>
    <w:rsid w:val="00F0051D"/>
    <w:rsid w:val="00F00526"/>
    <w:rsid w:val="00F00738"/>
    <w:rsid w:val="00F007EA"/>
    <w:rsid w:val="00F00C52"/>
    <w:rsid w:val="00F00CF1"/>
    <w:rsid w:val="00F00DD1"/>
    <w:rsid w:val="00F00E75"/>
    <w:rsid w:val="00F01009"/>
    <w:rsid w:val="00F0129C"/>
    <w:rsid w:val="00F01374"/>
    <w:rsid w:val="00F01402"/>
    <w:rsid w:val="00F0144D"/>
    <w:rsid w:val="00F0149E"/>
    <w:rsid w:val="00F01570"/>
    <w:rsid w:val="00F0162D"/>
    <w:rsid w:val="00F01A00"/>
    <w:rsid w:val="00F01A6E"/>
    <w:rsid w:val="00F01AEC"/>
    <w:rsid w:val="00F01C1B"/>
    <w:rsid w:val="00F01C7C"/>
    <w:rsid w:val="00F01DBC"/>
    <w:rsid w:val="00F01FF3"/>
    <w:rsid w:val="00F02001"/>
    <w:rsid w:val="00F0250B"/>
    <w:rsid w:val="00F026ED"/>
    <w:rsid w:val="00F02A6D"/>
    <w:rsid w:val="00F02A99"/>
    <w:rsid w:val="00F02CF5"/>
    <w:rsid w:val="00F02D38"/>
    <w:rsid w:val="00F02D7D"/>
    <w:rsid w:val="00F02DF4"/>
    <w:rsid w:val="00F0311E"/>
    <w:rsid w:val="00F0370F"/>
    <w:rsid w:val="00F03763"/>
    <w:rsid w:val="00F03A19"/>
    <w:rsid w:val="00F03B2A"/>
    <w:rsid w:val="00F03B9D"/>
    <w:rsid w:val="00F04179"/>
    <w:rsid w:val="00F043B4"/>
    <w:rsid w:val="00F0441C"/>
    <w:rsid w:val="00F04466"/>
    <w:rsid w:val="00F04691"/>
    <w:rsid w:val="00F046E3"/>
    <w:rsid w:val="00F0479E"/>
    <w:rsid w:val="00F047E5"/>
    <w:rsid w:val="00F04845"/>
    <w:rsid w:val="00F0486A"/>
    <w:rsid w:val="00F04B18"/>
    <w:rsid w:val="00F04B5B"/>
    <w:rsid w:val="00F04B69"/>
    <w:rsid w:val="00F04BF9"/>
    <w:rsid w:val="00F04C9B"/>
    <w:rsid w:val="00F04D79"/>
    <w:rsid w:val="00F04E00"/>
    <w:rsid w:val="00F04E15"/>
    <w:rsid w:val="00F04E6D"/>
    <w:rsid w:val="00F04EFD"/>
    <w:rsid w:val="00F0509E"/>
    <w:rsid w:val="00F053E6"/>
    <w:rsid w:val="00F0551A"/>
    <w:rsid w:val="00F0568B"/>
    <w:rsid w:val="00F056BE"/>
    <w:rsid w:val="00F056F0"/>
    <w:rsid w:val="00F057CD"/>
    <w:rsid w:val="00F059AC"/>
    <w:rsid w:val="00F059C2"/>
    <w:rsid w:val="00F05A01"/>
    <w:rsid w:val="00F05A77"/>
    <w:rsid w:val="00F05B8A"/>
    <w:rsid w:val="00F05CCD"/>
    <w:rsid w:val="00F05F60"/>
    <w:rsid w:val="00F06082"/>
    <w:rsid w:val="00F061B3"/>
    <w:rsid w:val="00F061D7"/>
    <w:rsid w:val="00F061D8"/>
    <w:rsid w:val="00F0626D"/>
    <w:rsid w:val="00F064C7"/>
    <w:rsid w:val="00F069FE"/>
    <w:rsid w:val="00F06C40"/>
    <w:rsid w:val="00F06ECC"/>
    <w:rsid w:val="00F07096"/>
    <w:rsid w:val="00F071C1"/>
    <w:rsid w:val="00F0743D"/>
    <w:rsid w:val="00F0754F"/>
    <w:rsid w:val="00F07767"/>
    <w:rsid w:val="00F0776A"/>
    <w:rsid w:val="00F077A7"/>
    <w:rsid w:val="00F07896"/>
    <w:rsid w:val="00F0793D"/>
    <w:rsid w:val="00F07996"/>
    <w:rsid w:val="00F079F2"/>
    <w:rsid w:val="00F07A50"/>
    <w:rsid w:val="00F07B30"/>
    <w:rsid w:val="00F07D6D"/>
    <w:rsid w:val="00F07EA3"/>
    <w:rsid w:val="00F07ED0"/>
    <w:rsid w:val="00F07ED7"/>
    <w:rsid w:val="00F07F0E"/>
    <w:rsid w:val="00F07F66"/>
    <w:rsid w:val="00F07FCB"/>
    <w:rsid w:val="00F10053"/>
    <w:rsid w:val="00F10056"/>
    <w:rsid w:val="00F10064"/>
    <w:rsid w:val="00F105BA"/>
    <w:rsid w:val="00F1061A"/>
    <w:rsid w:val="00F10780"/>
    <w:rsid w:val="00F10A4D"/>
    <w:rsid w:val="00F10B96"/>
    <w:rsid w:val="00F10C37"/>
    <w:rsid w:val="00F10DF9"/>
    <w:rsid w:val="00F1101B"/>
    <w:rsid w:val="00F11079"/>
    <w:rsid w:val="00F110C5"/>
    <w:rsid w:val="00F110CD"/>
    <w:rsid w:val="00F11365"/>
    <w:rsid w:val="00F11563"/>
    <w:rsid w:val="00F116A1"/>
    <w:rsid w:val="00F117A2"/>
    <w:rsid w:val="00F11B10"/>
    <w:rsid w:val="00F11B7E"/>
    <w:rsid w:val="00F12139"/>
    <w:rsid w:val="00F122E9"/>
    <w:rsid w:val="00F124A3"/>
    <w:rsid w:val="00F12561"/>
    <w:rsid w:val="00F126E7"/>
    <w:rsid w:val="00F12730"/>
    <w:rsid w:val="00F127B2"/>
    <w:rsid w:val="00F12907"/>
    <w:rsid w:val="00F12949"/>
    <w:rsid w:val="00F12973"/>
    <w:rsid w:val="00F129D3"/>
    <w:rsid w:val="00F12B42"/>
    <w:rsid w:val="00F12EB2"/>
    <w:rsid w:val="00F13013"/>
    <w:rsid w:val="00F1333C"/>
    <w:rsid w:val="00F13435"/>
    <w:rsid w:val="00F1368E"/>
    <w:rsid w:val="00F137A0"/>
    <w:rsid w:val="00F1395B"/>
    <w:rsid w:val="00F13961"/>
    <w:rsid w:val="00F1399E"/>
    <w:rsid w:val="00F13ABD"/>
    <w:rsid w:val="00F13BB7"/>
    <w:rsid w:val="00F13DCC"/>
    <w:rsid w:val="00F13EF3"/>
    <w:rsid w:val="00F142C6"/>
    <w:rsid w:val="00F143F9"/>
    <w:rsid w:val="00F1463D"/>
    <w:rsid w:val="00F146EE"/>
    <w:rsid w:val="00F147A8"/>
    <w:rsid w:val="00F14961"/>
    <w:rsid w:val="00F14DF3"/>
    <w:rsid w:val="00F14EC2"/>
    <w:rsid w:val="00F14EE6"/>
    <w:rsid w:val="00F14EEA"/>
    <w:rsid w:val="00F14F23"/>
    <w:rsid w:val="00F15280"/>
    <w:rsid w:val="00F15290"/>
    <w:rsid w:val="00F15323"/>
    <w:rsid w:val="00F15379"/>
    <w:rsid w:val="00F15409"/>
    <w:rsid w:val="00F1562D"/>
    <w:rsid w:val="00F15952"/>
    <w:rsid w:val="00F15A2B"/>
    <w:rsid w:val="00F15AAA"/>
    <w:rsid w:val="00F15D6A"/>
    <w:rsid w:val="00F15E0A"/>
    <w:rsid w:val="00F15FB8"/>
    <w:rsid w:val="00F1605B"/>
    <w:rsid w:val="00F160A6"/>
    <w:rsid w:val="00F161E7"/>
    <w:rsid w:val="00F1631F"/>
    <w:rsid w:val="00F1633B"/>
    <w:rsid w:val="00F165DA"/>
    <w:rsid w:val="00F1663A"/>
    <w:rsid w:val="00F16854"/>
    <w:rsid w:val="00F16873"/>
    <w:rsid w:val="00F16AA3"/>
    <w:rsid w:val="00F16AAC"/>
    <w:rsid w:val="00F16BA6"/>
    <w:rsid w:val="00F16D4C"/>
    <w:rsid w:val="00F16DE5"/>
    <w:rsid w:val="00F1709E"/>
    <w:rsid w:val="00F1754A"/>
    <w:rsid w:val="00F17777"/>
    <w:rsid w:val="00F178CA"/>
    <w:rsid w:val="00F1790E"/>
    <w:rsid w:val="00F17A77"/>
    <w:rsid w:val="00F17B3E"/>
    <w:rsid w:val="00F17CEE"/>
    <w:rsid w:val="00F17DE8"/>
    <w:rsid w:val="00F2015F"/>
    <w:rsid w:val="00F202B1"/>
    <w:rsid w:val="00F20333"/>
    <w:rsid w:val="00F2036F"/>
    <w:rsid w:val="00F20402"/>
    <w:rsid w:val="00F20455"/>
    <w:rsid w:val="00F20577"/>
    <w:rsid w:val="00F2075B"/>
    <w:rsid w:val="00F209D1"/>
    <w:rsid w:val="00F20C2F"/>
    <w:rsid w:val="00F20E65"/>
    <w:rsid w:val="00F20F81"/>
    <w:rsid w:val="00F21077"/>
    <w:rsid w:val="00F21096"/>
    <w:rsid w:val="00F211F0"/>
    <w:rsid w:val="00F21625"/>
    <w:rsid w:val="00F2166A"/>
    <w:rsid w:val="00F21782"/>
    <w:rsid w:val="00F218C7"/>
    <w:rsid w:val="00F21984"/>
    <w:rsid w:val="00F220ED"/>
    <w:rsid w:val="00F2214A"/>
    <w:rsid w:val="00F22195"/>
    <w:rsid w:val="00F22652"/>
    <w:rsid w:val="00F22806"/>
    <w:rsid w:val="00F22832"/>
    <w:rsid w:val="00F2290D"/>
    <w:rsid w:val="00F22A62"/>
    <w:rsid w:val="00F22B89"/>
    <w:rsid w:val="00F22E37"/>
    <w:rsid w:val="00F23154"/>
    <w:rsid w:val="00F231B6"/>
    <w:rsid w:val="00F231FD"/>
    <w:rsid w:val="00F234E8"/>
    <w:rsid w:val="00F2378B"/>
    <w:rsid w:val="00F23879"/>
    <w:rsid w:val="00F23E93"/>
    <w:rsid w:val="00F23E9E"/>
    <w:rsid w:val="00F23EF6"/>
    <w:rsid w:val="00F23F6C"/>
    <w:rsid w:val="00F24041"/>
    <w:rsid w:val="00F24070"/>
    <w:rsid w:val="00F2407D"/>
    <w:rsid w:val="00F2418C"/>
    <w:rsid w:val="00F242A1"/>
    <w:rsid w:val="00F243C5"/>
    <w:rsid w:val="00F24514"/>
    <w:rsid w:val="00F24583"/>
    <w:rsid w:val="00F24595"/>
    <w:rsid w:val="00F245CC"/>
    <w:rsid w:val="00F245D5"/>
    <w:rsid w:val="00F24686"/>
    <w:rsid w:val="00F24811"/>
    <w:rsid w:val="00F248AB"/>
    <w:rsid w:val="00F24955"/>
    <w:rsid w:val="00F24D8C"/>
    <w:rsid w:val="00F24E86"/>
    <w:rsid w:val="00F24EF1"/>
    <w:rsid w:val="00F24F55"/>
    <w:rsid w:val="00F25079"/>
    <w:rsid w:val="00F251CE"/>
    <w:rsid w:val="00F254AE"/>
    <w:rsid w:val="00F25530"/>
    <w:rsid w:val="00F25606"/>
    <w:rsid w:val="00F256E7"/>
    <w:rsid w:val="00F257F9"/>
    <w:rsid w:val="00F25969"/>
    <w:rsid w:val="00F25AB5"/>
    <w:rsid w:val="00F25B41"/>
    <w:rsid w:val="00F25E16"/>
    <w:rsid w:val="00F25F0F"/>
    <w:rsid w:val="00F2615E"/>
    <w:rsid w:val="00F2618F"/>
    <w:rsid w:val="00F2624A"/>
    <w:rsid w:val="00F266A7"/>
    <w:rsid w:val="00F268C5"/>
    <w:rsid w:val="00F26966"/>
    <w:rsid w:val="00F26B52"/>
    <w:rsid w:val="00F26BFC"/>
    <w:rsid w:val="00F26C4B"/>
    <w:rsid w:val="00F26D47"/>
    <w:rsid w:val="00F26D95"/>
    <w:rsid w:val="00F26E30"/>
    <w:rsid w:val="00F26E64"/>
    <w:rsid w:val="00F26F3C"/>
    <w:rsid w:val="00F26F7A"/>
    <w:rsid w:val="00F27053"/>
    <w:rsid w:val="00F2709A"/>
    <w:rsid w:val="00F271C7"/>
    <w:rsid w:val="00F27382"/>
    <w:rsid w:val="00F2743F"/>
    <w:rsid w:val="00F27648"/>
    <w:rsid w:val="00F2764F"/>
    <w:rsid w:val="00F2794A"/>
    <w:rsid w:val="00F27C9B"/>
    <w:rsid w:val="00F27DAF"/>
    <w:rsid w:val="00F27FCE"/>
    <w:rsid w:val="00F302A2"/>
    <w:rsid w:val="00F302E6"/>
    <w:rsid w:val="00F303ED"/>
    <w:rsid w:val="00F30848"/>
    <w:rsid w:val="00F3094B"/>
    <w:rsid w:val="00F30BE0"/>
    <w:rsid w:val="00F30D24"/>
    <w:rsid w:val="00F30FFF"/>
    <w:rsid w:val="00F31090"/>
    <w:rsid w:val="00F310B9"/>
    <w:rsid w:val="00F311D8"/>
    <w:rsid w:val="00F315F2"/>
    <w:rsid w:val="00F31653"/>
    <w:rsid w:val="00F31840"/>
    <w:rsid w:val="00F31C7A"/>
    <w:rsid w:val="00F32036"/>
    <w:rsid w:val="00F321C5"/>
    <w:rsid w:val="00F3234D"/>
    <w:rsid w:val="00F325A7"/>
    <w:rsid w:val="00F325BF"/>
    <w:rsid w:val="00F3263A"/>
    <w:rsid w:val="00F32726"/>
    <w:rsid w:val="00F32735"/>
    <w:rsid w:val="00F32746"/>
    <w:rsid w:val="00F329CF"/>
    <w:rsid w:val="00F32A48"/>
    <w:rsid w:val="00F32AD2"/>
    <w:rsid w:val="00F32DF6"/>
    <w:rsid w:val="00F32EF5"/>
    <w:rsid w:val="00F33161"/>
    <w:rsid w:val="00F33182"/>
    <w:rsid w:val="00F3338E"/>
    <w:rsid w:val="00F334B3"/>
    <w:rsid w:val="00F33702"/>
    <w:rsid w:val="00F33826"/>
    <w:rsid w:val="00F3384F"/>
    <w:rsid w:val="00F33A59"/>
    <w:rsid w:val="00F33C0B"/>
    <w:rsid w:val="00F33C15"/>
    <w:rsid w:val="00F33EC0"/>
    <w:rsid w:val="00F340AE"/>
    <w:rsid w:val="00F340FE"/>
    <w:rsid w:val="00F342DF"/>
    <w:rsid w:val="00F3435F"/>
    <w:rsid w:val="00F3451F"/>
    <w:rsid w:val="00F3454C"/>
    <w:rsid w:val="00F34579"/>
    <w:rsid w:val="00F3459A"/>
    <w:rsid w:val="00F34673"/>
    <w:rsid w:val="00F34687"/>
    <w:rsid w:val="00F34724"/>
    <w:rsid w:val="00F34761"/>
    <w:rsid w:val="00F34807"/>
    <w:rsid w:val="00F349CD"/>
    <w:rsid w:val="00F34AB2"/>
    <w:rsid w:val="00F34B12"/>
    <w:rsid w:val="00F34B15"/>
    <w:rsid w:val="00F34C9F"/>
    <w:rsid w:val="00F34D14"/>
    <w:rsid w:val="00F34FAC"/>
    <w:rsid w:val="00F34FF7"/>
    <w:rsid w:val="00F350D6"/>
    <w:rsid w:val="00F3524F"/>
    <w:rsid w:val="00F35600"/>
    <w:rsid w:val="00F35616"/>
    <w:rsid w:val="00F35739"/>
    <w:rsid w:val="00F35749"/>
    <w:rsid w:val="00F35BE7"/>
    <w:rsid w:val="00F35C0A"/>
    <w:rsid w:val="00F35C5D"/>
    <w:rsid w:val="00F35D75"/>
    <w:rsid w:val="00F35E71"/>
    <w:rsid w:val="00F3613A"/>
    <w:rsid w:val="00F36233"/>
    <w:rsid w:val="00F362DE"/>
    <w:rsid w:val="00F362DF"/>
    <w:rsid w:val="00F364D9"/>
    <w:rsid w:val="00F364FE"/>
    <w:rsid w:val="00F3670C"/>
    <w:rsid w:val="00F367A6"/>
    <w:rsid w:val="00F367D2"/>
    <w:rsid w:val="00F367E8"/>
    <w:rsid w:val="00F36ADD"/>
    <w:rsid w:val="00F36C49"/>
    <w:rsid w:val="00F36CD8"/>
    <w:rsid w:val="00F36CE8"/>
    <w:rsid w:val="00F36DEF"/>
    <w:rsid w:val="00F36F69"/>
    <w:rsid w:val="00F37040"/>
    <w:rsid w:val="00F37117"/>
    <w:rsid w:val="00F37146"/>
    <w:rsid w:val="00F37547"/>
    <w:rsid w:val="00F378C2"/>
    <w:rsid w:val="00F37A40"/>
    <w:rsid w:val="00F37B74"/>
    <w:rsid w:val="00F37D45"/>
    <w:rsid w:val="00F37F19"/>
    <w:rsid w:val="00F37F7F"/>
    <w:rsid w:val="00F37FF0"/>
    <w:rsid w:val="00F4003A"/>
    <w:rsid w:val="00F40170"/>
    <w:rsid w:val="00F40242"/>
    <w:rsid w:val="00F405AC"/>
    <w:rsid w:val="00F405DB"/>
    <w:rsid w:val="00F405E5"/>
    <w:rsid w:val="00F40728"/>
    <w:rsid w:val="00F40807"/>
    <w:rsid w:val="00F4080D"/>
    <w:rsid w:val="00F4097D"/>
    <w:rsid w:val="00F40A89"/>
    <w:rsid w:val="00F40B1E"/>
    <w:rsid w:val="00F40B4F"/>
    <w:rsid w:val="00F40CFC"/>
    <w:rsid w:val="00F40D80"/>
    <w:rsid w:val="00F40E1D"/>
    <w:rsid w:val="00F40E34"/>
    <w:rsid w:val="00F41115"/>
    <w:rsid w:val="00F411E2"/>
    <w:rsid w:val="00F41394"/>
    <w:rsid w:val="00F4142E"/>
    <w:rsid w:val="00F41673"/>
    <w:rsid w:val="00F416CB"/>
    <w:rsid w:val="00F41A33"/>
    <w:rsid w:val="00F41A3C"/>
    <w:rsid w:val="00F41AB3"/>
    <w:rsid w:val="00F41BE5"/>
    <w:rsid w:val="00F41E0E"/>
    <w:rsid w:val="00F41E8F"/>
    <w:rsid w:val="00F41EFB"/>
    <w:rsid w:val="00F420C2"/>
    <w:rsid w:val="00F421A2"/>
    <w:rsid w:val="00F4236D"/>
    <w:rsid w:val="00F424B0"/>
    <w:rsid w:val="00F4257F"/>
    <w:rsid w:val="00F42608"/>
    <w:rsid w:val="00F4261D"/>
    <w:rsid w:val="00F42664"/>
    <w:rsid w:val="00F4269C"/>
    <w:rsid w:val="00F428D9"/>
    <w:rsid w:val="00F4296B"/>
    <w:rsid w:val="00F42B22"/>
    <w:rsid w:val="00F42B47"/>
    <w:rsid w:val="00F42C10"/>
    <w:rsid w:val="00F42DC0"/>
    <w:rsid w:val="00F42E3A"/>
    <w:rsid w:val="00F42F19"/>
    <w:rsid w:val="00F43008"/>
    <w:rsid w:val="00F43072"/>
    <w:rsid w:val="00F43163"/>
    <w:rsid w:val="00F4317D"/>
    <w:rsid w:val="00F431B1"/>
    <w:rsid w:val="00F4322F"/>
    <w:rsid w:val="00F4336A"/>
    <w:rsid w:val="00F43383"/>
    <w:rsid w:val="00F4339F"/>
    <w:rsid w:val="00F4372A"/>
    <w:rsid w:val="00F43928"/>
    <w:rsid w:val="00F43A19"/>
    <w:rsid w:val="00F43A47"/>
    <w:rsid w:val="00F43AC8"/>
    <w:rsid w:val="00F43C34"/>
    <w:rsid w:val="00F43C36"/>
    <w:rsid w:val="00F43C74"/>
    <w:rsid w:val="00F43C93"/>
    <w:rsid w:val="00F43EC1"/>
    <w:rsid w:val="00F4400D"/>
    <w:rsid w:val="00F440CC"/>
    <w:rsid w:val="00F44377"/>
    <w:rsid w:val="00F44405"/>
    <w:rsid w:val="00F446BB"/>
    <w:rsid w:val="00F44BBF"/>
    <w:rsid w:val="00F44ECD"/>
    <w:rsid w:val="00F450D4"/>
    <w:rsid w:val="00F45118"/>
    <w:rsid w:val="00F45472"/>
    <w:rsid w:val="00F4584D"/>
    <w:rsid w:val="00F4596C"/>
    <w:rsid w:val="00F45AB9"/>
    <w:rsid w:val="00F45AFD"/>
    <w:rsid w:val="00F45B31"/>
    <w:rsid w:val="00F45D7D"/>
    <w:rsid w:val="00F45ECA"/>
    <w:rsid w:val="00F45EF1"/>
    <w:rsid w:val="00F45FE2"/>
    <w:rsid w:val="00F46122"/>
    <w:rsid w:val="00F461D2"/>
    <w:rsid w:val="00F4639E"/>
    <w:rsid w:val="00F465E9"/>
    <w:rsid w:val="00F46602"/>
    <w:rsid w:val="00F466DF"/>
    <w:rsid w:val="00F466EF"/>
    <w:rsid w:val="00F46728"/>
    <w:rsid w:val="00F46943"/>
    <w:rsid w:val="00F46994"/>
    <w:rsid w:val="00F46ACE"/>
    <w:rsid w:val="00F46CA1"/>
    <w:rsid w:val="00F46D6E"/>
    <w:rsid w:val="00F46D98"/>
    <w:rsid w:val="00F46F33"/>
    <w:rsid w:val="00F46FC1"/>
    <w:rsid w:val="00F46FCA"/>
    <w:rsid w:val="00F47016"/>
    <w:rsid w:val="00F4704B"/>
    <w:rsid w:val="00F4708E"/>
    <w:rsid w:val="00F47158"/>
    <w:rsid w:val="00F471EF"/>
    <w:rsid w:val="00F47292"/>
    <w:rsid w:val="00F47345"/>
    <w:rsid w:val="00F4736C"/>
    <w:rsid w:val="00F47696"/>
    <w:rsid w:val="00F47774"/>
    <w:rsid w:val="00F477B8"/>
    <w:rsid w:val="00F478BA"/>
    <w:rsid w:val="00F47915"/>
    <w:rsid w:val="00F47B8D"/>
    <w:rsid w:val="00F47E4A"/>
    <w:rsid w:val="00F5010F"/>
    <w:rsid w:val="00F50411"/>
    <w:rsid w:val="00F50500"/>
    <w:rsid w:val="00F507AE"/>
    <w:rsid w:val="00F507F1"/>
    <w:rsid w:val="00F50858"/>
    <w:rsid w:val="00F50A5A"/>
    <w:rsid w:val="00F50C3C"/>
    <w:rsid w:val="00F50E03"/>
    <w:rsid w:val="00F51241"/>
    <w:rsid w:val="00F51286"/>
    <w:rsid w:val="00F51295"/>
    <w:rsid w:val="00F5142A"/>
    <w:rsid w:val="00F514EC"/>
    <w:rsid w:val="00F5165C"/>
    <w:rsid w:val="00F516D4"/>
    <w:rsid w:val="00F51A49"/>
    <w:rsid w:val="00F51BE0"/>
    <w:rsid w:val="00F51C94"/>
    <w:rsid w:val="00F51DA2"/>
    <w:rsid w:val="00F51DC4"/>
    <w:rsid w:val="00F51DF1"/>
    <w:rsid w:val="00F51E7A"/>
    <w:rsid w:val="00F52033"/>
    <w:rsid w:val="00F52259"/>
    <w:rsid w:val="00F52328"/>
    <w:rsid w:val="00F5238A"/>
    <w:rsid w:val="00F524F0"/>
    <w:rsid w:val="00F5258A"/>
    <w:rsid w:val="00F5294F"/>
    <w:rsid w:val="00F52AF8"/>
    <w:rsid w:val="00F52B07"/>
    <w:rsid w:val="00F52C7D"/>
    <w:rsid w:val="00F52FA5"/>
    <w:rsid w:val="00F530C7"/>
    <w:rsid w:val="00F53213"/>
    <w:rsid w:val="00F5325F"/>
    <w:rsid w:val="00F53480"/>
    <w:rsid w:val="00F534BA"/>
    <w:rsid w:val="00F535A5"/>
    <w:rsid w:val="00F53888"/>
    <w:rsid w:val="00F5391C"/>
    <w:rsid w:val="00F53A6A"/>
    <w:rsid w:val="00F53E3D"/>
    <w:rsid w:val="00F53E75"/>
    <w:rsid w:val="00F53FAB"/>
    <w:rsid w:val="00F53FF6"/>
    <w:rsid w:val="00F5400E"/>
    <w:rsid w:val="00F54079"/>
    <w:rsid w:val="00F54564"/>
    <w:rsid w:val="00F5456B"/>
    <w:rsid w:val="00F5456F"/>
    <w:rsid w:val="00F54586"/>
    <w:rsid w:val="00F54614"/>
    <w:rsid w:val="00F546A8"/>
    <w:rsid w:val="00F546F5"/>
    <w:rsid w:val="00F54B91"/>
    <w:rsid w:val="00F54B93"/>
    <w:rsid w:val="00F54BC3"/>
    <w:rsid w:val="00F54BCB"/>
    <w:rsid w:val="00F54CE4"/>
    <w:rsid w:val="00F54E35"/>
    <w:rsid w:val="00F54F37"/>
    <w:rsid w:val="00F55048"/>
    <w:rsid w:val="00F555E3"/>
    <w:rsid w:val="00F55732"/>
    <w:rsid w:val="00F5577A"/>
    <w:rsid w:val="00F55815"/>
    <w:rsid w:val="00F55868"/>
    <w:rsid w:val="00F55A7E"/>
    <w:rsid w:val="00F55A81"/>
    <w:rsid w:val="00F55BD0"/>
    <w:rsid w:val="00F5605F"/>
    <w:rsid w:val="00F560A9"/>
    <w:rsid w:val="00F5617A"/>
    <w:rsid w:val="00F56228"/>
    <w:rsid w:val="00F56298"/>
    <w:rsid w:val="00F562C3"/>
    <w:rsid w:val="00F562FC"/>
    <w:rsid w:val="00F564FF"/>
    <w:rsid w:val="00F56948"/>
    <w:rsid w:val="00F569A4"/>
    <w:rsid w:val="00F569E7"/>
    <w:rsid w:val="00F56A2A"/>
    <w:rsid w:val="00F56B2D"/>
    <w:rsid w:val="00F56B32"/>
    <w:rsid w:val="00F56B5F"/>
    <w:rsid w:val="00F56B7C"/>
    <w:rsid w:val="00F56CA5"/>
    <w:rsid w:val="00F56D3D"/>
    <w:rsid w:val="00F5706A"/>
    <w:rsid w:val="00F570DB"/>
    <w:rsid w:val="00F57179"/>
    <w:rsid w:val="00F571DA"/>
    <w:rsid w:val="00F5759A"/>
    <w:rsid w:val="00F577B6"/>
    <w:rsid w:val="00F5791D"/>
    <w:rsid w:val="00F579C6"/>
    <w:rsid w:val="00F57CBB"/>
    <w:rsid w:val="00F57E8A"/>
    <w:rsid w:val="00F57FDC"/>
    <w:rsid w:val="00F60239"/>
    <w:rsid w:val="00F6046D"/>
    <w:rsid w:val="00F604E5"/>
    <w:rsid w:val="00F60626"/>
    <w:rsid w:val="00F607C5"/>
    <w:rsid w:val="00F60ADE"/>
    <w:rsid w:val="00F60C37"/>
    <w:rsid w:val="00F60C82"/>
    <w:rsid w:val="00F60EA1"/>
    <w:rsid w:val="00F61072"/>
    <w:rsid w:val="00F610CB"/>
    <w:rsid w:val="00F611E1"/>
    <w:rsid w:val="00F6137D"/>
    <w:rsid w:val="00F613D2"/>
    <w:rsid w:val="00F6155E"/>
    <w:rsid w:val="00F61695"/>
    <w:rsid w:val="00F616EF"/>
    <w:rsid w:val="00F6179D"/>
    <w:rsid w:val="00F617D3"/>
    <w:rsid w:val="00F6185E"/>
    <w:rsid w:val="00F61D07"/>
    <w:rsid w:val="00F61E43"/>
    <w:rsid w:val="00F61ED5"/>
    <w:rsid w:val="00F61F28"/>
    <w:rsid w:val="00F62289"/>
    <w:rsid w:val="00F62336"/>
    <w:rsid w:val="00F62485"/>
    <w:rsid w:val="00F6256F"/>
    <w:rsid w:val="00F6269F"/>
    <w:rsid w:val="00F627AC"/>
    <w:rsid w:val="00F62800"/>
    <w:rsid w:val="00F62A3B"/>
    <w:rsid w:val="00F62B27"/>
    <w:rsid w:val="00F62B5F"/>
    <w:rsid w:val="00F62BFC"/>
    <w:rsid w:val="00F62C6F"/>
    <w:rsid w:val="00F62CD1"/>
    <w:rsid w:val="00F62D95"/>
    <w:rsid w:val="00F634CB"/>
    <w:rsid w:val="00F635E5"/>
    <w:rsid w:val="00F638DB"/>
    <w:rsid w:val="00F63A8C"/>
    <w:rsid w:val="00F63AB6"/>
    <w:rsid w:val="00F63B5B"/>
    <w:rsid w:val="00F63D78"/>
    <w:rsid w:val="00F63EC5"/>
    <w:rsid w:val="00F64011"/>
    <w:rsid w:val="00F641D5"/>
    <w:rsid w:val="00F643B7"/>
    <w:rsid w:val="00F648C3"/>
    <w:rsid w:val="00F648D6"/>
    <w:rsid w:val="00F64D89"/>
    <w:rsid w:val="00F64DE4"/>
    <w:rsid w:val="00F64E4F"/>
    <w:rsid w:val="00F651E6"/>
    <w:rsid w:val="00F6530B"/>
    <w:rsid w:val="00F65327"/>
    <w:rsid w:val="00F656F9"/>
    <w:rsid w:val="00F65892"/>
    <w:rsid w:val="00F65A08"/>
    <w:rsid w:val="00F65A1D"/>
    <w:rsid w:val="00F65A90"/>
    <w:rsid w:val="00F65ACE"/>
    <w:rsid w:val="00F65B85"/>
    <w:rsid w:val="00F65C78"/>
    <w:rsid w:val="00F65CD4"/>
    <w:rsid w:val="00F65D01"/>
    <w:rsid w:val="00F66216"/>
    <w:rsid w:val="00F6626C"/>
    <w:rsid w:val="00F66347"/>
    <w:rsid w:val="00F6656A"/>
    <w:rsid w:val="00F668E2"/>
    <w:rsid w:val="00F668F5"/>
    <w:rsid w:val="00F66BC0"/>
    <w:rsid w:val="00F66E5E"/>
    <w:rsid w:val="00F66E6A"/>
    <w:rsid w:val="00F67028"/>
    <w:rsid w:val="00F6712F"/>
    <w:rsid w:val="00F67138"/>
    <w:rsid w:val="00F671F0"/>
    <w:rsid w:val="00F6748E"/>
    <w:rsid w:val="00F6751F"/>
    <w:rsid w:val="00F67526"/>
    <w:rsid w:val="00F67779"/>
    <w:rsid w:val="00F67879"/>
    <w:rsid w:val="00F6789B"/>
    <w:rsid w:val="00F67B5A"/>
    <w:rsid w:val="00F67CFA"/>
    <w:rsid w:val="00F67F7A"/>
    <w:rsid w:val="00F67FFD"/>
    <w:rsid w:val="00F7001D"/>
    <w:rsid w:val="00F7004E"/>
    <w:rsid w:val="00F7006B"/>
    <w:rsid w:val="00F700AB"/>
    <w:rsid w:val="00F700C1"/>
    <w:rsid w:val="00F701F8"/>
    <w:rsid w:val="00F70403"/>
    <w:rsid w:val="00F704B8"/>
    <w:rsid w:val="00F70529"/>
    <w:rsid w:val="00F70897"/>
    <w:rsid w:val="00F708CC"/>
    <w:rsid w:val="00F70937"/>
    <w:rsid w:val="00F70A25"/>
    <w:rsid w:val="00F70B66"/>
    <w:rsid w:val="00F70DDD"/>
    <w:rsid w:val="00F70E1B"/>
    <w:rsid w:val="00F70E30"/>
    <w:rsid w:val="00F70ED4"/>
    <w:rsid w:val="00F70FBF"/>
    <w:rsid w:val="00F71045"/>
    <w:rsid w:val="00F71390"/>
    <w:rsid w:val="00F71674"/>
    <w:rsid w:val="00F7181A"/>
    <w:rsid w:val="00F7183F"/>
    <w:rsid w:val="00F719A1"/>
    <w:rsid w:val="00F71AB7"/>
    <w:rsid w:val="00F71BC8"/>
    <w:rsid w:val="00F71CFD"/>
    <w:rsid w:val="00F71E2C"/>
    <w:rsid w:val="00F71E8E"/>
    <w:rsid w:val="00F71FB5"/>
    <w:rsid w:val="00F71FD3"/>
    <w:rsid w:val="00F7216B"/>
    <w:rsid w:val="00F72220"/>
    <w:rsid w:val="00F72362"/>
    <w:rsid w:val="00F723C2"/>
    <w:rsid w:val="00F724B0"/>
    <w:rsid w:val="00F7269E"/>
    <w:rsid w:val="00F729A6"/>
    <w:rsid w:val="00F72BB2"/>
    <w:rsid w:val="00F72EB5"/>
    <w:rsid w:val="00F72F5C"/>
    <w:rsid w:val="00F7323C"/>
    <w:rsid w:val="00F732FF"/>
    <w:rsid w:val="00F7357C"/>
    <w:rsid w:val="00F73668"/>
    <w:rsid w:val="00F73941"/>
    <w:rsid w:val="00F73A68"/>
    <w:rsid w:val="00F73B7F"/>
    <w:rsid w:val="00F73DB4"/>
    <w:rsid w:val="00F74011"/>
    <w:rsid w:val="00F74068"/>
    <w:rsid w:val="00F741EA"/>
    <w:rsid w:val="00F742C8"/>
    <w:rsid w:val="00F744F7"/>
    <w:rsid w:val="00F745DE"/>
    <w:rsid w:val="00F74687"/>
    <w:rsid w:val="00F746A2"/>
    <w:rsid w:val="00F7470D"/>
    <w:rsid w:val="00F74BCC"/>
    <w:rsid w:val="00F74CD5"/>
    <w:rsid w:val="00F74CED"/>
    <w:rsid w:val="00F74E2F"/>
    <w:rsid w:val="00F74E76"/>
    <w:rsid w:val="00F75019"/>
    <w:rsid w:val="00F753EB"/>
    <w:rsid w:val="00F753FC"/>
    <w:rsid w:val="00F754BD"/>
    <w:rsid w:val="00F75732"/>
    <w:rsid w:val="00F7589A"/>
    <w:rsid w:val="00F75BFB"/>
    <w:rsid w:val="00F760F2"/>
    <w:rsid w:val="00F7622B"/>
    <w:rsid w:val="00F7675C"/>
    <w:rsid w:val="00F7680E"/>
    <w:rsid w:val="00F76982"/>
    <w:rsid w:val="00F76B94"/>
    <w:rsid w:val="00F76BF1"/>
    <w:rsid w:val="00F76C02"/>
    <w:rsid w:val="00F774D2"/>
    <w:rsid w:val="00F7756E"/>
    <w:rsid w:val="00F7779C"/>
    <w:rsid w:val="00F777E4"/>
    <w:rsid w:val="00F77D16"/>
    <w:rsid w:val="00F77FC8"/>
    <w:rsid w:val="00F80192"/>
    <w:rsid w:val="00F8022D"/>
    <w:rsid w:val="00F80488"/>
    <w:rsid w:val="00F806E6"/>
    <w:rsid w:val="00F809F8"/>
    <w:rsid w:val="00F80A1B"/>
    <w:rsid w:val="00F80B8F"/>
    <w:rsid w:val="00F80BAE"/>
    <w:rsid w:val="00F80C83"/>
    <w:rsid w:val="00F80C85"/>
    <w:rsid w:val="00F80CE6"/>
    <w:rsid w:val="00F80D13"/>
    <w:rsid w:val="00F80E8D"/>
    <w:rsid w:val="00F80F33"/>
    <w:rsid w:val="00F8125C"/>
    <w:rsid w:val="00F81416"/>
    <w:rsid w:val="00F81539"/>
    <w:rsid w:val="00F816D5"/>
    <w:rsid w:val="00F818DE"/>
    <w:rsid w:val="00F81A18"/>
    <w:rsid w:val="00F81C4F"/>
    <w:rsid w:val="00F82148"/>
    <w:rsid w:val="00F824EB"/>
    <w:rsid w:val="00F82692"/>
    <w:rsid w:val="00F8283A"/>
    <w:rsid w:val="00F8286E"/>
    <w:rsid w:val="00F82934"/>
    <w:rsid w:val="00F82AAE"/>
    <w:rsid w:val="00F82B0C"/>
    <w:rsid w:val="00F82DEE"/>
    <w:rsid w:val="00F82E95"/>
    <w:rsid w:val="00F83020"/>
    <w:rsid w:val="00F83103"/>
    <w:rsid w:val="00F8316B"/>
    <w:rsid w:val="00F831D9"/>
    <w:rsid w:val="00F8326F"/>
    <w:rsid w:val="00F83279"/>
    <w:rsid w:val="00F83309"/>
    <w:rsid w:val="00F8346A"/>
    <w:rsid w:val="00F8361A"/>
    <w:rsid w:val="00F83628"/>
    <w:rsid w:val="00F837D2"/>
    <w:rsid w:val="00F838C8"/>
    <w:rsid w:val="00F83BEC"/>
    <w:rsid w:val="00F83D26"/>
    <w:rsid w:val="00F83E9D"/>
    <w:rsid w:val="00F83F09"/>
    <w:rsid w:val="00F83F2E"/>
    <w:rsid w:val="00F8431F"/>
    <w:rsid w:val="00F844EF"/>
    <w:rsid w:val="00F8463F"/>
    <w:rsid w:val="00F84788"/>
    <w:rsid w:val="00F849E6"/>
    <w:rsid w:val="00F84AD2"/>
    <w:rsid w:val="00F84CF0"/>
    <w:rsid w:val="00F84D22"/>
    <w:rsid w:val="00F84D6D"/>
    <w:rsid w:val="00F84DBB"/>
    <w:rsid w:val="00F84ED6"/>
    <w:rsid w:val="00F84F40"/>
    <w:rsid w:val="00F84FCA"/>
    <w:rsid w:val="00F85019"/>
    <w:rsid w:val="00F850D7"/>
    <w:rsid w:val="00F851C7"/>
    <w:rsid w:val="00F85315"/>
    <w:rsid w:val="00F85393"/>
    <w:rsid w:val="00F853D5"/>
    <w:rsid w:val="00F85739"/>
    <w:rsid w:val="00F857F1"/>
    <w:rsid w:val="00F8581A"/>
    <w:rsid w:val="00F85AD1"/>
    <w:rsid w:val="00F85AFA"/>
    <w:rsid w:val="00F85B84"/>
    <w:rsid w:val="00F85C07"/>
    <w:rsid w:val="00F85D99"/>
    <w:rsid w:val="00F85F17"/>
    <w:rsid w:val="00F85F3B"/>
    <w:rsid w:val="00F85FB5"/>
    <w:rsid w:val="00F8604A"/>
    <w:rsid w:val="00F862F6"/>
    <w:rsid w:val="00F86573"/>
    <w:rsid w:val="00F86621"/>
    <w:rsid w:val="00F866D1"/>
    <w:rsid w:val="00F866F4"/>
    <w:rsid w:val="00F867D6"/>
    <w:rsid w:val="00F869AC"/>
    <w:rsid w:val="00F86C8F"/>
    <w:rsid w:val="00F86E23"/>
    <w:rsid w:val="00F87100"/>
    <w:rsid w:val="00F875CE"/>
    <w:rsid w:val="00F8766C"/>
    <w:rsid w:val="00F876FB"/>
    <w:rsid w:val="00F877CB"/>
    <w:rsid w:val="00F87939"/>
    <w:rsid w:val="00F87A8F"/>
    <w:rsid w:val="00F87B08"/>
    <w:rsid w:val="00F87C30"/>
    <w:rsid w:val="00F87CEF"/>
    <w:rsid w:val="00F87F2E"/>
    <w:rsid w:val="00F900AF"/>
    <w:rsid w:val="00F902C1"/>
    <w:rsid w:val="00F903EF"/>
    <w:rsid w:val="00F90443"/>
    <w:rsid w:val="00F9044E"/>
    <w:rsid w:val="00F905B0"/>
    <w:rsid w:val="00F9061C"/>
    <w:rsid w:val="00F90767"/>
    <w:rsid w:val="00F90B99"/>
    <w:rsid w:val="00F90FF9"/>
    <w:rsid w:val="00F91073"/>
    <w:rsid w:val="00F913FC"/>
    <w:rsid w:val="00F91577"/>
    <w:rsid w:val="00F9159F"/>
    <w:rsid w:val="00F91627"/>
    <w:rsid w:val="00F9168D"/>
    <w:rsid w:val="00F916D6"/>
    <w:rsid w:val="00F9180E"/>
    <w:rsid w:val="00F9197C"/>
    <w:rsid w:val="00F91A8D"/>
    <w:rsid w:val="00F91ACE"/>
    <w:rsid w:val="00F91D23"/>
    <w:rsid w:val="00F920C4"/>
    <w:rsid w:val="00F923D3"/>
    <w:rsid w:val="00F92B24"/>
    <w:rsid w:val="00F92F79"/>
    <w:rsid w:val="00F930D4"/>
    <w:rsid w:val="00F931D7"/>
    <w:rsid w:val="00F93252"/>
    <w:rsid w:val="00F932BD"/>
    <w:rsid w:val="00F93518"/>
    <w:rsid w:val="00F9359B"/>
    <w:rsid w:val="00F93938"/>
    <w:rsid w:val="00F93C34"/>
    <w:rsid w:val="00F93C8B"/>
    <w:rsid w:val="00F93D5F"/>
    <w:rsid w:val="00F9401D"/>
    <w:rsid w:val="00F9419C"/>
    <w:rsid w:val="00F941E4"/>
    <w:rsid w:val="00F94271"/>
    <w:rsid w:val="00F9456B"/>
    <w:rsid w:val="00F94659"/>
    <w:rsid w:val="00F94A09"/>
    <w:rsid w:val="00F94A3C"/>
    <w:rsid w:val="00F94D74"/>
    <w:rsid w:val="00F94E2D"/>
    <w:rsid w:val="00F94E8D"/>
    <w:rsid w:val="00F94ED9"/>
    <w:rsid w:val="00F94FB7"/>
    <w:rsid w:val="00F95100"/>
    <w:rsid w:val="00F9525F"/>
    <w:rsid w:val="00F95325"/>
    <w:rsid w:val="00F9541D"/>
    <w:rsid w:val="00F959C7"/>
    <w:rsid w:val="00F95F86"/>
    <w:rsid w:val="00F96438"/>
    <w:rsid w:val="00F9658E"/>
    <w:rsid w:val="00F966D1"/>
    <w:rsid w:val="00F96824"/>
    <w:rsid w:val="00F96A61"/>
    <w:rsid w:val="00F96A88"/>
    <w:rsid w:val="00F96AD6"/>
    <w:rsid w:val="00F96E18"/>
    <w:rsid w:val="00F96E81"/>
    <w:rsid w:val="00F96EBF"/>
    <w:rsid w:val="00F96F84"/>
    <w:rsid w:val="00F97043"/>
    <w:rsid w:val="00F9705C"/>
    <w:rsid w:val="00F974DA"/>
    <w:rsid w:val="00F975FC"/>
    <w:rsid w:val="00F97654"/>
    <w:rsid w:val="00F97696"/>
    <w:rsid w:val="00F97710"/>
    <w:rsid w:val="00F97788"/>
    <w:rsid w:val="00F977B8"/>
    <w:rsid w:val="00F97BCB"/>
    <w:rsid w:val="00F97DF6"/>
    <w:rsid w:val="00FA009F"/>
    <w:rsid w:val="00FA010A"/>
    <w:rsid w:val="00FA027E"/>
    <w:rsid w:val="00FA04F6"/>
    <w:rsid w:val="00FA0806"/>
    <w:rsid w:val="00FA08C1"/>
    <w:rsid w:val="00FA09FA"/>
    <w:rsid w:val="00FA0A7A"/>
    <w:rsid w:val="00FA0B3A"/>
    <w:rsid w:val="00FA0D4F"/>
    <w:rsid w:val="00FA10EB"/>
    <w:rsid w:val="00FA11A8"/>
    <w:rsid w:val="00FA1279"/>
    <w:rsid w:val="00FA1664"/>
    <w:rsid w:val="00FA16B1"/>
    <w:rsid w:val="00FA16F9"/>
    <w:rsid w:val="00FA182A"/>
    <w:rsid w:val="00FA1A6B"/>
    <w:rsid w:val="00FA1B3E"/>
    <w:rsid w:val="00FA1BC7"/>
    <w:rsid w:val="00FA1EE6"/>
    <w:rsid w:val="00FA1F5C"/>
    <w:rsid w:val="00FA1F89"/>
    <w:rsid w:val="00FA2474"/>
    <w:rsid w:val="00FA24F4"/>
    <w:rsid w:val="00FA2690"/>
    <w:rsid w:val="00FA2857"/>
    <w:rsid w:val="00FA28B7"/>
    <w:rsid w:val="00FA2A74"/>
    <w:rsid w:val="00FA2B3C"/>
    <w:rsid w:val="00FA2B84"/>
    <w:rsid w:val="00FA2BE9"/>
    <w:rsid w:val="00FA2C93"/>
    <w:rsid w:val="00FA2D32"/>
    <w:rsid w:val="00FA2D95"/>
    <w:rsid w:val="00FA2EA4"/>
    <w:rsid w:val="00FA2EF1"/>
    <w:rsid w:val="00FA2F30"/>
    <w:rsid w:val="00FA2F9A"/>
    <w:rsid w:val="00FA3139"/>
    <w:rsid w:val="00FA3182"/>
    <w:rsid w:val="00FA32FE"/>
    <w:rsid w:val="00FA3443"/>
    <w:rsid w:val="00FA349E"/>
    <w:rsid w:val="00FA3657"/>
    <w:rsid w:val="00FA3B9B"/>
    <w:rsid w:val="00FA3CB8"/>
    <w:rsid w:val="00FA3CC4"/>
    <w:rsid w:val="00FA3E3C"/>
    <w:rsid w:val="00FA405F"/>
    <w:rsid w:val="00FA411D"/>
    <w:rsid w:val="00FA4325"/>
    <w:rsid w:val="00FA438D"/>
    <w:rsid w:val="00FA4568"/>
    <w:rsid w:val="00FA4630"/>
    <w:rsid w:val="00FA47EE"/>
    <w:rsid w:val="00FA4832"/>
    <w:rsid w:val="00FA48BD"/>
    <w:rsid w:val="00FA49CF"/>
    <w:rsid w:val="00FA4B24"/>
    <w:rsid w:val="00FA4B92"/>
    <w:rsid w:val="00FA4C2F"/>
    <w:rsid w:val="00FA4E5B"/>
    <w:rsid w:val="00FA4ECB"/>
    <w:rsid w:val="00FA5210"/>
    <w:rsid w:val="00FA527F"/>
    <w:rsid w:val="00FA53ED"/>
    <w:rsid w:val="00FA5508"/>
    <w:rsid w:val="00FA563D"/>
    <w:rsid w:val="00FA56DA"/>
    <w:rsid w:val="00FA57FE"/>
    <w:rsid w:val="00FA5C8D"/>
    <w:rsid w:val="00FA5E1C"/>
    <w:rsid w:val="00FA5E35"/>
    <w:rsid w:val="00FA63BC"/>
    <w:rsid w:val="00FA647A"/>
    <w:rsid w:val="00FA661C"/>
    <w:rsid w:val="00FA6844"/>
    <w:rsid w:val="00FA6AD6"/>
    <w:rsid w:val="00FA6B05"/>
    <w:rsid w:val="00FA6B0B"/>
    <w:rsid w:val="00FA6BAA"/>
    <w:rsid w:val="00FA7067"/>
    <w:rsid w:val="00FA70A5"/>
    <w:rsid w:val="00FA71B1"/>
    <w:rsid w:val="00FA72C4"/>
    <w:rsid w:val="00FA730D"/>
    <w:rsid w:val="00FA7515"/>
    <w:rsid w:val="00FA7542"/>
    <w:rsid w:val="00FA7700"/>
    <w:rsid w:val="00FA7766"/>
    <w:rsid w:val="00FA79E7"/>
    <w:rsid w:val="00FA7C5D"/>
    <w:rsid w:val="00FA7D31"/>
    <w:rsid w:val="00FA7DB5"/>
    <w:rsid w:val="00FA7E25"/>
    <w:rsid w:val="00FA7E78"/>
    <w:rsid w:val="00FA7EB9"/>
    <w:rsid w:val="00FA7F50"/>
    <w:rsid w:val="00FA7FE0"/>
    <w:rsid w:val="00FB0086"/>
    <w:rsid w:val="00FB00E8"/>
    <w:rsid w:val="00FB0183"/>
    <w:rsid w:val="00FB019A"/>
    <w:rsid w:val="00FB01CD"/>
    <w:rsid w:val="00FB022F"/>
    <w:rsid w:val="00FB04FD"/>
    <w:rsid w:val="00FB074E"/>
    <w:rsid w:val="00FB07F5"/>
    <w:rsid w:val="00FB0AE3"/>
    <w:rsid w:val="00FB0DD5"/>
    <w:rsid w:val="00FB1495"/>
    <w:rsid w:val="00FB14B2"/>
    <w:rsid w:val="00FB14FA"/>
    <w:rsid w:val="00FB15AD"/>
    <w:rsid w:val="00FB1666"/>
    <w:rsid w:val="00FB19F9"/>
    <w:rsid w:val="00FB1B16"/>
    <w:rsid w:val="00FB1B73"/>
    <w:rsid w:val="00FB1BE4"/>
    <w:rsid w:val="00FB1D68"/>
    <w:rsid w:val="00FB1E4B"/>
    <w:rsid w:val="00FB1FC2"/>
    <w:rsid w:val="00FB2116"/>
    <w:rsid w:val="00FB233C"/>
    <w:rsid w:val="00FB2431"/>
    <w:rsid w:val="00FB24E7"/>
    <w:rsid w:val="00FB2841"/>
    <w:rsid w:val="00FB2ACE"/>
    <w:rsid w:val="00FB2B54"/>
    <w:rsid w:val="00FB2DEE"/>
    <w:rsid w:val="00FB2F93"/>
    <w:rsid w:val="00FB32C8"/>
    <w:rsid w:val="00FB3387"/>
    <w:rsid w:val="00FB3554"/>
    <w:rsid w:val="00FB379C"/>
    <w:rsid w:val="00FB38F8"/>
    <w:rsid w:val="00FB3BAC"/>
    <w:rsid w:val="00FB3D0F"/>
    <w:rsid w:val="00FB3E6E"/>
    <w:rsid w:val="00FB3EA9"/>
    <w:rsid w:val="00FB402D"/>
    <w:rsid w:val="00FB4091"/>
    <w:rsid w:val="00FB412F"/>
    <w:rsid w:val="00FB4217"/>
    <w:rsid w:val="00FB425B"/>
    <w:rsid w:val="00FB426C"/>
    <w:rsid w:val="00FB42E0"/>
    <w:rsid w:val="00FB465F"/>
    <w:rsid w:val="00FB469F"/>
    <w:rsid w:val="00FB47B5"/>
    <w:rsid w:val="00FB482E"/>
    <w:rsid w:val="00FB4A6D"/>
    <w:rsid w:val="00FB4E36"/>
    <w:rsid w:val="00FB4FB9"/>
    <w:rsid w:val="00FB500B"/>
    <w:rsid w:val="00FB52B5"/>
    <w:rsid w:val="00FB538D"/>
    <w:rsid w:val="00FB541F"/>
    <w:rsid w:val="00FB5448"/>
    <w:rsid w:val="00FB55B0"/>
    <w:rsid w:val="00FB587D"/>
    <w:rsid w:val="00FB5BA7"/>
    <w:rsid w:val="00FB5D20"/>
    <w:rsid w:val="00FB5D6A"/>
    <w:rsid w:val="00FB5DC3"/>
    <w:rsid w:val="00FB5DDD"/>
    <w:rsid w:val="00FB616F"/>
    <w:rsid w:val="00FB6348"/>
    <w:rsid w:val="00FB643D"/>
    <w:rsid w:val="00FB6475"/>
    <w:rsid w:val="00FB666B"/>
    <w:rsid w:val="00FB692C"/>
    <w:rsid w:val="00FB693C"/>
    <w:rsid w:val="00FB6ABE"/>
    <w:rsid w:val="00FB6AC8"/>
    <w:rsid w:val="00FB6BB1"/>
    <w:rsid w:val="00FB6D73"/>
    <w:rsid w:val="00FB6D79"/>
    <w:rsid w:val="00FB6D7D"/>
    <w:rsid w:val="00FB6EAC"/>
    <w:rsid w:val="00FB70A3"/>
    <w:rsid w:val="00FB710D"/>
    <w:rsid w:val="00FB7338"/>
    <w:rsid w:val="00FB7412"/>
    <w:rsid w:val="00FB755B"/>
    <w:rsid w:val="00FB772B"/>
    <w:rsid w:val="00FB793F"/>
    <w:rsid w:val="00FB7C4B"/>
    <w:rsid w:val="00FB7C64"/>
    <w:rsid w:val="00FB7C75"/>
    <w:rsid w:val="00FB7F77"/>
    <w:rsid w:val="00FC0115"/>
    <w:rsid w:val="00FC01C8"/>
    <w:rsid w:val="00FC02E6"/>
    <w:rsid w:val="00FC04DF"/>
    <w:rsid w:val="00FC0548"/>
    <w:rsid w:val="00FC0738"/>
    <w:rsid w:val="00FC0771"/>
    <w:rsid w:val="00FC0C16"/>
    <w:rsid w:val="00FC0E39"/>
    <w:rsid w:val="00FC0F10"/>
    <w:rsid w:val="00FC0FB8"/>
    <w:rsid w:val="00FC0FFE"/>
    <w:rsid w:val="00FC117A"/>
    <w:rsid w:val="00FC130B"/>
    <w:rsid w:val="00FC13E9"/>
    <w:rsid w:val="00FC1673"/>
    <w:rsid w:val="00FC167C"/>
    <w:rsid w:val="00FC1A97"/>
    <w:rsid w:val="00FC1AAC"/>
    <w:rsid w:val="00FC1AF6"/>
    <w:rsid w:val="00FC1B34"/>
    <w:rsid w:val="00FC1B35"/>
    <w:rsid w:val="00FC2046"/>
    <w:rsid w:val="00FC2069"/>
    <w:rsid w:val="00FC2078"/>
    <w:rsid w:val="00FC2107"/>
    <w:rsid w:val="00FC2283"/>
    <w:rsid w:val="00FC2464"/>
    <w:rsid w:val="00FC2515"/>
    <w:rsid w:val="00FC2666"/>
    <w:rsid w:val="00FC2695"/>
    <w:rsid w:val="00FC2C27"/>
    <w:rsid w:val="00FC2C5D"/>
    <w:rsid w:val="00FC3375"/>
    <w:rsid w:val="00FC3376"/>
    <w:rsid w:val="00FC3386"/>
    <w:rsid w:val="00FC3456"/>
    <w:rsid w:val="00FC34D3"/>
    <w:rsid w:val="00FC3701"/>
    <w:rsid w:val="00FC3726"/>
    <w:rsid w:val="00FC3834"/>
    <w:rsid w:val="00FC38C8"/>
    <w:rsid w:val="00FC3900"/>
    <w:rsid w:val="00FC3951"/>
    <w:rsid w:val="00FC3979"/>
    <w:rsid w:val="00FC39E5"/>
    <w:rsid w:val="00FC3D1F"/>
    <w:rsid w:val="00FC3E46"/>
    <w:rsid w:val="00FC3E64"/>
    <w:rsid w:val="00FC3E65"/>
    <w:rsid w:val="00FC40F8"/>
    <w:rsid w:val="00FC441E"/>
    <w:rsid w:val="00FC44BC"/>
    <w:rsid w:val="00FC450F"/>
    <w:rsid w:val="00FC47F1"/>
    <w:rsid w:val="00FC48B1"/>
    <w:rsid w:val="00FC4968"/>
    <w:rsid w:val="00FC4C3D"/>
    <w:rsid w:val="00FC4EAF"/>
    <w:rsid w:val="00FC4F44"/>
    <w:rsid w:val="00FC5440"/>
    <w:rsid w:val="00FC5576"/>
    <w:rsid w:val="00FC55E3"/>
    <w:rsid w:val="00FC5665"/>
    <w:rsid w:val="00FC5730"/>
    <w:rsid w:val="00FC57B4"/>
    <w:rsid w:val="00FC580A"/>
    <w:rsid w:val="00FC5872"/>
    <w:rsid w:val="00FC587D"/>
    <w:rsid w:val="00FC58A0"/>
    <w:rsid w:val="00FC5933"/>
    <w:rsid w:val="00FC5B25"/>
    <w:rsid w:val="00FC5D80"/>
    <w:rsid w:val="00FC6250"/>
    <w:rsid w:val="00FC649C"/>
    <w:rsid w:val="00FC657F"/>
    <w:rsid w:val="00FC6697"/>
    <w:rsid w:val="00FC66C3"/>
    <w:rsid w:val="00FC678E"/>
    <w:rsid w:val="00FC67F9"/>
    <w:rsid w:val="00FC6876"/>
    <w:rsid w:val="00FC6B4C"/>
    <w:rsid w:val="00FC6BE8"/>
    <w:rsid w:val="00FC6E14"/>
    <w:rsid w:val="00FC6EAD"/>
    <w:rsid w:val="00FC7170"/>
    <w:rsid w:val="00FC7371"/>
    <w:rsid w:val="00FC73EE"/>
    <w:rsid w:val="00FC74C4"/>
    <w:rsid w:val="00FC76D4"/>
    <w:rsid w:val="00FC7B3F"/>
    <w:rsid w:val="00FC7BBF"/>
    <w:rsid w:val="00FC7BFF"/>
    <w:rsid w:val="00FC7E2E"/>
    <w:rsid w:val="00FC7F48"/>
    <w:rsid w:val="00FD00E7"/>
    <w:rsid w:val="00FD013E"/>
    <w:rsid w:val="00FD0166"/>
    <w:rsid w:val="00FD027C"/>
    <w:rsid w:val="00FD02AD"/>
    <w:rsid w:val="00FD02FB"/>
    <w:rsid w:val="00FD031A"/>
    <w:rsid w:val="00FD032C"/>
    <w:rsid w:val="00FD03BC"/>
    <w:rsid w:val="00FD03F7"/>
    <w:rsid w:val="00FD0482"/>
    <w:rsid w:val="00FD048D"/>
    <w:rsid w:val="00FD06B0"/>
    <w:rsid w:val="00FD06E3"/>
    <w:rsid w:val="00FD0709"/>
    <w:rsid w:val="00FD0729"/>
    <w:rsid w:val="00FD07BE"/>
    <w:rsid w:val="00FD07FF"/>
    <w:rsid w:val="00FD0A5A"/>
    <w:rsid w:val="00FD0B80"/>
    <w:rsid w:val="00FD118C"/>
    <w:rsid w:val="00FD11DD"/>
    <w:rsid w:val="00FD124C"/>
    <w:rsid w:val="00FD1256"/>
    <w:rsid w:val="00FD125E"/>
    <w:rsid w:val="00FD148F"/>
    <w:rsid w:val="00FD1594"/>
    <w:rsid w:val="00FD1D31"/>
    <w:rsid w:val="00FD1E77"/>
    <w:rsid w:val="00FD1EE8"/>
    <w:rsid w:val="00FD1F67"/>
    <w:rsid w:val="00FD206D"/>
    <w:rsid w:val="00FD211A"/>
    <w:rsid w:val="00FD2180"/>
    <w:rsid w:val="00FD2216"/>
    <w:rsid w:val="00FD22E0"/>
    <w:rsid w:val="00FD23FA"/>
    <w:rsid w:val="00FD2443"/>
    <w:rsid w:val="00FD251A"/>
    <w:rsid w:val="00FD282F"/>
    <w:rsid w:val="00FD28C0"/>
    <w:rsid w:val="00FD2922"/>
    <w:rsid w:val="00FD29E7"/>
    <w:rsid w:val="00FD2BF6"/>
    <w:rsid w:val="00FD2C26"/>
    <w:rsid w:val="00FD2D1C"/>
    <w:rsid w:val="00FD2D1D"/>
    <w:rsid w:val="00FD2E1B"/>
    <w:rsid w:val="00FD30ED"/>
    <w:rsid w:val="00FD3173"/>
    <w:rsid w:val="00FD3207"/>
    <w:rsid w:val="00FD32C7"/>
    <w:rsid w:val="00FD32DF"/>
    <w:rsid w:val="00FD332B"/>
    <w:rsid w:val="00FD344A"/>
    <w:rsid w:val="00FD3468"/>
    <w:rsid w:val="00FD376F"/>
    <w:rsid w:val="00FD37C7"/>
    <w:rsid w:val="00FD3903"/>
    <w:rsid w:val="00FD3909"/>
    <w:rsid w:val="00FD39A1"/>
    <w:rsid w:val="00FD3BAF"/>
    <w:rsid w:val="00FD3CAD"/>
    <w:rsid w:val="00FD3DB6"/>
    <w:rsid w:val="00FD3DEA"/>
    <w:rsid w:val="00FD409A"/>
    <w:rsid w:val="00FD40DE"/>
    <w:rsid w:val="00FD4329"/>
    <w:rsid w:val="00FD4370"/>
    <w:rsid w:val="00FD4661"/>
    <w:rsid w:val="00FD478B"/>
    <w:rsid w:val="00FD4792"/>
    <w:rsid w:val="00FD47B5"/>
    <w:rsid w:val="00FD4970"/>
    <w:rsid w:val="00FD4A9D"/>
    <w:rsid w:val="00FD4AC2"/>
    <w:rsid w:val="00FD4B33"/>
    <w:rsid w:val="00FD4C01"/>
    <w:rsid w:val="00FD4C10"/>
    <w:rsid w:val="00FD4CBA"/>
    <w:rsid w:val="00FD4EB4"/>
    <w:rsid w:val="00FD4FA3"/>
    <w:rsid w:val="00FD5119"/>
    <w:rsid w:val="00FD54D7"/>
    <w:rsid w:val="00FD5573"/>
    <w:rsid w:val="00FD58E7"/>
    <w:rsid w:val="00FD5BB3"/>
    <w:rsid w:val="00FD5DC4"/>
    <w:rsid w:val="00FD5DDD"/>
    <w:rsid w:val="00FD605E"/>
    <w:rsid w:val="00FD61E8"/>
    <w:rsid w:val="00FD6241"/>
    <w:rsid w:val="00FD63C8"/>
    <w:rsid w:val="00FD656D"/>
    <w:rsid w:val="00FD679E"/>
    <w:rsid w:val="00FD6A16"/>
    <w:rsid w:val="00FD6DF8"/>
    <w:rsid w:val="00FD6E21"/>
    <w:rsid w:val="00FD6E53"/>
    <w:rsid w:val="00FD7078"/>
    <w:rsid w:val="00FD7499"/>
    <w:rsid w:val="00FD75C4"/>
    <w:rsid w:val="00FD75E9"/>
    <w:rsid w:val="00FD766D"/>
    <w:rsid w:val="00FD76EC"/>
    <w:rsid w:val="00FD7832"/>
    <w:rsid w:val="00FD791A"/>
    <w:rsid w:val="00FD7C1C"/>
    <w:rsid w:val="00FD7C3F"/>
    <w:rsid w:val="00FD7CE7"/>
    <w:rsid w:val="00FD7CEA"/>
    <w:rsid w:val="00FD7E15"/>
    <w:rsid w:val="00FD7FF4"/>
    <w:rsid w:val="00FE00FC"/>
    <w:rsid w:val="00FE01A6"/>
    <w:rsid w:val="00FE01B7"/>
    <w:rsid w:val="00FE021E"/>
    <w:rsid w:val="00FE02D7"/>
    <w:rsid w:val="00FE05F4"/>
    <w:rsid w:val="00FE0784"/>
    <w:rsid w:val="00FE09A3"/>
    <w:rsid w:val="00FE09D5"/>
    <w:rsid w:val="00FE0CB4"/>
    <w:rsid w:val="00FE0D60"/>
    <w:rsid w:val="00FE0F17"/>
    <w:rsid w:val="00FE0F9B"/>
    <w:rsid w:val="00FE1051"/>
    <w:rsid w:val="00FE11D9"/>
    <w:rsid w:val="00FE132B"/>
    <w:rsid w:val="00FE14C8"/>
    <w:rsid w:val="00FE14CC"/>
    <w:rsid w:val="00FE14DF"/>
    <w:rsid w:val="00FE16A7"/>
    <w:rsid w:val="00FE174B"/>
    <w:rsid w:val="00FE1896"/>
    <w:rsid w:val="00FE1A0A"/>
    <w:rsid w:val="00FE1B58"/>
    <w:rsid w:val="00FE1B77"/>
    <w:rsid w:val="00FE1B82"/>
    <w:rsid w:val="00FE1C0D"/>
    <w:rsid w:val="00FE1C2A"/>
    <w:rsid w:val="00FE1CED"/>
    <w:rsid w:val="00FE1D39"/>
    <w:rsid w:val="00FE1DB4"/>
    <w:rsid w:val="00FE1E2C"/>
    <w:rsid w:val="00FE1E96"/>
    <w:rsid w:val="00FE2027"/>
    <w:rsid w:val="00FE20FD"/>
    <w:rsid w:val="00FE2346"/>
    <w:rsid w:val="00FE267C"/>
    <w:rsid w:val="00FE26DB"/>
    <w:rsid w:val="00FE28D5"/>
    <w:rsid w:val="00FE2A12"/>
    <w:rsid w:val="00FE2BD2"/>
    <w:rsid w:val="00FE2C2B"/>
    <w:rsid w:val="00FE2CB5"/>
    <w:rsid w:val="00FE2F99"/>
    <w:rsid w:val="00FE3089"/>
    <w:rsid w:val="00FE30D7"/>
    <w:rsid w:val="00FE3395"/>
    <w:rsid w:val="00FE34B2"/>
    <w:rsid w:val="00FE36E3"/>
    <w:rsid w:val="00FE3965"/>
    <w:rsid w:val="00FE3A0D"/>
    <w:rsid w:val="00FE3A5A"/>
    <w:rsid w:val="00FE3AA4"/>
    <w:rsid w:val="00FE3B94"/>
    <w:rsid w:val="00FE3CF4"/>
    <w:rsid w:val="00FE3F2D"/>
    <w:rsid w:val="00FE3F95"/>
    <w:rsid w:val="00FE4142"/>
    <w:rsid w:val="00FE4292"/>
    <w:rsid w:val="00FE43FC"/>
    <w:rsid w:val="00FE44DF"/>
    <w:rsid w:val="00FE453A"/>
    <w:rsid w:val="00FE4665"/>
    <w:rsid w:val="00FE48A3"/>
    <w:rsid w:val="00FE49CA"/>
    <w:rsid w:val="00FE4B02"/>
    <w:rsid w:val="00FE4BA0"/>
    <w:rsid w:val="00FE4BAF"/>
    <w:rsid w:val="00FE4CAF"/>
    <w:rsid w:val="00FE4D2A"/>
    <w:rsid w:val="00FE4E27"/>
    <w:rsid w:val="00FE5060"/>
    <w:rsid w:val="00FE5190"/>
    <w:rsid w:val="00FE53EA"/>
    <w:rsid w:val="00FE5580"/>
    <w:rsid w:val="00FE55A6"/>
    <w:rsid w:val="00FE5977"/>
    <w:rsid w:val="00FE5B71"/>
    <w:rsid w:val="00FE5C3C"/>
    <w:rsid w:val="00FE5F45"/>
    <w:rsid w:val="00FE5F9E"/>
    <w:rsid w:val="00FE5FCB"/>
    <w:rsid w:val="00FE6484"/>
    <w:rsid w:val="00FE6585"/>
    <w:rsid w:val="00FE65BF"/>
    <w:rsid w:val="00FE65D1"/>
    <w:rsid w:val="00FE670B"/>
    <w:rsid w:val="00FE6975"/>
    <w:rsid w:val="00FE69A1"/>
    <w:rsid w:val="00FE6B62"/>
    <w:rsid w:val="00FE6BEE"/>
    <w:rsid w:val="00FE6C38"/>
    <w:rsid w:val="00FE6D11"/>
    <w:rsid w:val="00FE6E55"/>
    <w:rsid w:val="00FE6FC2"/>
    <w:rsid w:val="00FE708E"/>
    <w:rsid w:val="00FE71CF"/>
    <w:rsid w:val="00FE7236"/>
    <w:rsid w:val="00FE7283"/>
    <w:rsid w:val="00FE72C0"/>
    <w:rsid w:val="00FE730B"/>
    <w:rsid w:val="00FE75D8"/>
    <w:rsid w:val="00FE7679"/>
    <w:rsid w:val="00FE76D4"/>
    <w:rsid w:val="00FE7928"/>
    <w:rsid w:val="00FE7A45"/>
    <w:rsid w:val="00FE7B05"/>
    <w:rsid w:val="00FE7C6D"/>
    <w:rsid w:val="00FE7C92"/>
    <w:rsid w:val="00FE7EA6"/>
    <w:rsid w:val="00FF0143"/>
    <w:rsid w:val="00FF027F"/>
    <w:rsid w:val="00FF0298"/>
    <w:rsid w:val="00FF054A"/>
    <w:rsid w:val="00FF05F2"/>
    <w:rsid w:val="00FF07BB"/>
    <w:rsid w:val="00FF0803"/>
    <w:rsid w:val="00FF0954"/>
    <w:rsid w:val="00FF0AC7"/>
    <w:rsid w:val="00FF0B7F"/>
    <w:rsid w:val="00FF0C1A"/>
    <w:rsid w:val="00FF0C3B"/>
    <w:rsid w:val="00FF0C42"/>
    <w:rsid w:val="00FF0C4F"/>
    <w:rsid w:val="00FF0D5A"/>
    <w:rsid w:val="00FF1097"/>
    <w:rsid w:val="00FF115C"/>
    <w:rsid w:val="00FF12BC"/>
    <w:rsid w:val="00FF1431"/>
    <w:rsid w:val="00FF177E"/>
    <w:rsid w:val="00FF17B0"/>
    <w:rsid w:val="00FF18D0"/>
    <w:rsid w:val="00FF1B90"/>
    <w:rsid w:val="00FF1C86"/>
    <w:rsid w:val="00FF1D21"/>
    <w:rsid w:val="00FF1FD2"/>
    <w:rsid w:val="00FF229A"/>
    <w:rsid w:val="00FF247A"/>
    <w:rsid w:val="00FF24F5"/>
    <w:rsid w:val="00FF253B"/>
    <w:rsid w:val="00FF2613"/>
    <w:rsid w:val="00FF261C"/>
    <w:rsid w:val="00FF2681"/>
    <w:rsid w:val="00FF2897"/>
    <w:rsid w:val="00FF28F4"/>
    <w:rsid w:val="00FF2998"/>
    <w:rsid w:val="00FF2A38"/>
    <w:rsid w:val="00FF2B5C"/>
    <w:rsid w:val="00FF2BE9"/>
    <w:rsid w:val="00FF2DD7"/>
    <w:rsid w:val="00FF2E66"/>
    <w:rsid w:val="00FF2F42"/>
    <w:rsid w:val="00FF3049"/>
    <w:rsid w:val="00FF3071"/>
    <w:rsid w:val="00FF316E"/>
    <w:rsid w:val="00FF3243"/>
    <w:rsid w:val="00FF3402"/>
    <w:rsid w:val="00FF34A2"/>
    <w:rsid w:val="00FF3521"/>
    <w:rsid w:val="00FF36DC"/>
    <w:rsid w:val="00FF3749"/>
    <w:rsid w:val="00FF378F"/>
    <w:rsid w:val="00FF38C1"/>
    <w:rsid w:val="00FF3923"/>
    <w:rsid w:val="00FF397F"/>
    <w:rsid w:val="00FF3A3A"/>
    <w:rsid w:val="00FF3A78"/>
    <w:rsid w:val="00FF3AF1"/>
    <w:rsid w:val="00FF3D7F"/>
    <w:rsid w:val="00FF3F69"/>
    <w:rsid w:val="00FF4036"/>
    <w:rsid w:val="00FF40C1"/>
    <w:rsid w:val="00FF41C1"/>
    <w:rsid w:val="00FF4471"/>
    <w:rsid w:val="00FF448C"/>
    <w:rsid w:val="00FF459B"/>
    <w:rsid w:val="00FF462B"/>
    <w:rsid w:val="00FF4ABB"/>
    <w:rsid w:val="00FF4B84"/>
    <w:rsid w:val="00FF4BDD"/>
    <w:rsid w:val="00FF4D98"/>
    <w:rsid w:val="00FF4EBB"/>
    <w:rsid w:val="00FF4FED"/>
    <w:rsid w:val="00FF50EB"/>
    <w:rsid w:val="00FF51A3"/>
    <w:rsid w:val="00FF52A5"/>
    <w:rsid w:val="00FF5429"/>
    <w:rsid w:val="00FF547C"/>
    <w:rsid w:val="00FF56B7"/>
    <w:rsid w:val="00FF577C"/>
    <w:rsid w:val="00FF58D4"/>
    <w:rsid w:val="00FF59BA"/>
    <w:rsid w:val="00FF5A07"/>
    <w:rsid w:val="00FF5A4F"/>
    <w:rsid w:val="00FF5B11"/>
    <w:rsid w:val="00FF5B7D"/>
    <w:rsid w:val="00FF5BCB"/>
    <w:rsid w:val="00FF5C20"/>
    <w:rsid w:val="00FF5C28"/>
    <w:rsid w:val="00FF5DFB"/>
    <w:rsid w:val="00FF6040"/>
    <w:rsid w:val="00FF6118"/>
    <w:rsid w:val="00FF61E0"/>
    <w:rsid w:val="00FF628C"/>
    <w:rsid w:val="00FF62C5"/>
    <w:rsid w:val="00FF62CE"/>
    <w:rsid w:val="00FF6389"/>
    <w:rsid w:val="00FF63D8"/>
    <w:rsid w:val="00FF654F"/>
    <w:rsid w:val="00FF6757"/>
    <w:rsid w:val="00FF680B"/>
    <w:rsid w:val="00FF6960"/>
    <w:rsid w:val="00FF6AEA"/>
    <w:rsid w:val="00FF6B62"/>
    <w:rsid w:val="00FF6BD0"/>
    <w:rsid w:val="00FF6BDF"/>
    <w:rsid w:val="00FF6E5E"/>
    <w:rsid w:val="00FF7197"/>
    <w:rsid w:val="00FF71A9"/>
    <w:rsid w:val="00FF7241"/>
    <w:rsid w:val="00FF7302"/>
    <w:rsid w:val="00FF7313"/>
    <w:rsid w:val="00FF75EE"/>
    <w:rsid w:val="00FF7673"/>
    <w:rsid w:val="00FF7932"/>
    <w:rsid w:val="00FF796A"/>
    <w:rsid w:val="00FF79D2"/>
    <w:rsid w:val="00FF7A9E"/>
    <w:rsid w:val="00FF7B5E"/>
    <w:rsid w:val="00FF7C27"/>
    <w:rsid w:val="00FF7DB6"/>
    <w:rsid w:val="00FF7EA3"/>
    <w:rsid w:val="00FF7F0E"/>
    <w:rsid w:val="00FF7F3B"/>
    <w:rsid w:val="00FF7F49"/>
    <w:rsid w:val="0139C910"/>
    <w:rsid w:val="033DDD4F"/>
    <w:rsid w:val="034044B7"/>
    <w:rsid w:val="03634A1C"/>
    <w:rsid w:val="039950B4"/>
    <w:rsid w:val="03A0B148"/>
    <w:rsid w:val="0413761B"/>
    <w:rsid w:val="04360EA9"/>
    <w:rsid w:val="04B0F5FE"/>
    <w:rsid w:val="07F342DF"/>
    <w:rsid w:val="081948D1"/>
    <w:rsid w:val="091F132D"/>
    <w:rsid w:val="0A2A215D"/>
    <w:rsid w:val="0ADC721B"/>
    <w:rsid w:val="0AE13283"/>
    <w:rsid w:val="0B378814"/>
    <w:rsid w:val="0BE94157"/>
    <w:rsid w:val="0C6FC580"/>
    <w:rsid w:val="0EFCD26D"/>
    <w:rsid w:val="0F3C8C2F"/>
    <w:rsid w:val="1035FAFF"/>
    <w:rsid w:val="116DBD60"/>
    <w:rsid w:val="119155ED"/>
    <w:rsid w:val="134837D3"/>
    <w:rsid w:val="152B42B6"/>
    <w:rsid w:val="154350E5"/>
    <w:rsid w:val="16117FEA"/>
    <w:rsid w:val="164FD1CD"/>
    <w:rsid w:val="18DE37CD"/>
    <w:rsid w:val="19540FC3"/>
    <w:rsid w:val="1A09B421"/>
    <w:rsid w:val="1A96A8F4"/>
    <w:rsid w:val="1C36CBCA"/>
    <w:rsid w:val="1D4BD961"/>
    <w:rsid w:val="1E3811B7"/>
    <w:rsid w:val="1E431F21"/>
    <w:rsid w:val="1E43AA31"/>
    <w:rsid w:val="1E97C8B3"/>
    <w:rsid w:val="2284E62F"/>
    <w:rsid w:val="22E57E43"/>
    <w:rsid w:val="236AF5FA"/>
    <w:rsid w:val="237BACCA"/>
    <w:rsid w:val="249EF435"/>
    <w:rsid w:val="24C035EA"/>
    <w:rsid w:val="25852858"/>
    <w:rsid w:val="273CDBF5"/>
    <w:rsid w:val="281E5AD5"/>
    <w:rsid w:val="28DA15F1"/>
    <w:rsid w:val="2C7EFEA9"/>
    <w:rsid w:val="2E3B667C"/>
    <w:rsid w:val="3628A1EA"/>
    <w:rsid w:val="38F16050"/>
    <w:rsid w:val="3B5A9EB1"/>
    <w:rsid w:val="3BAFBCB8"/>
    <w:rsid w:val="3BB2D861"/>
    <w:rsid w:val="3C541BE4"/>
    <w:rsid w:val="3CF7D326"/>
    <w:rsid w:val="3EF097FD"/>
    <w:rsid w:val="3F086FBE"/>
    <w:rsid w:val="3F3BD8AA"/>
    <w:rsid w:val="3F6563E3"/>
    <w:rsid w:val="40C183A2"/>
    <w:rsid w:val="40EC4CA1"/>
    <w:rsid w:val="4150056B"/>
    <w:rsid w:val="42B1925E"/>
    <w:rsid w:val="43C9DACA"/>
    <w:rsid w:val="45B3DEC8"/>
    <w:rsid w:val="46377BFA"/>
    <w:rsid w:val="4665FB40"/>
    <w:rsid w:val="4814DAF4"/>
    <w:rsid w:val="4943F64C"/>
    <w:rsid w:val="497D8B25"/>
    <w:rsid w:val="49F4C32F"/>
    <w:rsid w:val="4A2D6514"/>
    <w:rsid w:val="4AA69744"/>
    <w:rsid w:val="4B154438"/>
    <w:rsid w:val="4B2A52EC"/>
    <w:rsid w:val="4B77DB20"/>
    <w:rsid w:val="4C977F62"/>
    <w:rsid w:val="4CD64C25"/>
    <w:rsid w:val="4D3B1E94"/>
    <w:rsid w:val="4ECA7C81"/>
    <w:rsid w:val="4ED138D3"/>
    <w:rsid w:val="4ED97026"/>
    <w:rsid w:val="4F861482"/>
    <w:rsid w:val="503A78E1"/>
    <w:rsid w:val="505A530D"/>
    <w:rsid w:val="51A79AF8"/>
    <w:rsid w:val="5464CA51"/>
    <w:rsid w:val="546ECD66"/>
    <w:rsid w:val="55140A81"/>
    <w:rsid w:val="553FC1EE"/>
    <w:rsid w:val="559E4B1C"/>
    <w:rsid w:val="560B1C83"/>
    <w:rsid w:val="5710975E"/>
    <w:rsid w:val="57F31DF3"/>
    <w:rsid w:val="584B389C"/>
    <w:rsid w:val="59EC0B43"/>
    <w:rsid w:val="5D41D27F"/>
    <w:rsid w:val="5EA99148"/>
    <w:rsid w:val="60676973"/>
    <w:rsid w:val="61A23640"/>
    <w:rsid w:val="628E9A1B"/>
    <w:rsid w:val="6335E851"/>
    <w:rsid w:val="63A6DA50"/>
    <w:rsid w:val="658BE053"/>
    <w:rsid w:val="660456BD"/>
    <w:rsid w:val="66598487"/>
    <w:rsid w:val="6770E0B7"/>
    <w:rsid w:val="6786A5EC"/>
    <w:rsid w:val="68D96A05"/>
    <w:rsid w:val="69F03339"/>
    <w:rsid w:val="6ADD9C82"/>
    <w:rsid w:val="6BEA39A4"/>
    <w:rsid w:val="6C803205"/>
    <w:rsid w:val="700E05ED"/>
    <w:rsid w:val="70F820A3"/>
    <w:rsid w:val="721580F9"/>
    <w:rsid w:val="73127787"/>
    <w:rsid w:val="7330DCAD"/>
    <w:rsid w:val="735FE747"/>
    <w:rsid w:val="74B2DBC2"/>
    <w:rsid w:val="752E6054"/>
    <w:rsid w:val="756D150A"/>
    <w:rsid w:val="767088C1"/>
    <w:rsid w:val="77C005F8"/>
    <w:rsid w:val="782DFB59"/>
    <w:rsid w:val="78E3062A"/>
    <w:rsid w:val="79A45C63"/>
    <w:rsid w:val="7A99F118"/>
    <w:rsid w:val="7AF07D96"/>
    <w:rsid w:val="7B309511"/>
    <w:rsid w:val="7B42CEF8"/>
    <w:rsid w:val="7DB68C84"/>
    <w:rsid w:val="7DDC9FC4"/>
    <w:rsid w:val="7EBA875E"/>
    <w:rsid w:val="7FBC72E8"/>
    <w:rsid w:val="7FE5D3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32"/>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D7703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D77032"/>
    <w:pPr>
      <w:spacing w:before="240" w:after="240"/>
      <w:outlineLvl w:val="1"/>
    </w:pPr>
    <w:rPr>
      <w:rFonts w:ascii="Arial Bold" w:hAnsi="Arial Bold"/>
      <w:b/>
      <w:sz w:val="26"/>
    </w:rPr>
  </w:style>
  <w:style w:type="paragraph" w:styleId="Heading3">
    <w:name w:val="heading 3"/>
    <w:basedOn w:val="HeadingBase"/>
    <w:next w:val="Normal"/>
    <w:link w:val="Heading3Char"/>
    <w:qFormat/>
    <w:rsid w:val="00D77032"/>
    <w:pPr>
      <w:spacing w:before="120" w:after="120"/>
      <w:outlineLvl w:val="2"/>
    </w:pPr>
    <w:rPr>
      <w:rFonts w:ascii="Arial Bold" w:hAnsi="Arial Bold"/>
      <w:b/>
      <w:sz w:val="22"/>
    </w:rPr>
  </w:style>
  <w:style w:type="paragraph" w:styleId="Heading4">
    <w:name w:val="heading 4"/>
    <w:basedOn w:val="HeadingBase"/>
    <w:next w:val="Normal"/>
    <w:link w:val="Heading4Char"/>
    <w:qFormat/>
    <w:rsid w:val="00D77032"/>
    <w:pPr>
      <w:spacing w:after="120"/>
      <w:outlineLvl w:val="3"/>
    </w:pPr>
    <w:rPr>
      <w:rFonts w:ascii="Arial Bold" w:hAnsi="Arial Bold"/>
      <w:b/>
      <w:sz w:val="20"/>
    </w:rPr>
  </w:style>
  <w:style w:type="paragraph" w:styleId="Heading5">
    <w:name w:val="heading 5"/>
    <w:basedOn w:val="HeadingBase"/>
    <w:next w:val="Normal"/>
    <w:link w:val="Heading5Char"/>
    <w:qFormat/>
    <w:rsid w:val="00D77032"/>
    <w:pPr>
      <w:spacing w:after="120"/>
      <w:outlineLvl w:val="4"/>
    </w:pPr>
    <w:rPr>
      <w:bCs/>
      <w:i/>
      <w:iCs/>
      <w:sz w:val="20"/>
      <w:szCs w:val="26"/>
    </w:rPr>
  </w:style>
  <w:style w:type="paragraph" w:styleId="Heading6">
    <w:name w:val="heading 6"/>
    <w:basedOn w:val="HeadingBase"/>
    <w:next w:val="Normal"/>
    <w:link w:val="Heading6Char"/>
    <w:rsid w:val="00D77032"/>
    <w:pPr>
      <w:spacing w:after="120"/>
      <w:outlineLvl w:val="5"/>
    </w:pPr>
    <w:rPr>
      <w:bCs/>
      <w:sz w:val="20"/>
      <w:szCs w:val="22"/>
    </w:rPr>
  </w:style>
  <w:style w:type="paragraph" w:styleId="Heading7">
    <w:name w:val="heading 7"/>
    <w:basedOn w:val="HeadingBase"/>
    <w:next w:val="Normal"/>
    <w:link w:val="Heading7Char"/>
    <w:rsid w:val="00D77032"/>
    <w:pPr>
      <w:spacing w:before="120"/>
      <w:outlineLvl w:val="6"/>
    </w:pPr>
    <w:rPr>
      <w:sz w:val="20"/>
      <w:szCs w:val="24"/>
    </w:rPr>
  </w:style>
  <w:style w:type="paragraph" w:styleId="Heading8">
    <w:name w:val="heading 8"/>
    <w:basedOn w:val="HeadingBase"/>
    <w:next w:val="Normal"/>
    <w:link w:val="Heading8Char"/>
    <w:rsid w:val="00D7703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D7703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D77032"/>
    <w:pPr>
      <w:tabs>
        <w:tab w:val="center" w:pos="4153"/>
        <w:tab w:val="right" w:pos="8306"/>
      </w:tabs>
    </w:pPr>
  </w:style>
  <w:style w:type="character" w:customStyle="1" w:styleId="HeaderChar">
    <w:name w:val="Header Char"/>
    <w:basedOn w:val="DefaultParagraphFont"/>
    <w:link w:val="Header"/>
    <w:rsid w:val="00D77032"/>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D77032"/>
    <w:pPr>
      <w:tabs>
        <w:tab w:val="center" w:pos="4153"/>
        <w:tab w:val="right" w:pos="8306"/>
      </w:tabs>
    </w:pPr>
  </w:style>
  <w:style w:type="character" w:customStyle="1" w:styleId="FooterChar">
    <w:name w:val="Footer Char"/>
    <w:basedOn w:val="DefaultParagraphFont"/>
    <w:link w:val="Footer"/>
    <w:rsid w:val="00D77032"/>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D77032"/>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D77032"/>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D77032"/>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D77032"/>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D77032"/>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D77032"/>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D77032"/>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D77032"/>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D77032"/>
    <w:pPr>
      <w:jc w:val="center"/>
    </w:pPr>
    <w:rPr>
      <w:rFonts w:ascii="Arial Bold" w:hAnsi="Arial Bold"/>
      <w:b/>
      <w:caps/>
      <w:sz w:val="22"/>
    </w:rPr>
  </w:style>
  <w:style w:type="paragraph" w:customStyle="1" w:styleId="FileProperties">
    <w:name w:val="File Properties"/>
    <w:basedOn w:val="Normal"/>
    <w:rsid w:val="00D77032"/>
    <w:pPr>
      <w:spacing w:before="0"/>
    </w:pPr>
    <w:rPr>
      <w:i/>
    </w:rPr>
  </w:style>
  <w:style w:type="paragraph" w:customStyle="1" w:styleId="AlphaParagraph">
    <w:name w:val="Alpha Paragraph"/>
    <w:basedOn w:val="Normal"/>
    <w:rsid w:val="00D77032"/>
    <w:pPr>
      <w:numPr>
        <w:numId w:val="1"/>
      </w:numPr>
      <w:tabs>
        <w:tab w:val="clear" w:pos="567"/>
        <w:tab w:val="num" w:pos="360"/>
      </w:tabs>
      <w:ind w:left="0" w:firstLine="0"/>
    </w:pPr>
  </w:style>
  <w:style w:type="paragraph" w:customStyle="1" w:styleId="HeadingBase">
    <w:name w:val="Heading Base"/>
    <w:link w:val="HeadingBaseChar"/>
    <w:rsid w:val="00D77032"/>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D77032"/>
    <w:rPr>
      <w:bCs/>
      <w:color w:val="002A54" w:themeColor="text2"/>
      <w:szCs w:val="52"/>
    </w:rPr>
  </w:style>
  <w:style w:type="paragraph" w:customStyle="1" w:styleId="BoxText">
    <w:name w:val="Box Text"/>
    <w:basedOn w:val="Normal"/>
    <w:link w:val="BoxTextChar"/>
    <w:qFormat/>
    <w:rsid w:val="00D77032"/>
    <w:pPr>
      <w:spacing w:before="120" w:after="120" w:line="240" w:lineRule="auto"/>
    </w:pPr>
  </w:style>
  <w:style w:type="paragraph" w:customStyle="1" w:styleId="BoxBullet">
    <w:name w:val="Box Bullet"/>
    <w:basedOn w:val="BoxText"/>
    <w:rsid w:val="00D77032"/>
    <w:pPr>
      <w:numPr>
        <w:numId w:val="2"/>
      </w:numPr>
    </w:pPr>
  </w:style>
  <w:style w:type="paragraph" w:customStyle="1" w:styleId="BoxHeading">
    <w:name w:val="Box Heading"/>
    <w:basedOn w:val="HeadingBase"/>
    <w:next w:val="BoxText"/>
    <w:rsid w:val="00D77032"/>
    <w:pPr>
      <w:spacing w:before="120" w:after="120"/>
    </w:pPr>
    <w:rPr>
      <w:b/>
      <w:sz w:val="20"/>
    </w:rPr>
  </w:style>
  <w:style w:type="character" w:customStyle="1" w:styleId="Heading6Char">
    <w:name w:val="Heading 6 Char"/>
    <w:basedOn w:val="DefaultParagraphFont"/>
    <w:link w:val="Heading6"/>
    <w:rsid w:val="00D77032"/>
    <w:rPr>
      <w:rFonts w:ascii="Arial" w:eastAsia="Times New Roman" w:hAnsi="Arial" w:cs="Times New Roman"/>
      <w:bCs/>
      <w:sz w:val="20"/>
      <w:lang w:eastAsia="en-AU"/>
    </w:rPr>
  </w:style>
  <w:style w:type="paragraph" w:customStyle="1" w:styleId="Bullet">
    <w:name w:val="Bullet"/>
    <w:aliases w:val="b,Body,b + line,b1,level 1,Bullet + line,bulleted,BodyNum,Bullet Char1,Bullet Char1 Char Char Char,Bullet Char1 Char Char Char Char,Bullet Char1 Char Char Char Char Char,b1 Char Char Char,CG-Bullet"/>
    <w:basedOn w:val="Normal"/>
    <w:link w:val="BulletChar"/>
    <w:qFormat/>
    <w:rsid w:val="00D77032"/>
    <w:pPr>
      <w:numPr>
        <w:numId w:val="4"/>
      </w:numPr>
      <w:spacing w:after="160"/>
      <w:ind w:left="284" w:hanging="284"/>
    </w:pPr>
  </w:style>
  <w:style w:type="paragraph" w:styleId="Caption">
    <w:name w:val="caption"/>
    <w:basedOn w:val="Normal"/>
    <w:next w:val="Normal"/>
    <w:rsid w:val="00D77032"/>
    <w:rPr>
      <w:b/>
      <w:bCs/>
    </w:rPr>
  </w:style>
  <w:style w:type="paragraph" w:customStyle="1" w:styleId="ChartandTableFootnote">
    <w:name w:val="Chart and Table Footnote"/>
    <w:basedOn w:val="HeadingBase"/>
    <w:next w:val="Normal"/>
    <w:link w:val="ChartandTableFootnoteChar"/>
    <w:rsid w:val="00D77032"/>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D77032"/>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D77032"/>
    <w:pPr>
      <w:keepNext w:val="0"/>
      <w:tabs>
        <w:tab w:val="left" w:pos="284"/>
      </w:tabs>
      <w:jc w:val="both"/>
    </w:pPr>
    <w:rPr>
      <w:color w:val="000000"/>
      <w:sz w:val="15"/>
    </w:rPr>
  </w:style>
  <w:style w:type="paragraph" w:customStyle="1" w:styleId="ChartGraphic">
    <w:name w:val="Chart Graphic"/>
    <w:basedOn w:val="HeadingBase"/>
    <w:link w:val="ChartGraphicChar"/>
    <w:rsid w:val="00D77032"/>
    <w:rPr>
      <w:sz w:val="20"/>
    </w:rPr>
  </w:style>
  <w:style w:type="paragraph" w:customStyle="1" w:styleId="TableLine">
    <w:name w:val="Table Line"/>
    <w:basedOn w:val="Normal"/>
    <w:next w:val="Normal"/>
    <w:autoRedefine/>
    <w:rsid w:val="00D77032"/>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D77032"/>
    <w:pPr>
      <w:spacing w:after="60"/>
    </w:pPr>
    <w:rPr>
      <w:sz w:val="19"/>
    </w:rPr>
  </w:style>
  <w:style w:type="character" w:styleId="CommentReference">
    <w:name w:val="annotation reference"/>
    <w:basedOn w:val="DefaultParagraphFont"/>
    <w:rsid w:val="00D77032"/>
    <w:rPr>
      <w:sz w:val="16"/>
      <w:szCs w:val="16"/>
    </w:rPr>
  </w:style>
  <w:style w:type="paragraph" w:styleId="CommentText">
    <w:name w:val="annotation text"/>
    <w:basedOn w:val="Normal"/>
    <w:link w:val="CommentTextChar"/>
    <w:rsid w:val="00D77032"/>
  </w:style>
  <w:style w:type="character" w:customStyle="1" w:styleId="CommentTextChar">
    <w:name w:val="Comment Text Char"/>
    <w:basedOn w:val="DefaultParagraphFont"/>
    <w:link w:val="CommentText"/>
    <w:rsid w:val="00D77032"/>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rsid w:val="00D77032"/>
    <w:rPr>
      <w:b/>
      <w:bCs/>
    </w:rPr>
  </w:style>
  <w:style w:type="character" w:customStyle="1" w:styleId="CommentSubjectChar">
    <w:name w:val="Comment Subject Char"/>
    <w:basedOn w:val="CommentTextChar"/>
    <w:link w:val="CommentSubject"/>
    <w:rsid w:val="00D77032"/>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D77032"/>
    <w:pPr>
      <w:spacing w:after="720"/>
      <w:outlineLvl w:val="9"/>
    </w:pPr>
  </w:style>
  <w:style w:type="character" w:styleId="Strong">
    <w:name w:val="Strong"/>
    <w:basedOn w:val="DefaultParagraphFont"/>
    <w:uiPriority w:val="22"/>
    <w:qFormat/>
    <w:rsid w:val="00D77032"/>
    <w:rPr>
      <w:b/>
      <w:bCs/>
      <w:color w:val="auto"/>
    </w:rPr>
  </w:style>
  <w:style w:type="paragraph" w:customStyle="1" w:styleId="Dash">
    <w:name w:val="Dash"/>
    <w:basedOn w:val="Normal"/>
    <w:link w:val="DashChar"/>
    <w:qFormat/>
    <w:rsid w:val="00D77032"/>
    <w:pPr>
      <w:numPr>
        <w:ilvl w:val="1"/>
        <w:numId w:val="4"/>
      </w:numPr>
      <w:tabs>
        <w:tab w:val="left" w:pos="567"/>
      </w:tabs>
    </w:pPr>
  </w:style>
  <w:style w:type="paragraph" w:styleId="DocumentMap">
    <w:name w:val="Document Map"/>
    <w:basedOn w:val="Normal"/>
    <w:link w:val="DocumentMapChar"/>
    <w:semiHidden/>
    <w:rsid w:val="00D770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77032"/>
    <w:rPr>
      <w:rFonts w:ascii="Tahoma" w:eastAsia="Times New Roman" w:hAnsi="Tahoma" w:cs="Tahoma"/>
      <w:sz w:val="19"/>
      <w:szCs w:val="20"/>
      <w:shd w:val="clear" w:color="auto" w:fill="000080"/>
      <w:lang w:eastAsia="en-AU"/>
    </w:rPr>
  </w:style>
  <w:style w:type="paragraph" w:customStyle="1" w:styleId="DoubleDot">
    <w:name w:val="Double Dot"/>
    <w:basedOn w:val="Normal"/>
    <w:rsid w:val="00D77032"/>
    <w:pPr>
      <w:numPr>
        <w:ilvl w:val="2"/>
        <w:numId w:val="4"/>
      </w:numPr>
      <w:tabs>
        <w:tab w:val="clear" w:pos="850"/>
        <w:tab w:val="num" w:pos="360"/>
        <w:tab w:val="left" w:pos="851"/>
      </w:tabs>
    </w:pPr>
  </w:style>
  <w:style w:type="paragraph" w:customStyle="1" w:styleId="FigureHeading">
    <w:name w:val="Figure Heading"/>
    <w:basedOn w:val="HeadingBase"/>
    <w:next w:val="ChartGraphic"/>
    <w:rsid w:val="00D77032"/>
    <w:pPr>
      <w:spacing w:before="120" w:after="20"/>
    </w:pPr>
    <w:rPr>
      <w:b/>
      <w:sz w:val="20"/>
    </w:rPr>
  </w:style>
  <w:style w:type="paragraph" w:customStyle="1" w:styleId="FooterBase">
    <w:name w:val="Footer Base"/>
    <w:rsid w:val="00D77032"/>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77032"/>
    <w:pPr>
      <w:pBdr>
        <w:top w:val="single" w:sz="4" w:space="10" w:color="002A54" w:themeColor="text2"/>
      </w:pBdr>
      <w:jc w:val="left"/>
    </w:pPr>
    <w:rPr>
      <w:sz w:val="18"/>
    </w:rPr>
  </w:style>
  <w:style w:type="paragraph" w:customStyle="1" w:styleId="FooterOdd">
    <w:name w:val="Footer Odd"/>
    <w:basedOn w:val="Footer"/>
    <w:qFormat/>
    <w:rsid w:val="00D77032"/>
    <w:pPr>
      <w:pBdr>
        <w:top w:val="single" w:sz="4" w:space="10" w:color="002A54" w:themeColor="text2"/>
      </w:pBdr>
      <w:jc w:val="right"/>
    </w:pPr>
    <w:rPr>
      <w:sz w:val="18"/>
    </w:rPr>
  </w:style>
  <w:style w:type="character" w:styleId="FootnoteReference">
    <w:name w:val="footnote reference"/>
    <w:basedOn w:val="DefaultParagraphFont"/>
    <w:rsid w:val="00D77032"/>
    <w:rPr>
      <w:vertAlign w:val="superscript"/>
    </w:rPr>
  </w:style>
  <w:style w:type="paragraph" w:styleId="FootnoteText">
    <w:name w:val="footnote text"/>
    <w:basedOn w:val="Normal"/>
    <w:link w:val="FootnoteTextChar"/>
    <w:rsid w:val="00D7703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D77032"/>
    <w:rPr>
      <w:rFonts w:ascii="Book Antiqua" w:eastAsia="Times New Roman" w:hAnsi="Book Antiqua" w:cs="Times New Roman"/>
      <w:sz w:val="18"/>
      <w:szCs w:val="20"/>
      <w:lang w:eastAsia="en-AU"/>
    </w:rPr>
  </w:style>
  <w:style w:type="character" w:customStyle="1" w:styleId="FramedHeader">
    <w:name w:val="Framed Header"/>
    <w:basedOn w:val="DefaultParagraphFont"/>
    <w:rsid w:val="00D77032"/>
    <w:rPr>
      <w:rFonts w:ascii="Book Antiqua" w:hAnsi="Book Antiqua"/>
      <w:i/>
      <w:dstrike w:val="0"/>
      <w:color w:val="auto"/>
      <w:sz w:val="20"/>
      <w:vertAlign w:val="baseline"/>
    </w:rPr>
  </w:style>
  <w:style w:type="paragraph" w:customStyle="1" w:styleId="HeaderBase">
    <w:name w:val="Header Base"/>
    <w:link w:val="HeaderBaseChar"/>
    <w:rsid w:val="00D77032"/>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D77032"/>
  </w:style>
  <w:style w:type="paragraph" w:customStyle="1" w:styleId="HeaderOdd">
    <w:name w:val="Header Odd"/>
    <w:basedOn w:val="HeaderBase"/>
    <w:rsid w:val="00D77032"/>
    <w:pPr>
      <w:jc w:val="right"/>
    </w:pPr>
  </w:style>
  <w:style w:type="character" w:customStyle="1" w:styleId="Heading1Char">
    <w:name w:val="Heading 1 Char"/>
    <w:basedOn w:val="DefaultParagraphFont"/>
    <w:link w:val="Heading1"/>
    <w:rsid w:val="00D77032"/>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D77032"/>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D77032"/>
    <w:rPr>
      <w:rFonts w:ascii="Arial Bold" w:eastAsia="Times New Roman" w:hAnsi="Arial Bold" w:cs="Times New Roman"/>
      <w:b/>
      <w:szCs w:val="20"/>
      <w:lang w:eastAsia="en-AU"/>
    </w:rPr>
  </w:style>
  <w:style w:type="paragraph" w:customStyle="1" w:styleId="Heading3noTOC">
    <w:name w:val="Heading 3 no TOC"/>
    <w:basedOn w:val="Heading3"/>
    <w:rsid w:val="00D77032"/>
    <w:pPr>
      <w:outlineLvl w:val="9"/>
    </w:pPr>
  </w:style>
  <w:style w:type="character" w:customStyle="1" w:styleId="Heading4Char">
    <w:name w:val="Heading 4 Char"/>
    <w:basedOn w:val="DefaultParagraphFont"/>
    <w:link w:val="Heading4"/>
    <w:rsid w:val="00D77032"/>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D77032"/>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D77032"/>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D77032"/>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D77032"/>
    <w:rPr>
      <w:rFonts w:ascii="Times New Roman" w:hAnsi="Times New Roman"/>
      <w:vanish/>
      <w:sz w:val="16"/>
    </w:rPr>
  </w:style>
  <w:style w:type="character" w:styleId="Hyperlink">
    <w:name w:val="Hyperlink"/>
    <w:basedOn w:val="DefaultParagraphFont"/>
    <w:uiPriority w:val="99"/>
    <w:unhideWhenUsed/>
    <w:rsid w:val="00D77032"/>
    <w:rPr>
      <w:color w:val="auto"/>
      <w:u w:val="single"/>
    </w:rPr>
  </w:style>
  <w:style w:type="paragraph" w:styleId="Index4">
    <w:name w:val="index 4"/>
    <w:basedOn w:val="Normal"/>
    <w:next w:val="Normal"/>
    <w:autoRedefine/>
    <w:semiHidden/>
    <w:rsid w:val="00D77032"/>
    <w:pPr>
      <w:ind w:left="800" w:hanging="200"/>
    </w:pPr>
  </w:style>
  <w:style w:type="paragraph" w:styleId="Index5">
    <w:name w:val="index 5"/>
    <w:basedOn w:val="Normal"/>
    <w:next w:val="Normal"/>
    <w:autoRedefine/>
    <w:semiHidden/>
    <w:rsid w:val="00D77032"/>
    <w:pPr>
      <w:ind w:left="1000" w:hanging="200"/>
    </w:pPr>
  </w:style>
  <w:style w:type="paragraph" w:styleId="Index6">
    <w:name w:val="index 6"/>
    <w:basedOn w:val="Normal"/>
    <w:next w:val="Normal"/>
    <w:autoRedefine/>
    <w:semiHidden/>
    <w:rsid w:val="00D77032"/>
    <w:pPr>
      <w:ind w:left="1200" w:hanging="200"/>
    </w:pPr>
  </w:style>
  <w:style w:type="paragraph" w:styleId="Index7">
    <w:name w:val="index 7"/>
    <w:basedOn w:val="Normal"/>
    <w:next w:val="Normal"/>
    <w:autoRedefine/>
    <w:semiHidden/>
    <w:rsid w:val="00D77032"/>
    <w:pPr>
      <w:ind w:left="1400" w:hanging="200"/>
    </w:pPr>
  </w:style>
  <w:style w:type="paragraph" w:styleId="Index8">
    <w:name w:val="index 8"/>
    <w:basedOn w:val="Normal"/>
    <w:next w:val="Normal"/>
    <w:autoRedefine/>
    <w:semiHidden/>
    <w:rsid w:val="00D77032"/>
    <w:pPr>
      <w:ind w:left="1600" w:hanging="200"/>
    </w:pPr>
  </w:style>
  <w:style w:type="paragraph" w:styleId="Index9">
    <w:name w:val="index 9"/>
    <w:basedOn w:val="Normal"/>
    <w:next w:val="Normal"/>
    <w:autoRedefine/>
    <w:semiHidden/>
    <w:rsid w:val="00D77032"/>
    <w:pPr>
      <w:ind w:left="1800" w:hanging="200"/>
    </w:pPr>
  </w:style>
  <w:style w:type="paragraph" w:styleId="MacroText">
    <w:name w:val="macro"/>
    <w:link w:val="MacroTextChar"/>
    <w:unhideWhenUsed/>
    <w:rsid w:val="00D77032"/>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77032"/>
    <w:rPr>
      <w:rFonts w:ascii="Courier New" w:eastAsia="Times New Roman" w:hAnsi="Courier New" w:cs="Courier New"/>
      <w:sz w:val="20"/>
      <w:szCs w:val="20"/>
      <w:lang w:eastAsia="en-AU"/>
    </w:rPr>
  </w:style>
  <w:style w:type="paragraph" w:styleId="NormalIndent">
    <w:name w:val="Normal Indent"/>
    <w:basedOn w:val="Normal"/>
    <w:rsid w:val="00D77032"/>
    <w:pPr>
      <w:ind w:left="567"/>
    </w:pPr>
  </w:style>
  <w:style w:type="paragraph" w:customStyle="1" w:styleId="NoteTableHeading">
    <w:name w:val="Note Table Heading"/>
    <w:basedOn w:val="HeadingBase"/>
    <w:next w:val="Normal"/>
    <w:rsid w:val="00D77032"/>
    <w:pPr>
      <w:spacing w:before="240"/>
    </w:pPr>
    <w:rPr>
      <w:b/>
      <w:sz w:val="20"/>
    </w:rPr>
  </w:style>
  <w:style w:type="paragraph" w:customStyle="1" w:styleId="OverviewParagraph">
    <w:name w:val="Overview Paragraph"/>
    <w:basedOn w:val="Normal"/>
    <w:rsid w:val="00D77032"/>
    <w:pPr>
      <w:spacing w:before="120" w:after="120" w:line="240" w:lineRule="auto"/>
    </w:pPr>
  </w:style>
  <w:style w:type="character" w:styleId="PageNumber">
    <w:name w:val="page number"/>
    <w:basedOn w:val="DefaultParagraphFont"/>
    <w:rsid w:val="00D77032"/>
    <w:rPr>
      <w:rFonts w:ascii="Arial" w:hAnsi="Arial" w:cs="Arial"/>
    </w:rPr>
  </w:style>
  <w:style w:type="paragraph" w:customStyle="1" w:styleId="SingleParagraph">
    <w:name w:val="Single Paragraph"/>
    <w:basedOn w:val="Normal"/>
    <w:rsid w:val="00D77032"/>
    <w:pPr>
      <w:spacing w:before="0" w:after="0"/>
    </w:pPr>
  </w:style>
  <w:style w:type="paragraph" w:customStyle="1" w:styleId="Source">
    <w:name w:val="Source"/>
    <w:basedOn w:val="Normal"/>
    <w:rsid w:val="00D77032"/>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D77032"/>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D77032"/>
    <w:pPr>
      <w:jc w:val="center"/>
    </w:pPr>
  </w:style>
  <w:style w:type="paragraph" w:customStyle="1" w:styleId="TableColumnHeadingLeft">
    <w:name w:val="Table Column Heading Left"/>
    <w:basedOn w:val="TableColumnHeadingBase"/>
    <w:next w:val="Normal"/>
    <w:rsid w:val="00D77032"/>
  </w:style>
  <w:style w:type="paragraph" w:customStyle="1" w:styleId="TableColumnHeadingRight">
    <w:name w:val="Table Column Heading Right"/>
    <w:basedOn w:val="TableColumnHeadingBase"/>
    <w:next w:val="Normal"/>
    <w:rsid w:val="00D77032"/>
    <w:pPr>
      <w:jc w:val="right"/>
    </w:pPr>
  </w:style>
  <w:style w:type="paragraph" w:customStyle="1" w:styleId="TableGraphic">
    <w:name w:val="Table Graphic"/>
    <w:basedOn w:val="Normal"/>
    <w:next w:val="Normal"/>
    <w:rsid w:val="00D77032"/>
    <w:pPr>
      <w:spacing w:after="0" w:line="240" w:lineRule="auto"/>
      <w:ind w:right="-113"/>
    </w:pPr>
  </w:style>
  <w:style w:type="table" w:styleId="TableGrid">
    <w:name w:val="Table Grid"/>
    <w:basedOn w:val="TableNormal"/>
    <w:rsid w:val="00D77032"/>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D77032"/>
    <w:pPr>
      <w:spacing w:before="120" w:after="20"/>
    </w:pPr>
    <w:rPr>
      <w:b/>
      <w:sz w:val="20"/>
    </w:rPr>
  </w:style>
  <w:style w:type="paragraph" w:customStyle="1" w:styleId="TableHeadingcontinued">
    <w:name w:val="Table Heading continued"/>
    <w:basedOn w:val="HeadingBase"/>
    <w:next w:val="TableGraphic"/>
    <w:rsid w:val="00D77032"/>
    <w:pPr>
      <w:spacing w:before="120" w:after="20"/>
    </w:pPr>
    <w:rPr>
      <w:rFonts w:ascii="Arial Bold" w:hAnsi="Arial Bold"/>
      <w:b/>
      <w:sz w:val="20"/>
    </w:rPr>
  </w:style>
  <w:style w:type="paragraph" w:styleId="TableofFigures">
    <w:name w:val="table of figures"/>
    <w:basedOn w:val="Normal"/>
    <w:next w:val="Normal"/>
    <w:rsid w:val="00D77032"/>
  </w:style>
  <w:style w:type="paragraph" w:customStyle="1" w:styleId="TableTextBase">
    <w:name w:val="Table Text Base"/>
    <w:basedOn w:val="Normal"/>
    <w:rsid w:val="00D77032"/>
    <w:pPr>
      <w:spacing w:before="20" w:after="20" w:line="240" w:lineRule="auto"/>
    </w:pPr>
    <w:rPr>
      <w:rFonts w:ascii="Arial" w:hAnsi="Arial"/>
      <w:sz w:val="16"/>
    </w:rPr>
  </w:style>
  <w:style w:type="paragraph" w:customStyle="1" w:styleId="TableTextCentred">
    <w:name w:val="Table Text Centred"/>
    <w:basedOn w:val="TableTextBase"/>
    <w:rsid w:val="00D77032"/>
    <w:pPr>
      <w:jc w:val="center"/>
    </w:pPr>
  </w:style>
  <w:style w:type="paragraph" w:customStyle="1" w:styleId="TableTextIndented">
    <w:name w:val="Table Text Indented"/>
    <w:basedOn w:val="TableTextBase"/>
    <w:rsid w:val="00D77032"/>
    <w:pPr>
      <w:ind w:left="284"/>
    </w:pPr>
  </w:style>
  <w:style w:type="paragraph" w:customStyle="1" w:styleId="TableTextLeft">
    <w:name w:val="Table Text Left"/>
    <w:basedOn w:val="TableTextBase"/>
    <w:rsid w:val="00D77032"/>
  </w:style>
  <w:style w:type="paragraph" w:customStyle="1" w:styleId="TableTextRight">
    <w:name w:val="Table Text Right"/>
    <w:basedOn w:val="TableTextBase"/>
    <w:rsid w:val="00D77032"/>
    <w:pPr>
      <w:jc w:val="right"/>
    </w:pPr>
  </w:style>
  <w:style w:type="paragraph" w:styleId="TOAHeading">
    <w:name w:val="toa heading"/>
    <w:basedOn w:val="Normal"/>
    <w:next w:val="Normal"/>
    <w:rsid w:val="00D77032"/>
    <w:pPr>
      <w:spacing w:before="120"/>
    </w:pPr>
    <w:rPr>
      <w:rFonts w:ascii="Arial" w:hAnsi="Arial" w:cs="Arial"/>
      <w:b/>
      <w:bCs/>
      <w:sz w:val="24"/>
      <w:szCs w:val="24"/>
    </w:rPr>
  </w:style>
  <w:style w:type="paragraph" w:styleId="TOC1">
    <w:name w:val="toc 1"/>
    <w:basedOn w:val="HeaderBase"/>
    <w:next w:val="Normal"/>
    <w:uiPriority w:val="2"/>
    <w:rsid w:val="00D77032"/>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D77032"/>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D77032"/>
    <w:pPr>
      <w:tabs>
        <w:tab w:val="right" w:leader="dot" w:pos="7700"/>
      </w:tabs>
      <w:spacing w:before="40"/>
      <w:ind w:right="851"/>
    </w:pPr>
    <w:rPr>
      <w:sz w:val="20"/>
    </w:rPr>
  </w:style>
  <w:style w:type="paragraph" w:styleId="TOC4">
    <w:name w:val="toc 4"/>
    <w:basedOn w:val="HeadingBase"/>
    <w:next w:val="Normal"/>
    <w:uiPriority w:val="2"/>
    <w:unhideWhenUsed/>
    <w:rsid w:val="00D77032"/>
    <w:pPr>
      <w:tabs>
        <w:tab w:val="right" w:leader="dot" w:pos="7700"/>
      </w:tabs>
      <w:spacing w:before="40"/>
      <w:ind w:right="851"/>
    </w:pPr>
    <w:rPr>
      <w:sz w:val="20"/>
    </w:rPr>
  </w:style>
  <w:style w:type="paragraph" w:styleId="TOC5">
    <w:name w:val="toc 5"/>
    <w:basedOn w:val="Normal"/>
    <w:next w:val="Normal"/>
    <w:autoRedefine/>
    <w:uiPriority w:val="2"/>
    <w:rsid w:val="00D77032"/>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D77032"/>
    <w:pPr>
      <w:tabs>
        <w:tab w:val="left" w:pos="851"/>
      </w:tabs>
      <w:ind w:left="851" w:hanging="851"/>
    </w:pPr>
    <w:rPr>
      <w:color w:val="000000"/>
    </w:rPr>
  </w:style>
  <w:style w:type="paragraph" w:styleId="TOC7">
    <w:name w:val="toc 7"/>
    <w:basedOn w:val="Normal"/>
    <w:next w:val="Normal"/>
    <w:autoRedefine/>
    <w:uiPriority w:val="2"/>
    <w:semiHidden/>
    <w:rsid w:val="00D77032"/>
    <w:pPr>
      <w:ind w:left="1200"/>
    </w:pPr>
  </w:style>
  <w:style w:type="paragraph" w:styleId="TOC8">
    <w:name w:val="toc 8"/>
    <w:basedOn w:val="Normal"/>
    <w:next w:val="Normal"/>
    <w:autoRedefine/>
    <w:uiPriority w:val="2"/>
    <w:semiHidden/>
    <w:rsid w:val="00D77032"/>
    <w:pPr>
      <w:ind w:left="1400"/>
    </w:pPr>
  </w:style>
  <w:style w:type="paragraph" w:styleId="TOC9">
    <w:name w:val="toc 9"/>
    <w:basedOn w:val="Normal"/>
    <w:next w:val="Normal"/>
    <w:autoRedefine/>
    <w:uiPriority w:val="2"/>
    <w:rsid w:val="00D77032"/>
    <w:pPr>
      <w:ind w:left="1600"/>
    </w:pPr>
  </w:style>
  <w:style w:type="paragraph" w:customStyle="1" w:styleId="TPHeading1">
    <w:name w:val="TP Heading 1"/>
    <w:basedOn w:val="HeadingBase"/>
    <w:semiHidden/>
    <w:rsid w:val="00D77032"/>
    <w:pPr>
      <w:spacing w:before="60" w:after="60"/>
      <w:ind w:left="1134"/>
    </w:pPr>
    <w:rPr>
      <w:rFonts w:ascii="Arial Bold" w:hAnsi="Arial Bold"/>
      <w:b/>
      <w:caps/>
      <w:spacing w:val="-10"/>
      <w:sz w:val="28"/>
    </w:rPr>
  </w:style>
  <w:style w:type="paragraph" w:customStyle="1" w:styleId="TPHeading2">
    <w:name w:val="TP Heading 2"/>
    <w:basedOn w:val="HeadingBase"/>
    <w:semiHidden/>
    <w:rsid w:val="00D77032"/>
    <w:pPr>
      <w:ind w:left="1134"/>
    </w:pPr>
    <w:rPr>
      <w:caps/>
      <w:spacing w:val="-10"/>
      <w:sz w:val="28"/>
    </w:rPr>
  </w:style>
  <w:style w:type="paragraph" w:customStyle="1" w:styleId="TPHeading3">
    <w:name w:val="TP Heading 3"/>
    <w:basedOn w:val="HeadingBase"/>
    <w:semiHidden/>
    <w:rsid w:val="00D77032"/>
    <w:pPr>
      <w:ind w:left="1134"/>
    </w:pPr>
    <w:rPr>
      <w:caps/>
      <w:spacing w:val="-10"/>
    </w:rPr>
  </w:style>
  <w:style w:type="paragraph" w:customStyle="1" w:styleId="TPHeading3bold">
    <w:name w:val="TP Heading 3 bold"/>
    <w:basedOn w:val="TPHeading3"/>
    <w:semiHidden/>
    <w:rsid w:val="00D77032"/>
    <w:rPr>
      <w:rFonts w:cs="Arial"/>
      <w:b/>
      <w:sz w:val="22"/>
      <w:szCs w:val="22"/>
    </w:rPr>
  </w:style>
  <w:style w:type="paragraph" w:customStyle="1" w:styleId="TPHEADING3boldspace">
    <w:name w:val="TP HEADING 3 bold space"/>
    <w:basedOn w:val="TPHeading3bold"/>
    <w:semiHidden/>
    <w:rsid w:val="00D77032"/>
    <w:pPr>
      <w:spacing w:after="120"/>
    </w:pPr>
  </w:style>
  <w:style w:type="paragraph" w:customStyle="1" w:styleId="TPHEADING3space">
    <w:name w:val="TP HEADING 3 space"/>
    <w:basedOn w:val="TPHeading3"/>
    <w:semiHidden/>
    <w:rsid w:val="00D77032"/>
    <w:pPr>
      <w:spacing w:before="120" w:after="120"/>
    </w:pPr>
    <w:rPr>
      <w:rFonts w:cs="Arial"/>
      <w:sz w:val="22"/>
      <w:szCs w:val="22"/>
    </w:rPr>
  </w:style>
  <w:style w:type="paragraph" w:customStyle="1" w:styleId="TPHeading4">
    <w:name w:val="TP Heading 4"/>
    <w:basedOn w:val="TPHeading3"/>
    <w:semiHidden/>
    <w:rsid w:val="00D77032"/>
    <w:rPr>
      <w:sz w:val="20"/>
    </w:rPr>
  </w:style>
  <w:style w:type="paragraph" w:customStyle="1" w:styleId="TPHEADING4space">
    <w:name w:val="TP HEADING 4 space"/>
    <w:basedOn w:val="TPHEADING3space"/>
    <w:semiHidden/>
    <w:rsid w:val="00D77032"/>
  </w:style>
  <w:style w:type="paragraph" w:customStyle="1" w:styleId="ChartLine">
    <w:name w:val="Chart Line"/>
    <w:basedOn w:val="Normal"/>
    <w:autoRedefine/>
    <w:qFormat/>
    <w:rsid w:val="00D7703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D7703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D77032"/>
    <w:rPr>
      <w:sz w:val="16"/>
    </w:rPr>
  </w:style>
  <w:style w:type="paragraph" w:customStyle="1" w:styleId="Box-continuedon">
    <w:name w:val="Box - continued on"/>
    <w:basedOn w:val="Normal"/>
    <w:qFormat/>
    <w:rsid w:val="00D77032"/>
    <w:pPr>
      <w:jc w:val="right"/>
    </w:pPr>
    <w:rPr>
      <w:rFonts w:asciiTheme="majorHAnsi" w:hAnsiTheme="majorHAnsi" w:cstheme="majorHAnsi"/>
      <w:i/>
      <w:iCs/>
      <w:sz w:val="18"/>
      <w:szCs w:val="24"/>
    </w:rPr>
  </w:style>
  <w:style w:type="paragraph" w:customStyle="1" w:styleId="BoxHeading2">
    <w:name w:val="Box Heading 2"/>
    <w:basedOn w:val="BoxHeading"/>
    <w:autoRedefine/>
    <w:rsid w:val="00D77032"/>
    <w:pPr>
      <w:spacing w:after="0"/>
    </w:pPr>
    <w:rPr>
      <w:b w:val="0"/>
      <w:bCs/>
      <w:szCs w:val="14"/>
    </w:rPr>
  </w:style>
  <w:style w:type="character" w:customStyle="1" w:styleId="Heading9Char">
    <w:name w:val="Heading 9 Char"/>
    <w:basedOn w:val="DefaultParagraphFont"/>
    <w:link w:val="Heading9"/>
    <w:uiPriority w:val="9"/>
    <w:rsid w:val="00D77032"/>
    <w:rPr>
      <w:rFonts w:ascii="Cambria" w:eastAsia="Times New Roman" w:hAnsi="Cambria" w:cs="Times New Roman"/>
      <w:lang w:eastAsia="en-AU"/>
    </w:rPr>
  </w:style>
  <w:style w:type="paragraph" w:customStyle="1" w:styleId="GhostLine">
    <w:name w:val="Ghost Line"/>
    <w:basedOn w:val="NoSpacing"/>
    <w:qFormat/>
    <w:rsid w:val="00D77032"/>
    <w:pPr>
      <w:jc w:val="both"/>
    </w:pPr>
    <w:rPr>
      <w:rFonts w:ascii="Book Antiqua" w:hAnsi="Book Antiqua"/>
      <w:sz w:val="2"/>
    </w:rPr>
  </w:style>
  <w:style w:type="paragraph" w:styleId="NoSpacing">
    <w:name w:val="No Spacing"/>
    <w:uiPriority w:val="1"/>
    <w:qFormat/>
    <w:rsid w:val="00D77032"/>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D77032"/>
    <w:rPr>
      <w:rFonts w:ascii="Book Antiqua" w:eastAsia="Times New Roman" w:hAnsi="Book Antiqua" w:cs="Times New Roman"/>
      <w:sz w:val="19"/>
      <w:szCs w:val="20"/>
      <w:lang w:eastAsia="en-AU"/>
    </w:rPr>
  </w:style>
  <w:style w:type="paragraph" w:customStyle="1" w:styleId="AppendixHeading">
    <w:name w:val="Appendix Heading"/>
    <w:basedOn w:val="HeadingBase"/>
    <w:rsid w:val="00D63C70"/>
    <w:pPr>
      <w:spacing w:after="240"/>
      <w:jc w:val="center"/>
      <w:outlineLvl w:val="3"/>
    </w:pPr>
    <w:rPr>
      <w:b/>
      <w:smallCaps/>
      <w:sz w:val="30"/>
    </w:rPr>
  </w:style>
  <w:style w:type="paragraph" w:styleId="BalloonText">
    <w:name w:val="Balloon Text"/>
    <w:basedOn w:val="Normal"/>
    <w:link w:val="BalloonTextChar"/>
    <w:rsid w:val="00D63C70"/>
    <w:rPr>
      <w:rFonts w:ascii="Tahoma" w:hAnsi="Tahoma" w:cs="Tahoma"/>
      <w:sz w:val="16"/>
      <w:szCs w:val="16"/>
    </w:rPr>
  </w:style>
  <w:style w:type="character" w:customStyle="1" w:styleId="BalloonTextChar">
    <w:name w:val="Balloon Text Char"/>
    <w:basedOn w:val="DefaultParagraphFont"/>
    <w:link w:val="BalloonText"/>
    <w:rsid w:val="00D63C70"/>
    <w:rPr>
      <w:rFonts w:ascii="Tahoma" w:eastAsia="Times New Roman" w:hAnsi="Tahoma" w:cs="Tahoma"/>
      <w:sz w:val="16"/>
      <w:szCs w:val="16"/>
      <w:lang w:eastAsia="en-AU"/>
    </w:rPr>
  </w:style>
  <w:style w:type="paragraph" w:customStyle="1" w:styleId="BlockedQuotation">
    <w:name w:val="Blocked Quotation"/>
    <w:basedOn w:val="Normal"/>
    <w:rsid w:val="00D63C70"/>
    <w:pPr>
      <w:ind w:left="567"/>
    </w:pPr>
  </w:style>
  <w:style w:type="paragraph" w:customStyle="1" w:styleId="BoxSubHeading">
    <w:name w:val="Box Sub Heading"/>
    <w:basedOn w:val="Heading6"/>
    <w:rsid w:val="00D63C70"/>
    <w:pPr>
      <w:spacing w:before="120" w:after="40"/>
    </w:pPr>
  </w:style>
  <w:style w:type="paragraph" w:customStyle="1" w:styleId="ChartHeading">
    <w:name w:val="Chart Heading"/>
    <w:basedOn w:val="HeadingBase"/>
    <w:next w:val="ChartGraphic"/>
    <w:qFormat/>
    <w:rsid w:val="00D63C70"/>
    <w:pPr>
      <w:spacing w:before="120" w:after="20"/>
      <w:jc w:val="center"/>
    </w:pPr>
    <w:rPr>
      <w:b/>
      <w:sz w:val="20"/>
    </w:rPr>
  </w:style>
  <w:style w:type="paragraph" w:customStyle="1" w:styleId="ContentsnoToC">
    <w:name w:val="Contents no ToC"/>
    <w:basedOn w:val="ContentsHeading"/>
    <w:rsid w:val="00D63C70"/>
  </w:style>
  <w:style w:type="character" w:styleId="EndnoteReference">
    <w:name w:val="endnote reference"/>
    <w:basedOn w:val="DefaultParagraphFont"/>
    <w:unhideWhenUsed/>
    <w:rsid w:val="00D63C70"/>
    <w:rPr>
      <w:vertAlign w:val="superscript"/>
    </w:rPr>
  </w:style>
  <w:style w:type="paragraph" w:styleId="EndnoteText">
    <w:name w:val="endnote text"/>
    <w:basedOn w:val="Normal"/>
    <w:link w:val="EndnoteTextChar"/>
    <w:unhideWhenUsed/>
    <w:rsid w:val="00D63C70"/>
  </w:style>
  <w:style w:type="character" w:customStyle="1" w:styleId="EndnoteTextChar">
    <w:name w:val="Endnote Text Char"/>
    <w:basedOn w:val="DefaultParagraphFont"/>
    <w:link w:val="EndnoteText"/>
    <w:rsid w:val="00D63C70"/>
    <w:rPr>
      <w:rFonts w:ascii="Book Antiqua" w:eastAsia="Times New Roman" w:hAnsi="Book Antiqua" w:cs="Times New Roman"/>
      <w:sz w:val="19"/>
      <w:szCs w:val="20"/>
      <w:lang w:eastAsia="en-AU"/>
    </w:rPr>
  </w:style>
  <w:style w:type="paragraph" w:styleId="Index1">
    <w:name w:val="index 1"/>
    <w:basedOn w:val="Normal"/>
    <w:next w:val="Normal"/>
    <w:rsid w:val="00D63C70"/>
    <w:pPr>
      <w:ind w:left="200" w:hanging="200"/>
    </w:pPr>
  </w:style>
  <w:style w:type="paragraph" w:styleId="Index2">
    <w:name w:val="index 2"/>
    <w:basedOn w:val="Normal"/>
    <w:next w:val="Normal"/>
    <w:rsid w:val="00D63C70"/>
    <w:pPr>
      <w:ind w:left="400" w:hanging="200"/>
    </w:pPr>
  </w:style>
  <w:style w:type="paragraph" w:styleId="Index3">
    <w:name w:val="index 3"/>
    <w:basedOn w:val="Normal"/>
    <w:next w:val="Normal"/>
    <w:rsid w:val="00D63C70"/>
    <w:pPr>
      <w:ind w:left="600" w:hanging="200"/>
    </w:pPr>
  </w:style>
  <w:style w:type="paragraph" w:styleId="IndexHeading">
    <w:name w:val="index heading"/>
    <w:basedOn w:val="Normal"/>
    <w:next w:val="Index1"/>
    <w:rsid w:val="00D63C70"/>
    <w:rPr>
      <w:rFonts w:ascii="Arial Bold" w:hAnsi="Arial Bold" w:cs="Arial"/>
      <w:b/>
      <w:bCs/>
      <w:color w:val="002B54"/>
    </w:rPr>
  </w:style>
  <w:style w:type="paragraph" w:customStyle="1" w:styleId="SourceBox">
    <w:name w:val="Source Box"/>
    <w:basedOn w:val="Source"/>
    <w:rsid w:val="00D63C70"/>
    <w:pPr>
      <w:spacing w:after="120"/>
    </w:pPr>
  </w:style>
  <w:style w:type="paragraph" w:customStyle="1" w:styleId="TableColumnHeadingS118pt">
    <w:name w:val="Table Column Heading S11 8 pt"/>
    <w:basedOn w:val="TableColumnHeadingBase"/>
    <w:rsid w:val="00D63C70"/>
    <w:pPr>
      <w:spacing w:after="0"/>
    </w:pPr>
    <w:rPr>
      <w:rFonts w:ascii="Arial" w:hAnsi="Arial"/>
    </w:rPr>
  </w:style>
  <w:style w:type="paragraph" w:customStyle="1" w:styleId="TableColumnHeadingS119pt">
    <w:name w:val="Table Column Heading S11 9 pt"/>
    <w:basedOn w:val="TableColumnHeadingBase"/>
    <w:rsid w:val="00D63C70"/>
    <w:pPr>
      <w:spacing w:before="60" w:after="60"/>
    </w:pPr>
    <w:rPr>
      <w:rFonts w:ascii="Arial" w:hAnsi="Arial"/>
      <w:sz w:val="18"/>
    </w:rPr>
  </w:style>
  <w:style w:type="paragraph" w:styleId="TableofAuthorities">
    <w:name w:val="table of authorities"/>
    <w:basedOn w:val="Normal"/>
    <w:next w:val="Normal"/>
    <w:rsid w:val="00D63C70"/>
    <w:pPr>
      <w:ind w:left="200" w:hanging="200"/>
    </w:pPr>
  </w:style>
  <w:style w:type="paragraph" w:customStyle="1" w:styleId="Boxcontinuedover">
    <w:name w:val="Box continued over"/>
    <w:basedOn w:val="BoxText"/>
    <w:qFormat/>
    <w:rsid w:val="00D63C70"/>
    <w:pPr>
      <w:spacing w:before="240" w:after="0"/>
      <w:jc w:val="right"/>
    </w:pPr>
    <w:rPr>
      <w:rFonts w:ascii="Arial" w:hAnsi="Arial"/>
      <w:b/>
      <w:bCs/>
      <w:sz w:val="18"/>
      <w:szCs w:val="16"/>
    </w:rPr>
  </w:style>
  <w:style w:type="paragraph" w:customStyle="1" w:styleId="ContentsSecondHeading">
    <w:name w:val="Contents Second Heading"/>
    <w:basedOn w:val="HeadingBase"/>
    <w:next w:val="Normal"/>
    <w:rsid w:val="00D63C70"/>
    <w:pPr>
      <w:keepNext w:val="0"/>
      <w:spacing w:after="360"/>
      <w:jc w:val="center"/>
    </w:pPr>
    <w:rPr>
      <w:rFonts w:cs="Arial"/>
      <w:color w:val="000000"/>
      <w:sz w:val="30"/>
      <w:szCs w:val="24"/>
      <w:lang w:eastAsia="en-US"/>
    </w:rPr>
  </w:style>
  <w:style w:type="paragraph" w:styleId="ListBullet4">
    <w:name w:val="List Bullet 4"/>
    <w:basedOn w:val="Normal"/>
    <w:autoRedefine/>
    <w:uiPriority w:val="99"/>
    <w:rsid w:val="00D63C70"/>
    <w:pPr>
      <w:tabs>
        <w:tab w:val="num" w:pos="1209"/>
      </w:tabs>
      <w:ind w:left="1209" w:hanging="360"/>
    </w:pPr>
  </w:style>
  <w:style w:type="paragraph" w:customStyle="1" w:styleId="ChartandTableFootnoteAlphaSmall">
    <w:name w:val="Chart and Table Footnote Alpha Small"/>
    <w:basedOn w:val="ChartandTableFootnoteAlpha"/>
    <w:link w:val="ChartandTableFootnoteAlphaSmallChar"/>
    <w:rsid w:val="00D63C70"/>
    <w:pPr>
      <w:numPr>
        <w:numId w:val="6"/>
      </w:numPr>
    </w:pPr>
    <w:rPr>
      <w:rFonts w:cs="Arial"/>
      <w:sz w:val="15"/>
      <w:szCs w:val="24"/>
      <w:lang w:eastAsia="en-US"/>
    </w:rPr>
  </w:style>
  <w:style w:type="paragraph" w:customStyle="1" w:styleId="Exactly">
    <w:name w:val="Exactly"/>
    <w:basedOn w:val="Normal"/>
    <w:next w:val="Normal"/>
    <w:rsid w:val="00D63C70"/>
    <w:pPr>
      <w:spacing w:line="240" w:lineRule="auto"/>
    </w:pPr>
  </w:style>
  <w:style w:type="paragraph" w:customStyle="1" w:styleId="SingleParagraph0">
    <w:name w:val="SingleParagraph"/>
    <w:basedOn w:val="Normal"/>
    <w:next w:val="Normal"/>
    <w:rsid w:val="00D63C70"/>
    <w:pPr>
      <w:spacing w:after="0" w:line="240" w:lineRule="auto"/>
    </w:pPr>
    <w:rPr>
      <w:color w:val="000000"/>
    </w:rPr>
  </w:style>
  <w:style w:type="paragraph" w:customStyle="1" w:styleId="MeasureTableTextLeftAligned">
    <w:name w:val="Measure Table Text Left Aligned"/>
    <w:basedOn w:val="Normal"/>
    <w:rsid w:val="00D63C70"/>
    <w:pPr>
      <w:spacing w:before="60" w:after="60" w:line="240" w:lineRule="auto"/>
    </w:pPr>
    <w:rPr>
      <w:rFonts w:ascii="Arial" w:hAnsi="Arial"/>
      <w:color w:val="000000"/>
      <w:sz w:val="16"/>
    </w:rPr>
  </w:style>
  <w:style w:type="paragraph" w:customStyle="1" w:styleId="MeasureTableTextRightAligned">
    <w:name w:val="Measure Table Text Right Aligned"/>
    <w:basedOn w:val="Normal"/>
    <w:rsid w:val="00D63C70"/>
    <w:pPr>
      <w:spacing w:before="60" w:after="60" w:line="240" w:lineRule="auto"/>
      <w:jc w:val="right"/>
    </w:pPr>
    <w:rPr>
      <w:rFonts w:ascii="Arial" w:hAnsi="Arial"/>
      <w:sz w:val="16"/>
    </w:rPr>
  </w:style>
  <w:style w:type="paragraph" w:customStyle="1" w:styleId="Attachmentheading">
    <w:name w:val="Attachment heading"/>
    <w:basedOn w:val="Normal"/>
    <w:next w:val="Normal"/>
    <w:rsid w:val="00D63C70"/>
    <w:pPr>
      <w:spacing w:line="240" w:lineRule="auto"/>
      <w:jc w:val="right"/>
    </w:pPr>
    <w:rPr>
      <w:rFonts w:ascii="Arial Bold" w:hAnsi="Arial Bold"/>
      <w:b/>
      <w:sz w:val="22"/>
    </w:rPr>
  </w:style>
  <w:style w:type="paragraph" w:customStyle="1" w:styleId="st11summarytableheading1">
    <w:name w:val="st 11 summary table heading 1"/>
    <w:basedOn w:val="Heading5"/>
    <w:rsid w:val="00D63C70"/>
    <w:pPr>
      <w:spacing w:before="60" w:after="60"/>
    </w:pPr>
    <w:rPr>
      <w:rFonts w:ascii="Arial Bold" w:hAnsi="Arial Bold" w:cs="Arial"/>
      <w:bCs w:val="0"/>
      <w:i w:val="0"/>
      <w:iCs w:val="0"/>
      <w:color w:val="000000"/>
      <w:sz w:val="18"/>
      <w:szCs w:val="18"/>
      <w:lang w:eastAsia="en-US"/>
    </w:rPr>
  </w:style>
  <w:style w:type="paragraph" w:customStyle="1" w:styleId="St11summarytableheading2">
    <w:name w:val="St 11 summary table heading 2"/>
    <w:basedOn w:val="Heading7"/>
    <w:rsid w:val="00D63C70"/>
    <w:pPr>
      <w:keepNext w:val="0"/>
      <w:spacing w:before="40"/>
    </w:pPr>
    <w:rPr>
      <w:rFonts w:ascii="Arial Bold" w:hAnsi="Arial Bold" w:cs="Arial"/>
      <w:b/>
      <w:color w:val="000000"/>
      <w:sz w:val="16"/>
      <w:szCs w:val="16"/>
      <w:lang w:eastAsia="en-US"/>
    </w:rPr>
  </w:style>
  <w:style w:type="paragraph" w:customStyle="1" w:styleId="MeasureTableHeading">
    <w:name w:val="Measure Table Heading"/>
    <w:basedOn w:val="Normal"/>
    <w:rsid w:val="00D63C70"/>
    <w:pPr>
      <w:keepNext/>
      <w:spacing w:after="0" w:line="240" w:lineRule="auto"/>
    </w:pPr>
    <w:rPr>
      <w:rFonts w:ascii="Arial" w:hAnsi="Arial"/>
      <w:sz w:val="16"/>
      <w:szCs w:val="3276"/>
    </w:rPr>
  </w:style>
  <w:style w:type="paragraph" w:customStyle="1" w:styleId="BoxDash">
    <w:name w:val="Box Dash"/>
    <w:basedOn w:val="Normal"/>
    <w:rsid w:val="00D63C70"/>
    <w:pPr>
      <w:tabs>
        <w:tab w:val="left" w:pos="567"/>
      </w:tabs>
      <w:spacing w:before="120" w:after="120"/>
    </w:pPr>
    <w:rPr>
      <w:color w:val="000000"/>
    </w:rPr>
  </w:style>
  <w:style w:type="paragraph" w:customStyle="1" w:styleId="BoxDoubleDot">
    <w:name w:val="Box Double Dot"/>
    <w:basedOn w:val="BoxTextBase"/>
    <w:rsid w:val="00D63C70"/>
    <w:pPr>
      <w:tabs>
        <w:tab w:val="num" w:pos="283"/>
      </w:tabs>
      <w:spacing w:before="120" w:after="120"/>
      <w:ind w:left="283" w:hanging="283"/>
    </w:pPr>
  </w:style>
  <w:style w:type="paragraph" w:customStyle="1" w:styleId="BoxTextBase">
    <w:name w:val="Box Text Base"/>
    <w:basedOn w:val="Normal"/>
    <w:rsid w:val="00D63C70"/>
    <w:pPr>
      <w:spacing w:line="240" w:lineRule="auto"/>
    </w:pPr>
    <w:rPr>
      <w:color w:val="000000"/>
    </w:rPr>
  </w:style>
  <w:style w:type="paragraph" w:customStyle="1" w:styleId="AppendixBBoxHeading">
    <w:name w:val="Appendix_B_Box_Heading"/>
    <w:basedOn w:val="Heading5"/>
    <w:rsid w:val="00D63C70"/>
    <w:pPr>
      <w:spacing w:before="120" w:after="80"/>
    </w:pPr>
    <w:rPr>
      <w:rFonts w:cs="Arial"/>
      <w:bCs w:val="0"/>
      <w:i w:val="0"/>
      <w:iCs w:val="0"/>
      <w:color w:val="000000"/>
      <w:szCs w:val="24"/>
      <w:lang w:eastAsia="en-US"/>
    </w:rPr>
  </w:style>
  <w:style w:type="paragraph" w:customStyle="1" w:styleId="OneLevelNumberedParagraph">
    <w:name w:val="One Level Numbered Paragraph"/>
    <w:basedOn w:val="Normal"/>
    <w:rsid w:val="00D63C70"/>
    <w:pPr>
      <w:numPr>
        <w:numId w:val="7"/>
      </w:numPr>
      <w:ind w:left="0" w:firstLine="0"/>
    </w:pPr>
    <w:rPr>
      <w:color w:val="000000"/>
    </w:rPr>
  </w:style>
  <w:style w:type="paragraph" w:customStyle="1" w:styleId="OutlineNumbered1">
    <w:name w:val="Outline Numbered 1"/>
    <w:basedOn w:val="Normal"/>
    <w:link w:val="OutlineNumbered1Char"/>
    <w:rsid w:val="00D63C70"/>
    <w:pPr>
      <w:numPr>
        <w:numId w:val="8"/>
      </w:numPr>
      <w:ind w:left="0" w:firstLine="0"/>
    </w:pPr>
    <w:rPr>
      <w:color w:val="000000"/>
    </w:rPr>
  </w:style>
  <w:style w:type="paragraph" w:customStyle="1" w:styleId="OutlineNumbered2">
    <w:name w:val="Outline Numbered 2"/>
    <w:basedOn w:val="Normal"/>
    <w:link w:val="OutlineNumbered2Char"/>
    <w:rsid w:val="00D63C70"/>
    <w:pPr>
      <w:numPr>
        <w:ilvl w:val="1"/>
        <w:numId w:val="8"/>
      </w:numPr>
      <w:tabs>
        <w:tab w:val="num" w:pos="360"/>
      </w:tabs>
      <w:ind w:left="0" w:firstLine="0"/>
    </w:pPr>
    <w:rPr>
      <w:color w:val="000000"/>
    </w:rPr>
  </w:style>
  <w:style w:type="paragraph" w:customStyle="1" w:styleId="OutlineNumbered3">
    <w:name w:val="Outline Numbered 3"/>
    <w:basedOn w:val="Normal"/>
    <w:link w:val="OutlineNumbered3Char"/>
    <w:rsid w:val="00D63C70"/>
    <w:pPr>
      <w:numPr>
        <w:ilvl w:val="2"/>
        <w:numId w:val="8"/>
      </w:numPr>
      <w:tabs>
        <w:tab w:val="num" w:pos="360"/>
      </w:tabs>
      <w:ind w:left="0" w:firstLine="0"/>
    </w:pPr>
    <w:rPr>
      <w:color w:val="000000"/>
    </w:rPr>
  </w:style>
  <w:style w:type="paragraph" w:styleId="Title">
    <w:name w:val="Title"/>
    <w:basedOn w:val="Normal"/>
    <w:link w:val="TitleChar"/>
    <w:uiPriority w:val="10"/>
    <w:qFormat/>
    <w:rsid w:val="00D63C70"/>
    <w:pPr>
      <w:spacing w:after="0" w:line="240" w:lineRule="auto"/>
      <w:jc w:val="center"/>
      <w:outlineLvl w:val="0"/>
    </w:pPr>
    <w:rPr>
      <w:b/>
      <w:kern w:val="28"/>
      <w:sz w:val="52"/>
    </w:rPr>
  </w:style>
  <w:style w:type="character" w:customStyle="1" w:styleId="TitleChar">
    <w:name w:val="Title Char"/>
    <w:basedOn w:val="DefaultParagraphFont"/>
    <w:link w:val="Title"/>
    <w:uiPriority w:val="10"/>
    <w:rsid w:val="00D63C70"/>
    <w:rPr>
      <w:rFonts w:ascii="Book Antiqua" w:eastAsia="Times New Roman" w:hAnsi="Book Antiqua" w:cs="Times New Roman"/>
      <w:b/>
      <w:kern w:val="28"/>
      <w:sz w:val="52"/>
      <w:szCs w:val="20"/>
      <w:lang w:eastAsia="en-AU"/>
    </w:rPr>
  </w:style>
  <w:style w:type="paragraph" w:customStyle="1" w:styleId="Title2ndLevel">
    <w:name w:val="Title 2nd Level"/>
    <w:basedOn w:val="Normal"/>
    <w:rsid w:val="00D63C70"/>
    <w:pPr>
      <w:spacing w:after="0" w:line="240" w:lineRule="auto"/>
      <w:jc w:val="center"/>
    </w:pPr>
    <w:rPr>
      <w:sz w:val="24"/>
    </w:rPr>
  </w:style>
  <w:style w:type="paragraph" w:customStyle="1" w:styleId="AppendixBBoxSubHeading">
    <w:name w:val="Appendix_B_Box_SubHeading"/>
    <w:basedOn w:val="Heading6"/>
    <w:rsid w:val="00D63C70"/>
    <w:pPr>
      <w:spacing w:before="80" w:after="80"/>
    </w:pPr>
    <w:rPr>
      <w:rFonts w:cs="Arial"/>
      <w:bCs w:val="0"/>
      <w:color w:val="000000"/>
      <w:szCs w:val="24"/>
      <w:lang w:eastAsia="en-US"/>
    </w:rPr>
  </w:style>
  <w:style w:type="paragraph" w:customStyle="1" w:styleId="Heading2noTOC">
    <w:name w:val="Heading 2 no TOC"/>
    <w:basedOn w:val="Heading2"/>
    <w:qFormat/>
    <w:rsid w:val="00D63C70"/>
    <w:rPr>
      <w:rFonts w:cs="Arial"/>
      <w:bCs/>
      <w:iCs/>
      <w:color w:val="000000"/>
      <w:szCs w:val="28"/>
      <w:lang w:eastAsia="en-US"/>
    </w:rPr>
  </w:style>
  <w:style w:type="paragraph" w:customStyle="1" w:styleId="fbo">
    <w:name w:val="fbo"/>
    <w:rsid w:val="00D63C70"/>
    <w:pPr>
      <w:spacing w:after="240" w:line="260" w:lineRule="exact"/>
      <w:jc w:val="both"/>
    </w:pPr>
    <w:rPr>
      <w:rFonts w:ascii="Book Antiqua" w:eastAsia="Times New Roman" w:hAnsi="Book Antiqua" w:cs="Times New Roman"/>
      <w:sz w:val="20"/>
      <w:szCs w:val="24"/>
    </w:rPr>
  </w:style>
  <w:style w:type="character" w:customStyle="1" w:styleId="BulletChar">
    <w:name w:val="Bullet Char"/>
    <w:aliases w:val="b Char,Body Char,Bullet + line Char,b + line Char,b + line Char Char,b Char Char,b1 Char,level 1 Char,Bullets Char,Number Char"/>
    <w:link w:val="Bullet"/>
    <w:qFormat/>
    <w:rsid w:val="00D63C70"/>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rsid w:val="00D63C70"/>
    <w:rPr>
      <w:rFonts w:ascii="Arial" w:eastAsia="Times New Roman" w:hAnsi="Arial" w:cs="Times New Roman"/>
      <w:color w:val="000000"/>
      <w:sz w:val="16"/>
      <w:szCs w:val="20"/>
      <w:lang w:eastAsia="en-AU"/>
    </w:rPr>
  </w:style>
  <w:style w:type="paragraph" w:customStyle="1" w:styleId="CABNETParagraph">
    <w:name w:val="CABNET Paragraph"/>
    <w:basedOn w:val="Normal"/>
    <w:link w:val="CABNETParagraphChar"/>
    <w:qFormat/>
    <w:rsid w:val="00D63C70"/>
    <w:pPr>
      <w:spacing w:before="120" w:after="120" w:line="240" w:lineRule="auto"/>
    </w:pPr>
    <w:rPr>
      <w:rFonts w:ascii="Verdana" w:eastAsia="Calibri" w:hAnsi="Verdana"/>
      <w:sz w:val="22"/>
      <w:szCs w:val="22"/>
    </w:rPr>
  </w:style>
  <w:style w:type="character" w:customStyle="1" w:styleId="CABNETParagraphChar">
    <w:name w:val="CABNET Paragraph Char"/>
    <w:link w:val="CABNETParagraph"/>
    <w:rsid w:val="00D63C70"/>
    <w:rPr>
      <w:rFonts w:ascii="Verdana" w:eastAsia="Calibri" w:hAnsi="Verdana" w:cs="Times New Roman"/>
      <w:lang w:eastAsia="en-AU"/>
    </w:rPr>
  </w:style>
  <w:style w:type="character" w:customStyle="1" w:styleId="hps-normal1">
    <w:name w:val="hps-normal1"/>
    <w:rsid w:val="00D63C70"/>
  </w:style>
  <w:style w:type="paragraph" w:styleId="Revision">
    <w:name w:val="Revision"/>
    <w:hidden/>
    <w:uiPriority w:val="99"/>
    <w:semiHidden/>
    <w:rsid w:val="00D63C70"/>
    <w:pPr>
      <w:spacing w:after="0" w:line="240" w:lineRule="auto"/>
    </w:pPr>
    <w:rPr>
      <w:rFonts w:ascii="Book Antiqua" w:eastAsia="Times New Roman" w:hAnsi="Book Antiqua" w:cs="Times New Roman"/>
      <w:sz w:val="20"/>
      <w:szCs w:val="24"/>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D63C70"/>
    <w:pPr>
      <w:spacing w:after="0" w:line="240" w:lineRule="auto"/>
      <w:ind w:left="720"/>
    </w:pPr>
    <w:rPr>
      <w:rFonts w:ascii="Calibri" w:eastAsia="Calibri" w:hAnsi="Calibri"/>
      <w:sz w:val="22"/>
      <w:szCs w:val="22"/>
    </w:rPr>
  </w:style>
  <w:style w:type="paragraph" w:styleId="NormalWeb">
    <w:name w:val="Normal (Web)"/>
    <w:basedOn w:val="Normal"/>
    <w:uiPriority w:val="99"/>
    <w:rsid w:val="00D63C70"/>
    <w:rPr>
      <w:rFonts w:ascii="Times New Roman" w:hAnsi="Times New Roman"/>
      <w:sz w:val="24"/>
    </w:rPr>
  </w:style>
  <w:style w:type="character" w:customStyle="1" w:styleId="DashChar">
    <w:name w:val="Dash Char"/>
    <w:link w:val="Dash"/>
    <w:locked/>
    <w:rsid w:val="00D63C70"/>
    <w:rPr>
      <w:rFonts w:ascii="Book Antiqua" w:eastAsia="Times New Roman" w:hAnsi="Book Antiqua" w:cs="Times New Roman"/>
      <w:sz w:val="19"/>
      <w:szCs w:val="20"/>
      <w:lang w:eastAsia="en-AU"/>
    </w:rPr>
  </w:style>
  <w:style w:type="paragraph" w:styleId="TOCHeading">
    <w:name w:val="TOC Heading"/>
    <w:basedOn w:val="Heading1"/>
    <w:next w:val="Normal"/>
    <w:uiPriority w:val="39"/>
    <w:semiHidden/>
    <w:unhideWhenUsed/>
    <w:qFormat/>
    <w:rsid w:val="00D63C70"/>
    <w:pPr>
      <w:keepLines/>
      <w:spacing w:before="480" w:after="0" w:line="276" w:lineRule="auto"/>
      <w:outlineLvl w:val="9"/>
    </w:pPr>
    <w:rPr>
      <w:rFonts w:ascii="Cambria" w:eastAsia="MS Gothic" w:hAnsi="Cambria"/>
      <w:bCs/>
      <w:color w:val="365F91"/>
      <w:kern w:val="0"/>
      <w:sz w:val="28"/>
      <w:szCs w:val="28"/>
      <w:lang w:val="en-US" w:eastAsia="ja-JP"/>
    </w:rPr>
  </w:style>
  <w:style w:type="character" w:customStyle="1" w:styleId="HeaderBaseChar">
    <w:name w:val="Header Base Char"/>
    <w:link w:val="HeaderBase"/>
    <w:rsid w:val="00D63C70"/>
    <w:rPr>
      <w:rFonts w:ascii="Arial" w:eastAsia="Times New Roman" w:hAnsi="Arial" w:cs="Times New Roman"/>
      <w:color w:val="002A54" w:themeColor="text2"/>
      <w:sz w:val="18"/>
      <w:szCs w:val="20"/>
      <w:lang w:eastAsia="en-AU"/>
    </w:rPr>
  </w:style>
  <w:style w:type="character" w:styleId="Emphasis">
    <w:name w:val="Emphasis"/>
    <w:uiPriority w:val="20"/>
    <w:qFormat/>
    <w:rsid w:val="00D63C70"/>
    <w:rPr>
      <w:i/>
      <w:iCs/>
    </w:rPr>
  </w:style>
  <w:style w:type="paragraph" w:customStyle="1" w:styleId="Default">
    <w:name w:val="Default"/>
    <w:rsid w:val="00D63C70"/>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ChartorTableNote">
    <w:name w:val="Chart or Table Note"/>
    <w:rsid w:val="00D63C70"/>
    <w:pPr>
      <w:tabs>
        <w:tab w:val="left" w:pos="482"/>
      </w:tabs>
      <w:spacing w:after="20" w:line="240" w:lineRule="auto"/>
      <w:ind w:left="482" w:hanging="482"/>
      <w:jc w:val="both"/>
    </w:pPr>
    <w:rPr>
      <w:rFonts w:ascii="Arial" w:eastAsia="Times New Roman" w:hAnsi="Arial" w:cs="Times New Roman"/>
      <w:color w:val="000000"/>
      <w:sz w:val="16"/>
      <w:szCs w:val="20"/>
      <w:lang w:eastAsia="en-AU"/>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D63C70"/>
    <w:rPr>
      <w:rFonts w:ascii="Calibri" w:eastAsia="Calibri" w:hAnsi="Calibri" w:cs="Times New Roman"/>
      <w:lang w:eastAsia="en-AU"/>
    </w:rPr>
  </w:style>
  <w:style w:type="character" w:customStyle="1" w:styleId="ChartGraphicChar">
    <w:name w:val="Chart Graphic Char"/>
    <w:basedOn w:val="DefaultParagraphFont"/>
    <w:link w:val="ChartGraphic"/>
    <w:locked/>
    <w:rsid w:val="00D63C70"/>
    <w:rPr>
      <w:rFonts w:ascii="Arial" w:eastAsia="Times New Roman" w:hAnsi="Arial" w:cs="Times New Roman"/>
      <w:sz w:val="20"/>
      <w:szCs w:val="20"/>
      <w:lang w:eastAsia="en-AU"/>
    </w:rPr>
  </w:style>
  <w:style w:type="character" w:customStyle="1" w:styleId="ChartandTableFootnoteChar">
    <w:name w:val="Chart and Table Footnote Char"/>
    <w:basedOn w:val="DefaultParagraphFont"/>
    <w:link w:val="ChartandTableFootnote"/>
    <w:rsid w:val="00D63C70"/>
    <w:rPr>
      <w:rFonts w:ascii="Arial" w:eastAsia="Times New Roman" w:hAnsi="Arial" w:cs="Times New Roman"/>
      <w:color w:val="000000"/>
      <w:sz w:val="16"/>
      <w:szCs w:val="20"/>
      <w:lang w:eastAsia="en-AU"/>
    </w:rPr>
  </w:style>
  <w:style w:type="paragraph" w:customStyle="1" w:styleId="StatementWhite">
    <w:name w:val="Statement White"/>
    <w:basedOn w:val="Normal"/>
    <w:autoRedefine/>
    <w:qFormat/>
    <w:rsid w:val="00D63C70"/>
    <w:pPr>
      <w:textboxTightWrap w:val="firstAndLastLine"/>
    </w:pPr>
    <w:rPr>
      <w:rFonts w:asciiTheme="minorHAnsi" w:hAnsiTheme="minorHAnsi" w:cstheme="minorHAnsi"/>
      <w:color w:val="FFFFFF" w:themeColor="background1"/>
      <w:kern w:val="18"/>
      <w:sz w:val="18"/>
      <w:szCs w:val="18"/>
    </w:rPr>
  </w:style>
  <w:style w:type="paragraph" w:customStyle="1" w:styleId="FooterOddWHITE">
    <w:name w:val="Footer Odd WHITE"/>
    <w:basedOn w:val="FooterOdd"/>
    <w:qFormat/>
    <w:rsid w:val="00D63C70"/>
    <w:pPr>
      <w:pBdr>
        <w:top w:val="single" w:sz="4" w:space="10" w:color="FFFFFF" w:themeColor="background1"/>
      </w:pBdr>
    </w:pPr>
    <w:rPr>
      <w:color w:val="FFFFFF" w:themeColor="background1"/>
    </w:rPr>
  </w:style>
  <w:style w:type="paragraph" w:customStyle="1" w:styleId="StatementWhite-Bullet">
    <w:name w:val="Statement White - Bullet"/>
    <w:basedOn w:val="Bullet"/>
    <w:qFormat/>
    <w:rsid w:val="00D63C70"/>
    <w:pPr>
      <w:numPr>
        <w:numId w:val="0"/>
      </w:numPr>
      <w:tabs>
        <w:tab w:val="num" w:pos="283"/>
      </w:tabs>
      <w:ind w:left="284" w:hanging="284"/>
    </w:pPr>
    <w:rPr>
      <w:rFonts w:asciiTheme="minorHAnsi" w:hAnsiTheme="minorHAnsi"/>
      <w:color w:val="FFFFFF" w:themeColor="background1"/>
    </w:rPr>
  </w:style>
  <w:style w:type="character" w:customStyle="1" w:styleId="ChartandTableFootnoteAlphaSmallChar">
    <w:name w:val="Chart and Table Footnote Alpha Small Char"/>
    <w:link w:val="ChartandTableFootnoteAlphaSmall"/>
    <w:rsid w:val="00D63C70"/>
    <w:rPr>
      <w:rFonts w:ascii="Arial" w:eastAsia="Times New Roman" w:hAnsi="Arial" w:cs="Arial"/>
      <w:color w:val="000000"/>
      <w:sz w:val="15"/>
      <w:szCs w:val="24"/>
    </w:rPr>
  </w:style>
  <w:style w:type="character" w:customStyle="1" w:styleId="HeadingBaseChar">
    <w:name w:val="Heading Base Char"/>
    <w:basedOn w:val="DefaultParagraphFont"/>
    <w:link w:val="HeadingBase"/>
    <w:rsid w:val="00D63C70"/>
    <w:rPr>
      <w:rFonts w:ascii="Arial" w:eastAsia="Times New Roman" w:hAnsi="Arial" w:cs="Times New Roman"/>
      <w:sz w:val="24"/>
      <w:szCs w:val="20"/>
      <w:lang w:eastAsia="en-AU"/>
    </w:rPr>
  </w:style>
  <w:style w:type="character" w:customStyle="1" w:styleId="OutlineNumbered1Char">
    <w:name w:val="Outline Numbered 1 Char"/>
    <w:basedOn w:val="ChartandTableFootnoteChar"/>
    <w:link w:val="OutlineNumbered1"/>
    <w:rsid w:val="00D63C70"/>
    <w:rPr>
      <w:rFonts w:ascii="Book Antiqua" w:eastAsia="Times New Roman" w:hAnsi="Book Antiqua" w:cs="Times New Roman"/>
      <w:color w:val="000000"/>
      <w:sz w:val="19"/>
      <w:szCs w:val="20"/>
      <w:lang w:eastAsia="en-AU"/>
    </w:rPr>
  </w:style>
  <w:style w:type="character" w:customStyle="1" w:styleId="OutlineNumbered2Char">
    <w:name w:val="Outline Numbered 2 Char"/>
    <w:basedOn w:val="ChartandTableFootnoteChar"/>
    <w:link w:val="OutlineNumbered2"/>
    <w:rsid w:val="00D63C70"/>
    <w:rPr>
      <w:rFonts w:ascii="Book Antiqua" w:eastAsia="Times New Roman" w:hAnsi="Book Antiqua" w:cs="Times New Roman"/>
      <w:color w:val="000000"/>
      <w:sz w:val="19"/>
      <w:szCs w:val="20"/>
      <w:lang w:eastAsia="en-AU"/>
    </w:rPr>
  </w:style>
  <w:style w:type="character" w:customStyle="1" w:styleId="OutlineNumbered3Char">
    <w:name w:val="Outline Numbered 3 Char"/>
    <w:basedOn w:val="ChartandTableFootnoteChar"/>
    <w:link w:val="OutlineNumbered3"/>
    <w:rsid w:val="00D63C70"/>
    <w:rPr>
      <w:rFonts w:ascii="Book Antiqua" w:eastAsia="Times New Roman" w:hAnsi="Book Antiqua" w:cs="Times New Roman"/>
      <w:color w:val="000000"/>
      <w:sz w:val="19"/>
      <w:szCs w:val="20"/>
      <w:lang w:eastAsia="en-AU"/>
    </w:rPr>
  </w:style>
  <w:style w:type="character" w:styleId="Mention">
    <w:name w:val="Mention"/>
    <w:basedOn w:val="DefaultParagraphFont"/>
    <w:uiPriority w:val="99"/>
    <w:unhideWhenUsed/>
    <w:rsid w:val="00D63C70"/>
    <w:rPr>
      <w:color w:val="2B579A"/>
      <w:shd w:val="clear" w:color="auto" w:fill="E6E6E6"/>
    </w:rPr>
  </w:style>
  <w:style w:type="character" w:styleId="UnresolvedMention">
    <w:name w:val="Unresolved Mention"/>
    <w:basedOn w:val="DefaultParagraphFont"/>
    <w:uiPriority w:val="99"/>
    <w:unhideWhenUsed/>
    <w:rsid w:val="00D63C70"/>
    <w:rPr>
      <w:color w:val="605E5C"/>
      <w:shd w:val="clear" w:color="auto" w:fill="E1DFDD"/>
    </w:rPr>
  </w:style>
  <w:style w:type="character" w:styleId="FollowedHyperlink">
    <w:name w:val="FollowedHyperlink"/>
    <w:basedOn w:val="DefaultParagraphFont"/>
    <w:uiPriority w:val="99"/>
    <w:semiHidden/>
    <w:unhideWhenUsed/>
    <w:rsid w:val="00D63C70"/>
    <w:rPr>
      <w:color w:val="E61E26" w:themeColor="followedHyperlink"/>
      <w:u w:val="single"/>
    </w:rPr>
  </w:style>
  <w:style w:type="character" w:customStyle="1" w:styleId="ui-provider">
    <w:name w:val="ui-provider"/>
    <w:basedOn w:val="DefaultParagraphFont"/>
    <w:rsid w:val="00D63C70"/>
  </w:style>
  <w:style w:type="character" w:customStyle="1" w:styleId="normaltextrun">
    <w:name w:val="normaltextrun"/>
    <w:basedOn w:val="DefaultParagraphFont"/>
    <w:rsid w:val="00D63C70"/>
  </w:style>
  <w:style w:type="paragraph" w:styleId="Bibliography">
    <w:name w:val="Bibliography"/>
    <w:basedOn w:val="Normal"/>
    <w:next w:val="Normal"/>
    <w:uiPriority w:val="37"/>
    <w:semiHidden/>
    <w:unhideWhenUsed/>
    <w:rsid w:val="00D63C70"/>
  </w:style>
  <w:style w:type="paragraph" w:styleId="BlockText">
    <w:name w:val="Block Text"/>
    <w:basedOn w:val="Normal"/>
    <w:uiPriority w:val="99"/>
    <w:semiHidden/>
    <w:unhideWhenUsed/>
    <w:rsid w:val="00D63C70"/>
    <w:pPr>
      <w:pBdr>
        <w:top w:val="single" w:sz="2" w:space="10" w:color="0364C3" w:themeColor="accent1"/>
        <w:left w:val="single" w:sz="2" w:space="10" w:color="0364C3" w:themeColor="accent1"/>
        <w:bottom w:val="single" w:sz="2" w:space="10" w:color="0364C3" w:themeColor="accent1"/>
        <w:right w:val="single" w:sz="2" w:space="10" w:color="0364C3" w:themeColor="accent1"/>
      </w:pBdr>
      <w:ind w:left="1152" w:right="1152"/>
    </w:pPr>
    <w:rPr>
      <w:rFonts w:asciiTheme="minorHAnsi" w:eastAsiaTheme="minorEastAsia" w:hAnsiTheme="minorHAnsi" w:cstheme="minorBidi"/>
      <w:i/>
      <w:iCs/>
      <w:color w:val="0364C3" w:themeColor="accent1"/>
    </w:rPr>
  </w:style>
  <w:style w:type="paragraph" w:styleId="BodyText">
    <w:name w:val="Body Text"/>
    <w:basedOn w:val="Normal"/>
    <w:link w:val="BodyTextChar"/>
    <w:uiPriority w:val="99"/>
    <w:semiHidden/>
    <w:unhideWhenUsed/>
    <w:rsid w:val="00D63C70"/>
    <w:pPr>
      <w:spacing w:after="120"/>
    </w:pPr>
  </w:style>
  <w:style w:type="character" w:customStyle="1" w:styleId="BodyTextChar">
    <w:name w:val="Body Text Char"/>
    <w:basedOn w:val="DefaultParagraphFont"/>
    <w:link w:val="BodyText"/>
    <w:uiPriority w:val="99"/>
    <w:semiHidden/>
    <w:rsid w:val="00D63C70"/>
    <w:rPr>
      <w:rFonts w:ascii="Book Antiqua" w:eastAsia="Times New Roman" w:hAnsi="Book Antiqua" w:cs="Times New Roman"/>
      <w:sz w:val="19"/>
      <w:szCs w:val="20"/>
      <w:lang w:eastAsia="en-AU"/>
    </w:rPr>
  </w:style>
  <w:style w:type="paragraph" w:styleId="BodyText2">
    <w:name w:val="Body Text 2"/>
    <w:basedOn w:val="Normal"/>
    <w:link w:val="BodyText2Char"/>
    <w:uiPriority w:val="99"/>
    <w:semiHidden/>
    <w:unhideWhenUsed/>
    <w:rsid w:val="00D63C70"/>
    <w:pPr>
      <w:spacing w:after="120" w:line="480" w:lineRule="auto"/>
    </w:pPr>
  </w:style>
  <w:style w:type="character" w:customStyle="1" w:styleId="BodyText2Char">
    <w:name w:val="Body Text 2 Char"/>
    <w:basedOn w:val="DefaultParagraphFont"/>
    <w:link w:val="BodyText2"/>
    <w:uiPriority w:val="99"/>
    <w:semiHidden/>
    <w:rsid w:val="00D63C70"/>
    <w:rPr>
      <w:rFonts w:ascii="Book Antiqua" w:eastAsia="Times New Roman" w:hAnsi="Book Antiqua" w:cs="Times New Roman"/>
      <w:sz w:val="19"/>
      <w:szCs w:val="20"/>
      <w:lang w:eastAsia="en-AU"/>
    </w:rPr>
  </w:style>
  <w:style w:type="paragraph" w:styleId="BodyText3">
    <w:name w:val="Body Text 3"/>
    <w:basedOn w:val="Normal"/>
    <w:link w:val="BodyText3Char"/>
    <w:uiPriority w:val="99"/>
    <w:semiHidden/>
    <w:unhideWhenUsed/>
    <w:rsid w:val="00D63C70"/>
    <w:pPr>
      <w:spacing w:after="120"/>
    </w:pPr>
    <w:rPr>
      <w:sz w:val="16"/>
      <w:szCs w:val="16"/>
    </w:rPr>
  </w:style>
  <w:style w:type="character" w:customStyle="1" w:styleId="BodyText3Char">
    <w:name w:val="Body Text 3 Char"/>
    <w:basedOn w:val="DefaultParagraphFont"/>
    <w:link w:val="BodyText3"/>
    <w:uiPriority w:val="99"/>
    <w:semiHidden/>
    <w:rsid w:val="00D63C70"/>
    <w:rPr>
      <w:rFonts w:ascii="Book Antiqua" w:eastAsia="Times New Roman" w:hAnsi="Book Antiqua" w:cs="Times New Roman"/>
      <w:sz w:val="16"/>
      <w:szCs w:val="16"/>
      <w:lang w:eastAsia="en-AU"/>
    </w:rPr>
  </w:style>
  <w:style w:type="paragraph" w:styleId="BodyTextFirstIndent">
    <w:name w:val="Body Text First Indent"/>
    <w:basedOn w:val="BodyText"/>
    <w:link w:val="BodyTextFirstIndentChar"/>
    <w:uiPriority w:val="99"/>
    <w:semiHidden/>
    <w:unhideWhenUsed/>
    <w:rsid w:val="00D63C70"/>
    <w:pPr>
      <w:spacing w:after="240"/>
      <w:ind w:firstLine="360"/>
    </w:pPr>
  </w:style>
  <w:style w:type="character" w:customStyle="1" w:styleId="BodyTextFirstIndentChar">
    <w:name w:val="Body Text First Indent Char"/>
    <w:basedOn w:val="BodyTextChar"/>
    <w:link w:val="BodyTextFirstIndent"/>
    <w:uiPriority w:val="99"/>
    <w:semiHidden/>
    <w:rsid w:val="00D63C70"/>
    <w:rPr>
      <w:rFonts w:ascii="Book Antiqua" w:eastAsia="Times New Roman" w:hAnsi="Book Antiqua" w:cs="Times New Roman"/>
      <w:sz w:val="19"/>
      <w:szCs w:val="20"/>
      <w:lang w:eastAsia="en-AU"/>
    </w:rPr>
  </w:style>
  <w:style w:type="paragraph" w:styleId="BodyTextIndent">
    <w:name w:val="Body Text Indent"/>
    <w:basedOn w:val="Normal"/>
    <w:link w:val="BodyTextIndentChar"/>
    <w:uiPriority w:val="99"/>
    <w:semiHidden/>
    <w:unhideWhenUsed/>
    <w:rsid w:val="00D63C70"/>
    <w:pPr>
      <w:spacing w:after="120"/>
      <w:ind w:left="283"/>
    </w:pPr>
  </w:style>
  <w:style w:type="character" w:customStyle="1" w:styleId="BodyTextIndentChar">
    <w:name w:val="Body Text Indent Char"/>
    <w:basedOn w:val="DefaultParagraphFont"/>
    <w:link w:val="BodyTextIndent"/>
    <w:uiPriority w:val="99"/>
    <w:semiHidden/>
    <w:rsid w:val="00D63C70"/>
    <w:rPr>
      <w:rFonts w:ascii="Book Antiqua" w:eastAsia="Times New Roman" w:hAnsi="Book Antiqua" w:cs="Times New Roman"/>
      <w:sz w:val="19"/>
      <w:szCs w:val="20"/>
      <w:lang w:eastAsia="en-AU"/>
    </w:rPr>
  </w:style>
  <w:style w:type="paragraph" w:styleId="BodyTextFirstIndent2">
    <w:name w:val="Body Text First Indent 2"/>
    <w:basedOn w:val="BodyTextIndent"/>
    <w:link w:val="BodyTextFirstIndent2Char"/>
    <w:uiPriority w:val="99"/>
    <w:semiHidden/>
    <w:unhideWhenUsed/>
    <w:rsid w:val="00D63C70"/>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63C70"/>
    <w:rPr>
      <w:rFonts w:ascii="Book Antiqua" w:eastAsia="Times New Roman" w:hAnsi="Book Antiqua" w:cs="Times New Roman"/>
      <w:sz w:val="19"/>
      <w:szCs w:val="20"/>
      <w:lang w:eastAsia="en-AU"/>
    </w:rPr>
  </w:style>
  <w:style w:type="paragraph" w:styleId="BodyTextIndent2">
    <w:name w:val="Body Text Indent 2"/>
    <w:basedOn w:val="Normal"/>
    <w:link w:val="BodyTextIndent2Char"/>
    <w:uiPriority w:val="99"/>
    <w:semiHidden/>
    <w:unhideWhenUsed/>
    <w:rsid w:val="00D63C70"/>
    <w:pPr>
      <w:spacing w:after="120" w:line="480" w:lineRule="auto"/>
      <w:ind w:left="283"/>
    </w:pPr>
  </w:style>
  <w:style w:type="character" w:customStyle="1" w:styleId="BodyTextIndent2Char">
    <w:name w:val="Body Text Indent 2 Char"/>
    <w:basedOn w:val="DefaultParagraphFont"/>
    <w:link w:val="BodyTextIndent2"/>
    <w:uiPriority w:val="99"/>
    <w:semiHidden/>
    <w:rsid w:val="00D63C70"/>
    <w:rPr>
      <w:rFonts w:ascii="Book Antiqua" w:eastAsia="Times New Roman" w:hAnsi="Book Antiqua" w:cs="Times New Roman"/>
      <w:sz w:val="19"/>
      <w:szCs w:val="20"/>
      <w:lang w:eastAsia="en-AU"/>
    </w:rPr>
  </w:style>
  <w:style w:type="paragraph" w:styleId="BodyTextIndent3">
    <w:name w:val="Body Text Indent 3"/>
    <w:basedOn w:val="Normal"/>
    <w:link w:val="BodyTextIndent3Char"/>
    <w:uiPriority w:val="99"/>
    <w:semiHidden/>
    <w:unhideWhenUsed/>
    <w:rsid w:val="00D63C7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3C70"/>
    <w:rPr>
      <w:rFonts w:ascii="Book Antiqua" w:eastAsia="Times New Roman" w:hAnsi="Book Antiqua" w:cs="Times New Roman"/>
      <w:sz w:val="16"/>
      <w:szCs w:val="16"/>
      <w:lang w:eastAsia="en-AU"/>
    </w:rPr>
  </w:style>
  <w:style w:type="paragraph" w:styleId="Closing">
    <w:name w:val="Closing"/>
    <w:basedOn w:val="Normal"/>
    <w:link w:val="ClosingChar"/>
    <w:uiPriority w:val="99"/>
    <w:semiHidden/>
    <w:unhideWhenUsed/>
    <w:rsid w:val="00D63C70"/>
    <w:pPr>
      <w:spacing w:before="0" w:after="0" w:line="240" w:lineRule="auto"/>
      <w:ind w:left="4252"/>
    </w:pPr>
  </w:style>
  <w:style w:type="character" w:customStyle="1" w:styleId="ClosingChar">
    <w:name w:val="Closing Char"/>
    <w:basedOn w:val="DefaultParagraphFont"/>
    <w:link w:val="Closing"/>
    <w:uiPriority w:val="99"/>
    <w:semiHidden/>
    <w:rsid w:val="00D63C70"/>
    <w:rPr>
      <w:rFonts w:ascii="Book Antiqua" w:eastAsia="Times New Roman" w:hAnsi="Book Antiqua" w:cs="Times New Roman"/>
      <w:sz w:val="19"/>
      <w:szCs w:val="20"/>
      <w:lang w:eastAsia="en-AU"/>
    </w:rPr>
  </w:style>
  <w:style w:type="paragraph" w:styleId="Date">
    <w:name w:val="Date"/>
    <w:basedOn w:val="Normal"/>
    <w:next w:val="Normal"/>
    <w:link w:val="DateChar"/>
    <w:uiPriority w:val="99"/>
    <w:semiHidden/>
    <w:unhideWhenUsed/>
    <w:rsid w:val="00D63C70"/>
  </w:style>
  <w:style w:type="character" w:customStyle="1" w:styleId="DateChar">
    <w:name w:val="Date Char"/>
    <w:basedOn w:val="DefaultParagraphFont"/>
    <w:link w:val="Date"/>
    <w:uiPriority w:val="99"/>
    <w:semiHidden/>
    <w:rsid w:val="00D63C70"/>
    <w:rPr>
      <w:rFonts w:ascii="Book Antiqua" w:eastAsia="Times New Roman" w:hAnsi="Book Antiqua" w:cs="Times New Roman"/>
      <w:sz w:val="19"/>
      <w:szCs w:val="20"/>
      <w:lang w:eastAsia="en-AU"/>
    </w:rPr>
  </w:style>
  <w:style w:type="paragraph" w:styleId="E-mailSignature">
    <w:name w:val="E-mail Signature"/>
    <w:basedOn w:val="Normal"/>
    <w:link w:val="E-mailSignatureChar"/>
    <w:uiPriority w:val="99"/>
    <w:semiHidden/>
    <w:unhideWhenUsed/>
    <w:rsid w:val="00D63C70"/>
    <w:pPr>
      <w:spacing w:before="0" w:after="0" w:line="240" w:lineRule="auto"/>
    </w:pPr>
  </w:style>
  <w:style w:type="character" w:customStyle="1" w:styleId="E-mailSignatureChar">
    <w:name w:val="E-mail Signature Char"/>
    <w:basedOn w:val="DefaultParagraphFont"/>
    <w:link w:val="E-mailSignature"/>
    <w:uiPriority w:val="99"/>
    <w:semiHidden/>
    <w:rsid w:val="00D63C70"/>
    <w:rPr>
      <w:rFonts w:ascii="Book Antiqua" w:eastAsia="Times New Roman" w:hAnsi="Book Antiqua" w:cs="Times New Roman"/>
      <w:sz w:val="19"/>
      <w:szCs w:val="20"/>
      <w:lang w:eastAsia="en-AU"/>
    </w:rPr>
  </w:style>
  <w:style w:type="paragraph" w:styleId="EnvelopeAddress">
    <w:name w:val="envelope address"/>
    <w:basedOn w:val="Normal"/>
    <w:uiPriority w:val="99"/>
    <w:semiHidden/>
    <w:unhideWhenUsed/>
    <w:rsid w:val="00D63C7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3C70"/>
    <w:pPr>
      <w:spacing w:before="0" w:after="0"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63C70"/>
    <w:pPr>
      <w:spacing w:before="0" w:after="0" w:line="240" w:lineRule="auto"/>
    </w:pPr>
    <w:rPr>
      <w:i/>
      <w:iCs/>
    </w:rPr>
  </w:style>
  <w:style w:type="character" w:customStyle="1" w:styleId="HTMLAddressChar">
    <w:name w:val="HTML Address Char"/>
    <w:basedOn w:val="DefaultParagraphFont"/>
    <w:link w:val="HTMLAddress"/>
    <w:uiPriority w:val="99"/>
    <w:semiHidden/>
    <w:rsid w:val="00D63C70"/>
    <w:rPr>
      <w:rFonts w:ascii="Book Antiqua" w:eastAsia="Times New Roman" w:hAnsi="Book Antiqua" w:cs="Times New Roman"/>
      <w:i/>
      <w:iCs/>
      <w:sz w:val="19"/>
      <w:szCs w:val="20"/>
      <w:lang w:eastAsia="en-AU"/>
    </w:rPr>
  </w:style>
  <w:style w:type="paragraph" w:styleId="HTMLPreformatted">
    <w:name w:val="HTML Preformatted"/>
    <w:basedOn w:val="Normal"/>
    <w:link w:val="HTMLPreformattedChar"/>
    <w:uiPriority w:val="99"/>
    <w:semiHidden/>
    <w:unhideWhenUsed/>
    <w:rsid w:val="00D63C70"/>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63C70"/>
    <w:rPr>
      <w:rFonts w:ascii="Consolas" w:eastAsia="Times New Roman" w:hAnsi="Consolas" w:cs="Times New Roman"/>
      <w:sz w:val="20"/>
      <w:szCs w:val="20"/>
      <w:lang w:eastAsia="en-AU"/>
    </w:rPr>
  </w:style>
  <w:style w:type="paragraph" w:styleId="IntenseQuote">
    <w:name w:val="Intense Quote"/>
    <w:basedOn w:val="Normal"/>
    <w:next w:val="Normal"/>
    <w:link w:val="IntenseQuoteChar"/>
    <w:uiPriority w:val="30"/>
    <w:rsid w:val="00D63C70"/>
    <w:pPr>
      <w:pBdr>
        <w:top w:val="single" w:sz="4" w:space="10" w:color="0364C3" w:themeColor="accent1"/>
        <w:bottom w:val="single" w:sz="4" w:space="10" w:color="0364C3" w:themeColor="accent1"/>
      </w:pBdr>
      <w:spacing w:before="360" w:after="360"/>
      <w:ind w:left="864" w:right="864"/>
      <w:jc w:val="center"/>
    </w:pPr>
    <w:rPr>
      <w:i/>
      <w:iCs/>
      <w:color w:val="0364C3" w:themeColor="accent1"/>
    </w:rPr>
  </w:style>
  <w:style w:type="character" w:customStyle="1" w:styleId="IntenseQuoteChar">
    <w:name w:val="Intense Quote Char"/>
    <w:basedOn w:val="DefaultParagraphFont"/>
    <w:link w:val="IntenseQuote"/>
    <w:uiPriority w:val="30"/>
    <w:rsid w:val="00D63C70"/>
    <w:rPr>
      <w:rFonts w:ascii="Book Antiqua" w:eastAsia="Times New Roman" w:hAnsi="Book Antiqua" w:cs="Times New Roman"/>
      <w:i/>
      <w:iCs/>
      <w:color w:val="0364C3" w:themeColor="accent1"/>
      <w:sz w:val="19"/>
      <w:szCs w:val="20"/>
      <w:lang w:eastAsia="en-AU"/>
    </w:rPr>
  </w:style>
  <w:style w:type="paragraph" w:styleId="List">
    <w:name w:val="List"/>
    <w:basedOn w:val="Normal"/>
    <w:uiPriority w:val="99"/>
    <w:semiHidden/>
    <w:unhideWhenUsed/>
    <w:rsid w:val="00D63C70"/>
    <w:pPr>
      <w:ind w:left="283" w:hanging="283"/>
      <w:contextualSpacing/>
    </w:pPr>
  </w:style>
  <w:style w:type="paragraph" w:styleId="List2">
    <w:name w:val="List 2"/>
    <w:basedOn w:val="Normal"/>
    <w:uiPriority w:val="99"/>
    <w:semiHidden/>
    <w:unhideWhenUsed/>
    <w:rsid w:val="00D63C70"/>
    <w:pPr>
      <w:ind w:left="566" w:hanging="283"/>
      <w:contextualSpacing/>
    </w:pPr>
  </w:style>
  <w:style w:type="paragraph" w:styleId="List3">
    <w:name w:val="List 3"/>
    <w:basedOn w:val="Normal"/>
    <w:uiPriority w:val="99"/>
    <w:semiHidden/>
    <w:unhideWhenUsed/>
    <w:rsid w:val="00D63C70"/>
    <w:pPr>
      <w:ind w:left="849" w:hanging="283"/>
      <w:contextualSpacing/>
    </w:pPr>
  </w:style>
  <w:style w:type="paragraph" w:styleId="List4">
    <w:name w:val="List 4"/>
    <w:basedOn w:val="Normal"/>
    <w:uiPriority w:val="99"/>
    <w:semiHidden/>
    <w:unhideWhenUsed/>
    <w:rsid w:val="00D63C70"/>
    <w:pPr>
      <w:ind w:left="1132" w:hanging="283"/>
      <w:contextualSpacing/>
    </w:pPr>
  </w:style>
  <w:style w:type="paragraph" w:styleId="List5">
    <w:name w:val="List 5"/>
    <w:basedOn w:val="Normal"/>
    <w:uiPriority w:val="99"/>
    <w:semiHidden/>
    <w:unhideWhenUsed/>
    <w:rsid w:val="00D63C70"/>
    <w:pPr>
      <w:ind w:left="1415" w:hanging="283"/>
      <w:contextualSpacing/>
    </w:pPr>
  </w:style>
  <w:style w:type="paragraph" w:styleId="ListBullet">
    <w:name w:val="List Bullet"/>
    <w:basedOn w:val="Normal"/>
    <w:uiPriority w:val="99"/>
    <w:semiHidden/>
    <w:unhideWhenUsed/>
    <w:rsid w:val="00D63C70"/>
    <w:pPr>
      <w:tabs>
        <w:tab w:val="num" w:pos="360"/>
      </w:tabs>
      <w:ind w:left="360" w:hanging="360"/>
      <w:contextualSpacing/>
    </w:pPr>
  </w:style>
  <w:style w:type="paragraph" w:styleId="ListBullet2">
    <w:name w:val="List Bullet 2"/>
    <w:basedOn w:val="Normal"/>
    <w:uiPriority w:val="99"/>
    <w:semiHidden/>
    <w:unhideWhenUsed/>
    <w:rsid w:val="00D63C70"/>
    <w:pPr>
      <w:tabs>
        <w:tab w:val="num" w:pos="643"/>
      </w:tabs>
      <w:ind w:left="643" w:hanging="360"/>
      <w:contextualSpacing/>
    </w:pPr>
  </w:style>
  <w:style w:type="paragraph" w:styleId="ListBullet3">
    <w:name w:val="List Bullet 3"/>
    <w:basedOn w:val="Normal"/>
    <w:uiPriority w:val="99"/>
    <w:semiHidden/>
    <w:unhideWhenUsed/>
    <w:rsid w:val="00D63C70"/>
    <w:pPr>
      <w:tabs>
        <w:tab w:val="num" w:pos="926"/>
      </w:tabs>
      <w:ind w:left="926" w:hanging="360"/>
      <w:contextualSpacing/>
    </w:pPr>
  </w:style>
  <w:style w:type="paragraph" w:styleId="ListBullet5">
    <w:name w:val="List Bullet 5"/>
    <w:basedOn w:val="Normal"/>
    <w:uiPriority w:val="99"/>
    <w:semiHidden/>
    <w:unhideWhenUsed/>
    <w:rsid w:val="00D63C70"/>
    <w:pPr>
      <w:tabs>
        <w:tab w:val="num" w:pos="1492"/>
      </w:tabs>
      <w:ind w:left="1492" w:hanging="360"/>
      <w:contextualSpacing/>
    </w:pPr>
  </w:style>
  <w:style w:type="paragraph" w:styleId="ListContinue">
    <w:name w:val="List Continue"/>
    <w:basedOn w:val="Normal"/>
    <w:uiPriority w:val="99"/>
    <w:semiHidden/>
    <w:unhideWhenUsed/>
    <w:rsid w:val="00D63C70"/>
    <w:pPr>
      <w:spacing w:after="120"/>
      <w:ind w:left="283"/>
      <w:contextualSpacing/>
    </w:pPr>
  </w:style>
  <w:style w:type="paragraph" w:styleId="ListContinue2">
    <w:name w:val="List Continue 2"/>
    <w:basedOn w:val="Normal"/>
    <w:uiPriority w:val="99"/>
    <w:semiHidden/>
    <w:unhideWhenUsed/>
    <w:rsid w:val="00D63C70"/>
    <w:pPr>
      <w:spacing w:after="120"/>
      <w:ind w:left="566"/>
      <w:contextualSpacing/>
    </w:pPr>
  </w:style>
  <w:style w:type="paragraph" w:styleId="ListContinue3">
    <w:name w:val="List Continue 3"/>
    <w:basedOn w:val="Normal"/>
    <w:uiPriority w:val="99"/>
    <w:semiHidden/>
    <w:unhideWhenUsed/>
    <w:rsid w:val="00D63C70"/>
    <w:pPr>
      <w:spacing w:after="120"/>
      <w:ind w:left="849"/>
      <w:contextualSpacing/>
    </w:pPr>
  </w:style>
  <w:style w:type="paragraph" w:styleId="ListContinue4">
    <w:name w:val="List Continue 4"/>
    <w:basedOn w:val="Normal"/>
    <w:uiPriority w:val="99"/>
    <w:semiHidden/>
    <w:unhideWhenUsed/>
    <w:rsid w:val="00D63C70"/>
    <w:pPr>
      <w:spacing w:after="120"/>
      <w:ind w:left="1132"/>
      <w:contextualSpacing/>
    </w:pPr>
  </w:style>
  <w:style w:type="paragraph" w:styleId="ListContinue5">
    <w:name w:val="List Continue 5"/>
    <w:basedOn w:val="Normal"/>
    <w:uiPriority w:val="99"/>
    <w:semiHidden/>
    <w:unhideWhenUsed/>
    <w:rsid w:val="00D63C70"/>
    <w:pPr>
      <w:spacing w:after="120"/>
      <w:ind w:left="1415"/>
      <w:contextualSpacing/>
    </w:pPr>
  </w:style>
  <w:style w:type="paragraph" w:styleId="ListNumber">
    <w:name w:val="List Number"/>
    <w:basedOn w:val="Normal"/>
    <w:uiPriority w:val="99"/>
    <w:semiHidden/>
    <w:unhideWhenUsed/>
    <w:rsid w:val="00D63C70"/>
    <w:pPr>
      <w:tabs>
        <w:tab w:val="num" w:pos="360"/>
      </w:tabs>
      <w:ind w:left="360" w:hanging="360"/>
      <w:contextualSpacing/>
    </w:pPr>
  </w:style>
  <w:style w:type="paragraph" w:styleId="ListNumber2">
    <w:name w:val="List Number 2"/>
    <w:basedOn w:val="Normal"/>
    <w:uiPriority w:val="99"/>
    <w:semiHidden/>
    <w:unhideWhenUsed/>
    <w:rsid w:val="00D63C70"/>
    <w:pPr>
      <w:tabs>
        <w:tab w:val="num" w:pos="643"/>
      </w:tabs>
      <w:ind w:left="643" w:hanging="360"/>
      <w:contextualSpacing/>
    </w:pPr>
  </w:style>
  <w:style w:type="paragraph" w:styleId="ListNumber3">
    <w:name w:val="List Number 3"/>
    <w:basedOn w:val="Normal"/>
    <w:uiPriority w:val="99"/>
    <w:semiHidden/>
    <w:unhideWhenUsed/>
    <w:rsid w:val="00D63C70"/>
    <w:pPr>
      <w:tabs>
        <w:tab w:val="num" w:pos="926"/>
      </w:tabs>
      <w:ind w:left="926" w:hanging="360"/>
      <w:contextualSpacing/>
    </w:pPr>
  </w:style>
  <w:style w:type="paragraph" w:styleId="ListNumber4">
    <w:name w:val="List Number 4"/>
    <w:basedOn w:val="Normal"/>
    <w:uiPriority w:val="99"/>
    <w:semiHidden/>
    <w:unhideWhenUsed/>
    <w:rsid w:val="00D63C70"/>
    <w:pPr>
      <w:tabs>
        <w:tab w:val="num" w:pos="1209"/>
      </w:tabs>
      <w:ind w:left="1209" w:hanging="360"/>
      <w:contextualSpacing/>
    </w:pPr>
  </w:style>
  <w:style w:type="paragraph" w:styleId="ListNumber5">
    <w:name w:val="List Number 5"/>
    <w:basedOn w:val="Normal"/>
    <w:uiPriority w:val="99"/>
    <w:semiHidden/>
    <w:unhideWhenUsed/>
    <w:rsid w:val="00D63C70"/>
    <w:pPr>
      <w:tabs>
        <w:tab w:val="num" w:pos="1492"/>
      </w:tabs>
      <w:ind w:left="1492" w:hanging="360"/>
      <w:contextualSpacing/>
    </w:pPr>
  </w:style>
  <w:style w:type="paragraph" w:styleId="MessageHeader">
    <w:name w:val="Message Header"/>
    <w:basedOn w:val="Normal"/>
    <w:link w:val="MessageHeaderChar"/>
    <w:uiPriority w:val="99"/>
    <w:semiHidden/>
    <w:unhideWhenUsed/>
    <w:rsid w:val="00D63C7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3C70"/>
    <w:rPr>
      <w:rFonts w:asciiTheme="majorHAnsi" w:eastAsiaTheme="majorEastAsia" w:hAnsiTheme="majorHAnsi" w:cstheme="majorBidi"/>
      <w:sz w:val="24"/>
      <w:szCs w:val="24"/>
      <w:shd w:val="pct20" w:color="auto" w:fill="auto"/>
      <w:lang w:eastAsia="en-AU"/>
    </w:rPr>
  </w:style>
  <w:style w:type="paragraph" w:styleId="NoteHeading">
    <w:name w:val="Note Heading"/>
    <w:basedOn w:val="Normal"/>
    <w:next w:val="Normal"/>
    <w:link w:val="NoteHeadingChar"/>
    <w:uiPriority w:val="99"/>
    <w:semiHidden/>
    <w:unhideWhenUsed/>
    <w:rsid w:val="00D63C70"/>
    <w:pPr>
      <w:spacing w:before="0" w:after="0" w:line="240" w:lineRule="auto"/>
    </w:pPr>
  </w:style>
  <w:style w:type="character" w:customStyle="1" w:styleId="NoteHeadingChar">
    <w:name w:val="Note Heading Char"/>
    <w:basedOn w:val="DefaultParagraphFont"/>
    <w:link w:val="NoteHeading"/>
    <w:uiPriority w:val="99"/>
    <w:semiHidden/>
    <w:rsid w:val="00D63C70"/>
    <w:rPr>
      <w:rFonts w:ascii="Book Antiqua" w:eastAsia="Times New Roman" w:hAnsi="Book Antiqua" w:cs="Times New Roman"/>
      <w:sz w:val="19"/>
      <w:szCs w:val="20"/>
      <w:lang w:eastAsia="en-AU"/>
    </w:rPr>
  </w:style>
  <w:style w:type="paragraph" w:styleId="PlainText">
    <w:name w:val="Plain Text"/>
    <w:basedOn w:val="Normal"/>
    <w:link w:val="PlainTextChar"/>
    <w:uiPriority w:val="99"/>
    <w:semiHidden/>
    <w:unhideWhenUsed/>
    <w:rsid w:val="00D63C7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3C70"/>
    <w:rPr>
      <w:rFonts w:ascii="Consolas" w:eastAsia="Times New Roman" w:hAnsi="Consolas" w:cs="Times New Roman"/>
      <w:sz w:val="21"/>
      <w:szCs w:val="21"/>
      <w:lang w:eastAsia="en-AU"/>
    </w:rPr>
  </w:style>
  <w:style w:type="paragraph" w:styleId="Quote">
    <w:name w:val="Quote"/>
    <w:basedOn w:val="Normal"/>
    <w:next w:val="Normal"/>
    <w:link w:val="QuoteChar"/>
    <w:uiPriority w:val="29"/>
    <w:rsid w:val="00D63C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3C70"/>
    <w:rPr>
      <w:rFonts w:ascii="Book Antiqua" w:eastAsia="Times New Roman" w:hAnsi="Book Antiqua" w:cs="Times New Roman"/>
      <w:i/>
      <w:iCs/>
      <w:color w:val="404040" w:themeColor="text1" w:themeTint="BF"/>
      <w:sz w:val="19"/>
      <w:szCs w:val="20"/>
      <w:lang w:eastAsia="en-AU"/>
    </w:rPr>
  </w:style>
  <w:style w:type="paragraph" w:styleId="Salutation">
    <w:name w:val="Salutation"/>
    <w:basedOn w:val="Normal"/>
    <w:next w:val="Normal"/>
    <w:link w:val="SalutationChar"/>
    <w:uiPriority w:val="99"/>
    <w:semiHidden/>
    <w:unhideWhenUsed/>
    <w:rsid w:val="00D63C70"/>
  </w:style>
  <w:style w:type="character" w:customStyle="1" w:styleId="SalutationChar">
    <w:name w:val="Salutation Char"/>
    <w:basedOn w:val="DefaultParagraphFont"/>
    <w:link w:val="Salutation"/>
    <w:uiPriority w:val="99"/>
    <w:semiHidden/>
    <w:rsid w:val="00D63C70"/>
    <w:rPr>
      <w:rFonts w:ascii="Book Antiqua" w:eastAsia="Times New Roman" w:hAnsi="Book Antiqua" w:cs="Times New Roman"/>
      <w:sz w:val="19"/>
      <w:szCs w:val="20"/>
      <w:lang w:eastAsia="en-AU"/>
    </w:rPr>
  </w:style>
  <w:style w:type="paragraph" w:styleId="Signature">
    <w:name w:val="Signature"/>
    <w:basedOn w:val="Normal"/>
    <w:link w:val="SignatureChar"/>
    <w:uiPriority w:val="99"/>
    <w:semiHidden/>
    <w:unhideWhenUsed/>
    <w:rsid w:val="00D63C70"/>
    <w:pPr>
      <w:spacing w:before="0" w:after="0" w:line="240" w:lineRule="auto"/>
      <w:ind w:left="4252"/>
    </w:pPr>
  </w:style>
  <w:style w:type="character" w:customStyle="1" w:styleId="SignatureChar">
    <w:name w:val="Signature Char"/>
    <w:basedOn w:val="DefaultParagraphFont"/>
    <w:link w:val="Signature"/>
    <w:uiPriority w:val="99"/>
    <w:semiHidden/>
    <w:rsid w:val="00D63C70"/>
    <w:rPr>
      <w:rFonts w:ascii="Book Antiqua" w:eastAsia="Times New Roman" w:hAnsi="Book Antiqua" w:cs="Times New Roman"/>
      <w:sz w:val="19"/>
      <w:szCs w:val="20"/>
      <w:lang w:eastAsia="en-AU"/>
    </w:rPr>
  </w:style>
  <w:style w:type="paragraph" w:styleId="Subtitle">
    <w:name w:val="Subtitle"/>
    <w:basedOn w:val="Normal"/>
    <w:next w:val="Normal"/>
    <w:link w:val="SubtitleChar"/>
    <w:uiPriority w:val="11"/>
    <w:rsid w:val="00D63C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63C70"/>
    <w:rPr>
      <w:rFonts w:eastAsiaTheme="minorEastAsia"/>
      <w:color w:val="5A5A5A" w:themeColor="text1" w:themeTint="A5"/>
      <w:spacing w:val="15"/>
      <w:lang w:eastAsia="en-AU"/>
    </w:rPr>
  </w:style>
  <w:style w:type="character" w:customStyle="1" w:styleId="eop">
    <w:name w:val="eop"/>
    <w:basedOn w:val="DefaultParagraphFont"/>
    <w:rsid w:val="00D63C70"/>
  </w:style>
  <w:style w:type="character" w:styleId="PlaceholderText">
    <w:name w:val="Placeholder Text"/>
    <w:basedOn w:val="DefaultParagraphFont"/>
    <w:uiPriority w:val="99"/>
    <w:semiHidden/>
    <w:rsid w:val="00355D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73">
      <w:bodyDiv w:val="1"/>
      <w:marLeft w:val="0"/>
      <w:marRight w:val="0"/>
      <w:marTop w:val="0"/>
      <w:marBottom w:val="0"/>
      <w:divBdr>
        <w:top w:val="none" w:sz="0" w:space="0" w:color="auto"/>
        <w:left w:val="none" w:sz="0" w:space="0" w:color="auto"/>
        <w:bottom w:val="none" w:sz="0" w:space="0" w:color="auto"/>
        <w:right w:val="none" w:sz="0" w:space="0" w:color="auto"/>
      </w:divBdr>
    </w:div>
    <w:div w:id="23485094">
      <w:bodyDiv w:val="1"/>
      <w:marLeft w:val="0"/>
      <w:marRight w:val="0"/>
      <w:marTop w:val="0"/>
      <w:marBottom w:val="0"/>
      <w:divBdr>
        <w:top w:val="none" w:sz="0" w:space="0" w:color="auto"/>
        <w:left w:val="none" w:sz="0" w:space="0" w:color="auto"/>
        <w:bottom w:val="none" w:sz="0" w:space="0" w:color="auto"/>
        <w:right w:val="none" w:sz="0" w:space="0" w:color="auto"/>
      </w:divBdr>
    </w:div>
    <w:div w:id="24721726">
      <w:bodyDiv w:val="1"/>
      <w:marLeft w:val="0"/>
      <w:marRight w:val="0"/>
      <w:marTop w:val="0"/>
      <w:marBottom w:val="0"/>
      <w:divBdr>
        <w:top w:val="none" w:sz="0" w:space="0" w:color="auto"/>
        <w:left w:val="none" w:sz="0" w:space="0" w:color="auto"/>
        <w:bottom w:val="none" w:sz="0" w:space="0" w:color="auto"/>
        <w:right w:val="none" w:sz="0" w:space="0" w:color="auto"/>
      </w:divBdr>
    </w:div>
    <w:div w:id="55511652">
      <w:bodyDiv w:val="1"/>
      <w:marLeft w:val="0"/>
      <w:marRight w:val="0"/>
      <w:marTop w:val="0"/>
      <w:marBottom w:val="0"/>
      <w:divBdr>
        <w:top w:val="none" w:sz="0" w:space="0" w:color="auto"/>
        <w:left w:val="none" w:sz="0" w:space="0" w:color="auto"/>
        <w:bottom w:val="none" w:sz="0" w:space="0" w:color="auto"/>
        <w:right w:val="none" w:sz="0" w:space="0" w:color="auto"/>
      </w:divBdr>
    </w:div>
    <w:div w:id="55593665">
      <w:bodyDiv w:val="1"/>
      <w:marLeft w:val="0"/>
      <w:marRight w:val="0"/>
      <w:marTop w:val="0"/>
      <w:marBottom w:val="0"/>
      <w:divBdr>
        <w:top w:val="none" w:sz="0" w:space="0" w:color="auto"/>
        <w:left w:val="none" w:sz="0" w:space="0" w:color="auto"/>
        <w:bottom w:val="none" w:sz="0" w:space="0" w:color="auto"/>
        <w:right w:val="none" w:sz="0" w:space="0" w:color="auto"/>
      </w:divBdr>
    </w:div>
    <w:div w:id="79372180">
      <w:bodyDiv w:val="1"/>
      <w:marLeft w:val="0"/>
      <w:marRight w:val="0"/>
      <w:marTop w:val="0"/>
      <w:marBottom w:val="0"/>
      <w:divBdr>
        <w:top w:val="none" w:sz="0" w:space="0" w:color="auto"/>
        <w:left w:val="none" w:sz="0" w:space="0" w:color="auto"/>
        <w:bottom w:val="none" w:sz="0" w:space="0" w:color="auto"/>
        <w:right w:val="none" w:sz="0" w:space="0" w:color="auto"/>
      </w:divBdr>
    </w:div>
    <w:div w:id="90246201">
      <w:bodyDiv w:val="1"/>
      <w:marLeft w:val="0"/>
      <w:marRight w:val="0"/>
      <w:marTop w:val="0"/>
      <w:marBottom w:val="0"/>
      <w:divBdr>
        <w:top w:val="none" w:sz="0" w:space="0" w:color="auto"/>
        <w:left w:val="none" w:sz="0" w:space="0" w:color="auto"/>
        <w:bottom w:val="none" w:sz="0" w:space="0" w:color="auto"/>
        <w:right w:val="none" w:sz="0" w:space="0" w:color="auto"/>
      </w:divBdr>
    </w:div>
    <w:div w:id="98766044">
      <w:bodyDiv w:val="1"/>
      <w:marLeft w:val="0"/>
      <w:marRight w:val="0"/>
      <w:marTop w:val="0"/>
      <w:marBottom w:val="0"/>
      <w:divBdr>
        <w:top w:val="none" w:sz="0" w:space="0" w:color="auto"/>
        <w:left w:val="none" w:sz="0" w:space="0" w:color="auto"/>
        <w:bottom w:val="none" w:sz="0" w:space="0" w:color="auto"/>
        <w:right w:val="none" w:sz="0" w:space="0" w:color="auto"/>
      </w:divBdr>
    </w:div>
    <w:div w:id="116461174">
      <w:bodyDiv w:val="1"/>
      <w:marLeft w:val="0"/>
      <w:marRight w:val="0"/>
      <w:marTop w:val="0"/>
      <w:marBottom w:val="0"/>
      <w:divBdr>
        <w:top w:val="none" w:sz="0" w:space="0" w:color="auto"/>
        <w:left w:val="none" w:sz="0" w:space="0" w:color="auto"/>
        <w:bottom w:val="none" w:sz="0" w:space="0" w:color="auto"/>
        <w:right w:val="none" w:sz="0" w:space="0" w:color="auto"/>
      </w:divBdr>
    </w:div>
    <w:div w:id="118425720">
      <w:bodyDiv w:val="1"/>
      <w:marLeft w:val="0"/>
      <w:marRight w:val="0"/>
      <w:marTop w:val="0"/>
      <w:marBottom w:val="0"/>
      <w:divBdr>
        <w:top w:val="none" w:sz="0" w:space="0" w:color="auto"/>
        <w:left w:val="none" w:sz="0" w:space="0" w:color="auto"/>
        <w:bottom w:val="none" w:sz="0" w:space="0" w:color="auto"/>
        <w:right w:val="none" w:sz="0" w:space="0" w:color="auto"/>
      </w:divBdr>
    </w:div>
    <w:div w:id="120921670">
      <w:bodyDiv w:val="1"/>
      <w:marLeft w:val="0"/>
      <w:marRight w:val="0"/>
      <w:marTop w:val="0"/>
      <w:marBottom w:val="0"/>
      <w:divBdr>
        <w:top w:val="none" w:sz="0" w:space="0" w:color="auto"/>
        <w:left w:val="none" w:sz="0" w:space="0" w:color="auto"/>
        <w:bottom w:val="none" w:sz="0" w:space="0" w:color="auto"/>
        <w:right w:val="none" w:sz="0" w:space="0" w:color="auto"/>
      </w:divBdr>
    </w:div>
    <w:div w:id="136191780">
      <w:bodyDiv w:val="1"/>
      <w:marLeft w:val="0"/>
      <w:marRight w:val="0"/>
      <w:marTop w:val="0"/>
      <w:marBottom w:val="0"/>
      <w:divBdr>
        <w:top w:val="none" w:sz="0" w:space="0" w:color="auto"/>
        <w:left w:val="none" w:sz="0" w:space="0" w:color="auto"/>
        <w:bottom w:val="none" w:sz="0" w:space="0" w:color="auto"/>
        <w:right w:val="none" w:sz="0" w:space="0" w:color="auto"/>
      </w:divBdr>
    </w:div>
    <w:div w:id="136453878">
      <w:bodyDiv w:val="1"/>
      <w:marLeft w:val="0"/>
      <w:marRight w:val="0"/>
      <w:marTop w:val="0"/>
      <w:marBottom w:val="0"/>
      <w:divBdr>
        <w:top w:val="none" w:sz="0" w:space="0" w:color="auto"/>
        <w:left w:val="none" w:sz="0" w:space="0" w:color="auto"/>
        <w:bottom w:val="none" w:sz="0" w:space="0" w:color="auto"/>
        <w:right w:val="none" w:sz="0" w:space="0" w:color="auto"/>
      </w:divBdr>
    </w:div>
    <w:div w:id="136992436">
      <w:bodyDiv w:val="1"/>
      <w:marLeft w:val="0"/>
      <w:marRight w:val="0"/>
      <w:marTop w:val="0"/>
      <w:marBottom w:val="0"/>
      <w:divBdr>
        <w:top w:val="none" w:sz="0" w:space="0" w:color="auto"/>
        <w:left w:val="none" w:sz="0" w:space="0" w:color="auto"/>
        <w:bottom w:val="none" w:sz="0" w:space="0" w:color="auto"/>
        <w:right w:val="none" w:sz="0" w:space="0" w:color="auto"/>
      </w:divBdr>
    </w:div>
    <w:div w:id="137655522">
      <w:bodyDiv w:val="1"/>
      <w:marLeft w:val="0"/>
      <w:marRight w:val="0"/>
      <w:marTop w:val="0"/>
      <w:marBottom w:val="0"/>
      <w:divBdr>
        <w:top w:val="none" w:sz="0" w:space="0" w:color="auto"/>
        <w:left w:val="none" w:sz="0" w:space="0" w:color="auto"/>
        <w:bottom w:val="none" w:sz="0" w:space="0" w:color="auto"/>
        <w:right w:val="none" w:sz="0" w:space="0" w:color="auto"/>
      </w:divBdr>
    </w:div>
    <w:div w:id="175460801">
      <w:bodyDiv w:val="1"/>
      <w:marLeft w:val="0"/>
      <w:marRight w:val="0"/>
      <w:marTop w:val="0"/>
      <w:marBottom w:val="0"/>
      <w:divBdr>
        <w:top w:val="none" w:sz="0" w:space="0" w:color="auto"/>
        <w:left w:val="none" w:sz="0" w:space="0" w:color="auto"/>
        <w:bottom w:val="none" w:sz="0" w:space="0" w:color="auto"/>
        <w:right w:val="none" w:sz="0" w:space="0" w:color="auto"/>
      </w:divBdr>
    </w:div>
    <w:div w:id="178393229">
      <w:bodyDiv w:val="1"/>
      <w:marLeft w:val="0"/>
      <w:marRight w:val="0"/>
      <w:marTop w:val="0"/>
      <w:marBottom w:val="0"/>
      <w:divBdr>
        <w:top w:val="none" w:sz="0" w:space="0" w:color="auto"/>
        <w:left w:val="none" w:sz="0" w:space="0" w:color="auto"/>
        <w:bottom w:val="none" w:sz="0" w:space="0" w:color="auto"/>
        <w:right w:val="none" w:sz="0" w:space="0" w:color="auto"/>
      </w:divBdr>
    </w:div>
    <w:div w:id="216551917">
      <w:bodyDiv w:val="1"/>
      <w:marLeft w:val="0"/>
      <w:marRight w:val="0"/>
      <w:marTop w:val="0"/>
      <w:marBottom w:val="0"/>
      <w:divBdr>
        <w:top w:val="none" w:sz="0" w:space="0" w:color="auto"/>
        <w:left w:val="none" w:sz="0" w:space="0" w:color="auto"/>
        <w:bottom w:val="none" w:sz="0" w:space="0" w:color="auto"/>
        <w:right w:val="none" w:sz="0" w:space="0" w:color="auto"/>
      </w:divBdr>
    </w:div>
    <w:div w:id="235554936">
      <w:bodyDiv w:val="1"/>
      <w:marLeft w:val="0"/>
      <w:marRight w:val="0"/>
      <w:marTop w:val="0"/>
      <w:marBottom w:val="0"/>
      <w:divBdr>
        <w:top w:val="none" w:sz="0" w:space="0" w:color="auto"/>
        <w:left w:val="none" w:sz="0" w:space="0" w:color="auto"/>
        <w:bottom w:val="none" w:sz="0" w:space="0" w:color="auto"/>
        <w:right w:val="none" w:sz="0" w:space="0" w:color="auto"/>
      </w:divBdr>
    </w:div>
    <w:div w:id="270825032">
      <w:bodyDiv w:val="1"/>
      <w:marLeft w:val="0"/>
      <w:marRight w:val="0"/>
      <w:marTop w:val="0"/>
      <w:marBottom w:val="0"/>
      <w:divBdr>
        <w:top w:val="none" w:sz="0" w:space="0" w:color="auto"/>
        <w:left w:val="none" w:sz="0" w:space="0" w:color="auto"/>
        <w:bottom w:val="none" w:sz="0" w:space="0" w:color="auto"/>
        <w:right w:val="none" w:sz="0" w:space="0" w:color="auto"/>
      </w:divBdr>
    </w:div>
    <w:div w:id="301076888">
      <w:bodyDiv w:val="1"/>
      <w:marLeft w:val="0"/>
      <w:marRight w:val="0"/>
      <w:marTop w:val="0"/>
      <w:marBottom w:val="0"/>
      <w:divBdr>
        <w:top w:val="none" w:sz="0" w:space="0" w:color="auto"/>
        <w:left w:val="none" w:sz="0" w:space="0" w:color="auto"/>
        <w:bottom w:val="none" w:sz="0" w:space="0" w:color="auto"/>
        <w:right w:val="none" w:sz="0" w:space="0" w:color="auto"/>
      </w:divBdr>
    </w:div>
    <w:div w:id="305206865">
      <w:bodyDiv w:val="1"/>
      <w:marLeft w:val="0"/>
      <w:marRight w:val="0"/>
      <w:marTop w:val="0"/>
      <w:marBottom w:val="0"/>
      <w:divBdr>
        <w:top w:val="none" w:sz="0" w:space="0" w:color="auto"/>
        <w:left w:val="none" w:sz="0" w:space="0" w:color="auto"/>
        <w:bottom w:val="none" w:sz="0" w:space="0" w:color="auto"/>
        <w:right w:val="none" w:sz="0" w:space="0" w:color="auto"/>
      </w:divBdr>
    </w:div>
    <w:div w:id="308166884">
      <w:bodyDiv w:val="1"/>
      <w:marLeft w:val="0"/>
      <w:marRight w:val="0"/>
      <w:marTop w:val="0"/>
      <w:marBottom w:val="0"/>
      <w:divBdr>
        <w:top w:val="none" w:sz="0" w:space="0" w:color="auto"/>
        <w:left w:val="none" w:sz="0" w:space="0" w:color="auto"/>
        <w:bottom w:val="none" w:sz="0" w:space="0" w:color="auto"/>
        <w:right w:val="none" w:sz="0" w:space="0" w:color="auto"/>
      </w:divBdr>
    </w:div>
    <w:div w:id="331110175">
      <w:bodyDiv w:val="1"/>
      <w:marLeft w:val="0"/>
      <w:marRight w:val="0"/>
      <w:marTop w:val="0"/>
      <w:marBottom w:val="0"/>
      <w:divBdr>
        <w:top w:val="none" w:sz="0" w:space="0" w:color="auto"/>
        <w:left w:val="none" w:sz="0" w:space="0" w:color="auto"/>
        <w:bottom w:val="none" w:sz="0" w:space="0" w:color="auto"/>
        <w:right w:val="none" w:sz="0" w:space="0" w:color="auto"/>
      </w:divBdr>
    </w:div>
    <w:div w:id="368798292">
      <w:bodyDiv w:val="1"/>
      <w:marLeft w:val="0"/>
      <w:marRight w:val="0"/>
      <w:marTop w:val="0"/>
      <w:marBottom w:val="0"/>
      <w:divBdr>
        <w:top w:val="none" w:sz="0" w:space="0" w:color="auto"/>
        <w:left w:val="none" w:sz="0" w:space="0" w:color="auto"/>
        <w:bottom w:val="none" w:sz="0" w:space="0" w:color="auto"/>
        <w:right w:val="none" w:sz="0" w:space="0" w:color="auto"/>
      </w:divBdr>
    </w:div>
    <w:div w:id="396712895">
      <w:bodyDiv w:val="1"/>
      <w:marLeft w:val="0"/>
      <w:marRight w:val="0"/>
      <w:marTop w:val="0"/>
      <w:marBottom w:val="0"/>
      <w:divBdr>
        <w:top w:val="none" w:sz="0" w:space="0" w:color="auto"/>
        <w:left w:val="none" w:sz="0" w:space="0" w:color="auto"/>
        <w:bottom w:val="none" w:sz="0" w:space="0" w:color="auto"/>
        <w:right w:val="none" w:sz="0" w:space="0" w:color="auto"/>
      </w:divBdr>
    </w:div>
    <w:div w:id="440496318">
      <w:bodyDiv w:val="1"/>
      <w:marLeft w:val="0"/>
      <w:marRight w:val="0"/>
      <w:marTop w:val="0"/>
      <w:marBottom w:val="0"/>
      <w:divBdr>
        <w:top w:val="none" w:sz="0" w:space="0" w:color="auto"/>
        <w:left w:val="none" w:sz="0" w:space="0" w:color="auto"/>
        <w:bottom w:val="none" w:sz="0" w:space="0" w:color="auto"/>
        <w:right w:val="none" w:sz="0" w:space="0" w:color="auto"/>
      </w:divBdr>
    </w:div>
    <w:div w:id="446125033">
      <w:bodyDiv w:val="1"/>
      <w:marLeft w:val="0"/>
      <w:marRight w:val="0"/>
      <w:marTop w:val="0"/>
      <w:marBottom w:val="0"/>
      <w:divBdr>
        <w:top w:val="none" w:sz="0" w:space="0" w:color="auto"/>
        <w:left w:val="none" w:sz="0" w:space="0" w:color="auto"/>
        <w:bottom w:val="none" w:sz="0" w:space="0" w:color="auto"/>
        <w:right w:val="none" w:sz="0" w:space="0" w:color="auto"/>
      </w:divBdr>
    </w:div>
    <w:div w:id="523520655">
      <w:bodyDiv w:val="1"/>
      <w:marLeft w:val="0"/>
      <w:marRight w:val="0"/>
      <w:marTop w:val="0"/>
      <w:marBottom w:val="0"/>
      <w:divBdr>
        <w:top w:val="none" w:sz="0" w:space="0" w:color="auto"/>
        <w:left w:val="none" w:sz="0" w:space="0" w:color="auto"/>
        <w:bottom w:val="none" w:sz="0" w:space="0" w:color="auto"/>
        <w:right w:val="none" w:sz="0" w:space="0" w:color="auto"/>
      </w:divBdr>
    </w:div>
    <w:div w:id="565839643">
      <w:bodyDiv w:val="1"/>
      <w:marLeft w:val="0"/>
      <w:marRight w:val="0"/>
      <w:marTop w:val="0"/>
      <w:marBottom w:val="0"/>
      <w:divBdr>
        <w:top w:val="none" w:sz="0" w:space="0" w:color="auto"/>
        <w:left w:val="none" w:sz="0" w:space="0" w:color="auto"/>
        <w:bottom w:val="none" w:sz="0" w:space="0" w:color="auto"/>
        <w:right w:val="none" w:sz="0" w:space="0" w:color="auto"/>
      </w:divBdr>
    </w:div>
    <w:div w:id="569854874">
      <w:bodyDiv w:val="1"/>
      <w:marLeft w:val="0"/>
      <w:marRight w:val="0"/>
      <w:marTop w:val="0"/>
      <w:marBottom w:val="0"/>
      <w:divBdr>
        <w:top w:val="none" w:sz="0" w:space="0" w:color="auto"/>
        <w:left w:val="none" w:sz="0" w:space="0" w:color="auto"/>
        <w:bottom w:val="none" w:sz="0" w:space="0" w:color="auto"/>
        <w:right w:val="none" w:sz="0" w:space="0" w:color="auto"/>
      </w:divBdr>
    </w:div>
    <w:div w:id="574823161">
      <w:bodyDiv w:val="1"/>
      <w:marLeft w:val="0"/>
      <w:marRight w:val="0"/>
      <w:marTop w:val="0"/>
      <w:marBottom w:val="0"/>
      <w:divBdr>
        <w:top w:val="none" w:sz="0" w:space="0" w:color="auto"/>
        <w:left w:val="none" w:sz="0" w:space="0" w:color="auto"/>
        <w:bottom w:val="none" w:sz="0" w:space="0" w:color="auto"/>
        <w:right w:val="none" w:sz="0" w:space="0" w:color="auto"/>
      </w:divBdr>
    </w:div>
    <w:div w:id="611472811">
      <w:bodyDiv w:val="1"/>
      <w:marLeft w:val="0"/>
      <w:marRight w:val="0"/>
      <w:marTop w:val="0"/>
      <w:marBottom w:val="0"/>
      <w:divBdr>
        <w:top w:val="none" w:sz="0" w:space="0" w:color="auto"/>
        <w:left w:val="none" w:sz="0" w:space="0" w:color="auto"/>
        <w:bottom w:val="none" w:sz="0" w:space="0" w:color="auto"/>
        <w:right w:val="none" w:sz="0" w:space="0" w:color="auto"/>
      </w:divBdr>
    </w:div>
    <w:div w:id="636842855">
      <w:bodyDiv w:val="1"/>
      <w:marLeft w:val="0"/>
      <w:marRight w:val="0"/>
      <w:marTop w:val="0"/>
      <w:marBottom w:val="0"/>
      <w:divBdr>
        <w:top w:val="none" w:sz="0" w:space="0" w:color="auto"/>
        <w:left w:val="none" w:sz="0" w:space="0" w:color="auto"/>
        <w:bottom w:val="none" w:sz="0" w:space="0" w:color="auto"/>
        <w:right w:val="none" w:sz="0" w:space="0" w:color="auto"/>
      </w:divBdr>
    </w:div>
    <w:div w:id="663121956">
      <w:bodyDiv w:val="1"/>
      <w:marLeft w:val="0"/>
      <w:marRight w:val="0"/>
      <w:marTop w:val="0"/>
      <w:marBottom w:val="0"/>
      <w:divBdr>
        <w:top w:val="none" w:sz="0" w:space="0" w:color="auto"/>
        <w:left w:val="none" w:sz="0" w:space="0" w:color="auto"/>
        <w:bottom w:val="none" w:sz="0" w:space="0" w:color="auto"/>
        <w:right w:val="none" w:sz="0" w:space="0" w:color="auto"/>
      </w:divBdr>
    </w:div>
    <w:div w:id="663509511">
      <w:bodyDiv w:val="1"/>
      <w:marLeft w:val="0"/>
      <w:marRight w:val="0"/>
      <w:marTop w:val="0"/>
      <w:marBottom w:val="0"/>
      <w:divBdr>
        <w:top w:val="none" w:sz="0" w:space="0" w:color="auto"/>
        <w:left w:val="none" w:sz="0" w:space="0" w:color="auto"/>
        <w:bottom w:val="none" w:sz="0" w:space="0" w:color="auto"/>
        <w:right w:val="none" w:sz="0" w:space="0" w:color="auto"/>
      </w:divBdr>
    </w:div>
    <w:div w:id="665978136">
      <w:bodyDiv w:val="1"/>
      <w:marLeft w:val="0"/>
      <w:marRight w:val="0"/>
      <w:marTop w:val="0"/>
      <w:marBottom w:val="0"/>
      <w:divBdr>
        <w:top w:val="none" w:sz="0" w:space="0" w:color="auto"/>
        <w:left w:val="none" w:sz="0" w:space="0" w:color="auto"/>
        <w:bottom w:val="none" w:sz="0" w:space="0" w:color="auto"/>
        <w:right w:val="none" w:sz="0" w:space="0" w:color="auto"/>
      </w:divBdr>
    </w:div>
    <w:div w:id="687099404">
      <w:bodyDiv w:val="1"/>
      <w:marLeft w:val="0"/>
      <w:marRight w:val="0"/>
      <w:marTop w:val="0"/>
      <w:marBottom w:val="0"/>
      <w:divBdr>
        <w:top w:val="none" w:sz="0" w:space="0" w:color="auto"/>
        <w:left w:val="none" w:sz="0" w:space="0" w:color="auto"/>
        <w:bottom w:val="none" w:sz="0" w:space="0" w:color="auto"/>
        <w:right w:val="none" w:sz="0" w:space="0" w:color="auto"/>
      </w:divBdr>
    </w:div>
    <w:div w:id="723021487">
      <w:bodyDiv w:val="1"/>
      <w:marLeft w:val="0"/>
      <w:marRight w:val="0"/>
      <w:marTop w:val="0"/>
      <w:marBottom w:val="0"/>
      <w:divBdr>
        <w:top w:val="none" w:sz="0" w:space="0" w:color="auto"/>
        <w:left w:val="none" w:sz="0" w:space="0" w:color="auto"/>
        <w:bottom w:val="none" w:sz="0" w:space="0" w:color="auto"/>
        <w:right w:val="none" w:sz="0" w:space="0" w:color="auto"/>
      </w:divBdr>
    </w:div>
    <w:div w:id="727336044">
      <w:bodyDiv w:val="1"/>
      <w:marLeft w:val="0"/>
      <w:marRight w:val="0"/>
      <w:marTop w:val="0"/>
      <w:marBottom w:val="0"/>
      <w:divBdr>
        <w:top w:val="none" w:sz="0" w:space="0" w:color="auto"/>
        <w:left w:val="none" w:sz="0" w:space="0" w:color="auto"/>
        <w:bottom w:val="none" w:sz="0" w:space="0" w:color="auto"/>
        <w:right w:val="none" w:sz="0" w:space="0" w:color="auto"/>
      </w:divBdr>
    </w:div>
    <w:div w:id="742023862">
      <w:bodyDiv w:val="1"/>
      <w:marLeft w:val="0"/>
      <w:marRight w:val="0"/>
      <w:marTop w:val="0"/>
      <w:marBottom w:val="0"/>
      <w:divBdr>
        <w:top w:val="none" w:sz="0" w:space="0" w:color="auto"/>
        <w:left w:val="none" w:sz="0" w:space="0" w:color="auto"/>
        <w:bottom w:val="none" w:sz="0" w:space="0" w:color="auto"/>
        <w:right w:val="none" w:sz="0" w:space="0" w:color="auto"/>
      </w:divBdr>
    </w:div>
    <w:div w:id="742725405">
      <w:bodyDiv w:val="1"/>
      <w:marLeft w:val="0"/>
      <w:marRight w:val="0"/>
      <w:marTop w:val="0"/>
      <w:marBottom w:val="0"/>
      <w:divBdr>
        <w:top w:val="none" w:sz="0" w:space="0" w:color="auto"/>
        <w:left w:val="none" w:sz="0" w:space="0" w:color="auto"/>
        <w:bottom w:val="none" w:sz="0" w:space="0" w:color="auto"/>
        <w:right w:val="none" w:sz="0" w:space="0" w:color="auto"/>
      </w:divBdr>
    </w:div>
    <w:div w:id="765081313">
      <w:bodyDiv w:val="1"/>
      <w:marLeft w:val="0"/>
      <w:marRight w:val="0"/>
      <w:marTop w:val="0"/>
      <w:marBottom w:val="0"/>
      <w:divBdr>
        <w:top w:val="none" w:sz="0" w:space="0" w:color="auto"/>
        <w:left w:val="none" w:sz="0" w:space="0" w:color="auto"/>
        <w:bottom w:val="none" w:sz="0" w:space="0" w:color="auto"/>
        <w:right w:val="none" w:sz="0" w:space="0" w:color="auto"/>
      </w:divBdr>
    </w:div>
    <w:div w:id="770659307">
      <w:bodyDiv w:val="1"/>
      <w:marLeft w:val="0"/>
      <w:marRight w:val="0"/>
      <w:marTop w:val="0"/>
      <w:marBottom w:val="0"/>
      <w:divBdr>
        <w:top w:val="none" w:sz="0" w:space="0" w:color="auto"/>
        <w:left w:val="none" w:sz="0" w:space="0" w:color="auto"/>
        <w:bottom w:val="none" w:sz="0" w:space="0" w:color="auto"/>
        <w:right w:val="none" w:sz="0" w:space="0" w:color="auto"/>
      </w:divBdr>
    </w:div>
    <w:div w:id="797648727">
      <w:bodyDiv w:val="1"/>
      <w:marLeft w:val="0"/>
      <w:marRight w:val="0"/>
      <w:marTop w:val="0"/>
      <w:marBottom w:val="0"/>
      <w:divBdr>
        <w:top w:val="none" w:sz="0" w:space="0" w:color="auto"/>
        <w:left w:val="none" w:sz="0" w:space="0" w:color="auto"/>
        <w:bottom w:val="none" w:sz="0" w:space="0" w:color="auto"/>
        <w:right w:val="none" w:sz="0" w:space="0" w:color="auto"/>
      </w:divBdr>
    </w:div>
    <w:div w:id="812528554">
      <w:bodyDiv w:val="1"/>
      <w:marLeft w:val="0"/>
      <w:marRight w:val="0"/>
      <w:marTop w:val="0"/>
      <w:marBottom w:val="0"/>
      <w:divBdr>
        <w:top w:val="none" w:sz="0" w:space="0" w:color="auto"/>
        <w:left w:val="none" w:sz="0" w:space="0" w:color="auto"/>
        <w:bottom w:val="none" w:sz="0" w:space="0" w:color="auto"/>
        <w:right w:val="none" w:sz="0" w:space="0" w:color="auto"/>
      </w:divBdr>
    </w:div>
    <w:div w:id="814876813">
      <w:bodyDiv w:val="1"/>
      <w:marLeft w:val="0"/>
      <w:marRight w:val="0"/>
      <w:marTop w:val="0"/>
      <w:marBottom w:val="0"/>
      <w:divBdr>
        <w:top w:val="none" w:sz="0" w:space="0" w:color="auto"/>
        <w:left w:val="none" w:sz="0" w:space="0" w:color="auto"/>
        <w:bottom w:val="none" w:sz="0" w:space="0" w:color="auto"/>
        <w:right w:val="none" w:sz="0" w:space="0" w:color="auto"/>
      </w:divBdr>
    </w:div>
    <w:div w:id="833032961">
      <w:bodyDiv w:val="1"/>
      <w:marLeft w:val="0"/>
      <w:marRight w:val="0"/>
      <w:marTop w:val="0"/>
      <w:marBottom w:val="0"/>
      <w:divBdr>
        <w:top w:val="none" w:sz="0" w:space="0" w:color="auto"/>
        <w:left w:val="none" w:sz="0" w:space="0" w:color="auto"/>
        <w:bottom w:val="none" w:sz="0" w:space="0" w:color="auto"/>
        <w:right w:val="none" w:sz="0" w:space="0" w:color="auto"/>
      </w:divBdr>
    </w:div>
    <w:div w:id="844513149">
      <w:bodyDiv w:val="1"/>
      <w:marLeft w:val="0"/>
      <w:marRight w:val="0"/>
      <w:marTop w:val="0"/>
      <w:marBottom w:val="0"/>
      <w:divBdr>
        <w:top w:val="none" w:sz="0" w:space="0" w:color="auto"/>
        <w:left w:val="none" w:sz="0" w:space="0" w:color="auto"/>
        <w:bottom w:val="none" w:sz="0" w:space="0" w:color="auto"/>
        <w:right w:val="none" w:sz="0" w:space="0" w:color="auto"/>
      </w:divBdr>
    </w:div>
    <w:div w:id="856775210">
      <w:bodyDiv w:val="1"/>
      <w:marLeft w:val="0"/>
      <w:marRight w:val="0"/>
      <w:marTop w:val="0"/>
      <w:marBottom w:val="0"/>
      <w:divBdr>
        <w:top w:val="none" w:sz="0" w:space="0" w:color="auto"/>
        <w:left w:val="none" w:sz="0" w:space="0" w:color="auto"/>
        <w:bottom w:val="none" w:sz="0" w:space="0" w:color="auto"/>
        <w:right w:val="none" w:sz="0" w:space="0" w:color="auto"/>
      </w:divBdr>
    </w:div>
    <w:div w:id="868374938">
      <w:bodyDiv w:val="1"/>
      <w:marLeft w:val="0"/>
      <w:marRight w:val="0"/>
      <w:marTop w:val="0"/>
      <w:marBottom w:val="0"/>
      <w:divBdr>
        <w:top w:val="none" w:sz="0" w:space="0" w:color="auto"/>
        <w:left w:val="none" w:sz="0" w:space="0" w:color="auto"/>
        <w:bottom w:val="none" w:sz="0" w:space="0" w:color="auto"/>
        <w:right w:val="none" w:sz="0" w:space="0" w:color="auto"/>
      </w:divBdr>
    </w:div>
    <w:div w:id="872502321">
      <w:bodyDiv w:val="1"/>
      <w:marLeft w:val="0"/>
      <w:marRight w:val="0"/>
      <w:marTop w:val="0"/>
      <w:marBottom w:val="0"/>
      <w:divBdr>
        <w:top w:val="none" w:sz="0" w:space="0" w:color="auto"/>
        <w:left w:val="none" w:sz="0" w:space="0" w:color="auto"/>
        <w:bottom w:val="none" w:sz="0" w:space="0" w:color="auto"/>
        <w:right w:val="none" w:sz="0" w:space="0" w:color="auto"/>
      </w:divBdr>
    </w:div>
    <w:div w:id="894242542">
      <w:bodyDiv w:val="1"/>
      <w:marLeft w:val="0"/>
      <w:marRight w:val="0"/>
      <w:marTop w:val="0"/>
      <w:marBottom w:val="0"/>
      <w:divBdr>
        <w:top w:val="none" w:sz="0" w:space="0" w:color="auto"/>
        <w:left w:val="none" w:sz="0" w:space="0" w:color="auto"/>
        <w:bottom w:val="none" w:sz="0" w:space="0" w:color="auto"/>
        <w:right w:val="none" w:sz="0" w:space="0" w:color="auto"/>
      </w:divBdr>
    </w:div>
    <w:div w:id="917203900">
      <w:bodyDiv w:val="1"/>
      <w:marLeft w:val="0"/>
      <w:marRight w:val="0"/>
      <w:marTop w:val="0"/>
      <w:marBottom w:val="0"/>
      <w:divBdr>
        <w:top w:val="none" w:sz="0" w:space="0" w:color="auto"/>
        <w:left w:val="none" w:sz="0" w:space="0" w:color="auto"/>
        <w:bottom w:val="none" w:sz="0" w:space="0" w:color="auto"/>
        <w:right w:val="none" w:sz="0" w:space="0" w:color="auto"/>
      </w:divBdr>
    </w:div>
    <w:div w:id="972101940">
      <w:bodyDiv w:val="1"/>
      <w:marLeft w:val="0"/>
      <w:marRight w:val="0"/>
      <w:marTop w:val="0"/>
      <w:marBottom w:val="0"/>
      <w:divBdr>
        <w:top w:val="none" w:sz="0" w:space="0" w:color="auto"/>
        <w:left w:val="none" w:sz="0" w:space="0" w:color="auto"/>
        <w:bottom w:val="none" w:sz="0" w:space="0" w:color="auto"/>
        <w:right w:val="none" w:sz="0" w:space="0" w:color="auto"/>
      </w:divBdr>
    </w:div>
    <w:div w:id="981276718">
      <w:bodyDiv w:val="1"/>
      <w:marLeft w:val="0"/>
      <w:marRight w:val="0"/>
      <w:marTop w:val="0"/>
      <w:marBottom w:val="0"/>
      <w:divBdr>
        <w:top w:val="none" w:sz="0" w:space="0" w:color="auto"/>
        <w:left w:val="none" w:sz="0" w:space="0" w:color="auto"/>
        <w:bottom w:val="none" w:sz="0" w:space="0" w:color="auto"/>
        <w:right w:val="none" w:sz="0" w:space="0" w:color="auto"/>
      </w:divBdr>
    </w:div>
    <w:div w:id="989212405">
      <w:bodyDiv w:val="1"/>
      <w:marLeft w:val="0"/>
      <w:marRight w:val="0"/>
      <w:marTop w:val="0"/>
      <w:marBottom w:val="0"/>
      <w:divBdr>
        <w:top w:val="none" w:sz="0" w:space="0" w:color="auto"/>
        <w:left w:val="none" w:sz="0" w:space="0" w:color="auto"/>
        <w:bottom w:val="none" w:sz="0" w:space="0" w:color="auto"/>
        <w:right w:val="none" w:sz="0" w:space="0" w:color="auto"/>
      </w:divBdr>
    </w:div>
    <w:div w:id="1008943953">
      <w:bodyDiv w:val="1"/>
      <w:marLeft w:val="0"/>
      <w:marRight w:val="0"/>
      <w:marTop w:val="0"/>
      <w:marBottom w:val="0"/>
      <w:divBdr>
        <w:top w:val="none" w:sz="0" w:space="0" w:color="auto"/>
        <w:left w:val="none" w:sz="0" w:space="0" w:color="auto"/>
        <w:bottom w:val="none" w:sz="0" w:space="0" w:color="auto"/>
        <w:right w:val="none" w:sz="0" w:space="0" w:color="auto"/>
      </w:divBdr>
    </w:div>
    <w:div w:id="1031028911">
      <w:bodyDiv w:val="1"/>
      <w:marLeft w:val="0"/>
      <w:marRight w:val="0"/>
      <w:marTop w:val="0"/>
      <w:marBottom w:val="0"/>
      <w:divBdr>
        <w:top w:val="none" w:sz="0" w:space="0" w:color="auto"/>
        <w:left w:val="none" w:sz="0" w:space="0" w:color="auto"/>
        <w:bottom w:val="none" w:sz="0" w:space="0" w:color="auto"/>
        <w:right w:val="none" w:sz="0" w:space="0" w:color="auto"/>
      </w:divBdr>
    </w:div>
    <w:div w:id="1059404559">
      <w:bodyDiv w:val="1"/>
      <w:marLeft w:val="0"/>
      <w:marRight w:val="0"/>
      <w:marTop w:val="0"/>
      <w:marBottom w:val="0"/>
      <w:divBdr>
        <w:top w:val="none" w:sz="0" w:space="0" w:color="auto"/>
        <w:left w:val="none" w:sz="0" w:space="0" w:color="auto"/>
        <w:bottom w:val="none" w:sz="0" w:space="0" w:color="auto"/>
        <w:right w:val="none" w:sz="0" w:space="0" w:color="auto"/>
      </w:divBdr>
    </w:div>
    <w:div w:id="1069376786">
      <w:bodyDiv w:val="1"/>
      <w:marLeft w:val="0"/>
      <w:marRight w:val="0"/>
      <w:marTop w:val="0"/>
      <w:marBottom w:val="0"/>
      <w:divBdr>
        <w:top w:val="none" w:sz="0" w:space="0" w:color="auto"/>
        <w:left w:val="none" w:sz="0" w:space="0" w:color="auto"/>
        <w:bottom w:val="none" w:sz="0" w:space="0" w:color="auto"/>
        <w:right w:val="none" w:sz="0" w:space="0" w:color="auto"/>
      </w:divBdr>
    </w:div>
    <w:div w:id="1104108606">
      <w:bodyDiv w:val="1"/>
      <w:marLeft w:val="0"/>
      <w:marRight w:val="0"/>
      <w:marTop w:val="0"/>
      <w:marBottom w:val="0"/>
      <w:divBdr>
        <w:top w:val="none" w:sz="0" w:space="0" w:color="auto"/>
        <w:left w:val="none" w:sz="0" w:space="0" w:color="auto"/>
        <w:bottom w:val="none" w:sz="0" w:space="0" w:color="auto"/>
        <w:right w:val="none" w:sz="0" w:space="0" w:color="auto"/>
      </w:divBdr>
    </w:div>
    <w:div w:id="1122571923">
      <w:bodyDiv w:val="1"/>
      <w:marLeft w:val="0"/>
      <w:marRight w:val="0"/>
      <w:marTop w:val="0"/>
      <w:marBottom w:val="0"/>
      <w:divBdr>
        <w:top w:val="none" w:sz="0" w:space="0" w:color="auto"/>
        <w:left w:val="none" w:sz="0" w:space="0" w:color="auto"/>
        <w:bottom w:val="none" w:sz="0" w:space="0" w:color="auto"/>
        <w:right w:val="none" w:sz="0" w:space="0" w:color="auto"/>
      </w:divBdr>
    </w:div>
    <w:div w:id="1129665559">
      <w:bodyDiv w:val="1"/>
      <w:marLeft w:val="0"/>
      <w:marRight w:val="0"/>
      <w:marTop w:val="0"/>
      <w:marBottom w:val="0"/>
      <w:divBdr>
        <w:top w:val="none" w:sz="0" w:space="0" w:color="auto"/>
        <w:left w:val="none" w:sz="0" w:space="0" w:color="auto"/>
        <w:bottom w:val="none" w:sz="0" w:space="0" w:color="auto"/>
        <w:right w:val="none" w:sz="0" w:space="0" w:color="auto"/>
      </w:divBdr>
    </w:div>
    <w:div w:id="1131509545">
      <w:bodyDiv w:val="1"/>
      <w:marLeft w:val="0"/>
      <w:marRight w:val="0"/>
      <w:marTop w:val="0"/>
      <w:marBottom w:val="0"/>
      <w:divBdr>
        <w:top w:val="none" w:sz="0" w:space="0" w:color="auto"/>
        <w:left w:val="none" w:sz="0" w:space="0" w:color="auto"/>
        <w:bottom w:val="none" w:sz="0" w:space="0" w:color="auto"/>
        <w:right w:val="none" w:sz="0" w:space="0" w:color="auto"/>
      </w:divBdr>
    </w:div>
    <w:div w:id="1134517000">
      <w:bodyDiv w:val="1"/>
      <w:marLeft w:val="0"/>
      <w:marRight w:val="0"/>
      <w:marTop w:val="0"/>
      <w:marBottom w:val="0"/>
      <w:divBdr>
        <w:top w:val="none" w:sz="0" w:space="0" w:color="auto"/>
        <w:left w:val="none" w:sz="0" w:space="0" w:color="auto"/>
        <w:bottom w:val="none" w:sz="0" w:space="0" w:color="auto"/>
        <w:right w:val="none" w:sz="0" w:space="0" w:color="auto"/>
      </w:divBdr>
    </w:div>
    <w:div w:id="1141458108">
      <w:bodyDiv w:val="1"/>
      <w:marLeft w:val="0"/>
      <w:marRight w:val="0"/>
      <w:marTop w:val="0"/>
      <w:marBottom w:val="0"/>
      <w:divBdr>
        <w:top w:val="none" w:sz="0" w:space="0" w:color="auto"/>
        <w:left w:val="none" w:sz="0" w:space="0" w:color="auto"/>
        <w:bottom w:val="none" w:sz="0" w:space="0" w:color="auto"/>
        <w:right w:val="none" w:sz="0" w:space="0" w:color="auto"/>
      </w:divBdr>
    </w:div>
    <w:div w:id="1169250663">
      <w:bodyDiv w:val="1"/>
      <w:marLeft w:val="0"/>
      <w:marRight w:val="0"/>
      <w:marTop w:val="0"/>
      <w:marBottom w:val="0"/>
      <w:divBdr>
        <w:top w:val="none" w:sz="0" w:space="0" w:color="auto"/>
        <w:left w:val="none" w:sz="0" w:space="0" w:color="auto"/>
        <w:bottom w:val="none" w:sz="0" w:space="0" w:color="auto"/>
        <w:right w:val="none" w:sz="0" w:space="0" w:color="auto"/>
      </w:divBdr>
    </w:div>
    <w:div w:id="1180050222">
      <w:bodyDiv w:val="1"/>
      <w:marLeft w:val="0"/>
      <w:marRight w:val="0"/>
      <w:marTop w:val="0"/>
      <w:marBottom w:val="0"/>
      <w:divBdr>
        <w:top w:val="none" w:sz="0" w:space="0" w:color="auto"/>
        <w:left w:val="none" w:sz="0" w:space="0" w:color="auto"/>
        <w:bottom w:val="none" w:sz="0" w:space="0" w:color="auto"/>
        <w:right w:val="none" w:sz="0" w:space="0" w:color="auto"/>
      </w:divBdr>
    </w:div>
    <w:div w:id="1205100327">
      <w:bodyDiv w:val="1"/>
      <w:marLeft w:val="0"/>
      <w:marRight w:val="0"/>
      <w:marTop w:val="0"/>
      <w:marBottom w:val="0"/>
      <w:divBdr>
        <w:top w:val="none" w:sz="0" w:space="0" w:color="auto"/>
        <w:left w:val="none" w:sz="0" w:space="0" w:color="auto"/>
        <w:bottom w:val="none" w:sz="0" w:space="0" w:color="auto"/>
        <w:right w:val="none" w:sz="0" w:space="0" w:color="auto"/>
      </w:divBdr>
    </w:div>
    <w:div w:id="1226985660">
      <w:bodyDiv w:val="1"/>
      <w:marLeft w:val="0"/>
      <w:marRight w:val="0"/>
      <w:marTop w:val="0"/>
      <w:marBottom w:val="0"/>
      <w:divBdr>
        <w:top w:val="none" w:sz="0" w:space="0" w:color="auto"/>
        <w:left w:val="none" w:sz="0" w:space="0" w:color="auto"/>
        <w:bottom w:val="none" w:sz="0" w:space="0" w:color="auto"/>
        <w:right w:val="none" w:sz="0" w:space="0" w:color="auto"/>
      </w:divBdr>
    </w:div>
    <w:div w:id="1242371666">
      <w:bodyDiv w:val="1"/>
      <w:marLeft w:val="0"/>
      <w:marRight w:val="0"/>
      <w:marTop w:val="0"/>
      <w:marBottom w:val="0"/>
      <w:divBdr>
        <w:top w:val="none" w:sz="0" w:space="0" w:color="auto"/>
        <w:left w:val="none" w:sz="0" w:space="0" w:color="auto"/>
        <w:bottom w:val="none" w:sz="0" w:space="0" w:color="auto"/>
        <w:right w:val="none" w:sz="0" w:space="0" w:color="auto"/>
      </w:divBdr>
    </w:div>
    <w:div w:id="1254900281">
      <w:bodyDiv w:val="1"/>
      <w:marLeft w:val="0"/>
      <w:marRight w:val="0"/>
      <w:marTop w:val="0"/>
      <w:marBottom w:val="0"/>
      <w:divBdr>
        <w:top w:val="none" w:sz="0" w:space="0" w:color="auto"/>
        <w:left w:val="none" w:sz="0" w:space="0" w:color="auto"/>
        <w:bottom w:val="none" w:sz="0" w:space="0" w:color="auto"/>
        <w:right w:val="none" w:sz="0" w:space="0" w:color="auto"/>
      </w:divBdr>
    </w:div>
    <w:div w:id="1254972326">
      <w:bodyDiv w:val="1"/>
      <w:marLeft w:val="0"/>
      <w:marRight w:val="0"/>
      <w:marTop w:val="0"/>
      <w:marBottom w:val="0"/>
      <w:divBdr>
        <w:top w:val="none" w:sz="0" w:space="0" w:color="auto"/>
        <w:left w:val="none" w:sz="0" w:space="0" w:color="auto"/>
        <w:bottom w:val="none" w:sz="0" w:space="0" w:color="auto"/>
        <w:right w:val="none" w:sz="0" w:space="0" w:color="auto"/>
      </w:divBdr>
    </w:div>
    <w:div w:id="1295256547">
      <w:bodyDiv w:val="1"/>
      <w:marLeft w:val="0"/>
      <w:marRight w:val="0"/>
      <w:marTop w:val="0"/>
      <w:marBottom w:val="0"/>
      <w:divBdr>
        <w:top w:val="none" w:sz="0" w:space="0" w:color="auto"/>
        <w:left w:val="none" w:sz="0" w:space="0" w:color="auto"/>
        <w:bottom w:val="none" w:sz="0" w:space="0" w:color="auto"/>
        <w:right w:val="none" w:sz="0" w:space="0" w:color="auto"/>
      </w:divBdr>
    </w:div>
    <w:div w:id="1323852907">
      <w:bodyDiv w:val="1"/>
      <w:marLeft w:val="0"/>
      <w:marRight w:val="0"/>
      <w:marTop w:val="0"/>
      <w:marBottom w:val="0"/>
      <w:divBdr>
        <w:top w:val="none" w:sz="0" w:space="0" w:color="auto"/>
        <w:left w:val="none" w:sz="0" w:space="0" w:color="auto"/>
        <w:bottom w:val="none" w:sz="0" w:space="0" w:color="auto"/>
        <w:right w:val="none" w:sz="0" w:space="0" w:color="auto"/>
      </w:divBdr>
    </w:div>
    <w:div w:id="1343433442">
      <w:bodyDiv w:val="1"/>
      <w:marLeft w:val="0"/>
      <w:marRight w:val="0"/>
      <w:marTop w:val="0"/>
      <w:marBottom w:val="0"/>
      <w:divBdr>
        <w:top w:val="none" w:sz="0" w:space="0" w:color="auto"/>
        <w:left w:val="none" w:sz="0" w:space="0" w:color="auto"/>
        <w:bottom w:val="none" w:sz="0" w:space="0" w:color="auto"/>
        <w:right w:val="none" w:sz="0" w:space="0" w:color="auto"/>
      </w:divBdr>
    </w:div>
    <w:div w:id="1348750548">
      <w:bodyDiv w:val="1"/>
      <w:marLeft w:val="0"/>
      <w:marRight w:val="0"/>
      <w:marTop w:val="0"/>
      <w:marBottom w:val="0"/>
      <w:divBdr>
        <w:top w:val="none" w:sz="0" w:space="0" w:color="auto"/>
        <w:left w:val="none" w:sz="0" w:space="0" w:color="auto"/>
        <w:bottom w:val="none" w:sz="0" w:space="0" w:color="auto"/>
        <w:right w:val="none" w:sz="0" w:space="0" w:color="auto"/>
      </w:divBdr>
    </w:div>
    <w:div w:id="1362315107">
      <w:bodyDiv w:val="1"/>
      <w:marLeft w:val="0"/>
      <w:marRight w:val="0"/>
      <w:marTop w:val="0"/>
      <w:marBottom w:val="0"/>
      <w:divBdr>
        <w:top w:val="none" w:sz="0" w:space="0" w:color="auto"/>
        <w:left w:val="none" w:sz="0" w:space="0" w:color="auto"/>
        <w:bottom w:val="none" w:sz="0" w:space="0" w:color="auto"/>
        <w:right w:val="none" w:sz="0" w:space="0" w:color="auto"/>
      </w:divBdr>
    </w:div>
    <w:div w:id="1365132030">
      <w:bodyDiv w:val="1"/>
      <w:marLeft w:val="0"/>
      <w:marRight w:val="0"/>
      <w:marTop w:val="0"/>
      <w:marBottom w:val="0"/>
      <w:divBdr>
        <w:top w:val="none" w:sz="0" w:space="0" w:color="auto"/>
        <w:left w:val="none" w:sz="0" w:space="0" w:color="auto"/>
        <w:bottom w:val="none" w:sz="0" w:space="0" w:color="auto"/>
        <w:right w:val="none" w:sz="0" w:space="0" w:color="auto"/>
      </w:divBdr>
    </w:div>
    <w:div w:id="1376468162">
      <w:bodyDiv w:val="1"/>
      <w:marLeft w:val="0"/>
      <w:marRight w:val="0"/>
      <w:marTop w:val="0"/>
      <w:marBottom w:val="0"/>
      <w:divBdr>
        <w:top w:val="none" w:sz="0" w:space="0" w:color="auto"/>
        <w:left w:val="none" w:sz="0" w:space="0" w:color="auto"/>
        <w:bottom w:val="none" w:sz="0" w:space="0" w:color="auto"/>
        <w:right w:val="none" w:sz="0" w:space="0" w:color="auto"/>
      </w:divBdr>
    </w:div>
    <w:div w:id="1412655233">
      <w:bodyDiv w:val="1"/>
      <w:marLeft w:val="0"/>
      <w:marRight w:val="0"/>
      <w:marTop w:val="0"/>
      <w:marBottom w:val="0"/>
      <w:divBdr>
        <w:top w:val="none" w:sz="0" w:space="0" w:color="auto"/>
        <w:left w:val="none" w:sz="0" w:space="0" w:color="auto"/>
        <w:bottom w:val="none" w:sz="0" w:space="0" w:color="auto"/>
        <w:right w:val="none" w:sz="0" w:space="0" w:color="auto"/>
      </w:divBdr>
    </w:div>
    <w:div w:id="1413892828">
      <w:bodyDiv w:val="1"/>
      <w:marLeft w:val="0"/>
      <w:marRight w:val="0"/>
      <w:marTop w:val="0"/>
      <w:marBottom w:val="0"/>
      <w:divBdr>
        <w:top w:val="none" w:sz="0" w:space="0" w:color="auto"/>
        <w:left w:val="none" w:sz="0" w:space="0" w:color="auto"/>
        <w:bottom w:val="none" w:sz="0" w:space="0" w:color="auto"/>
        <w:right w:val="none" w:sz="0" w:space="0" w:color="auto"/>
      </w:divBdr>
    </w:div>
    <w:div w:id="1435398681">
      <w:bodyDiv w:val="1"/>
      <w:marLeft w:val="0"/>
      <w:marRight w:val="0"/>
      <w:marTop w:val="0"/>
      <w:marBottom w:val="0"/>
      <w:divBdr>
        <w:top w:val="none" w:sz="0" w:space="0" w:color="auto"/>
        <w:left w:val="none" w:sz="0" w:space="0" w:color="auto"/>
        <w:bottom w:val="none" w:sz="0" w:space="0" w:color="auto"/>
        <w:right w:val="none" w:sz="0" w:space="0" w:color="auto"/>
      </w:divBdr>
    </w:div>
    <w:div w:id="1441294558">
      <w:bodyDiv w:val="1"/>
      <w:marLeft w:val="0"/>
      <w:marRight w:val="0"/>
      <w:marTop w:val="0"/>
      <w:marBottom w:val="0"/>
      <w:divBdr>
        <w:top w:val="none" w:sz="0" w:space="0" w:color="auto"/>
        <w:left w:val="none" w:sz="0" w:space="0" w:color="auto"/>
        <w:bottom w:val="none" w:sz="0" w:space="0" w:color="auto"/>
        <w:right w:val="none" w:sz="0" w:space="0" w:color="auto"/>
      </w:divBdr>
    </w:div>
    <w:div w:id="1445925604">
      <w:bodyDiv w:val="1"/>
      <w:marLeft w:val="0"/>
      <w:marRight w:val="0"/>
      <w:marTop w:val="0"/>
      <w:marBottom w:val="0"/>
      <w:divBdr>
        <w:top w:val="none" w:sz="0" w:space="0" w:color="auto"/>
        <w:left w:val="none" w:sz="0" w:space="0" w:color="auto"/>
        <w:bottom w:val="none" w:sz="0" w:space="0" w:color="auto"/>
        <w:right w:val="none" w:sz="0" w:space="0" w:color="auto"/>
      </w:divBdr>
    </w:div>
    <w:div w:id="1452896889">
      <w:bodyDiv w:val="1"/>
      <w:marLeft w:val="0"/>
      <w:marRight w:val="0"/>
      <w:marTop w:val="0"/>
      <w:marBottom w:val="0"/>
      <w:divBdr>
        <w:top w:val="none" w:sz="0" w:space="0" w:color="auto"/>
        <w:left w:val="none" w:sz="0" w:space="0" w:color="auto"/>
        <w:bottom w:val="none" w:sz="0" w:space="0" w:color="auto"/>
        <w:right w:val="none" w:sz="0" w:space="0" w:color="auto"/>
      </w:divBdr>
    </w:div>
    <w:div w:id="1455172497">
      <w:bodyDiv w:val="1"/>
      <w:marLeft w:val="0"/>
      <w:marRight w:val="0"/>
      <w:marTop w:val="0"/>
      <w:marBottom w:val="0"/>
      <w:divBdr>
        <w:top w:val="none" w:sz="0" w:space="0" w:color="auto"/>
        <w:left w:val="none" w:sz="0" w:space="0" w:color="auto"/>
        <w:bottom w:val="none" w:sz="0" w:space="0" w:color="auto"/>
        <w:right w:val="none" w:sz="0" w:space="0" w:color="auto"/>
      </w:divBdr>
    </w:div>
    <w:div w:id="1491604605">
      <w:bodyDiv w:val="1"/>
      <w:marLeft w:val="0"/>
      <w:marRight w:val="0"/>
      <w:marTop w:val="0"/>
      <w:marBottom w:val="0"/>
      <w:divBdr>
        <w:top w:val="none" w:sz="0" w:space="0" w:color="auto"/>
        <w:left w:val="none" w:sz="0" w:space="0" w:color="auto"/>
        <w:bottom w:val="none" w:sz="0" w:space="0" w:color="auto"/>
        <w:right w:val="none" w:sz="0" w:space="0" w:color="auto"/>
      </w:divBdr>
    </w:div>
    <w:div w:id="1508058161">
      <w:bodyDiv w:val="1"/>
      <w:marLeft w:val="0"/>
      <w:marRight w:val="0"/>
      <w:marTop w:val="0"/>
      <w:marBottom w:val="0"/>
      <w:divBdr>
        <w:top w:val="none" w:sz="0" w:space="0" w:color="auto"/>
        <w:left w:val="none" w:sz="0" w:space="0" w:color="auto"/>
        <w:bottom w:val="none" w:sz="0" w:space="0" w:color="auto"/>
        <w:right w:val="none" w:sz="0" w:space="0" w:color="auto"/>
      </w:divBdr>
    </w:div>
    <w:div w:id="1509441655">
      <w:bodyDiv w:val="1"/>
      <w:marLeft w:val="0"/>
      <w:marRight w:val="0"/>
      <w:marTop w:val="0"/>
      <w:marBottom w:val="0"/>
      <w:divBdr>
        <w:top w:val="none" w:sz="0" w:space="0" w:color="auto"/>
        <w:left w:val="none" w:sz="0" w:space="0" w:color="auto"/>
        <w:bottom w:val="none" w:sz="0" w:space="0" w:color="auto"/>
        <w:right w:val="none" w:sz="0" w:space="0" w:color="auto"/>
      </w:divBdr>
    </w:div>
    <w:div w:id="1520120473">
      <w:bodyDiv w:val="1"/>
      <w:marLeft w:val="0"/>
      <w:marRight w:val="0"/>
      <w:marTop w:val="0"/>
      <w:marBottom w:val="0"/>
      <w:divBdr>
        <w:top w:val="none" w:sz="0" w:space="0" w:color="auto"/>
        <w:left w:val="none" w:sz="0" w:space="0" w:color="auto"/>
        <w:bottom w:val="none" w:sz="0" w:space="0" w:color="auto"/>
        <w:right w:val="none" w:sz="0" w:space="0" w:color="auto"/>
      </w:divBdr>
    </w:div>
    <w:div w:id="1520267938">
      <w:bodyDiv w:val="1"/>
      <w:marLeft w:val="0"/>
      <w:marRight w:val="0"/>
      <w:marTop w:val="0"/>
      <w:marBottom w:val="0"/>
      <w:divBdr>
        <w:top w:val="none" w:sz="0" w:space="0" w:color="auto"/>
        <w:left w:val="none" w:sz="0" w:space="0" w:color="auto"/>
        <w:bottom w:val="none" w:sz="0" w:space="0" w:color="auto"/>
        <w:right w:val="none" w:sz="0" w:space="0" w:color="auto"/>
      </w:divBdr>
    </w:div>
    <w:div w:id="1559171829">
      <w:bodyDiv w:val="1"/>
      <w:marLeft w:val="0"/>
      <w:marRight w:val="0"/>
      <w:marTop w:val="0"/>
      <w:marBottom w:val="0"/>
      <w:divBdr>
        <w:top w:val="none" w:sz="0" w:space="0" w:color="auto"/>
        <w:left w:val="none" w:sz="0" w:space="0" w:color="auto"/>
        <w:bottom w:val="none" w:sz="0" w:space="0" w:color="auto"/>
        <w:right w:val="none" w:sz="0" w:space="0" w:color="auto"/>
      </w:divBdr>
    </w:div>
    <w:div w:id="1562055261">
      <w:bodyDiv w:val="1"/>
      <w:marLeft w:val="0"/>
      <w:marRight w:val="0"/>
      <w:marTop w:val="0"/>
      <w:marBottom w:val="0"/>
      <w:divBdr>
        <w:top w:val="none" w:sz="0" w:space="0" w:color="auto"/>
        <w:left w:val="none" w:sz="0" w:space="0" w:color="auto"/>
        <w:bottom w:val="none" w:sz="0" w:space="0" w:color="auto"/>
        <w:right w:val="none" w:sz="0" w:space="0" w:color="auto"/>
      </w:divBdr>
    </w:div>
    <w:div w:id="1627539591">
      <w:bodyDiv w:val="1"/>
      <w:marLeft w:val="0"/>
      <w:marRight w:val="0"/>
      <w:marTop w:val="0"/>
      <w:marBottom w:val="0"/>
      <w:divBdr>
        <w:top w:val="none" w:sz="0" w:space="0" w:color="auto"/>
        <w:left w:val="none" w:sz="0" w:space="0" w:color="auto"/>
        <w:bottom w:val="none" w:sz="0" w:space="0" w:color="auto"/>
        <w:right w:val="none" w:sz="0" w:space="0" w:color="auto"/>
      </w:divBdr>
    </w:div>
    <w:div w:id="1632246014">
      <w:bodyDiv w:val="1"/>
      <w:marLeft w:val="0"/>
      <w:marRight w:val="0"/>
      <w:marTop w:val="0"/>
      <w:marBottom w:val="0"/>
      <w:divBdr>
        <w:top w:val="none" w:sz="0" w:space="0" w:color="auto"/>
        <w:left w:val="none" w:sz="0" w:space="0" w:color="auto"/>
        <w:bottom w:val="none" w:sz="0" w:space="0" w:color="auto"/>
        <w:right w:val="none" w:sz="0" w:space="0" w:color="auto"/>
      </w:divBdr>
    </w:div>
    <w:div w:id="1647201323">
      <w:bodyDiv w:val="1"/>
      <w:marLeft w:val="0"/>
      <w:marRight w:val="0"/>
      <w:marTop w:val="0"/>
      <w:marBottom w:val="0"/>
      <w:divBdr>
        <w:top w:val="none" w:sz="0" w:space="0" w:color="auto"/>
        <w:left w:val="none" w:sz="0" w:space="0" w:color="auto"/>
        <w:bottom w:val="none" w:sz="0" w:space="0" w:color="auto"/>
        <w:right w:val="none" w:sz="0" w:space="0" w:color="auto"/>
      </w:divBdr>
    </w:div>
    <w:div w:id="1648045792">
      <w:bodyDiv w:val="1"/>
      <w:marLeft w:val="0"/>
      <w:marRight w:val="0"/>
      <w:marTop w:val="0"/>
      <w:marBottom w:val="0"/>
      <w:divBdr>
        <w:top w:val="none" w:sz="0" w:space="0" w:color="auto"/>
        <w:left w:val="none" w:sz="0" w:space="0" w:color="auto"/>
        <w:bottom w:val="none" w:sz="0" w:space="0" w:color="auto"/>
        <w:right w:val="none" w:sz="0" w:space="0" w:color="auto"/>
      </w:divBdr>
    </w:div>
    <w:div w:id="1670910226">
      <w:bodyDiv w:val="1"/>
      <w:marLeft w:val="0"/>
      <w:marRight w:val="0"/>
      <w:marTop w:val="0"/>
      <w:marBottom w:val="0"/>
      <w:divBdr>
        <w:top w:val="none" w:sz="0" w:space="0" w:color="auto"/>
        <w:left w:val="none" w:sz="0" w:space="0" w:color="auto"/>
        <w:bottom w:val="none" w:sz="0" w:space="0" w:color="auto"/>
        <w:right w:val="none" w:sz="0" w:space="0" w:color="auto"/>
      </w:divBdr>
    </w:div>
    <w:div w:id="1680697373">
      <w:bodyDiv w:val="1"/>
      <w:marLeft w:val="0"/>
      <w:marRight w:val="0"/>
      <w:marTop w:val="0"/>
      <w:marBottom w:val="0"/>
      <w:divBdr>
        <w:top w:val="none" w:sz="0" w:space="0" w:color="auto"/>
        <w:left w:val="none" w:sz="0" w:space="0" w:color="auto"/>
        <w:bottom w:val="none" w:sz="0" w:space="0" w:color="auto"/>
        <w:right w:val="none" w:sz="0" w:space="0" w:color="auto"/>
      </w:divBdr>
    </w:div>
    <w:div w:id="1688020489">
      <w:bodyDiv w:val="1"/>
      <w:marLeft w:val="0"/>
      <w:marRight w:val="0"/>
      <w:marTop w:val="0"/>
      <w:marBottom w:val="0"/>
      <w:divBdr>
        <w:top w:val="none" w:sz="0" w:space="0" w:color="auto"/>
        <w:left w:val="none" w:sz="0" w:space="0" w:color="auto"/>
        <w:bottom w:val="none" w:sz="0" w:space="0" w:color="auto"/>
        <w:right w:val="none" w:sz="0" w:space="0" w:color="auto"/>
      </w:divBdr>
    </w:div>
    <w:div w:id="1688487324">
      <w:bodyDiv w:val="1"/>
      <w:marLeft w:val="0"/>
      <w:marRight w:val="0"/>
      <w:marTop w:val="0"/>
      <w:marBottom w:val="0"/>
      <w:divBdr>
        <w:top w:val="none" w:sz="0" w:space="0" w:color="auto"/>
        <w:left w:val="none" w:sz="0" w:space="0" w:color="auto"/>
        <w:bottom w:val="none" w:sz="0" w:space="0" w:color="auto"/>
        <w:right w:val="none" w:sz="0" w:space="0" w:color="auto"/>
      </w:divBdr>
    </w:div>
    <w:div w:id="1688559724">
      <w:bodyDiv w:val="1"/>
      <w:marLeft w:val="0"/>
      <w:marRight w:val="0"/>
      <w:marTop w:val="0"/>
      <w:marBottom w:val="0"/>
      <w:divBdr>
        <w:top w:val="none" w:sz="0" w:space="0" w:color="auto"/>
        <w:left w:val="none" w:sz="0" w:space="0" w:color="auto"/>
        <w:bottom w:val="none" w:sz="0" w:space="0" w:color="auto"/>
        <w:right w:val="none" w:sz="0" w:space="0" w:color="auto"/>
      </w:divBdr>
    </w:div>
    <w:div w:id="1696688506">
      <w:bodyDiv w:val="1"/>
      <w:marLeft w:val="0"/>
      <w:marRight w:val="0"/>
      <w:marTop w:val="0"/>
      <w:marBottom w:val="0"/>
      <w:divBdr>
        <w:top w:val="none" w:sz="0" w:space="0" w:color="auto"/>
        <w:left w:val="none" w:sz="0" w:space="0" w:color="auto"/>
        <w:bottom w:val="none" w:sz="0" w:space="0" w:color="auto"/>
        <w:right w:val="none" w:sz="0" w:space="0" w:color="auto"/>
      </w:divBdr>
    </w:div>
    <w:div w:id="1699892113">
      <w:bodyDiv w:val="1"/>
      <w:marLeft w:val="0"/>
      <w:marRight w:val="0"/>
      <w:marTop w:val="0"/>
      <w:marBottom w:val="0"/>
      <w:divBdr>
        <w:top w:val="none" w:sz="0" w:space="0" w:color="auto"/>
        <w:left w:val="none" w:sz="0" w:space="0" w:color="auto"/>
        <w:bottom w:val="none" w:sz="0" w:space="0" w:color="auto"/>
        <w:right w:val="none" w:sz="0" w:space="0" w:color="auto"/>
      </w:divBdr>
    </w:div>
    <w:div w:id="1729497637">
      <w:bodyDiv w:val="1"/>
      <w:marLeft w:val="0"/>
      <w:marRight w:val="0"/>
      <w:marTop w:val="0"/>
      <w:marBottom w:val="0"/>
      <w:divBdr>
        <w:top w:val="none" w:sz="0" w:space="0" w:color="auto"/>
        <w:left w:val="none" w:sz="0" w:space="0" w:color="auto"/>
        <w:bottom w:val="none" w:sz="0" w:space="0" w:color="auto"/>
        <w:right w:val="none" w:sz="0" w:space="0" w:color="auto"/>
      </w:divBdr>
    </w:div>
    <w:div w:id="1738360848">
      <w:bodyDiv w:val="1"/>
      <w:marLeft w:val="0"/>
      <w:marRight w:val="0"/>
      <w:marTop w:val="0"/>
      <w:marBottom w:val="0"/>
      <w:divBdr>
        <w:top w:val="none" w:sz="0" w:space="0" w:color="auto"/>
        <w:left w:val="none" w:sz="0" w:space="0" w:color="auto"/>
        <w:bottom w:val="none" w:sz="0" w:space="0" w:color="auto"/>
        <w:right w:val="none" w:sz="0" w:space="0" w:color="auto"/>
      </w:divBdr>
    </w:div>
    <w:div w:id="1753962319">
      <w:bodyDiv w:val="1"/>
      <w:marLeft w:val="0"/>
      <w:marRight w:val="0"/>
      <w:marTop w:val="0"/>
      <w:marBottom w:val="0"/>
      <w:divBdr>
        <w:top w:val="none" w:sz="0" w:space="0" w:color="auto"/>
        <w:left w:val="none" w:sz="0" w:space="0" w:color="auto"/>
        <w:bottom w:val="none" w:sz="0" w:space="0" w:color="auto"/>
        <w:right w:val="none" w:sz="0" w:space="0" w:color="auto"/>
      </w:divBdr>
    </w:div>
    <w:div w:id="1770002677">
      <w:bodyDiv w:val="1"/>
      <w:marLeft w:val="0"/>
      <w:marRight w:val="0"/>
      <w:marTop w:val="0"/>
      <w:marBottom w:val="0"/>
      <w:divBdr>
        <w:top w:val="none" w:sz="0" w:space="0" w:color="auto"/>
        <w:left w:val="none" w:sz="0" w:space="0" w:color="auto"/>
        <w:bottom w:val="none" w:sz="0" w:space="0" w:color="auto"/>
        <w:right w:val="none" w:sz="0" w:space="0" w:color="auto"/>
      </w:divBdr>
    </w:div>
    <w:div w:id="1800802281">
      <w:bodyDiv w:val="1"/>
      <w:marLeft w:val="0"/>
      <w:marRight w:val="0"/>
      <w:marTop w:val="0"/>
      <w:marBottom w:val="0"/>
      <w:divBdr>
        <w:top w:val="none" w:sz="0" w:space="0" w:color="auto"/>
        <w:left w:val="none" w:sz="0" w:space="0" w:color="auto"/>
        <w:bottom w:val="none" w:sz="0" w:space="0" w:color="auto"/>
        <w:right w:val="none" w:sz="0" w:space="0" w:color="auto"/>
      </w:divBdr>
    </w:div>
    <w:div w:id="1812823870">
      <w:bodyDiv w:val="1"/>
      <w:marLeft w:val="0"/>
      <w:marRight w:val="0"/>
      <w:marTop w:val="0"/>
      <w:marBottom w:val="0"/>
      <w:divBdr>
        <w:top w:val="none" w:sz="0" w:space="0" w:color="auto"/>
        <w:left w:val="none" w:sz="0" w:space="0" w:color="auto"/>
        <w:bottom w:val="none" w:sz="0" w:space="0" w:color="auto"/>
        <w:right w:val="none" w:sz="0" w:space="0" w:color="auto"/>
      </w:divBdr>
    </w:div>
    <w:div w:id="1816726964">
      <w:bodyDiv w:val="1"/>
      <w:marLeft w:val="0"/>
      <w:marRight w:val="0"/>
      <w:marTop w:val="0"/>
      <w:marBottom w:val="0"/>
      <w:divBdr>
        <w:top w:val="none" w:sz="0" w:space="0" w:color="auto"/>
        <w:left w:val="none" w:sz="0" w:space="0" w:color="auto"/>
        <w:bottom w:val="none" w:sz="0" w:space="0" w:color="auto"/>
        <w:right w:val="none" w:sz="0" w:space="0" w:color="auto"/>
      </w:divBdr>
    </w:div>
    <w:div w:id="1820028884">
      <w:bodyDiv w:val="1"/>
      <w:marLeft w:val="0"/>
      <w:marRight w:val="0"/>
      <w:marTop w:val="0"/>
      <w:marBottom w:val="0"/>
      <w:divBdr>
        <w:top w:val="none" w:sz="0" w:space="0" w:color="auto"/>
        <w:left w:val="none" w:sz="0" w:space="0" w:color="auto"/>
        <w:bottom w:val="none" w:sz="0" w:space="0" w:color="auto"/>
        <w:right w:val="none" w:sz="0" w:space="0" w:color="auto"/>
      </w:divBdr>
    </w:div>
    <w:div w:id="1860315598">
      <w:bodyDiv w:val="1"/>
      <w:marLeft w:val="0"/>
      <w:marRight w:val="0"/>
      <w:marTop w:val="0"/>
      <w:marBottom w:val="0"/>
      <w:divBdr>
        <w:top w:val="none" w:sz="0" w:space="0" w:color="auto"/>
        <w:left w:val="none" w:sz="0" w:space="0" w:color="auto"/>
        <w:bottom w:val="none" w:sz="0" w:space="0" w:color="auto"/>
        <w:right w:val="none" w:sz="0" w:space="0" w:color="auto"/>
      </w:divBdr>
    </w:div>
    <w:div w:id="1864662299">
      <w:bodyDiv w:val="1"/>
      <w:marLeft w:val="0"/>
      <w:marRight w:val="0"/>
      <w:marTop w:val="0"/>
      <w:marBottom w:val="0"/>
      <w:divBdr>
        <w:top w:val="none" w:sz="0" w:space="0" w:color="auto"/>
        <w:left w:val="none" w:sz="0" w:space="0" w:color="auto"/>
        <w:bottom w:val="none" w:sz="0" w:space="0" w:color="auto"/>
        <w:right w:val="none" w:sz="0" w:space="0" w:color="auto"/>
      </w:divBdr>
    </w:div>
    <w:div w:id="1876891366">
      <w:bodyDiv w:val="1"/>
      <w:marLeft w:val="0"/>
      <w:marRight w:val="0"/>
      <w:marTop w:val="0"/>
      <w:marBottom w:val="0"/>
      <w:divBdr>
        <w:top w:val="none" w:sz="0" w:space="0" w:color="auto"/>
        <w:left w:val="none" w:sz="0" w:space="0" w:color="auto"/>
        <w:bottom w:val="none" w:sz="0" w:space="0" w:color="auto"/>
        <w:right w:val="none" w:sz="0" w:space="0" w:color="auto"/>
      </w:divBdr>
    </w:div>
    <w:div w:id="1889762938">
      <w:bodyDiv w:val="1"/>
      <w:marLeft w:val="0"/>
      <w:marRight w:val="0"/>
      <w:marTop w:val="0"/>
      <w:marBottom w:val="0"/>
      <w:divBdr>
        <w:top w:val="none" w:sz="0" w:space="0" w:color="auto"/>
        <w:left w:val="none" w:sz="0" w:space="0" w:color="auto"/>
        <w:bottom w:val="none" w:sz="0" w:space="0" w:color="auto"/>
        <w:right w:val="none" w:sz="0" w:space="0" w:color="auto"/>
      </w:divBdr>
    </w:div>
    <w:div w:id="1902476316">
      <w:bodyDiv w:val="1"/>
      <w:marLeft w:val="0"/>
      <w:marRight w:val="0"/>
      <w:marTop w:val="0"/>
      <w:marBottom w:val="0"/>
      <w:divBdr>
        <w:top w:val="none" w:sz="0" w:space="0" w:color="auto"/>
        <w:left w:val="none" w:sz="0" w:space="0" w:color="auto"/>
        <w:bottom w:val="none" w:sz="0" w:space="0" w:color="auto"/>
        <w:right w:val="none" w:sz="0" w:space="0" w:color="auto"/>
      </w:divBdr>
    </w:div>
    <w:div w:id="1909876035">
      <w:bodyDiv w:val="1"/>
      <w:marLeft w:val="0"/>
      <w:marRight w:val="0"/>
      <w:marTop w:val="0"/>
      <w:marBottom w:val="0"/>
      <w:divBdr>
        <w:top w:val="none" w:sz="0" w:space="0" w:color="auto"/>
        <w:left w:val="none" w:sz="0" w:space="0" w:color="auto"/>
        <w:bottom w:val="none" w:sz="0" w:space="0" w:color="auto"/>
        <w:right w:val="none" w:sz="0" w:space="0" w:color="auto"/>
      </w:divBdr>
    </w:div>
    <w:div w:id="1912108178">
      <w:bodyDiv w:val="1"/>
      <w:marLeft w:val="0"/>
      <w:marRight w:val="0"/>
      <w:marTop w:val="0"/>
      <w:marBottom w:val="0"/>
      <w:divBdr>
        <w:top w:val="none" w:sz="0" w:space="0" w:color="auto"/>
        <w:left w:val="none" w:sz="0" w:space="0" w:color="auto"/>
        <w:bottom w:val="none" w:sz="0" w:space="0" w:color="auto"/>
        <w:right w:val="none" w:sz="0" w:space="0" w:color="auto"/>
      </w:divBdr>
    </w:div>
    <w:div w:id="1933975454">
      <w:bodyDiv w:val="1"/>
      <w:marLeft w:val="0"/>
      <w:marRight w:val="0"/>
      <w:marTop w:val="0"/>
      <w:marBottom w:val="0"/>
      <w:divBdr>
        <w:top w:val="none" w:sz="0" w:space="0" w:color="auto"/>
        <w:left w:val="none" w:sz="0" w:space="0" w:color="auto"/>
        <w:bottom w:val="none" w:sz="0" w:space="0" w:color="auto"/>
        <w:right w:val="none" w:sz="0" w:space="0" w:color="auto"/>
      </w:divBdr>
    </w:div>
    <w:div w:id="1993174329">
      <w:bodyDiv w:val="1"/>
      <w:marLeft w:val="0"/>
      <w:marRight w:val="0"/>
      <w:marTop w:val="0"/>
      <w:marBottom w:val="0"/>
      <w:divBdr>
        <w:top w:val="none" w:sz="0" w:space="0" w:color="auto"/>
        <w:left w:val="none" w:sz="0" w:space="0" w:color="auto"/>
        <w:bottom w:val="none" w:sz="0" w:space="0" w:color="auto"/>
        <w:right w:val="none" w:sz="0" w:space="0" w:color="auto"/>
      </w:divBdr>
    </w:div>
    <w:div w:id="2001955802">
      <w:bodyDiv w:val="1"/>
      <w:marLeft w:val="0"/>
      <w:marRight w:val="0"/>
      <w:marTop w:val="0"/>
      <w:marBottom w:val="0"/>
      <w:divBdr>
        <w:top w:val="none" w:sz="0" w:space="0" w:color="auto"/>
        <w:left w:val="none" w:sz="0" w:space="0" w:color="auto"/>
        <w:bottom w:val="none" w:sz="0" w:space="0" w:color="auto"/>
        <w:right w:val="none" w:sz="0" w:space="0" w:color="auto"/>
      </w:divBdr>
    </w:div>
    <w:div w:id="2009553983">
      <w:bodyDiv w:val="1"/>
      <w:marLeft w:val="0"/>
      <w:marRight w:val="0"/>
      <w:marTop w:val="0"/>
      <w:marBottom w:val="0"/>
      <w:divBdr>
        <w:top w:val="none" w:sz="0" w:space="0" w:color="auto"/>
        <w:left w:val="none" w:sz="0" w:space="0" w:color="auto"/>
        <w:bottom w:val="none" w:sz="0" w:space="0" w:color="auto"/>
        <w:right w:val="none" w:sz="0" w:space="0" w:color="auto"/>
      </w:divBdr>
    </w:div>
    <w:div w:id="2012877141">
      <w:bodyDiv w:val="1"/>
      <w:marLeft w:val="0"/>
      <w:marRight w:val="0"/>
      <w:marTop w:val="0"/>
      <w:marBottom w:val="0"/>
      <w:divBdr>
        <w:top w:val="none" w:sz="0" w:space="0" w:color="auto"/>
        <w:left w:val="none" w:sz="0" w:space="0" w:color="auto"/>
        <w:bottom w:val="none" w:sz="0" w:space="0" w:color="auto"/>
        <w:right w:val="none" w:sz="0" w:space="0" w:color="auto"/>
      </w:divBdr>
    </w:div>
    <w:div w:id="2030569990">
      <w:bodyDiv w:val="1"/>
      <w:marLeft w:val="0"/>
      <w:marRight w:val="0"/>
      <w:marTop w:val="0"/>
      <w:marBottom w:val="0"/>
      <w:divBdr>
        <w:top w:val="none" w:sz="0" w:space="0" w:color="auto"/>
        <w:left w:val="none" w:sz="0" w:space="0" w:color="auto"/>
        <w:bottom w:val="none" w:sz="0" w:space="0" w:color="auto"/>
        <w:right w:val="none" w:sz="0" w:space="0" w:color="auto"/>
      </w:divBdr>
    </w:div>
    <w:div w:id="2033527028">
      <w:bodyDiv w:val="1"/>
      <w:marLeft w:val="0"/>
      <w:marRight w:val="0"/>
      <w:marTop w:val="0"/>
      <w:marBottom w:val="0"/>
      <w:divBdr>
        <w:top w:val="none" w:sz="0" w:space="0" w:color="auto"/>
        <w:left w:val="none" w:sz="0" w:space="0" w:color="auto"/>
        <w:bottom w:val="none" w:sz="0" w:space="0" w:color="auto"/>
        <w:right w:val="none" w:sz="0" w:space="0" w:color="auto"/>
      </w:divBdr>
    </w:div>
    <w:div w:id="2052149075">
      <w:bodyDiv w:val="1"/>
      <w:marLeft w:val="0"/>
      <w:marRight w:val="0"/>
      <w:marTop w:val="0"/>
      <w:marBottom w:val="0"/>
      <w:divBdr>
        <w:top w:val="none" w:sz="0" w:space="0" w:color="auto"/>
        <w:left w:val="none" w:sz="0" w:space="0" w:color="auto"/>
        <w:bottom w:val="none" w:sz="0" w:space="0" w:color="auto"/>
        <w:right w:val="none" w:sz="0" w:space="0" w:color="auto"/>
      </w:divBdr>
    </w:div>
    <w:div w:id="2071225882">
      <w:bodyDiv w:val="1"/>
      <w:marLeft w:val="0"/>
      <w:marRight w:val="0"/>
      <w:marTop w:val="0"/>
      <w:marBottom w:val="0"/>
      <w:divBdr>
        <w:top w:val="none" w:sz="0" w:space="0" w:color="auto"/>
        <w:left w:val="none" w:sz="0" w:space="0" w:color="auto"/>
        <w:bottom w:val="none" w:sz="0" w:space="0" w:color="auto"/>
        <w:right w:val="none" w:sz="0" w:space="0" w:color="auto"/>
      </w:divBdr>
    </w:div>
    <w:div w:id="2072314715">
      <w:bodyDiv w:val="1"/>
      <w:marLeft w:val="0"/>
      <w:marRight w:val="0"/>
      <w:marTop w:val="0"/>
      <w:marBottom w:val="0"/>
      <w:divBdr>
        <w:top w:val="none" w:sz="0" w:space="0" w:color="auto"/>
        <w:left w:val="none" w:sz="0" w:space="0" w:color="auto"/>
        <w:bottom w:val="none" w:sz="0" w:space="0" w:color="auto"/>
        <w:right w:val="none" w:sz="0" w:space="0" w:color="auto"/>
      </w:divBdr>
    </w:div>
    <w:div w:id="2095978167">
      <w:bodyDiv w:val="1"/>
      <w:marLeft w:val="0"/>
      <w:marRight w:val="0"/>
      <w:marTop w:val="0"/>
      <w:marBottom w:val="0"/>
      <w:divBdr>
        <w:top w:val="none" w:sz="0" w:space="0" w:color="auto"/>
        <w:left w:val="none" w:sz="0" w:space="0" w:color="auto"/>
        <w:bottom w:val="none" w:sz="0" w:space="0" w:color="auto"/>
        <w:right w:val="none" w:sz="0" w:space="0" w:color="auto"/>
      </w:divBdr>
    </w:div>
    <w:div w:id="2131432136">
      <w:bodyDiv w:val="1"/>
      <w:marLeft w:val="0"/>
      <w:marRight w:val="0"/>
      <w:marTop w:val="0"/>
      <w:marBottom w:val="0"/>
      <w:divBdr>
        <w:top w:val="none" w:sz="0" w:space="0" w:color="auto"/>
        <w:left w:val="none" w:sz="0" w:space="0" w:color="auto"/>
        <w:bottom w:val="none" w:sz="0" w:space="0" w:color="auto"/>
        <w:right w:val="none" w:sz="0" w:space="0" w:color="auto"/>
      </w:divBdr>
    </w:div>
    <w:div w:id="21459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11328</Words>
  <Characters>64573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75750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Part 3: Fiscal Strategy and Outlook</dc:subject>
  <dc:creator/>
  <cp:keywords/>
  <dc:description/>
  <cp:lastModifiedBy/>
  <cp:revision>1</cp:revision>
  <dcterms:created xsi:type="dcterms:W3CDTF">2024-12-16T23:32:00Z</dcterms:created>
  <dcterms:modified xsi:type="dcterms:W3CDTF">2024-12-16T23:32:00Z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2024-12-16T23:33:00Z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8b542c15-da3d-48b9-b4d8-b99be418d28a</vt:lpwstr>
  </property>
  <property fmtid="{D5CDD505-2E9C-101B-9397-08002B2CF9AE}" pid="8" name="MSIP_Label_4f932d64-9ab1-4d9b-81d2-a3a8b82dd47d_ContentBits">
    <vt:lpwstr>0</vt:lpwstr>
  </property>
</Properties>
</file>