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B8BA" w14:textId="7EA8A026" w:rsidR="00D51853" w:rsidRDefault="001A6998" w:rsidP="00D51853">
      <w:pPr>
        <w:spacing w:before="0" w:line="240" w:lineRule="auto"/>
      </w:pPr>
      <w:r>
        <w:rPr>
          <w:noProof/>
        </w:rPr>
        <w:drawing>
          <wp:inline distT="0" distB="0" distL="0" distR="0" wp14:anchorId="2614CC50" wp14:editId="40E65FCF">
            <wp:extent cx="1271224" cy="1282941"/>
            <wp:effectExtent l="0" t="0" r="571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224" cy="1282941"/>
                    </a:xfrm>
                    <a:prstGeom prst="rect">
                      <a:avLst/>
                    </a:prstGeom>
                  </pic:spPr>
                </pic:pic>
              </a:graphicData>
            </a:graphic>
          </wp:inline>
        </w:drawing>
      </w:r>
    </w:p>
    <w:p w14:paraId="528D9BE6" w14:textId="77777777" w:rsidR="00D51853" w:rsidRPr="0027030A" w:rsidRDefault="00D51853" w:rsidP="00D51853">
      <w:pPr>
        <w:spacing w:before="0" w:after="720" w:line="240" w:lineRule="auto"/>
      </w:pPr>
    </w:p>
    <w:p w14:paraId="1DA2A8B7" w14:textId="018C5AC2" w:rsidR="00D51853" w:rsidRPr="0076690A" w:rsidRDefault="00D51853" w:rsidP="00D51853">
      <w:pPr>
        <w:keepNext/>
        <w:spacing w:before="0" w:after="0" w:line="240" w:lineRule="auto"/>
        <w:rPr>
          <w:rFonts w:ascii="Arial" w:hAnsi="Arial" w:cs="Arial"/>
          <w:b/>
          <w:bCs/>
          <w:sz w:val="28"/>
          <w:szCs w:val="28"/>
        </w:rPr>
      </w:pPr>
      <w:r w:rsidRPr="0076690A">
        <w:rPr>
          <w:rFonts w:ascii="Arial" w:hAnsi="Arial" w:cs="Arial"/>
          <w:b/>
          <w:bCs/>
          <w:sz w:val="28"/>
          <w:szCs w:val="28"/>
        </w:rPr>
        <w:t>MID</w:t>
      </w:r>
      <w:r w:rsidR="008C31CD">
        <w:rPr>
          <w:rFonts w:ascii="Arial" w:hAnsi="Arial" w:cs="Arial"/>
          <w:b/>
          <w:bCs/>
          <w:sz w:val="28"/>
          <w:szCs w:val="28"/>
        </w:rPr>
        <w:noBreakHyphen/>
      </w:r>
      <w:r w:rsidRPr="0076690A">
        <w:rPr>
          <w:rFonts w:ascii="Arial" w:hAnsi="Arial" w:cs="Arial"/>
          <w:b/>
          <w:bCs/>
          <w:sz w:val="28"/>
          <w:szCs w:val="28"/>
        </w:rPr>
        <w:t>YEAR ECONOMIC AND FISCAL OUTLOOK</w:t>
      </w:r>
    </w:p>
    <w:p w14:paraId="042F2603" w14:textId="054A3C8B" w:rsidR="00D51853" w:rsidRPr="0076690A" w:rsidRDefault="00D51853" w:rsidP="00D51853">
      <w:pPr>
        <w:keepNext/>
        <w:spacing w:before="0" w:after="0" w:line="240" w:lineRule="auto"/>
        <w:rPr>
          <w:rFonts w:ascii="Arial" w:hAnsi="Arial" w:cs="Arial"/>
          <w:sz w:val="28"/>
          <w:szCs w:val="28"/>
        </w:rPr>
      </w:pPr>
      <w:r w:rsidRPr="0076690A">
        <w:rPr>
          <w:rFonts w:ascii="Arial" w:hAnsi="Arial" w:cs="Arial"/>
          <w:sz w:val="28"/>
          <w:szCs w:val="28"/>
        </w:rPr>
        <w:t>202</w:t>
      </w:r>
      <w:r w:rsidR="001A6998">
        <w:rPr>
          <w:rFonts w:ascii="Arial" w:hAnsi="Arial" w:cs="Arial"/>
          <w:sz w:val="28"/>
          <w:szCs w:val="28"/>
        </w:rPr>
        <w:t>4</w:t>
      </w:r>
      <w:r w:rsidRPr="0076690A">
        <w:rPr>
          <w:rFonts w:ascii="Arial" w:hAnsi="Arial" w:cs="Arial"/>
          <w:sz w:val="28"/>
          <w:szCs w:val="28"/>
        </w:rPr>
        <w:t>–2</w:t>
      </w:r>
      <w:r w:rsidR="001A6998">
        <w:rPr>
          <w:rFonts w:ascii="Arial" w:hAnsi="Arial" w:cs="Arial"/>
          <w:sz w:val="28"/>
          <w:szCs w:val="28"/>
        </w:rPr>
        <w:t>5</w:t>
      </w:r>
    </w:p>
    <w:p w14:paraId="1FD1F70A" w14:textId="77777777" w:rsidR="00D51853" w:rsidRPr="0076690A" w:rsidRDefault="00D51853" w:rsidP="00D51853">
      <w:pPr>
        <w:spacing w:before="4080" w:line="240" w:lineRule="auto"/>
        <w:rPr>
          <w:rFonts w:ascii="Arial" w:hAnsi="Arial" w:cs="Arial"/>
        </w:rPr>
      </w:pPr>
    </w:p>
    <w:p w14:paraId="54FF0C14" w14:textId="77777777" w:rsidR="00D51853" w:rsidRPr="005C5692" w:rsidRDefault="00D51853" w:rsidP="00D51853">
      <w:pPr>
        <w:pStyle w:val="Arial10pt"/>
      </w:pPr>
      <w:r>
        <w:t>Statement</w:t>
      </w:r>
      <w:r w:rsidRPr="005C5692">
        <w:t xml:space="preserve"> by</w:t>
      </w:r>
    </w:p>
    <w:p w14:paraId="577F461D" w14:textId="77777777" w:rsidR="00D51853" w:rsidRPr="005C5692" w:rsidRDefault="00D51853" w:rsidP="00D51853">
      <w:pPr>
        <w:pStyle w:val="Arial10pt"/>
      </w:pPr>
      <w:r w:rsidRPr="005C5692">
        <w:rPr>
          <w:b/>
          <w:bCs/>
        </w:rPr>
        <w:t>The Honourable Jim Chalmers MP</w:t>
      </w:r>
      <w:r>
        <w:rPr>
          <w:b/>
          <w:bCs/>
        </w:rPr>
        <w:br/>
      </w:r>
      <w:r w:rsidRPr="005C5692">
        <w:t>Treasurer of the Commonwealth of Australia</w:t>
      </w:r>
    </w:p>
    <w:p w14:paraId="48B1A120" w14:textId="77777777" w:rsidR="00D51853" w:rsidRPr="005C5692" w:rsidRDefault="00D51853" w:rsidP="00D51853">
      <w:pPr>
        <w:pStyle w:val="Arial10pt"/>
      </w:pPr>
      <w:r w:rsidRPr="005C5692">
        <w:t>and</w:t>
      </w:r>
    </w:p>
    <w:p w14:paraId="617F1340" w14:textId="77777777" w:rsidR="00D51853" w:rsidRPr="005C5692" w:rsidRDefault="00D51853" w:rsidP="00D51853">
      <w:pPr>
        <w:pStyle w:val="Arial10pt"/>
      </w:pPr>
      <w:r w:rsidRPr="005C5692">
        <w:rPr>
          <w:b/>
          <w:bCs/>
        </w:rPr>
        <w:t>Senator the Honourable Katy Gallagher</w:t>
      </w:r>
      <w:r>
        <w:rPr>
          <w:b/>
          <w:bCs/>
        </w:rPr>
        <w:br/>
      </w:r>
      <w:r w:rsidRPr="005C5692">
        <w:t xml:space="preserve">Minister for Finance, Minister for Women, </w:t>
      </w:r>
      <w:r>
        <w:br/>
      </w:r>
      <w:r w:rsidRPr="005C5692">
        <w:t>Minister for the Public Service of the Commonwealth of Australia</w:t>
      </w:r>
    </w:p>
    <w:p w14:paraId="63127B27" w14:textId="77777777" w:rsidR="00D51853" w:rsidRPr="005C5692" w:rsidRDefault="00D51853" w:rsidP="00D51853">
      <w:pPr>
        <w:pStyle w:val="Arial10pt"/>
      </w:pPr>
    </w:p>
    <w:p w14:paraId="570B7F80" w14:textId="1F005FAF" w:rsidR="000C0EE3" w:rsidRDefault="00D51853" w:rsidP="00D51853">
      <w:pPr>
        <w:pStyle w:val="Arial10pt"/>
      </w:pPr>
      <w:r w:rsidRPr="005C5692">
        <w:t>For the information of honourable members</w:t>
      </w:r>
      <w:r>
        <w:br/>
      </w:r>
    </w:p>
    <w:p w14:paraId="2252F816" w14:textId="2EA18DE4" w:rsidR="00D51853" w:rsidRPr="00002622" w:rsidRDefault="00D51853" w:rsidP="00DF5DCB">
      <w:pPr>
        <w:spacing w:before="0" w:after="160" w:line="259" w:lineRule="auto"/>
        <w:rPr>
          <w:rFonts w:cs="Calibri"/>
          <w:color w:val="000000"/>
          <w:spacing w:val="-2"/>
        </w:rPr>
        <w:sectPr w:rsidR="00D51853" w:rsidRPr="00002622" w:rsidSect="00466BB5">
          <w:footerReference w:type="even" r:id="rId8"/>
          <w:footerReference w:type="default" r:id="rId9"/>
          <w:pgSz w:w="11907" w:h="16840" w:code="9"/>
          <w:pgMar w:top="2835" w:right="2098" w:bottom="2466" w:left="2098" w:header="1814" w:footer="1814" w:gutter="0"/>
          <w:pgNumType w:fmt="lowerRoman" w:start="1"/>
          <w:cols w:space="708"/>
          <w:vAlign w:val="center"/>
          <w:titlePg/>
          <w:docGrid w:linePitch="360"/>
        </w:sectPr>
      </w:pPr>
    </w:p>
    <w:p w14:paraId="6F2746C3" w14:textId="2B01FD7E" w:rsidR="00D51853" w:rsidRPr="009632A8" w:rsidRDefault="00D51853" w:rsidP="00D51853">
      <w:pPr>
        <w:pStyle w:val="CreativeCommons"/>
      </w:pPr>
      <w:r w:rsidRPr="009632A8">
        <w:lastRenderedPageBreak/>
        <w:t xml:space="preserve">© Commonwealth of Australia </w:t>
      </w:r>
      <w:r>
        <w:t>202</w:t>
      </w:r>
      <w:r w:rsidR="001A6998">
        <w:t>4</w:t>
      </w:r>
    </w:p>
    <w:p w14:paraId="50D28AF1" w14:textId="77777777" w:rsidR="00D51853" w:rsidRPr="009632A8" w:rsidRDefault="00D51853" w:rsidP="00D51853">
      <w:pPr>
        <w:pStyle w:val="CreativeCommons"/>
      </w:pPr>
      <w:r w:rsidRPr="009632A8">
        <w:t>ISSN 0728 7194 (print); 1326 4133 (online)</w:t>
      </w:r>
    </w:p>
    <w:p w14:paraId="3829332A" w14:textId="27DC1037" w:rsidR="00D51853" w:rsidRPr="001A6998" w:rsidRDefault="00D51853" w:rsidP="00B0252F">
      <w:pPr>
        <w:pStyle w:val="CreativeCommons"/>
        <w:rPr>
          <w:rStyle w:val="A5"/>
          <w:rFonts w:cs="Calibri"/>
          <w:sz w:val="19"/>
        </w:rPr>
      </w:pPr>
      <w:r w:rsidRPr="001A6998">
        <w:rPr>
          <w:rStyle w:val="A5"/>
          <w:rFonts w:cs="Calibri"/>
          <w:sz w:val="19"/>
        </w:rPr>
        <w:t xml:space="preserve">This publication is available for your use under </w:t>
      </w:r>
      <w:r w:rsidRPr="001A6998">
        <w:t xml:space="preserve">a </w:t>
      </w:r>
      <w:hyperlink r:id="rId10" w:history="1">
        <w:r w:rsidR="001A6998" w:rsidRPr="001A6998">
          <w:t>Creative Commons Attribution 4.0 International</w:t>
        </w:r>
      </w:hyperlink>
      <w:r w:rsidRPr="001A6998">
        <w:t xml:space="preserve"> licence, </w:t>
      </w:r>
      <w:r w:rsidRPr="001A6998">
        <w:rPr>
          <w:rStyle w:val="A5"/>
          <w:rFonts w:cs="Calibri"/>
          <w:sz w:val="19"/>
        </w:rPr>
        <w:t>with the exception of the Commonwealth Coat of Arms, third</w:t>
      </w:r>
      <w:r w:rsidR="008C31CD">
        <w:rPr>
          <w:rStyle w:val="A5"/>
          <w:rFonts w:cs="Calibri"/>
          <w:sz w:val="19"/>
        </w:rPr>
        <w:noBreakHyphen/>
      </w:r>
      <w:r w:rsidRPr="001A6998">
        <w:rPr>
          <w:rStyle w:val="A5"/>
          <w:rFonts w:cs="Calibri"/>
          <w:sz w:val="19"/>
        </w:rPr>
        <w:t xml:space="preserve">party </w:t>
      </w:r>
      <w:r w:rsidRPr="00153DE6">
        <w:t xml:space="preserve">content and where otherwise stated. The full licence terms are available from </w:t>
      </w:r>
      <w:hyperlink r:id="rId11" w:history="1">
        <w:r w:rsidR="00153DE6" w:rsidRPr="00617CF4">
          <w:rPr>
            <w:rStyle w:val="Hyperlink"/>
          </w:rPr>
          <w:t>http://creativecommons.org/licenses/by/4.0/legalcode</w:t>
        </w:r>
      </w:hyperlink>
      <w:r w:rsidRPr="00153DE6">
        <w:t>.</w:t>
      </w:r>
    </w:p>
    <w:p w14:paraId="1F9CB684" w14:textId="77777777" w:rsidR="00D51853" w:rsidRPr="00F05918" w:rsidRDefault="00D51853" w:rsidP="00D51853">
      <w:pPr>
        <w:pStyle w:val="TableGraphic"/>
        <w:spacing w:before="120" w:after="120"/>
      </w:pPr>
      <w:r w:rsidRPr="00F05918">
        <w:rPr>
          <w:noProof/>
        </w:rPr>
        <w:drawing>
          <wp:inline distT="0" distB="0" distL="0" distR="0" wp14:anchorId="39CA0200" wp14:editId="1ED520B2">
            <wp:extent cx="887095" cy="307340"/>
            <wp:effectExtent l="0" t="0" r="8255" b="0"/>
            <wp:docPr id="13" name="Picture 1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reative Comm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5A129AC7" w14:textId="4B918892" w:rsidR="00D51853" w:rsidRPr="009632A8" w:rsidRDefault="00D51853" w:rsidP="00D51853">
      <w:pPr>
        <w:pStyle w:val="CreativeCommons"/>
      </w:pPr>
      <w:r w:rsidRPr="009632A8">
        <w:t xml:space="preserve">Use of Commonwealth of Australia material under a </w:t>
      </w:r>
      <w:hyperlink r:id="rId13" w:history="1">
        <w:r w:rsidR="006D2E87" w:rsidRPr="006D2E87">
          <w:t>Creative Commons Attribution 4.0 International</w:t>
        </w:r>
      </w:hyperlink>
      <w:r w:rsidRPr="006D2E87">
        <w:t xml:space="preserve"> </w:t>
      </w:r>
      <w:r w:rsidRPr="009632A8">
        <w:t>licence requires you to attribute the work (but not in any way that suggests that</w:t>
      </w:r>
      <w:r w:rsidR="00507E84">
        <w:t> </w:t>
      </w:r>
      <w:r w:rsidRPr="009632A8">
        <w:t>the Commonwealth of Australia endorses you or your use of the work).</w:t>
      </w:r>
    </w:p>
    <w:p w14:paraId="16C8A04F" w14:textId="627056A6" w:rsidR="00D51853" w:rsidRPr="007D330E" w:rsidRDefault="00D51853" w:rsidP="00D51853">
      <w:pPr>
        <w:pStyle w:val="CreativeCommonsH1"/>
      </w:pPr>
      <w:r w:rsidRPr="007D330E">
        <w:t xml:space="preserve">Commonwealth of Australia material used </w:t>
      </w:r>
      <w:r w:rsidR="008C31CD">
        <w:t>‘</w:t>
      </w:r>
      <w:r w:rsidRPr="007D330E">
        <w:t>as supplied</w:t>
      </w:r>
      <w:r w:rsidR="008C31CD">
        <w:t>’</w:t>
      </w:r>
      <w:r w:rsidRPr="007D330E">
        <w:t>.</w:t>
      </w:r>
    </w:p>
    <w:p w14:paraId="29BAAC46" w14:textId="594319BC" w:rsidR="00D51853" w:rsidRPr="009632A8" w:rsidRDefault="00D51853" w:rsidP="00D51853">
      <w:pPr>
        <w:pStyle w:val="CreativeCommons"/>
      </w:pPr>
      <w:r w:rsidRPr="009632A8">
        <w:t>Provided you have not modified or transformed Commonwealth of Australia material in</w:t>
      </w:r>
      <w:r w:rsidR="00507E84">
        <w:t> </w:t>
      </w:r>
      <w:r w:rsidRPr="009632A8">
        <w:t>any</w:t>
      </w:r>
      <w:r w:rsidR="00507E84">
        <w:t> </w:t>
      </w:r>
      <w:r w:rsidRPr="009632A8">
        <w:t>way including, for example, by changing the Commonwealth of Australia text; calculating percentage changes; graphing or charting data; or deriving new statistics from published statistics</w:t>
      </w:r>
      <w:r>
        <w:t xml:space="preserve"> – </w:t>
      </w:r>
      <w:r w:rsidRPr="009632A8">
        <w:t>then the Commonwealth of Australia prefers the following attribution:</w:t>
      </w:r>
    </w:p>
    <w:p w14:paraId="796FCE65" w14:textId="77777777" w:rsidR="00D51853" w:rsidRPr="00441F76" w:rsidRDefault="00D51853" w:rsidP="00441F76">
      <w:pPr>
        <w:pStyle w:val="CreativeCommons"/>
        <w:ind w:left="567"/>
        <w:rPr>
          <w:rStyle w:val="Emphasis"/>
        </w:rPr>
      </w:pPr>
      <w:r w:rsidRPr="00A92831">
        <w:rPr>
          <w:rStyle w:val="Emphasis"/>
          <w:i w:val="0"/>
          <w:iCs w:val="0"/>
        </w:rPr>
        <w:t>Source:</w:t>
      </w:r>
      <w:r w:rsidRPr="00441F76">
        <w:rPr>
          <w:rStyle w:val="Emphasis"/>
        </w:rPr>
        <w:t xml:space="preserve"> The Commonwealth of Australia.</w:t>
      </w:r>
    </w:p>
    <w:p w14:paraId="514DF825" w14:textId="77777777" w:rsidR="00D51853" w:rsidRPr="009632A8" w:rsidRDefault="00D51853" w:rsidP="00D51853">
      <w:pPr>
        <w:pStyle w:val="CreativeCommonsH1"/>
      </w:pPr>
      <w:r w:rsidRPr="009632A8">
        <w:t>Derivative material</w:t>
      </w:r>
    </w:p>
    <w:p w14:paraId="37357C3B" w14:textId="5E0B2396" w:rsidR="00D51853" w:rsidRPr="009632A8" w:rsidRDefault="00D51853" w:rsidP="00441F76">
      <w:pPr>
        <w:pStyle w:val="CreativeCommons"/>
      </w:pPr>
      <w:r w:rsidRPr="009632A8">
        <w:t>If you have modified or transformed Commonwealth of Australia material, or derived new</w:t>
      </w:r>
      <w:r w:rsidR="000B78C5">
        <w:t xml:space="preserve"> </w:t>
      </w:r>
      <w:r w:rsidRPr="009632A8">
        <w:t>material from those of the Commonwealth of Australia in any way, then the Commonwealth</w:t>
      </w:r>
      <w:r w:rsidR="000B78C5">
        <w:t xml:space="preserve"> </w:t>
      </w:r>
      <w:r w:rsidRPr="009632A8">
        <w:t>of Australia prefers the following attribution:</w:t>
      </w:r>
    </w:p>
    <w:p w14:paraId="19EBC6A4" w14:textId="77777777" w:rsidR="00D51853" w:rsidRPr="00441F76" w:rsidRDefault="00D51853" w:rsidP="00441F76">
      <w:pPr>
        <w:pStyle w:val="CreativeCommons"/>
        <w:ind w:left="567"/>
        <w:rPr>
          <w:rStyle w:val="Emphasis"/>
        </w:rPr>
      </w:pPr>
      <w:r w:rsidRPr="00441F76">
        <w:rPr>
          <w:rStyle w:val="Emphasis"/>
        </w:rPr>
        <w:t>Based on Commonwealth of Australia data.</w:t>
      </w:r>
    </w:p>
    <w:p w14:paraId="053047F1" w14:textId="77777777" w:rsidR="00D51853" w:rsidRPr="00153026" w:rsidRDefault="00D51853" w:rsidP="00153026">
      <w:pPr>
        <w:pStyle w:val="CreativeCommonsH1"/>
      </w:pPr>
      <w:r w:rsidRPr="00153026">
        <w:t>Use of the Coat of Arms</w:t>
      </w:r>
    </w:p>
    <w:p w14:paraId="28448B2B" w14:textId="537A48FA" w:rsidR="00D51853" w:rsidRPr="009632A8" w:rsidRDefault="00D51853" w:rsidP="00D51853">
      <w:pPr>
        <w:pStyle w:val="CreativeCommons"/>
      </w:pPr>
      <w:r w:rsidRPr="009632A8">
        <w:t xml:space="preserve">The </w:t>
      </w:r>
      <w:r w:rsidRPr="008777D0">
        <w:rPr>
          <w:color w:val="auto"/>
        </w:rPr>
        <w:t>terms under which the Coat of Arms can be used are set out on</w:t>
      </w:r>
      <w:r w:rsidR="00D11049" w:rsidRPr="008777D0">
        <w:rPr>
          <w:color w:val="auto"/>
        </w:rPr>
        <w:t> </w:t>
      </w:r>
      <w:r w:rsidRPr="008777D0">
        <w:rPr>
          <w:color w:val="auto"/>
        </w:rPr>
        <w:t>the</w:t>
      </w:r>
      <w:r w:rsidR="00D11049" w:rsidRPr="008777D0">
        <w:rPr>
          <w:color w:val="auto"/>
        </w:rPr>
        <w:t> </w:t>
      </w:r>
      <w:r w:rsidRPr="008777D0">
        <w:rPr>
          <w:color w:val="auto"/>
        </w:rPr>
        <w:t>Department</w:t>
      </w:r>
      <w:r w:rsidR="00507E84" w:rsidRPr="008777D0">
        <w:rPr>
          <w:color w:val="auto"/>
        </w:rPr>
        <w:t> </w:t>
      </w:r>
      <w:r w:rsidRPr="008777D0">
        <w:rPr>
          <w:color w:val="auto"/>
        </w:rPr>
        <w:t>of</w:t>
      </w:r>
      <w:r w:rsidR="00507E84" w:rsidRPr="008777D0">
        <w:rPr>
          <w:color w:val="auto"/>
        </w:rPr>
        <w:t> </w:t>
      </w:r>
      <w:r w:rsidRPr="008777D0">
        <w:rPr>
          <w:color w:val="auto"/>
        </w:rPr>
        <w:t>the</w:t>
      </w:r>
      <w:r w:rsidR="00507E84" w:rsidRPr="008777D0">
        <w:rPr>
          <w:color w:val="auto"/>
        </w:rPr>
        <w:t> </w:t>
      </w:r>
      <w:r w:rsidRPr="008777D0">
        <w:rPr>
          <w:color w:val="auto"/>
        </w:rPr>
        <w:t>Prime Minister and Cabinet website (see</w:t>
      </w:r>
      <w:r w:rsidR="0067196D" w:rsidRPr="008777D0">
        <w:rPr>
          <w:color w:val="auto"/>
        </w:rPr>
        <w:t> </w:t>
      </w:r>
      <w:hyperlink r:id="rId14" w:history="1">
        <w:r w:rsidR="008777D0">
          <w:rPr>
            <w:rStyle w:val="Hyperlink"/>
          </w:rPr>
          <w:t>www.pmc.gov.au/honours-and-symbols/commonwealth-coat-arms</w:t>
        </w:r>
      </w:hyperlink>
      <w:r w:rsidRPr="008777D0">
        <w:rPr>
          <w:color w:val="auto"/>
        </w:rPr>
        <w:t>).</w:t>
      </w:r>
    </w:p>
    <w:p w14:paraId="689BC750" w14:textId="77777777" w:rsidR="00D51853" w:rsidRPr="00153026" w:rsidRDefault="00D51853" w:rsidP="00153026">
      <w:pPr>
        <w:pStyle w:val="CreativeCommonsH1"/>
      </w:pPr>
      <w:r w:rsidRPr="00153026">
        <w:t>Other uses</w:t>
      </w:r>
    </w:p>
    <w:p w14:paraId="3B3A27F9" w14:textId="77777777" w:rsidR="00D51853" w:rsidRPr="009632A8" w:rsidRDefault="00D51853" w:rsidP="00D51853">
      <w:pPr>
        <w:pStyle w:val="CreativeCommons"/>
        <w:rPr>
          <w:i/>
        </w:rPr>
      </w:pPr>
      <w:r w:rsidRPr="009632A8">
        <w:t>Enquiries regarding this licence and any other use of this document are welcome at:</w:t>
      </w:r>
    </w:p>
    <w:p w14:paraId="411C421D" w14:textId="77777777" w:rsidR="00D51853" w:rsidRPr="009632A8" w:rsidRDefault="00D51853" w:rsidP="00D51853">
      <w:pPr>
        <w:pStyle w:val="CreativeCommons"/>
        <w:ind w:left="567"/>
      </w:pPr>
      <w:r w:rsidRPr="009632A8">
        <w:t>Manager</w:t>
      </w:r>
      <w:r w:rsidRPr="009632A8">
        <w:br/>
        <w:t>Media Unit</w:t>
      </w:r>
      <w:r w:rsidRPr="009632A8">
        <w:br/>
        <w:t>The Treasury</w:t>
      </w:r>
      <w:r w:rsidRPr="009632A8">
        <w:br/>
        <w:t xml:space="preserve">Langton Crescent </w:t>
      </w:r>
      <w:r w:rsidRPr="009632A8">
        <w:br/>
        <w:t>Parkes  ACT  2600</w:t>
      </w:r>
      <w:r>
        <w:br/>
      </w:r>
      <w:r w:rsidRPr="009632A8">
        <w:t>Email:</w:t>
      </w:r>
      <w:r w:rsidRPr="005268BA">
        <w:rPr>
          <w:color w:val="000000" w:themeColor="text1"/>
        </w:rPr>
        <w:t xml:space="preserve"> </w:t>
      </w:r>
      <w:hyperlink r:id="rId15" w:history="1">
        <w:r w:rsidRPr="005268BA">
          <w:rPr>
            <w:rStyle w:val="Hyperlink"/>
            <w:color w:val="000000" w:themeColor="text1"/>
          </w:rPr>
          <w:t>media@treasury.gov.au</w:t>
        </w:r>
      </w:hyperlink>
    </w:p>
    <w:p w14:paraId="74213763" w14:textId="77777777" w:rsidR="00D51853" w:rsidRPr="00153026" w:rsidRDefault="00D51853" w:rsidP="00153026">
      <w:pPr>
        <w:pStyle w:val="CreativeCommonsH1"/>
      </w:pPr>
      <w:r w:rsidRPr="00153026">
        <w:t>Internet</w:t>
      </w:r>
    </w:p>
    <w:p w14:paraId="3956BD89" w14:textId="77777777" w:rsidR="00D51853" w:rsidRPr="0007186F" w:rsidRDefault="00D51853" w:rsidP="00D51853">
      <w:pPr>
        <w:pStyle w:val="CreativeCommons"/>
      </w:pPr>
      <w:r w:rsidRPr="0007186F">
        <w:t xml:space="preserve">A copy of this document is available on the central Budget website at: </w:t>
      </w:r>
      <w:hyperlink r:id="rId16" w:history="1">
        <w:r w:rsidRPr="00A33AC0">
          <w:rPr>
            <w:u w:val="single"/>
          </w:rPr>
          <w:t>www.budget.gov.au</w:t>
        </w:r>
      </w:hyperlink>
      <w:r w:rsidRPr="0007186F">
        <w:t>.</w:t>
      </w:r>
    </w:p>
    <w:p w14:paraId="78459E03" w14:textId="37E3AA83" w:rsidR="00C36BE6" w:rsidRDefault="00D51853" w:rsidP="000A5A6D">
      <w:pPr>
        <w:pStyle w:val="CreativeCommons"/>
      </w:pPr>
      <w:r w:rsidRPr="0007186F">
        <w:t>Printed by CanPrint Communications Pty Ltd.</w:t>
      </w:r>
    </w:p>
    <w:p w14:paraId="7E4234D8" w14:textId="77777777" w:rsidR="00D51853" w:rsidRPr="0007186F" w:rsidRDefault="00D51853" w:rsidP="00D51853">
      <w:pPr>
        <w:pStyle w:val="CreativeCommons"/>
        <w:sectPr w:rsidR="00D51853" w:rsidRPr="0007186F" w:rsidSect="00684A93">
          <w:headerReference w:type="even" r:id="rId17"/>
          <w:headerReference w:type="default" r:id="rId18"/>
          <w:footerReference w:type="even" r:id="rId19"/>
          <w:footerReference w:type="default" r:id="rId20"/>
          <w:headerReference w:type="first" r:id="rId21"/>
          <w:footerReference w:type="first" r:id="rId22"/>
          <w:pgSz w:w="11906" w:h="16838" w:code="9"/>
          <w:pgMar w:top="2835" w:right="2098" w:bottom="2466" w:left="2098" w:header="1814" w:footer="1814" w:gutter="0"/>
          <w:cols w:space="708"/>
          <w:titlePg/>
          <w:docGrid w:linePitch="360"/>
        </w:sectPr>
      </w:pPr>
    </w:p>
    <w:p w14:paraId="7D730726" w14:textId="77777777" w:rsidR="00D51853" w:rsidRPr="00F53D3C" w:rsidRDefault="00D51853" w:rsidP="00D51853">
      <w:pPr>
        <w:pStyle w:val="Heading1"/>
      </w:pPr>
      <w:bookmarkStart w:id="0" w:name="_Toc122086183"/>
      <w:bookmarkStart w:id="1" w:name="_Toc122086360"/>
      <w:bookmarkStart w:id="2" w:name="_Toc122137986"/>
      <w:bookmarkStart w:id="3" w:name="_Toc122141843"/>
      <w:bookmarkStart w:id="4" w:name="_Toc122142672"/>
      <w:bookmarkStart w:id="5" w:name="_Toc122175614"/>
      <w:bookmarkStart w:id="6" w:name="_Toc180033878"/>
      <w:bookmarkStart w:id="7" w:name="_Toc58946042"/>
      <w:bookmarkStart w:id="8" w:name="_Toc153097290"/>
      <w:bookmarkStart w:id="9" w:name="_Toc153099420"/>
      <w:bookmarkStart w:id="10" w:name="_Toc185072349"/>
      <w:bookmarkStart w:id="11" w:name="_Toc185073069"/>
      <w:bookmarkStart w:id="12" w:name="_Toc185078850"/>
      <w:r w:rsidRPr="00F53D3C">
        <w:lastRenderedPageBreak/>
        <w:t>Foreword</w:t>
      </w:r>
      <w:bookmarkEnd w:id="0"/>
      <w:bookmarkEnd w:id="1"/>
      <w:bookmarkEnd w:id="2"/>
      <w:bookmarkEnd w:id="3"/>
      <w:bookmarkEnd w:id="4"/>
      <w:bookmarkEnd w:id="5"/>
      <w:bookmarkEnd w:id="6"/>
      <w:bookmarkEnd w:id="7"/>
      <w:bookmarkEnd w:id="8"/>
      <w:bookmarkEnd w:id="9"/>
      <w:bookmarkEnd w:id="10"/>
      <w:bookmarkEnd w:id="11"/>
      <w:bookmarkEnd w:id="12"/>
    </w:p>
    <w:p w14:paraId="40E63E35" w14:textId="538EAB8F" w:rsidR="00D51853" w:rsidRPr="00F53D3C" w:rsidRDefault="00D51853" w:rsidP="00D51853">
      <w:r w:rsidRPr="00F53D3C">
        <w:t xml:space="preserve">The </w:t>
      </w:r>
      <w:r w:rsidRPr="00785302">
        <w:rPr>
          <w:rStyle w:val="Emphasis"/>
        </w:rPr>
        <w:t>Mid</w:t>
      </w:r>
      <w:r w:rsidR="008C31CD" w:rsidRPr="00785302">
        <w:rPr>
          <w:rStyle w:val="Emphasis"/>
        </w:rPr>
        <w:noBreakHyphen/>
      </w:r>
      <w:r w:rsidRPr="00785302">
        <w:rPr>
          <w:rStyle w:val="Emphasis"/>
        </w:rPr>
        <w:t xml:space="preserve">Year Economic and Fiscal Outlook </w:t>
      </w:r>
      <w:r w:rsidR="00653808">
        <w:rPr>
          <w:rStyle w:val="Emphasis"/>
        </w:rPr>
        <w:t>2024</w:t>
      </w:r>
      <w:r w:rsidR="00C61DC5">
        <w:rPr>
          <w:rStyle w:val="Emphasis"/>
        </w:rPr>
        <w:t>–</w:t>
      </w:r>
      <w:r w:rsidR="00653808">
        <w:rPr>
          <w:rStyle w:val="Emphasis"/>
        </w:rPr>
        <w:t>25</w:t>
      </w:r>
      <w:r w:rsidRPr="00F53D3C">
        <w:rPr>
          <w:rStyle w:val="Normalitalics"/>
        </w:rPr>
        <w:t xml:space="preserve"> </w:t>
      </w:r>
      <w:r w:rsidRPr="00F53D3C">
        <w:t xml:space="preserve">(MYEFO) has been prepared in accordance with the </w:t>
      </w:r>
      <w:r w:rsidRPr="00785302">
        <w:rPr>
          <w:rStyle w:val="Emphasis"/>
        </w:rPr>
        <w:t>Charter of Budget Honesty Act 1998</w:t>
      </w:r>
      <w:r w:rsidRPr="00F53D3C">
        <w:t>. The Charter requires that the Government provide a mid</w:t>
      </w:r>
      <w:r w:rsidR="008C31CD">
        <w:noBreakHyphen/>
      </w:r>
      <w:r w:rsidRPr="00F53D3C">
        <w:t>year budget report which provides updated information on</w:t>
      </w:r>
      <w:r w:rsidR="004B211C">
        <w:t> </w:t>
      </w:r>
      <w:r w:rsidRPr="00F53D3C">
        <w:t>the</w:t>
      </w:r>
      <w:r w:rsidR="004B211C">
        <w:t> </w:t>
      </w:r>
      <w:r w:rsidRPr="00F53D3C">
        <w:t>Government</w:t>
      </w:r>
      <w:r w:rsidR="008C31CD">
        <w:t>’</w:t>
      </w:r>
      <w:r w:rsidRPr="00F53D3C">
        <w:t>s fiscal position.</w:t>
      </w:r>
    </w:p>
    <w:p w14:paraId="5BED4567" w14:textId="77777777" w:rsidR="00D51853" w:rsidRPr="00F53D3C" w:rsidRDefault="00D51853" w:rsidP="00D51853">
      <w:pPr>
        <w:spacing w:after="200"/>
      </w:pPr>
      <w:r w:rsidRPr="00F53D3C">
        <w:t>Consistent with these requirements:</w:t>
      </w:r>
    </w:p>
    <w:p w14:paraId="388C6B91" w14:textId="107E3FA6" w:rsidR="00D51853" w:rsidRPr="00950613" w:rsidRDefault="00D51853" w:rsidP="00D51853">
      <w:pPr>
        <w:pStyle w:val="Bullet"/>
        <w:numPr>
          <w:ilvl w:val="0"/>
          <w:numId w:val="3"/>
        </w:numPr>
        <w:ind w:left="284" w:hanging="284"/>
      </w:pPr>
      <w:r w:rsidRPr="00950613">
        <w:rPr>
          <w:rStyle w:val="Strong"/>
        </w:rPr>
        <w:t>Part 1: Overview</w:t>
      </w:r>
      <w:r w:rsidRPr="00950613">
        <w:t xml:space="preserve"> – contains summary information on the key fiscal and economic indicators and outlook and an outline of the key policy decisions taken since the </w:t>
      </w:r>
      <w:r w:rsidR="006267AC">
        <w:br/>
      </w:r>
      <w:r w:rsidR="00E857AB">
        <w:t>2024</w:t>
      </w:r>
      <w:r w:rsidR="00C61DC5">
        <w:t>–</w:t>
      </w:r>
      <w:r w:rsidR="00E857AB">
        <w:t xml:space="preserve">25 </w:t>
      </w:r>
      <w:r w:rsidRPr="00950613">
        <w:t>Budget</w:t>
      </w:r>
    </w:p>
    <w:p w14:paraId="7E0769C5" w14:textId="77777777" w:rsidR="00D51853" w:rsidRPr="00950613" w:rsidRDefault="00D51853" w:rsidP="00D51853">
      <w:pPr>
        <w:pStyle w:val="Bullet"/>
        <w:numPr>
          <w:ilvl w:val="0"/>
          <w:numId w:val="3"/>
        </w:numPr>
        <w:ind w:left="284" w:hanging="284"/>
      </w:pPr>
      <w:r w:rsidRPr="00950613">
        <w:rPr>
          <w:rStyle w:val="Strong"/>
        </w:rPr>
        <w:t xml:space="preserve">Part 2: Economic </w:t>
      </w:r>
      <w:r>
        <w:rPr>
          <w:rStyle w:val="Strong"/>
        </w:rPr>
        <w:t>O</w:t>
      </w:r>
      <w:r w:rsidRPr="00950613">
        <w:rPr>
          <w:rStyle w:val="Strong"/>
        </w:rPr>
        <w:t>utlook</w:t>
      </w:r>
      <w:r w:rsidRPr="00950613">
        <w:t xml:space="preserve"> – discusses the domestic and international economic forecasts and projections that underpin the budget estimates</w:t>
      </w:r>
    </w:p>
    <w:p w14:paraId="7D71B16F" w14:textId="0FB8A238" w:rsidR="00D51853" w:rsidRPr="00950613" w:rsidRDefault="00D51853" w:rsidP="00D51853">
      <w:pPr>
        <w:pStyle w:val="Bullet"/>
        <w:numPr>
          <w:ilvl w:val="0"/>
          <w:numId w:val="3"/>
        </w:numPr>
        <w:ind w:left="284" w:hanging="284"/>
      </w:pPr>
      <w:r w:rsidRPr="00950613">
        <w:rPr>
          <w:rStyle w:val="Strong"/>
        </w:rPr>
        <w:t xml:space="preserve">Part 3: Fiscal </w:t>
      </w:r>
      <w:r>
        <w:rPr>
          <w:rStyle w:val="Strong"/>
        </w:rPr>
        <w:t>S</w:t>
      </w:r>
      <w:r w:rsidRPr="00950613">
        <w:rPr>
          <w:rStyle w:val="Strong"/>
        </w:rPr>
        <w:t xml:space="preserve">trategy and </w:t>
      </w:r>
      <w:r>
        <w:rPr>
          <w:rStyle w:val="Strong"/>
        </w:rPr>
        <w:t>O</w:t>
      </w:r>
      <w:r w:rsidRPr="00950613">
        <w:rPr>
          <w:rStyle w:val="Strong"/>
        </w:rPr>
        <w:t>utlook</w:t>
      </w:r>
      <w:r w:rsidRPr="00950613">
        <w:t xml:space="preserve"> – provides a discussion of the fiscal strategy and outlook, in addition to a summary of the factors explaining variations in the cash flow statement, the operating statement and the balance sheet since the </w:t>
      </w:r>
      <w:r w:rsidR="00653808">
        <w:t>2024</w:t>
      </w:r>
      <w:r w:rsidR="00C61DC5">
        <w:t>–</w:t>
      </w:r>
      <w:r w:rsidR="00653808">
        <w:t>25</w:t>
      </w:r>
      <w:r w:rsidRPr="00950613">
        <w:t xml:space="preserve"> Budget</w:t>
      </w:r>
    </w:p>
    <w:p w14:paraId="0DB0EDBB" w14:textId="77777777" w:rsidR="00D51853" w:rsidRPr="00950613" w:rsidRDefault="00D51853" w:rsidP="00D51853">
      <w:pPr>
        <w:pStyle w:val="Bullet"/>
        <w:numPr>
          <w:ilvl w:val="0"/>
          <w:numId w:val="3"/>
        </w:numPr>
        <w:ind w:left="284" w:hanging="284"/>
      </w:pPr>
      <w:r w:rsidRPr="00950613">
        <w:rPr>
          <w:rStyle w:val="Strong"/>
        </w:rPr>
        <w:t xml:space="preserve">Part 4: Debt </w:t>
      </w:r>
      <w:r>
        <w:rPr>
          <w:rStyle w:val="Strong"/>
        </w:rPr>
        <w:t>S</w:t>
      </w:r>
      <w:r w:rsidRPr="00950613">
        <w:rPr>
          <w:rStyle w:val="Strong"/>
        </w:rPr>
        <w:t>tatement</w:t>
      </w:r>
      <w:r w:rsidRPr="00950613">
        <w:t xml:space="preserve"> – provides information on current and estimated Government debt</w:t>
      </w:r>
    </w:p>
    <w:p w14:paraId="579CE2E4" w14:textId="77777777" w:rsidR="00D51853" w:rsidRPr="00950613" w:rsidRDefault="00D51853" w:rsidP="00D51853">
      <w:pPr>
        <w:pStyle w:val="Bullet"/>
        <w:numPr>
          <w:ilvl w:val="0"/>
          <w:numId w:val="3"/>
        </w:numPr>
        <w:ind w:left="284" w:hanging="284"/>
      </w:pPr>
      <w:r w:rsidRPr="00950613">
        <w:rPr>
          <w:rStyle w:val="Strong"/>
        </w:rPr>
        <w:t xml:space="preserve">Part 5: Sensitivity </w:t>
      </w:r>
      <w:r>
        <w:rPr>
          <w:rStyle w:val="Strong"/>
        </w:rPr>
        <w:t>A</w:t>
      </w:r>
      <w:r w:rsidRPr="00950613">
        <w:rPr>
          <w:rStyle w:val="Strong"/>
        </w:rPr>
        <w:t>nalys</w:t>
      </w:r>
      <w:r>
        <w:rPr>
          <w:rStyle w:val="Strong"/>
        </w:rPr>
        <w:t>i</w:t>
      </w:r>
      <w:r w:rsidRPr="00950613">
        <w:rPr>
          <w:rStyle w:val="Strong"/>
        </w:rPr>
        <w:t>s</w:t>
      </w:r>
      <w:r w:rsidRPr="00950613">
        <w:t xml:space="preserve"> – presents analysis which illustrates the sensitivity of the forecasts to changes in key variables</w:t>
      </w:r>
    </w:p>
    <w:p w14:paraId="38B93B5E" w14:textId="77777777" w:rsidR="00D51853" w:rsidRPr="00950613" w:rsidRDefault="00D51853" w:rsidP="00D51853">
      <w:pPr>
        <w:pStyle w:val="Bullet"/>
        <w:numPr>
          <w:ilvl w:val="0"/>
          <w:numId w:val="3"/>
        </w:numPr>
        <w:ind w:left="284" w:hanging="284"/>
      </w:pPr>
      <w:r w:rsidRPr="00950613">
        <w:rPr>
          <w:rStyle w:val="Strong"/>
        </w:rPr>
        <w:t xml:space="preserve">Part 6: Statement of </w:t>
      </w:r>
      <w:r>
        <w:rPr>
          <w:rStyle w:val="Strong"/>
        </w:rPr>
        <w:t>R</w:t>
      </w:r>
      <w:r w:rsidRPr="00950613">
        <w:rPr>
          <w:rStyle w:val="Strong"/>
        </w:rPr>
        <w:t>isks</w:t>
      </w:r>
      <w:r w:rsidRPr="00950613">
        <w:t xml:space="preserve"> – provides details of general developments or specific events that may have an impact on the fiscal position, and contingent liabilities which are costs the government may possibly face, some of which are quantified</w:t>
      </w:r>
    </w:p>
    <w:p w14:paraId="35274643" w14:textId="5AA21896" w:rsidR="00D51853" w:rsidRPr="00950613" w:rsidRDefault="00D51853" w:rsidP="00D51853">
      <w:pPr>
        <w:pStyle w:val="Bullet"/>
        <w:numPr>
          <w:ilvl w:val="0"/>
          <w:numId w:val="3"/>
        </w:numPr>
        <w:ind w:left="284" w:hanging="284"/>
      </w:pPr>
      <w:r w:rsidRPr="00950613">
        <w:rPr>
          <w:rStyle w:val="Strong"/>
        </w:rPr>
        <w:t>Part 7: Australian Government Budget Financial Statements</w:t>
      </w:r>
      <w:r w:rsidRPr="00950613">
        <w:t xml:space="preserve"> – provides financial statements for the general government sector, the public non</w:t>
      </w:r>
      <w:r w:rsidR="008C31CD">
        <w:noBreakHyphen/>
      </w:r>
      <w:r w:rsidRPr="00950613">
        <w:t>financial corporations sector, the total non</w:t>
      </w:r>
      <w:r w:rsidR="008C31CD">
        <w:noBreakHyphen/>
      </w:r>
      <w:r w:rsidRPr="00950613">
        <w:t>financial public sector, the public financial corporations sector and notes to the general government sector financial statements</w:t>
      </w:r>
    </w:p>
    <w:p w14:paraId="3EBF4C43" w14:textId="1AE77EE9" w:rsidR="00D51853" w:rsidRPr="00950613" w:rsidRDefault="00D51853" w:rsidP="00D51853">
      <w:pPr>
        <w:pStyle w:val="Bullet"/>
        <w:numPr>
          <w:ilvl w:val="0"/>
          <w:numId w:val="3"/>
        </w:numPr>
        <w:ind w:left="284" w:hanging="284"/>
      </w:pPr>
      <w:r w:rsidRPr="00950613">
        <w:rPr>
          <w:rStyle w:val="Strong"/>
        </w:rPr>
        <w:t xml:space="preserve">Appendix A: Policy </w:t>
      </w:r>
      <w:r>
        <w:rPr>
          <w:rStyle w:val="Strong"/>
        </w:rPr>
        <w:t>D</w:t>
      </w:r>
      <w:r w:rsidRPr="00950613">
        <w:rPr>
          <w:rStyle w:val="Strong"/>
        </w:rPr>
        <w:t xml:space="preserve">ecisions taken since the </w:t>
      </w:r>
      <w:r w:rsidR="00653808">
        <w:rPr>
          <w:rStyle w:val="Strong"/>
        </w:rPr>
        <w:t>2024</w:t>
      </w:r>
      <w:r w:rsidR="00C61DC5">
        <w:rPr>
          <w:rStyle w:val="Strong"/>
        </w:rPr>
        <w:t>–</w:t>
      </w:r>
      <w:r w:rsidR="00653808">
        <w:rPr>
          <w:rStyle w:val="Strong"/>
        </w:rPr>
        <w:t>25</w:t>
      </w:r>
      <w:r w:rsidRPr="00950613">
        <w:rPr>
          <w:rStyle w:val="Strong"/>
        </w:rPr>
        <w:t xml:space="preserve"> Budget</w:t>
      </w:r>
      <w:r w:rsidRPr="00950613">
        <w:t xml:space="preserve"> – provides details of decisions taken since the </w:t>
      </w:r>
      <w:r w:rsidR="00653808">
        <w:t>2024</w:t>
      </w:r>
      <w:r w:rsidR="00C61DC5">
        <w:t>–</w:t>
      </w:r>
      <w:r w:rsidR="00653808">
        <w:t>25</w:t>
      </w:r>
      <w:r w:rsidRPr="00950613">
        <w:t xml:space="preserve"> Budget that affect payment and receipt estimates</w:t>
      </w:r>
    </w:p>
    <w:p w14:paraId="4BDD6A99" w14:textId="76C4F81C" w:rsidR="00D51853" w:rsidRPr="00950613" w:rsidRDefault="00D51853" w:rsidP="00D51853">
      <w:pPr>
        <w:pStyle w:val="Bullet"/>
        <w:numPr>
          <w:ilvl w:val="0"/>
          <w:numId w:val="3"/>
        </w:numPr>
        <w:ind w:left="284" w:hanging="284"/>
      </w:pPr>
      <w:r w:rsidRPr="00950613">
        <w:rPr>
          <w:rStyle w:val="Strong"/>
        </w:rPr>
        <w:t xml:space="preserve">Appendix B: Supplementary </w:t>
      </w:r>
      <w:r>
        <w:rPr>
          <w:rStyle w:val="Strong"/>
        </w:rPr>
        <w:t>E</w:t>
      </w:r>
      <w:r w:rsidRPr="00950613">
        <w:rPr>
          <w:rStyle w:val="Strong"/>
        </w:rPr>
        <w:t xml:space="preserve">xpense </w:t>
      </w:r>
      <w:r>
        <w:rPr>
          <w:rStyle w:val="Strong"/>
        </w:rPr>
        <w:t>T</w:t>
      </w:r>
      <w:r w:rsidRPr="00950613">
        <w:rPr>
          <w:rStyle w:val="Strong"/>
        </w:rPr>
        <w:t>ables and the Contingency Reserve</w:t>
      </w:r>
      <w:r w:rsidRPr="00950613">
        <w:t xml:space="preserve"> – provides estimates of general government expenses by function and sub</w:t>
      </w:r>
      <w:r w:rsidR="008C31CD">
        <w:noBreakHyphen/>
      </w:r>
      <w:r w:rsidRPr="00950613">
        <w:t>function and outlines the role of the Contingency Reserve</w:t>
      </w:r>
    </w:p>
    <w:p w14:paraId="084F5BA2" w14:textId="19CA1804" w:rsidR="00D51853" w:rsidRPr="00950613" w:rsidRDefault="00D51853" w:rsidP="00D51853">
      <w:pPr>
        <w:pStyle w:val="Bullet"/>
        <w:numPr>
          <w:ilvl w:val="0"/>
          <w:numId w:val="3"/>
        </w:numPr>
        <w:ind w:left="284" w:hanging="284"/>
      </w:pPr>
      <w:r w:rsidRPr="00950613">
        <w:rPr>
          <w:rStyle w:val="Strong"/>
        </w:rPr>
        <w:t>Appendix C: Australia</w:t>
      </w:r>
      <w:r w:rsidR="008C31CD">
        <w:rPr>
          <w:rStyle w:val="Strong"/>
        </w:rPr>
        <w:t>’</w:t>
      </w:r>
      <w:r w:rsidRPr="00950613">
        <w:rPr>
          <w:rStyle w:val="Strong"/>
        </w:rPr>
        <w:t xml:space="preserve">s </w:t>
      </w:r>
      <w:r>
        <w:rPr>
          <w:rStyle w:val="Strong"/>
        </w:rPr>
        <w:t>F</w:t>
      </w:r>
      <w:r w:rsidRPr="00950613">
        <w:rPr>
          <w:rStyle w:val="Strong"/>
        </w:rPr>
        <w:t xml:space="preserve">ederal </w:t>
      </w:r>
      <w:r>
        <w:rPr>
          <w:rStyle w:val="Strong"/>
        </w:rPr>
        <w:t>Financial R</w:t>
      </w:r>
      <w:r w:rsidRPr="00950613">
        <w:rPr>
          <w:rStyle w:val="Strong"/>
        </w:rPr>
        <w:t>elations</w:t>
      </w:r>
      <w:r w:rsidRPr="00950613">
        <w:t xml:space="preserve"> – provides information on payments for specific purposes and general revenue assistance provided to the states and territories</w:t>
      </w:r>
    </w:p>
    <w:p w14:paraId="677B067A" w14:textId="77777777" w:rsidR="00D51853" w:rsidRPr="00950613" w:rsidRDefault="00D51853" w:rsidP="00D51853">
      <w:pPr>
        <w:pStyle w:val="Bullet"/>
        <w:numPr>
          <w:ilvl w:val="0"/>
          <w:numId w:val="3"/>
        </w:numPr>
        <w:ind w:left="284" w:hanging="284"/>
      </w:pPr>
      <w:r w:rsidRPr="00950613">
        <w:rPr>
          <w:rStyle w:val="Strong"/>
        </w:rPr>
        <w:lastRenderedPageBreak/>
        <w:t>Appendix D: Tax Expenditures</w:t>
      </w:r>
      <w:r w:rsidRPr="00950613">
        <w:t xml:space="preserve"> – provides information on the largest measured Australian Government tax expenditures</w:t>
      </w:r>
    </w:p>
    <w:p w14:paraId="75B47219" w14:textId="42B21BA5" w:rsidR="00D51853" w:rsidRPr="00950613" w:rsidRDefault="00D51853" w:rsidP="00D51853">
      <w:pPr>
        <w:pStyle w:val="Bullet"/>
        <w:numPr>
          <w:ilvl w:val="0"/>
          <w:numId w:val="3"/>
        </w:numPr>
        <w:ind w:left="284" w:hanging="284"/>
      </w:pPr>
      <w:r w:rsidRPr="00950613">
        <w:rPr>
          <w:rStyle w:val="Strong"/>
        </w:rPr>
        <w:t xml:space="preserve">Appendix E: Historical </w:t>
      </w:r>
      <w:bookmarkStart w:id="13" w:name="OLE_LINK1"/>
      <w:r w:rsidRPr="00950613">
        <w:rPr>
          <w:rStyle w:val="Strong"/>
        </w:rPr>
        <w:t>Australian Government</w:t>
      </w:r>
      <w:bookmarkEnd w:id="13"/>
      <w:r w:rsidRPr="00950613">
        <w:rPr>
          <w:rStyle w:val="Strong"/>
        </w:rPr>
        <w:t xml:space="preserve"> </w:t>
      </w:r>
      <w:r>
        <w:rPr>
          <w:rStyle w:val="Strong"/>
        </w:rPr>
        <w:t>D</w:t>
      </w:r>
      <w:r w:rsidRPr="00950613">
        <w:rPr>
          <w:rStyle w:val="Strong"/>
        </w:rPr>
        <w:t>ata</w:t>
      </w:r>
      <w:r w:rsidRPr="00950613">
        <w:t xml:space="preserve"> – provides historical data for the Australian Government</w:t>
      </w:r>
      <w:r w:rsidR="008C31CD">
        <w:t>’</w:t>
      </w:r>
      <w:r w:rsidRPr="00950613">
        <w:t>s key fiscal aggregates</w:t>
      </w:r>
    </w:p>
    <w:p w14:paraId="40A5D496" w14:textId="77777777" w:rsidR="00D51853" w:rsidRPr="008C31CD" w:rsidRDefault="00D51853" w:rsidP="008C31CD"/>
    <w:p w14:paraId="1DC6229D" w14:textId="77777777" w:rsidR="00D51853" w:rsidRPr="008C31CD" w:rsidRDefault="00D51853" w:rsidP="008C31CD">
      <w:pPr>
        <w:sectPr w:rsidR="00D51853" w:rsidRPr="008C31CD" w:rsidSect="00D51853">
          <w:headerReference w:type="even" r:id="rId23"/>
          <w:headerReference w:type="default" r:id="rId24"/>
          <w:footerReference w:type="default" r:id="rId25"/>
          <w:headerReference w:type="first" r:id="rId26"/>
          <w:footerReference w:type="first" r:id="rId27"/>
          <w:pgSz w:w="11907" w:h="16840" w:code="9"/>
          <w:pgMar w:top="2835" w:right="2098" w:bottom="2466" w:left="2098" w:header="1814" w:footer="1814" w:gutter="0"/>
          <w:pgNumType w:fmt="lowerRoman"/>
          <w:cols w:space="708"/>
          <w:titlePg/>
          <w:docGrid w:linePitch="360"/>
        </w:sectPr>
      </w:pPr>
    </w:p>
    <w:sdt>
      <w:sdtPr>
        <w:rPr>
          <w:rFonts w:ascii="Book Antiqua" w:hAnsi="Book Antiqua"/>
          <w:b w:val="0"/>
          <w:kern w:val="0"/>
          <w:sz w:val="19"/>
        </w:rPr>
        <w:id w:val="1755862052"/>
        <w:docPartObj>
          <w:docPartGallery w:val="Table of Contents"/>
          <w:docPartUnique/>
        </w:docPartObj>
      </w:sdtPr>
      <w:sdtEndPr>
        <w:rPr>
          <w:rFonts w:ascii="Arial Bold" w:hAnsi="Arial Bold"/>
          <w:b/>
          <w:bCs/>
          <w:noProof/>
          <w:sz w:val="20"/>
        </w:rPr>
      </w:sdtEndPr>
      <w:sdtContent>
        <w:p w14:paraId="500191DA" w14:textId="45477322" w:rsidR="00BB7543" w:rsidRDefault="00BB7543" w:rsidP="00FE60E7">
          <w:pPr>
            <w:pStyle w:val="ContentsHeading"/>
            <w:spacing w:after="480"/>
          </w:pPr>
          <w:r>
            <w:t>Contents</w:t>
          </w:r>
        </w:p>
        <w:p w14:paraId="4811F02B" w14:textId="14394AA8" w:rsidR="0004730C" w:rsidRDefault="00EC70F2">
          <w:pPr>
            <w:pStyle w:val="TOC1"/>
            <w:rPr>
              <w:rFonts w:asciiTheme="minorHAnsi" w:eastAsiaTheme="minorEastAsia" w:hAnsiTheme="minorHAnsi" w:cstheme="minorBidi"/>
              <w:b w:val="0"/>
              <w:noProof/>
              <w:kern w:val="2"/>
              <w:sz w:val="22"/>
              <w:szCs w:val="22"/>
              <w14:ligatures w14:val="standardContextual"/>
            </w:rPr>
          </w:pPr>
          <w:r>
            <w:rPr>
              <w:b w:val="0"/>
            </w:rPr>
            <w:fldChar w:fldCharType="begin"/>
          </w:r>
          <w:r>
            <w:rPr>
              <w:b w:val="0"/>
            </w:rPr>
            <w:instrText xml:space="preserve"> TOC \o "1-2" \h \z \u </w:instrText>
          </w:r>
          <w:r>
            <w:rPr>
              <w:b w:val="0"/>
            </w:rPr>
            <w:fldChar w:fldCharType="separate"/>
          </w:r>
          <w:hyperlink w:anchor="_Toc185078850" w:history="1">
            <w:r w:rsidR="0004730C" w:rsidRPr="006773FB">
              <w:rPr>
                <w:rStyle w:val="Hyperlink"/>
                <w:noProof/>
              </w:rPr>
              <w:t>Foreword</w:t>
            </w:r>
            <w:r w:rsidR="0004730C">
              <w:rPr>
                <w:noProof/>
                <w:webHidden/>
              </w:rPr>
              <w:tab/>
            </w:r>
            <w:r w:rsidR="0004730C">
              <w:rPr>
                <w:noProof/>
                <w:webHidden/>
              </w:rPr>
              <w:fldChar w:fldCharType="begin"/>
            </w:r>
            <w:r w:rsidR="0004730C">
              <w:rPr>
                <w:noProof/>
                <w:webHidden/>
              </w:rPr>
              <w:instrText xml:space="preserve"> PAGEREF _Toc185078850 \h </w:instrText>
            </w:r>
            <w:r w:rsidR="0004730C">
              <w:rPr>
                <w:noProof/>
                <w:webHidden/>
              </w:rPr>
            </w:r>
            <w:r w:rsidR="0004730C">
              <w:rPr>
                <w:noProof/>
                <w:webHidden/>
              </w:rPr>
              <w:fldChar w:fldCharType="separate"/>
            </w:r>
            <w:r w:rsidR="00D0425A">
              <w:rPr>
                <w:noProof/>
                <w:webHidden/>
              </w:rPr>
              <w:t>iii</w:t>
            </w:r>
            <w:r w:rsidR="0004730C">
              <w:rPr>
                <w:noProof/>
                <w:webHidden/>
              </w:rPr>
              <w:fldChar w:fldCharType="end"/>
            </w:r>
          </w:hyperlink>
        </w:p>
        <w:p w14:paraId="73376F52" w14:textId="77777777" w:rsidR="0004730C" w:rsidRDefault="0004730C">
          <w:pPr>
            <w:pStyle w:val="TOC1"/>
            <w:rPr>
              <w:rFonts w:asciiTheme="minorHAnsi" w:eastAsiaTheme="minorEastAsia" w:hAnsiTheme="minorHAnsi" w:cstheme="minorBidi"/>
              <w:b w:val="0"/>
              <w:noProof/>
              <w:kern w:val="2"/>
              <w:sz w:val="22"/>
              <w:szCs w:val="22"/>
              <w14:ligatures w14:val="standardContextual"/>
            </w:rPr>
          </w:pPr>
          <w:r>
            <w:rPr>
              <w:noProof/>
            </w:rPr>
            <w:t>Part 1: Overview</w:t>
          </w:r>
          <w:r>
            <w:rPr>
              <w:noProof/>
              <w:webHidden/>
            </w:rPr>
            <w:tab/>
            <w:t>1</w:t>
          </w:r>
        </w:p>
        <w:p w14:paraId="30B6847E" w14:textId="77777777" w:rsidR="0004730C" w:rsidRDefault="0004730C">
          <w:pPr>
            <w:pStyle w:val="TOC2"/>
            <w:rPr>
              <w:rFonts w:asciiTheme="minorHAnsi" w:eastAsiaTheme="minorEastAsia" w:hAnsiTheme="minorHAnsi" w:cstheme="minorBidi"/>
              <w:kern w:val="2"/>
              <w:sz w:val="22"/>
              <w:szCs w:val="22"/>
              <w14:ligatures w14:val="standardContextual"/>
            </w:rPr>
          </w:pPr>
          <w:r>
            <w:t>Updated economic and fiscal outlook</w:t>
          </w:r>
          <w:r>
            <w:rPr>
              <w:webHidden/>
            </w:rPr>
            <w:tab/>
            <w:t>3</w:t>
          </w:r>
        </w:p>
        <w:p w14:paraId="6505983C" w14:textId="77777777" w:rsidR="0004730C" w:rsidRDefault="0004730C">
          <w:pPr>
            <w:pStyle w:val="TOC2"/>
            <w:rPr>
              <w:rFonts w:asciiTheme="minorHAnsi" w:eastAsiaTheme="minorEastAsia" w:hAnsiTheme="minorHAnsi" w:cstheme="minorBidi"/>
              <w:kern w:val="2"/>
              <w:sz w:val="22"/>
              <w:szCs w:val="22"/>
              <w14:ligatures w14:val="standardContextual"/>
            </w:rPr>
          </w:pPr>
          <w:r>
            <w:t>National priorities</w:t>
          </w:r>
          <w:r>
            <w:rPr>
              <w:webHidden/>
            </w:rPr>
            <w:tab/>
            <w:t>8</w:t>
          </w:r>
        </w:p>
        <w:p w14:paraId="22AE140F" w14:textId="77777777" w:rsidR="0004730C" w:rsidRDefault="0004730C">
          <w:pPr>
            <w:pStyle w:val="TOC1"/>
            <w:rPr>
              <w:rFonts w:asciiTheme="minorHAnsi" w:eastAsiaTheme="minorEastAsia" w:hAnsiTheme="minorHAnsi" w:cstheme="minorBidi"/>
              <w:b w:val="0"/>
              <w:noProof/>
              <w:kern w:val="2"/>
              <w:sz w:val="22"/>
              <w:szCs w:val="22"/>
              <w14:ligatures w14:val="standardContextual"/>
            </w:rPr>
          </w:pPr>
          <w:r>
            <w:rPr>
              <w:noProof/>
            </w:rPr>
            <w:t>Part 2: Economic Outlook</w:t>
          </w:r>
          <w:r>
            <w:rPr>
              <w:noProof/>
              <w:webHidden/>
            </w:rPr>
            <w:tab/>
            <w:t>31</w:t>
          </w:r>
        </w:p>
        <w:p w14:paraId="0B444A43" w14:textId="77777777" w:rsidR="0004730C" w:rsidRDefault="0004730C">
          <w:pPr>
            <w:pStyle w:val="TOC2"/>
            <w:rPr>
              <w:rFonts w:asciiTheme="minorHAnsi" w:eastAsiaTheme="minorEastAsia" w:hAnsiTheme="minorHAnsi" w:cstheme="minorBidi"/>
              <w:kern w:val="2"/>
              <w:sz w:val="22"/>
              <w:szCs w:val="22"/>
              <w14:ligatures w14:val="standardContextual"/>
            </w:rPr>
          </w:pPr>
          <w:r>
            <w:t>Overview</w:t>
          </w:r>
          <w:r>
            <w:rPr>
              <w:webHidden/>
            </w:rPr>
            <w:tab/>
            <w:t>31</w:t>
          </w:r>
        </w:p>
        <w:p w14:paraId="55E19267" w14:textId="77777777" w:rsidR="0004730C" w:rsidRDefault="0004730C">
          <w:pPr>
            <w:pStyle w:val="TOC2"/>
            <w:rPr>
              <w:rFonts w:asciiTheme="minorHAnsi" w:eastAsiaTheme="minorEastAsia" w:hAnsiTheme="minorHAnsi" w:cstheme="minorBidi"/>
              <w:kern w:val="2"/>
              <w:sz w:val="22"/>
              <w:szCs w:val="22"/>
              <w14:ligatures w14:val="standardContextual"/>
            </w:rPr>
          </w:pPr>
          <w:r>
            <w:t>International economic outlook</w:t>
          </w:r>
          <w:r>
            <w:rPr>
              <w:webHidden/>
            </w:rPr>
            <w:tab/>
            <w:t>34</w:t>
          </w:r>
        </w:p>
        <w:p w14:paraId="49BA5DBF" w14:textId="77777777" w:rsidR="0004730C" w:rsidRDefault="0004730C">
          <w:pPr>
            <w:pStyle w:val="TOC2"/>
            <w:rPr>
              <w:rFonts w:asciiTheme="minorHAnsi" w:eastAsiaTheme="minorEastAsia" w:hAnsiTheme="minorHAnsi" w:cstheme="minorBidi"/>
              <w:kern w:val="2"/>
              <w:sz w:val="22"/>
              <w:szCs w:val="22"/>
              <w14:ligatures w14:val="standardContextual"/>
            </w:rPr>
          </w:pPr>
          <w:r>
            <w:t>Domestic economic outlook</w:t>
          </w:r>
          <w:r>
            <w:rPr>
              <w:webHidden/>
            </w:rPr>
            <w:tab/>
            <w:t>37</w:t>
          </w:r>
        </w:p>
        <w:p w14:paraId="0DAB4A8C" w14:textId="77777777" w:rsidR="0004730C" w:rsidRDefault="0004730C">
          <w:pPr>
            <w:pStyle w:val="TOC1"/>
            <w:rPr>
              <w:rFonts w:asciiTheme="minorHAnsi" w:eastAsiaTheme="minorEastAsia" w:hAnsiTheme="minorHAnsi" w:cstheme="minorBidi"/>
              <w:b w:val="0"/>
              <w:noProof/>
              <w:kern w:val="2"/>
              <w:sz w:val="22"/>
              <w:szCs w:val="22"/>
              <w14:ligatures w14:val="standardContextual"/>
            </w:rPr>
          </w:pPr>
          <w:r>
            <w:rPr>
              <w:noProof/>
            </w:rPr>
            <w:t>Part 3: Fiscal Strategy and Outlook</w:t>
          </w:r>
          <w:r>
            <w:rPr>
              <w:noProof/>
              <w:webHidden/>
            </w:rPr>
            <w:tab/>
            <w:t>49</w:t>
          </w:r>
        </w:p>
        <w:p w14:paraId="7F578E62" w14:textId="77777777" w:rsidR="0004730C" w:rsidRDefault="0004730C">
          <w:pPr>
            <w:pStyle w:val="TOC2"/>
            <w:rPr>
              <w:rFonts w:asciiTheme="minorHAnsi" w:eastAsiaTheme="minorEastAsia" w:hAnsiTheme="minorHAnsi" w:cstheme="minorBidi"/>
              <w:kern w:val="2"/>
              <w:sz w:val="22"/>
              <w:szCs w:val="22"/>
              <w14:ligatures w14:val="standardContextual"/>
            </w:rPr>
          </w:pPr>
          <w:r>
            <w:t>Overview</w:t>
          </w:r>
          <w:r>
            <w:rPr>
              <w:webHidden/>
            </w:rPr>
            <w:tab/>
            <w:t>49</w:t>
          </w:r>
        </w:p>
        <w:p w14:paraId="5CFE4846" w14:textId="77777777" w:rsidR="0004730C" w:rsidRDefault="0004730C">
          <w:pPr>
            <w:pStyle w:val="TOC2"/>
            <w:rPr>
              <w:rFonts w:asciiTheme="minorHAnsi" w:eastAsiaTheme="minorEastAsia" w:hAnsiTheme="minorHAnsi" w:cstheme="minorBidi"/>
              <w:kern w:val="2"/>
              <w:sz w:val="22"/>
              <w:szCs w:val="22"/>
              <w14:ligatures w14:val="standardContextual"/>
            </w:rPr>
          </w:pPr>
          <w:r>
            <w:t>Economic and Fiscal Strategy</w:t>
          </w:r>
          <w:r>
            <w:rPr>
              <w:webHidden/>
            </w:rPr>
            <w:tab/>
            <w:t>52</w:t>
          </w:r>
        </w:p>
        <w:p w14:paraId="22279D3E" w14:textId="77777777" w:rsidR="0004730C" w:rsidRDefault="0004730C">
          <w:pPr>
            <w:pStyle w:val="TOC2"/>
            <w:rPr>
              <w:rFonts w:asciiTheme="minorHAnsi" w:eastAsiaTheme="minorEastAsia" w:hAnsiTheme="minorHAnsi" w:cstheme="minorBidi"/>
              <w:kern w:val="2"/>
              <w:sz w:val="22"/>
              <w:szCs w:val="22"/>
              <w14:ligatures w14:val="standardContextual"/>
            </w:rPr>
          </w:pPr>
          <w:r>
            <w:rPr>
              <w:lang w:eastAsia="en-US"/>
            </w:rPr>
            <w:t>Fiscal Outlook</w:t>
          </w:r>
          <w:r>
            <w:rPr>
              <w:webHidden/>
            </w:rPr>
            <w:tab/>
            <w:t>56</w:t>
          </w:r>
        </w:p>
        <w:p w14:paraId="64C81802" w14:textId="77777777" w:rsidR="0004730C" w:rsidRDefault="0004730C">
          <w:pPr>
            <w:pStyle w:val="TOC2"/>
            <w:rPr>
              <w:rFonts w:asciiTheme="minorHAnsi" w:eastAsiaTheme="minorEastAsia" w:hAnsiTheme="minorHAnsi" w:cstheme="minorBidi"/>
              <w:kern w:val="2"/>
              <w:sz w:val="22"/>
              <w:szCs w:val="22"/>
              <w14:ligatures w14:val="standardContextual"/>
            </w:rPr>
          </w:pPr>
          <w:r>
            <w:t>The Government’s balance sheet</w:t>
          </w:r>
          <w:r>
            <w:rPr>
              <w:webHidden/>
            </w:rPr>
            <w:tab/>
            <w:t>75</w:t>
          </w:r>
        </w:p>
        <w:p w14:paraId="6B4DDF50" w14:textId="77777777" w:rsidR="0004730C" w:rsidRDefault="0004730C">
          <w:pPr>
            <w:pStyle w:val="TOC2"/>
            <w:rPr>
              <w:rFonts w:asciiTheme="minorHAnsi" w:eastAsiaTheme="minorEastAsia" w:hAnsiTheme="minorHAnsi" w:cstheme="minorBidi"/>
              <w:kern w:val="2"/>
              <w:sz w:val="22"/>
              <w:szCs w:val="22"/>
              <w14:ligatures w14:val="standardContextual"/>
            </w:rPr>
          </w:pPr>
          <w:r>
            <w:t>Other fiscal aggregates</w:t>
          </w:r>
          <w:r>
            <w:rPr>
              <w:webHidden/>
            </w:rPr>
            <w:tab/>
            <w:t>80</w:t>
          </w:r>
        </w:p>
        <w:p w14:paraId="257CF10E" w14:textId="77777777" w:rsidR="0004730C" w:rsidRDefault="0004730C">
          <w:pPr>
            <w:pStyle w:val="TOC2"/>
            <w:rPr>
              <w:rFonts w:asciiTheme="minorHAnsi" w:eastAsiaTheme="minorEastAsia" w:hAnsiTheme="minorHAnsi" w:cstheme="minorBidi"/>
              <w:kern w:val="2"/>
              <w:sz w:val="22"/>
              <w:szCs w:val="22"/>
              <w14:ligatures w14:val="standardContextual"/>
            </w:rPr>
          </w:pPr>
          <w:r>
            <w:t>Accrual aggregates</w:t>
          </w:r>
          <w:r>
            <w:rPr>
              <w:webHidden/>
            </w:rPr>
            <w:tab/>
            <w:t>80</w:t>
          </w:r>
        </w:p>
        <w:p w14:paraId="2311FE76" w14:textId="77777777" w:rsidR="0004730C" w:rsidRDefault="0004730C">
          <w:pPr>
            <w:pStyle w:val="TOC2"/>
            <w:rPr>
              <w:rFonts w:asciiTheme="minorHAnsi" w:eastAsiaTheme="minorEastAsia" w:hAnsiTheme="minorHAnsi" w:cstheme="minorBidi"/>
              <w:kern w:val="2"/>
              <w:sz w:val="22"/>
              <w:szCs w:val="22"/>
              <w14:ligatures w14:val="standardContextual"/>
            </w:rPr>
          </w:pPr>
          <w:r>
            <w:t>Structural budget balance estimates</w:t>
          </w:r>
          <w:r>
            <w:rPr>
              <w:webHidden/>
            </w:rPr>
            <w:tab/>
            <w:t>86</w:t>
          </w:r>
        </w:p>
        <w:p w14:paraId="045BC3C5" w14:textId="77777777" w:rsidR="0004730C" w:rsidRDefault="0004730C">
          <w:pPr>
            <w:pStyle w:val="TOC1"/>
            <w:rPr>
              <w:rFonts w:asciiTheme="minorHAnsi" w:eastAsiaTheme="minorEastAsia" w:hAnsiTheme="minorHAnsi" w:cstheme="minorBidi"/>
              <w:b w:val="0"/>
              <w:noProof/>
              <w:kern w:val="2"/>
              <w:sz w:val="22"/>
              <w:szCs w:val="22"/>
              <w14:ligatures w14:val="standardContextual"/>
            </w:rPr>
          </w:pPr>
          <w:r>
            <w:rPr>
              <w:noProof/>
            </w:rPr>
            <w:t>Part 4: Debt Statement</w:t>
          </w:r>
          <w:r>
            <w:rPr>
              <w:noProof/>
              <w:webHidden/>
            </w:rPr>
            <w:tab/>
            <w:t>89</w:t>
          </w:r>
        </w:p>
        <w:p w14:paraId="4F721A4F" w14:textId="77777777" w:rsidR="0004730C" w:rsidRDefault="0004730C">
          <w:pPr>
            <w:pStyle w:val="TOC2"/>
            <w:rPr>
              <w:rFonts w:asciiTheme="minorHAnsi" w:eastAsiaTheme="minorEastAsia" w:hAnsiTheme="minorHAnsi" w:cstheme="minorBidi"/>
              <w:kern w:val="2"/>
              <w:sz w:val="22"/>
              <w:szCs w:val="22"/>
              <w14:ligatures w14:val="standardContextual"/>
            </w:rPr>
          </w:pPr>
          <w:r>
            <w:t>Australian Government Securities issuance</w:t>
          </w:r>
          <w:r>
            <w:rPr>
              <w:webHidden/>
            </w:rPr>
            <w:tab/>
            <w:t>89</w:t>
          </w:r>
        </w:p>
        <w:p w14:paraId="676815F3" w14:textId="77777777" w:rsidR="0004730C" w:rsidRDefault="0004730C">
          <w:pPr>
            <w:pStyle w:val="TOC2"/>
            <w:rPr>
              <w:rFonts w:asciiTheme="minorHAnsi" w:eastAsiaTheme="minorEastAsia" w:hAnsiTheme="minorHAnsi" w:cstheme="minorBidi"/>
              <w:kern w:val="2"/>
              <w:sz w:val="22"/>
              <w:szCs w:val="22"/>
              <w14:ligatures w14:val="standardContextual"/>
            </w:rPr>
          </w:pPr>
          <w:r>
            <w:t>Estimates of AGS on issue</w:t>
          </w:r>
          <w:r>
            <w:rPr>
              <w:webHidden/>
            </w:rPr>
            <w:tab/>
            <w:t>90</w:t>
          </w:r>
        </w:p>
        <w:p w14:paraId="1F1EEF89" w14:textId="77777777" w:rsidR="0004730C" w:rsidRDefault="0004730C">
          <w:pPr>
            <w:pStyle w:val="TOC2"/>
            <w:rPr>
              <w:rFonts w:asciiTheme="minorHAnsi" w:eastAsiaTheme="minorEastAsia" w:hAnsiTheme="minorHAnsi" w:cstheme="minorBidi"/>
              <w:kern w:val="2"/>
              <w:sz w:val="22"/>
              <w:szCs w:val="22"/>
              <w14:ligatures w14:val="standardContextual"/>
            </w:rPr>
          </w:pPr>
          <w:r>
            <w:t>Changes in AGS on issue since the 2024–25 Budget</w:t>
          </w:r>
          <w:r>
            <w:rPr>
              <w:webHidden/>
            </w:rPr>
            <w:tab/>
            <w:t>91</w:t>
          </w:r>
        </w:p>
        <w:p w14:paraId="00D80F99" w14:textId="77777777" w:rsidR="0004730C" w:rsidRDefault="0004730C">
          <w:pPr>
            <w:pStyle w:val="TOC2"/>
            <w:rPr>
              <w:rFonts w:asciiTheme="minorHAnsi" w:eastAsiaTheme="minorEastAsia" w:hAnsiTheme="minorHAnsi" w:cstheme="minorBidi"/>
              <w:kern w:val="2"/>
              <w:sz w:val="22"/>
              <w:szCs w:val="22"/>
              <w14:ligatures w14:val="standardContextual"/>
            </w:rPr>
          </w:pPr>
          <w:r>
            <w:t>Breakdown of AGS currently on issue</w:t>
          </w:r>
          <w:r>
            <w:rPr>
              <w:webHidden/>
            </w:rPr>
            <w:tab/>
            <w:t>92</w:t>
          </w:r>
        </w:p>
        <w:p w14:paraId="7BDB163A" w14:textId="77777777" w:rsidR="0004730C" w:rsidRDefault="0004730C">
          <w:pPr>
            <w:pStyle w:val="TOC2"/>
            <w:rPr>
              <w:rFonts w:asciiTheme="minorHAnsi" w:eastAsiaTheme="minorEastAsia" w:hAnsiTheme="minorHAnsi" w:cstheme="minorBidi"/>
              <w:kern w:val="2"/>
              <w:sz w:val="22"/>
              <w:szCs w:val="22"/>
              <w14:ligatures w14:val="standardContextual"/>
            </w:rPr>
          </w:pPr>
          <w:r>
            <w:t>Non</w:t>
          </w:r>
          <w:r>
            <w:noBreakHyphen/>
            <w:t>resident holdings of AGS on issue</w:t>
          </w:r>
          <w:r>
            <w:rPr>
              <w:webHidden/>
            </w:rPr>
            <w:tab/>
            <w:t>95</w:t>
          </w:r>
        </w:p>
        <w:p w14:paraId="1EF0B160" w14:textId="77777777" w:rsidR="0004730C" w:rsidRDefault="0004730C">
          <w:pPr>
            <w:pStyle w:val="TOC2"/>
            <w:rPr>
              <w:rFonts w:asciiTheme="minorHAnsi" w:eastAsiaTheme="minorEastAsia" w:hAnsiTheme="minorHAnsi" w:cstheme="minorBidi"/>
              <w:kern w:val="2"/>
              <w:sz w:val="22"/>
              <w:szCs w:val="22"/>
              <w14:ligatures w14:val="standardContextual"/>
            </w:rPr>
          </w:pPr>
          <w:r>
            <w:t>Net debt</w:t>
          </w:r>
          <w:r>
            <w:rPr>
              <w:webHidden/>
            </w:rPr>
            <w:tab/>
            <w:t>95</w:t>
          </w:r>
        </w:p>
        <w:p w14:paraId="12D16A19" w14:textId="77777777" w:rsidR="0004730C" w:rsidRDefault="0004730C">
          <w:pPr>
            <w:pStyle w:val="TOC2"/>
            <w:rPr>
              <w:rFonts w:asciiTheme="minorHAnsi" w:eastAsiaTheme="minorEastAsia" w:hAnsiTheme="minorHAnsi" w:cstheme="minorBidi"/>
              <w:kern w:val="2"/>
              <w:sz w:val="22"/>
              <w:szCs w:val="22"/>
              <w14:ligatures w14:val="standardContextual"/>
            </w:rPr>
          </w:pPr>
          <w:r>
            <w:t>Interest on AGS</w:t>
          </w:r>
          <w:r>
            <w:rPr>
              <w:webHidden/>
            </w:rPr>
            <w:tab/>
            <w:t>97</w:t>
          </w:r>
        </w:p>
        <w:p w14:paraId="06DFF9BB" w14:textId="77777777" w:rsidR="0004730C" w:rsidRDefault="0004730C">
          <w:pPr>
            <w:pStyle w:val="TOC1"/>
            <w:rPr>
              <w:rFonts w:asciiTheme="minorHAnsi" w:eastAsiaTheme="minorEastAsia" w:hAnsiTheme="minorHAnsi" w:cstheme="minorBidi"/>
              <w:b w:val="0"/>
              <w:noProof/>
              <w:kern w:val="2"/>
              <w:sz w:val="22"/>
              <w:szCs w:val="22"/>
              <w14:ligatures w14:val="standardContextual"/>
            </w:rPr>
          </w:pPr>
          <w:r>
            <w:rPr>
              <w:noProof/>
            </w:rPr>
            <w:t>Part 5: Sensitivity Analysis</w:t>
          </w:r>
          <w:r>
            <w:rPr>
              <w:noProof/>
              <w:webHidden/>
            </w:rPr>
            <w:tab/>
            <w:t>101</w:t>
          </w:r>
        </w:p>
        <w:p w14:paraId="597C3AB2" w14:textId="77777777" w:rsidR="0004730C" w:rsidRDefault="0004730C">
          <w:pPr>
            <w:pStyle w:val="TOC2"/>
            <w:rPr>
              <w:rFonts w:asciiTheme="minorHAnsi" w:eastAsiaTheme="minorEastAsia" w:hAnsiTheme="minorHAnsi" w:cstheme="minorBidi"/>
              <w:kern w:val="2"/>
              <w:sz w:val="22"/>
              <w:szCs w:val="22"/>
              <w14:ligatures w14:val="standardContextual"/>
            </w:rPr>
          </w:pPr>
          <w:r>
            <w:t>Movements in the iron ore price</w:t>
          </w:r>
          <w:r>
            <w:rPr>
              <w:webHidden/>
            </w:rPr>
            <w:tab/>
            <w:t>101</w:t>
          </w:r>
        </w:p>
        <w:p w14:paraId="0DE4AE9C" w14:textId="77777777" w:rsidR="0004730C" w:rsidRDefault="0004730C">
          <w:pPr>
            <w:pStyle w:val="TOC2"/>
            <w:rPr>
              <w:rFonts w:asciiTheme="minorHAnsi" w:eastAsiaTheme="minorEastAsia" w:hAnsiTheme="minorHAnsi" w:cstheme="minorBidi"/>
              <w:kern w:val="2"/>
              <w:sz w:val="22"/>
              <w:szCs w:val="22"/>
              <w14:ligatures w14:val="standardContextual"/>
            </w:rPr>
          </w:pPr>
          <w:r>
            <w:t>Alternative pathways for yields</w:t>
          </w:r>
          <w:r>
            <w:rPr>
              <w:webHidden/>
            </w:rPr>
            <w:tab/>
            <w:t>102</w:t>
          </w:r>
        </w:p>
        <w:p w14:paraId="190B5863" w14:textId="77777777" w:rsidR="0004730C" w:rsidRDefault="0004730C">
          <w:pPr>
            <w:pStyle w:val="TOC1"/>
            <w:rPr>
              <w:rFonts w:asciiTheme="minorHAnsi" w:eastAsiaTheme="minorEastAsia" w:hAnsiTheme="minorHAnsi" w:cstheme="minorBidi"/>
              <w:b w:val="0"/>
              <w:noProof/>
              <w:kern w:val="2"/>
              <w:sz w:val="22"/>
              <w:szCs w:val="22"/>
              <w14:ligatures w14:val="standardContextual"/>
            </w:rPr>
          </w:pPr>
          <w:r w:rsidRPr="006773FB">
            <w:rPr>
              <w:rFonts w:eastAsia="Book Antiqua"/>
              <w:noProof/>
            </w:rPr>
            <w:t>Part 6: Statement of Risks</w:t>
          </w:r>
          <w:r>
            <w:rPr>
              <w:noProof/>
              <w:webHidden/>
            </w:rPr>
            <w:tab/>
            <w:t>105</w:t>
          </w:r>
        </w:p>
        <w:p w14:paraId="634A8CE7" w14:textId="77777777" w:rsidR="0004730C" w:rsidRDefault="0004730C">
          <w:pPr>
            <w:pStyle w:val="TOC2"/>
            <w:rPr>
              <w:rFonts w:asciiTheme="minorHAnsi" w:eastAsiaTheme="minorEastAsia" w:hAnsiTheme="minorHAnsi" w:cstheme="minorBidi"/>
              <w:kern w:val="2"/>
              <w:sz w:val="22"/>
              <w:szCs w:val="22"/>
              <w14:ligatures w14:val="standardContextual"/>
            </w:rPr>
          </w:pPr>
          <w:r w:rsidRPr="006773FB">
            <w:rPr>
              <w:rFonts w:eastAsia="Arial"/>
            </w:rPr>
            <w:t>Risks to the Budget – Overview</w:t>
          </w:r>
          <w:r>
            <w:rPr>
              <w:webHidden/>
            </w:rPr>
            <w:tab/>
            <w:t>105</w:t>
          </w:r>
        </w:p>
        <w:p w14:paraId="3E0C69F0" w14:textId="77777777" w:rsidR="0004730C" w:rsidRDefault="0004730C">
          <w:pPr>
            <w:pStyle w:val="TOC2"/>
            <w:rPr>
              <w:rFonts w:asciiTheme="minorHAnsi" w:eastAsiaTheme="minorEastAsia" w:hAnsiTheme="minorHAnsi" w:cstheme="minorBidi"/>
              <w:kern w:val="2"/>
              <w:sz w:val="22"/>
              <w:szCs w:val="22"/>
              <w14:ligatures w14:val="standardContextual"/>
            </w:rPr>
          </w:pPr>
          <w:r>
            <w:t>Agriculture, Fisheries and Forestry</w:t>
          </w:r>
          <w:r>
            <w:rPr>
              <w:webHidden/>
            </w:rPr>
            <w:tab/>
            <w:t>113</w:t>
          </w:r>
        </w:p>
        <w:p w14:paraId="7D48E4DD" w14:textId="77777777" w:rsidR="0004730C" w:rsidRDefault="0004730C">
          <w:pPr>
            <w:pStyle w:val="TOC2"/>
            <w:rPr>
              <w:rFonts w:asciiTheme="minorHAnsi" w:eastAsiaTheme="minorEastAsia" w:hAnsiTheme="minorHAnsi" w:cstheme="minorBidi"/>
              <w:kern w:val="2"/>
              <w:sz w:val="22"/>
              <w:szCs w:val="22"/>
              <w14:ligatures w14:val="standardContextual"/>
            </w:rPr>
          </w:pPr>
          <w:r>
            <w:t>Attorney</w:t>
          </w:r>
          <w:r>
            <w:noBreakHyphen/>
            <w:t>General’s</w:t>
          </w:r>
          <w:r>
            <w:rPr>
              <w:webHidden/>
            </w:rPr>
            <w:tab/>
            <w:t>114</w:t>
          </w:r>
        </w:p>
        <w:p w14:paraId="7080F9D4" w14:textId="77777777" w:rsidR="0004730C" w:rsidRDefault="0004730C">
          <w:pPr>
            <w:pStyle w:val="TOC2"/>
            <w:rPr>
              <w:rFonts w:asciiTheme="minorHAnsi" w:eastAsiaTheme="minorEastAsia" w:hAnsiTheme="minorHAnsi" w:cstheme="minorBidi"/>
              <w:kern w:val="2"/>
              <w:sz w:val="22"/>
              <w:szCs w:val="22"/>
              <w14:ligatures w14:val="standardContextual"/>
            </w:rPr>
          </w:pPr>
          <w:r>
            <w:t>Climate Change, Energy, the Environment and Water</w:t>
          </w:r>
          <w:r>
            <w:rPr>
              <w:webHidden/>
            </w:rPr>
            <w:tab/>
            <w:t>115</w:t>
          </w:r>
        </w:p>
        <w:p w14:paraId="1EFD2A7C" w14:textId="77777777" w:rsidR="0004730C" w:rsidRDefault="0004730C">
          <w:pPr>
            <w:pStyle w:val="TOC2"/>
            <w:rPr>
              <w:rFonts w:asciiTheme="minorHAnsi" w:eastAsiaTheme="minorEastAsia" w:hAnsiTheme="minorHAnsi" w:cstheme="minorBidi"/>
              <w:kern w:val="2"/>
              <w:sz w:val="22"/>
              <w:szCs w:val="22"/>
              <w14:ligatures w14:val="standardContextual"/>
            </w:rPr>
          </w:pPr>
          <w:r>
            <w:t>Defence</w:t>
          </w:r>
          <w:r>
            <w:rPr>
              <w:webHidden/>
            </w:rPr>
            <w:tab/>
            <w:t>116</w:t>
          </w:r>
        </w:p>
        <w:p w14:paraId="7153A33F" w14:textId="77777777" w:rsidR="0004730C" w:rsidRDefault="0004730C">
          <w:pPr>
            <w:pStyle w:val="TOC2"/>
            <w:rPr>
              <w:rFonts w:asciiTheme="minorHAnsi" w:eastAsiaTheme="minorEastAsia" w:hAnsiTheme="minorHAnsi" w:cstheme="minorBidi"/>
              <w:kern w:val="2"/>
              <w:sz w:val="22"/>
              <w:szCs w:val="22"/>
              <w14:ligatures w14:val="standardContextual"/>
            </w:rPr>
          </w:pPr>
          <w:r>
            <w:t>Employment and Workplace Relations</w:t>
          </w:r>
          <w:r>
            <w:rPr>
              <w:webHidden/>
            </w:rPr>
            <w:tab/>
            <w:t>116</w:t>
          </w:r>
        </w:p>
        <w:p w14:paraId="30AA9DAD" w14:textId="77777777" w:rsidR="0004730C" w:rsidRDefault="0004730C">
          <w:pPr>
            <w:pStyle w:val="TOC2"/>
            <w:rPr>
              <w:rFonts w:asciiTheme="minorHAnsi" w:eastAsiaTheme="minorEastAsia" w:hAnsiTheme="minorHAnsi" w:cstheme="minorBidi"/>
              <w:kern w:val="2"/>
              <w:sz w:val="22"/>
              <w:szCs w:val="22"/>
              <w14:ligatures w14:val="standardContextual"/>
            </w:rPr>
          </w:pPr>
          <w:r>
            <w:t>Foreign Affairs and Trade</w:t>
          </w:r>
          <w:r>
            <w:rPr>
              <w:webHidden/>
            </w:rPr>
            <w:tab/>
            <w:t>117</w:t>
          </w:r>
        </w:p>
        <w:p w14:paraId="1C6FBE02"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lastRenderedPageBreak/>
            <w:t>Home Affairs</w:t>
          </w:r>
          <w:r>
            <w:rPr>
              <w:webHidden/>
            </w:rPr>
            <w:tab/>
            <w:t>118</w:t>
          </w:r>
        </w:p>
        <w:p w14:paraId="05D90322"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Industry, Science and Resources</w:t>
          </w:r>
          <w:r>
            <w:rPr>
              <w:webHidden/>
            </w:rPr>
            <w:tab/>
            <w:t>119</w:t>
          </w:r>
        </w:p>
        <w:p w14:paraId="7159EFDD"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Infrastructure, Transport, Regional Development, Communications and the Arts</w:t>
          </w:r>
          <w:r>
            <w:rPr>
              <w:webHidden/>
            </w:rPr>
            <w:tab/>
            <w:t>120</w:t>
          </w:r>
        </w:p>
        <w:p w14:paraId="2253DA30"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Social Services</w:t>
          </w:r>
          <w:r>
            <w:rPr>
              <w:webHidden/>
            </w:rPr>
            <w:tab/>
            <w:t>122</w:t>
          </w:r>
        </w:p>
        <w:p w14:paraId="05E6224E"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Treasury</w:t>
          </w:r>
          <w:r>
            <w:rPr>
              <w:webHidden/>
            </w:rPr>
            <w:tab/>
            <w:t>124</w:t>
          </w:r>
        </w:p>
        <w:p w14:paraId="68BECD05"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rPr>
            <w:t>Government loans</w:t>
          </w:r>
          <w:r>
            <w:rPr>
              <w:webHidden/>
            </w:rPr>
            <w:tab/>
            <w:t>128</w:t>
          </w:r>
        </w:p>
        <w:p w14:paraId="7ACC2BFA"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rPr>
            <w:t>Agriculture, Fisheries and Forestry</w:t>
          </w:r>
          <w:r>
            <w:rPr>
              <w:webHidden/>
            </w:rPr>
            <w:tab/>
            <w:t>132</w:t>
          </w:r>
        </w:p>
        <w:p w14:paraId="05C01CFF"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lang w:val="en-US"/>
            </w:rPr>
            <w:t>Climate Change, Energy, the Environment and Water</w:t>
          </w:r>
          <w:r>
            <w:rPr>
              <w:webHidden/>
            </w:rPr>
            <w:tab/>
            <w:t>134</w:t>
          </w:r>
        </w:p>
        <w:p w14:paraId="362509D3"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rPr>
            <w:t>Education</w:t>
          </w:r>
          <w:r>
            <w:rPr>
              <w:webHidden/>
            </w:rPr>
            <w:tab/>
            <w:t>135</w:t>
          </w:r>
        </w:p>
        <w:p w14:paraId="45F6BD6B"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lang w:val="en-US"/>
            </w:rPr>
            <w:t>Employment and Workplace Relations</w:t>
          </w:r>
          <w:r>
            <w:rPr>
              <w:webHidden/>
            </w:rPr>
            <w:tab/>
            <w:t>135</w:t>
          </w:r>
        </w:p>
        <w:p w14:paraId="25CD7C94"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rPr>
            <w:t>Foreign Affairs and Trade</w:t>
          </w:r>
          <w:r>
            <w:rPr>
              <w:webHidden/>
            </w:rPr>
            <w:tab/>
            <w:t>137</w:t>
          </w:r>
        </w:p>
        <w:p w14:paraId="5730F0E9"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rPr>
            <w:t>Infrastructure, Transport, Regional Development, Communications and the Arts</w:t>
          </w:r>
          <w:r>
            <w:rPr>
              <w:webHidden/>
            </w:rPr>
            <w:tab/>
            <w:t>137</w:t>
          </w:r>
        </w:p>
        <w:p w14:paraId="0B970EDD"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rPr>
            <w:t>Prime Minister and Cabinet</w:t>
          </w:r>
          <w:r>
            <w:rPr>
              <w:webHidden/>
            </w:rPr>
            <w:tab/>
            <w:t>139</w:t>
          </w:r>
        </w:p>
        <w:p w14:paraId="3D21DD32"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rPr>
            <w:t>Social Services</w:t>
          </w:r>
          <w:r>
            <w:rPr>
              <w:webHidden/>
            </w:rPr>
            <w:tab/>
            <w:t>139</w:t>
          </w:r>
        </w:p>
        <w:p w14:paraId="572FA7BF"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rsidRPr="006773FB">
            <w:rPr>
              <w:rFonts w:eastAsia="Arial"/>
            </w:rPr>
            <w:t>Treasury</w:t>
          </w:r>
          <w:r>
            <w:rPr>
              <w:webHidden/>
            </w:rPr>
            <w:tab/>
            <w:t>140</w:t>
          </w:r>
        </w:p>
        <w:p w14:paraId="5A432965" w14:textId="77777777" w:rsidR="0004730C" w:rsidRDefault="0004730C" w:rsidP="000E540E">
          <w:pPr>
            <w:pStyle w:val="TOC1"/>
            <w:keepLines/>
            <w:rPr>
              <w:rFonts w:asciiTheme="minorHAnsi" w:eastAsiaTheme="minorEastAsia" w:hAnsiTheme="minorHAnsi" w:cstheme="minorBidi"/>
              <w:b w:val="0"/>
              <w:noProof/>
              <w:kern w:val="2"/>
              <w:sz w:val="22"/>
              <w:szCs w:val="22"/>
              <w14:ligatures w14:val="standardContextual"/>
            </w:rPr>
          </w:pPr>
          <w:r>
            <w:rPr>
              <w:noProof/>
            </w:rPr>
            <w:t>Part 7: Australian Government Budget Financial Statements</w:t>
          </w:r>
          <w:r>
            <w:rPr>
              <w:noProof/>
              <w:webHidden/>
            </w:rPr>
            <w:tab/>
            <w:t>143</w:t>
          </w:r>
        </w:p>
        <w:p w14:paraId="5D97EDD1"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Australian Government Budget Financial Statements</w:t>
          </w:r>
          <w:r>
            <w:rPr>
              <w:webHidden/>
            </w:rPr>
            <w:tab/>
            <w:t>144</w:t>
          </w:r>
        </w:p>
        <w:p w14:paraId="288B5ADF"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Notes to the general government sector financial statements</w:t>
          </w:r>
          <w:r>
            <w:rPr>
              <w:webHidden/>
            </w:rPr>
            <w:tab/>
            <w:t>159</w:t>
          </w:r>
        </w:p>
        <w:p w14:paraId="0529DEBA"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Financial reporting standards and budget concepts</w:t>
          </w:r>
          <w:r>
            <w:rPr>
              <w:webHidden/>
            </w:rPr>
            <w:tab/>
            <w:t>174</w:t>
          </w:r>
        </w:p>
        <w:p w14:paraId="32524483" w14:textId="77777777" w:rsidR="0004730C" w:rsidRDefault="0004730C" w:rsidP="000E540E">
          <w:pPr>
            <w:pStyle w:val="TOC1"/>
            <w:keepLines/>
            <w:rPr>
              <w:rFonts w:asciiTheme="minorHAnsi" w:eastAsiaTheme="minorEastAsia" w:hAnsiTheme="minorHAnsi" w:cstheme="minorBidi"/>
              <w:b w:val="0"/>
              <w:noProof/>
              <w:kern w:val="2"/>
              <w:sz w:val="22"/>
              <w:szCs w:val="22"/>
              <w14:ligatures w14:val="standardContextual"/>
            </w:rPr>
          </w:pPr>
          <w:r>
            <w:rPr>
              <w:noProof/>
            </w:rPr>
            <w:t>Appendix A: Policy decisions taken since the 2024–25 Budget</w:t>
          </w:r>
          <w:r>
            <w:rPr>
              <w:noProof/>
              <w:webHidden/>
            </w:rPr>
            <w:tab/>
            <w:t>183</w:t>
          </w:r>
        </w:p>
        <w:p w14:paraId="191B1F3F"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Receipt Measures</w:t>
          </w:r>
          <w:r>
            <w:rPr>
              <w:webHidden/>
            </w:rPr>
            <w:tab/>
            <w:t>183</w:t>
          </w:r>
        </w:p>
        <w:p w14:paraId="408A7C91"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Payment Measures</w:t>
          </w:r>
          <w:r>
            <w:rPr>
              <w:webHidden/>
            </w:rPr>
            <w:tab/>
            <w:t>199</w:t>
          </w:r>
        </w:p>
        <w:p w14:paraId="1BD9A7DC" w14:textId="77777777" w:rsidR="0004730C" w:rsidRDefault="0004730C" w:rsidP="000E540E">
          <w:pPr>
            <w:pStyle w:val="TOC1"/>
            <w:keepLines/>
            <w:rPr>
              <w:rFonts w:asciiTheme="minorHAnsi" w:eastAsiaTheme="minorEastAsia" w:hAnsiTheme="minorHAnsi" w:cstheme="minorBidi"/>
              <w:b w:val="0"/>
              <w:noProof/>
              <w:kern w:val="2"/>
              <w:sz w:val="22"/>
              <w:szCs w:val="22"/>
              <w14:ligatures w14:val="standardContextual"/>
            </w:rPr>
          </w:pPr>
          <w:r>
            <w:rPr>
              <w:noProof/>
            </w:rPr>
            <w:t>Appendix B: Supplementary Expenses Table and the Contingency Reserve</w:t>
          </w:r>
          <w:r>
            <w:rPr>
              <w:noProof/>
              <w:webHidden/>
            </w:rPr>
            <w:tab/>
            <w:t>305</w:t>
          </w:r>
        </w:p>
        <w:p w14:paraId="08096CF4"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Expenses</w:t>
          </w:r>
          <w:r>
            <w:rPr>
              <w:webHidden/>
            </w:rPr>
            <w:tab/>
            <w:t>305</w:t>
          </w:r>
        </w:p>
        <w:p w14:paraId="6CA591CC"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Contingency Reserve</w:t>
          </w:r>
          <w:r>
            <w:rPr>
              <w:webHidden/>
            </w:rPr>
            <w:tab/>
            <w:t>308</w:t>
          </w:r>
        </w:p>
        <w:p w14:paraId="26D7320D" w14:textId="77777777" w:rsidR="0004730C" w:rsidRDefault="0004730C" w:rsidP="000E540E">
          <w:pPr>
            <w:pStyle w:val="TOC1"/>
            <w:keepLines/>
            <w:rPr>
              <w:rFonts w:asciiTheme="minorHAnsi" w:eastAsiaTheme="minorEastAsia" w:hAnsiTheme="minorHAnsi" w:cstheme="minorBidi"/>
              <w:b w:val="0"/>
              <w:noProof/>
              <w:kern w:val="2"/>
              <w:sz w:val="22"/>
              <w:szCs w:val="22"/>
              <w14:ligatures w14:val="standardContextual"/>
            </w:rPr>
          </w:pPr>
          <w:r>
            <w:rPr>
              <w:noProof/>
            </w:rPr>
            <w:t>Appendix C: Australia’s Federal Financial Relations</w:t>
          </w:r>
          <w:r>
            <w:rPr>
              <w:noProof/>
              <w:webHidden/>
            </w:rPr>
            <w:tab/>
            <w:t>309</w:t>
          </w:r>
        </w:p>
        <w:p w14:paraId="28A7E8C7"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Overview of payments to the states</w:t>
          </w:r>
          <w:r>
            <w:rPr>
              <w:webHidden/>
            </w:rPr>
            <w:tab/>
            <w:t>309</w:t>
          </w:r>
        </w:p>
        <w:p w14:paraId="4C99DBC8"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Payments for specific purposes</w:t>
          </w:r>
          <w:r>
            <w:rPr>
              <w:webHidden/>
            </w:rPr>
            <w:tab/>
            <w:t>311</w:t>
          </w:r>
        </w:p>
        <w:p w14:paraId="4591580E"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General revenue assistance</w:t>
          </w:r>
          <w:r>
            <w:rPr>
              <w:webHidden/>
            </w:rPr>
            <w:tab/>
            <w:t>319</w:t>
          </w:r>
        </w:p>
        <w:p w14:paraId="73EBE71A" w14:textId="77777777" w:rsidR="0004730C" w:rsidRDefault="0004730C" w:rsidP="000E540E">
          <w:pPr>
            <w:pStyle w:val="TOC1"/>
            <w:keepLines/>
            <w:rPr>
              <w:rFonts w:asciiTheme="minorHAnsi" w:eastAsiaTheme="minorEastAsia" w:hAnsiTheme="minorHAnsi" w:cstheme="minorBidi"/>
              <w:b w:val="0"/>
              <w:noProof/>
              <w:kern w:val="2"/>
              <w:sz w:val="22"/>
              <w:szCs w:val="22"/>
              <w14:ligatures w14:val="standardContextual"/>
            </w:rPr>
          </w:pPr>
          <w:r>
            <w:rPr>
              <w:noProof/>
            </w:rPr>
            <w:t>Appendix D: Tax Expenditures</w:t>
          </w:r>
          <w:r>
            <w:rPr>
              <w:noProof/>
              <w:webHidden/>
            </w:rPr>
            <w:tab/>
            <w:t>325</w:t>
          </w:r>
        </w:p>
        <w:p w14:paraId="3C0DBE5E" w14:textId="77777777" w:rsidR="0004730C" w:rsidRDefault="0004730C" w:rsidP="000E540E">
          <w:pPr>
            <w:pStyle w:val="TOC1"/>
            <w:keepLines/>
            <w:rPr>
              <w:rFonts w:asciiTheme="minorHAnsi" w:eastAsiaTheme="minorEastAsia" w:hAnsiTheme="minorHAnsi" w:cstheme="minorBidi"/>
              <w:b w:val="0"/>
              <w:noProof/>
              <w:kern w:val="2"/>
              <w:sz w:val="22"/>
              <w:szCs w:val="22"/>
              <w14:ligatures w14:val="standardContextual"/>
            </w:rPr>
          </w:pPr>
          <w:r>
            <w:rPr>
              <w:noProof/>
            </w:rPr>
            <w:t>Appendix E: Historical Australian Government Data</w:t>
          </w:r>
          <w:r>
            <w:rPr>
              <w:noProof/>
              <w:webHidden/>
            </w:rPr>
            <w:tab/>
            <w:t>329</w:t>
          </w:r>
        </w:p>
        <w:p w14:paraId="764CE19B"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Data sources</w:t>
          </w:r>
          <w:r>
            <w:rPr>
              <w:webHidden/>
            </w:rPr>
            <w:tab/>
            <w:t>329</w:t>
          </w:r>
        </w:p>
        <w:p w14:paraId="7E77DFC1"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Comparability of data across years</w:t>
          </w:r>
          <w:r>
            <w:rPr>
              <w:webHidden/>
            </w:rPr>
            <w:tab/>
            <w:t>329</w:t>
          </w:r>
        </w:p>
        <w:p w14:paraId="57CFF768" w14:textId="77777777" w:rsidR="0004730C" w:rsidRDefault="0004730C" w:rsidP="000E540E">
          <w:pPr>
            <w:pStyle w:val="TOC2"/>
            <w:keepNext/>
            <w:keepLines/>
            <w:rPr>
              <w:rFonts w:asciiTheme="minorHAnsi" w:eastAsiaTheme="minorEastAsia" w:hAnsiTheme="minorHAnsi" w:cstheme="minorBidi"/>
              <w:kern w:val="2"/>
              <w:sz w:val="22"/>
              <w:szCs w:val="22"/>
              <w14:ligatures w14:val="standardContextual"/>
            </w:rPr>
          </w:pPr>
          <w:r>
            <w:t>Revisions to previously published data</w:t>
          </w:r>
          <w:r>
            <w:rPr>
              <w:webHidden/>
            </w:rPr>
            <w:tab/>
            <w:t>331</w:t>
          </w:r>
        </w:p>
        <w:p w14:paraId="674530D5" w14:textId="4EC0147D" w:rsidR="00BB7543" w:rsidRDefault="0004730C" w:rsidP="000E540E">
          <w:pPr>
            <w:pStyle w:val="TOC1"/>
            <w:keepLines/>
          </w:pPr>
          <w:r>
            <w:rPr>
              <w:noProof/>
            </w:rPr>
            <w:t>Notes</w:t>
          </w:r>
          <w:r>
            <w:rPr>
              <w:noProof/>
              <w:webHidden/>
            </w:rPr>
            <w:tab/>
            <w:t>353</w:t>
          </w:r>
          <w:r w:rsidR="00EC70F2">
            <w:rPr>
              <w:b w:val="0"/>
            </w:rPr>
            <w:fldChar w:fldCharType="end"/>
          </w:r>
        </w:p>
      </w:sdtContent>
    </w:sdt>
    <w:p w14:paraId="0AD07222" w14:textId="77777777" w:rsidR="004C33DF" w:rsidRPr="001366F7" w:rsidRDefault="004C33DF" w:rsidP="00FE60E7">
      <w:pPr>
        <w:spacing w:before="100" w:beforeAutospacing="1" w:after="100" w:afterAutospacing="1" w:line="240" w:lineRule="auto"/>
        <w:rPr>
          <w:sz w:val="2"/>
          <w:szCs w:val="2"/>
        </w:rPr>
      </w:pPr>
      <w:r w:rsidRPr="001366F7">
        <w:rPr>
          <w:sz w:val="2"/>
          <w:szCs w:val="2"/>
        </w:rPr>
        <w:fldChar w:fldCharType="begin"/>
      </w:r>
      <w:r w:rsidRPr="001366F7">
        <w:rPr>
          <w:sz w:val="2"/>
          <w:szCs w:val="2"/>
        </w:rPr>
        <w:instrText xml:space="preserve"> RD  "01_Part_1 MASTER.docx" \f </w:instrText>
      </w:r>
      <w:r w:rsidRPr="001366F7">
        <w:rPr>
          <w:sz w:val="2"/>
          <w:szCs w:val="2"/>
        </w:rPr>
        <w:fldChar w:fldCharType="end"/>
      </w:r>
      <w:r w:rsidRPr="001366F7">
        <w:rPr>
          <w:sz w:val="2"/>
          <w:szCs w:val="2"/>
        </w:rPr>
        <w:fldChar w:fldCharType="begin"/>
      </w:r>
      <w:r w:rsidRPr="001366F7">
        <w:rPr>
          <w:sz w:val="2"/>
          <w:szCs w:val="2"/>
        </w:rPr>
        <w:instrText xml:space="preserve"> RD  02_Part_2.docx \f </w:instrText>
      </w:r>
      <w:r w:rsidRPr="001366F7">
        <w:rPr>
          <w:sz w:val="2"/>
          <w:szCs w:val="2"/>
        </w:rPr>
        <w:fldChar w:fldCharType="end"/>
      </w:r>
      <w:r w:rsidRPr="001366F7">
        <w:rPr>
          <w:sz w:val="2"/>
          <w:szCs w:val="2"/>
        </w:rPr>
        <w:fldChar w:fldCharType="begin"/>
      </w:r>
      <w:r w:rsidRPr="001366F7">
        <w:rPr>
          <w:sz w:val="2"/>
          <w:szCs w:val="2"/>
        </w:rPr>
        <w:instrText xml:space="preserve"> RD  "03_Part 3.docx" \f </w:instrText>
      </w:r>
      <w:r w:rsidRPr="001366F7">
        <w:rPr>
          <w:sz w:val="2"/>
          <w:szCs w:val="2"/>
        </w:rPr>
        <w:fldChar w:fldCharType="end"/>
      </w:r>
      <w:r w:rsidRPr="001366F7">
        <w:rPr>
          <w:sz w:val="2"/>
          <w:szCs w:val="2"/>
        </w:rPr>
        <w:fldChar w:fldCharType="begin"/>
      </w:r>
      <w:r w:rsidRPr="001366F7">
        <w:rPr>
          <w:sz w:val="2"/>
          <w:szCs w:val="2"/>
        </w:rPr>
        <w:instrText xml:space="preserve"> RD  "04_Part 4.docx" \f </w:instrText>
      </w:r>
      <w:r w:rsidRPr="001366F7">
        <w:rPr>
          <w:sz w:val="2"/>
          <w:szCs w:val="2"/>
        </w:rPr>
        <w:fldChar w:fldCharType="end"/>
      </w:r>
      <w:r w:rsidRPr="001366F7">
        <w:rPr>
          <w:sz w:val="2"/>
          <w:szCs w:val="2"/>
        </w:rPr>
        <w:fldChar w:fldCharType="begin"/>
      </w:r>
      <w:r w:rsidRPr="001366F7">
        <w:rPr>
          <w:sz w:val="2"/>
          <w:szCs w:val="2"/>
        </w:rPr>
        <w:instrText xml:space="preserve"> RD  "05_Part 5.docx" \f </w:instrText>
      </w:r>
      <w:r w:rsidRPr="001366F7">
        <w:rPr>
          <w:sz w:val="2"/>
          <w:szCs w:val="2"/>
        </w:rPr>
        <w:fldChar w:fldCharType="end"/>
      </w:r>
      <w:r w:rsidRPr="001366F7">
        <w:rPr>
          <w:sz w:val="2"/>
          <w:szCs w:val="2"/>
        </w:rPr>
        <w:fldChar w:fldCharType="begin"/>
      </w:r>
      <w:r w:rsidRPr="001366F7">
        <w:rPr>
          <w:sz w:val="2"/>
          <w:szCs w:val="2"/>
        </w:rPr>
        <w:instrText xml:space="preserve"> RD  "06_Part 6.docx" \f </w:instrText>
      </w:r>
      <w:r w:rsidRPr="001366F7">
        <w:rPr>
          <w:sz w:val="2"/>
          <w:szCs w:val="2"/>
        </w:rPr>
        <w:fldChar w:fldCharType="end"/>
      </w:r>
      <w:r w:rsidRPr="001366F7">
        <w:rPr>
          <w:sz w:val="2"/>
          <w:szCs w:val="2"/>
        </w:rPr>
        <w:fldChar w:fldCharType="begin"/>
      </w:r>
      <w:r w:rsidRPr="001366F7">
        <w:rPr>
          <w:sz w:val="2"/>
          <w:szCs w:val="2"/>
        </w:rPr>
        <w:instrText xml:space="preserve"> RD  "07_Part 7.docx" \f </w:instrText>
      </w:r>
      <w:r w:rsidRPr="001366F7">
        <w:rPr>
          <w:sz w:val="2"/>
          <w:szCs w:val="2"/>
        </w:rPr>
        <w:fldChar w:fldCharType="end"/>
      </w:r>
      <w:r w:rsidRPr="001366F7">
        <w:rPr>
          <w:sz w:val="2"/>
          <w:szCs w:val="2"/>
        </w:rPr>
        <w:fldChar w:fldCharType="begin"/>
      </w:r>
      <w:r w:rsidRPr="001366F7">
        <w:rPr>
          <w:sz w:val="2"/>
          <w:szCs w:val="2"/>
        </w:rPr>
        <w:instrText xml:space="preserve"> RD  08_Appendix_A.docx \f </w:instrText>
      </w:r>
      <w:r w:rsidRPr="001366F7">
        <w:rPr>
          <w:sz w:val="2"/>
          <w:szCs w:val="2"/>
        </w:rPr>
        <w:fldChar w:fldCharType="end"/>
      </w:r>
      <w:r w:rsidRPr="001366F7">
        <w:rPr>
          <w:sz w:val="2"/>
          <w:szCs w:val="2"/>
        </w:rPr>
        <w:fldChar w:fldCharType="begin"/>
      </w:r>
      <w:r w:rsidRPr="001366F7">
        <w:rPr>
          <w:sz w:val="2"/>
          <w:szCs w:val="2"/>
        </w:rPr>
        <w:instrText xml:space="preserve"> RD  09_Appendix_B.docx \f </w:instrText>
      </w:r>
      <w:r w:rsidRPr="001366F7">
        <w:rPr>
          <w:sz w:val="2"/>
          <w:szCs w:val="2"/>
        </w:rPr>
        <w:fldChar w:fldCharType="end"/>
      </w:r>
      <w:r w:rsidRPr="001366F7">
        <w:rPr>
          <w:sz w:val="2"/>
          <w:szCs w:val="2"/>
        </w:rPr>
        <w:fldChar w:fldCharType="begin"/>
      </w:r>
      <w:r w:rsidRPr="001366F7">
        <w:rPr>
          <w:sz w:val="2"/>
          <w:szCs w:val="2"/>
        </w:rPr>
        <w:instrText xml:space="preserve"> RD  10_Appendix_C.docx \f </w:instrText>
      </w:r>
      <w:r w:rsidRPr="001366F7">
        <w:rPr>
          <w:sz w:val="2"/>
          <w:szCs w:val="2"/>
        </w:rPr>
        <w:fldChar w:fldCharType="end"/>
      </w:r>
      <w:r w:rsidRPr="001366F7">
        <w:rPr>
          <w:sz w:val="2"/>
          <w:szCs w:val="2"/>
        </w:rPr>
        <w:fldChar w:fldCharType="begin"/>
      </w:r>
      <w:r w:rsidRPr="001366F7">
        <w:rPr>
          <w:sz w:val="2"/>
          <w:szCs w:val="2"/>
        </w:rPr>
        <w:instrText xml:space="preserve"> RD  11_Appendix_D.docx \f </w:instrText>
      </w:r>
      <w:r w:rsidRPr="001366F7">
        <w:rPr>
          <w:sz w:val="2"/>
          <w:szCs w:val="2"/>
        </w:rPr>
        <w:fldChar w:fldCharType="end"/>
      </w:r>
      <w:r w:rsidRPr="001366F7">
        <w:rPr>
          <w:sz w:val="2"/>
          <w:szCs w:val="2"/>
        </w:rPr>
        <w:fldChar w:fldCharType="begin"/>
      </w:r>
      <w:r w:rsidRPr="001366F7">
        <w:rPr>
          <w:sz w:val="2"/>
          <w:szCs w:val="2"/>
        </w:rPr>
        <w:instrText xml:space="preserve"> RD  12_Appendix_E.docx \f </w:instrText>
      </w:r>
      <w:r w:rsidRPr="001366F7">
        <w:rPr>
          <w:sz w:val="2"/>
          <w:szCs w:val="2"/>
        </w:rPr>
        <w:fldChar w:fldCharType="end"/>
      </w:r>
      <w:r w:rsidRPr="001366F7">
        <w:rPr>
          <w:sz w:val="2"/>
          <w:szCs w:val="2"/>
        </w:rPr>
        <w:fldChar w:fldCharType="begin"/>
      </w:r>
      <w:r w:rsidRPr="001366F7">
        <w:rPr>
          <w:sz w:val="2"/>
          <w:szCs w:val="2"/>
        </w:rPr>
        <w:instrText xml:space="preserve"> RD  14_Notes.docx \f </w:instrText>
      </w:r>
      <w:r w:rsidRPr="001366F7">
        <w:rPr>
          <w:sz w:val="2"/>
          <w:szCs w:val="2"/>
        </w:rPr>
        <w:fldChar w:fldCharType="end"/>
      </w:r>
    </w:p>
    <w:sectPr w:rsidR="004C33DF" w:rsidRPr="001366F7" w:rsidSect="00FB5DDD">
      <w:headerReference w:type="even" r:id="rId28"/>
      <w:headerReference w:type="default" r:id="rId29"/>
      <w:footerReference w:type="default" r:id="rId30"/>
      <w:headerReference w:type="first" r:id="rId31"/>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022C" w14:textId="77777777" w:rsidR="001F0FE9" w:rsidRDefault="001F0FE9" w:rsidP="00E40261">
      <w:pPr>
        <w:spacing w:after="0" w:line="240" w:lineRule="auto"/>
      </w:pPr>
      <w:r>
        <w:separator/>
      </w:r>
    </w:p>
  </w:endnote>
  <w:endnote w:type="continuationSeparator" w:id="0">
    <w:p w14:paraId="7AB754B2" w14:textId="77777777" w:rsidR="001F0FE9" w:rsidRDefault="001F0FE9" w:rsidP="00E40261">
      <w:pPr>
        <w:spacing w:after="0" w:line="240" w:lineRule="auto"/>
      </w:pPr>
      <w:r>
        <w:continuationSeparator/>
      </w:r>
    </w:p>
  </w:endnote>
  <w:endnote w:type="continuationNotice" w:id="1">
    <w:p w14:paraId="3B45641F" w14:textId="77777777" w:rsidR="001F0FE9" w:rsidRDefault="001F0F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F85" w14:textId="79BB3C6D" w:rsidR="00D51853" w:rsidRPr="00373793" w:rsidRDefault="00D51853" w:rsidP="0089215D">
    <w:pPr>
      <w:pStyle w:val="FooterEven"/>
      <w:rPr>
        <w:rStyle w:val="PageNumber"/>
      </w:rPr>
    </w:pPr>
    <w:r w:rsidRPr="00B3705D">
      <w:rPr>
        <w:b/>
      </w:rPr>
      <w:t xml:space="preserve">Page </w:t>
    </w:r>
    <w:r>
      <w:rPr>
        <w:b/>
        <w:bCs/>
      </w:rPr>
      <w:fldChar w:fldCharType="begin"/>
    </w:r>
    <w:r>
      <w:rPr>
        <w:b/>
        <w:bCs/>
      </w:rPr>
      <w:instrText xml:space="preserve"> PAGE  \* roman  \* MERGEFORMAT </w:instrText>
    </w:r>
    <w:r>
      <w:rPr>
        <w:b/>
        <w:bCs/>
      </w:rPr>
      <w:fldChar w:fldCharType="separate"/>
    </w:r>
    <w:r>
      <w:rPr>
        <w:b/>
        <w:bCs/>
        <w:noProof/>
      </w:rPr>
      <w:t>viii</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5FAF" w14:textId="5F0B9485" w:rsidR="00D51853" w:rsidRDefault="00D5185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6913" w14:textId="05C48F05" w:rsidR="00D51853" w:rsidRDefault="00D51853" w:rsidP="00360947">
    <w:pPr>
      <w:pStyle w:val="FooterEven"/>
    </w:pPr>
    <w:r w:rsidRPr="00B3705D">
      <w:rPr>
        <w:b/>
      </w:rPr>
      <w:t xml:space="preserve">Page </w:t>
    </w:r>
    <w:r>
      <w:rPr>
        <w:b/>
        <w:bCs/>
      </w:rPr>
      <w:fldChar w:fldCharType="begin"/>
    </w:r>
    <w:r>
      <w:rPr>
        <w:b/>
        <w:bCs/>
      </w:rPr>
      <w:instrText xml:space="preserve"> PAGE  \* roman  \* MERGEFORMAT </w:instrText>
    </w:r>
    <w:r>
      <w:rPr>
        <w:b/>
        <w:bCs/>
      </w:rPr>
      <w:fldChar w:fldCharType="separate"/>
    </w:r>
    <w:r>
      <w:rPr>
        <w:b/>
        <w:bCs/>
        <w:noProof/>
      </w:rPr>
      <w:t>iii</w:t>
    </w:r>
    <w:r>
      <w:rPr>
        <w:b/>
        <w:bCs/>
      </w:rPr>
      <w:fldChar w:fldCharType="end"/>
    </w:r>
    <w:r w:rsidRPr="00B3705D">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16E6" w14:textId="11FEB6FD" w:rsidR="00D51853" w:rsidRDefault="00D0425A" w:rsidP="002A6A16">
    <w:pPr>
      <w:pStyle w:val="FooterOdd"/>
    </w:pPr>
    <w:fldSimple w:instr=" SUBJECT   \* MERGEFORMAT ">
      <w:r>
        <w:t>Preliminaries</w:t>
      </w:r>
    </w:fldSimple>
    <w:r w:rsidR="00D51853" w:rsidRPr="00B3705D">
      <w:t xml:space="preserve">  |  </w:t>
    </w:r>
    <w:r w:rsidR="00D51853" w:rsidRPr="00B3705D">
      <w:rPr>
        <w:b/>
        <w:bCs/>
      </w:rPr>
      <w:t xml:space="preserve">Page </w:t>
    </w:r>
    <w:r w:rsidR="00D51853" w:rsidRPr="00B3705D">
      <w:rPr>
        <w:b/>
        <w:bCs/>
      </w:rPr>
      <w:fldChar w:fldCharType="begin"/>
    </w:r>
    <w:r w:rsidR="00D51853" w:rsidRPr="00B3705D">
      <w:rPr>
        <w:b/>
        <w:bCs/>
      </w:rPr>
      <w:instrText xml:space="preserve"> PAGE  \* Arabic  \* MERGEFORMAT </w:instrText>
    </w:r>
    <w:r w:rsidR="00D51853" w:rsidRPr="00B3705D">
      <w:rPr>
        <w:b/>
        <w:bCs/>
      </w:rPr>
      <w:fldChar w:fldCharType="separate"/>
    </w:r>
    <w:r w:rsidR="00D51853">
      <w:rPr>
        <w:b/>
        <w:bCs/>
      </w:rPr>
      <w:t>1</w:t>
    </w:r>
    <w:r w:rsidR="00D51853"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EDB9" w14:textId="60653963" w:rsidR="00D51853" w:rsidRPr="00A478F2" w:rsidRDefault="00D51853" w:rsidP="008921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35C" w14:textId="22ABE0D6" w:rsidR="00D51853" w:rsidRPr="00373793" w:rsidRDefault="00D51853" w:rsidP="0089215D">
    <w:pPr>
      <w:pStyle w:val="FooterOdd"/>
      <w:rPr>
        <w:rStyle w:val="PageNumber"/>
      </w:rPr>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ix</w:t>
    </w:r>
    <w:r>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54DE" w14:textId="788356CF" w:rsidR="00D51853" w:rsidRPr="00373793" w:rsidRDefault="00D51853" w:rsidP="0089215D">
    <w:pPr>
      <w:pStyle w:val="FooterOdd"/>
      <w:rPr>
        <w:rStyle w:val="PageNumber"/>
      </w:rPr>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iii</w:t>
    </w:r>
    <w:r>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D4DD" w14:textId="77777777" w:rsidR="005602FC" w:rsidRPr="00373793" w:rsidRDefault="005602FC" w:rsidP="005602FC">
    <w:pPr>
      <w:pStyle w:val="FooterOdd"/>
      <w:rPr>
        <w:rStyle w:val="PageNumber"/>
      </w:rPr>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rPr>
      <w:t>v</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D348" w14:textId="77777777" w:rsidR="001F0FE9" w:rsidRPr="003C1CA4" w:rsidRDefault="001F0FE9"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1014F6AC" w14:textId="77777777" w:rsidR="001F0FE9" w:rsidRDefault="001F0FE9" w:rsidP="00E40261">
      <w:pPr>
        <w:spacing w:after="0" w:line="240" w:lineRule="auto"/>
      </w:pPr>
      <w:r>
        <w:continuationSeparator/>
      </w:r>
    </w:p>
  </w:footnote>
  <w:footnote w:type="continuationNotice" w:id="1">
    <w:p w14:paraId="51407508" w14:textId="77777777" w:rsidR="001F0FE9" w:rsidRDefault="001F0F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EBB7" w14:textId="3B5FF16A" w:rsidR="00D51853" w:rsidRPr="00AA5439" w:rsidRDefault="00D51853" w:rsidP="00AA5439">
    <w:pPr>
      <w:pStyle w:val="HeaderEven"/>
      <w:rPr>
        <w:sz w:val="2"/>
        <w:szCs w:val="2"/>
      </w:rPr>
    </w:pPr>
  </w:p>
  <w:p w14:paraId="06B896A3" w14:textId="77777777" w:rsidR="00D51853" w:rsidRPr="00AA5439" w:rsidRDefault="00D51853" w:rsidP="00AA5439">
    <w:pPr>
      <w:pStyle w:val="HeaderEven"/>
      <w:rPr>
        <w:sz w:val="2"/>
        <w:szCs w:val="4"/>
      </w:rPr>
    </w:pPr>
  </w:p>
  <w:p w14:paraId="7277A5CE" w14:textId="77777777" w:rsidR="00D51853" w:rsidRPr="007703C7" w:rsidRDefault="00D51853"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1E89" w14:textId="5C0E7055" w:rsidR="00D51853" w:rsidRPr="000635BE" w:rsidRDefault="00D51853" w:rsidP="000635BE">
    <w:pPr>
      <w:pStyle w:val="HeaderOdd"/>
      <w:rPr>
        <w:sz w:val="2"/>
        <w:szCs w:val="4"/>
      </w:rPr>
    </w:pPr>
  </w:p>
  <w:p w14:paraId="57B54044" w14:textId="77777777" w:rsidR="00D51853" w:rsidRPr="00AA5439" w:rsidRDefault="00D51853"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3758" w14:textId="62B36870" w:rsidR="00D51853" w:rsidRPr="005B2F30" w:rsidRDefault="00D51853">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1876" w14:textId="3B2860CB" w:rsidR="00545DD8" w:rsidRDefault="00545D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EB28" w14:textId="20126B08" w:rsidR="00545DD8" w:rsidRDefault="00545D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5B3F" w14:textId="72B5B5D3" w:rsidR="00545DD8" w:rsidRDefault="00545D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9021" w14:textId="44C53D94" w:rsidR="00545DD8" w:rsidRDefault="00545D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72B6" w14:textId="6DD1D644"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34A66CA9" w14:textId="77777777" w:rsidTr="008C56E1">
      <w:trPr>
        <w:trHeight w:hRule="exact" w:val="340"/>
      </w:trPr>
      <w:tc>
        <w:tcPr>
          <w:tcW w:w="7797" w:type="dxa"/>
        </w:tcPr>
        <w:p w14:paraId="23A96578" w14:textId="770DB7CC" w:rsidR="00FB5DDD" w:rsidRPr="00D13BF9" w:rsidRDefault="00D0425A" w:rsidP="00D13BF9">
          <w:pPr>
            <w:pStyle w:val="HeaderOdd"/>
          </w:pPr>
          <w:fldSimple w:instr=" TITLE   \* MERGEFORMAT ">
            <w:r>
              <w:t>Mid-Year Economic and Fiscal Outlook 2024–25</w:t>
            </w:r>
          </w:fldSimple>
          <w:r w:rsidR="00FB5DDD" w:rsidRPr="00D13BF9">
            <w:t xml:space="preserve">  |  </w:t>
          </w:r>
          <w:r w:rsidR="00FB5DDD" w:rsidRPr="00C9389A">
            <w:rPr>
              <w:noProof/>
              <w:position w:val="-8"/>
            </w:rPr>
            <w:drawing>
              <wp:inline distT="0" distB="0" distL="0" distR="0" wp14:anchorId="0D4E86E3" wp14:editId="381AB6D8">
                <wp:extent cx="878400" cy="198000"/>
                <wp:effectExtent l="0" t="0" r="0" b="0"/>
                <wp:docPr id="1681994379" name="Picture 1681994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FA34E7B" w14:textId="77777777" w:rsidR="00FB5DDD" w:rsidRPr="00AA5439" w:rsidRDefault="00FB5DDD" w:rsidP="00AA5439">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1676" w14:textId="77F73DCF" w:rsidR="00545DD8" w:rsidRDefault="0054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1903564601">
    <w:abstractNumId w:val="10"/>
  </w:num>
  <w:num w:numId="4" w16cid:durableId="778522229">
    <w:abstractNumId w:val="12"/>
  </w:num>
  <w:num w:numId="5" w16cid:durableId="308556280">
    <w:abstractNumId w:val="14"/>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655E78"/>
    <w:rsid w:val="000004EA"/>
    <w:rsid w:val="00002622"/>
    <w:rsid w:val="00011DBB"/>
    <w:rsid w:val="00013436"/>
    <w:rsid w:val="00013EA8"/>
    <w:rsid w:val="00024BA4"/>
    <w:rsid w:val="00035D8D"/>
    <w:rsid w:val="00036FA6"/>
    <w:rsid w:val="00043268"/>
    <w:rsid w:val="0004730C"/>
    <w:rsid w:val="000546EB"/>
    <w:rsid w:val="000622DA"/>
    <w:rsid w:val="000635BE"/>
    <w:rsid w:val="0008399A"/>
    <w:rsid w:val="0008597F"/>
    <w:rsid w:val="000A3EC5"/>
    <w:rsid w:val="000A5A6D"/>
    <w:rsid w:val="000B38A8"/>
    <w:rsid w:val="000B78C5"/>
    <w:rsid w:val="000C0EE3"/>
    <w:rsid w:val="000C3B04"/>
    <w:rsid w:val="000D78F4"/>
    <w:rsid w:val="000E105B"/>
    <w:rsid w:val="000E149B"/>
    <w:rsid w:val="000E540E"/>
    <w:rsid w:val="00103F65"/>
    <w:rsid w:val="001051B9"/>
    <w:rsid w:val="0011175D"/>
    <w:rsid w:val="0011480E"/>
    <w:rsid w:val="001366F7"/>
    <w:rsid w:val="001472CA"/>
    <w:rsid w:val="001523E3"/>
    <w:rsid w:val="00153026"/>
    <w:rsid w:val="00153DE6"/>
    <w:rsid w:val="0015758B"/>
    <w:rsid w:val="00160928"/>
    <w:rsid w:val="00162CD9"/>
    <w:rsid w:val="00172CFE"/>
    <w:rsid w:val="00183AFB"/>
    <w:rsid w:val="0018493F"/>
    <w:rsid w:val="0019115B"/>
    <w:rsid w:val="001970E6"/>
    <w:rsid w:val="001A2167"/>
    <w:rsid w:val="001A5A92"/>
    <w:rsid w:val="001A6998"/>
    <w:rsid w:val="001A7712"/>
    <w:rsid w:val="001B7232"/>
    <w:rsid w:val="001C29BA"/>
    <w:rsid w:val="001C435D"/>
    <w:rsid w:val="001C5E21"/>
    <w:rsid w:val="001D33D6"/>
    <w:rsid w:val="001E6FD3"/>
    <w:rsid w:val="001F08E1"/>
    <w:rsid w:val="001F0FE9"/>
    <w:rsid w:val="00206A05"/>
    <w:rsid w:val="00233BD4"/>
    <w:rsid w:val="00237F04"/>
    <w:rsid w:val="00242462"/>
    <w:rsid w:val="00242479"/>
    <w:rsid w:val="0024521A"/>
    <w:rsid w:val="00250208"/>
    <w:rsid w:val="00264207"/>
    <w:rsid w:val="00267200"/>
    <w:rsid w:val="00274BF2"/>
    <w:rsid w:val="00281716"/>
    <w:rsid w:val="00286172"/>
    <w:rsid w:val="00297262"/>
    <w:rsid w:val="002A6A16"/>
    <w:rsid w:val="002B6106"/>
    <w:rsid w:val="002C2097"/>
    <w:rsid w:val="002C3DEB"/>
    <w:rsid w:val="002C596C"/>
    <w:rsid w:val="002D789E"/>
    <w:rsid w:val="002E638A"/>
    <w:rsid w:val="002E7B71"/>
    <w:rsid w:val="002F40F3"/>
    <w:rsid w:val="0030186D"/>
    <w:rsid w:val="00302993"/>
    <w:rsid w:val="00305105"/>
    <w:rsid w:val="003140A3"/>
    <w:rsid w:val="003303B0"/>
    <w:rsid w:val="00332908"/>
    <w:rsid w:val="003421CD"/>
    <w:rsid w:val="003451F5"/>
    <w:rsid w:val="003478ED"/>
    <w:rsid w:val="003506C0"/>
    <w:rsid w:val="00353F62"/>
    <w:rsid w:val="00360947"/>
    <w:rsid w:val="003649CC"/>
    <w:rsid w:val="00373B34"/>
    <w:rsid w:val="00375755"/>
    <w:rsid w:val="00376330"/>
    <w:rsid w:val="00377927"/>
    <w:rsid w:val="00381D29"/>
    <w:rsid w:val="00382E3D"/>
    <w:rsid w:val="003A3AC2"/>
    <w:rsid w:val="003B3670"/>
    <w:rsid w:val="003C1580"/>
    <w:rsid w:val="003C1CA4"/>
    <w:rsid w:val="003F42F4"/>
    <w:rsid w:val="00410AC2"/>
    <w:rsid w:val="00414D61"/>
    <w:rsid w:val="004233DE"/>
    <w:rsid w:val="00435BE1"/>
    <w:rsid w:val="00441F76"/>
    <w:rsid w:val="00447E2C"/>
    <w:rsid w:val="0046391C"/>
    <w:rsid w:val="00466BB5"/>
    <w:rsid w:val="0048563A"/>
    <w:rsid w:val="004A6721"/>
    <w:rsid w:val="004B211C"/>
    <w:rsid w:val="004C3233"/>
    <w:rsid w:val="004C33DF"/>
    <w:rsid w:val="004C3F27"/>
    <w:rsid w:val="004F3FD9"/>
    <w:rsid w:val="004F60DD"/>
    <w:rsid w:val="00507E84"/>
    <w:rsid w:val="005125F6"/>
    <w:rsid w:val="005126DD"/>
    <w:rsid w:val="00513546"/>
    <w:rsid w:val="00513FCE"/>
    <w:rsid w:val="00514A07"/>
    <w:rsid w:val="005151D9"/>
    <w:rsid w:val="00532259"/>
    <w:rsid w:val="00540B2F"/>
    <w:rsid w:val="00545DD8"/>
    <w:rsid w:val="005476BD"/>
    <w:rsid w:val="0055108F"/>
    <w:rsid w:val="00551E91"/>
    <w:rsid w:val="005602FC"/>
    <w:rsid w:val="005642C7"/>
    <w:rsid w:val="00573F4B"/>
    <w:rsid w:val="00580067"/>
    <w:rsid w:val="005A43A4"/>
    <w:rsid w:val="005A6F5F"/>
    <w:rsid w:val="005B2F30"/>
    <w:rsid w:val="005B3010"/>
    <w:rsid w:val="005D1836"/>
    <w:rsid w:val="005D23CB"/>
    <w:rsid w:val="005D6ADA"/>
    <w:rsid w:val="005E203B"/>
    <w:rsid w:val="005E4F85"/>
    <w:rsid w:val="005E6673"/>
    <w:rsid w:val="005E7546"/>
    <w:rsid w:val="005E792C"/>
    <w:rsid w:val="0060305C"/>
    <w:rsid w:val="00614554"/>
    <w:rsid w:val="00614FC4"/>
    <w:rsid w:val="00622CDB"/>
    <w:rsid w:val="006267AC"/>
    <w:rsid w:val="00653808"/>
    <w:rsid w:val="00653D2B"/>
    <w:rsid w:val="00655E78"/>
    <w:rsid w:val="006568AA"/>
    <w:rsid w:val="00656F0A"/>
    <w:rsid w:val="00664F1B"/>
    <w:rsid w:val="0067196D"/>
    <w:rsid w:val="00673E46"/>
    <w:rsid w:val="00677EBB"/>
    <w:rsid w:val="00680768"/>
    <w:rsid w:val="00682D05"/>
    <w:rsid w:val="00684A93"/>
    <w:rsid w:val="00692105"/>
    <w:rsid w:val="00692BED"/>
    <w:rsid w:val="006A19EB"/>
    <w:rsid w:val="006C1494"/>
    <w:rsid w:val="006C3E1F"/>
    <w:rsid w:val="006C4809"/>
    <w:rsid w:val="006C4A90"/>
    <w:rsid w:val="006C606A"/>
    <w:rsid w:val="006D2E87"/>
    <w:rsid w:val="006D4A4D"/>
    <w:rsid w:val="006E26AE"/>
    <w:rsid w:val="006E3261"/>
    <w:rsid w:val="006E7F46"/>
    <w:rsid w:val="006F2CA0"/>
    <w:rsid w:val="00702304"/>
    <w:rsid w:val="0070505B"/>
    <w:rsid w:val="007056C7"/>
    <w:rsid w:val="0070628C"/>
    <w:rsid w:val="0072449F"/>
    <w:rsid w:val="0073187A"/>
    <w:rsid w:val="00731912"/>
    <w:rsid w:val="00734453"/>
    <w:rsid w:val="0073499B"/>
    <w:rsid w:val="0074527D"/>
    <w:rsid w:val="007452CE"/>
    <w:rsid w:val="00754CF2"/>
    <w:rsid w:val="00755F34"/>
    <w:rsid w:val="007573F4"/>
    <w:rsid w:val="007631D8"/>
    <w:rsid w:val="007703C7"/>
    <w:rsid w:val="00773994"/>
    <w:rsid w:val="00785302"/>
    <w:rsid w:val="00786686"/>
    <w:rsid w:val="00786783"/>
    <w:rsid w:val="00787DEE"/>
    <w:rsid w:val="00791275"/>
    <w:rsid w:val="007913DD"/>
    <w:rsid w:val="00792F0C"/>
    <w:rsid w:val="00797DC1"/>
    <w:rsid w:val="007D5AEF"/>
    <w:rsid w:val="007E13EB"/>
    <w:rsid w:val="007E2802"/>
    <w:rsid w:val="007F08AC"/>
    <w:rsid w:val="00805AF3"/>
    <w:rsid w:val="008131E7"/>
    <w:rsid w:val="00820688"/>
    <w:rsid w:val="00824E07"/>
    <w:rsid w:val="008253FB"/>
    <w:rsid w:val="008777D0"/>
    <w:rsid w:val="008819A3"/>
    <w:rsid w:val="00881D59"/>
    <w:rsid w:val="00885620"/>
    <w:rsid w:val="0089215D"/>
    <w:rsid w:val="008B4525"/>
    <w:rsid w:val="008C2AAD"/>
    <w:rsid w:val="008C31CD"/>
    <w:rsid w:val="008C56E1"/>
    <w:rsid w:val="008D1E76"/>
    <w:rsid w:val="008D3CA1"/>
    <w:rsid w:val="008D3EF8"/>
    <w:rsid w:val="008D45DE"/>
    <w:rsid w:val="008D71E5"/>
    <w:rsid w:val="008E7225"/>
    <w:rsid w:val="008F521F"/>
    <w:rsid w:val="008F55F8"/>
    <w:rsid w:val="0093363A"/>
    <w:rsid w:val="009345C5"/>
    <w:rsid w:val="0094345F"/>
    <w:rsid w:val="00943C8B"/>
    <w:rsid w:val="00945C29"/>
    <w:rsid w:val="0095269D"/>
    <w:rsid w:val="009526DA"/>
    <w:rsid w:val="00966E4E"/>
    <w:rsid w:val="0097667D"/>
    <w:rsid w:val="009804F5"/>
    <w:rsid w:val="0098629D"/>
    <w:rsid w:val="00996E4D"/>
    <w:rsid w:val="00997029"/>
    <w:rsid w:val="009A553C"/>
    <w:rsid w:val="009A7DCC"/>
    <w:rsid w:val="009B2CFA"/>
    <w:rsid w:val="009C37E9"/>
    <w:rsid w:val="009C3A40"/>
    <w:rsid w:val="009C4905"/>
    <w:rsid w:val="009C722D"/>
    <w:rsid w:val="009D44CF"/>
    <w:rsid w:val="009D7662"/>
    <w:rsid w:val="009E703D"/>
    <w:rsid w:val="009E766A"/>
    <w:rsid w:val="009F4D67"/>
    <w:rsid w:val="00A04475"/>
    <w:rsid w:val="00A11F5D"/>
    <w:rsid w:val="00A26245"/>
    <w:rsid w:val="00A267BA"/>
    <w:rsid w:val="00A268AC"/>
    <w:rsid w:val="00A27919"/>
    <w:rsid w:val="00A32F48"/>
    <w:rsid w:val="00A33AC0"/>
    <w:rsid w:val="00A36880"/>
    <w:rsid w:val="00A36FB1"/>
    <w:rsid w:val="00A52AFA"/>
    <w:rsid w:val="00A819BF"/>
    <w:rsid w:val="00A85845"/>
    <w:rsid w:val="00A87063"/>
    <w:rsid w:val="00A92831"/>
    <w:rsid w:val="00AA5439"/>
    <w:rsid w:val="00AA71F1"/>
    <w:rsid w:val="00AA7EA0"/>
    <w:rsid w:val="00AB5E51"/>
    <w:rsid w:val="00AB63E5"/>
    <w:rsid w:val="00AC2FED"/>
    <w:rsid w:val="00AD68DA"/>
    <w:rsid w:val="00AE1DCA"/>
    <w:rsid w:val="00B0252F"/>
    <w:rsid w:val="00B051A6"/>
    <w:rsid w:val="00B13E26"/>
    <w:rsid w:val="00B16525"/>
    <w:rsid w:val="00B26C0C"/>
    <w:rsid w:val="00B33C9F"/>
    <w:rsid w:val="00B5448F"/>
    <w:rsid w:val="00B629D6"/>
    <w:rsid w:val="00B62ED2"/>
    <w:rsid w:val="00B7143B"/>
    <w:rsid w:val="00B742E3"/>
    <w:rsid w:val="00B75873"/>
    <w:rsid w:val="00B77D16"/>
    <w:rsid w:val="00B85374"/>
    <w:rsid w:val="00B91AED"/>
    <w:rsid w:val="00B96A23"/>
    <w:rsid w:val="00BA5835"/>
    <w:rsid w:val="00BA7246"/>
    <w:rsid w:val="00BB207D"/>
    <w:rsid w:val="00BB52EC"/>
    <w:rsid w:val="00BB7543"/>
    <w:rsid w:val="00BC4E72"/>
    <w:rsid w:val="00BE2420"/>
    <w:rsid w:val="00BE712B"/>
    <w:rsid w:val="00BF5E88"/>
    <w:rsid w:val="00C01211"/>
    <w:rsid w:val="00C060D7"/>
    <w:rsid w:val="00C21110"/>
    <w:rsid w:val="00C33129"/>
    <w:rsid w:val="00C36BE6"/>
    <w:rsid w:val="00C4293F"/>
    <w:rsid w:val="00C44195"/>
    <w:rsid w:val="00C45FF8"/>
    <w:rsid w:val="00C461BE"/>
    <w:rsid w:val="00C601D0"/>
    <w:rsid w:val="00C61DC5"/>
    <w:rsid w:val="00C64CC1"/>
    <w:rsid w:val="00C75ABC"/>
    <w:rsid w:val="00C90024"/>
    <w:rsid w:val="00C93398"/>
    <w:rsid w:val="00C9389A"/>
    <w:rsid w:val="00C94AB7"/>
    <w:rsid w:val="00CB0909"/>
    <w:rsid w:val="00CB155E"/>
    <w:rsid w:val="00CC6004"/>
    <w:rsid w:val="00CE43F7"/>
    <w:rsid w:val="00CF5B91"/>
    <w:rsid w:val="00D00CDE"/>
    <w:rsid w:val="00D0425A"/>
    <w:rsid w:val="00D11049"/>
    <w:rsid w:val="00D13BF9"/>
    <w:rsid w:val="00D146F0"/>
    <w:rsid w:val="00D1656D"/>
    <w:rsid w:val="00D1685E"/>
    <w:rsid w:val="00D17EF8"/>
    <w:rsid w:val="00D26B08"/>
    <w:rsid w:val="00D27078"/>
    <w:rsid w:val="00D270F4"/>
    <w:rsid w:val="00D47C6E"/>
    <w:rsid w:val="00D51853"/>
    <w:rsid w:val="00D5569F"/>
    <w:rsid w:val="00D63380"/>
    <w:rsid w:val="00D728D8"/>
    <w:rsid w:val="00D748C5"/>
    <w:rsid w:val="00D81A31"/>
    <w:rsid w:val="00D82B0F"/>
    <w:rsid w:val="00D93796"/>
    <w:rsid w:val="00DA0166"/>
    <w:rsid w:val="00DA1DFB"/>
    <w:rsid w:val="00DA32B5"/>
    <w:rsid w:val="00DA42A3"/>
    <w:rsid w:val="00DA58C6"/>
    <w:rsid w:val="00DA69D1"/>
    <w:rsid w:val="00DB513A"/>
    <w:rsid w:val="00DC7B41"/>
    <w:rsid w:val="00DD606A"/>
    <w:rsid w:val="00DE0A3F"/>
    <w:rsid w:val="00DE504B"/>
    <w:rsid w:val="00DE5BF0"/>
    <w:rsid w:val="00DE71D2"/>
    <w:rsid w:val="00DF493E"/>
    <w:rsid w:val="00DF5A91"/>
    <w:rsid w:val="00DF5DCB"/>
    <w:rsid w:val="00E11FAE"/>
    <w:rsid w:val="00E21D87"/>
    <w:rsid w:val="00E301A5"/>
    <w:rsid w:val="00E30917"/>
    <w:rsid w:val="00E40261"/>
    <w:rsid w:val="00E404C5"/>
    <w:rsid w:val="00E4685E"/>
    <w:rsid w:val="00E47746"/>
    <w:rsid w:val="00E633AB"/>
    <w:rsid w:val="00E63FA3"/>
    <w:rsid w:val="00E64183"/>
    <w:rsid w:val="00E66821"/>
    <w:rsid w:val="00E70282"/>
    <w:rsid w:val="00E71045"/>
    <w:rsid w:val="00E80210"/>
    <w:rsid w:val="00E85029"/>
    <w:rsid w:val="00E857AB"/>
    <w:rsid w:val="00EA52E4"/>
    <w:rsid w:val="00EB6597"/>
    <w:rsid w:val="00EC3856"/>
    <w:rsid w:val="00EC70F2"/>
    <w:rsid w:val="00EE1D81"/>
    <w:rsid w:val="00EE4527"/>
    <w:rsid w:val="00EF1B7E"/>
    <w:rsid w:val="00EF338C"/>
    <w:rsid w:val="00EF4C8A"/>
    <w:rsid w:val="00F03C72"/>
    <w:rsid w:val="00F11365"/>
    <w:rsid w:val="00F24D06"/>
    <w:rsid w:val="00F25CD0"/>
    <w:rsid w:val="00F362DE"/>
    <w:rsid w:val="00F431AD"/>
    <w:rsid w:val="00F45C15"/>
    <w:rsid w:val="00F51DA2"/>
    <w:rsid w:val="00F53CA5"/>
    <w:rsid w:val="00F5461B"/>
    <w:rsid w:val="00F60EA1"/>
    <w:rsid w:val="00F77CA2"/>
    <w:rsid w:val="00F84F40"/>
    <w:rsid w:val="00FA17ED"/>
    <w:rsid w:val="00FA7D31"/>
    <w:rsid w:val="00FB0E86"/>
    <w:rsid w:val="00FB5DDD"/>
    <w:rsid w:val="00FC0FDC"/>
    <w:rsid w:val="00FC7371"/>
    <w:rsid w:val="00FE48A3"/>
    <w:rsid w:val="00FE60E7"/>
    <w:rsid w:val="00FF16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C1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1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link w:val="BoxTextChar"/>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1B7232"/>
    <w:rPr>
      <w:b/>
      <w:bCs/>
      <w:color w:val="auto"/>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39"/>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11480E"/>
    <w:pPr>
      <w:keepNext w:val="0"/>
      <w:tabs>
        <w:tab w:val="right" w:leader="dot" w:pos="7700"/>
      </w:tabs>
      <w:spacing w:before="60" w:after="60"/>
    </w:pPr>
    <w:rPr>
      <w:noProof/>
      <w:sz w:val="18"/>
    </w:rPr>
  </w:style>
  <w:style w:type="paragraph" w:styleId="TOC3">
    <w:name w:val="toc 3"/>
    <w:basedOn w:val="HeadingBase"/>
    <w:next w:val="Normal"/>
    <w:uiPriority w:val="39"/>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D146F0"/>
    <w:rPr>
      <w:rFonts w:ascii="Book Antiqua" w:eastAsia="Times New Roman" w:hAnsi="Book Antiqua" w:cs="Times New Roman"/>
      <w:sz w:val="19"/>
      <w:szCs w:val="20"/>
      <w:lang w:eastAsia="en-AU"/>
    </w:rPr>
  </w:style>
  <w:style w:type="character" w:customStyle="1" w:styleId="A5">
    <w:name w:val="A5"/>
    <w:uiPriority w:val="99"/>
    <w:rsid w:val="00D51853"/>
    <w:rPr>
      <w:rFonts w:cs="Swiss 721 BT"/>
      <w:color w:val="000000"/>
      <w:sz w:val="20"/>
      <w:szCs w:val="20"/>
    </w:rPr>
  </w:style>
  <w:style w:type="character" w:customStyle="1" w:styleId="Normalitalics">
    <w:name w:val="Normal italics"/>
    <w:rsid w:val="00D51853"/>
    <w:rPr>
      <w:i/>
    </w:rPr>
  </w:style>
  <w:style w:type="paragraph" w:customStyle="1" w:styleId="CreativeCommons">
    <w:name w:val="Creative Commons"/>
    <w:basedOn w:val="Normal"/>
    <w:qFormat/>
    <w:rsid w:val="00D51853"/>
    <w:pPr>
      <w:tabs>
        <w:tab w:val="left" w:pos="1650"/>
      </w:tabs>
      <w:spacing w:before="120" w:after="120"/>
    </w:pPr>
    <w:rPr>
      <w:rFonts w:cs="Calibri"/>
      <w:color w:val="000000"/>
      <w:spacing w:val="-2"/>
    </w:rPr>
  </w:style>
  <w:style w:type="paragraph" w:customStyle="1" w:styleId="Arial10pt">
    <w:name w:val="Arial 10pt"/>
    <w:qFormat/>
    <w:rsid w:val="00D51853"/>
    <w:pPr>
      <w:keepNext/>
      <w:spacing w:before="120" w:after="120" w:line="240" w:lineRule="auto"/>
    </w:pPr>
    <w:rPr>
      <w:rFonts w:ascii="Arial" w:eastAsia="Times New Roman" w:hAnsi="Arial" w:cs="Arial"/>
      <w:sz w:val="20"/>
      <w:szCs w:val="20"/>
      <w:lang w:eastAsia="en-AU"/>
    </w:rPr>
  </w:style>
  <w:style w:type="paragraph" w:customStyle="1" w:styleId="CreativeCommonsH1">
    <w:name w:val="Creative Commons H1"/>
    <w:basedOn w:val="CreativeCommons"/>
    <w:qFormat/>
    <w:rsid w:val="00D51853"/>
    <w:pPr>
      <w:spacing w:before="180"/>
    </w:pPr>
    <w:rPr>
      <w:b/>
      <w:bCs/>
    </w:rPr>
  </w:style>
  <w:style w:type="character" w:styleId="UnresolvedMention">
    <w:name w:val="Unresolved Mention"/>
    <w:basedOn w:val="DefaultParagraphFont"/>
    <w:uiPriority w:val="99"/>
    <w:semiHidden/>
    <w:unhideWhenUsed/>
    <w:rsid w:val="006D2E87"/>
    <w:rPr>
      <w:color w:val="605E5C"/>
      <w:shd w:val="clear" w:color="auto" w:fill="E1DFDD"/>
    </w:rPr>
  </w:style>
  <w:style w:type="character" w:styleId="FollowedHyperlink">
    <w:name w:val="FollowedHyperlink"/>
    <w:basedOn w:val="DefaultParagraphFont"/>
    <w:uiPriority w:val="99"/>
    <w:semiHidden/>
    <w:unhideWhenUsed/>
    <w:rsid w:val="008131E7"/>
    <w:rPr>
      <w:color w:val="E61E26" w:themeColor="followedHyperlink"/>
      <w:u w:val="single"/>
    </w:rPr>
  </w:style>
  <w:style w:type="character" w:styleId="Emphasis">
    <w:name w:val="Emphasis"/>
    <w:basedOn w:val="DefaultParagraphFont"/>
    <w:uiPriority w:val="20"/>
    <w:rsid w:val="00441F76"/>
    <w:rPr>
      <w:i/>
      <w:iCs/>
    </w:rPr>
  </w:style>
  <w:style w:type="paragraph" w:styleId="NormalWeb">
    <w:name w:val="Normal (Web)"/>
    <w:basedOn w:val="Normal"/>
    <w:uiPriority w:val="99"/>
    <w:semiHidden/>
    <w:unhideWhenUsed/>
    <w:rsid w:val="008C31CD"/>
    <w:rPr>
      <w:rFonts w:ascii="Times New Roman" w:hAnsi="Times New Roman"/>
      <w:sz w:val="24"/>
      <w:szCs w:val="24"/>
    </w:rPr>
  </w:style>
  <w:style w:type="paragraph" w:styleId="Revision">
    <w:name w:val="Revision"/>
    <w:hidden/>
    <w:uiPriority w:val="99"/>
    <w:semiHidden/>
    <w:rsid w:val="00653808"/>
    <w:pPr>
      <w:spacing w:after="0" w:line="240" w:lineRule="auto"/>
    </w:pPr>
    <w:rPr>
      <w:rFonts w:ascii="Book Antiqua" w:eastAsia="Times New Roman" w:hAnsi="Book Antiqua" w:cs="Times New Roman"/>
      <w:sz w:val="19"/>
      <w:szCs w:val="20"/>
      <w:lang w:eastAsia="en-AU"/>
    </w:rPr>
  </w:style>
  <w:style w:type="paragraph" w:styleId="TOCHeading">
    <w:name w:val="TOC Heading"/>
    <w:basedOn w:val="Heading1"/>
    <w:next w:val="Normal"/>
    <w:uiPriority w:val="39"/>
    <w:unhideWhenUsed/>
    <w:qFormat/>
    <w:rsid w:val="00B5448F"/>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udget.gov.au"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legalcode"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edia@treasury.gov.au"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yperlink" Target="http://creativecommons.org/licenses/by/4.0/" TargetMode="Externa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mc.gov.au/honours-and-symbols/commonwealth-coat-arms"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8" Type="http://schemas.openxmlformats.org/officeDocument/2006/relationships/footer" Target="footer1.xml"/></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1020</Words>
  <Characters>6040</Characters>
  <Application>Microsoft Office Word</Application>
  <DocSecurity>0</DocSecurity>
  <Lines>165</Lines>
  <Paragraphs>111</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Manager/>
  <Company/>
  <LinksUpToDate>false</LinksUpToDate>
  <CharactersWithSpaces>6970</CharactersWithSpaces>
  <SharedDoc>false</SharedDoc>
  <HLinks>
    <vt:vector size="42" baseType="variant">
      <vt:variant>
        <vt:i4>1507382</vt:i4>
      </vt:variant>
      <vt:variant>
        <vt:i4>20</vt:i4>
      </vt:variant>
      <vt:variant>
        <vt:i4>0</vt:i4>
      </vt:variant>
      <vt:variant>
        <vt:i4>5</vt:i4>
      </vt:variant>
      <vt:variant>
        <vt:lpwstr/>
      </vt:variant>
      <vt:variant>
        <vt:lpwstr>_Toc153124604</vt:lpwstr>
      </vt:variant>
      <vt:variant>
        <vt:i4>5374022</vt:i4>
      </vt:variant>
      <vt:variant>
        <vt:i4>15</vt:i4>
      </vt:variant>
      <vt:variant>
        <vt:i4>0</vt:i4>
      </vt:variant>
      <vt:variant>
        <vt:i4>5</vt:i4>
      </vt:variant>
      <vt:variant>
        <vt:lpwstr>http://www.budget.gov.au/</vt:lpwstr>
      </vt:variant>
      <vt:variant>
        <vt:lpwstr/>
      </vt:variant>
      <vt:variant>
        <vt:i4>105</vt:i4>
      </vt:variant>
      <vt:variant>
        <vt:i4>12</vt:i4>
      </vt:variant>
      <vt:variant>
        <vt:i4>0</vt:i4>
      </vt:variant>
      <vt:variant>
        <vt:i4>5</vt:i4>
      </vt:variant>
      <vt:variant>
        <vt:lpwstr>mailto:media@treasury.gov.au</vt:lpwstr>
      </vt:variant>
      <vt:variant>
        <vt:lpwstr/>
      </vt:variant>
      <vt:variant>
        <vt:i4>3407917</vt:i4>
      </vt:variant>
      <vt:variant>
        <vt:i4>9</vt:i4>
      </vt:variant>
      <vt:variant>
        <vt:i4>0</vt:i4>
      </vt:variant>
      <vt:variant>
        <vt:i4>5</vt:i4>
      </vt:variant>
      <vt:variant>
        <vt:lpwstr>http://www.pmc.gov.au/honours-and-symbols/commonwealthcoatarms</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Preliminaries</dc:subject>
  <dc:creator>Australian Government</dc:creator>
  <cp:keywords/>
  <dc:description/>
  <cp:lastModifiedBy/>
  <cp:revision>1</cp:revision>
  <dcterms:created xsi:type="dcterms:W3CDTF">2024-12-16T23:26:00Z</dcterms:created>
  <dcterms:modified xsi:type="dcterms:W3CDTF">2024-12-16T23:28:00Z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2024-12-16T23:27:18Z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67f0fa37-ea88-4d89-8181-49fdc64c8dab</vt:lpwstr>
  </property>
  <property fmtid="{D5CDD505-2E9C-101B-9397-08002B2CF9AE}" pid="8" name="MSIP_Label_4f932d64-9ab1-4d9b-81d2-a3a8b82dd47d_ContentBits">
    <vt:lpwstr>0</vt:lpwstr>
  </property>
</Properties>
</file>