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C7EF2" w14:textId="77777777" w:rsidR="006F77D4" w:rsidRPr="00493B61" w:rsidRDefault="006F77D4" w:rsidP="006F77D4">
      <w:pPr>
        <w:pStyle w:val="Heading1"/>
        <w:ind w:right="0"/>
      </w:pPr>
      <w:r>
        <w:t>New tax cuts for Australian workers</w:t>
      </w:r>
    </w:p>
    <w:p w14:paraId="3EFF2F2D" w14:textId="77777777" w:rsidR="00C7280D" w:rsidRDefault="006F77D4" w:rsidP="00057E79">
      <w:pPr>
        <w:pStyle w:val="Heading2"/>
      </w:pPr>
      <w:r>
        <w:t>The Government is delivering new tax cuts for every working Australian taxpayer from the 2027–28 income year.</w:t>
      </w:r>
    </w:p>
    <w:p w14:paraId="28106B0B" w14:textId="77777777" w:rsidR="00057E79" w:rsidRDefault="00057E79" w:rsidP="00057E79"/>
    <w:p w14:paraId="78C73BEF" w14:textId="418AF169" w:rsidR="00057E79" w:rsidRPr="00057E79" w:rsidRDefault="00057E79" w:rsidP="00057E79">
      <w:pPr>
        <w:sectPr w:rsidR="00057E79" w:rsidRPr="00057E79" w:rsidSect="00746398">
          <w:footerReference w:type="default" r:id="rId7"/>
          <w:headerReference w:type="first" r:id="rId8"/>
          <w:footerReference w:type="first" r:id="rId9"/>
          <w:type w:val="continuous"/>
          <w:pgSz w:w="11907" w:h="16840" w:code="9"/>
          <w:pgMar w:top="3175" w:right="1134" w:bottom="1418" w:left="1134" w:header="850" w:footer="397" w:gutter="0"/>
          <w:cols w:space="340"/>
          <w:titlePg/>
          <w:docGrid w:linePitch="360"/>
        </w:sectPr>
      </w:pPr>
    </w:p>
    <w:p w14:paraId="0E5328F4" w14:textId="447009FD" w:rsidR="002F4C2D" w:rsidRPr="008F5699" w:rsidRDefault="00D32A54" w:rsidP="008F5699">
      <w:pPr>
        <w:pStyle w:val="Heading3"/>
      </w:pPr>
      <w:r>
        <w:t>Working Australians Tax Offset</w:t>
      </w:r>
    </w:p>
    <w:p w14:paraId="299899E4" w14:textId="77777777" w:rsidR="00EE553F" w:rsidRDefault="00EE553F">
      <w:r>
        <w:t xml:space="preserve">The Government will deliver new tax cuts for every working Australian taxpayer by introducing a $250 Working Australians Tax Offset (WATO). </w:t>
      </w:r>
    </w:p>
    <w:p w14:paraId="5E549ADD" w14:textId="69A570A0" w:rsidR="00EE553F" w:rsidRDefault="00EE553F" w:rsidP="00587E8E">
      <w:r>
        <w:t>Over 13 million Australian workers will benefit from the WATO for income earned from 1</w:t>
      </w:r>
      <w:r w:rsidR="00D32A72">
        <w:t> </w:t>
      </w:r>
      <w:r>
        <w:t>July</w:t>
      </w:r>
      <w:r w:rsidR="00D32A72">
        <w:t> </w:t>
      </w:r>
      <w:r>
        <w:t>2027. This is on top of the first round of tax cuts that were rolled out in 2024 and two</w:t>
      </w:r>
      <w:r w:rsidDel="00BF33EA">
        <w:t xml:space="preserve"> </w:t>
      </w:r>
      <w:r>
        <w:t>further tax cuts already coming into effect over the next two years.</w:t>
      </w:r>
    </w:p>
    <w:p w14:paraId="6EC604B9" w14:textId="22A5F5EE" w:rsidR="00EE553F" w:rsidRPr="00587E8E" w:rsidRDefault="00EE553F" w:rsidP="297101B9">
      <w:r>
        <w:t xml:space="preserve">The WATO will provide a permanent annual tax offset of up to $250 </w:t>
      </w:r>
      <w:r w:rsidR="46F1E6DF">
        <w:t xml:space="preserve">for income earned </w:t>
      </w:r>
      <w:r w:rsidR="3C30F702">
        <w:t xml:space="preserve">by Australian workers </w:t>
      </w:r>
      <w:r>
        <w:t>from 1 July 2027, increasing the effective tax-free threshold for workers by nearly $1,800 to $19,985 (or up to $24,985 for workers eligible for the Low Income Tax Offset). This is the largest permanent increase in the effective tax-free threshold since 2012</w:t>
      </w:r>
      <w:r w:rsidR="001B292D">
        <w:t>–</w:t>
      </w:r>
      <w:r>
        <w:t>13.</w:t>
      </w:r>
    </w:p>
    <w:p w14:paraId="3DB01163" w14:textId="0ADA38E9" w:rsidR="00EE553F" w:rsidRDefault="00EE553F" w:rsidP="00EE553F">
      <w:r>
        <w:t xml:space="preserve">The WATO will reduce tax on income from work – </w:t>
      </w:r>
      <w:r w:rsidR="007D05F0">
        <w:t xml:space="preserve">helping </w:t>
      </w:r>
      <w:r>
        <w:t>workers keep more of what they earn. The WATO will be available automatically after workers lodge their tax return. The WATO will also be available to sole traders running their own</w:t>
      </w:r>
      <w:r w:rsidR="00991321">
        <w:t> </w:t>
      </w:r>
      <w:r>
        <w:t xml:space="preserve">business. </w:t>
      </w:r>
    </w:p>
    <w:p w14:paraId="31DAFA2B" w14:textId="1474F6CB" w:rsidR="00F30F1E" w:rsidRPr="008F5699" w:rsidRDefault="00F30F1E" w:rsidP="00F30F1E">
      <w:pPr>
        <w:pStyle w:val="Heading3"/>
      </w:pPr>
      <w:r>
        <w:t>$1,000 Instant Tax Deduction</w:t>
      </w:r>
    </w:p>
    <w:p w14:paraId="67E5C2FC" w14:textId="5CC190CC" w:rsidR="00587E8E" w:rsidRDefault="009279F0" w:rsidP="00EE553F">
      <w:r>
        <w:t>The Government is also introducing a</w:t>
      </w:r>
      <w:r w:rsidR="00F6507E">
        <w:t xml:space="preserve"> $1,000</w:t>
      </w:r>
      <w:r>
        <w:t xml:space="preserve"> instant tax deduction for work-related expenses</w:t>
      </w:r>
      <w:r w:rsidR="00CF5D83">
        <w:t xml:space="preserve"> to </w:t>
      </w:r>
      <w:r w:rsidR="00CF5D83" w:rsidRPr="00F33749">
        <w:t xml:space="preserve">offset </w:t>
      </w:r>
      <w:r w:rsidR="00A21F41" w:rsidRPr="00F33749">
        <w:t>employment</w:t>
      </w:r>
      <w:r w:rsidR="00CF5D83" w:rsidRPr="00F33749">
        <w:t xml:space="preserve"> income</w:t>
      </w:r>
      <w:r w:rsidRPr="00F33749">
        <w:t>.</w:t>
      </w:r>
      <w:r>
        <w:t xml:space="preserve"> The instant tax deduction will make tax time simpler and deliver more cost</w:t>
      </w:r>
      <w:r w:rsidR="00C71120">
        <w:noBreakHyphen/>
      </w:r>
      <w:r>
        <w:t>of-living relief for workers</w:t>
      </w:r>
      <w:r w:rsidRPr="0040712F">
        <w:t xml:space="preserve"> </w:t>
      </w:r>
      <w:r>
        <w:t>from the 2026</w:t>
      </w:r>
      <w:r w:rsidR="00BE7A13">
        <w:t>–</w:t>
      </w:r>
      <w:r>
        <w:t xml:space="preserve">27 income year. </w:t>
      </w:r>
      <w:r w:rsidR="00EB61DD">
        <w:t xml:space="preserve">Around </w:t>
      </w:r>
      <w:r w:rsidDel="005C3750">
        <w:t>6.2 million workers</w:t>
      </w:r>
      <w:r>
        <w:t xml:space="preserve"> (42</w:t>
      </w:r>
      <w:r w:rsidR="00BB6AA7">
        <w:t> </w:t>
      </w:r>
      <w:r>
        <w:t>per</w:t>
      </w:r>
      <w:r w:rsidR="00BB6AA7">
        <w:t> </w:t>
      </w:r>
      <w:r>
        <w:t xml:space="preserve">cent of taxpayers) will benefit </w:t>
      </w:r>
      <w:r w:rsidR="00DD771A">
        <w:t>in</w:t>
      </w:r>
      <w:r>
        <w:t xml:space="preserve"> 2026</w:t>
      </w:r>
      <w:r w:rsidR="00BE7A13">
        <w:t>–</w:t>
      </w:r>
      <w:r>
        <w:t>27, with an average tax saving of $205.</w:t>
      </w:r>
    </w:p>
    <w:p w14:paraId="6015BD5C" w14:textId="3A2E5811" w:rsidR="00840973" w:rsidRDefault="00840973" w:rsidP="00840973">
      <w:r>
        <w:t xml:space="preserve">The </w:t>
      </w:r>
      <w:r w:rsidDel="003B5464">
        <w:t xml:space="preserve">instant tax deduction </w:t>
      </w:r>
      <w:r>
        <w:t xml:space="preserve">allows </w:t>
      </w:r>
      <w:r w:rsidR="00112893">
        <w:t>employees</w:t>
      </w:r>
      <w:r>
        <w:t xml:space="preserve"> to </w:t>
      </w:r>
      <w:r w:rsidDel="00EA2DD9">
        <w:t xml:space="preserve">reduce their taxable income by </w:t>
      </w:r>
      <w:r>
        <w:t xml:space="preserve">up to $1,000 without </w:t>
      </w:r>
      <w:r w:rsidR="0025687C">
        <w:t xml:space="preserve">keeping </w:t>
      </w:r>
      <w:r>
        <w:t>receipts when they lodge their tax</w:t>
      </w:r>
      <w:r w:rsidR="005C0252">
        <w:t> </w:t>
      </w:r>
      <w:r>
        <w:t xml:space="preserve">return. </w:t>
      </w:r>
    </w:p>
    <w:p w14:paraId="3D0E61EB" w14:textId="4689E6BB" w:rsidR="00840973" w:rsidRDefault="00840973" w:rsidP="00840973">
      <w:r>
        <w:t>Taxpayers claiming more than $1,000 in work</w:t>
      </w:r>
      <w:r>
        <w:noBreakHyphen/>
        <w:t xml:space="preserve">related deductions will still be able to do so in the usual way. </w:t>
      </w:r>
      <w:r w:rsidRPr="00FA23EF">
        <w:t>Charitable donations</w:t>
      </w:r>
      <w:r w:rsidR="00713212">
        <w:t>,</w:t>
      </w:r>
      <w:r w:rsidRPr="00FA23EF">
        <w:t xml:space="preserve"> union </w:t>
      </w:r>
      <w:r w:rsidR="00951FF5">
        <w:t>and</w:t>
      </w:r>
      <w:r w:rsidRPr="00FA23EF">
        <w:t xml:space="preserve"> professional association membership</w:t>
      </w:r>
      <w:r w:rsidR="00B13AC0">
        <w:t xml:space="preserve"> fee</w:t>
      </w:r>
      <w:r w:rsidRPr="00FA23EF">
        <w:t>s</w:t>
      </w:r>
      <w:r w:rsidR="00811CAA">
        <w:t xml:space="preserve"> </w:t>
      </w:r>
      <w:r w:rsidR="00811CAA" w:rsidRPr="00FA23EF">
        <w:t>and other non</w:t>
      </w:r>
      <w:r w:rsidR="00811CAA" w:rsidRPr="006F7CB3">
        <w:rPr>
          <w:rFonts w:ascii="Cambria Math" w:hAnsi="Cambria Math" w:cs="Cambria Math"/>
        </w:rPr>
        <w:t>‑</w:t>
      </w:r>
      <w:r w:rsidR="00811CAA" w:rsidRPr="00FA23EF">
        <w:t xml:space="preserve">work related deductions </w:t>
      </w:r>
      <w:r w:rsidR="001F1433">
        <w:t>can still</w:t>
      </w:r>
      <w:r w:rsidR="00811CAA" w:rsidRPr="00FA23EF">
        <w:t xml:space="preserve"> be claimed on top of the instant tax deduction</w:t>
      </w:r>
      <w:r>
        <w:t>.</w:t>
      </w:r>
    </w:p>
    <w:p w14:paraId="5E7A23AD" w14:textId="76F68B30" w:rsidR="00A33B85" w:rsidRPr="00991321" w:rsidRDefault="5DC28F3B" w:rsidP="00991321">
      <w:pPr>
        <w:pStyle w:val="Heading4"/>
      </w:pPr>
      <w:r w:rsidRPr="00991321">
        <w:t>Helping</w:t>
      </w:r>
      <w:r w:rsidR="0FCE3DC8" w:rsidRPr="00991321">
        <w:t xml:space="preserve"> Australian</w:t>
      </w:r>
      <w:r w:rsidR="52619A0C" w:rsidRPr="00991321">
        <w:t xml:space="preserve"> workers</w:t>
      </w:r>
      <w:r w:rsidR="00A33B85" w:rsidRPr="00991321">
        <w:t xml:space="preserve"> keep more of what they earn</w:t>
      </w:r>
    </w:p>
    <w:p w14:paraId="0EB77A18" w14:textId="05A329F1" w:rsidR="00A33B85" w:rsidRDefault="00A33B85" w:rsidP="00A33B85">
      <w:pPr>
        <w:keepLines/>
      </w:pPr>
      <w:r>
        <w:t>These changes provide further cost-of-living relief</w:t>
      </w:r>
      <w:r w:rsidDel="00A33B85">
        <w:t xml:space="preserve"> </w:t>
      </w:r>
      <w:r>
        <w:t>and allow Australian workers to keep more of what they earn.</w:t>
      </w:r>
    </w:p>
    <w:p w14:paraId="12E1C830" w14:textId="55FA4D8C" w:rsidR="00A33B85" w:rsidRDefault="00966811" w:rsidP="00A33B85">
      <w:pPr>
        <w:keepLines/>
      </w:pPr>
      <w:r>
        <w:t>An Australian worker</w:t>
      </w:r>
      <w:r w:rsidR="00A33B85">
        <w:t xml:space="preserve"> </w:t>
      </w:r>
      <w:r w:rsidR="00990022">
        <w:t>on</w:t>
      </w:r>
      <w:r w:rsidR="00A33B85">
        <w:t xml:space="preserve"> average </w:t>
      </w:r>
      <w:r w:rsidR="002C78C1">
        <w:t xml:space="preserve">earnings </w:t>
      </w:r>
      <w:r w:rsidR="00A33B85">
        <w:t>would receive a combined benefit of $2,496 from the 2027</w:t>
      </w:r>
      <w:r w:rsidR="006E5A84">
        <w:t>–</w:t>
      </w:r>
      <w:r w:rsidR="00A33B85">
        <w:t xml:space="preserve">28 income year from </w:t>
      </w:r>
      <w:r w:rsidR="598E4458">
        <w:t xml:space="preserve">the WATO and three </w:t>
      </w:r>
      <w:r w:rsidR="00A33B85">
        <w:t>rounds of tax cuts relative to 2023–24, as well as up to $320 from the instant tax deduction</w:t>
      </w:r>
      <w:r w:rsidR="008A6BE2">
        <w:t xml:space="preserve">, for a total benefit of </w:t>
      </w:r>
      <w:r w:rsidR="00CA4022">
        <w:t>up to</w:t>
      </w:r>
      <w:r w:rsidR="008A6BE2">
        <w:t xml:space="preserve"> $2,816</w:t>
      </w:r>
      <w:r w:rsidR="00A33B85">
        <w:t xml:space="preserve">. </w:t>
      </w:r>
    </w:p>
    <w:p w14:paraId="33D9D82E" w14:textId="31D73F62" w:rsidR="00CA7DDD" w:rsidRDefault="00CA7DDD" w:rsidP="00732DAE">
      <w:r>
        <w:t>These reforms are part of a tax package which, as a whole, is broadly revenue neutral over the forward estimates so will not add to the outlook for inflation.</w:t>
      </w:r>
    </w:p>
    <w:p w14:paraId="5DFAB514" w14:textId="77777777" w:rsidR="00A33B85" w:rsidRPr="00567811" w:rsidRDefault="00A33B85" w:rsidP="00A33B85">
      <w:pPr>
        <w:pStyle w:val="Heading4"/>
      </w:pPr>
      <w:r>
        <w:lastRenderedPageBreak/>
        <w:t>Related measures</w:t>
      </w:r>
    </w:p>
    <w:p w14:paraId="7601966E" w14:textId="77777777" w:rsidR="00A33B85" w:rsidRDefault="00A33B85" w:rsidP="00A33B85">
      <w:pPr>
        <w:pStyle w:val="Heading5"/>
      </w:pPr>
      <w:r>
        <w:t>Increasing Medicare levy low-income thresholds</w:t>
      </w:r>
    </w:p>
    <w:p w14:paraId="0FF353FE" w14:textId="355F5D0A" w:rsidR="00935246" w:rsidRDefault="00A33B85" w:rsidP="00935246">
      <w:pPr>
        <w:keepLines/>
      </w:pPr>
      <w:r>
        <w:t xml:space="preserve">The Government will also increase the Medicare levy low-income thresholds by 2.9 per cent for singles, families, and seniors and pensioners from 1 July 2025. This </w:t>
      </w:r>
      <w:r w:rsidR="0041721D">
        <w:t>increase</w:t>
      </w:r>
      <w:r>
        <w:t xml:space="preserve"> means over 1 million Australians on lower incomes will continue to be exempt from paying the Medicare levy or pay a reduced levy rate.</w:t>
      </w:r>
    </w:p>
    <w:p w14:paraId="4EF1CE3D" w14:textId="77777777" w:rsidR="00935246" w:rsidRPr="00935246" w:rsidRDefault="00935246" w:rsidP="00935246">
      <w:pPr>
        <w:pStyle w:val="Heading4"/>
      </w:pPr>
      <w:r w:rsidRPr="00935246">
        <w:t>Participation impacts</w:t>
      </w:r>
    </w:p>
    <w:p w14:paraId="69CF6EBC" w14:textId="07E0DEB1" w:rsidR="00B84108" w:rsidRDefault="00935246" w:rsidP="00542BFA">
      <w:r w:rsidRPr="00F5351D">
        <w:t>The Government</w:t>
      </w:r>
      <w:r w:rsidR="00623CD4">
        <w:t>’</w:t>
      </w:r>
      <w:r w:rsidRPr="00F5351D">
        <w:t>s already legislated tax cuts are estimated to increase labour supply by 1.3 million hours a week, compared to 2023</w:t>
      </w:r>
      <w:r w:rsidR="00104425">
        <w:t>–</w:t>
      </w:r>
      <w:r w:rsidRPr="00F5351D">
        <w:t>24 settings. The WATO builds on these reforms, providing further modest support to labour supply from lower</w:t>
      </w:r>
      <w:r w:rsidR="00C74481">
        <w:noBreakHyphen/>
      </w:r>
      <w:r w:rsidRPr="00F5351D">
        <w:t>income taxpayers, likely part-time workers and women. By</w:t>
      </w:r>
      <w:r>
        <w:t xml:space="preserve"> </w:t>
      </w:r>
      <w:r w:rsidR="7CDC8B9C">
        <w:t>only</w:t>
      </w:r>
      <w:r w:rsidRPr="00F5351D">
        <w:t xml:space="preserve"> targeting </w:t>
      </w:r>
      <w:r w:rsidR="5DB7158B">
        <w:t>income from work,</w:t>
      </w:r>
      <w:r w:rsidDel="00C63770">
        <w:t xml:space="preserve"> </w:t>
      </w:r>
      <w:r w:rsidRPr="00F5351D">
        <w:t xml:space="preserve">the cost is lower than a comparative </w:t>
      </w:r>
      <w:r w:rsidR="00C645BF">
        <w:t xml:space="preserve">tax </w:t>
      </w:r>
      <w:r w:rsidRPr="00F5351D">
        <w:t>cut that also lowers taxes on non-labour income</w:t>
      </w:r>
      <w:r>
        <w:t>.</w:t>
      </w:r>
    </w:p>
    <w:p w14:paraId="457C52A3" w14:textId="77777777" w:rsidR="00D221BF" w:rsidRPr="00780A95" w:rsidRDefault="00D221BF" w:rsidP="00D221BF">
      <w:pPr>
        <w:pStyle w:val="Heading4"/>
      </w:pPr>
      <w:r w:rsidRPr="00780A95">
        <w:t>Average tax rates</w:t>
      </w:r>
    </w:p>
    <w:p w14:paraId="4D7B06CA" w14:textId="5F2E7770" w:rsidR="00D221BF" w:rsidRDefault="00D221BF" w:rsidP="00D221BF">
      <w:r>
        <w:t xml:space="preserve">The Government’s tax cuts return bracket creep by lowering average tax rates for working Australian </w:t>
      </w:r>
      <w:r w:rsidDel="00A631A0">
        <w:t>taxpayers</w:t>
      </w:r>
      <w:r>
        <w:t>, especially for low- and middle-income workers. A</w:t>
      </w:r>
      <w:r w:rsidR="00562758">
        <w:t>n Australian</w:t>
      </w:r>
      <w:r>
        <w:t xml:space="preserve"> worker on average earnings is expected to pay </w:t>
      </w:r>
      <w:r w:rsidR="00EF41C7">
        <w:t>up to</w:t>
      </w:r>
      <w:r>
        <w:t xml:space="preserve"> </w:t>
      </w:r>
      <w:r w:rsidR="00D12FB3">
        <w:t>$38,977</w:t>
      </w:r>
      <w:r>
        <w:t xml:space="preserve"> less tax from 2024</w:t>
      </w:r>
      <w:r w:rsidR="0056192B">
        <w:t>–</w:t>
      </w:r>
      <w:r>
        <w:t>25 to 203</w:t>
      </w:r>
      <w:r w:rsidR="002A2FDA">
        <w:t>6</w:t>
      </w:r>
      <w:r w:rsidR="0056192B">
        <w:t>–</w:t>
      </w:r>
      <w:r>
        <w:t>3</w:t>
      </w:r>
      <w:r w:rsidR="002A2FDA">
        <w:t>7</w:t>
      </w:r>
      <w:r>
        <w:t>, relative to 2023</w:t>
      </w:r>
      <w:r w:rsidR="0056192B">
        <w:t>–</w:t>
      </w:r>
      <w:r>
        <w:t>24 settings.</w:t>
      </w:r>
    </w:p>
    <w:p w14:paraId="4244CBDA" w14:textId="02422B79" w:rsidR="00D221BF" w:rsidRDefault="00D221BF" w:rsidP="00746398">
      <w:pPr>
        <w:pStyle w:val="NoSpacing"/>
      </w:pPr>
      <w:r>
        <w:t xml:space="preserve">The new tax cuts provide further protection against bracket creep and lower average tax rates for working Australian taxpayers, with </w:t>
      </w:r>
      <w:r w:rsidR="003715A8">
        <w:t xml:space="preserve">the </w:t>
      </w:r>
      <w:r>
        <w:t>average tax rate</w:t>
      </w:r>
      <w:r w:rsidR="0099688C">
        <w:t xml:space="preserve"> across</w:t>
      </w:r>
      <w:r w:rsidR="001F6E41">
        <w:t xml:space="preserve"> all taxpayers </w:t>
      </w:r>
      <w:r>
        <w:t xml:space="preserve">falling from </w:t>
      </w:r>
      <w:r w:rsidRPr="001F6E41">
        <w:t>25.</w:t>
      </w:r>
      <w:r w:rsidR="00EC347E" w:rsidRPr="001F6E41">
        <w:t>5</w:t>
      </w:r>
      <w:r w:rsidR="006C6F82">
        <w:t> </w:t>
      </w:r>
      <w:r w:rsidRPr="001F6E41">
        <w:t>per</w:t>
      </w:r>
      <w:r w:rsidR="006C6F82">
        <w:t> </w:t>
      </w:r>
      <w:r w:rsidRPr="001F6E41">
        <w:t>cent</w:t>
      </w:r>
      <w:r>
        <w:t xml:space="preserve"> in 2023</w:t>
      </w:r>
      <w:r w:rsidR="005002FB">
        <w:t>–</w:t>
      </w:r>
      <w:r>
        <w:t xml:space="preserve">24 to </w:t>
      </w:r>
      <w:r w:rsidR="00622BC7" w:rsidRPr="00C067B5">
        <w:t>24</w:t>
      </w:r>
      <w:r w:rsidRPr="00C067B5">
        <w:t>.</w:t>
      </w:r>
      <w:r w:rsidR="00622BC7" w:rsidRPr="00C067B5">
        <w:t>7</w:t>
      </w:r>
      <w:r w:rsidRPr="00C067B5">
        <w:t xml:space="preserve"> per cent</w:t>
      </w:r>
      <w:r>
        <w:t xml:space="preserve"> in 2027</w:t>
      </w:r>
      <w:r w:rsidR="008B12C1">
        <w:t>–</w:t>
      </w:r>
      <w:r w:rsidR="005B0B6C" w:rsidRPr="00821C9B">
        <w:rPr>
          <w:w w:val="1"/>
        </w:rPr>
        <w:t> </w:t>
      </w:r>
      <w:r>
        <w:t xml:space="preserve">28. The average tax rate for a worker on average earnings </w:t>
      </w:r>
      <w:r w:rsidR="00C05935">
        <w:t>who receives</w:t>
      </w:r>
      <w:r w:rsidR="006876F9">
        <w:t xml:space="preserve"> </w:t>
      </w:r>
      <w:r w:rsidR="00C05935">
        <w:t>the average benefit from the instant tax deduction</w:t>
      </w:r>
      <w:r>
        <w:t xml:space="preserve"> will fall from 21.9</w:t>
      </w:r>
      <w:r w:rsidR="00C05935">
        <w:t> </w:t>
      </w:r>
      <w:r>
        <w:t>per cent in 2023</w:t>
      </w:r>
      <w:r w:rsidR="005903FC">
        <w:t>–</w:t>
      </w:r>
      <w:r>
        <w:t xml:space="preserve">24 to </w:t>
      </w:r>
      <w:r w:rsidR="005100EF" w:rsidRPr="009F1B8A">
        <w:t>20</w:t>
      </w:r>
      <w:r w:rsidRPr="009F1B8A">
        <w:t>.</w:t>
      </w:r>
      <w:r w:rsidR="005448CB" w:rsidRPr="009F1B8A">
        <w:t>2</w:t>
      </w:r>
      <w:r w:rsidRPr="009F1B8A">
        <w:t xml:space="preserve"> per cent</w:t>
      </w:r>
      <w:r>
        <w:t xml:space="preserve"> in </w:t>
      </w:r>
      <w:r w:rsidR="00C319F0">
        <w:br/>
      </w:r>
      <w:r>
        <w:t>2027</w:t>
      </w:r>
      <w:r w:rsidR="005903FC">
        <w:t>–</w:t>
      </w:r>
      <w:r>
        <w:t>28, and is not expected to exceed 2023</w:t>
      </w:r>
      <w:r w:rsidR="00212235">
        <w:t>–</w:t>
      </w:r>
      <w:r>
        <w:t xml:space="preserve">24 levels until </w:t>
      </w:r>
      <w:r w:rsidRPr="009F1B8A">
        <w:t>20</w:t>
      </w:r>
      <w:r w:rsidR="00166F1D" w:rsidRPr="009F1B8A">
        <w:t>32</w:t>
      </w:r>
      <w:r w:rsidR="005903FC">
        <w:t>–</w:t>
      </w:r>
      <w:r w:rsidR="00166F1D" w:rsidRPr="009F1B8A">
        <w:t>33</w:t>
      </w:r>
      <w:r w:rsidRPr="009F1B8A">
        <w:t xml:space="preserve"> – </w:t>
      </w:r>
      <w:r w:rsidR="00A32C42">
        <w:t>three</w:t>
      </w:r>
      <w:r w:rsidRPr="009F1B8A">
        <w:t xml:space="preserve"> years later than under </w:t>
      </w:r>
      <w:r w:rsidR="00F54847" w:rsidRPr="009F1B8A">
        <w:t>2024</w:t>
      </w:r>
      <w:r w:rsidR="00710EB4" w:rsidRPr="009F1B8A">
        <w:t>–</w:t>
      </w:r>
      <w:r w:rsidR="00F54847" w:rsidRPr="009F1B8A">
        <w:t xml:space="preserve">25 </w:t>
      </w:r>
      <w:r w:rsidRPr="009F1B8A">
        <w:t>settings.</w:t>
      </w:r>
    </w:p>
    <w:p w14:paraId="14621D38" w14:textId="77777777" w:rsidR="00325F3D" w:rsidRDefault="00325F3D" w:rsidP="00746398">
      <w:pPr>
        <w:pStyle w:val="NoSpacing"/>
      </w:pPr>
    </w:p>
    <w:p w14:paraId="3AE85013" w14:textId="39CB1AE0" w:rsidR="00F743DC" w:rsidRPr="00E76176" w:rsidRDefault="00F743DC" w:rsidP="00746398">
      <w:pPr>
        <w:pStyle w:val="NoSpacing"/>
        <w:rPr>
          <w:sz w:val="4"/>
          <w:szCs w:val="2"/>
        </w:rPr>
      </w:pPr>
      <w:r>
        <w:br w:type="column"/>
      </w:r>
    </w:p>
    <w:tbl>
      <w:tblPr>
        <w:tblStyle w:val="TableGridLight"/>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F2FF"/>
        <w:tblLook w:val="04A0" w:firstRow="1" w:lastRow="0" w:firstColumn="1" w:lastColumn="0" w:noHBand="0" w:noVBand="1"/>
      </w:tblPr>
      <w:tblGrid>
        <w:gridCol w:w="4558"/>
      </w:tblGrid>
      <w:tr w:rsidR="00B63747" w14:paraId="4648CFC5" w14:textId="77777777" w:rsidTr="00325F3D">
        <w:tc>
          <w:tcPr>
            <w:tcW w:w="5000" w:type="pct"/>
            <w:shd w:val="clear" w:color="auto" w:fill="E6F2FF"/>
            <w:tcMar>
              <w:top w:w="170" w:type="dxa"/>
              <w:left w:w="227" w:type="dxa"/>
              <w:bottom w:w="227" w:type="dxa"/>
              <w:right w:w="227" w:type="dxa"/>
            </w:tcMar>
          </w:tcPr>
          <w:p w14:paraId="2B6B8721" w14:textId="01F22721" w:rsidR="00A969C4" w:rsidRDefault="00A969C4" w:rsidP="00325F3D">
            <w:bookmarkStart w:id="0" w:name="_Hlk228961143"/>
            <w:r>
              <w:t xml:space="preserve">Claire is </w:t>
            </w:r>
            <w:r w:rsidR="00D51A72">
              <w:t xml:space="preserve">employed as </w:t>
            </w:r>
            <w:r>
              <w:t xml:space="preserve">an occupational therapist and Hugh is </w:t>
            </w:r>
            <w:r w:rsidR="00D51A72">
              <w:t xml:space="preserve">employed as </w:t>
            </w:r>
            <w:r>
              <w:t>a high</w:t>
            </w:r>
            <w:r w:rsidR="00760948">
              <w:t> </w:t>
            </w:r>
            <w:r>
              <w:t xml:space="preserve">school teacher. They both </w:t>
            </w:r>
            <w:r w:rsidR="00447A3C">
              <w:t xml:space="preserve">have taxable income of </w:t>
            </w:r>
            <w:r>
              <w:t>$90,000 per year</w:t>
            </w:r>
            <w:r w:rsidR="00447A3C">
              <w:t xml:space="preserve">, after </w:t>
            </w:r>
            <w:r w:rsidR="00CD3972">
              <w:t>claiming work-related expense deductions (</w:t>
            </w:r>
            <w:r w:rsidR="005233FB">
              <w:t>Claire claims $400 and Hugh claims $600)</w:t>
            </w:r>
            <w:r>
              <w:t>. As a result of new decisions announced in this Budget, they will collectively pay $</w:t>
            </w:r>
            <w:r w:rsidR="00525A83">
              <w:t>32</w:t>
            </w:r>
            <w:r>
              <w:t>0 less in tax for the 2026</w:t>
            </w:r>
            <w:r w:rsidR="00CF2258">
              <w:t>–</w:t>
            </w:r>
            <w:r>
              <w:t>27 income year and $</w:t>
            </w:r>
            <w:r w:rsidR="00525A83">
              <w:t>8</w:t>
            </w:r>
            <w:r w:rsidR="00B409EF">
              <w:t>2</w:t>
            </w:r>
            <w:r w:rsidR="00525A83">
              <w:t>0</w:t>
            </w:r>
            <w:r>
              <w:t xml:space="preserve"> from 2027</w:t>
            </w:r>
            <w:r w:rsidR="00CF2258">
              <w:t>–</w:t>
            </w:r>
            <w:r>
              <w:t xml:space="preserve">28. </w:t>
            </w:r>
          </w:p>
          <w:p w14:paraId="0A1AEED3" w14:textId="0F00CF02" w:rsidR="00B63747" w:rsidRPr="00A309FD" w:rsidRDefault="00A969C4" w:rsidP="00325F3D">
            <w:r>
              <w:t>Combined with the Government’s previously announced tax cuts, Claire and Hugh will collectively pay $</w:t>
            </w:r>
            <w:r w:rsidR="00525A83">
              <w:t>5</w:t>
            </w:r>
            <w:r>
              <w:t>,7</w:t>
            </w:r>
            <w:r w:rsidR="00104C76">
              <w:t>5</w:t>
            </w:r>
            <w:r>
              <w:t>0 less tax from the 2027</w:t>
            </w:r>
            <w:r w:rsidR="00CF2258">
              <w:t>–</w:t>
            </w:r>
            <w:r>
              <w:t>28 income year, compared to 2023</w:t>
            </w:r>
            <w:r w:rsidR="00CF2258">
              <w:t>–</w:t>
            </w:r>
            <w:r>
              <w:t>24 tax settings.</w:t>
            </w:r>
          </w:p>
        </w:tc>
      </w:tr>
      <w:bookmarkEnd w:id="0"/>
    </w:tbl>
    <w:p w14:paraId="247DDFB2" w14:textId="77777777" w:rsidR="002855C5" w:rsidRPr="00746398" w:rsidRDefault="002855C5" w:rsidP="00746398">
      <w:pPr>
        <w:pStyle w:val="NoSpacing"/>
      </w:pPr>
    </w:p>
    <w:tbl>
      <w:tblPr>
        <w:tblStyle w:val="TableGridLight"/>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F2FF"/>
        <w:tblLook w:val="04A0" w:firstRow="1" w:lastRow="0" w:firstColumn="1" w:lastColumn="0" w:noHBand="0" w:noVBand="1"/>
      </w:tblPr>
      <w:tblGrid>
        <w:gridCol w:w="4558"/>
      </w:tblGrid>
      <w:tr w:rsidR="002855C5" w14:paraId="7A300916" w14:textId="77777777" w:rsidTr="00325F3D">
        <w:tc>
          <w:tcPr>
            <w:tcW w:w="5000" w:type="pct"/>
            <w:shd w:val="clear" w:color="auto" w:fill="E6F2FF"/>
            <w:tcMar>
              <w:top w:w="170" w:type="dxa"/>
              <w:left w:w="227" w:type="dxa"/>
              <w:bottom w:w="227" w:type="dxa"/>
              <w:right w:w="227" w:type="dxa"/>
            </w:tcMar>
          </w:tcPr>
          <w:p w14:paraId="5492EDC9" w14:textId="77777777" w:rsidR="002855C5" w:rsidRDefault="002855C5" w:rsidP="00325F3D">
            <w:r w:rsidRPr="00C64016">
              <w:t xml:space="preserve">Mark is a chef who earns $75,000 per year. Under the first round of tax cuts, Mark paid $1,554 less tax in 2024–25 and 2025–26, compared to 2023–24 tax settings. </w:t>
            </w:r>
          </w:p>
          <w:p w14:paraId="23B90ECA" w14:textId="12F8E9A2" w:rsidR="002855C5" w:rsidRDefault="002855C5" w:rsidP="00325F3D">
            <w:r w:rsidRPr="00C64016">
              <w:t xml:space="preserve">When combined with the new tax cuts, the WATO and the instant tax deduction, this tax saving will grow </w:t>
            </w:r>
            <w:r>
              <w:t>to</w:t>
            </w:r>
            <w:r w:rsidRPr="00C64016">
              <w:t xml:space="preserve"> $2,</w:t>
            </w:r>
            <w:r>
              <w:t>142</w:t>
            </w:r>
            <w:r w:rsidRPr="00C64016">
              <w:t xml:space="preserve"> </w:t>
            </w:r>
            <w:r>
              <w:t>for the</w:t>
            </w:r>
            <w:r w:rsidRPr="00C64016">
              <w:t xml:space="preserve"> 2026–27 </w:t>
            </w:r>
            <w:r>
              <w:t xml:space="preserve">income year </w:t>
            </w:r>
            <w:r w:rsidRPr="00C64016">
              <w:t>and $2,</w:t>
            </w:r>
            <w:r>
              <w:t>660</w:t>
            </w:r>
            <w:r w:rsidRPr="00C64016">
              <w:t xml:space="preserve"> </w:t>
            </w:r>
            <w:r>
              <w:t>from</w:t>
            </w:r>
            <w:r w:rsidRPr="00C64016">
              <w:t xml:space="preserve"> 2027</w:t>
            </w:r>
            <w:r>
              <w:t>–</w:t>
            </w:r>
            <w:r w:rsidRPr="00C64016">
              <w:t>28</w:t>
            </w:r>
            <w:r>
              <w:t>, assuming he has no work-related expenses</w:t>
            </w:r>
            <w:r w:rsidRPr="00C64016">
              <w:t xml:space="preserve">. </w:t>
            </w:r>
          </w:p>
          <w:p w14:paraId="0D791BE6" w14:textId="77777777" w:rsidR="002855C5" w:rsidRPr="00A309FD" w:rsidRDefault="002855C5" w:rsidP="00325F3D">
            <w:r>
              <w:t>The d</w:t>
            </w:r>
            <w:r w:rsidRPr="00C64016">
              <w:t xml:space="preserve">ecisions </w:t>
            </w:r>
            <w:r>
              <w:t xml:space="preserve">announced </w:t>
            </w:r>
            <w:r w:rsidRPr="00C64016">
              <w:t xml:space="preserve">in this Budget mean that Mark will receive an additional tax </w:t>
            </w:r>
            <w:r>
              <w:t xml:space="preserve">benefit of </w:t>
            </w:r>
            <w:r w:rsidRPr="00C64016">
              <w:t>$</w:t>
            </w:r>
            <w:r>
              <w:t xml:space="preserve">570 per year from </w:t>
            </w:r>
            <w:r w:rsidRPr="00C64016">
              <w:t>2027</w:t>
            </w:r>
            <w:r>
              <w:t>–</w:t>
            </w:r>
            <w:r w:rsidRPr="00C64016">
              <w:t>28</w:t>
            </w:r>
            <w:r>
              <w:t>.</w:t>
            </w:r>
          </w:p>
        </w:tc>
      </w:tr>
    </w:tbl>
    <w:p w14:paraId="3B7DC5FB" w14:textId="77777777" w:rsidR="008E69A2" w:rsidRDefault="008E69A2"/>
    <w:p w14:paraId="3BD47CF9" w14:textId="6A8210DA" w:rsidR="00D221BF" w:rsidRPr="004E1B08" w:rsidRDefault="00D221BF" w:rsidP="00BA4F54">
      <w:pPr>
        <w:sectPr w:rsidR="00D221BF" w:rsidRPr="004E1B08" w:rsidSect="00A4485C">
          <w:headerReference w:type="first" r:id="rId10"/>
          <w:type w:val="continuous"/>
          <w:pgSz w:w="11907" w:h="16840" w:code="9"/>
          <w:pgMar w:top="1985" w:right="1134" w:bottom="1418" w:left="1134" w:header="851" w:footer="397" w:gutter="0"/>
          <w:cols w:num="2" w:space="510"/>
          <w:titlePg/>
          <w:docGrid w:linePitch="360"/>
        </w:sectPr>
      </w:pPr>
    </w:p>
    <w:p w14:paraId="4EB35CE0" w14:textId="5F2CD2BC" w:rsidR="003C4D9B" w:rsidRDefault="00D221BF" w:rsidP="007B1B7C">
      <w:pPr>
        <w:pStyle w:val="TableMainHeading"/>
      </w:pPr>
      <w:r>
        <w:lastRenderedPageBreak/>
        <w:t xml:space="preserve">Average tax rates for </w:t>
      </w:r>
      <w:r w:rsidR="005E5451">
        <w:t>a</w:t>
      </w:r>
      <w:r>
        <w:t xml:space="preserve"> worker</w:t>
      </w:r>
      <w:r w:rsidR="005E5451">
        <w:t xml:space="preserve"> on</w:t>
      </w:r>
      <w:r>
        <w:t xml:space="preserve"> average </w:t>
      </w:r>
      <w:r w:rsidR="009C2FB5">
        <w:t>earnings</w:t>
      </w:r>
    </w:p>
    <w:p w14:paraId="68BBC6FD" w14:textId="77777777" w:rsidR="00B00000" w:rsidRDefault="00C067B5" w:rsidP="00760948">
      <w:pPr>
        <w:pStyle w:val="ChartandTableFootnote"/>
        <w:jc w:val="center"/>
      </w:pPr>
      <w:r>
        <w:rPr>
          <w:noProof/>
        </w:rPr>
        <w:drawing>
          <wp:inline distT="0" distB="0" distL="0" distR="0" wp14:anchorId="51651A43" wp14:editId="6B82B987">
            <wp:extent cx="5648325" cy="2876550"/>
            <wp:effectExtent l="0" t="0" r="9525" b="0"/>
            <wp:docPr id="1631708865" name="Graphic 1" descr="Line chart showing the average tax rate from 1999–00 to 2023–24 and projected average tax rates from 2023–24 to 2036-37 under the 2023–24, 2024–25 and 2027–28 tax settings. The historical average tax rate fluctuates between 17.9 and 23.3 per cent, before rising to 21.9 per cent in 2023–24. From 2023–24, the 2023–24 tax settings increase steadily to 26.5 per cent by 2036-37. The 2024–25 tax settings reduce to 20.4 in 2024-25 due to the cost of living tax cuts before rising steadly to 24.2 in 2036-37. The 2027–28 tax settings reduce the rate to 20.2 per cent in 2027-28 due to the combined tax cuts, WATO and ITD before rising steadily to about 23.4 per cent by 203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708865" name="Graphic 1" descr="Line chart showing the average tax rate from 1999–00 to 2023–24 and projected average tax rates from 2023–24 to 2036-37 under the 2023–24, 2024–25 and 2027–28 tax settings. The historical average tax rate fluctuates between 17.9 and 23.3 per cent, before rising to 21.9 per cent in 2023–24. From 2023–24, the 2023–24 tax settings increase steadily to 26.5 per cent by 2036-37. The 2024–25 tax settings reduce to 20.4 in 2024-25 due to the cost of living tax cuts before rising steadly to 24.2 in 2036-37. The 2027–28 tax settings reduce the rate to 20.2 per cent in 2027-28 due to the combined tax cuts, WATO and ITD before rising steadily to about 23.4 per cent by 2036-37."/>
                    <pic:cNvPicPr/>
                  </pic:nvPicPr>
                  <pic:blipFill>
                    <a:blip r:embed="rId11">
                      <a:extLst>
                        <a:ext uri="{96DAC541-7B7A-43D3-8B79-37D633B846F1}">
                          <asvg:svgBlip xmlns:asvg="http://schemas.microsoft.com/office/drawing/2016/SVG/main" r:embed="rId12"/>
                        </a:ext>
                      </a:extLst>
                    </a:blip>
                    <a:stretch>
                      <a:fillRect/>
                    </a:stretch>
                  </pic:blipFill>
                  <pic:spPr>
                    <a:xfrm>
                      <a:off x="0" y="0"/>
                      <a:ext cx="5648325" cy="2876550"/>
                    </a:xfrm>
                    <a:prstGeom prst="rect">
                      <a:avLst/>
                    </a:prstGeom>
                  </pic:spPr>
                </pic:pic>
              </a:graphicData>
            </a:graphic>
          </wp:inline>
        </w:drawing>
      </w:r>
    </w:p>
    <w:p w14:paraId="49A6371C" w14:textId="77777777" w:rsidR="00B00000" w:rsidRDefault="00B00000" w:rsidP="00760948">
      <w:pPr>
        <w:pStyle w:val="ChartandTableFootnote"/>
      </w:pPr>
    </w:p>
    <w:p w14:paraId="446DC21F" w14:textId="2AF74330" w:rsidR="00F366C7" w:rsidRDefault="00595FB9" w:rsidP="0050244F">
      <w:pPr>
        <w:pStyle w:val="ChartandTableFootnote"/>
      </w:pPr>
      <w:r w:rsidRPr="0014046A">
        <w:t>Note:</w:t>
      </w:r>
      <w:r w:rsidR="00CC140B" w:rsidRPr="0014046A">
        <w:t xml:space="preserve"> </w:t>
      </w:r>
      <w:r w:rsidR="0050244F" w:rsidRPr="0050244F">
        <w:tab/>
      </w:r>
      <w:r w:rsidR="00DB2DA9" w:rsidRPr="0050244F">
        <w:t>Prior to 2026</w:t>
      </w:r>
      <w:r w:rsidR="00CF2258" w:rsidRPr="0050244F">
        <w:t>–</w:t>
      </w:r>
      <w:r w:rsidR="00DB2DA9" w:rsidRPr="0050244F">
        <w:t>27, the worker on average earnings is assumed to have taxable income equal to annualised estimates of average weekly earnings (AWE) after incorporating an annual deduction for work-related expenses of $359. From 2026</w:t>
      </w:r>
      <w:r w:rsidR="00CF2258" w:rsidRPr="0050244F">
        <w:t>–</w:t>
      </w:r>
      <w:r w:rsidR="00DB2DA9" w:rsidRPr="0050244F">
        <w:t>27 onwards, the worker’s taxable income is further reduced by the instant tax deduction (providing a tax benefit of $205). From 2027</w:t>
      </w:r>
      <w:r w:rsidR="00CF2258" w:rsidRPr="0050244F">
        <w:t>–</w:t>
      </w:r>
      <w:r w:rsidR="00DB2DA9" w:rsidRPr="0050244F">
        <w:t>28 the worker is assumed to benefit from the full Working Australians Tax Offset. Forecasts for AWE are as at the 2026</w:t>
      </w:r>
      <w:r w:rsidR="00CF2258" w:rsidRPr="0050244F">
        <w:t>–</w:t>
      </w:r>
      <w:r w:rsidR="00DB2DA9" w:rsidRPr="0050244F">
        <w:t>27 Budget. Average tax rate is defined as the ratio of tax payable to taxable income. Tax payable is calculated accounting for basic tax rates and thresholds and the Medicare levy.</w:t>
      </w:r>
      <w:r w:rsidR="00F366C7" w:rsidRPr="00F366C7">
        <w:t xml:space="preserve"> </w:t>
      </w:r>
    </w:p>
    <w:p w14:paraId="18C59589" w14:textId="70408B3D" w:rsidR="00310A61" w:rsidRDefault="00F366C7" w:rsidP="00760948">
      <w:pPr>
        <w:pStyle w:val="ChartandTableFootnote"/>
        <w:ind w:left="0" w:firstLine="0"/>
      </w:pPr>
      <w:r>
        <w:t xml:space="preserve">Source: </w:t>
      </w:r>
      <w:r w:rsidR="0050244F" w:rsidRPr="0050244F">
        <w:tab/>
      </w:r>
      <w:r>
        <w:t>Treasury</w:t>
      </w:r>
    </w:p>
    <w:p w14:paraId="574815A4" w14:textId="77777777" w:rsidR="00760948" w:rsidRPr="00760948" w:rsidRDefault="00760948" w:rsidP="0050244F">
      <w:pPr>
        <w:pStyle w:val="TableLine"/>
      </w:pPr>
    </w:p>
    <w:p w14:paraId="611A5CA8" w14:textId="31BE5B15" w:rsidR="00EC4F89" w:rsidRDefault="00EC4F89" w:rsidP="00740E4E">
      <w:pPr>
        <w:pStyle w:val="TableMainHeading"/>
      </w:pPr>
      <w:r>
        <w:t>Combined annual tax cut compared to 2023</w:t>
      </w:r>
      <w:r w:rsidR="00CF2258" w:rsidRPr="00CF2258">
        <w:t>–</w:t>
      </w:r>
      <w:r>
        <w:t>24 tax settings</w:t>
      </w:r>
    </w:p>
    <w:tbl>
      <w:tblPr>
        <w:tblStyle w:val="BudgetFactsheetTable1"/>
        <w:tblW w:w="5000" w:type="pct"/>
        <w:tblLook w:val="0620" w:firstRow="1" w:lastRow="0" w:firstColumn="0" w:lastColumn="0" w:noHBand="1" w:noVBand="1"/>
      </w:tblPr>
      <w:tblGrid>
        <w:gridCol w:w="1789"/>
        <w:gridCol w:w="1962"/>
        <w:gridCol w:w="1963"/>
        <w:gridCol w:w="1962"/>
        <w:gridCol w:w="1963"/>
      </w:tblGrid>
      <w:tr w:rsidR="0084306E" w14:paraId="473AE652" w14:textId="77777777" w:rsidTr="00265102">
        <w:trPr>
          <w:cnfStyle w:val="100000000000" w:firstRow="1" w:lastRow="0" w:firstColumn="0" w:lastColumn="0" w:oddVBand="0" w:evenVBand="0" w:oddHBand="0" w:evenHBand="0" w:firstRowFirstColumn="0" w:firstRowLastColumn="0" w:lastRowFirstColumn="0" w:lastRowLastColumn="0"/>
        </w:trPr>
        <w:tc>
          <w:tcPr>
            <w:tcW w:w="1789" w:type="dxa"/>
          </w:tcPr>
          <w:p w14:paraId="07E9F724" w14:textId="2808C4C2" w:rsidR="0084306E" w:rsidRPr="00404866" w:rsidRDefault="0084306E">
            <w:pPr>
              <w:pStyle w:val="TableTextLeft"/>
            </w:pPr>
            <w:r>
              <w:t>Income from work</w:t>
            </w:r>
          </w:p>
        </w:tc>
        <w:tc>
          <w:tcPr>
            <w:tcW w:w="1962" w:type="dxa"/>
          </w:tcPr>
          <w:p w14:paraId="412DC476" w14:textId="77777777" w:rsidR="0084306E" w:rsidRDefault="0084306E">
            <w:pPr>
              <w:pStyle w:val="TableTextLeft"/>
              <w:jc w:val="center"/>
              <w:rPr>
                <w:b w:val="0"/>
              </w:rPr>
            </w:pPr>
            <w:r>
              <w:t>2026</w:t>
            </w:r>
            <w:r w:rsidRPr="00CF2258">
              <w:t>–</w:t>
            </w:r>
            <w:r>
              <w:t>27</w:t>
            </w:r>
          </w:p>
          <w:p w14:paraId="35BACE03" w14:textId="3522EC2C" w:rsidR="0084306E" w:rsidRPr="0060676A" w:rsidRDefault="0084306E">
            <w:pPr>
              <w:pStyle w:val="TableTextLeft"/>
              <w:jc w:val="center"/>
              <w:rPr>
                <w:b w:val="0"/>
                <w:bCs/>
              </w:rPr>
            </w:pPr>
            <w:r w:rsidRPr="0060676A">
              <w:rPr>
                <w:bCs/>
              </w:rPr>
              <w:t>Two tax cuts</w:t>
            </w:r>
          </w:p>
        </w:tc>
        <w:tc>
          <w:tcPr>
            <w:tcW w:w="1963" w:type="dxa"/>
          </w:tcPr>
          <w:p w14:paraId="15FADE9F" w14:textId="77777777" w:rsidR="0084306E" w:rsidRDefault="0084306E">
            <w:pPr>
              <w:pStyle w:val="TableTextLeft"/>
              <w:jc w:val="center"/>
              <w:rPr>
                <w:b w:val="0"/>
              </w:rPr>
            </w:pPr>
            <w:r>
              <w:t>2027</w:t>
            </w:r>
            <w:r w:rsidRPr="00CF2258">
              <w:t>–</w:t>
            </w:r>
            <w:r>
              <w:t>28 onwards</w:t>
            </w:r>
          </w:p>
          <w:p w14:paraId="5A7E09D4" w14:textId="7CA43729" w:rsidR="0084306E" w:rsidRPr="0060676A" w:rsidRDefault="0084306E">
            <w:pPr>
              <w:pStyle w:val="TableTextLeft"/>
              <w:jc w:val="center"/>
              <w:rPr>
                <w:b w:val="0"/>
                <w:bCs/>
              </w:rPr>
            </w:pPr>
            <w:r w:rsidRPr="0060676A">
              <w:rPr>
                <w:bCs/>
              </w:rPr>
              <w:t>Combined benefit with instant tax deduction</w:t>
            </w:r>
          </w:p>
        </w:tc>
        <w:tc>
          <w:tcPr>
            <w:tcW w:w="1962" w:type="dxa"/>
          </w:tcPr>
          <w:p w14:paraId="573BF404" w14:textId="77777777" w:rsidR="0084306E" w:rsidRDefault="0084306E">
            <w:pPr>
              <w:pStyle w:val="TableTextLeft"/>
              <w:jc w:val="center"/>
              <w:rPr>
                <w:b w:val="0"/>
              </w:rPr>
            </w:pPr>
            <w:r>
              <w:t>2027</w:t>
            </w:r>
            <w:r w:rsidRPr="00CF2258">
              <w:t>–</w:t>
            </w:r>
            <w:r>
              <w:t>28 onwards</w:t>
            </w:r>
          </w:p>
          <w:p w14:paraId="304BE175" w14:textId="065C8D22" w:rsidR="0084306E" w:rsidRPr="0060676A" w:rsidRDefault="0084306E">
            <w:pPr>
              <w:pStyle w:val="TableTextLeft"/>
              <w:jc w:val="center"/>
              <w:rPr>
                <w:b w:val="0"/>
                <w:bCs/>
              </w:rPr>
            </w:pPr>
            <w:r w:rsidRPr="0060676A">
              <w:rPr>
                <w:bCs/>
              </w:rPr>
              <w:t>Three tax cuts + WATO</w:t>
            </w:r>
          </w:p>
        </w:tc>
        <w:tc>
          <w:tcPr>
            <w:tcW w:w="1963" w:type="dxa"/>
          </w:tcPr>
          <w:p w14:paraId="1ACA9C84" w14:textId="77777777" w:rsidR="0084306E" w:rsidRDefault="0084306E">
            <w:pPr>
              <w:pStyle w:val="TableTextLeft"/>
              <w:jc w:val="center"/>
              <w:rPr>
                <w:b w:val="0"/>
              </w:rPr>
            </w:pPr>
            <w:r>
              <w:t>2027</w:t>
            </w:r>
            <w:r w:rsidRPr="00CF2258">
              <w:t>–</w:t>
            </w:r>
            <w:r>
              <w:t>28 onwards</w:t>
            </w:r>
          </w:p>
          <w:p w14:paraId="6A151E5E" w14:textId="312DFA96" w:rsidR="0084306E" w:rsidRPr="0060676A" w:rsidRDefault="0084306E">
            <w:pPr>
              <w:pStyle w:val="TableTextLeft"/>
              <w:jc w:val="center"/>
              <w:rPr>
                <w:b w:val="0"/>
                <w:bCs/>
              </w:rPr>
            </w:pPr>
            <w:r w:rsidRPr="0060676A">
              <w:rPr>
                <w:bCs/>
              </w:rPr>
              <w:t>Combined benefit with instant tax deduction</w:t>
            </w:r>
          </w:p>
        </w:tc>
      </w:tr>
      <w:tr w:rsidR="0071481F" w14:paraId="157007DB" w14:textId="77777777" w:rsidTr="00265102">
        <w:tc>
          <w:tcPr>
            <w:tcW w:w="1789" w:type="dxa"/>
          </w:tcPr>
          <w:p w14:paraId="183100BA" w14:textId="77777777" w:rsidR="0071481F" w:rsidRDefault="0071481F">
            <w:pPr>
              <w:pStyle w:val="TableTextLeft"/>
            </w:pPr>
            <w:r w:rsidRPr="00404866">
              <w:t>Full-time national minimum wage – $</w:t>
            </w:r>
            <w:r w:rsidRPr="00AC4BF3">
              <w:rPr>
                <w:rFonts w:eastAsia="Calibri" w:cs="Calibri"/>
                <w:szCs w:val="18"/>
              </w:rPr>
              <w:t>49,296</w:t>
            </w:r>
          </w:p>
        </w:tc>
        <w:tc>
          <w:tcPr>
            <w:tcW w:w="1962" w:type="dxa"/>
          </w:tcPr>
          <w:p w14:paraId="2AF5A601" w14:textId="77777777" w:rsidR="0071481F" w:rsidRPr="00D94BB1" w:rsidRDefault="0071481F">
            <w:pPr>
              <w:pStyle w:val="TableTextLeft"/>
              <w:jc w:val="center"/>
            </w:pPr>
            <w:r w:rsidRPr="00D94BB1">
              <w:t>$1,179</w:t>
            </w:r>
          </w:p>
        </w:tc>
        <w:tc>
          <w:tcPr>
            <w:tcW w:w="1963" w:type="dxa"/>
          </w:tcPr>
          <w:p w14:paraId="2CEE4450" w14:textId="77777777" w:rsidR="0071481F" w:rsidRPr="00D94BB1" w:rsidRDefault="0071481F">
            <w:pPr>
              <w:pStyle w:val="TableTextLeft"/>
              <w:jc w:val="center"/>
            </w:pPr>
            <w:r w:rsidRPr="00D94BB1">
              <w:t>Up to $1,514</w:t>
            </w:r>
          </w:p>
        </w:tc>
        <w:tc>
          <w:tcPr>
            <w:tcW w:w="1962" w:type="dxa"/>
          </w:tcPr>
          <w:p w14:paraId="4BBF83A2" w14:textId="77777777" w:rsidR="0071481F" w:rsidRPr="00404866" w:rsidRDefault="0071481F">
            <w:pPr>
              <w:pStyle w:val="TableTextLeft"/>
              <w:jc w:val="center"/>
            </w:pPr>
            <w:r w:rsidRPr="00D94BB1">
              <w:t>$1,697</w:t>
            </w:r>
          </w:p>
        </w:tc>
        <w:tc>
          <w:tcPr>
            <w:tcW w:w="1963" w:type="dxa"/>
          </w:tcPr>
          <w:p w14:paraId="0D29BE23" w14:textId="77777777" w:rsidR="0071481F" w:rsidRDefault="0071481F">
            <w:pPr>
              <w:pStyle w:val="TableTextLeft"/>
              <w:jc w:val="center"/>
            </w:pPr>
            <w:r w:rsidRPr="00D94BB1">
              <w:t>Up to $2,032</w:t>
            </w:r>
          </w:p>
        </w:tc>
      </w:tr>
      <w:tr w:rsidR="0071481F" w14:paraId="25165F34" w14:textId="77777777" w:rsidTr="00265102">
        <w:tc>
          <w:tcPr>
            <w:tcW w:w="1789" w:type="dxa"/>
          </w:tcPr>
          <w:p w14:paraId="05EA0673" w14:textId="77777777" w:rsidR="0071481F" w:rsidRDefault="0071481F">
            <w:pPr>
              <w:pStyle w:val="TableTextLeft"/>
            </w:pPr>
            <w:r w:rsidRPr="00404866">
              <w:t>Median income – $</w:t>
            </w:r>
            <w:r w:rsidRPr="00AC4BF3">
              <w:rPr>
                <w:rFonts w:eastAsia="Calibri" w:cs="Calibri"/>
                <w:szCs w:val="18"/>
              </w:rPr>
              <w:t>74,100</w:t>
            </w:r>
          </w:p>
        </w:tc>
        <w:tc>
          <w:tcPr>
            <w:tcW w:w="1962" w:type="dxa"/>
          </w:tcPr>
          <w:p w14:paraId="7E060B7E" w14:textId="77777777" w:rsidR="0071481F" w:rsidRPr="00D94BB1" w:rsidRDefault="0071481F">
            <w:pPr>
              <w:pStyle w:val="TableTextLeft"/>
              <w:jc w:val="center"/>
            </w:pPr>
            <w:r w:rsidRPr="00D94BB1">
              <w:t>$1,800</w:t>
            </w:r>
          </w:p>
        </w:tc>
        <w:tc>
          <w:tcPr>
            <w:tcW w:w="1963" w:type="dxa"/>
          </w:tcPr>
          <w:p w14:paraId="48F3D6EF" w14:textId="77777777" w:rsidR="0071481F" w:rsidRPr="00D94BB1" w:rsidRDefault="0071481F">
            <w:pPr>
              <w:pStyle w:val="TableTextLeft"/>
              <w:jc w:val="center"/>
            </w:pPr>
            <w:r w:rsidRPr="00D94BB1">
              <w:t>Up to $2,120</w:t>
            </w:r>
          </w:p>
        </w:tc>
        <w:tc>
          <w:tcPr>
            <w:tcW w:w="1962" w:type="dxa"/>
          </w:tcPr>
          <w:p w14:paraId="4D8979E5" w14:textId="77777777" w:rsidR="0071481F" w:rsidRPr="00D94BB1" w:rsidRDefault="0071481F">
            <w:pPr>
              <w:pStyle w:val="TableTextLeft"/>
              <w:jc w:val="center"/>
            </w:pPr>
            <w:r w:rsidRPr="00D94BB1">
              <w:t>$2,318</w:t>
            </w:r>
          </w:p>
        </w:tc>
        <w:tc>
          <w:tcPr>
            <w:tcW w:w="1963" w:type="dxa"/>
          </w:tcPr>
          <w:p w14:paraId="2E1635B0" w14:textId="77777777" w:rsidR="0071481F" w:rsidRPr="00D94BB1" w:rsidRDefault="0071481F">
            <w:pPr>
              <w:pStyle w:val="TableTextLeft"/>
              <w:jc w:val="center"/>
            </w:pPr>
            <w:r w:rsidRPr="00D94BB1">
              <w:t>Up to $2,638</w:t>
            </w:r>
          </w:p>
        </w:tc>
      </w:tr>
      <w:tr w:rsidR="0071481F" w14:paraId="7E557CD6" w14:textId="77777777" w:rsidTr="00265102">
        <w:tc>
          <w:tcPr>
            <w:tcW w:w="1789" w:type="dxa"/>
          </w:tcPr>
          <w:p w14:paraId="664F258E" w14:textId="77777777" w:rsidR="0071481F" w:rsidRDefault="0071481F">
            <w:pPr>
              <w:pStyle w:val="TableTextLeft"/>
            </w:pPr>
            <w:r w:rsidRPr="00404866">
              <w:t>Average income – $</w:t>
            </w:r>
            <w:r w:rsidRPr="00AC4BF3">
              <w:rPr>
                <w:rFonts w:eastAsia="Calibri" w:cs="Calibri"/>
                <w:szCs w:val="18"/>
              </w:rPr>
              <w:t>81,</w:t>
            </w:r>
            <w:r>
              <w:rPr>
                <w:rFonts w:eastAsia="Calibri" w:cs="Calibri"/>
                <w:szCs w:val="18"/>
              </w:rPr>
              <w:t>245</w:t>
            </w:r>
          </w:p>
        </w:tc>
        <w:tc>
          <w:tcPr>
            <w:tcW w:w="1962" w:type="dxa"/>
          </w:tcPr>
          <w:p w14:paraId="0560A65C" w14:textId="77777777" w:rsidR="0071481F" w:rsidRPr="00B46DFF" w:rsidRDefault="0071481F">
            <w:pPr>
              <w:pStyle w:val="TableTextLeft"/>
              <w:jc w:val="center"/>
            </w:pPr>
            <w:r w:rsidRPr="00B46DFF">
              <w:t>$1,978</w:t>
            </w:r>
          </w:p>
        </w:tc>
        <w:tc>
          <w:tcPr>
            <w:tcW w:w="1963" w:type="dxa"/>
          </w:tcPr>
          <w:p w14:paraId="67DACEDE" w14:textId="77777777" w:rsidR="0071481F" w:rsidRPr="00B46DFF" w:rsidRDefault="0071481F">
            <w:pPr>
              <w:pStyle w:val="TableTextLeft"/>
              <w:jc w:val="center"/>
            </w:pPr>
            <w:r w:rsidRPr="00B46DFF">
              <w:t>Up to $2,298</w:t>
            </w:r>
          </w:p>
        </w:tc>
        <w:tc>
          <w:tcPr>
            <w:tcW w:w="1962" w:type="dxa"/>
          </w:tcPr>
          <w:p w14:paraId="503F045F" w14:textId="77777777" w:rsidR="0071481F" w:rsidRPr="00B46DFF" w:rsidRDefault="0071481F">
            <w:pPr>
              <w:pStyle w:val="TableTextLeft"/>
              <w:jc w:val="center"/>
            </w:pPr>
            <w:r w:rsidRPr="00B46DFF">
              <w:t>$2,496</w:t>
            </w:r>
          </w:p>
        </w:tc>
        <w:tc>
          <w:tcPr>
            <w:tcW w:w="1963" w:type="dxa"/>
          </w:tcPr>
          <w:p w14:paraId="1C9795AB" w14:textId="77777777" w:rsidR="0071481F" w:rsidRPr="00B46DFF" w:rsidRDefault="0071481F">
            <w:pPr>
              <w:pStyle w:val="TableTextLeft"/>
              <w:jc w:val="center"/>
            </w:pPr>
            <w:r w:rsidRPr="00B46DFF">
              <w:t>Up to $2,816</w:t>
            </w:r>
          </w:p>
        </w:tc>
      </w:tr>
      <w:tr w:rsidR="0071481F" w14:paraId="2FDC1FF6" w14:textId="77777777" w:rsidTr="00265102">
        <w:tc>
          <w:tcPr>
            <w:tcW w:w="1789" w:type="dxa"/>
          </w:tcPr>
          <w:p w14:paraId="30A31507" w14:textId="77777777" w:rsidR="0071481F" w:rsidRDefault="0071481F">
            <w:pPr>
              <w:pStyle w:val="TableTextLeft"/>
            </w:pPr>
            <w:r w:rsidRPr="00404866">
              <w:t>Average full-time income – $</w:t>
            </w:r>
            <w:r w:rsidRPr="00AC4BF3">
              <w:rPr>
                <w:rFonts w:eastAsia="Calibri" w:cs="Calibri"/>
                <w:szCs w:val="18"/>
              </w:rPr>
              <w:t>106,657</w:t>
            </w:r>
          </w:p>
        </w:tc>
        <w:tc>
          <w:tcPr>
            <w:tcW w:w="1962" w:type="dxa"/>
          </w:tcPr>
          <w:p w14:paraId="7B6A8DF9" w14:textId="77777777" w:rsidR="0071481F" w:rsidRPr="00404866" w:rsidRDefault="0071481F">
            <w:pPr>
              <w:pStyle w:val="TableTextLeft"/>
              <w:jc w:val="center"/>
            </w:pPr>
            <w:r w:rsidRPr="00404866">
              <w:t>$</w:t>
            </w:r>
            <w:r>
              <w:t>2,613</w:t>
            </w:r>
          </w:p>
        </w:tc>
        <w:tc>
          <w:tcPr>
            <w:tcW w:w="1963" w:type="dxa"/>
          </w:tcPr>
          <w:p w14:paraId="41D580E5" w14:textId="77777777" w:rsidR="0071481F" w:rsidRDefault="0071481F">
            <w:pPr>
              <w:pStyle w:val="TableTextLeft"/>
              <w:jc w:val="center"/>
            </w:pPr>
            <w:r>
              <w:t>Up to $</w:t>
            </w:r>
            <w:r w:rsidRPr="00AE76A8">
              <w:t>2,933</w:t>
            </w:r>
          </w:p>
        </w:tc>
        <w:tc>
          <w:tcPr>
            <w:tcW w:w="1962" w:type="dxa"/>
          </w:tcPr>
          <w:p w14:paraId="36BE9959" w14:textId="77777777" w:rsidR="0071481F" w:rsidRPr="00404866" w:rsidRDefault="0071481F">
            <w:pPr>
              <w:pStyle w:val="TableTextLeft"/>
              <w:jc w:val="center"/>
            </w:pPr>
            <w:r w:rsidRPr="00404866">
              <w:t>$</w:t>
            </w:r>
            <w:r>
              <w:t>3,131</w:t>
            </w:r>
          </w:p>
        </w:tc>
        <w:tc>
          <w:tcPr>
            <w:tcW w:w="1963" w:type="dxa"/>
          </w:tcPr>
          <w:p w14:paraId="490DC219" w14:textId="77777777" w:rsidR="0071481F" w:rsidRDefault="0071481F">
            <w:pPr>
              <w:pStyle w:val="TableTextLeft"/>
              <w:jc w:val="center"/>
            </w:pPr>
            <w:r>
              <w:t>Up to $</w:t>
            </w:r>
            <w:r w:rsidRPr="004A2BDB">
              <w:t>3,451</w:t>
            </w:r>
          </w:p>
        </w:tc>
      </w:tr>
    </w:tbl>
    <w:p w14:paraId="02301BC8" w14:textId="71B955B2" w:rsidR="004E6A56" w:rsidRDefault="004E6A56" w:rsidP="00794F11">
      <w:pPr>
        <w:pStyle w:val="ChartandTableFootnote"/>
      </w:pPr>
      <w:r w:rsidRPr="0014046A">
        <w:t>Note:</w:t>
      </w:r>
      <w:r w:rsidR="00794F11" w:rsidRPr="00794F11">
        <w:t xml:space="preserve"> </w:t>
      </w:r>
      <w:r w:rsidR="00794F11" w:rsidRPr="00794F11">
        <w:tab/>
      </w:r>
      <w:r w:rsidRPr="00794F11">
        <w:t xml:space="preserve">This table presents stylised cameos on the assumptions that an individual is an Australian </w:t>
      </w:r>
      <w:r w:rsidR="006F62AF" w:rsidRPr="00794F11">
        <w:t xml:space="preserve">tax </w:t>
      </w:r>
      <w:r w:rsidRPr="00794F11">
        <w:t>resident, only has income from work and has work</w:t>
      </w:r>
      <w:r w:rsidR="005F1A21" w:rsidRPr="00794F11">
        <w:noBreakHyphen/>
      </w:r>
      <w:r w:rsidRPr="00794F11">
        <w:t xml:space="preserve">related </w:t>
      </w:r>
      <w:r w:rsidR="00007AFC" w:rsidRPr="00794F11">
        <w:t xml:space="preserve">expenses </w:t>
      </w:r>
      <w:r w:rsidRPr="00794F11">
        <w:t xml:space="preserve">of </w:t>
      </w:r>
      <w:r w:rsidR="00007AFC" w:rsidRPr="00794F11">
        <w:t>less than</w:t>
      </w:r>
      <w:r w:rsidRPr="00794F11">
        <w:t xml:space="preserve"> $1,000 from 2026–27. The reduction in tax liability is calculated by only taking into account the basic tax scales, </w:t>
      </w:r>
      <w:r w:rsidR="00DC3CD1" w:rsidRPr="00794F11">
        <w:t>L</w:t>
      </w:r>
      <w:r w:rsidRPr="00794F11">
        <w:t>ow</w:t>
      </w:r>
      <w:r w:rsidR="00CB4C21" w:rsidRPr="00794F11">
        <w:t xml:space="preserve"> </w:t>
      </w:r>
      <w:r w:rsidR="00DC3CD1" w:rsidRPr="00794F11">
        <w:t>I</w:t>
      </w:r>
      <w:r w:rsidRPr="00794F11">
        <w:t xml:space="preserve">ncome </w:t>
      </w:r>
      <w:r w:rsidR="00DC3CD1" w:rsidRPr="00794F11">
        <w:t>T</w:t>
      </w:r>
      <w:r w:rsidRPr="00794F11">
        <w:t xml:space="preserve">ax </w:t>
      </w:r>
      <w:r w:rsidR="00DC3CD1" w:rsidRPr="00794F11">
        <w:t>O</w:t>
      </w:r>
      <w:r w:rsidRPr="00794F11">
        <w:t xml:space="preserve">ffset (as applicable) and Medicare levy. The instant tax deduction benefit for an individual </w:t>
      </w:r>
      <w:r w:rsidR="000E30D2" w:rsidRPr="00794F11">
        <w:t>on the full-time national minimum wage</w:t>
      </w:r>
      <w:r w:rsidRPr="00794F11">
        <w:t xml:space="preserve"> includes additional</w:t>
      </w:r>
      <w:r w:rsidR="00386457" w:rsidRPr="00794F11">
        <w:t xml:space="preserve"> benefit from the</w:t>
      </w:r>
      <w:r w:rsidRPr="00794F11">
        <w:t xml:space="preserve"> </w:t>
      </w:r>
      <w:r w:rsidR="005020E7" w:rsidRPr="00794F11">
        <w:t>L</w:t>
      </w:r>
      <w:r w:rsidRPr="00794F11">
        <w:t>ow</w:t>
      </w:r>
      <w:r w:rsidR="00CB4C21" w:rsidRPr="00794F11">
        <w:t xml:space="preserve"> </w:t>
      </w:r>
      <w:r w:rsidR="005020E7" w:rsidRPr="00794F11">
        <w:t>I</w:t>
      </w:r>
      <w:r w:rsidRPr="00794F11">
        <w:t xml:space="preserve">ncome </w:t>
      </w:r>
      <w:r w:rsidR="00314188" w:rsidRPr="00794F11">
        <w:t>T</w:t>
      </w:r>
      <w:r w:rsidRPr="00794F11">
        <w:t xml:space="preserve">ax </w:t>
      </w:r>
      <w:r w:rsidR="00314188" w:rsidRPr="00794F11">
        <w:t>O</w:t>
      </w:r>
      <w:r w:rsidRPr="00794F11">
        <w:t>ffset due to the reduction in their taxable income.</w:t>
      </w:r>
    </w:p>
    <w:p w14:paraId="0AA67870" w14:textId="04418C58" w:rsidR="008B25AA" w:rsidRDefault="008B25AA" w:rsidP="004F245E">
      <w:pPr>
        <w:pStyle w:val="ChartandTableFootnote"/>
      </w:pPr>
      <w:r w:rsidRPr="008B25AA">
        <w:t xml:space="preserve">Source: </w:t>
      </w:r>
      <w:r w:rsidR="00A11D67" w:rsidRPr="00794F11">
        <w:tab/>
      </w:r>
      <w:r w:rsidRPr="008B25AA">
        <w:t>Fair Work Ombudsman; ABS, Employee earnings, Aug 202</w:t>
      </w:r>
      <w:r>
        <w:t>5</w:t>
      </w:r>
      <w:r w:rsidRPr="008B25AA">
        <w:t>; ABS, Average Weekly Earnings, Nov 202</w:t>
      </w:r>
      <w:r>
        <w:t>5</w:t>
      </w:r>
      <w:r w:rsidRPr="008B25AA">
        <w:t>.</w:t>
      </w:r>
    </w:p>
    <w:p w14:paraId="1F11B331" w14:textId="77777777" w:rsidR="004F245E" w:rsidRPr="00712254" w:rsidRDefault="004F245E" w:rsidP="004F245E">
      <w:pPr>
        <w:pStyle w:val="TableLine"/>
      </w:pPr>
    </w:p>
    <w:p w14:paraId="0857AC56" w14:textId="4B99DDDF" w:rsidR="00461B6B" w:rsidRDefault="00461B6B" w:rsidP="00F831E7">
      <w:pPr>
        <w:pStyle w:val="CABNETParagraph"/>
        <w:rPr>
          <w:rFonts w:asciiTheme="majorHAnsi" w:hAnsiTheme="majorHAnsi" w:cstheme="majorHAnsi"/>
          <w:b/>
          <w:bCs/>
          <w:sz w:val="16"/>
          <w:szCs w:val="16"/>
        </w:rPr>
      </w:pPr>
      <w:r>
        <w:rPr>
          <w:rFonts w:asciiTheme="majorHAnsi" w:hAnsiTheme="majorHAnsi" w:cstheme="majorHAnsi"/>
          <w:b/>
          <w:bCs/>
          <w:sz w:val="16"/>
          <w:szCs w:val="16"/>
        </w:rPr>
        <w:br w:type="page"/>
      </w:r>
    </w:p>
    <w:tbl>
      <w:tblPr>
        <w:tblStyle w:val="TableGridLight"/>
        <w:tblpPr w:leftFromText="180" w:rightFromText="180" w:vertAnchor="text" w:horzAnchor="margin" w:tblpY="98"/>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F2FF"/>
        <w:tblLook w:val="04A0" w:firstRow="1" w:lastRow="0" w:firstColumn="1" w:lastColumn="0" w:noHBand="0" w:noVBand="1"/>
      </w:tblPr>
      <w:tblGrid>
        <w:gridCol w:w="9626"/>
      </w:tblGrid>
      <w:tr w:rsidR="0022311A" w:rsidRPr="00A309FD" w14:paraId="4C73CC40" w14:textId="77777777">
        <w:tc>
          <w:tcPr>
            <w:tcW w:w="5000" w:type="pct"/>
            <w:shd w:val="clear" w:color="auto" w:fill="E6F2FF"/>
            <w:tcMar>
              <w:top w:w="170" w:type="dxa"/>
              <w:left w:w="227" w:type="dxa"/>
              <w:bottom w:w="227" w:type="dxa"/>
              <w:right w:w="227" w:type="dxa"/>
            </w:tcMar>
          </w:tcPr>
          <w:p w14:paraId="69AFEC06" w14:textId="1DB3BB7F" w:rsidR="0022311A" w:rsidRDefault="0022311A">
            <w:pPr>
              <w:pStyle w:val="BoxHeading"/>
            </w:pPr>
            <w:r>
              <w:lastRenderedPageBreak/>
              <w:t>Key facts and figures</w:t>
            </w:r>
          </w:p>
          <w:p w14:paraId="7ECE2CC5" w14:textId="541C1B46" w:rsidR="00863721" w:rsidRDefault="00863721" w:rsidP="00763ACE">
            <w:pPr>
              <w:pStyle w:val="BoxBullet"/>
            </w:pPr>
            <w:r>
              <w:t xml:space="preserve">After </w:t>
            </w:r>
            <w:r w:rsidRPr="00F94079">
              <w:t xml:space="preserve">three rounds of tax cuts, the WATO and the instant tax deduction, an Australian worker on average </w:t>
            </w:r>
            <w:r w:rsidR="00511185">
              <w:t>earnings</w:t>
            </w:r>
            <w:r w:rsidR="00511185" w:rsidRPr="00F94079">
              <w:t xml:space="preserve"> </w:t>
            </w:r>
            <w:r w:rsidRPr="00F94079">
              <w:t xml:space="preserve">could receive a combined benefit of up to </w:t>
            </w:r>
            <w:r w:rsidRPr="002F6E31">
              <w:t>$</w:t>
            </w:r>
            <w:r w:rsidRPr="002F6E31" w:rsidDel="00891A1F">
              <w:t>2,</w:t>
            </w:r>
            <w:r w:rsidRPr="00F94079">
              <w:t>816 from the 2027–</w:t>
            </w:r>
            <w:r w:rsidRPr="00F94079">
              <w:rPr>
                <w:w w:val="1"/>
              </w:rPr>
              <w:t> </w:t>
            </w:r>
            <w:r w:rsidRPr="00F94079">
              <w:t>28 income year</w:t>
            </w:r>
            <w:r w:rsidR="00367249">
              <w:t> </w:t>
            </w:r>
            <w:r w:rsidRPr="00F94079">
              <w:t>relative to 2023–24</w:t>
            </w:r>
            <w:r w:rsidRPr="00F94079" w:rsidDel="00CA3F62">
              <w:t xml:space="preserve"> </w:t>
            </w:r>
            <w:r w:rsidRPr="00F94079">
              <w:t>tax settings</w:t>
            </w:r>
            <w:r w:rsidR="00772D29">
              <w:t>.</w:t>
            </w:r>
          </w:p>
          <w:p w14:paraId="388892A6" w14:textId="4FCE1906" w:rsidR="009D705A" w:rsidRDefault="009D705A">
            <w:pPr>
              <w:pStyle w:val="BoxBullet"/>
            </w:pPr>
            <w:r>
              <w:t>Around 13 million Australian workers, including 6.3 million women</w:t>
            </w:r>
            <w:r w:rsidR="00BA3809">
              <w:t>,</w:t>
            </w:r>
            <w:r>
              <w:t xml:space="preserve"> will receive the WATO for the 2027</w:t>
            </w:r>
            <w:r w:rsidR="00D7320E" w:rsidRPr="00D7320E">
              <w:t>–</w:t>
            </w:r>
            <w:r>
              <w:t>28 income year</w:t>
            </w:r>
            <w:r w:rsidR="00BA3942">
              <w:t xml:space="preserve">, </w:t>
            </w:r>
            <w:r w:rsidR="00BA3942" w:rsidRPr="00BA3942">
              <w:t xml:space="preserve">of whom 97 per cent </w:t>
            </w:r>
            <w:r w:rsidR="00CC0D62">
              <w:t>are expected to</w:t>
            </w:r>
            <w:r w:rsidR="00CC0D62" w:rsidRPr="00BA3942">
              <w:t xml:space="preserve"> </w:t>
            </w:r>
            <w:r w:rsidR="00BA3942" w:rsidRPr="00BA3942">
              <w:t>receive the full $250 offset</w:t>
            </w:r>
            <w:r w:rsidDel="00BA3942">
              <w:t>.</w:t>
            </w:r>
          </w:p>
          <w:p w14:paraId="5B42AB70" w14:textId="390C3F44" w:rsidR="00977D90" w:rsidRDefault="00977D90" w:rsidP="00977D90">
            <w:pPr>
              <w:pStyle w:val="BoxBullet"/>
            </w:pPr>
            <w:r>
              <w:t xml:space="preserve">The Government’s combined tax cuts are lowering average tax rates for all working Australian taxpayers, with </w:t>
            </w:r>
            <w:r w:rsidR="00DD0726">
              <w:t xml:space="preserve">the </w:t>
            </w:r>
            <w:r>
              <w:t xml:space="preserve">average tax rates </w:t>
            </w:r>
            <w:r w:rsidR="00335AD6">
              <w:t>across</w:t>
            </w:r>
            <w:r w:rsidR="00131275">
              <w:t xml:space="preserve"> all</w:t>
            </w:r>
            <w:r w:rsidR="002B6D0C">
              <w:t xml:space="preserve"> taxpayers </w:t>
            </w:r>
            <w:r>
              <w:t>falling from 25.5 per cent in 2023</w:t>
            </w:r>
            <w:r w:rsidR="00CF2258" w:rsidRPr="00CF2258">
              <w:t>–</w:t>
            </w:r>
            <w:r>
              <w:t>24 to 24.7</w:t>
            </w:r>
            <w:r w:rsidR="00C10204">
              <w:t> </w:t>
            </w:r>
            <w:r>
              <w:t>per</w:t>
            </w:r>
            <w:r w:rsidR="00C10204">
              <w:t> </w:t>
            </w:r>
            <w:r>
              <w:t>cent in 2027</w:t>
            </w:r>
            <w:r w:rsidR="00CF2258" w:rsidRPr="00CF2258">
              <w:t>–</w:t>
            </w:r>
            <w:r>
              <w:t xml:space="preserve">28. </w:t>
            </w:r>
          </w:p>
          <w:p w14:paraId="133CE06B" w14:textId="2E434D79" w:rsidR="00C72F10" w:rsidRDefault="005C2EC2" w:rsidP="00977D90">
            <w:pPr>
              <w:pStyle w:val="BoxBullet"/>
            </w:pPr>
            <w:r>
              <w:t xml:space="preserve">The Government’s combined tax cuts are expected to keep average tax rates for an Australian worker on average earnings </w:t>
            </w:r>
            <w:r w:rsidR="00C05935">
              <w:t xml:space="preserve">who receives the average benefit from the instant tax deduction </w:t>
            </w:r>
            <w:r w:rsidR="00530EF6">
              <w:t>below 2023</w:t>
            </w:r>
            <w:r w:rsidR="00CF2258" w:rsidRPr="00CF2258">
              <w:t>–</w:t>
            </w:r>
            <w:r w:rsidR="00530EF6">
              <w:t xml:space="preserve">24 levels </w:t>
            </w:r>
            <w:r w:rsidR="00513F30">
              <w:t>until</w:t>
            </w:r>
            <w:r w:rsidR="00530EF6">
              <w:t xml:space="preserve"> 2032</w:t>
            </w:r>
            <w:r w:rsidR="00CF2258" w:rsidRPr="00CF2258">
              <w:t>–</w:t>
            </w:r>
            <w:r w:rsidR="00530EF6">
              <w:t>33</w:t>
            </w:r>
            <w:r w:rsidR="00C10204">
              <w:t xml:space="preserve"> </w:t>
            </w:r>
            <w:r w:rsidR="00C10204" w:rsidRPr="009F1B8A">
              <w:t xml:space="preserve">– </w:t>
            </w:r>
            <w:r w:rsidR="008F058E">
              <w:t>three</w:t>
            </w:r>
            <w:r w:rsidR="00C10204" w:rsidRPr="009F1B8A">
              <w:t xml:space="preserve"> years later than under 2024</w:t>
            </w:r>
            <w:r w:rsidR="00A82D1A">
              <w:t>–</w:t>
            </w:r>
            <w:r w:rsidR="00C10204" w:rsidRPr="009F1B8A">
              <w:t>25 settings</w:t>
            </w:r>
            <w:r w:rsidR="00530EF6">
              <w:t>.</w:t>
            </w:r>
          </w:p>
          <w:p w14:paraId="32B886D6" w14:textId="45A3C96F" w:rsidR="00B86CC0" w:rsidRDefault="00336E10">
            <w:pPr>
              <w:pStyle w:val="BoxBullet"/>
            </w:pPr>
            <w:r>
              <w:t>The</w:t>
            </w:r>
            <w:r w:rsidR="00FA7DBD">
              <w:t xml:space="preserve"> WATO builds upon the</w:t>
            </w:r>
            <w:r>
              <w:t xml:space="preserve"> Government</w:t>
            </w:r>
            <w:r w:rsidR="00FA7DBD">
              <w:t>’</w:t>
            </w:r>
            <w:r>
              <w:t xml:space="preserve">s </w:t>
            </w:r>
            <w:r w:rsidR="00A46550">
              <w:t xml:space="preserve">already legislated </w:t>
            </w:r>
            <w:r>
              <w:t xml:space="preserve">tax cuts </w:t>
            </w:r>
            <w:r w:rsidR="00FA7DBD">
              <w:t xml:space="preserve">which </w:t>
            </w:r>
            <w:r w:rsidR="009A00D4">
              <w:t xml:space="preserve">are estimated to </w:t>
            </w:r>
            <w:r>
              <w:t xml:space="preserve">increase </w:t>
            </w:r>
            <w:r w:rsidR="00C77219">
              <w:t>labour supply</w:t>
            </w:r>
            <w:r>
              <w:t xml:space="preserve"> by </w:t>
            </w:r>
            <w:r w:rsidR="00C77219" w:rsidRPr="003469F5">
              <w:t>1.3 million</w:t>
            </w:r>
            <w:r w:rsidRPr="003469F5">
              <w:t xml:space="preserve"> hours per week</w:t>
            </w:r>
            <w:r>
              <w:t xml:space="preserve">, </w:t>
            </w:r>
            <w:r w:rsidR="00B64B0E">
              <w:t>relative</w:t>
            </w:r>
            <w:r w:rsidR="00C77219">
              <w:t xml:space="preserve"> to 2023</w:t>
            </w:r>
            <w:r w:rsidR="00CF2258" w:rsidRPr="00CF2258">
              <w:t>–</w:t>
            </w:r>
            <w:r w:rsidR="00C77219">
              <w:t xml:space="preserve">24 settings. </w:t>
            </w:r>
          </w:p>
          <w:p w14:paraId="6E2CEC58" w14:textId="0103EDAA" w:rsidR="00F97B17" w:rsidRPr="00A309FD" w:rsidRDefault="00711CCB">
            <w:pPr>
              <w:pStyle w:val="BoxBullet"/>
            </w:pPr>
            <w:r>
              <w:t xml:space="preserve">Around </w:t>
            </w:r>
            <w:r w:rsidR="00F97B17">
              <w:t>6.2 million workers will benefit from the instant tax deduction with an average saving of $2</w:t>
            </w:r>
            <w:r w:rsidR="00A27DAD">
              <w:t xml:space="preserve">05 </w:t>
            </w:r>
            <w:r w:rsidR="005B4392">
              <w:t xml:space="preserve">for </w:t>
            </w:r>
            <w:r w:rsidR="00A27DAD">
              <w:t>2026</w:t>
            </w:r>
            <w:r w:rsidR="00CF2258" w:rsidRPr="00CF2258">
              <w:t>–</w:t>
            </w:r>
            <w:r w:rsidR="00A27DAD">
              <w:t>27.</w:t>
            </w:r>
          </w:p>
        </w:tc>
      </w:tr>
    </w:tbl>
    <w:p w14:paraId="1FE3270A" w14:textId="77777777" w:rsidR="00CA4511" w:rsidRDefault="00CA4511">
      <w:pPr>
        <w:spacing w:before="0" w:after="0"/>
        <w:rPr>
          <w:rFonts w:eastAsia="Times New Roman" w:cs="Arial"/>
          <w:b/>
          <w:color w:val="002A54"/>
          <w:kern w:val="32"/>
          <w:sz w:val="24"/>
          <w:szCs w:val="26"/>
          <w:lang w:eastAsia="en-AU"/>
        </w:rPr>
      </w:pPr>
      <w:r>
        <w:br w:type="page"/>
      </w:r>
    </w:p>
    <w:p w14:paraId="5BEAB1FA" w14:textId="25E3F2DD" w:rsidR="00246014" w:rsidRPr="00246014" w:rsidRDefault="00246014" w:rsidP="00821C9B">
      <w:pPr>
        <w:pStyle w:val="TableMainHeading"/>
      </w:pPr>
      <w:r>
        <w:lastRenderedPageBreak/>
        <w:t>Combined annual tax cut compared to 2023</w:t>
      </w:r>
      <w:r w:rsidR="00CF2258" w:rsidRPr="00CF2258">
        <w:t>–</w:t>
      </w:r>
      <w:r>
        <w:t>24 tax settings ($)</w:t>
      </w:r>
    </w:p>
    <w:tbl>
      <w:tblPr>
        <w:tblStyle w:val="BudgetFactsheetTable1"/>
        <w:tblW w:w="5000" w:type="pct"/>
        <w:tblLook w:val="0620" w:firstRow="1" w:lastRow="0" w:firstColumn="0" w:lastColumn="0" w:noHBand="1" w:noVBand="1"/>
      </w:tblPr>
      <w:tblGrid>
        <w:gridCol w:w="1927"/>
        <w:gridCol w:w="1928"/>
        <w:gridCol w:w="1928"/>
        <w:gridCol w:w="1928"/>
        <w:gridCol w:w="1928"/>
      </w:tblGrid>
      <w:tr w:rsidR="00976AF2" w14:paraId="372FBA00" w14:textId="77777777" w:rsidTr="00AE70CC">
        <w:trPr>
          <w:cnfStyle w:val="100000000000" w:firstRow="1" w:lastRow="0" w:firstColumn="0" w:lastColumn="0" w:oddVBand="0" w:evenVBand="0" w:oddHBand="0" w:evenHBand="0" w:firstRowFirstColumn="0" w:firstRowLastColumn="0" w:lastRowFirstColumn="0" w:lastRowLastColumn="0"/>
        </w:trPr>
        <w:tc>
          <w:tcPr>
            <w:tcW w:w="1927" w:type="dxa"/>
          </w:tcPr>
          <w:p w14:paraId="1E6EC96C" w14:textId="5FF0A63D" w:rsidR="00976AF2" w:rsidRDefault="00367249">
            <w:pPr>
              <w:pStyle w:val="TableTextLeft"/>
              <w:jc w:val="center"/>
            </w:pPr>
            <w:r>
              <w:t>Income from work</w:t>
            </w:r>
          </w:p>
        </w:tc>
        <w:tc>
          <w:tcPr>
            <w:tcW w:w="1928" w:type="dxa"/>
          </w:tcPr>
          <w:p w14:paraId="3F336357" w14:textId="77777777" w:rsidR="00367249" w:rsidRDefault="00367249">
            <w:pPr>
              <w:pStyle w:val="TableTextLeft"/>
              <w:jc w:val="center"/>
              <w:rPr>
                <w:b w:val="0"/>
              </w:rPr>
            </w:pPr>
            <w:r>
              <w:t>2026</w:t>
            </w:r>
            <w:r w:rsidRPr="00CF2258">
              <w:t>–</w:t>
            </w:r>
            <w:r>
              <w:t>27</w:t>
            </w:r>
          </w:p>
          <w:p w14:paraId="1B320755" w14:textId="5F93ABD1" w:rsidR="00976AF2" w:rsidRPr="003D508D" w:rsidRDefault="00976AF2">
            <w:pPr>
              <w:pStyle w:val="TableTextLeft"/>
              <w:jc w:val="center"/>
              <w:rPr>
                <w:b w:val="0"/>
                <w:bCs/>
              </w:rPr>
            </w:pPr>
            <w:r w:rsidRPr="003D508D">
              <w:rPr>
                <w:bCs/>
              </w:rPr>
              <w:t>Two tax cuts</w:t>
            </w:r>
          </w:p>
        </w:tc>
        <w:tc>
          <w:tcPr>
            <w:tcW w:w="1928" w:type="dxa"/>
          </w:tcPr>
          <w:p w14:paraId="239D1C7F" w14:textId="40546E4E" w:rsidR="00367249" w:rsidRDefault="00367249">
            <w:pPr>
              <w:pStyle w:val="TableTextLeft"/>
              <w:jc w:val="center"/>
              <w:rPr>
                <w:b w:val="0"/>
                <w:bCs/>
              </w:rPr>
            </w:pPr>
            <w:r>
              <w:t>2027</w:t>
            </w:r>
            <w:r w:rsidRPr="00CF2258">
              <w:t>–</w:t>
            </w:r>
            <w:r>
              <w:t>28 onwards</w:t>
            </w:r>
          </w:p>
          <w:p w14:paraId="69500C36" w14:textId="7F441457" w:rsidR="00976AF2" w:rsidRPr="003D508D" w:rsidRDefault="00976AF2">
            <w:pPr>
              <w:pStyle w:val="TableTextLeft"/>
              <w:jc w:val="center"/>
              <w:rPr>
                <w:b w:val="0"/>
                <w:bCs/>
              </w:rPr>
            </w:pPr>
            <w:r w:rsidRPr="003D508D">
              <w:rPr>
                <w:bCs/>
              </w:rPr>
              <w:t>Combined benefit with instant tax</w:t>
            </w:r>
            <w:r w:rsidR="00367249">
              <w:rPr>
                <w:bCs/>
              </w:rPr>
              <w:t> </w:t>
            </w:r>
            <w:r w:rsidRPr="003D508D">
              <w:rPr>
                <w:bCs/>
              </w:rPr>
              <w:t>deduction</w:t>
            </w:r>
          </w:p>
        </w:tc>
        <w:tc>
          <w:tcPr>
            <w:tcW w:w="1928" w:type="dxa"/>
          </w:tcPr>
          <w:p w14:paraId="57C727C6" w14:textId="77777777" w:rsidR="00367249" w:rsidRDefault="00367249" w:rsidP="00367249">
            <w:pPr>
              <w:pStyle w:val="TableTextLeft"/>
              <w:jc w:val="center"/>
              <w:rPr>
                <w:b w:val="0"/>
                <w:bCs/>
              </w:rPr>
            </w:pPr>
            <w:r>
              <w:t>2027</w:t>
            </w:r>
            <w:r w:rsidRPr="00CF2258">
              <w:t>–</w:t>
            </w:r>
            <w:r>
              <w:t>28 onwards</w:t>
            </w:r>
          </w:p>
          <w:p w14:paraId="3EF166A2" w14:textId="77777777" w:rsidR="00976AF2" w:rsidRPr="003D508D" w:rsidRDefault="00976AF2">
            <w:pPr>
              <w:pStyle w:val="TableTextLeft"/>
              <w:jc w:val="center"/>
              <w:rPr>
                <w:b w:val="0"/>
                <w:bCs/>
              </w:rPr>
            </w:pPr>
            <w:r w:rsidRPr="003D508D">
              <w:rPr>
                <w:bCs/>
              </w:rPr>
              <w:t>Three tax cuts + WATO</w:t>
            </w:r>
          </w:p>
        </w:tc>
        <w:tc>
          <w:tcPr>
            <w:tcW w:w="1928" w:type="dxa"/>
          </w:tcPr>
          <w:p w14:paraId="348BBCF9" w14:textId="77777777" w:rsidR="00367249" w:rsidRDefault="00367249" w:rsidP="00367249">
            <w:pPr>
              <w:pStyle w:val="TableTextLeft"/>
              <w:jc w:val="center"/>
              <w:rPr>
                <w:b w:val="0"/>
                <w:bCs/>
              </w:rPr>
            </w:pPr>
            <w:r>
              <w:t>2027</w:t>
            </w:r>
            <w:r w:rsidRPr="00CF2258">
              <w:t>–</w:t>
            </w:r>
            <w:r>
              <w:t>28 onwards</w:t>
            </w:r>
          </w:p>
          <w:p w14:paraId="4DFB27B9" w14:textId="77777777" w:rsidR="00976AF2" w:rsidRPr="003D508D" w:rsidRDefault="00976AF2">
            <w:pPr>
              <w:pStyle w:val="TableTextLeft"/>
              <w:jc w:val="center"/>
              <w:rPr>
                <w:b w:val="0"/>
                <w:bCs/>
              </w:rPr>
            </w:pPr>
            <w:r w:rsidRPr="003D508D">
              <w:rPr>
                <w:bCs/>
              </w:rPr>
              <w:t>Combined benefit with instant tax deduction</w:t>
            </w:r>
          </w:p>
        </w:tc>
      </w:tr>
      <w:tr w:rsidR="00976AF2" w14:paraId="2FC1CF14" w14:textId="77777777" w:rsidTr="00AE70CC">
        <w:tc>
          <w:tcPr>
            <w:tcW w:w="1927" w:type="dxa"/>
          </w:tcPr>
          <w:p w14:paraId="3CFF6B04" w14:textId="77777777" w:rsidR="00976AF2" w:rsidRDefault="00976AF2">
            <w:pPr>
              <w:pStyle w:val="TableTextLeft"/>
              <w:jc w:val="center"/>
            </w:pPr>
            <w:r>
              <w:t>20,000</w:t>
            </w:r>
          </w:p>
        </w:tc>
        <w:tc>
          <w:tcPr>
            <w:tcW w:w="1928" w:type="dxa"/>
          </w:tcPr>
          <w:p w14:paraId="2DB94A34" w14:textId="77777777" w:rsidR="00976AF2" w:rsidRDefault="00976AF2">
            <w:pPr>
              <w:pStyle w:val="TableTextLeft"/>
              <w:jc w:val="center"/>
            </w:pPr>
            <w:r>
              <w:t>-</w:t>
            </w:r>
          </w:p>
        </w:tc>
        <w:tc>
          <w:tcPr>
            <w:tcW w:w="1928" w:type="dxa"/>
          </w:tcPr>
          <w:p w14:paraId="386066E3" w14:textId="77777777" w:rsidR="00976AF2" w:rsidRDefault="00976AF2">
            <w:pPr>
              <w:pStyle w:val="TableTextLeft"/>
              <w:jc w:val="center"/>
            </w:pPr>
            <w:r>
              <w:t>-</w:t>
            </w:r>
          </w:p>
        </w:tc>
        <w:tc>
          <w:tcPr>
            <w:tcW w:w="1928" w:type="dxa"/>
          </w:tcPr>
          <w:p w14:paraId="6557DC91" w14:textId="77777777" w:rsidR="00976AF2" w:rsidRDefault="00976AF2">
            <w:pPr>
              <w:pStyle w:val="TableTextLeft"/>
              <w:jc w:val="center"/>
            </w:pPr>
            <w:r>
              <w:t>-</w:t>
            </w:r>
          </w:p>
        </w:tc>
        <w:tc>
          <w:tcPr>
            <w:tcW w:w="1928" w:type="dxa"/>
          </w:tcPr>
          <w:p w14:paraId="76B5992A" w14:textId="77777777" w:rsidR="00976AF2" w:rsidRDefault="00976AF2">
            <w:pPr>
              <w:pStyle w:val="TableTextLeft"/>
              <w:jc w:val="center"/>
            </w:pPr>
            <w:r>
              <w:t>-</w:t>
            </w:r>
          </w:p>
        </w:tc>
      </w:tr>
      <w:tr w:rsidR="00976AF2" w14:paraId="3F07F2EB" w14:textId="77777777" w:rsidTr="00AE70CC">
        <w:tc>
          <w:tcPr>
            <w:tcW w:w="1927" w:type="dxa"/>
          </w:tcPr>
          <w:p w14:paraId="3931FE9E" w14:textId="77777777" w:rsidR="00976AF2" w:rsidRDefault="00976AF2">
            <w:pPr>
              <w:pStyle w:val="TableTextLeft"/>
              <w:jc w:val="center"/>
            </w:pPr>
            <w:r>
              <w:t>30,000</w:t>
            </w:r>
          </w:p>
        </w:tc>
        <w:tc>
          <w:tcPr>
            <w:tcW w:w="1928" w:type="dxa"/>
          </w:tcPr>
          <w:p w14:paraId="4E01D0C2" w14:textId="77777777" w:rsidR="00976AF2" w:rsidRDefault="00976AF2">
            <w:pPr>
              <w:pStyle w:val="TableTextLeft"/>
              <w:jc w:val="center"/>
            </w:pPr>
            <w:r w:rsidRPr="00534AF8">
              <w:t>673</w:t>
            </w:r>
          </w:p>
        </w:tc>
        <w:tc>
          <w:tcPr>
            <w:tcW w:w="1928" w:type="dxa"/>
          </w:tcPr>
          <w:p w14:paraId="36B288C1" w14:textId="77777777" w:rsidR="00976AF2" w:rsidRDefault="00976AF2">
            <w:pPr>
              <w:pStyle w:val="TableTextLeft"/>
              <w:jc w:val="center"/>
            </w:pPr>
            <w:r>
              <w:t xml:space="preserve"> </w:t>
            </w:r>
            <w:r w:rsidRPr="00534AF8">
              <w:t>Up to 923</w:t>
            </w:r>
          </w:p>
        </w:tc>
        <w:tc>
          <w:tcPr>
            <w:tcW w:w="1928" w:type="dxa"/>
          </w:tcPr>
          <w:p w14:paraId="7A352BA0" w14:textId="77777777" w:rsidR="00976AF2" w:rsidRDefault="00976AF2">
            <w:pPr>
              <w:pStyle w:val="TableTextLeft"/>
              <w:jc w:val="center"/>
            </w:pPr>
            <w:r w:rsidRPr="00534AF8">
              <w:t>1,041</w:t>
            </w:r>
          </w:p>
        </w:tc>
        <w:tc>
          <w:tcPr>
            <w:tcW w:w="1928" w:type="dxa"/>
          </w:tcPr>
          <w:p w14:paraId="64D79F52" w14:textId="77777777" w:rsidR="00976AF2" w:rsidRDefault="00976AF2">
            <w:pPr>
              <w:pStyle w:val="TableTextLeft"/>
              <w:jc w:val="center"/>
            </w:pPr>
            <w:r w:rsidRPr="00534AF8">
              <w:t>Up to 1,281</w:t>
            </w:r>
          </w:p>
        </w:tc>
      </w:tr>
      <w:tr w:rsidR="00976AF2" w14:paraId="35EE572C" w14:textId="77777777" w:rsidTr="00AE70CC">
        <w:tc>
          <w:tcPr>
            <w:tcW w:w="1927" w:type="dxa"/>
          </w:tcPr>
          <w:p w14:paraId="2EFEEAF4" w14:textId="77777777" w:rsidR="00976AF2" w:rsidRDefault="00976AF2">
            <w:pPr>
              <w:pStyle w:val="TableTextLeft"/>
              <w:jc w:val="center"/>
            </w:pPr>
            <w:r w:rsidRPr="00076C6A">
              <w:rPr>
                <w:rFonts w:cs="Calibri Light"/>
                <w:szCs w:val="22"/>
              </w:rPr>
              <w:t>40,000</w:t>
            </w:r>
          </w:p>
        </w:tc>
        <w:tc>
          <w:tcPr>
            <w:tcW w:w="1928" w:type="dxa"/>
          </w:tcPr>
          <w:p w14:paraId="0488545B" w14:textId="77777777" w:rsidR="00976AF2" w:rsidRDefault="00976AF2">
            <w:pPr>
              <w:pStyle w:val="TableTextLeft"/>
              <w:jc w:val="center"/>
            </w:pPr>
            <w:r w:rsidRPr="00534AF8">
              <w:t>872</w:t>
            </w:r>
          </w:p>
        </w:tc>
        <w:tc>
          <w:tcPr>
            <w:tcW w:w="1928" w:type="dxa"/>
          </w:tcPr>
          <w:p w14:paraId="7D18E5FF" w14:textId="77777777" w:rsidR="00976AF2" w:rsidRPr="003823A1" w:rsidRDefault="00976AF2">
            <w:pPr>
              <w:pStyle w:val="TableTextLeft"/>
              <w:jc w:val="center"/>
            </w:pPr>
            <w:r w:rsidRPr="00534AF8">
              <w:t>Up to 1,092</w:t>
            </w:r>
          </w:p>
        </w:tc>
        <w:tc>
          <w:tcPr>
            <w:tcW w:w="1928" w:type="dxa"/>
          </w:tcPr>
          <w:p w14:paraId="3F3C57A8" w14:textId="77777777" w:rsidR="00976AF2" w:rsidRDefault="00976AF2">
            <w:pPr>
              <w:pStyle w:val="TableTextLeft"/>
              <w:jc w:val="center"/>
            </w:pPr>
            <w:r w:rsidRPr="00534AF8">
              <w:t>1,340</w:t>
            </w:r>
            <w:r>
              <w:t xml:space="preserve"> </w:t>
            </w:r>
          </w:p>
        </w:tc>
        <w:tc>
          <w:tcPr>
            <w:tcW w:w="1928" w:type="dxa"/>
          </w:tcPr>
          <w:p w14:paraId="08FB90CA" w14:textId="77777777" w:rsidR="00976AF2" w:rsidRPr="003823A1" w:rsidRDefault="00976AF2">
            <w:pPr>
              <w:pStyle w:val="TableTextLeft"/>
              <w:jc w:val="center"/>
            </w:pPr>
            <w:r w:rsidRPr="00534AF8">
              <w:t>Up to 1,550</w:t>
            </w:r>
          </w:p>
        </w:tc>
      </w:tr>
      <w:tr w:rsidR="00976AF2" w14:paraId="0A12433C" w14:textId="77777777" w:rsidTr="00AE70CC">
        <w:tc>
          <w:tcPr>
            <w:tcW w:w="1927" w:type="dxa"/>
          </w:tcPr>
          <w:p w14:paraId="1392F8E5" w14:textId="77777777" w:rsidR="00976AF2" w:rsidRDefault="00976AF2">
            <w:pPr>
              <w:pStyle w:val="TableTextLeft"/>
              <w:jc w:val="center"/>
            </w:pPr>
            <w:r w:rsidRPr="00076C6A">
              <w:rPr>
                <w:rFonts w:cs="Calibri Light"/>
                <w:szCs w:val="22"/>
              </w:rPr>
              <w:t>50,000</w:t>
            </w:r>
          </w:p>
        </w:tc>
        <w:tc>
          <w:tcPr>
            <w:tcW w:w="1928" w:type="dxa"/>
          </w:tcPr>
          <w:p w14:paraId="08632EBB" w14:textId="77777777" w:rsidR="00976AF2" w:rsidRDefault="00976AF2">
            <w:pPr>
              <w:pStyle w:val="TableTextLeft"/>
              <w:jc w:val="center"/>
            </w:pPr>
            <w:r w:rsidRPr="00534AF8">
              <w:t>1,197</w:t>
            </w:r>
          </w:p>
        </w:tc>
        <w:tc>
          <w:tcPr>
            <w:tcW w:w="1928" w:type="dxa"/>
          </w:tcPr>
          <w:p w14:paraId="60045EA0" w14:textId="77777777" w:rsidR="00976AF2" w:rsidRPr="00B771FB" w:rsidRDefault="00976AF2">
            <w:pPr>
              <w:pStyle w:val="TableTextLeft"/>
              <w:jc w:val="center"/>
            </w:pPr>
            <w:r w:rsidRPr="00534AF8">
              <w:t>Up to 1,532</w:t>
            </w:r>
          </w:p>
        </w:tc>
        <w:tc>
          <w:tcPr>
            <w:tcW w:w="1928" w:type="dxa"/>
          </w:tcPr>
          <w:p w14:paraId="22AEFDCA" w14:textId="77777777" w:rsidR="00976AF2" w:rsidRPr="00534AF8" w:rsidRDefault="00976AF2">
            <w:pPr>
              <w:pStyle w:val="TableTextLeft"/>
              <w:jc w:val="center"/>
            </w:pPr>
            <w:r w:rsidRPr="00534AF8">
              <w:t>1,715</w:t>
            </w:r>
          </w:p>
        </w:tc>
        <w:tc>
          <w:tcPr>
            <w:tcW w:w="1928" w:type="dxa"/>
          </w:tcPr>
          <w:p w14:paraId="2E4AE3CF" w14:textId="77777777" w:rsidR="00976AF2" w:rsidRPr="00534AF8" w:rsidRDefault="00976AF2">
            <w:pPr>
              <w:pStyle w:val="TableTextLeft"/>
              <w:jc w:val="center"/>
            </w:pPr>
            <w:r w:rsidRPr="00534AF8">
              <w:t>Up to 2,050</w:t>
            </w:r>
          </w:p>
        </w:tc>
      </w:tr>
      <w:tr w:rsidR="00976AF2" w14:paraId="11F7DFDD" w14:textId="77777777" w:rsidTr="00AE70CC">
        <w:tc>
          <w:tcPr>
            <w:tcW w:w="1927" w:type="dxa"/>
          </w:tcPr>
          <w:p w14:paraId="79AA0FC3" w14:textId="77777777" w:rsidR="00976AF2" w:rsidRDefault="00976AF2">
            <w:pPr>
              <w:pStyle w:val="TableTextLeft"/>
              <w:jc w:val="center"/>
            </w:pPr>
            <w:r w:rsidRPr="00076C6A">
              <w:rPr>
                <w:rFonts w:cs="Calibri Light"/>
                <w:szCs w:val="22"/>
              </w:rPr>
              <w:t>60,000</w:t>
            </w:r>
          </w:p>
        </w:tc>
        <w:tc>
          <w:tcPr>
            <w:tcW w:w="1928" w:type="dxa"/>
          </w:tcPr>
          <w:p w14:paraId="0C2BAA2C" w14:textId="77777777" w:rsidR="00976AF2" w:rsidRDefault="00976AF2">
            <w:pPr>
              <w:pStyle w:val="TableTextLeft"/>
              <w:jc w:val="center"/>
            </w:pPr>
            <w:r w:rsidRPr="00534AF8">
              <w:t>1,447</w:t>
            </w:r>
          </w:p>
        </w:tc>
        <w:tc>
          <w:tcPr>
            <w:tcW w:w="1928" w:type="dxa"/>
          </w:tcPr>
          <w:p w14:paraId="022C170E" w14:textId="77777777" w:rsidR="00976AF2" w:rsidRPr="00B771FB" w:rsidRDefault="00976AF2">
            <w:pPr>
              <w:pStyle w:val="TableTextLeft"/>
              <w:jc w:val="center"/>
            </w:pPr>
            <w:r w:rsidRPr="00534AF8">
              <w:t>Up to 1,782</w:t>
            </w:r>
          </w:p>
        </w:tc>
        <w:tc>
          <w:tcPr>
            <w:tcW w:w="1928" w:type="dxa"/>
          </w:tcPr>
          <w:p w14:paraId="707D28FC" w14:textId="77777777" w:rsidR="00976AF2" w:rsidRDefault="00976AF2">
            <w:pPr>
              <w:pStyle w:val="TableTextLeft"/>
              <w:jc w:val="center"/>
            </w:pPr>
            <w:r w:rsidRPr="00534AF8">
              <w:t>1,965</w:t>
            </w:r>
          </w:p>
        </w:tc>
        <w:tc>
          <w:tcPr>
            <w:tcW w:w="1928" w:type="dxa"/>
          </w:tcPr>
          <w:p w14:paraId="0C9A2E88" w14:textId="77777777" w:rsidR="00976AF2" w:rsidRPr="00B771FB" w:rsidRDefault="00976AF2">
            <w:pPr>
              <w:pStyle w:val="TableTextLeft"/>
              <w:jc w:val="center"/>
            </w:pPr>
            <w:r w:rsidRPr="00534AF8">
              <w:t>Up to 2,300</w:t>
            </w:r>
          </w:p>
        </w:tc>
      </w:tr>
      <w:tr w:rsidR="00976AF2" w14:paraId="6345F3C4" w14:textId="77777777" w:rsidTr="00AE70CC">
        <w:tc>
          <w:tcPr>
            <w:tcW w:w="1927" w:type="dxa"/>
          </w:tcPr>
          <w:p w14:paraId="6D53ED8F" w14:textId="77777777" w:rsidR="00976AF2" w:rsidRDefault="00976AF2">
            <w:pPr>
              <w:pStyle w:val="TableTextLeft"/>
              <w:jc w:val="center"/>
            </w:pPr>
            <w:r w:rsidRPr="00076C6A">
              <w:rPr>
                <w:rFonts w:cs="Calibri Light"/>
                <w:szCs w:val="22"/>
              </w:rPr>
              <w:t>70,000</w:t>
            </w:r>
          </w:p>
        </w:tc>
        <w:tc>
          <w:tcPr>
            <w:tcW w:w="1928" w:type="dxa"/>
          </w:tcPr>
          <w:p w14:paraId="47CD83B4" w14:textId="77777777" w:rsidR="00976AF2" w:rsidRDefault="00976AF2">
            <w:pPr>
              <w:pStyle w:val="TableTextLeft"/>
              <w:jc w:val="center"/>
            </w:pPr>
            <w:r w:rsidRPr="00534AF8">
              <w:t>1,697</w:t>
            </w:r>
          </w:p>
        </w:tc>
        <w:tc>
          <w:tcPr>
            <w:tcW w:w="1928" w:type="dxa"/>
          </w:tcPr>
          <w:p w14:paraId="32427ADD" w14:textId="77777777" w:rsidR="00976AF2" w:rsidRPr="00B771FB" w:rsidRDefault="00976AF2">
            <w:pPr>
              <w:pStyle w:val="TableTextLeft"/>
              <w:jc w:val="center"/>
            </w:pPr>
            <w:r w:rsidRPr="00534AF8">
              <w:t>Up to 2,017</w:t>
            </w:r>
          </w:p>
        </w:tc>
        <w:tc>
          <w:tcPr>
            <w:tcW w:w="1928" w:type="dxa"/>
          </w:tcPr>
          <w:p w14:paraId="3B704E65" w14:textId="77777777" w:rsidR="00976AF2" w:rsidRDefault="00976AF2">
            <w:pPr>
              <w:pStyle w:val="TableTextLeft"/>
              <w:jc w:val="center"/>
            </w:pPr>
            <w:r w:rsidRPr="00534AF8">
              <w:t>2,215</w:t>
            </w:r>
          </w:p>
        </w:tc>
        <w:tc>
          <w:tcPr>
            <w:tcW w:w="1928" w:type="dxa"/>
          </w:tcPr>
          <w:p w14:paraId="5E7C57EC" w14:textId="77777777" w:rsidR="00976AF2" w:rsidRPr="00B771FB" w:rsidRDefault="00976AF2">
            <w:pPr>
              <w:pStyle w:val="TableTextLeft"/>
              <w:jc w:val="center"/>
            </w:pPr>
            <w:r>
              <w:t xml:space="preserve">Up to </w:t>
            </w:r>
            <w:r w:rsidRPr="00D90862">
              <w:t>2,535</w:t>
            </w:r>
          </w:p>
        </w:tc>
      </w:tr>
      <w:tr w:rsidR="00976AF2" w14:paraId="20094CC5" w14:textId="77777777" w:rsidTr="00AE70CC">
        <w:tc>
          <w:tcPr>
            <w:tcW w:w="1927" w:type="dxa"/>
          </w:tcPr>
          <w:p w14:paraId="0DA589C9" w14:textId="77777777" w:rsidR="00976AF2" w:rsidRDefault="00976AF2">
            <w:pPr>
              <w:pStyle w:val="TableTextLeft"/>
              <w:jc w:val="center"/>
            </w:pPr>
            <w:r w:rsidRPr="00076C6A">
              <w:rPr>
                <w:rFonts w:cs="Calibri Light"/>
                <w:szCs w:val="22"/>
              </w:rPr>
              <w:t>80,000</w:t>
            </w:r>
          </w:p>
        </w:tc>
        <w:tc>
          <w:tcPr>
            <w:tcW w:w="1928" w:type="dxa"/>
          </w:tcPr>
          <w:p w14:paraId="22A3A6DC" w14:textId="77777777" w:rsidR="00976AF2" w:rsidRDefault="00976AF2">
            <w:pPr>
              <w:pStyle w:val="TableTextLeft"/>
              <w:jc w:val="center"/>
            </w:pPr>
            <w:r w:rsidRPr="0064573D">
              <w:t>1,947</w:t>
            </w:r>
          </w:p>
        </w:tc>
        <w:tc>
          <w:tcPr>
            <w:tcW w:w="1928" w:type="dxa"/>
          </w:tcPr>
          <w:p w14:paraId="7B44FA4B" w14:textId="77777777" w:rsidR="00976AF2" w:rsidRPr="004057C4" w:rsidRDefault="00976AF2">
            <w:pPr>
              <w:pStyle w:val="TableTextLeft"/>
              <w:jc w:val="center"/>
            </w:pPr>
            <w:r>
              <w:t xml:space="preserve">Up to </w:t>
            </w:r>
            <w:r w:rsidRPr="00201EAD">
              <w:t>2,267</w:t>
            </w:r>
          </w:p>
        </w:tc>
        <w:tc>
          <w:tcPr>
            <w:tcW w:w="1928" w:type="dxa"/>
          </w:tcPr>
          <w:p w14:paraId="20430E2D" w14:textId="77777777" w:rsidR="00976AF2" w:rsidRDefault="00976AF2">
            <w:pPr>
              <w:pStyle w:val="TableTextLeft"/>
              <w:jc w:val="center"/>
            </w:pPr>
            <w:r w:rsidRPr="004057C4">
              <w:t>2,465</w:t>
            </w:r>
          </w:p>
        </w:tc>
        <w:tc>
          <w:tcPr>
            <w:tcW w:w="1928" w:type="dxa"/>
          </w:tcPr>
          <w:p w14:paraId="4783A2CC" w14:textId="77777777" w:rsidR="00976AF2" w:rsidRPr="004057C4" w:rsidRDefault="00976AF2">
            <w:pPr>
              <w:pStyle w:val="TableTextLeft"/>
              <w:jc w:val="center"/>
            </w:pPr>
            <w:r>
              <w:t xml:space="preserve">Up to </w:t>
            </w:r>
            <w:r w:rsidRPr="00D90862">
              <w:t>2,785</w:t>
            </w:r>
          </w:p>
        </w:tc>
      </w:tr>
      <w:tr w:rsidR="00976AF2" w14:paraId="7F78E4CA" w14:textId="77777777" w:rsidTr="00AE70CC">
        <w:tc>
          <w:tcPr>
            <w:tcW w:w="1927" w:type="dxa"/>
          </w:tcPr>
          <w:p w14:paraId="1FD2E12F" w14:textId="77777777" w:rsidR="00976AF2" w:rsidRDefault="00976AF2">
            <w:pPr>
              <w:pStyle w:val="TableTextLeft"/>
              <w:jc w:val="center"/>
            </w:pPr>
            <w:r w:rsidRPr="00076C6A">
              <w:rPr>
                <w:rFonts w:cs="Calibri Light"/>
                <w:szCs w:val="22"/>
              </w:rPr>
              <w:t>90,000</w:t>
            </w:r>
          </w:p>
        </w:tc>
        <w:tc>
          <w:tcPr>
            <w:tcW w:w="1928" w:type="dxa"/>
          </w:tcPr>
          <w:p w14:paraId="781583B7" w14:textId="77777777" w:rsidR="00976AF2" w:rsidRDefault="00976AF2">
            <w:pPr>
              <w:pStyle w:val="TableTextLeft"/>
              <w:jc w:val="center"/>
            </w:pPr>
            <w:r w:rsidRPr="00AE26FC">
              <w:t>2,197</w:t>
            </w:r>
          </w:p>
        </w:tc>
        <w:tc>
          <w:tcPr>
            <w:tcW w:w="1928" w:type="dxa"/>
          </w:tcPr>
          <w:p w14:paraId="6C6AF3CC" w14:textId="77777777" w:rsidR="00976AF2" w:rsidRPr="00815AC7" w:rsidRDefault="00976AF2">
            <w:pPr>
              <w:pStyle w:val="TableTextLeft"/>
              <w:jc w:val="center"/>
            </w:pPr>
            <w:r>
              <w:t xml:space="preserve">Up to </w:t>
            </w:r>
            <w:r w:rsidRPr="00201EAD">
              <w:t>2,517</w:t>
            </w:r>
          </w:p>
        </w:tc>
        <w:tc>
          <w:tcPr>
            <w:tcW w:w="1928" w:type="dxa"/>
          </w:tcPr>
          <w:p w14:paraId="5E17BDBD" w14:textId="77777777" w:rsidR="00976AF2" w:rsidRDefault="00976AF2">
            <w:pPr>
              <w:pStyle w:val="TableTextLeft"/>
              <w:jc w:val="center"/>
            </w:pPr>
            <w:r w:rsidRPr="00815AC7">
              <w:t>2,715</w:t>
            </w:r>
          </w:p>
        </w:tc>
        <w:tc>
          <w:tcPr>
            <w:tcW w:w="1928" w:type="dxa"/>
          </w:tcPr>
          <w:p w14:paraId="4FD6D367" w14:textId="77777777" w:rsidR="00976AF2" w:rsidRPr="00815AC7" w:rsidRDefault="00976AF2">
            <w:pPr>
              <w:pStyle w:val="TableTextLeft"/>
              <w:jc w:val="center"/>
            </w:pPr>
            <w:r>
              <w:t xml:space="preserve">Up to </w:t>
            </w:r>
            <w:r w:rsidRPr="00D90862">
              <w:t>3,035</w:t>
            </w:r>
          </w:p>
        </w:tc>
      </w:tr>
      <w:tr w:rsidR="00976AF2" w14:paraId="435EFE4C" w14:textId="77777777" w:rsidTr="00AE70CC">
        <w:tc>
          <w:tcPr>
            <w:tcW w:w="1927" w:type="dxa"/>
          </w:tcPr>
          <w:p w14:paraId="5BEE196F" w14:textId="77777777" w:rsidR="00976AF2" w:rsidRDefault="00976AF2">
            <w:pPr>
              <w:pStyle w:val="TableTextLeft"/>
              <w:jc w:val="center"/>
            </w:pPr>
            <w:r w:rsidRPr="00076C6A">
              <w:rPr>
                <w:rFonts w:cs="Calibri Light"/>
                <w:szCs w:val="22"/>
              </w:rPr>
              <w:t>100,000</w:t>
            </w:r>
          </w:p>
        </w:tc>
        <w:tc>
          <w:tcPr>
            <w:tcW w:w="1928" w:type="dxa"/>
          </w:tcPr>
          <w:p w14:paraId="5852A17F" w14:textId="77777777" w:rsidR="00976AF2" w:rsidRDefault="00976AF2">
            <w:pPr>
              <w:pStyle w:val="TableTextLeft"/>
              <w:jc w:val="center"/>
            </w:pPr>
            <w:r w:rsidRPr="00AE26FC">
              <w:t>2,447</w:t>
            </w:r>
          </w:p>
        </w:tc>
        <w:tc>
          <w:tcPr>
            <w:tcW w:w="1928" w:type="dxa"/>
          </w:tcPr>
          <w:p w14:paraId="750A6DBC" w14:textId="77777777" w:rsidR="00976AF2" w:rsidRPr="00815AC7" w:rsidRDefault="00976AF2">
            <w:pPr>
              <w:pStyle w:val="TableTextLeft"/>
              <w:jc w:val="center"/>
            </w:pPr>
            <w:r>
              <w:t xml:space="preserve">Up to </w:t>
            </w:r>
            <w:r w:rsidRPr="00201EAD">
              <w:t>2,767</w:t>
            </w:r>
          </w:p>
        </w:tc>
        <w:tc>
          <w:tcPr>
            <w:tcW w:w="1928" w:type="dxa"/>
          </w:tcPr>
          <w:p w14:paraId="2C20B504" w14:textId="77777777" w:rsidR="00976AF2" w:rsidRDefault="00976AF2">
            <w:pPr>
              <w:pStyle w:val="TableTextLeft"/>
              <w:jc w:val="center"/>
            </w:pPr>
            <w:r w:rsidRPr="00815AC7">
              <w:t>2,965</w:t>
            </w:r>
          </w:p>
        </w:tc>
        <w:tc>
          <w:tcPr>
            <w:tcW w:w="1928" w:type="dxa"/>
          </w:tcPr>
          <w:p w14:paraId="7DCD2DB2" w14:textId="77777777" w:rsidR="00976AF2" w:rsidRPr="00815AC7" w:rsidRDefault="00976AF2">
            <w:pPr>
              <w:pStyle w:val="TableTextLeft"/>
              <w:jc w:val="center"/>
            </w:pPr>
            <w:r>
              <w:t xml:space="preserve">Up to </w:t>
            </w:r>
            <w:r w:rsidRPr="00D90862">
              <w:t>3,285</w:t>
            </w:r>
          </w:p>
        </w:tc>
      </w:tr>
      <w:tr w:rsidR="00976AF2" w14:paraId="6AD1B123" w14:textId="77777777" w:rsidTr="00AE70CC">
        <w:tc>
          <w:tcPr>
            <w:tcW w:w="1927" w:type="dxa"/>
          </w:tcPr>
          <w:p w14:paraId="2E4E9489" w14:textId="77777777" w:rsidR="00976AF2" w:rsidRDefault="00976AF2">
            <w:pPr>
              <w:pStyle w:val="TableTextLeft"/>
              <w:jc w:val="center"/>
            </w:pPr>
            <w:r w:rsidRPr="00076C6A">
              <w:rPr>
                <w:rFonts w:cs="Calibri Light"/>
                <w:szCs w:val="22"/>
              </w:rPr>
              <w:t>110,000</w:t>
            </w:r>
          </w:p>
        </w:tc>
        <w:tc>
          <w:tcPr>
            <w:tcW w:w="1928" w:type="dxa"/>
          </w:tcPr>
          <w:p w14:paraId="17A506F7" w14:textId="77777777" w:rsidR="00976AF2" w:rsidRDefault="00976AF2">
            <w:pPr>
              <w:pStyle w:val="TableTextLeft"/>
              <w:jc w:val="center"/>
            </w:pPr>
            <w:r w:rsidRPr="00EB2987">
              <w:t>2,697</w:t>
            </w:r>
          </w:p>
        </w:tc>
        <w:tc>
          <w:tcPr>
            <w:tcW w:w="1928" w:type="dxa"/>
          </w:tcPr>
          <w:p w14:paraId="3108F83D" w14:textId="77777777" w:rsidR="00976AF2" w:rsidRPr="000331B5" w:rsidRDefault="00976AF2">
            <w:pPr>
              <w:pStyle w:val="TableTextLeft"/>
              <w:jc w:val="center"/>
            </w:pPr>
            <w:r>
              <w:t xml:space="preserve">Up to </w:t>
            </w:r>
            <w:r w:rsidRPr="00201EAD">
              <w:t>3,017</w:t>
            </w:r>
          </w:p>
        </w:tc>
        <w:tc>
          <w:tcPr>
            <w:tcW w:w="1928" w:type="dxa"/>
          </w:tcPr>
          <w:p w14:paraId="40281314" w14:textId="77777777" w:rsidR="00976AF2" w:rsidRDefault="00976AF2">
            <w:pPr>
              <w:pStyle w:val="TableTextLeft"/>
              <w:jc w:val="center"/>
            </w:pPr>
            <w:r w:rsidRPr="000331B5">
              <w:t>3,215</w:t>
            </w:r>
          </w:p>
        </w:tc>
        <w:tc>
          <w:tcPr>
            <w:tcW w:w="1928" w:type="dxa"/>
          </w:tcPr>
          <w:p w14:paraId="5C70B4B7" w14:textId="77777777" w:rsidR="00976AF2" w:rsidRPr="000331B5" w:rsidRDefault="00976AF2">
            <w:pPr>
              <w:pStyle w:val="TableTextLeft"/>
              <w:jc w:val="center"/>
            </w:pPr>
            <w:r>
              <w:t xml:space="preserve">Up to </w:t>
            </w:r>
            <w:r w:rsidRPr="00D90862">
              <w:t>3,535</w:t>
            </w:r>
          </w:p>
        </w:tc>
      </w:tr>
      <w:tr w:rsidR="00976AF2" w14:paraId="104A6FAE" w14:textId="77777777" w:rsidTr="00AE70CC">
        <w:tc>
          <w:tcPr>
            <w:tcW w:w="1927" w:type="dxa"/>
          </w:tcPr>
          <w:p w14:paraId="098571B2" w14:textId="77777777" w:rsidR="00976AF2" w:rsidRDefault="00976AF2">
            <w:pPr>
              <w:pStyle w:val="TableTextLeft"/>
              <w:jc w:val="center"/>
            </w:pPr>
            <w:r w:rsidRPr="00076C6A">
              <w:rPr>
                <w:rFonts w:cs="Calibri Light"/>
                <w:szCs w:val="22"/>
              </w:rPr>
              <w:t>120,000</w:t>
            </w:r>
          </w:p>
        </w:tc>
        <w:tc>
          <w:tcPr>
            <w:tcW w:w="1928" w:type="dxa"/>
          </w:tcPr>
          <w:p w14:paraId="5F677561" w14:textId="77777777" w:rsidR="00976AF2" w:rsidRDefault="00976AF2">
            <w:pPr>
              <w:pStyle w:val="TableTextLeft"/>
              <w:jc w:val="center"/>
            </w:pPr>
            <w:r w:rsidRPr="00EB2987">
              <w:t>2,947</w:t>
            </w:r>
          </w:p>
        </w:tc>
        <w:tc>
          <w:tcPr>
            <w:tcW w:w="1928" w:type="dxa"/>
          </w:tcPr>
          <w:p w14:paraId="1F0F0187" w14:textId="77777777" w:rsidR="00976AF2" w:rsidRPr="000331B5" w:rsidRDefault="00976AF2">
            <w:pPr>
              <w:pStyle w:val="TableTextLeft"/>
              <w:jc w:val="center"/>
            </w:pPr>
            <w:r>
              <w:t xml:space="preserve">Up to </w:t>
            </w:r>
            <w:r w:rsidRPr="00201EAD">
              <w:t>3,267</w:t>
            </w:r>
          </w:p>
        </w:tc>
        <w:tc>
          <w:tcPr>
            <w:tcW w:w="1928" w:type="dxa"/>
          </w:tcPr>
          <w:p w14:paraId="1DBA521D" w14:textId="77777777" w:rsidR="00976AF2" w:rsidRDefault="00976AF2">
            <w:pPr>
              <w:pStyle w:val="TableTextLeft"/>
              <w:jc w:val="center"/>
            </w:pPr>
            <w:r w:rsidRPr="000331B5">
              <w:t>3,465</w:t>
            </w:r>
          </w:p>
        </w:tc>
        <w:tc>
          <w:tcPr>
            <w:tcW w:w="1928" w:type="dxa"/>
          </w:tcPr>
          <w:p w14:paraId="0FECF39C" w14:textId="77777777" w:rsidR="00976AF2" w:rsidRPr="000331B5" w:rsidRDefault="00976AF2">
            <w:pPr>
              <w:pStyle w:val="TableTextLeft"/>
              <w:jc w:val="center"/>
            </w:pPr>
            <w:r>
              <w:t xml:space="preserve">Up to </w:t>
            </w:r>
            <w:r w:rsidRPr="00D90862">
              <w:t>3,785</w:t>
            </w:r>
          </w:p>
        </w:tc>
      </w:tr>
      <w:tr w:rsidR="00976AF2" w14:paraId="0C187948" w14:textId="77777777" w:rsidTr="00AE70CC">
        <w:tc>
          <w:tcPr>
            <w:tcW w:w="1927" w:type="dxa"/>
          </w:tcPr>
          <w:p w14:paraId="12AB2F0B" w14:textId="77777777" w:rsidR="00976AF2" w:rsidRDefault="00976AF2">
            <w:pPr>
              <w:pStyle w:val="TableTextLeft"/>
              <w:jc w:val="center"/>
            </w:pPr>
            <w:r w:rsidRPr="00076C6A">
              <w:rPr>
                <w:rFonts w:cs="Calibri Light"/>
                <w:szCs w:val="22"/>
              </w:rPr>
              <w:t>130,000</w:t>
            </w:r>
          </w:p>
        </w:tc>
        <w:tc>
          <w:tcPr>
            <w:tcW w:w="1928" w:type="dxa"/>
          </w:tcPr>
          <w:p w14:paraId="4C3881C0" w14:textId="77777777" w:rsidR="00976AF2" w:rsidRDefault="00976AF2">
            <w:pPr>
              <w:pStyle w:val="TableTextLeft"/>
              <w:jc w:val="center"/>
            </w:pPr>
            <w:r w:rsidRPr="00EB2987">
              <w:t>3,647</w:t>
            </w:r>
          </w:p>
        </w:tc>
        <w:tc>
          <w:tcPr>
            <w:tcW w:w="1928" w:type="dxa"/>
          </w:tcPr>
          <w:p w14:paraId="2ED68AE7" w14:textId="77777777" w:rsidR="00976AF2" w:rsidRPr="000331B5" w:rsidRDefault="00976AF2">
            <w:pPr>
              <w:pStyle w:val="TableTextLeft"/>
              <w:jc w:val="center"/>
            </w:pPr>
            <w:r>
              <w:t xml:space="preserve">Up to </w:t>
            </w:r>
            <w:r w:rsidRPr="00201EAD">
              <w:t>3,967</w:t>
            </w:r>
          </w:p>
        </w:tc>
        <w:tc>
          <w:tcPr>
            <w:tcW w:w="1928" w:type="dxa"/>
          </w:tcPr>
          <w:p w14:paraId="779B85D3" w14:textId="77777777" w:rsidR="00976AF2" w:rsidRDefault="00976AF2">
            <w:pPr>
              <w:pStyle w:val="TableTextLeft"/>
              <w:jc w:val="center"/>
            </w:pPr>
            <w:r w:rsidRPr="000331B5">
              <w:t>4,165</w:t>
            </w:r>
          </w:p>
        </w:tc>
        <w:tc>
          <w:tcPr>
            <w:tcW w:w="1928" w:type="dxa"/>
          </w:tcPr>
          <w:p w14:paraId="2469DB8D" w14:textId="77777777" w:rsidR="00976AF2" w:rsidRPr="000331B5" w:rsidRDefault="00976AF2">
            <w:pPr>
              <w:pStyle w:val="TableTextLeft"/>
              <w:jc w:val="center"/>
            </w:pPr>
            <w:r>
              <w:t xml:space="preserve">Up to </w:t>
            </w:r>
            <w:r w:rsidRPr="00D90862">
              <w:t>4,485</w:t>
            </w:r>
          </w:p>
        </w:tc>
      </w:tr>
      <w:tr w:rsidR="00976AF2" w14:paraId="128D6136" w14:textId="77777777" w:rsidTr="00AE70CC">
        <w:tc>
          <w:tcPr>
            <w:tcW w:w="1927" w:type="dxa"/>
          </w:tcPr>
          <w:p w14:paraId="21F17675" w14:textId="77777777" w:rsidR="00976AF2" w:rsidRDefault="00976AF2">
            <w:pPr>
              <w:pStyle w:val="TableTextLeft"/>
              <w:jc w:val="center"/>
            </w:pPr>
            <w:r w:rsidRPr="00076C6A">
              <w:rPr>
                <w:rFonts w:cs="Calibri Light"/>
                <w:szCs w:val="22"/>
              </w:rPr>
              <w:t>140,000</w:t>
            </w:r>
          </w:p>
        </w:tc>
        <w:tc>
          <w:tcPr>
            <w:tcW w:w="1928" w:type="dxa"/>
          </w:tcPr>
          <w:p w14:paraId="475A1BED" w14:textId="77777777" w:rsidR="00976AF2" w:rsidRDefault="00976AF2">
            <w:pPr>
              <w:pStyle w:val="TableTextLeft"/>
              <w:jc w:val="center"/>
            </w:pPr>
            <w:r w:rsidRPr="0070790B">
              <w:t>3,997</w:t>
            </w:r>
          </w:p>
        </w:tc>
        <w:tc>
          <w:tcPr>
            <w:tcW w:w="1928" w:type="dxa"/>
          </w:tcPr>
          <w:p w14:paraId="66EE407E" w14:textId="77777777" w:rsidR="00976AF2" w:rsidRPr="0093195E" w:rsidRDefault="00976AF2">
            <w:pPr>
              <w:pStyle w:val="TableTextLeft"/>
              <w:jc w:val="center"/>
            </w:pPr>
            <w:r>
              <w:t xml:space="preserve">Up to </w:t>
            </w:r>
            <w:r w:rsidRPr="00201EAD">
              <w:t>4,387</w:t>
            </w:r>
          </w:p>
        </w:tc>
        <w:tc>
          <w:tcPr>
            <w:tcW w:w="1928" w:type="dxa"/>
          </w:tcPr>
          <w:p w14:paraId="5D2D031B" w14:textId="77777777" w:rsidR="00976AF2" w:rsidRDefault="00976AF2">
            <w:pPr>
              <w:pStyle w:val="TableTextLeft"/>
              <w:jc w:val="center"/>
            </w:pPr>
            <w:r w:rsidRPr="0093195E">
              <w:t>4,515</w:t>
            </w:r>
          </w:p>
        </w:tc>
        <w:tc>
          <w:tcPr>
            <w:tcW w:w="1928" w:type="dxa"/>
          </w:tcPr>
          <w:p w14:paraId="22DCFAC7" w14:textId="77777777" w:rsidR="00976AF2" w:rsidRPr="0093195E" w:rsidRDefault="00976AF2">
            <w:pPr>
              <w:pStyle w:val="TableTextLeft"/>
              <w:jc w:val="center"/>
            </w:pPr>
            <w:r>
              <w:t xml:space="preserve">Up to </w:t>
            </w:r>
            <w:r w:rsidRPr="00D90862">
              <w:t>4,905</w:t>
            </w:r>
          </w:p>
        </w:tc>
      </w:tr>
      <w:tr w:rsidR="00976AF2" w14:paraId="7C803DF1" w14:textId="77777777" w:rsidTr="00AE70CC">
        <w:tc>
          <w:tcPr>
            <w:tcW w:w="1927" w:type="dxa"/>
          </w:tcPr>
          <w:p w14:paraId="54D721F1" w14:textId="77777777" w:rsidR="00976AF2" w:rsidRDefault="00976AF2">
            <w:pPr>
              <w:pStyle w:val="TableTextLeft"/>
              <w:jc w:val="center"/>
            </w:pPr>
            <w:r w:rsidRPr="00076C6A">
              <w:rPr>
                <w:rFonts w:cs="Calibri Light"/>
                <w:szCs w:val="22"/>
              </w:rPr>
              <w:t>150,000</w:t>
            </w:r>
          </w:p>
        </w:tc>
        <w:tc>
          <w:tcPr>
            <w:tcW w:w="1928" w:type="dxa"/>
          </w:tcPr>
          <w:p w14:paraId="5C3E05C6" w14:textId="77777777" w:rsidR="00976AF2" w:rsidRDefault="00976AF2">
            <w:pPr>
              <w:pStyle w:val="TableTextLeft"/>
              <w:jc w:val="center"/>
            </w:pPr>
            <w:r w:rsidRPr="0070790B">
              <w:t>3,997</w:t>
            </w:r>
          </w:p>
        </w:tc>
        <w:tc>
          <w:tcPr>
            <w:tcW w:w="1928" w:type="dxa"/>
          </w:tcPr>
          <w:p w14:paraId="527053FF" w14:textId="77777777" w:rsidR="00976AF2" w:rsidRPr="0093195E" w:rsidRDefault="00976AF2">
            <w:pPr>
              <w:pStyle w:val="TableTextLeft"/>
              <w:jc w:val="center"/>
            </w:pPr>
            <w:r>
              <w:t xml:space="preserve">Up to </w:t>
            </w:r>
            <w:r w:rsidRPr="00201EAD">
              <w:t>4,387</w:t>
            </w:r>
          </w:p>
        </w:tc>
        <w:tc>
          <w:tcPr>
            <w:tcW w:w="1928" w:type="dxa"/>
          </w:tcPr>
          <w:p w14:paraId="3A533A06" w14:textId="77777777" w:rsidR="00976AF2" w:rsidRDefault="00976AF2">
            <w:pPr>
              <w:pStyle w:val="TableTextLeft"/>
              <w:jc w:val="center"/>
            </w:pPr>
            <w:r w:rsidRPr="0093195E">
              <w:t>4,515</w:t>
            </w:r>
          </w:p>
        </w:tc>
        <w:tc>
          <w:tcPr>
            <w:tcW w:w="1928" w:type="dxa"/>
          </w:tcPr>
          <w:p w14:paraId="25E5D099" w14:textId="77777777" w:rsidR="00976AF2" w:rsidRPr="0093195E" w:rsidRDefault="00976AF2">
            <w:pPr>
              <w:pStyle w:val="TableTextLeft"/>
              <w:jc w:val="center"/>
            </w:pPr>
            <w:r>
              <w:t xml:space="preserve">Up to </w:t>
            </w:r>
            <w:r w:rsidRPr="00D90862">
              <w:t>4,905</w:t>
            </w:r>
          </w:p>
        </w:tc>
      </w:tr>
      <w:tr w:rsidR="00976AF2" w14:paraId="2C31CC04" w14:textId="77777777" w:rsidTr="00AE70CC">
        <w:tc>
          <w:tcPr>
            <w:tcW w:w="1927" w:type="dxa"/>
          </w:tcPr>
          <w:p w14:paraId="5ED547E0" w14:textId="77777777" w:rsidR="00976AF2" w:rsidRDefault="00976AF2">
            <w:pPr>
              <w:pStyle w:val="TableTextLeft"/>
              <w:jc w:val="center"/>
            </w:pPr>
            <w:r w:rsidRPr="00076C6A">
              <w:rPr>
                <w:rFonts w:cs="Calibri Light"/>
                <w:szCs w:val="22"/>
              </w:rPr>
              <w:t>160,000</w:t>
            </w:r>
          </w:p>
        </w:tc>
        <w:tc>
          <w:tcPr>
            <w:tcW w:w="1928" w:type="dxa"/>
          </w:tcPr>
          <w:p w14:paraId="373349FF" w14:textId="77777777" w:rsidR="00976AF2" w:rsidRDefault="00976AF2">
            <w:pPr>
              <w:pStyle w:val="TableTextLeft"/>
              <w:jc w:val="center"/>
            </w:pPr>
            <w:r w:rsidRPr="0070790B">
              <w:t>3,997</w:t>
            </w:r>
          </w:p>
        </w:tc>
        <w:tc>
          <w:tcPr>
            <w:tcW w:w="1928" w:type="dxa"/>
          </w:tcPr>
          <w:p w14:paraId="45AA8B83" w14:textId="77777777" w:rsidR="00976AF2" w:rsidRPr="0093195E" w:rsidRDefault="00976AF2">
            <w:pPr>
              <w:pStyle w:val="TableTextLeft"/>
              <w:jc w:val="center"/>
            </w:pPr>
            <w:r>
              <w:t xml:space="preserve">Up to </w:t>
            </w:r>
            <w:r w:rsidRPr="00201EAD">
              <w:t>4,387</w:t>
            </w:r>
          </w:p>
        </w:tc>
        <w:tc>
          <w:tcPr>
            <w:tcW w:w="1928" w:type="dxa"/>
          </w:tcPr>
          <w:p w14:paraId="3AB6EC31" w14:textId="77777777" w:rsidR="00976AF2" w:rsidRDefault="00976AF2">
            <w:pPr>
              <w:pStyle w:val="TableTextLeft"/>
              <w:jc w:val="center"/>
            </w:pPr>
            <w:r w:rsidRPr="0093195E">
              <w:t>4,515</w:t>
            </w:r>
          </w:p>
        </w:tc>
        <w:tc>
          <w:tcPr>
            <w:tcW w:w="1928" w:type="dxa"/>
          </w:tcPr>
          <w:p w14:paraId="168FF835" w14:textId="77777777" w:rsidR="00976AF2" w:rsidRPr="0093195E" w:rsidRDefault="00976AF2">
            <w:pPr>
              <w:pStyle w:val="TableTextLeft"/>
              <w:jc w:val="center"/>
            </w:pPr>
            <w:r>
              <w:t xml:space="preserve">Up to </w:t>
            </w:r>
            <w:r w:rsidRPr="00D90862">
              <w:t>4,905</w:t>
            </w:r>
          </w:p>
        </w:tc>
      </w:tr>
      <w:tr w:rsidR="00976AF2" w14:paraId="0BB6918F" w14:textId="77777777" w:rsidTr="00AE70CC">
        <w:tc>
          <w:tcPr>
            <w:tcW w:w="1927" w:type="dxa"/>
          </w:tcPr>
          <w:p w14:paraId="0D6C893A" w14:textId="77777777" w:rsidR="00976AF2" w:rsidRDefault="00976AF2">
            <w:pPr>
              <w:pStyle w:val="TableTextLeft"/>
              <w:jc w:val="center"/>
            </w:pPr>
            <w:r w:rsidRPr="00076C6A">
              <w:rPr>
                <w:rFonts w:cs="Calibri Light"/>
                <w:szCs w:val="22"/>
              </w:rPr>
              <w:t>170,000</w:t>
            </w:r>
          </w:p>
        </w:tc>
        <w:tc>
          <w:tcPr>
            <w:tcW w:w="1928" w:type="dxa"/>
          </w:tcPr>
          <w:p w14:paraId="17D92C65" w14:textId="77777777" w:rsidR="00976AF2" w:rsidRDefault="00976AF2">
            <w:pPr>
              <w:pStyle w:val="TableTextLeft"/>
              <w:jc w:val="center"/>
            </w:pPr>
            <w:r w:rsidRPr="0070790B">
              <w:t>3,997</w:t>
            </w:r>
          </w:p>
        </w:tc>
        <w:tc>
          <w:tcPr>
            <w:tcW w:w="1928" w:type="dxa"/>
          </w:tcPr>
          <w:p w14:paraId="0188EC9F" w14:textId="77777777" w:rsidR="00976AF2" w:rsidRPr="0093195E" w:rsidRDefault="00976AF2">
            <w:pPr>
              <w:pStyle w:val="TableTextLeft"/>
              <w:jc w:val="center"/>
            </w:pPr>
            <w:r>
              <w:t xml:space="preserve">Up to </w:t>
            </w:r>
            <w:r w:rsidRPr="00201EAD">
              <w:t>4,387</w:t>
            </w:r>
          </w:p>
        </w:tc>
        <w:tc>
          <w:tcPr>
            <w:tcW w:w="1928" w:type="dxa"/>
          </w:tcPr>
          <w:p w14:paraId="7CEA3FA3" w14:textId="77777777" w:rsidR="00976AF2" w:rsidRDefault="00976AF2">
            <w:pPr>
              <w:pStyle w:val="TableTextLeft"/>
              <w:jc w:val="center"/>
            </w:pPr>
            <w:r w:rsidRPr="0093195E">
              <w:t>4,515</w:t>
            </w:r>
          </w:p>
        </w:tc>
        <w:tc>
          <w:tcPr>
            <w:tcW w:w="1928" w:type="dxa"/>
          </w:tcPr>
          <w:p w14:paraId="4198530B" w14:textId="77777777" w:rsidR="00976AF2" w:rsidRPr="0093195E" w:rsidRDefault="00976AF2">
            <w:pPr>
              <w:pStyle w:val="TableTextLeft"/>
              <w:jc w:val="center"/>
            </w:pPr>
            <w:r>
              <w:t xml:space="preserve">Up to </w:t>
            </w:r>
            <w:r w:rsidRPr="00D90862">
              <w:t>4,905</w:t>
            </w:r>
          </w:p>
        </w:tc>
      </w:tr>
      <w:tr w:rsidR="00976AF2" w14:paraId="65AC577B" w14:textId="77777777" w:rsidTr="00AE70CC">
        <w:tc>
          <w:tcPr>
            <w:tcW w:w="1927" w:type="dxa"/>
          </w:tcPr>
          <w:p w14:paraId="75FAD624" w14:textId="77777777" w:rsidR="00976AF2" w:rsidRDefault="00976AF2">
            <w:pPr>
              <w:pStyle w:val="TableTextLeft"/>
              <w:jc w:val="center"/>
            </w:pPr>
            <w:r w:rsidRPr="00076C6A">
              <w:rPr>
                <w:rFonts w:cs="Calibri Light"/>
                <w:szCs w:val="22"/>
              </w:rPr>
              <w:t>180,000</w:t>
            </w:r>
          </w:p>
        </w:tc>
        <w:tc>
          <w:tcPr>
            <w:tcW w:w="1928" w:type="dxa"/>
          </w:tcPr>
          <w:p w14:paraId="32F60FF3" w14:textId="77777777" w:rsidR="00976AF2" w:rsidRDefault="00976AF2">
            <w:pPr>
              <w:pStyle w:val="TableTextLeft"/>
              <w:jc w:val="center"/>
            </w:pPr>
            <w:r w:rsidRPr="0070790B">
              <w:t>3,997</w:t>
            </w:r>
          </w:p>
        </w:tc>
        <w:tc>
          <w:tcPr>
            <w:tcW w:w="1928" w:type="dxa"/>
          </w:tcPr>
          <w:p w14:paraId="24CEB445" w14:textId="77777777" w:rsidR="00976AF2" w:rsidRPr="0093195E" w:rsidRDefault="00976AF2">
            <w:pPr>
              <w:pStyle w:val="TableTextLeft"/>
              <w:jc w:val="center"/>
            </w:pPr>
            <w:r>
              <w:t xml:space="preserve">Up to </w:t>
            </w:r>
            <w:r w:rsidRPr="00201EAD">
              <w:t>4,387</w:t>
            </w:r>
          </w:p>
        </w:tc>
        <w:tc>
          <w:tcPr>
            <w:tcW w:w="1928" w:type="dxa"/>
          </w:tcPr>
          <w:p w14:paraId="28E6907D" w14:textId="77777777" w:rsidR="00976AF2" w:rsidRDefault="00976AF2">
            <w:pPr>
              <w:pStyle w:val="TableTextLeft"/>
              <w:jc w:val="center"/>
            </w:pPr>
            <w:r w:rsidRPr="0093195E">
              <w:t>4,515</w:t>
            </w:r>
          </w:p>
        </w:tc>
        <w:tc>
          <w:tcPr>
            <w:tcW w:w="1928" w:type="dxa"/>
          </w:tcPr>
          <w:p w14:paraId="3041C196" w14:textId="77777777" w:rsidR="00976AF2" w:rsidRPr="0093195E" w:rsidRDefault="00976AF2">
            <w:pPr>
              <w:pStyle w:val="TableTextLeft"/>
              <w:jc w:val="center"/>
            </w:pPr>
            <w:r>
              <w:t xml:space="preserve">Up to </w:t>
            </w:r>
            <w:r w:rsidRPr="00D90862">
              <w:t>4,905</w:t>
            </w:r>
          </w:p>
        </w:tc>
      </w:tr>
      <w:tr w:rsidR="00976AF2" w14:paraId="73F6F3FF" w14:textId="77777777" w:rsidTr="00AE70CC">
        <w:tc>
          <w:tcPr>
            <w:tcW w:w="1927" w:type="dxa"/>
          </w:tcPr>
          <w:p w14:paraId="1FA4E82C" w14:textId="77777777" w:rsidR="00976AF2" w:rsidRDefault="00976AF2">
            <w:pPr>
              <w:pStyle w:val="TableTextLeft"/>
              <w:jc w:val="center"/>
            </w:pPr>
            <w:r w:rsidRPr="00076C6A">
              <w:rPr>
                <w:rFonts w:cs="Calibri Light"/>
                <w:szCs w:val="22"/>
              </w:rPr>
              <w:t>190,000</w:t>
            </w:r>
          </w:p>
        </w:tc>
        <w:tc>
          <w:tcPr>
            <w:tcW w:w="1928" w:type="dxa"/>
          </w:tcPr>
          <w:p w14:paraId="146B9556" w14:textId="77777777" w:rsidR="00976AF2" w:rsidRDefault="00976AF2">
            <w:pPr>
              <w:pStyle w:val="TableTextLeft"/>
              <w:jc w:val="center"/>
            </w:pPr>
            <w:r w:rsidRPr="006A6E0B">
              <w:t>4,797</w:t>
            </w:r>
          </w:p>
        </w:tc>
        <w:tc>
          <w:tcPr>
            <w:tcW w:w="1928" w:type="dxa"/>
          </w:tcPr>
          <w:p w14:paraId="7E4CC44D" w14:textId="77777777" w:rsidR="00976AF2" w:rsidRPr="00B051E7" w:rsidRDefault="00976AF2">
            <w:pPr>
              <w:pStyle w:val="TableTextLeft"/>
              <w:jc w:val="center"/>
            </w:pPr>
            <w:r>
              <w:t xml:space="preserve">Up to </w:t>
            </w:r>
            <w:r w:rsidRPr="00201EAD">
              <w:t>5,187</w:t>
            </w:r>
          </w:p>
        </w:tc>
        <w:tc>
          <w:tcPr>
            <w:tcW w:w="1928" w:type="dxa"/>
          </w:tcPr>
          <w:p w14:paraId="6213C9C9" w14:textId="77777777" w:rsidR="00976AF2" w:rsidRDefault="00976AF2">
            <w:pPr>
              <w:pStyle w:val="TableTextLeft"/>
              <w:jc w:val="center"/>
            </w:pPr>
            <w:r w:rsidRPr="00B051E7">
              <w:t>5,315</w:t>
            </w:r>
          </w:p>
        </w:tc>
        <w:tc>
          <w:tcPr>
            <w:tcW w:w="1928" w:type="dxa"/>
          </w:tcPr>
          <w:p w14:paraId="2C312220" w14:textId="77777777" w:rsidR="00976AF2" w:rsidRPr="00B051E7" w:rsidRDefault="00976AF2">
            <w:pPr>
              <w:pStyle w:val="TableTextLeft"/>
              <w:jc w:val="center"/>
            </w:pPr>
            <w:r>
              <w:t xml:space="preserve">Up to </w:t>
            </w:r>
            <w:r w:rsidRPr="00D90862">
              <w:t>5,705</w:t>
            </w:r>
          </w:p>
        </w:tc>
      </w:tr>
      <w:tr w:rsidR="00976AF2" w14:paraId="328FAAC1" w14:textId="77777777" w:rsidTr="00AE70CC">
        <w:tc>
          <w:tcPr>
            <w:tcW w:w="1927" w:type="dxa"/>
          </w:tcPr>
          <w:p w14:paraId="63FB7DB0" w14:textId="77777777" w:rsidR="00976AF2" w:rsidRDefault="00976AF2">
            <w:pPr>
              <w:pStyle w:val="TableTextLeft"/>
              <w:jc w:val="center"/>
            </w:pPr>
            <w:r w:rsidRPr="00076C6A">
              <w:rPr>
                <w:rFonts w:cs="Calibri Light"/>
                <w:szCs w:val="22"/>
              </w:rPr>
              <w:t>200,000</w:t>
            </w:r>
          </w:p>
        </w:tc>
        <w:tc>
          <w:tcPr>
            <w:tcW w:w="1928" w:type="dxa"/>
          </w:tcPr>
          <w:p w14:paraId="4211B31C" w14:textId="77777777" w:rsidR="00976AF2" w:rsidRDefault="00976AF2">
            <w:pPr>
              <w:pStyle w:val="TableTextLeft"/>
              <w:jc w:val="center"/>
            </w:pPr>
            <w:r w:rsidRPr="006A6E0B">
              <w:t>4,797</w:t>
            </w:r>
          </w:p>
        </w:tc>
        <w:tc>
          <w:tcPr>
            <w:tcW w:w="1928" w:type="dxa"/>
          </w:tcPr>
          <w:p w14:paraId="3C1121C6" w14:textId="77777777" w:rsidR="00976AF2" w:rsidRPr="00B051E7" w:rsidRDefault="00976AF2">
            <w:pPr>
              <w:pStyle w:val="TableTextLeft"/>
              <w:jc w:val="center"/>
            </w:pPr>
            <w:r>
              <w:t xml:space="preserve">Up to </w:t>
            </w:r>
            <w:r w:rsidRPr="00201EAD">
              <w:t>5,267</w:t>
            </w:r>
          </w:p>
        </w:tc>
        <w:tc>
          <w:tcPr>
            <w:tcW w:w="1928" w:type="dxa"/>
          </w:tcPr>
          <w:p w14:paraId="78497248" w14:textId="77777777" w:rsidR="00976AF2" w:rsidRDefault="00976AF2">
            <w:pPr>
              <w:pStyle w:val="TableTextLeft"/>
              <w:jc w:val="center"/>
            </w:pPr>
            <w:r w:rsidRPr="00B051E7">
              <w:t>5,315</w:t>
            </w:r>
          </w:p>
        </w:tc>
        <w:tc>
          <w:tcPr>
            <w:tcW w:w="1928" w:type="dxa"/>
          </w:tcPr>
          <w:p w14:paraId="34B22DB1" w14:textId="77777777" w:rsidR="00976AF2" w:rsidRPr="00B051E7" w:rsidRDefault="00976AF2">
            <w:pPr>
              <w:pStyle w:val="TableTextLeft"/>
              <w:jc w:val="center"/>
            </w:pPr>
            <w:r>
              <w:t xml:space="preserve">Up to </w:t>
            </w:r>
            <w:r w:rsidRPr="00D90862">
              <w:t>5,785</w:t>
            </w:r>
          </w:p>
        </w:tc>
      </w:tr>
    </w:tbl>
    <w:p w14:paraId="72365CE3" w14:textId="36E49333" w:rsidR="001C32DA" w:rsidRDefault="00CA4511" w:rsidP="004F245E">
      <w:pPr>
        <w:pStyle w:val="ChartandTableFootnote"/>
      </w:pPr>
      <w:r w:rsidRPr="0014046A">
        <w:t>Note:</w:t>
      </w:r>
      <w:r w:rsidR="00794F11">
        <w:t xml:space="preserve"> </w:t>
      </w:r>
      <w:r w:rsidR="00794F11" w:rsidRPr="00794F11">
        <w:tab/>
      </w:r>
      <w:r w:rsidR="00E34A38" w:rsidRPr="00E34A38">
        <w:t>This table presents stylised cameos on the assumptions that an individual is an Australian resident, only has income</w:t>
      </w:r>
      <w:r w:rsidR="004B7E66">
        <w:t xml:space="preserve"> from work</w:t>
      </w:r>
      <w:r w:rsidR="00E35035">
        <w:t xml:space="preserve"> </w:t>
      </w:r>
      <w:r w:rsidR="00E34A38" w:rsidRPr="00E34A38">
        <w:t>and has work</w:t>
      </w:r>
      <w:r w:rsidR="00B85EB3">
        <w:noBreakHyphen/>
      </w:r>
      <w:r w:rsidR="00E34A38" w:rsidRPr="00E34A38">
        <w:t xml:space="preserve">related </w:t>
      </w:r>
      <w:r w:rsidR="008A7ADE">
        <w:t>expenses</w:t>
      </w:r>
      <w:r w:rsidR="008A7ADE" w:rsidRPr="00E34A38">
        <w:t xml:space="preserve"> </w:t>
      </w:r>
      <w:r w:rsidR="00E34A38" w:rsidRPr="00E34A38">
        <w:t xml:space="preserve">of </w:t>
      </w:r>
      <w:r w:rsidR="008A7ADE">
        <w:t>less than</w:t>
      </w:r>
      <w:r w:rsidR="00E34A38" w:rsidRPr="00E34A38">
        <w:t xml:space="preserve"> $1,000 from 2026</w:t>
      </w:r>
      <w:r w:rsidR="00CF2258" w:rsidRPr="00CF2258">
        <w:t>–</w:t>
      </w:r>
      <w:r w:rsidR="00E34A38" w:rsidRPr="00E34A38">
        <w:t xml:space="preserve">27. The reduction in tax liability is calculated by only taking into account the basic tax scales, </w:t>
      </w:r>
      <w:r w:rsidR="001F1E0A">
        <w:t>L</w:t>
      </w:r>
      <w:r w:rsidR="00E34A38" w:rsidRPr="00E34A38">
        <w:t>ow</w:t>
      </w:r>
      <w:r w:rsidR="00CB4C21">
        <w:t xml:space="preserve"> </w:t>
      </w:r>
      <w:r w:rsidR="001F1E0A">
        <w:t>I</w:t>
      </w:r>
      <w:r w:rsidR="00E34A38" w:rsidRPr="00E34A38">
        <w:t xml:space="preserve">ncome </w:t>
      </w:r>
      <w:r w:rsidR="001F1E0A">
        <w:t>T</w:t>
      </w:r>
      <w:r w:rsidR="00E34A38" w:rsidRPr="00E34A38">
        <w:t xml:space="preserve">ax </w:t>
      </w:r>
      <w:r w:rsidR="001F1E0A">
        <w:t>O</w:t>
      </w:r>
      <w:r w:rsidR="00E34A38" w:rsidRPr="00E34A38">
        <w:t xml:space="preserve">ffset (as applicable) and Medicare levy. </w:t>
      </w:r>
      <w:r w:rsidR="007851FA">
        <w:t xml:space="preserve">The tax cut benefit for an individual with taxable income of $30,000 includes </w:t>
      </w:r>
      <w:r w:rsidR="0077419A">
        <w:t>the increase in the Medicare levy low-income threshold</w:t>
      </w:r>
      <w:r w:rsidR="00F4012B">
        <w:t>s</w:t>
      </w:r>
      <w:r w:rsidR="0077419A">
        <w:t xml:space="preserve"> </w:t>
      </w:r>
      <w:r w:rsidR="008C2212">
        <w:t>from</w:t>
      </w:r>
      <w:r w:rsidR="0077419A">
        <w:t xml:space="preserve"> 2024</w:t>
      </w:r>
      <w:r w:rsidR="004C74B5" w:rsidRPr="00CF2258">
        <w:t>–</w:t>
      </w:r>
      <w:r w:rsidR="0077419A">
        <w:t>25 and 2025</w:t>
      </w:r>
      <w:r w:rsidR="004C74B5" w:rsidRPr="00CF2258">
        <w:t>–</w:t>
      </w:r>
      <w:r w:rsidR="0077419A">
        <w:t>26</w:t>
      </w:r>
      <w:r w:rsidR="00B02BBE">
        <w:t xml:space="preserve">; </w:t>
      </w:r>
      <w:r w:rsidR="00987BB6">
        <w:t>t</w:t>
      </w:r>
      <w:r w:rsidR="00E34A38" w:rsidRPr="00E34A38">
        <w:t>he</w:t>
      </w:r>
      <w:r w:rsidR="004C6AA6">
        <w:t>ir</w:t>
      </w:r>
      <w:r w:rsidR="00E34A38" w:rsidRPr="00E34A38">
        <w:t xml:space="preserve"> Medicare levy </w:t>
      </w:r>
      <w:r w:rsidR="00390510">
        <w:t>phases in at</w:t>
      </w:r>
      <w:r w:rsidR="00E34A38" w:rsidRPr="00E34A38">
        <w:t xml:space="preserve"> 10 cent</w:t>
      </w:r>
      <w:r w:rsidR="000F0F93">
        <w:t>s</w:t>
      </w:r>
      <w:r w:rsidR="00E34A38" w:rsidRPr="00E34A38">
        <w:t xml:space="preserve"> per dollar </w:t>
      </w:r>
      <w:r w:rsidR="000175AF">
        <w:t>above</w:t>
      </w:r>
      <w:r w:rsidR="000175AF" w:rsidRPr="00E34A38">
        <w:t xml:space="preserve"> </w:t>
      </w:r>
      <w:r w:rsidR="00E34A38" w:rsidRPr="00E34A38">
        <w:t xml:space="preserve">the Medicare levy low-income threshold. </w:t>
      </w:r>
      <w:r w:rsidR="00C01BB0" w:rsidRPr="00C01BB0">
        <w:t xml:space="preserve">The instant tax deduction benefit for </w:t>
      </w:r>
      <w:r w:rsidR="00730415" w:rsidRPr="00730415">
        <w:t>an individual</w:t>
      </w:r>
      <w:r w:rsidR="00C01BB0" w:rsidRPr="00C01BB0">
        <w:t xml:space="preserve"> with taxable income between $40,000 and $60,000 includes additional </w:t>
      </w:r>
      <w:r w:rsidR="00C6791B">
        <w:t xml:space="preserve">benefit </w:t>
      </w:r>
      <w:r w:rsidR="002A70C5">
        <w:t xml:space="preserve">from the </w:t>
      </w:r>
      <w:r w:rsidR="0086559F">
        <w:t>L</w:t>
      </w:r>
      <w:r w:rsidR="00C01BB0" w:rsidRPr="00C01BB0">
        <w:t>ow</w:t>
      </w:r>
      <w:r w:rsidR="00794F11">
        <w:t> </w:t>
      </w:r>
      <w:r w:rsidR="0086559F">
        <w:t>I</w:t>
      </w:r>
      <w:r w:rsidR="00C01BB0" w:rsidRPr="00C01BB0">
        <w:t xml:space="preserve">ncome </w:t>
      </w:r>
      <w:r w:rsidR="0086559F">
        <w:t>T</w:t>
      </w:r>
      <w:r w:rsidR="00C01BB0" w:rsidRPr="00C01BB0">
        <w:t xml:space="preserve">ax </w:t>
      </w:r>
      <w:r w:rsidR="0086559F">
        <w:t>O</w:t>
      </w:r>
      <w:r w:rsidR="00C01BB0" w:rsidRPr="00C01BB0">
        <w:t>ffset due to the reduction in their taxable income.</w:t>
      </w:r>
      <w:r w:rsidR="00E34A38" w:rsidRPr="00E34A38">
        <w:t xml:space="preserve"> </w:t>
      </w:r>
    </w:p>
    <w:p w14:paraId="6849562B" w14:textId="77777777" w:rsidR="004F245E" w:rsidRPr="00712254" w:rsidRDefault="004F245E" w:rsidP="004F245E">
      <w:pPr>
        <w:pStyle w:val="TableLine"/>
      </w:pPr>
    </w:p>
    <w:sectPr w:rsidR="004F245E" w:rsidRPr="00712254" w:rsidSect="004E5164">
      <w:headerReference w:type="default" r:id="rId13"/>
      <w:type w:val="continuous"/>
      <w:pgSz w:w="11907" w:h="16840" w:code="9"/>
      <w:pgMar w:top="1985" w:right="1134" w:bottom="1418" w:left="1134" w:header="851" w:footer="397" w:gutter="0"/>
      <w:cols w:space="5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5979C" w14:textId="77777777" w:rsidR="00E31676" w:rsidRDefault="00E31676" w:rsidP="00807207">
      <w:r>
        <w:separator/>
      </w:r>
    </w:p>
    <w:p w14:paraId="2305D90C" w14:textId="77777777" w:rsidR="00E31676" w:rsidRDefault="00E31676" w:rsidP="00807207"/>
  </w:endnote>
  <w:endnote w:type="continuationSeparator" w:id="0">
    <w:p w14:paraId="4F42685A" w14:textId="77777777" w:rsidR="00E31676" w:rsidRDefault="00E31676" w:rsidP="00807207">
      <w:r>
        <w:continuationSeparator/>
      </w:r>
    </w:p>
    <w:p w14:paraId="41AA12B2" w14:textId="77777777" w:rsidR="00E31676" w:rsidRDefault="00E31676" w:rsidP="00807207"/>
  </w:endnote>
  <w:endnote w:type="continuationNotice" w:id="1">
    <w:p w14:paraId="62B350B7" w14:textId="77777777" w:rsidR="00E31676" w:rsidRDefault="00E316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5753" w14:textId="139891B5" w:rsidR="009530CD" w:rsidRPr="002D0177" w:rsidRDefault="004E5164" w:rsidP="002D0177">
    <w:pPr>
      <w:pStyle w:val="Footer"/>
      <w:spacing w:after="0"/>
      <w:rPr>
        <w:noProof/>
      </w:rPr>
    </w:pPr>
    <w:r>
      <w:rPr>
        <w:noProof/>
      </w:rPr>
      <w:drawing>
        <wp:anchor distT="0" distB="0" distL="114300" distR="114300" simplePos="0" relativeHeight="251662339" behindDoc="1" locked="0" layoutInCell="1" allowOverlap="1" wp14:anchorId="5C91F496" wp14:editId="66610C8F">
          <wp:simplePos x="0" y="0"/>
          <wp:positionH relativeFrom="page">
            <wp:posOffset>-445135</wp:posOffset>
          </wp:positionH>
          <wp:positionV relativeFrom="page">
            <wp:posOffset>10117455</wp:posOffset>
          </wp:positionV>
          <wp:extent cx="8457145" cy="576000"/>
          <wp:effectExtent l="0" t="0" r="1270" b="0"/>
          <wp:wrapNone/>
          <wp:docPr id="190632090" name="Picture 1906320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57145" cy="576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3363" behindDoc="1" locked="0" layoutInCell="1" allowOverlap="1" wp14:anchorId="342BC3A2" wp14:editId="0DFCF718">
          <wp:simplePos x="0" y="0"/>
          <wp:positionH relativeFrom="margin">
            <wp:posOffset>-32385</wp:posOffset>
          </wp:positionH>
          <wp:positionV relativeFrom="paragraph">
            <wp:posOffset>93345</wp:posOffset>
          </wp:positionV>
          <wp:extent cx="869315" cy="127635"/>
          <wp:effectExtent l="0" t="0" r="6985" b="5715"/>
          <wp:wrapTight wrapText="bothSides">
            <wp:wrapPolygon edited="0">
              <wp:start x="0" y="0"/>
              <wp:lineTo x="0" y="19343"/>
              <wp:lineTo x="4733" y="19343"/>
              <wp:lineTo x="8047" y="19343"/>
              <wp:lineTo x="21300" y="19343"/>
              <wp:lineTo x="21300" y="0"/>
              <wp:lineTo x="0" y="0"/>
            </wp:wrapPolygon>
          </wp:wrapTight>
          <wp:docPr id="195181050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21655" name="Picture 9">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541" t="-1" r="541" b="-1516"/>
                  <a:stretch>
                    <a:fillRect/>
                  </a:stretch>
                </pic:blipFill>
                <pic:spPr bwMode="auto">
                  <a:xfrm>
                    <a:off x="0" y="0"/>
                    <a:ext cx="869315" cy="127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  </w:t>
    </w:r>
    <w:r w:rsidRPr="00C56C60">
      <w:rPr>
        <w:noProof/>
      </w:rPr>
      <w:t>|</w:t>
    </w:r>
    <w:r>
      <w:rPr>
        <w:noProof/>
      </w:rPr>
      <w:t xml:space="preserve"> </w:t>
    </w:r>
    <w:r w:rsidRPr="00746398">
      <w:rPr>
        <w:b/>
        <w:bCs/>
        <w:noProof/>
      </w:rPr>
      <w:t xml:space="preserve"> </w:t>
    </w:r>
    <w:r w:rsidRPr="00746398">
      <w:rPr>
        <w:b/>
        <w:bCs/>
        <w:noProof/>
      </w:rPr>
      <w:fldChar w:fldCharType="begin"/>
    </w:r>
    <w:r w:rsidRPr="00746398">
      <w:rPr>
        <w:b/>
        <w:bCs/>
        <w:noProof/>
      </w:rPr>
      <w:instrText xml:space="preserve"> STYLEREF  "Heading 1"  \* MERGEFORMAT </w:instrText>
    </w:r>
    <w:r w:rsidRPr="00746398">
      <w:rPr>
        <w:b/>
        <w:bCs/>
        <w:noProof/>
      </w:rPr>
      <w:fldChar w:fldCharType="separate"/>
    </w:r>
    <w:r w:rsidR="000A08B6" w:rsidRPr="000A08B6">
      <w:rPr>
        <w:noProof/>
        <w:lang w:val="en-US"/>
      </w:rPr>
      <w:t>New tax cuts for Australian workers</w:t>
    </w:r>
    <w:r w:rsidRPr="00746398">
      <w:rPr>
        <w:b/>
        <w:bCs/>
        <w:noProof/>
      </w:rPr>
      <w:fldChar w:fldCharType="end"/>
    </w:r>
    <w:r w:rsidRPr="0084440D">
      <w:tab/>
    </w:r>
    <w:r w:rsidRPr="00D80504">
      <w:rPr>
        <w:bCs/>
      </w:rPr>
      <w:fldChar w:fldCharType="begin"/>
    </w:r>
    <w:r w:rsidRPr="00D80504">
      <w:rPr>
        <w:bCs/>
      </w:rPr>
      <w:instrText xml:space="preserve"> PAGE   \* MERGEFORMAT </w:instrText>
    </w:r>
    <w:r w:rsidRPr="00D80504">
      <w:rPr>
        <w:bCs/>
      </w:rPr>
      <w:fldChar w:fldCharType="separate"/>
    </w:r>
    <w:r>
      <w:rPr>
        <w:bCs/>
      </w:rPr>
      <w:t>2</w:t>
    </w:r>
    <w:r w:rsidRPr="00D80504">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EBD3" w14:textId="5039195F" w:rsidR="004C06BF" w:rsidRPr="0084440D" w:rsidRDefault="00461B6B" w:rsidP="00746398">
    <w:pPr>
      <w:pStyle w:val="Footer"/>
      <w:spacing w:after="0"/>
      <w:rPr>
        <w:noProof/>
      </w:rPr>
    </w:pPr>
    <w:r>
      <w:rPr>
        <w:noProof/>
      </w:rPr>
      <w:drawing>
        <wp:anchor distT="0" distB="0" distL="114300" distR="114300" simplePos="0" relativeHeight="251668483" behindDoc="1" locked="0" layoutInCell="1" allowOverlap="1" wp14:anchorId="618FB8C3" wp14:editId="61AFFCCF">
          <wp:simplePos x="0" y="0"/>
          <wp:positionH relativeFrom="page">
            <wp:posOffset>-445135</wp:posOffset>
          </wp:positionH>
          <wp:positionV relativeFrom="page">
            <wp:posOffset>10117455</wp:posOffset>
          </wp:positionV>
          <wp:extent cx="8457145" cy="576000"/>
          <wp:effectExtent l="0" t="0" r="1270" b="0"/>
          <wp:wrapNone/>
          <wp:docPr id="1000101502" name="Picture 10001015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57145" cy="57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6398">
      <w:rPr>
        <w:noProof/>
      </w:rPr>
      <w:drawing>
        <wp:anchor distT="0" distB="0" distL="114300" distR="114300" simplePos="0" relativeHeight="251665411" behindDoc="1" locked="0" layoutInCell="1" allowOverlap="1" wp14:anchorId="17E1CA27" wp14:editId="4C14F24A">
          <wp:simplePos x="0" y="0"/>
          <wp:positionH relativeFrom="page">
            <wp:posOffset>-445135</wp:posOffset>
          </wp:positionH>
          <wp:positionV relativeFrom="page">
            <wp:posOffset>10117455</wp:posOffset>
          </wp:positionV>
          <wp:extent cx="8457145" cy="576000"/>
          <wp:effectExtent l="0" t="0" r="1270" b="0"/>
          <wp:wrapNone/>
          <wp:docPr id="678391504" name="Picture 6783915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57145" cy="57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6398">
      <w:rPr>
        <w:noProof/>
      </w:rPr>
      <w:drawing>
        <wp:anchor distT="0" distB="0" distL="0" distR="0" simplePos="0" relativeHeight="251666435" behindDoc="1" locked="0" layoutInCell="1" allowOverlap="1" wp14:anchorId="5A9FDC98" wp14:editId="41DE99A5">
          <wp:simplePos x="0" y="0"/>
          <wp:positionH relativeFrom="margin">
            <wp:posOffset>-32385</wp:posOffset>
          </wp:positionH>
          <wp:positionV relativeFrom="paragraph">
            <wp:posOffset>93345</wp:posOffset>
          </wp:positionV>
          <wp:extent cx="869315" cy="127635"/>
          <wp:effectExtent l="0" t="0" r="6985" b="5715"/>
          <wp:wrapTight wrapText="bothSides">
            <wp:wrapPolygon edited="0">
              <wp:start x="0" y="0"/>
              <wp:lineTo x="0" y="19343"/>
              <wp:lineTo x="4733" y="19343"/>
              <wp:lineTo x="8047" y="19343"/>
              <wp:lineTo x="21300" y="19343"/>
              <wp:lineTo x="21300" y="0"/>
              <wp:lineTo x="0" y="0"/>
            </wp:wrapPolygon>
          </wp:wrapTight>
          <wp:docPr id="16404438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21655" name="Picture 9">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541" t="-1" r="541" b="-1516"/>
                  <a:stretch>
                    <a:fillRect/>
                  </a:stretch>
                </pic:blipFill>
                <pic:spPr bwMode="auto">
                  <a:xfrm>
                    <a:off x="0" y="0"/>
                    <a:ext cx="869315" cy="127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6398">
      <w:rPr>
        <w:noProof/>
      </w:rPr>
      <w:t xml:space="preserve">  </w:t>
    </w:r>
    <w:r w:rsidR="00746398" w:rsidRPr="00C56C60">
      <w:rPr>
        <w:noProof/>
      </w:rPr>
      <w:t>|</w:t>
    </w:r>
    <w:r w:rsidR="00746398">
      <w:rPr>
        <w:noProof/>
      </w:rPr>
      <w:t xml:space="preserve"> </w:t>
    </w:r>
    <w:r w:rsidR="00746398" w:rsidRPr="00746398">
      <w:rPr>
        <w:b/>
        <w:bCs/>
        <w:noProof/>
      </w:rPr>
      <w:t xml:space="preserve"> </w:t>
    </w:r>
    <w:r w:rsidR="00746398" w:rsidRPr="00746398">
      <w:rPr>
        <w:b/>
        <w:bCs/>
        <w:noProof/>
      </w:rPr>
      <w:fldChar w:fldCharType="begin"/>
    </w:r>
    <w:r w:rsidR="00746398" w:rsidRPr="00746398">
      <w:rPr>
        <w:b/>
        <w:bCs/>
        <w:noProof/>
      </w:rPr>
      <w:instrText xml:space="preserve"> STYLEREF  "Heading 1"  \* MERGEFORMAT </w:instrText>
    </w:r>
    <w:r w:rsidR="00746398" w:rsidRPr="00746398">
      <w:rPr>
        <w:b/>
        <w:bCs/>
        <w:noProof/>
      </w:rPr>
      <w:fldChar w:fldCharType="separate"/>
    </w:r>
    <w:r w:rsidR="000A08B6" w:rsidRPr="000A08B6">
      <w:rPr>
        <w:noProof/>
        <w:lang w:val="en-US"/>
      </w:rPr>
      <w:t>New tax cuts for Australian workers</w:t>
    </w:r>
    <w:r w:rsidR="00746398" w:rsidRPr="00746398">
      <w:rPr>
        <w:b/>
        <w:bCs/>
        <w:noProof/>
      </w:rPr>
      <w:fldChar w:fldCharType="end"/>
    </w:r>
    <w:r w:rsidR="00746398" w:rsidRPr="0084440D">
      <w:tab/>
    </w:r>
    <w:r w:rsidR="00746398" w:rsidRPr="00D80504">
      <w:rPr>
        <w:bCs/>
      </w:rPr>
      <w:fldChar w:fldCharType="begin"/>
    </w:r>
    <w:r w:rsidR="00746398" w:rsidRPr="00D80504">
      <w:rPr>
        <w:bCs/>
      </w:rPr>
      <w:instrText xml:space="preserve"> PAGE   \* MERGEFORMAT </w:instrText>
    </w:r>
    <w:r w:rsidR="00746398" w:rsidRPr="00D80504">
      <w:rPr>
        <w:bCs/>
      </w:rPr>
      <w:fldChar w:fldCharType="separate"/>
    </w:r>
    <w:r w:rsidR="00746398">
      <w:rPr>
        <w:bCs/>
      </w:rPr>
      <w:t>2</w:t>
    </w:r>
    <w:r w:rsidR="00746398" w:rsidRPr="00D80504">
      <w:rPr>
        <w:bCs/>
      </w:rPr>
      <w:fldChar w:fldCharType="end"/>
    </w:r>
    <w:r w:rsidR="009B71F8">
      <w:rPr>
        <w:noProof/>
      </w:rPr>
      <w:drawing>
        <wp:anchor distT="0" distB="0" distL="114300" distR="114300" simplePos="0" relativeHeight="251660291" behindDoc="1" locked="0" layoutInCell="1" allowOverlap="1" wp14:anchorId="6867213D" wp14:editId="30DD469A">
          <wp:simplePos x="0" y="0"/>
          <wp:positionH relativeFrom="page">
            <wp:posOffset>7705725</wp:posOffset>
          </wp:positionH>
          <wp:positionV relativeFrom="page">
            <wp:posOffset>10001250</wp:posOffset>
          </wp:positionV>
          <wp:extent cx="8456930" cy="575945"/>
          <wp:effectExtent l="0" t="0" r="1270" b="0"/>
          <wp:wrapNone/>
          <wp:docPr id="630030800" name="Picture 6300308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56930" cy="5759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54FC" w14:textId="77777777" w:rsidR="00E31676" w:rsidRDefault="00E31676" w:rsidP="00807207">
      <w:r>
        <w:separator/>
      </w:r>
    </w:p>
    <w:p w14:paraId="50AE2548" w14:textId="77777777" w:rsidR="00E31676" w:rsidRDefault="00E31676" w:rsidP="00807207"/>
  </w:footnote>
  <w:footnote w:type="continuationSeparator" w:id="0">
    <w:p w14:paraId="7B5D5CEA" w14:textId="77777777" w:rsidR="00E31676" w:rsidRDefault="00E31676" w:rsidP="00807207">
      <w:r>
        <w:continuationSeparator/>
      </w:r>
    </w:p>
    <w:p w14:paraId="47C28514" w14:textId="77777777" w:rsidR="00E31676" w:rsidRDefault="00E31676" w:rsidP="00807207"/>
  </w:footnote>
  <w:footnote w:type="continuationNotice" w:id="1">
    <w:p w14:paraId="782528CA" w14:textId="77777777" w:rsidR="00E31676" w:rsidRDefault="00E3167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05B9" w14:textId="7B38951F" w:rsidR="004C06BF" w:rsidRDefault="00AE6C30" w:rsidP="005F26F5">
    <w:pPr>
      <w:pStyle w:val="Header"/>
      <w:tabs>
        <w:tab w:val="clear" w:pos="9026"/>
        <w:tab w:val="left" w:pos="7738"/>
      </w:tabs>
    </w:pPr>
    <w:r>
      <w:rPr>
        <w:noProof/>
      </w:rPr>
      <w:drawing>
        <wp:anchor distT="0" distB="0" distL="114300" distR="114300" simplePos="0" relativeHeight="251658240" behindDoc="1" locked="0" layoutInCell="1" allowOverlap="1" wp14:anchorId="4419E81D" wp14:editId="36F40CBB">
          <wp:simplePos x="0" y="0"/>
          <wp:positionH relativeFrom="page">
            <wp:posOffset>0</wp:posOffset>
          </wp:positionH>
          <wp:positionV relativeFrom="page">
            <wp:posOffset>-1905</wp:posOffset>
          </wp:positionV>
          <wp:extent cx="7560000" cy="3023390"/>
          <wp:effectExtent l="0" t="0" r="3175" b="5715"/>
          <wp:wrapNone/>
          <wp:docPr id="1049188293" name="Picture 1" descr="Australian Government Budget 2026–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88293" name="Picture 1" descr="Australian Government Budget 2026–27">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023390"/>
                  </a:xfrm>
                  <a:prstGeom prst="rect">
                    <a:avLst/>
                  </a:prstGeom>
                </pic:spPr>
              </pic:pic>
            </a:graphicData>
          </a:graphic>
          <wp14:sizeRelH relativeFrom="margin">
            <wp14:pctWidth>0</wp14:pctWidth>
          </wp14:sizeRelH>
          <wp14:sizeRelV relativeFrom="margin">
            <wp14:pctHeight>0</wp14:pctHeight>
          </wp14:sizeRelV>
        </wp:anchor>
      </w:drawing>
    </w:r>
    <w:r w:rsidR="00E370C2">
      <w:tab/>
    </w:r>
    <w:r w:rsidR="005F26F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9992" w14:textId="0C2529B6" w:rsidR="0031577C" w:rsidRDefault="0031577C" w:rsidP="005F26F5">
    <w:pPr>
      <w:pStyle w:val="Header"/>
      <w:tabs>
        <w:tab w:val="clear" w:pos="9026"/>
        <w:tab w:val="left" w:pos="77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EF9F" w14:textId="5D2C898A" w:rsidR="00FC565C" w:rsidRDefault="00FC5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7D6B5224"/>
    <w:multiLevelType w:val="multilevel"/>
    <w:tmpl w:val="0F46578E"/>
    <w:name w:val="StandardBulletedList"/>
    <w:lvl w:ilvl="0">
      <w:start w:val="1"/>
      <w:numFmt w:val="bullet"/>
      <w:pStyle w:val="Bullet"/>
      <w:lvlText w:val="•"/>
      <w:lvlJc w:val="left"/>
      <w:pPr>
        <w:tabs>
          <w:tab w:val="num" w:pos="520"/>
        </w:tabs>
        <w:ind w:left="284" w:hanging="284"/>
      </w:pPr>
      <w:rPr>
        <w:rFonts w:ascii="Times New Roman" w:hAnsi="Times New Roman" w:cs="Times New Roman" w:hint="default"/>
      </w:rPr>
    </w:lvl>
    <w:lvl w:ilvl="1">
      <w:start w:val="1"/>
      <w:numFmt w:val="bullet"/>
      <w:pStyle w:val="Dash"/>
      <w:lvlText w:val="–"/>
      <w:lvlJc w:val="left"/>
      <w:pPr>
        <w:tabs>
          <w:tab w:val="num" w:pos="804"/>
        </w:tabs>
        <w:ind w:left="568" w:hanging="284"/>
      </w:pPr>
      <w:rPr>
        <w:rFonts w:ascii="Times New Roman" w:hAnsi="Times New Roman" w:cs="Times New Roman" w:hint="default"/>
      </w:rPr>
    </w:lvl>
    <w:lvl w:ilvl="2">
      <w:start w:val="1"/>
      <w:numFmt w:val="bullet"/>
      <w:pStyle w:val="DoubleDot"/>
      <w:lvlText w:val=":"/>
      <w:lvlJc w:val="left"/>
      <w:pPr>
        <w:tabs>
          <w:tab w:val="num" w:pos="1088"/>
        </w:tabs>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num w:numId="1" w16cid:durableId="1768233546">
    <w:abstractNumId w:val="1"/>
  </w:num>
  <w:num w:numId="2" w16cid:durableId="86371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65"/>
    <w:rsid w:val="00000800"/>
    <w:rsid w:val="00001476"/>
    <w:rsid w:val="000018E2"/>
    <w:rsid w:val="00003008"/>
    <w:rsid w:val="00003787"/>
    <w:rsid w:val="00005AAA"/>
    <w:rsid w:val="0000796E"/>
    <w:rsid w:val="00007AFC"/>
    <w:rsid w:val="00010525"/>
    <w:rsid w:val="000108DE"/>
    <w:rsid w:val="00011935"/>
    <w:rsid w:val="0001277A"/>
    <w:rsid w:val="0001325F"/>
    <w:rsid w:val="00013925"/>
    <w:rsid w:val="00013E46"/>
    <w:rsid w:val="00013FE9"/>
    <w:rsid w:val="00014555"/>
    <w:rsid w:val="0001457F"/>
    <w:rsid w:val="00014B67"/>
    <w:rsid w:val="000175AF"/>
    <w:rsid w:val="00020391"/>
    <w:rsid w:val="000208C3"/>
    <w:rsid w:val="0002241C"/>
    <w:rsid w:val="00022AC9"/>
    <w:rsid w:val="00027E81"/>
    <w:rsid w:val="000312D1"/>
    <w:rsid w:val="00031FD7"/>
    <w:rsid w:val="00033F74"/>
    <w:rsid w:val="0003445C"/>
    <w:rsid w:val="000360D0"/>
    <w:rsid w:val="0004094C"/>
    <w:rsid w:val="00041B9B"/>
    <w:rsid w:val="00041FD9"/>
    <w:rsid w:val="000421F9"/>
    <w:rsid w:val="00043491"/>
    <w:rsid w:val="00044207"/>
    <w:rsid w:val="0004458A"/>
    <w:rsid w:val="00044668"/>
    <w:rsid w:val="000464DF"/>
    <w:rsid w:val="00046767"/>
    <w:rsid w:val="00046BA3"/>
    <w:rsid w:val="00046FC2"/>
    <w:rsid w:val="00052055"/>
    <w:rsid w:val="00054729"/>
    <w:rsid w:val="00055BAE"/>
    <w:rsid w:val="00056F52"/>
    <w:rsid w:val="000574BB"/>
    <w:rsid w:val="00057BF2"/>
    <w:rsid w:val="00057E79"/>
    <w:rsid w:val="000601C1"/>
    <w:rsid w:val="000638D3"/>
    <w:rsid w:val="00063D5B"/>
    <w:rsid w:val="00066598"/>
    <w:rsid w:val="00070C99"/>
    <w:rsid w:val="00072BC3"/>
    <w:rsid w:val="00074DEE"/>
    <w:rsid w:val="00076086"/>
    <w:rsid w:val="00076370"/>
    <w:rsid w:val="00077839"/>
    <w:rsid w:val="0008022D"/>
    <w:rsid w:val="000806D0"/>
    <w:rsid w:val="00084D53"/>
    <w:rsid w:val="00085156"/>
    <w:rsid w:val="000854EB"/>
    <w:rsid w:val="00086615"/>
    <w:rsid w:val="00086943"/>
    <w:rsid w:val="0008757E"/>
    <w:rsid w:val="0009159A"/>
    <w:rsid w:val="00092C03"/>
    <w:rsid w:val="000939C4"/>
    <w:rsid w:val="00093FE7"/>
    <w:rsid w:val="00094BA2"/>
    <w:rsid w:val="000952AA"/>
    <w:rsid w:val="00095309"/>
    <w:rsid w:val="00095B84"/>
    <w:rsid w:val="00095CCC"/>
    <w:rsid w:val="000A0077"/>
    <w:rsid w:val="000A0816"/>
    <w:rsid w:val="000A08B6"/>
    <w:rsid w:val="000A0EDA"/>
    <w:rsid w:val="000A44F4"/>
    <w:rsid w:val="000A4D2D"/>
    <w:rsid w:val="000A6027"/>
    <w:rsid w:val="000A60F7"/>
    <w:rsid w:val="000A653D"/>
    <w:rsid w:val="000B00F2"/>
    <w:rsid w:val="000B1046"/>
    <w:rsid w:val="000B177A"/>
    <w:rsid w:val="000B1CE1"/>
    <w:rsid w:val="000B1D8B"/>
    <w:rsid w:val="000B1E59"/>
    <w:rsid w:val="000B3026"/>
    <w:rsid w:val="000B3442"/>
    <w:rsid w:val="000B41E2"/>
    <w:rsid w:val="000B4C72"/>
    <w:rsid w:val="000B6D47"/>
    <w:rsid w:val="000C02C9"/>
    <w:rsid w:val="000C2454"/>
    <w:rsid w:val="000C3002"/>
    <w:rsid w:val="000C422A"/>
    <w:rsid w:val="000C44B7"/>
    <w:rsid w:val="000C58A2"/>
    <w:rsid w:val="000C6F25"/>
    <w:rsid w:val="000C7B1B"/>
    <w:rsid w:val="000D1403"/>
    <w:rsid w:val="000D5D56"/>
    <w:rsid w:val="000D62F9"/>
    <w:rsid w:val="000D633C"/>
    <w:rsid w:val="000D7F92"/>
    <w:rsid w:val="000E0FA1"/>
    <w:rsid w:val="000E30D2"/>
    <w:rsid w:val="000E6493"/>
    <w:rsid w:val="000E6E4C"/>
    <w:rsid w:val="000E78FB"/>
    <w:rsid w:val="000E7D83"/>
    <w:rsid w:val="000F0F93"/>
    <w:rsid w:val="000F2C2A"/>
    <w:rsid w:val="000F4C4B"/>
    <w:rsid w:val="000F59E5"/>
    <w:rsid w:val="000F6264"/>
    <w:rsid w:val="000F638A"/>
    <w:rsid w:val="000F7C98"/>
    <w:rsid w:val="00100541"/>
    <w:rsid w:val="00102948"/>
    <w:rsid w:val="0010300C"/>
    <w:rsid w:val="00104425"/>
    <w:rsid w:val="0010481B"/>
    <w:rsid w:val="00104C76"/>
    <w:rsid w:val="00104D09"/>
    <w:rsid w:val="0010586D"/>
    <w:rsid w:val="00106DB9"/>
    <w:rsid w:val="00107467"/>
    <w:rsid w:val="001122FB"/>
    <w:rsid w:val="00112672"/>
    <w:rsid w:val="0011283C"/>
    <w:rsid w:val="00112893"/>
    <w:rsid w:val="00112B79"/>
    <w:rsid w:val="00112BA9"/>
    <w:rsid w:val="00114B81"/>
    <w:rsid w:val="00116A50"/>
    <w:rsid w:val="00117D8F"/>
    <w:rsid w:val="00121525"/>
    <w:rsid w:val="00121AD8"/>
    <w:rsid w:val="00121C9C"/>
    <w:rsid w:val="0012274C"/>
    <w:rsid w:val="00122EB8"/>
    <w:rsid w:val="0012530E"/>
    <w:rsid w:val="00126832"/>
    <w:rsid w:val="00126D1A"/>
    <w:rsid w:val="001273A9"/>
    <w:rsid w:val="00131275"/>
    <w:rsid w:val="00131586"/>
    <w:rsid w:val="00132284"/>
    <w:rsid w:val="00134ED3"/>
    <w:rsid w:val="001350E7"/>
    <w:rsid w:val="00135A2C"/>
    <w:rsid w:val="00136296"/>
    <w:rsid w:val="00136B86"/>
    <w:rsid w:val="00136F30"/>
    <w:rsid w:val="001379AA"/>
    <w:rsid w:val="0014046A"/>
    <w:rsid w:val="00142F15"/>
    <w:rsid w:val="00142F57"/>
    <w:rsid w:val="0014319F"/>
    <w:rsid w:val="00145552"/>
    <w:rsid w:val="001459E4"/>
    <w:rsid w:val="00145FD1"/>
    <w:rsid w:val="00146E0E"/>
    <w:rsid w:val="001507CE"/>
    <w:rsid w:val="001509D1"/>
    <w:rsid w:val="00153717"/>
    <w:rsid w:val="00153B13"/>
    <w:rsid w:val="00153C89"/>
    <w:rsid w:val="00153F87"/>
    <w:rsid w:val="00154A28"/>
    <w:rsid w:val="001552C7"/>
    <w:rsid w:val="0015596D"/>
    <w:rsid w:val="00155FE1"/>
    <w:rsid w:val="00156F3C"/>
    <w:rsid w:val="00157305"/>
    <w:rsid w:val="00157F67"/>
    <w:rsid w:val="00161A59"/>
    <w:rsid w:val="001629CB"/>
    <w:rsid w:val="00164900"/>
    <w:rsid w:val="001669A1"/>
    <w:rsid w:val="00166F1D"/>
    <w:rsid w:val="00167873"/>
    <w:rsid w:val="001702DF"/>
    <w:rsid w:val="00170616"/>
    <w:rsid w:val="00171E97"/>
    <w:rsid w:val="0017215E"/>
    <w:rsid w:val="0017308D"/>
    <w:rsid w:val="00174988"/>
    <w:rsid w:val="00176ACE"/>
    <w:rsid w:val="00176B40"/>
    <w:rsid w:val="001770FB"/>
    <w:rsid w:val="00177794"/>
    <w:rsid w:val="00180DE2"/>
    <w:rsid w:val="00181936"/>
    <w:rsid w:val="00181DD5"/>
    <w:rsid w:val="0018202F"/>
    <w:rsid w:val="00182303"/>
    <w:rsid w:val="0018495C"/>
    <w:rsid w:val="00185F29"/>
    <w:rsid w:val="00190715"/>
    <w:rsid w:val="00190C56"/>
    <w:rsid w:val="00191CFE"/>
    <w:rsid w:val="00191E60"/>
    <w:rsid w:val="00191EEA"/>
    <w:rsid w:val="001921B0"/>
    <w:rsid w:val="0019336A"/>
    <w:rsid w:val="00193F39"/>
    <w:rsid w:val="00196CB2"/>
    <w:rsid w:val="00197954"/>
    <w:rsid w:val="001A10EC"/>
    <w:rsid w:val="001A19BC"/>
    <w:rsid w:val="001A276C"/>
    <w:rsid w:val="001A3530"/>
    <w:rsid w:val="001A5E83"/>
    <w:rsid w:val="001A6CB5"/>
    <w:rsid w:val="001A7976"/>
    <w:rsid w:val="001A7EB9"/>
    <w:rsid w:val="001B1539"/>
    <w:rsid w:val="001B180C"/>
    <w:rsid w:val="001B292D"/>
    <w:rsid w:val="001B37A8"/>
    <w:rsid w:val="001B3E08"/>
    <w:rsid w:val="001B48D9"/>
    <w:rsid w:val="001B6D76"/>
    <w:rsid w:val="001B6E84"/>
    <w:rsid w:val="001B7BC1"/>
    <w:rsid w:val="001C25E5"/>
    <w:rsid w:val="001C30D8"/>
    <w:rsid w:val="001C32DA"/>
    <w:rsid w:val="001C4201"/>
    <w:rsid w:val="001C63BF"/>
    <w:rsid w:val="001C7402"/>
    <w:rsid w:val="001C78AE"/>
    <w:rsid w:val="001D2711"/>
    <w:rsid w:val="001D3E33"/>
    <w:rsid w:val="001D4519"/>
    <w:rsid w:val="001D4F61"/>
    <w:rsid w:val="001D4F9B"/>
    <w:rsid w:val="001D51FD"/>
    <w:rsid w:val="001D53E8"/>
    <w:rsid w:val="001D5A4D"/>
    <w:rsid w:val="001D5FBC"/>
    <w:rsid w:val="001D653B"/>
    <w:rsid w:val="001E2063"/>
    <w:rsid w:val="001E2074"/>
    <w:rsid w:val="001E2987"/>
    <w:rsid w:val="001E2C5D"/>
    <w:rsid w:val="001E4084"/>
    <w:rsid w:val="001E4BF8"/>
    <w:rsid w:val="001E51CE"/>
    <w:rsid w:val="001E57A7"/>
    <w:rsid w:val="001E71D5"/>
    <w:rsid w:val="001E7339"/>
    <w:rsid w:val="001F044F"/>
    <w:rsid w:val="001F096C"/>
    <w:rsid w:val="001F0D76"/>
    <w:rsid w:val="001F1433"/>
    <w:rsid w:val="001F1E0A"/>
    <w:rsid w:val="001F21E3"/>
    <w:rsid w:val="001F2B21"/>
    <w:rsid w:val="001F3872"/>
    <w:rsid w:val="001F466D"/>
    <w:rsid w:val="001F46EA"/>
    <w:rsid w:val="001F512B"/>
    <w:rsid w:val="001F53FD"/>
    <w:rsid w:val="001F6E41"/>
    <w:rsid w:val="0020083C"/>
    <w:rsid w:val="002023EC"/>
    <w:rsid w:val="00202BDC"/>
    <w:rsid w:val="00202D0A"/>
    <w:rsid w:val="0020441B"/>
    <w:rsid w:val="00207600"/>
    <w:rsid w:val="0021106D"/>
    <w:rsid w:val="0021145F"/>
    <w:rsid w:val="0021220E"/>
    <w:rsid w:val="00212235"/>
    <w:rsid w:val="0021240E"/>
    <w:rsid w:val="002128A7"/>
    <w:rsid w:val="00212DC9"/>
    <w:rsid w:val="002131C7"/>
    <w:rsid w:val="002136DD"/>
    <w:rsid w:val="00214414"/>
    <w:rsid w:val="00214820"/>
    <w:rsid w:val="00214DC7"/>
    <w:rsid w:val="00215170"/>
    <w:rsid w:val="00220728"/>
    <w:rsid w:val="00222152"/>
    <w:rsid w:val="0022311A"/>
    <w:rsid w:val="002241A4"/>
    <w:rsid w:val="00224E83"/>
    <w:rsid w:val="00225927"/>
    <w:rsid w:val="00227C77"/>
    <w:rsid w:val="0023017B"/>
    <w:rsid w:val="002305E5"/>
    <w:rsid w:val="002315F5"/>
    <w:rsid w:val="00231A44"/>
    <w:rsid w:val="0023349A"/>
    <w:rsid w:val="00234E23"/>
    <w:rsid w:val="00234F19"/>
    <w:rsid w:val="002355A2"/>
    <w:rsid w:val="00235D1F"/>
    <w:rsid w:val="002361C7"/>
    <w:rsid w:val="00237185"/>
    <w:rsid w:val="00240BF2"/>
    <w:rsid w:val="00241B9A"/>
    <w:rsid w:val="00241F84"/>
    <w:rsid w:val="00244724"/>
    <w:rsid w:val="002448A8"/>
    <w:rsid w:val="00245B40"/>
    <w:rsid w:val="00246014"/>
    <w:rsid w:val="0024613D"/>
    <w:rsid w:val="00251DFC"/>
    <w:rsid w:val="00251F7F"/>
    <w:rsid w:val="002533E9"/>
    <w:rsid w:val="00253EB1"/>
    <w:rsid w:val="00254B62"/>
    <w:rsid w:val="00254DDA"/>
    <w:rsid w:val="00255416"/>
    <w:rsid w:val="0025687C"/>
    <w:rsid w:val="002568C9"/>
    <w:rsid w:val="00256D0A"/>
    <w:rsid w:val="0025761B"/>
    <w:rsid w:val="00260022"/>
    <w:rsid w:val="00260712"/>
    <w:rsid w:val="002626C3"/>
    <w:rsid w:val="00262834"/>
    <w:rsid w:val="00263DB2"/>
    <w:rsid w:val="00265102"/>
    <w:rsid w:val="00265450"/>
    <w:rsid w:val="00265F14"/>
    <w:rsid w:val="00266539"/>
    <w:rsid w:val="00271209"/>
    <w:rsid w:val="002716AD"/>
    <w:rsid w:val="002734EC"/>
    <w:rsid w:val="00273AF2"/>
    <w:rsid w:val="00276314"/>
    <w:rsid w:val="00277500"/>
    <w:rsid w:val="00277BDE"/>
    <w:rsid w:val="002801AA"/>
    <w:rsid w:val="00280E5A"/>
    <w:rsid w:val="002811DD"/>
    <w:rsid w:val="00282816"/>
    <w:rsid w:val="00282EA4"/>
    <w:rsid w:val="002838E7"/>
    <w:rsid w:val="00283A18"/>
    <w:rsid w:val="0028487D"/>
    <w:rsid w:val="00285135"/>
    <w:rsid w:val="002854B6"/>
    <w:rsid w:val="002855C5"/>
    <w:rsid w:val="00286106"/>
    <w:rsid w:val="002864A8"/>
    <w:rsid w:val="00287679"/>
    <w:rsid w:val="00294164"/>
    <w:rsid w:val="00294592"/>
    <w:rsid w:val="002967E2"/>
    <w:rsid w:val="002973A1"/>
    <w:rsid w:val="00297560"/>
    <w:rsid w:val="002A04D9"/>
    <w:rsid w:val="002A1E6A"/>
    <w:rsid w:val="002A24D2"/>
    <w:rsid w:val="002A2FDA"/>
    <w:rsid w:val="002A3783"/>
    <w:rsid w:val="002A3C21"/>
    <w:rsid w:val="002A453A"/>
    <w:rsid w:val="002A70C5"/>
    <w:rsid w:val="002A766A"/>
    <w:rsid w:val="002A77F3"/>
    <w:rsid w:val="002B00A9"/>
    <w:rsid w:val="002B0190"/>
    <w:rsid w:val="002B0743"/>
    <w:rsid w:val="002B180E"/>
    <w:rsid w:val="002B2218"/>
    <w:rsid w:val="002B29ED"/>
    <w:rsid w:val="002B2C40"/>
    <w:rsid w:val="002B2EA0"/>
    <w:rsid w:val="002B332D"/>
    <w:rsid w:val="002B35BA"/>
    <w:rsid w:val="002B3EE5"/>
    <w:rsid w:val="002B5036"/>
    <w:rsid w:val="002B5964"/>
    <w:rsid w:val="002B609D"/>
    <w:rsid w:val="002B6D0C"/>
    <w:rsid w:val="002C0F02"/>
    <w:rsid w:val="002C203C"/>
    <w:rsid w:val="002C37C0"/>
    <w:rsid w:val="002C3A6D"/>
    <w:rsid w:val="002C3E75"/>
    <w:rsid w:val="002C46BD"/>
    <w:rsid w:val="002C580E"/>
    <w:rsid w:val="002C5B73"/>
    <w:rsid w:val="002C78C1"/>
    <w:rsid w:val="002C7CDF"/>
    <w:rsid w:val="002D0177"/>
    <w:rsid w:val="002D0ABD"/>
    <w:rsid w:val="002D1939"/>
    <w:rsid w:val="002D1F07"/>
    <w:rsid w:val="002D1F3F"/>
    <w:rsid w:val="002D3BD0"/>
    <w:rsid w:val="002D52A1"/>
    <w:rsid w:val="002D5654"/>
    <w:rsid w:val="002E075D"/>
    <w:rsid w:val="002E09DD"/>
    <w:rsid w:val="002E1F9E"/>
    <w:rsid w:val="002E27A2"/>
    <w:rsid w:val="002E3809"/>
    <w:rsid w:val="002E394D"/>
    <w:rsid w:val="002E41F5"/>
    <w:rsid w:val="002E4E23"/>
    <w:rsid w:val="002E5267"/>
    <w:rsid w:val="002E649B"/>
    <w:rsid w:val="002E6D51"/>
    <w:rsid w:val="002F04DB"/>
    <w:rsid w:val="002F1990"/>
    <w:rsid w:val="002F47E9"/>
    <w:rsid w:val="002F4BB2"/>
    <w:rsid w:val="002F4C2D"/>
    <w:rsid w:val="002F4DFF"/>
    <w:rsid w:val="002F4E0B"/>
    <w:rsid w:val="002F5387"/>
    <w:rsid w:val="00302200"/>
    <w:rsid w:val="00302754"/>
    <w:rsid w:val="00305625"/>
    <w:rsid w:val="00307C51"/>
    <w:rsid w:val="00310341"/>
    <w:rsid w:val="0031056B"/>
    <w:rsid w:val="00310A61"/>
    <w:rsid w:val="00310FFF"/>
    <w:rsid w:val="0031315C"/>
    <w:rsid w:val="00313300"/>
    <w:rsid w:val="003137E1"/>
    <w:rsid w:val="00314188"/>
    <w:rsid w:val="00314979"/>
    <w:rsid w:val="00314F4D"/>
    <w:rsid w:val="0031577C"/>
    <w:rsid w:val="003176AE"/>
    <w:rsid w:val="003178E1"/>
    <w:rsid w:val="00320928"/>
    <w:rsid w:val="00322E6A"/>
    <w:rsid w:val="0032301D"/>
    <w:rsid w:val="00323BB4"/>
    <w:rsid w:val="003247D3"/>
    <w:rsid w:val="00324870"/>
    <w:rsid w:val="00324DDF"/>
    <w:rsid w:val="003253FD"/>
    <w:rsid w:val="003256D0"/>
    <w:rsid w:val="00325F3D"/>
    <w:rsid w:val="003261E4"/>
    <w:rsid w:val="00326414"/>
    <w:rsid w:val="00326BA2"/>
    <w:rsid w:val="00326E3B"/>
    <w:rsid w:val="00326EB4"/>
    <w:rsid w:val="00327A8A"/>
    <w:rsid w:val="00330FCF"/>
    <w:rsid w:val="00332A82"/>
    <w:rsid w:val="00335AD6"/>
    <w:rsid w:val="00336E10"/>
    <w:rsid w:val="00340E3D"/>
    <w:rsid w:val="0034579E"/>
    <w:rsid w:val="003469F5"/>
    <w:rsid w:val="00352CCB"/>
    <w:rsid w:val="003537EF"/>
    <w:rsid w:val="003562BD"/>
    <w:rsid w:val="0035645A"/>
    <w:rsid w:val="00356707"/>
    <w:rsid w:val="00357389"/>
    <w:rsid w:val="00360A91"/>
    <w:rsid w:val="00364278"/>
    <w:rsid w:val="003663DC"/>
    <w:rsid w:val="003665DF"/>
    <w:rsid w:val="00366DE3"/>
    <w:rsid w:val="00367249"/>
    <w:rsid w:val="00370B59"/>
    <w:rsid w:val="00370EBC"/>
    <w:rsid w:val="003712FB"/>
    <w:rsid w:val="003715A8"/>
    <w:rsid w:val="003740BF"/>
    <w:rsid w:val="003740F9"/>
    <w:rsid w:val="003741EF"/>
    <w:rsid w:val="00374599"/>
    <w:rsid w:val="00375DEC"/>
    <w:rsid w:val="003802F4"/>
    <w:rsid w:val="003814B1"/>
    <w:rsid w:val="003815C9"/>
    <w:rsid w:val="003823A1"/>
    <w:rsid w:val="003826A8"/>
    <w:rsid w:val="00383939"/>
    <w:rsid w:val="00383E39"/>
    <w:rsid w:val="003844DA"/>
    <w:rsid w:val="0038555B"/>
    <w:rsid w:val="0038590B"/>
    <w:rsid w:val="00386457"/>
    <w:rsid w:val="00386AA7"/>
    <w:rsid w:val="00387A2E"/>
    <w:rsid w:val="00390510"/>
    <w:rsid w:val="0039151C"/>
    <w:rsid w:val="003926D1"/>
    <w:rsid w:val="003936AC"/>
    <w:rsid w:val="00393877"/>
    <w:rsid w:val="003941EB"/>
    <w:rsid w:val="00395E57"/>
    <w:rsid w:val="00397C03"/>
    <w:rsid w:val="003A03C3"/>
    <w:rsid w:val="003A0E4D"/>
    <w:rsid w:val="003A1363"/>
    <w:rsid w:val="003A2690"/>
    <w:rsid w:val="003A26AA"/>
    <w:rsid w:val="003A35DD"/>
    <w:rsid w:val="003A4415"/>
    <w:rsid w:val="003A4DAC"/>
    <w:rsid w:val="003A690A"/>
    <w:rsid w:val="003A6AC1"/>
    <w:rsid w:val="003A6B55"/>
    <w:rsid w:val="003A6CAE"/>
    <w:rsid w:val="003B05B9"/>
    <w:rsid w:val="003B0D77"/>
    <w:rsid w:val="003B182B"/>
    <w:rsid w:val="003B1E00"/>
    <w:rsid w:val="003B3465"/>
    <w:rsid w:val="003B53D3"/>
    <w:rsid w:val="003B5D6A"/>
    <w:rsid w:val="003B60EC"/>
    <w:rsid w:val="003B7B47"/>
    <w:rsid w:val="003C0F9D"/>
    <w:rsid w:val="003C149F"/>
    <w:rsid w:val="003C4D9B"/>
    <w:rsid w:val="003C589B"/>
    <w:rsid w:val="003C5C0E"/>
    <w:rsid w:val="003C6E96"/>
    <w:rsid w:val="003C790D"/>
    <w:rsid w:val="003C7F15"/>
    <w:rsid w:val="003D05B6"/>
    <w:rsid w:val="003D093A"/>
    <w:rsid w:val="003D4DBC"/>
    <w:rsid w:val="003D6C8E"/>
    <w:rsid w:val="003D7392"/>
    <w:rsid w:val="003E09F2"/>
    <w:rsid w:val="003E0AD9"/>
    <w:rsid w:val="003E33DD"/>
    <w:rsid w:val="003E3645"/>
    <w:rsid w:val="003E5295"/>
    <w:rsid w:val="003E74E1"/>
    <w:rsid w:val="003F1094"/>
    <w:rsid w:val="003F18B1"/>
    <w:rsid w:val="003F1E45"/>
    <w:rsid w:val="003F472E"/>
    <w:rsid w:val="003F74C4"/>
    <w:rsid w:val="00403641"/>
    <w:rsid w:val="004047E1"/>
    <w:rsid w:val="00404A77"/>
    <w:rsid w:val="004057C4"/>
    <w:rsid w:val="00405809"/>
    <w:rsid w:val="00405CF1"/>
    <w:rsid w:val="004064CB"/>
    <w:rsid w:val="00406559"/>
    <w:rsid w:val="0040703C"/>
    <w:rsid w:val="0040703D"/>
    <w:rsid w:val="004072CD"/>
    <w:rsid w:val="00407C13"/>
    <w:rsid w:val="004100E6"/>
    <w:rsid w:val="00410735"/>
    <w:rsid w:val="00412AE3"/>
    <w:rsid w:val="00412DDC"/>
    <w:rsid w:val="00413375"/>
    <w:rsid w:val="00415478"/>
    <w:rsid w:val="00415AB7"/>
    <w:rsid w:val="00416523"/>
    <w:rsid w:val="0041721D"/>
    <w:rsid w:val="00417CE4"/>
    <w:rsid w:val="00423B9F"/>
    <w:rsid w:val="00423BD9"/>
    <w:rsid w:val="00424A04"/>
    <w:rsid w:val="00425365"/>
    <w:rsid w:val="004257DA"/>
    <w:rsid w:val="00425864"/>
    <w:rsid w:val="00426424"/>
    <w:rsid w:val="00427BA3"/>
    <w:rsid w:val="00430ED3"/>
    <w:rsid w:val="0043294C"/>
    <w:rsid w:val="00432A6C"/>
    <w:rsid w:val="00433454"/>
    <w:rsid w:val="00433D3F"/>
    <w:rsid w:val="00434DFD"/>
    <w:rsid w:val="004408A2"/>
    <w:rsid w:val="0044147F"/>
    <w:rsid w:val="00442C4A"/>
    <w:rsid w:val="0044384D"/>
    <w:rsid w:val="00443BED"/>
    <w:rsid w:val="004447E6"/>
    <w:rsid w:val="004462A3"/>
    <w:rsid w:val="00446F20"/>
    <w:rsid w:val="00447A3C"/>
    <w:rsid w:val="00450CD1"/>
    <w:rsid w:val="0045193D"/>
    <w:rsid w:val="004524D5"/>
    <w:rsid w:val="004528E8"/>
    <w:rsid w:val="0045423C"/>
    <w:rsid w:val="004554E6"/>
    <w:rsid w:val="00457F2D"/>
    <w:rsid w:val="0046019C"/>
    <w:rsid w:val="00461062"/>
    <w:rsid w:val="00461423"/>
    <w:rsid w:val="00461B6B"/>
    <w:rsid w:val="00462CE8"/>
    <w:rsid w:val="004631A1"/>
    <w:rsid w:val="00463E1F"/>
    <w:rsid w:val="0046697D"/>
    <w:rsid w:val="00470D4F"/>
    <w:rsid w:val="004711A7"/>
    <w:rsid w:val="0047128F"/>
    <w:rsid w:val="00473CCA"/>
    <w:rsid w:val="004771B4"/>
    <w:rsid w:val="00480B84"/>
    <w:rsid w:val="004813B6"/>
    <w:rsid w:val="00481FBB"/>
    <w:rsid w:val="00483DEC"/>
    <w:rsid w:val="00484109"/>
    <w:rsid w:val="00484B56"/>
    <w:rsid w:val="004871D8"/>
    <w:rsid w:val="004919BC"/>
    <w:rsid w:val="004931C4"/>
    <w:rsid w:val="00493B61"/>
    <w:rsid w:val="004945D0"/>
    <w:rsid w:val="00494DA3"/>
    <w:rsid w:val="00494F62"/>
    <w:rsid w:val="00496CEA"/>
    <w:rsid w:val="00496E8F"/>
    <w:rsid w:val="004A01EC"/>
    <w:rsid w:val="004A0C18"/>
    <w:rsid w:val="004A10F5"/>
    <w:rsid w:val="004A2DE0"/>
    <w:rsid w:val="004A3602"/>
    <w:rsid w:val="004A36AD"/>
    <w:rsid w:val="004A3C45"/>
    <w:rsid w:val="004A4424"/>
    <w:rsid w:val="004A4615"/>
    <w:rsid w:val="004A7599"/>
    <w:rsid w:val="004B086C"/>
    <w:rsid w:val="004B0C4A"/>
    <w:rsid w:val="004B3278"/>
    <w:rsid w:val="004B3807"/>
    <w:rsid w:val="004B42F3"/>
    <w:rsid w:val="004B5021"/>
    <w:rsid w:val="004B581F"/>
    <w:rsid w:val="004B5B60"/>
    <w:rsid w:val="004B6235"/>
    <w:rsid w:val="004B6C08"/>
    <w:rsid w:val="004B7E66"/>
    <w:rsid w:val="004C06BF"/>
    <w:rsid w:val="004C0C0A"/>
    <w:rsid w:val="004C0DF5"/>
    <w:rsid w:val="004C15B0"/>
    <w:rsid w:val="004C19A4"/>
    <w:rsid w:val="004C24C3"/>
    <w:rsid w:val="004C4ADD"/>
    <w:rsid w:val="004C53C6"/>
    <w:rsid w:val="004C6AA6"/>
    <w:rsid w:val="004C74B5"/>
    <w:rsid w:val="004C78D0"/>
    <w:rsid w:val="004D0A00"/>
    <w:rsid w:val="004D16C1"/>
    <w:rsid w:val="004D1A6F"/>
    <w:rsid w:val="004D1D1A"/>
    <w:rsid w:val="004D2936"/>
    <w:rsid w:val="004D3DF5"/>
    <w:rsid w:val="004D4E8A"/>
    <w:rsid w:val="004D5B73"/>
    <w:rsid w:val="004D5C82"/>
    <w:rsid w:val="004D7D2F"/>
    <w:rsid w:val="004E043E"/>
    <w:rsid w:val="004E1B08"/>
    <w:rsid w:val="004E3657"/>
    <w:rsid w:val="004E42EF"/>
    <w:rsid w:val="004E5164"/>
    <w:rsid w:val="004E5AB1"/>
    <w:rsid w:val="004E6A56"/>
    <w:rsid w:val="004F0BA1"/>
    <w:rsid w:val="004F0E0D"/>
    <w:rsid w:val="004F245E"/>
    <w:rsid w:val="004F2837"/>
    <w:rsid w:val="004F2E88"/>
    <w:rsid w:val="004F3990"/>
    <w:rsid w:val="004F4942"/>
    <w:rsid w:val="004F4CDA"/>
    <w:rsid w:val="004F4D47"/>
    <w:rsid w:val="004F60EB"/>
    <w:rsid w:val="004F62CF"/>
    <w:rsid w:val="004F6D33"/>
    <w:rsid w:val="004F793C"/>
    <w:rsid w:val="005002FB"/>
    <w:rsid w:val="00500301"/>
    <w:rsid w:val="0050119B"/>
    <w:rsid w:val="005020E7"/>
    <w:rsid w:val="0050244F"/>
    <w:rsid w:val="00504018"/>
    <w:rsid w:val="00504110"/>
    <w:rsid w:val="00505853"/>
    <w:rsid w:val="005100EF"/>
    <w:rsid w:val="00511185"/>
    <w:rsid w:val="0051270F"/>
    <w:rsid w:val="005137D0"/>
    <w:rsid w:val="00513F30"/>
    <w:rsid w:val="00514020"/>
    <w:rsid w:val="005147EA"/>
    <w:rsid w:val="00514906"/>
    <w:rsid w:val="00514E94"/>
    <w:rsid w:val="0051501B"/>
    <w:rsid w:val="00515FBD"/>
    <w:rsid w:val="005165C2"/>
    <w:rsid w:val="00516710"/>
    <w:rsid w:val="00517DBE"/>
    <w:rsid w:val="005210FF"/>
    <w:rsid w:val="005222A8"/>
    <w:rsid w:val="00522ED9"/>
    <w:rsid w:val="005233FB"/>
    <w:rsid w:val="00524DCE"/>
    <w:rsid w:val="00525732"/>
    <w:rsid w:val="00525A83"/>
    <w:rsid w:val="00525DCD"/>
    <w:rsid w:val="005309E0"/>
    <w:rsid w:val="00530E4E"/>
    <w:rsid w:val="00530EF6"/>
    <w:rsid w:val="0053353B"/>
    <w:rsid w:val="00534AF8"/>
    <w:rsid w:val="0053559A"/>
    <w:rsid w:val="00535F2F"/>
    <w:rsid w:val="00536B7F"/>
    <w:rsid w:val="00536FF9"/>
    <w:rsid w:val="00537040"/>
    <w:rsid w:val="0053732E"/>
    <w:rsid w:val="00537D5D"/>
    <w:rsid w:val="00537D7E"/>
    <w:rsid w:val="00542BFA"/>
    <w:rsid w:val="00543F0E"/>
    <w:rsid w:val="0054425D"/>
    <w:rsid w:val="005448CB"/>
    <w:rsid w:val="005459EC"/>
    <w:rsid w:val="00545DE3"/>
    <w:rsid w:val="00546AC5"/>
    <w:rsid w:val="005501E4"/>
    <w:rsid w:val="00551049"/>
    <w:rsid w:val="00551125"/>
    <w:rsid w:val="0055153E"/>
    <w:rsid w:val="0055195D"/>
    <w:rsid w:val="00554E28"/>
    <w:rsid w:val="00554E3D"/>
    <w:rsid w:val="00555596"/>
    <w:rsid w:val="00556F38"/>
    <w:rsid w:val="0056106D"/>
    <w:rsid w:val="0056192B"/>
    <w:rsid w:val="00561BE1"/>
    <w:rsid w:val="00562758"/>
    <w:rsid w:val="00563658"/>
    <w:rsid w:val="00564ABC"/>
    <w:rsid w:val="005663E6"/>
    <w:rsid w:val="00566AD8"/>
    <w:rsid w:val="00567811"/>
    <w:rsid w:val="00570BDA"/>
    <w:rsid w:val="00571315"/>
    <w:rsid w:val="00572EE4"/>
    <w:rsid w:val="00574914"/>
    <w:rsid w:val="00574F3A"/>
    <w:rsid w:val="00575237"/>
    <w:rsid w:val="00575F68"/>
    <w:rsid w:val="00576EA0"/>
    <w:rsid w:val="00577EB9"/>
    <w:rsid w:val="005811D1"/>
    <w:rsid w:val="005815E9"/>
    <w:rsid w:val="00581D7A"/>
    <w:rsid w:val="00583033"/>
    <w:rsid w:val="005830ED"/>
    <w:rsid w:val="005832D9"/>
    <w:rsid w:val="00584EAD"/>
    <w:rsid w:val="0058557A"/>
    <w:rsid w:val="00587A24"/>
    <w:rsid w:val="00587E8E"/>
    <w:rsid w:val="005903FC"/>
    <w:rsid w:val="005915DE"/>
    <w:rsid w:val="00592649"/>
    <w:rsid w:val="00592C9C"/>
    <w:rsid w:val="005935A8"/>
    <w:rsid w:val="00594191"/>
    <w:rsid w:val="00594AE2"/>
    <w:rsid w:val="005951FF"/>
    <w:rsid w:val="0059584C"/>
    <w:rsid w:val="00595FB9"/>
    <w:rsid w:val="00596484"/>
    <w:rsid w:val="005A0C4C"/>
    <w:rsid w:val="005A17C4"/>
    <w:rsid w:val="005A3D6D"/>
    <w:rsid w:val="005A4AD8"/>
    <w:rsid w:val="005A4C44"/>
    <w:rsid w:val="005A76B7"/>
    <w:rsid w:val="005B0968"/>
    <w:rsid w:val="005B0AFA"/>
    <w:rsid w:val="005B0B6C"/>
    <w:rsid w:val="005B23CA"/>
    <w:rsid w:val="005B2484"/>
    <w:rsid w:val="005B2509"/>
    <w:rsid w:val="005B4392"/>
    <w:rsid w:val="005B4C58"/>
    <w:rsid w:val="005B78FB"/>
    <w:rsid w:val="005B79C8"/>
    <w:rsid w:val="005B7C7E"/>
    <w:rsid w:val="005B7C82"/>
    <w:rsid w:val="005C0252"/>
    <w:rsid w:val="005C2EC2"/>
    <w:rsid w:val="005C3B23"/>
    <w:rsid w:val="005C6F1D"/>
    <w:rsid w:val="005C7B1A"/>
    <w:rsid w:val="005D09ED"/>
    <w:rsid w:val="005D11D3"/>
    <w:rsid w:val="005D2C6F"/>
    <w:rsid w:val="005D324A"/>
    <w:rsid w:val="005D6936"/>
    <w:rsid w:val="005E0EFE"/>
    <w:rsid w:val="005E0F91"/>
    <w:rsid w:val="005E10F9"/>
    <w:rsid w:val="005E1699"/>
    <w:rsid w:val="005E2A9F"/>
    <w:rsid w:val="005E343C"/>
    <w:rsid w:val="005E5451"/>
    <w:rsid w:val="005E5AA2"/>
    <w:rsid w:val="005E60E3"/>
    <w:rsid w:val="005E6C2D"/>
    <w:rsid w:val="005E72EE"/>
    <w:rsid w:val="005E7E17"/>
    <w:rsid w:val="005F15F5"/>
    <w:rsid w:val="005F1A21"/>
    <w:rsid w:val="005F1CE2"/>
    <w:rsid w:val="005F26F5"/>
    <w:rsid w:val="005F2AA8"/>
    <w:rsid w:val="005F2BE5"/>
    <w:rsid w:val="005F2F58"/>
    <w:rsid w:val="005F349C"/>
    <w:rsid w:val="005F3D59"/>
    <w:rsid w:val="005F5CFB"/>
    <w:rsid w:val="005F6685"/>
    <w:rsid w:val="005F6A0C"/>
    <w:rsid w:val="005F6D41"/>
    <w:rsid w:val="005F756E"/>
    <w:rsid w:val="00600974"/>
    <w:rsid w:val="00600BDE"/>
    <w:rsid w:val="006018E6"/>
    <w:rsid w:val="0060206A"/>
    <w:rsid w:val="00605A81"/>
    <w:rsid w:val="00606702"/>
    <w:rsid w:val="006069D6"/>
    <w:rsid w:val="00606A3E"/>
    <w:rsid w:val="00606C2E"/>
    <w:rsid w:val="00610119"/>
    <w:rsid w:val="00610E5D"/>
    <w:rsid w:val="006178A9"/>
    <w:rsid w:val="00620D2D"/>
    <w:rsid w:val="00622837"/>
    <w:rsid w:val="00622BC7"/>
    <w:rsid w:val="00623309"/>
    <w:rsid w:val="006237FD"/>
    <w:rsid w:val="00623857"/>
    <w:rsid w:val="00623CD4"/>
    <w:rsid w:val="006245B4"/>
    <w:rsid w:val="00624A2F"/>
    <w:rsid w:val="00625B36"/>
    <w:rsid w:val="00626A35"/>
    <w:rsid w:val="00627218"/>
    <w:rsid w:val="0063218A"/>
    <w:rsid w:val="0063329D"/>
    <w:rsid w:val="00633525"/>
    <w:rsid w:val="00633939"/>
    <w:rsid w:val="00635649"/>
    <w:rsid w:val="0063626C"/>
    <w:rsid w:val="00636DD2"/>
    <w:rsid w:val="006408E9"/>
    <w:rsid w:val="00640957"/>
    <w:rsid w:val="0064140B"/>
    <w:rsid w:val="00641872"/>
    <w:rsid w:val="00641D8A"/>
    <w:rsid w:val="00642443"/>
    <w:rsid w:val="00643F28"/>
    <w:rsid w:val="00644A5E"/>
    <w:rsid w:val="00644EEC"/>
    <w:rsid w:val="0064573D"/>
    <w:rsid w:val="0065061B"/>
    <w:rsid w:val="00653408"/>
    <w:rsid w:val="00653954"/>
    <w:rsid w:val="006546C1"/>
    <w:rsid w:val="006547A3"/>
    <w:rsid w:val="00654EF7"/>
    <w:rsid w:val="0065557F"/>
    <w:rsid w:val="006555B8"/>
    <w:rsid w:val="00656214"/>
    <w:rsid w:val="006566B6"/>
    <w:rsid w:val="00657AB9"/>
    <w:rsid w:val="00657F58"/>
    <w:rsid w:val="00661F1E"/>
    <w:rsid w:val="006641BC"/>
    <w:rsid w:val="0066569B"/>
    <w:rsid w:val="0066616B"/>
    <w:rsid w:val="00666892"/>
    <w:rsid w:val="00666EA6"/>
    <w:rsid w:val="0067145A"/>
    <w:rsid w:val="006722D0"/>
    <w:rsid w:val="00672A99"/>
    <w:rsid w:val="00673EF5"/>
    <w:rsid w:val="006740CF"/>
    <w:rsid w:val="00675528"/>
    <w:rsid w:val="006757E8"/>
    <w:rsid w:val="0067591F"/>
    <w:rsid w:val="00675DFB"/>
    <w:rsid w:val="00676117"/>
    <w:rsid w:val="00683704"/>
    <w:rsid w:val="00686BC8"/>
    <w:rsid w:val="006876F9"/>
    <w:rsid w:val="00691800"/>
    <w:rsid w:val="006919B9"/>
    <w:rsid w:val="00691D17"/>
    <w:rsid w:val="00691EA5"/>
    <w:rsid w:val="006921F6"/>
    <w:rsid w:val="00693FF2"/>
    <w:rsid w:val="006941FD"/>
    <w:rsid w:val="006942B7"/>
    <w:rsid w:val="006943FC"/>
    <w:rsid w:val="00695123"/>
    <w:rsid w:val="00695962"/>
    <w:rsid w:val="00695D19"/>
    <w:rsid w:val="00695D94"/>
    <w:rsid w:val="00696BFC"/>
    <w:rsid w:val="006A038C"/>
    <w:rsid w:val="006A294B"/>
    <w:rsid w:val="006A379F"/>
    <w:rsid w:val="006A4336"/>
    <w:rsid w:val="006A4873"/>
    <w:rsid w:val="006A4EBA"/>
    <w:rsid w:val="006A765F"/>
    <w:rsid w:val="006A7D5F"/>
    <w:rsid w:val="006B10F0"/>
    <w:rsid w:val="006B1ACF"/>
    <w:rsid w:val="006B296F"/>
    <w:rsid w:val="006B3395"/>
    <w:rsid w:val="006B4593"/>
    <w:rsid w:val="006B5274"/>
    <w:rsid w:val="006B5A53"/>
    <w:rsid w:val="006B798B"/>
    <w:rsid w:val="006B7B0C"/>
    <w:rsid w:val="006C03E2"/>
    <w:rsid w:val="006C166B"/>
    <w:rsid w:val="006C3DD9"/>
    <w:rsid w:val="006C5319"/>
    <w:rsid w:val="006C5347"/>
    <w:rsid w:val="006C6485"/>
    <w:rsid w:val="006C6F82"/>
    <w:rsid w:val="006C7698"/>
    <w:rsid w:val="006D133E"/>
    <w:rsid w:val="006D33E3"/>
    <w:rsid w:val="006D33E7"/>
    <w:rsid w:val="006D34C5"/>
    <w:rsid w:val="006D4A50"/>
    <w:rsid w:val="006D50DD"/>
    <w:rsid w:val="006D6509"/>
    <w:rsid w:val="006D6A09"/>
    <w:rsid w:val="006D7540"/>
    <w:rsid w:val="006E032C"/>
    <w:rsid w:val="006E0401"/>
    <w:rsid w:val="006E1174"/>
    <w:rsid w:val="006E13AB"/>
    <w:rsid w:val="006E3746"/>
    <w:rsid w:val="006E3C75"/>
    <w:rsid w:val="006E4C8F"/>
    <w:rsid w:val="006E5A84"/>
    <w:rsid w:val="006E7BD6"/>
    <w:rsid w:val="006F12D8"/>
    <w:rsid w:val="006F15DB"/>
    <w:rsid w:val="006F2911"/>
    <w:rsid w:val="006F36AA"/>
    <w:rsid w:val="006F3846"/>
    <w:rsid w:val="006F4A16"/>
    <w:rsid w:val="006F4F5D"/>
    <w:rsid w:val="006F54E3"/>
    <w:rsid w:val="006F55D7"/>
    <w:rsid w:val="006F62AF"/>
    <w:rsid w:val="006F659B"/>
    <w:rsid w:val="006F77D4"/>
    <w:rsid w:val="006F7CB3"/>
    <w:rsid w:val="00700B47"/>
    <w:rsid w:val="00701100"/>
    <w:rsid w:val="007020D6"/>
    <w:rsid w:val="00702221"/>
    <w:rsid w:val="00702C76"/>
    <w:rsid w:val="00703768"/>
    <w:rsid w:val="007037C8"/>
    <w:rsid w:val="00703816"/>
    <w:rsid w:val="0070392C"/>
    <w:rsid w:val="00707F42"/>
    <w:rsid w:val="00710EB4"/>
    <w:rsid w:val="00711CCB"/>
    <w:rsid w:val="00711EFE"/>
    <w:rsid w:val="007120BF"/>
    <w:rsid w:val="00712146"/>
    <w:rsid w:val="00713212"/>
    <w:rsid w:val="0071481F"/>
    <w:rsid w:val="007148DD"/>
    <w:rsid w:val="00714B96"/>
    <w:rsid w:val="007155D0"/>
    <w:rsid w:val="00716DDF"/>
    <w:rsid w:val="00716E07"/>
    <w:rsid w:val="00717408"/>
    <w:rsid w:val="00717579"/>
    <w:rsid w:val="00717666"/>
    <w:rsid w:val="00717A0A"/>
    <w:rsid w:val="00717B64"/>
    <w:rsid w:val="00720ECF"/>
    <w:rsid w:val="007227F6"/>
    <w:rsid w:val="00722ED2"/>
    <w:rsid w:val="0072357A"/>
    <w:rsid w:val="00725371"/>
    <w:rsid w:val="007260C7"/>
    <w:rsid w:val="007265CB"/>
    <w:rsid w:val="00727A5B"/>
    <w:rsid w:val="00727C71"/>
    <w:rsid w:val="00730415"/>
    <w:rsid w:val="00730A05"/>
    <w:rsid w:val="0073123A"/>
    <w:rsid w:val="007315CD"/>
    <w:rsid w:val="00732155"/>
    <w:rsid w:val="0073237A"/>
    <w:rsid w:val="00732AB9"/>
    <w:rsid w:val="00732DAE"/>
    <w:rsid w:val="00735DB4"/>
    <w:rsid w:val="00736721"/>
    <w:rsid w:val="00736777"/>
    <w:rsid w:val="00736CD0"/>
    <w:rsid w:val="00740E4E"/>
    <w:rsid w:val="00741728"/>
    <w:rsid w:val="0074258D"/>
    <w:rsid w:val="00746398"/>
    <w:rsid w:val="0074685D"/>
    <w:rsid w:val="007472EC"/>
    <w:rsid w:val="00750751"/>
    <w:rsid w:val="007507EF"/>
    <w:rsid w:val="007515E7"/>
    <w:rsid w:val="00751E19"/>
    <w:rsid w:val="00753FFD"/>
    <w:rsid w:val="00754EB3"/>
    <w:rsid w:val="007564BA"/>
    <w:rsid w:val="0076080D"/>
    <w:rsid w:val="00760948"/>
    <w:rsid w:val="007612DA"/>
    <w:rsid w:val="00762DF4"/>
    <w:rsid w:val="00763087"/>
    <w:rsid w:val="00763ACE"/>
    <w:rsid w:val="00763BFF"/>
    <w:rsid w:val="0076500F"/>
    <w:rsid w:val="00765DB1"/>
    <w:rsid w:val="007709B2"/>
    <w:rsid w:val="0077160D"/>
    <w:rsid w:val="00771922"/>
    <w:rsid w:val="00772CC1"/>
    <w:rsid w:val="00772D29"/>
    <w:rsid w:val="00773364"/>
    <w:rsid w:val="007733CE"/>
    <w:rsid w:val="0077419A"/>
    <w:rsid w:val="00774798"/>
    <w:rsid w:val="00774B03"/>
    <w:rsid w:val="00774E91"/>
    <w:rsid w:val="00776EBF"/>
    <w:rsid w:val="0077747C"/>
    <w:rsid w:val="007777E7"/>
    <w:rsid w:val="007778B3"/>
    <w:rsid w:val="00777919"/>
    <w:rsid w:val="00780A95"/>
    <w:rsid w:val="00781B67"/>
    <w:rsid w:val="0078238B"/>
    <w:rsid w:val="0078308B"/>
    <w:rsid w:val="0078308D"/>
    <w:rsid w:val="007836B6"/>
    <w:rsid w:val="007851FA"/>
    <w:rsid w:val="00786924"/>
    <w:rsid w:val="0079019A"/>
    <w:rsid w:val="00790F70"/>
    <w:rsid w:val="007913A0"/>
    <w:rsid w:val="00793C16"/>
    <w:rsid w:val="00794642"/>
    <w:rsid w:val="00794F11"/>
    <w:rsid w:val="00795960"/>
    <w:rsid w:val="00796196"/>
    <w:rsid w:val="00796935"/>
    <w:rsid w:val="00797032"/>
    <w:rsid w:val="007A2293"/>
    <w:rsid w:val="007A2754"/>
    <w:rsid w:val="007A278A"/>
    <w:rsid w:val="007A39E9"/>
    <w:rsid w:val="007A5A84"/>
    <w:rsid w:val="007A6568"/>
    <w:rsid w:val="007A7D41"/>
    <w:rsid w:val="007B142B"/>
    <w:rsid w:val="007B18CB"/>
    <w:rsid w:val="007B1B7C"/>
    <w:rsid w:val="007B2554"/>
    <w:rsid w:val="007B2CE6"/>
    <w:rsid w:val="007B4ACF"/>
    <w:rsid w:val="007B60B1"/>
    <w:rsid w:val="007B6584"/>
    <w:rsid w:val="007C1691"/>
    <w:rsid w:val="007C4BC4"/>
    <w:rsid w:val="007C66DE"/>
    <w:rsid w:val="007C787A"/>
    <w:rsid w:val="007D0345"/>
    <w:rsid w:val="007D05F0"/>
    <w:rsid w:val="007D0BCB"/>
    <w:rsid w:val="007D1552"/>
    <w:rsid w:val="007D1E32"/>
    <w:rsid w:val="007D2A7A"/>
    <w:rsid w:val="007D3733"/>
    <w:rsid w:val="007D46EC"/>
    <w:rsid w:val="007D47F7"/>
    <w:rsid w:val="007D6C50"/>
    <w:rsid w:val="007E0937"/>
    <w:rsid w:val="007E09FC"/>
    <w:rsid w:val="007E5E07"/>
    <w:rsid w:val="007E6D39"/>
    <w:rsid w:val="007E6D4D"/>
    <w:rsid w:val="007E6E33"/>
    <w:rsid w:val="007E6F14"/>
    <w:rsid w:val="007E6FB5"/>
    <w:rsid w:val="007F0434"/>
    <w:rsid w:val="007F081D"/>
    <w:rsid w:val="007F13F9"/>
    <w:rsid w:val="007F15B5"/>
    <w:rsid w:val="007F1C01"/>
    <w:rsid w:val="007F1C7A"/>
    <w:rsid w:val="007F2C4E"/>
    <w:rsid w:val="007F35B2"/>
    <w:rsid w:val="007F3A46"/>
    <w:rsid w:val="007F58A1"/>
    <w:rsid w:val="007F5C16"/>
    <w:rsid w:val="007F61C0"/>
    <w:rsid w:val="00800A01"/>
    <w:rsid w:val="00801D9E"/>
    <w:rsid w:val="00802473"/>
    <w:rsid w:val="00802882"/>
    <w:rsid w:val="00803384"/>
    <w:rsid w:val="00805A84"/>
    <w:rsid w:val="0080683C"/>
    <w:rsid w:val="00806CBC"/>
    <w:rsid w:val="00806EEE"/>
    <w:rsid w:val="00807207"/>
    <w:rsid w:val="0081083C"/>
    <w:rsid w:val="00811422"/>
    <w:rsid w:val="00811CAA"/>
    <w:rsid w:val="00811CD9"/>
    <w:rsid w:val="008139FB"/>
    <w:rsid w:val="008151B1"/>
    <w:rsid w:val="00815787"/>
    <w:rsid w:val="00815FB5"/>
    <w:rsid w:val="008174E0"/>
    <w:rsid w:val="00821C9B"/>
    <w:rsid w:val="00823A53"/>
    <w:rsid w:val="00824C40"/>
    <w:rsid w:val="00831031"/>
    <w:rsid w:val="00832ABB"/>
    <w:rsid w:val="00833146"/>
    <w:rsid w:val="00833C1F"/>
    <w:rsid w:val="00836651"/>
    <w:rsid w:val="008368DE"/>
    <w:rsid w:val="00837B85"/>
    <w:rsid w:val="0084043B"/>
    <w:rsid w:val="00840973"/>
    <w:rsid w:val="00841AB5"/>
    <w:rsid w:val="00842385"/>
    <w:rsid w:val="0084306E"/>
    <w:rsid w:val="00843DF3"/>
    <w:rsid w:val="00843F4E"/>
    <w:rsid w:val="0084440D"/>
    <w:rsid w:val="00847415"/>
    <w:rsid w:val="00850519"/>
    <w:rsid w:val="0085179F"/>
    <w:rsid w:val="0085242B"/>
    <w:rsid w:val="00852F97"/>
    <w:rsid w:val="0085753E"/>
    <w:rsid w:val="00857DCE"/>
    <w:rsid w:val="0086124F"/>
    <w:rsid w:val="00861C7A"/>
    <w:rsid w:val="00863721"/>
    <w:rsid w:val="0086433D"/>
    <w:rsid w:val="0086559F"/>
    <w:rsid w:val="008655F5"/>
    <w:rsid w:val="00866459"/>
    <w:rsid w:val="00867B0E"/>
    <w:rsid w:val="00870834"/>
    <w:rsid w:val="00870EC7"/>
    <w:rsid w:val="00871398"/>
    <w:rsid w:val="00872867"/>
    <w:rsid w:val="00873D4F"/>
    <w:rsid w:val="008751FA"/>
    <w:rsid w:val="0087538B"/>
    <w:rsid w:val="00875A13"/>
    <w:rsid w:val="00876A48"/>
    <w:rsid w:val="00876FAC"/>
    <w:rsid w:val="0087771C"/>
    <w:rsid w:val="008800C0"/>
    <w:rsid w:val="008811DF"/>
    <w:rsid w:val="008821D5"/>
    <w:rsid w:val="00883168"/>
    <w:rsid w:val="00883C68"/>
    <w:rsid w:val="008846EE"/>
    <w:rsid w:val="00885AA0"/>
    <w:rsid w:val="00886BC4"/>
    <w:rsid w:val="00887A38"/>
    <w:rsid w:val="00894114"/>
    <w:rsid w:val="008966C7"/>
    <w:rsid w:val="00896C52"/>
    <w:rsid w:val="00897122"/>
    <w:rsid w:val="0089746C"/>
    <w:rsid w:val="008A0B3B"/>
    <w:rsid w:val="008A192D"/>
    <w:rsid w:val="008A1DFE"/>
    <w:rsid w:val="008A420E"/>
    <w:rsid w:val="008A6A96"/>
    <w:rsid w:val="008A6BE2"/>
    <w:rsid w:val="008A75C9"/>
    <w:rsid w:val="008A7ADE"/>
    <w:rsid w:val="008B12C1"/>
    <w:rsid w:val="008B18B0"/>
    <w:rsid w:val="008B25AA"/>
    <w:rsid w:val="008B395C"/>
    <w:rsid w:val="008B3960"/>
    <w:rsid w:val="008B3CC3"/>
    <w:rsid w:val="008B5DF3"/>
    <w:rsid w:val="008B7374"/>
    <w:rsid w:val="008B7672"/>
    <w:rsid w:val="008B7997"/>
    <w:rsid w:val="008B7CA4"/>
    <w:rsid w:val="008C21DB"/>
    <w:rsid w:val="008C2212"/>
    <w:rsid w:val="008C2E5F"/>
    <w:rsid w:val="008C32BC"/>
    <w:rsid w:val="008C48D4"/>
    <w:rsid w:val="008C5773"/>
    <w:rsid w:val="008C6238"/>
    <w:rsid w:val="008C7C5B"/>
    <w:rsid w:val="008D05AE"/>
    <w:rsid w:val="008D1021"/>
    <w:rsid w:val="008D4EC6"/>
    <w:rsid w:val="008D552E"/>
    <w:rsid w:val="008D6CC0"/>
    <w:rsid w:val="008E0BA5"/>
    <w:rsid w:val="008E0D69"/>
    <w:rsid w:val="008E1835"/>
    <w:rsid w:val="008E26D0"/>
    <w:rsid w:val="008E2E82"/>
    <w:rsid w:val="008E5145"/>
    <w:rsid w:val="008E6559"/>
    <w:rsid w:val="008E69A2"/>
    <w:rsid w:val="008E6B5C"/>
    <w:rsid w:val="008E7052"/>
    <w:rsid w:val="008F058E"/>
    <w:rsid w:val="008F1398"/>
    <w:rsid w:val="008F174E"/>
    <w:rsid w:val="008F23EB"/>
    <w:rsid w:val="008F2B1F"/>
    <w:rsid w:val="008F2BBC"/>
    <w:rsid w:val="008F37FD"/>
    <w:rsid w:val="008F4CB3"/>
    <w:rsid w:val="008F541D"/>
    <w:rsid w:val="008F5699"/>
    <w:rsid w:val="008F7B6A"/>
    <w:rsid w:val="00903119"/>
    <w:rsid w:val="00903447"/>
    <w:rsid w:val="00903E23"/>
    <w:rsid w:val="0090519D"/>
    <w:rsid w:val="00906253"/>
    <w:rsid w:val="00907F9B"/>
    <w:rsid w:val="00907FA4"/>
    <w:rsid w:val="00910B3F"/>
    <w:rsid w:val="00912A76"/>
    <w:rsid w:val="00913E0F"/>
    <w:rsid w:val="009153A3"/>
    <w:rsid w:val="009155DB"/>
    <w:rsid w:val="00915E77"/>
    <w:rsid w:val="009201C9"/>
    <w:rsid w:val="00920750"/>
    <w:rsid w:val="00920EBD"/>
    <w:rsid w:val="009220A5"/>
    <w:rsid w:val="00922205"/>
    <w:rsid w:val="00922234"/>
    <w:rsid w:val="00925A46"/>
    <w:rsid w:val="00925F6C"/>
    <w:rsid w:val="00927399"/>
    <w:rsid w:val="009278AA"/>
    <w:rsid w:val="009279F0"/>
    <w:rsid w:val="0093177E"/>
    <w:rsid w:val="00935246"/>
    <w:rsid w:val="0093737D"/>
    <w:rsid w:val="00937C67"/>
    <w:rsid w:val="00940272"/>
    <w:rsid w:val="00940682"/>
    <w:rsid w:val="009408BB"/>
    <w:rsid w:val="0094126A"/>
    <w:rsid w:val="00942361"/>
    <w:rsid w:val="00944BF0"/>
    <w:rsid w:val="009459AB"/>
    <w:rsid w:val="009465CD"/>
    <w:rsid w:val="00947BE8"/>
    <w:rsid w:val="00951F72"/>
    <w:rsid w:val="00951FF5"/>
    <w:rsid w:val="009530CD"/>
    <w:rsid w:val="00953A7E"/>
    <w:rsid w:val="00954FA8"/>
    <w:rsid w:val="009554C2"/>
    <w:rsid w:val="00957328"/>
    <w:rsid w:val="00961262"/>
    <w:rsid w:val="00962A03"/>
    <w:rsid w:val="009636CA"/>
    <w:rsid w:val="0096394A"/>
    <w:rsid w:val="00964BEE"/>
    <w:rsid w:val="0096520F"/>
    <w:rsid w:val="00965C4B"/>
    <w:rsid w:val="009662F6"/>
    <w:rsid w:val="00966811"/>
    <w:rsid w:val="0096692B"/>
    <w:rsid w:val="00966D2D"/>
    <w:rsid w:val="00970F7D"/>
    <w:rsid w:val="009710CB"/>
    <w:rsid w:val="0097125E"/>
    <w:rsid w:val="00972731"/>
    <w:rsid w:val="00972ABA"/>
    <w:rsid w:val="00973E8A"/>
    <w:rsid w:val="00974033"/>
    <w:rsid w:val="009747C2"/>
    <w:rsid w:val="00974EA3"/>
    <w:rsid w:val="00976AF2"/>
    <w:rsid w:val="00976CA6"/>
    <w:rsid w:val="00976F54"/>
    <w:rsid w:val="00977A69"/>
    <w:rsid w:val="00977D90"/>
    <w:rsid w:val="00977F94"/>
    <w:rsid w:val="0098158F"/>
    <w:rsid w:val="009818D4"/>
    <w:rsid w:val="00981B7A"/>
    <w:rsid w:val="00983840"/>
    <w:rsid w:val="00984045"/>
    <w:rsid w:val="00984A10"/>
    <w:rsid w:val="0098546A"/>
    <w:rsid w:val="00985FC3"/>
    <w:rsid w:val="009871D6"/>
    <w:rsid w:val="009876A5"/>
    <w:rsid w:val="00987BB6"/>
    <w:rsid w:val="00990022"/>
    <w:rsid w:val="009901AF"/>
    <w:rsid w:val="00990CCA"/>
    <w:rsid w:val="00991321"/>
    <w:rsid w:val="009913FC"/>
    <w:rsid w:val="00991B78"/>
    <w:rsid w:val="00992F01"/>
    <w:rsid w:val="00994CCC"/>
    <w:rsid w:val="0099688C"/>
    <w:rsid w:val="009971F9"/>
    <w:rsid w:val="009972CC"/>
    <w:rsid w:val="009A00D4"/>
    <w:rsid w:val="009A077C"/>
    <w:rsid w:val="009A2320"/>
    <w:rsid w:val="009A4A3E"/>
    <w:rsid w:val="009A4C5C"/>
    <w:rsid w:val="009A56B0"/>
    <w:rsid w:val="009A572F"/>
    <w:rsid w:val="009A62AB"/>
    <w:rsid w:val="009A6468"/>
    <w:rsid w:val="009A6B1F"/>
    <w:rsid w:val="009B0805"/>
    <w:rsid w:val="009B19E8"/>
    <w:rsid w:val="009B1EC1"/>
    <w:rsid w:val="009B25D7"/>
    <w:rsid w:val="009B314A"/>
    <w:rsid w:val="009B3578"/>
    <w:rsid w:val="009B464D"/>
    <w:rsid w:val="009B476B"/>
    <w:rsid w:val="009B502B"/>
    <w:rsid w:val="009B644F"/>
    <w:rsid w:val="009B71F8"/>
    <w:rsid w:val="009B748E"/>
    <w:rsid w:val="009C013C"/>
    <w:rsid w:val="009C0F9D"/>
    <w:rsid w:val="009C18A3"/>
    <w:rsid w:val="009C2CA7"/>
    <w:rsid w:val="009C2FB5"/>
    <w:rsid w:val="009C373D"/>
    <w:rsid w:val="009C3F30"/>
    <w:rsid w:val="009C63F4"/>
    <w:rsid w:val="009C697E"/>
    <w:rsid w:val="009C7E2C"/>
    <w:rsid w:val="009D015A"/>
    <w:rsid w:val="009D01C4"/>
    <w:rsid w:val="009D05C2"/>
    <w:rsid w:val="009D06CA"/>
    <w:rsid w:val="009D1DBC"/>
    <w:rsid w:val="009D2E25"/>
    <w:rsid w:val="009D37EB"/>
    <w:rsid w:val="009D4C05"/>
    <w:rsid w:val="009D705A"/>
    <w:rsid w:val="009E0767"/>
    <w:rsid w:val="009E37E1"/>
    <w:rsid w:val="009E55E0"/>
    <w:rsid w:val="009E5CEB"/>
    <w:rsid w:val="009E5D43"/>
    <w:rsid w:val="009E6063"/>
    <w:rsid w:val="009E6F6C"/>
    <w:rsid w:val="009E79F1"/>
    <w:rsid w:val="009F0F62"/>
    <w:rsid w:val="009F1B8A"/>
    <w:rsid w:val="009F23B4"/>
    <w:rsid w:val="009F38F4"/>
    <w:rsid w:val="009F4215"/>
    <w:rsid w:val="009F473E"/>
    <w:rsid w:val="009F61F5"/>
    <w:rsid w:val="009F7567"/>
    <w:rsid w:val="009F7B30"/>
    <w:rsid w:val="00A01145"/>
    <w:rsid w:val="00A0283C"/>
    <w:rsid w:val="00A02B45"/>
    <w:rsid w:val="00A02C71"/>
    <w:rsid w:val="00A06611"/>
    <w:rsid w:val="00A06659"/>
    <w:rsid w:val="00A06F58"/>
    <w:rsid w:val="00A10093"/>
    <w:rsid w:val="00A10C30"/>
    <w:rsid w:val="00A10C91"/>
    <w:rsid w:val="00A11D67"/>
    <w:rsid w:val="00A12B33"/>
    <w:rsid w:val="00A135E8"/>
    <w:rsid w:val="00A13910"/>
    <w:rsid w:val="00A21F41"/>
    <w:rsid w:val="00A22FBC"/>
    <w:rsid w:val="00A23DDA"/>
    <w:rsid w:val="00A2454F"/>
    <w:rsid w:val="00A253A8"/>
    <w:rsid w:val="00A26F93"/>
    <w:rsid w:val="00A27471"/>
    <w:rsid w:val="00A27CF1"/>
    <w:rsid w:val="00A27DAD"/>
    <w:rsid w:val="00A3070C"/>
    <w:rsid w:val="00A31325"/>
    <w:rsid w:val="00A31CE2"/>
    <w:rsid w:val="00A326D0"/>
    <w:rsid w:val="00A32C42"/>
    <w:rsid w:val="00A32D98"/>
    <w:rsid w:val="00A33B1D"/>
    <w:rsid w:val="00A33B85"/>
    <w:rsid w:val="00A344AD"/>
    <w:rsid w:val="00A34CB7"/>
    <w:rsid w:val="00A35C3B"/>
    <w:rsid w:val="00A3624A"/>
    <w:rsid w:val="00A3627C"/>
    <w:rsid w:val="00A37330"/>
    <w:rsid w:val="00A4185E"/>
    <w:rsid w:val="00A42C1F"/>
    <w:rsid w:val="00A4372C"/>
    <w:rsid w:val="00A4478F"/>
    <w:rsid w:val="00A4485C"/>
    <w:rsid w:val="00A45FDB"/>
    <w:rsid w:val="00A46550"/>
    <w:rsid w:val="00A46AB9"/>
    <w:rsid w:val="00A47E95"/>
    <w:rsid w:val="00A51608"/>
    <w:rsid w:val="00A52290"/>
    <w:rsid w:val="00A523EA"/>
    <w:rsid w:val="00A530CC"/>
    <w:rsid w:val="00A5444D"/>
    <w:rsid w:val="00A5451A"/>
    <w:rsid w:val="00A54860"/>
    <w:rsid w:val="00A548CC"/>
    <w:rsid w:val="00A54CB6"/>
    <w:rsid w:val="00A564EC"/>
    <w:rsid w:val="00A60E55"/>
    <w:rsid w:val="00A620B4"/>
    <w:rsid w:val="00A62DFC"/>
    <w:rsid w:val="00A63413"/>
    <w:rsid w:val="00A63651"/>
    <w:rsid w:val="00A63753"/>
    <w:rsid w:val="00A67DFA"/>
    <w:rsid w:val="00A71F4B"/>
    <w:rsid w:val="00A72BA4"/>
    <w:rsid w:val="00A7379F"/>
    <w:rsid w:val="00A7382F"/>
    <w:rsid w:val="00A73894"/>
    <w:rsid w:val="00A738F6"/>
    <w:rsid w:val="00A74739"/>
    <w:rsid w:val="00A75210"/>
    <w:rsid w:val="00A767E5"/>
    <w:rsid w:val="00A775C2"/>
    <w:rsid w:val="00A77C54"/>
    <w:rsid w:val="00A800B7"/>
    <w:rsid w:val="00A80BA6"/>
    <w:rsid w:val="00A81912"/>
    <w:rsid w:val="00A81D66"/>
    <w:rsid w:val="00A82D1A"/>
    <w:rsid w:val="00A8366E"/>
    <w:rsid w:val="00A84A5B"/>
    <w:rsid w:val="00A84FCF"/>
    <w:rsid w:val="00A85AA9"/>
    <w:rsid w:val="00A861CB"/>
    <w:rsid w:val="00A87F4B"/>
    <w:rsid w:val="00A90320"/>
    <w:rsid w:val="00A90485"/>
    <w:rsid w:val="00A909A3"/>
    <w:rsid w:val="00A91F09"/>
    <w:rsid w:val="00A92ECA"/>
    <w:rsid w:val="00A93608"/>
    <w:rsid w:val="00A93F6C"/>
    <w:rsid w:val="00A9421D"/>
    <w:rsid w:val="00A9584A"/>
    <w:rsid w:val="00A969C4"/>
    <w:rsid w:val="00A96AF4"/>
    <w:rsid w:val="00AA043E"/>
    <w:rsid w:val="00AA1B8B"/>
    <w:rsid w:val="00AA1D36"/>
    <w:rsid w:val="00AA4937"/>
    <w:rsid w:val="00AA4AE2"/>
    <w:rsid w:val="00AA6D35"/>
    <w:rsid w:val="00AA7704"/>
    <w:rsid w:val="00AB0750"/>
    <w:rsid w:val="00AB103C"/>
    <w:rsid w:val="00AB1A7F"/>
    <w:rsid w:val="00AB3DF8"/>
    <w:rsid w:val="00AB43B9"/>
    <w:rsid w:val="00AB573D"/>
    <w:rsid w:val="00AC039E"/>
    <w:rsid w:val="00AC0D41"/>
    <w:rsid w:val="00AC112E"/>
    <w:rsid w:val="00AC1402"/>
    <w:rsid w:val="00AC1BA0"/>
    <w:rsid w:val="00AC28E6"/>
    <w:rsid w:val="00AC3051"/>
    <w:rsid w:val="00AC37A6"/>
    <w:rsid w:val="00AC3905"/>
    <w:rsid w:val="00AC49EC"/>
    <w:rsid w:val="00AC72A0"/>
    <w:rsid w:val="00AC7C04"/>
    <w:rsid w:val="00AD112C"/>
    <w:rsid w:val="00AD1EEA"/>
    <w:rsid w:val="00AD242A"/>
    <w:rsid w:val="00AD3EB7"/>
    <w:rsid w:val="00AD4D15"/>
    <w:rsid w:val="00AD55E7"/>
    <w:rsid w:val="00AD5E3C"/>
    <w:rsid w:val="00AD66BF"/>
    <w:rsid w:val="00AE002F"/>
    <w:rsid w:val="00AE05D4"/>
    <w:rsid w:val="00AE097A"/>
    <w:rsid w:val="00AE0D99"/>
    <w:rsid w:val="00AE2763"/>
    <w:rsid w:val="00AE58A3"/>
    <w:rsid w:val="00AE6C30"/>
    <w:rsid w:val="00AE70CC"/>
    <w:rsid w:val="00AF02B9"/>
    <w:rsid w:val="00AF0E2E"/>
    <w:rsid w:val="00AF0E31"/>
    <w:rsid w:val="00AF2303"/>
    <w:rsid w:val="00AF2A8D"/>
    <w:rsid w:val="00AF36DA"/>
    <w:rsid w:val="00AF3FE6"/>
    <w:rsid w:val="00AF55F4"/>
    <w:rsid w:val="00AF6A80"/>
    <w:rsid w:val="00AF6C61"/>
    <w:rsid w:val="00AF719A"/>
    <w:rsid w:val="00B00000"/>
    <w:rsid w:val="00B0005E"/>
    <w:rsid w:val="00B0227C"/>
    <w:rsid w:val="00B02BBE"/>
    <w:rsid w:val="00B02CE3"/>
    <w:rsid w:val="00B03567"/>
    <w:rsid w:val="00B03D07"/>
    <w:rsid w:val="00B05994"/>
    <w:rsid w:val="00B06A38"/>
    <w:rsid w:val="00B06CFD"/>
    <w:rsid w:val="00B0753A"/>
    <w:rsid w:val="00B07E0D"/>
    <w:rsid w:val="00B11202"/>
    <w:rsid w:val="00B117AF"/>
    <w:rsid w:val="00B12D18"/>
    <w:rsid w:val="00B13AC0"/>
    <w:rsid w:val="00B14498"/>
    <w:rsid w:val="00B14BFC"/>
    <w:rsid w:val="00B14DF1"/>
    <w:rsid w:val="00B17849"/>
    <w:rsid w:val="00B17E0C"/>
    <w:rsid w:val="00B20091"/>
    <w:rsid w:val="00B2020D"/>
    <w:rsid w:val="00B20387"/>
    <w:rsid w:val="00B20662"/>
    <w:rsid w:val="00B22DCF"/>
    <w:rsid w:val="00B22DF0"/>
    <w:rsid w:val="00B22E46"/>
    <w:rsid w:val="00B251C6"/>
    <w:rsid w:val="00B30E3E"/>
    <w:rsid w:val="00B32893"/>
    <w:rsid w:val="00B337A0"/>
    <w:rsid w:val="00B3432D"/>
    <w:rsid w:val="00B35675"/>
    <w:rsid w:val="00B409EF"/>
    <w:rsid w:val="00B410D6"/>
    <w:rsid w:val="00B4193B"/>
    <w:rsid w:val="00B4194E"/>
    <w:rsid w:val="00B436F2"/>
    <w:rsid w:val="00B46B8D"/>
    <w:rsid w:val="00B4764D"/>
    <w:rsid w:val="00B476BE"/>
    <w:rsid w:val="00B47931"/>
    <w:rsid w:val="00B52376"/>
    <w:rsid w:val="00B53818"/>
    <w:rsid w:val="00B53A87"/>
    <w:rsid w:val="00B5445F"/>
    <w:rsid w:val="00B55A2F"/>
    <w:rsid w:val="00B5653D"/>
    <w:rsid w:val="00B56F6C"/>
    <w:rsid w:val="00B573F3"/>
    <w:rsid w:val="00B62495"/>
    <w:rsid w:val="00B6289A"/>
    <w:rsid w:val="00B63747"/>
    <w:rsid w:val="00B637D6"/>
    <w:rsid w:val="00B64B0E"/>
    <w:rsid w:val="00B65057"/>
    <w:rsid w:val="00B65717"/>
    <w:rsid w:val="00B65A01"/>
    <w:rsid w:val="00B65D27"/>
    <w:rsid w:val="00B66FFD"/>
    <w:rsid w:val="00B708E6"/>
    <w:rsid w:val="00B70BF3"/>
    <w:rsid w:val="00B71B34"/>
    <w:rsid w:val="00B73344"/>
    <w:rsid w:val="00B73C23"/>
    <w:rsid w:val="00B742E7"/>
    <w:rsid w:val="00B74319"/>
    <w:rsid w:val="00B748DA"/>
    <w:rsid w:val="00B75F90"/>
    <w:rsid w:val="00B768FB"/>
    <w:rsid w:val="00B7748B"/>
    <w:rsid w:val="00B7758E"/>
    <w:rsid w:val="00B779BF"/>
    <w:rsid w:val="00B815B2"/>
    <w:rsid w:val="00B83137"/>
    <w:rsid w:val="00B84108"/>
    <w:rsid w:val="00B8571F"/>
    <w:rsid w:val="00B85EB3"/>
    <w:rsid w:val="00B86CC0"/>
    <w:rsid w:val="00B86D34"/>
    <w:rsid w:val="00B875DA"/>
    <w:rsid w:val="00B90A59"/>
    <w:rsid w:val="00B90D54"/>
    <w:rsid w:val="00B923AF"/>
    <w:rsid w:val="00B9347A"/>
    <w:rsid w:val="00B959A7"/>
    <w:rsid w:val="00B970EF"/>
    <w:rsid w:val="00B97575"/>
    <w:rsid w:val="00B97A52"/>
    <w:rsid w:val="00BA1660"/>
    <w:rsid w:val="00BA2815"/>
    <w:rsid w:val="00BA3809"/>
    <w:rsid w:val="00BA3942"/>
    <w:rsid w:val="00BA4905"/>
    <w:rsid w:val="00BA495D"/>
    <w:rsid w:val="00BA4F54"/>
    <w:rsid w:val="00BA6B89"/>
    <w:rsid w:val="00BB047A"/>
    <w:rsid w:val="00BB0DD4"/>
    <w:rsid w:val="00BB1084"/>
    <w:rsid w:val="00BB1375"/>
    <w:rsid w:val="00BB141D"/>
    <w:rsid w:val="00BB1C5E"/>
    <w:rsid w:val="00BB35EA"/>
    <w:rsid w:val="00BB6AA7"/>
    <w:rsid w:val="00BC0FAB"/>
    <w:rsid w:val="00BC1099"/>
    <w:rsid w:val="00BC1C8C"/>
    <w:rsid w:val="00BC1D7D"/>
    <w:rsid w:val="00BC3654"/>
    <w:rsid w:val="00BC4805"/>
    <w:rsid w:val="00BC4D63"/>
    <w:rsid w:val="00BD0596"/>
    <w:rsid w:val="00BD0A2C"/>
    <w:rsid w:val="00BD0F46"/>
    <w:rsid w:val="00BD1B94"/>
    <w:rsid w:val="00BD1E57"/>
    <w:rsid w:val="00BD2342"/>
    <w:rsid w:val="00BD3B1D"/>
    <w:rsid w:val="00BD410D"/>
    <w:rsid w:val="00BD4161"/>
    <w:rsid w:val="00BD679C"/>
    <w:rsid w:val="00BD6FAA"/>
    <w:rsid w:val="00BE14E6"/>
    <w:rsid w:val="00BE205A"/>
    <w:rsid w:val="00BE37D9"/>
    <w:rsid w:val="00BE425E"/>
    <w:rsid w:val="00BE7A13"/>
    <w:rsid w:val="00BF1AD8"/>
    <w:rsid w:val="00BF2274"/>
    <w:rsid w:val="00BF2F38"/>
    <w:rsid w:val="00BF41E3"/>
    <w:rsid w:val="00BF4EA1"/>
    <w:rsid w:val="00BF682D"/>
    <w:rsid w:val="00BF696B"/>
    <w:rsid w:val="00BF71F9"/>
    <w:rsid w:val="00BF73CB"/>
    <w:rsid w:val="00C001D0"/>
    <w:rsid w:val="00C0135A"/>
    <w:rsid w:val="00C019CF"/>
    <w:rsid w:val="00C01BB0"/>
    <w:rsid w:val="00C028B2"/>
    <w:rsid w:val="00C03009"/>
    <w:rsid w:val="00C0340C"/>
    <w:rsid w:val="00C03423"/>
    <w:rsid w:val="00C039F4"/>
    <w:rsid w:val="00C049D4"/>
    <w:rsid w:val="00C05935"/>
    <w:rsid w:val="00C067B5"/>
    <w:rsid w:val="00C06FC6"/>
    <w:rsid w:val="00C0701E"/>
    <w:rsid w:val="00C10204"/>
    <w:rsid w:val="00C118DE"/>
    <w:rsid w:val="00C12CF0"/>
    <w:rsid w:val="00C12DFD"/>
    <w:rsid w:val="00C13966"/>
    <w:rsid w:val="00C139B5"/>
    <w:rsid w:val="00C146BF"/>
    <w:rsid w:val="00C15048"/>
    <w:rsid w:val="00C15F02"/>
    <w:rsid w:val="00C162E6"/>
    <w:rsid w:val="00C228AD"/>
    <w:rsid w:val="00C23906"/>
    <w:rsid w:val="00C249A3"/>
    <w:rsid w:val="00C260C5"/>
    <w:rsid w:val="00C27831"/>
    <w:rsid w:val="00C27B60"/>
    <w:rsid w:val="00C27EF8"/>
    <w:rsid w:val="00C310ED"/>
    <w:rsid w:val="00C315FB"/>
    <w:rsid w:val="00C31953"/>
    <w:rsid w:val="00C319F0"/>
    <w:rsid w:val="00C31C26"/>
    <w:rsid w:val="00C355A3"/>
    <w:rsid w:val="00C362D4"/>
    <w:rsid w:val="00C36561"/>
    <w:rsid w:val="00C37311"/>
    <w:rsid w:val="00C373F7"/>
    <w:rsid w:val="00C40BF4"/>
    <w:rsid w:val="00C42781"/>
    <w:rsid w:val="00C428E3"/>
    <w:rsid w:val="00C43A8F"/>
    <w:rsid w:val="00C44224"/>
    <w:rsid w:val="00C4434E"/>
    <w:rsid w:val="00C5138A"/>
    <w:rsid w:val="00C51D7A"/>
    <w:rsid w:val="00C525AB"/>
    <w:rsid w:val="00C52FBD"/>
    <w:rsid w:val="00C5372D"/>
    <w:rsid w:val="00C5432B"/>
    <w:rsid w:val="00C55E86"/>
    <w:rsid w:val="00C616E1"/>
    <w:rsid w:val="00C63770"/>
    <w:rsid w:val="00C638F0"/>
    <w:rsid w:val="00C645BF"/>
    <w:rsid w:val="00C66C8C"/>
    <w:rsid w:val="00C66FA9"/>
    <w:rsid w:val="00C6791B"/>
    <w:rsid w:val="00C7045C"/>
    <w:rsid w:val="00C70877"/>
    <w:rsid w:val="00C70914"/>
    <w:rsid w:val="00C70A0D"/>
    <w:rsid w:val="00C70C7A"/>
    <w:rsid w:val="00C71120"/>
    <w:rsid w:val="00C715E9"/>
    <w:rsid w:val="00C7280D"/>
    <w:rsid w:val="00C72F10"/>
    <w:rsid w:val="00C74481"/>
    <w:rsid w:val="00C74B4E"/>
    <w:rsid w:val="00C75DD7"/>
    <w:rsid w:val="00C769B4"/>
    <w:rsid w:val="00C77219"/>
    <w:rsid w:val="00C7794D"/>
    <w:rsid w:val="00C82A5B"/>
    <w:rsid w:val="00C82AA5"/>
    <w:rsid w:val="00C91628"/>
    <w:rsid w:val="00C919CC"/>
    <w:rsid w:val="00C91DBB"/>
    <w:rsid w:val="00C9218D"/>
    <w:rsid w:val="00C94CAC"/>
    <w:rsid w:val="00CA0311"/>
    <w:rsid w:val="00CA0450"/>
    <w:rsid w:val="00CA04A4"/>
    <w:rsid w:val="00CA2137"/>
    <w:rsid w:val="00CA24E1"/>
    <w:rsid w:val="00CA2D7B"/>
    <w:rsid w:val="00CA4022"/>
    <w:rsid w:val="00CA4511"/>
    <w:rsid w:val="00CA5825"/>
    <w:rsid w:val="00CA6C9C"/>
    <w:rsid w:val="00CA7DDD"/>
    <w:rsid w:val="00CB032B"/>
    <w:rsid w:val="00CB0946"/>
    <w:rsid w:val="00CB0C76"/>
    <w:rsid w:val="00CB1720"/>
    <w:rsid w:val="00CB2909"/>
    <w:rsid w:val="00CB294D"/>
    <w:rsid w:val="00CB3F12"/>
    <w:rsid w:val="00CB46F3"/>
    <w:rsid w:val="00CB4C21"/>
    <w:rsid w:val="00CB5E14"/>
    <w:rsid w:val="00CB6823"/>
    <w:rsid w:val="00CB6C33"/>
    <w:rsid w:val="00CB707C"/>
    <w:rsid w:val="00CC0C0D"/>
    <w:rsid w:val="00CC0D62"/>
    <w:rsid w:val="00CC1402"/>
    <w:rsid w:val="00CC140B"/>
    <w:rsid w:val="00CC2D9C"/>
    <w:rsid w:val="00CC630F"/>
    <w:rsid w:val="00CC71BC"/>
    <w:rsid w:val="00CC78DB"/>
    <w:rsid w:val="00CD02A5"/>
    <w:rsid w:val="00CD1EE9"/>
    <w:rsid w:val="00CD3972"/>
    <w:rsid w:val="00CD3FF4"/>
    <w:rsid w:val="00CD48DF"/>
    <w:rsid w:val="00CD5032"/>
    <w:rsid w:val="00CD626C"/>
    <w:rsid w:val="00CD7B14"/>
    <w:rsid w:val="00CE03A8"/>
    <w:rsid w:val="00CE1446"/>
    <w:rsid w:val="00CE3EFA"/>
    <w:rsid w:val="00CE4A61"/>
    <w:rsid w:val="00CE4BA1"/>
    <w:rsid w:val="00CE6A57"/>
    <w:rsid w:val="00CE6F4E"/>
    <w:rsid w:val="00CF0485"/>
    <w:rsid w:val="00CF076F"/>
    <w:rsid w:val="00CF2258"/>
    <w:rsid w:val="00CF2882"/>
    <w:rsid w:val="00CF4F14"/>
    <w:rsid w:val="00CF5888"/>
    <w:rsid w:val="00CF5D83"/>
    <w:rsid w:val="00D005A8"/>
    <w:rsid w:val="00D00A6F"/>
    <w:rsid w:val="00D0262F"/>
    <w:rsid w:val="00D0716D"/>
    <w:rsid w:val="00D078D0"/>
    <w:rsid w:val="00D07C32"/>
    <w:rsid w:val="00D10689"/>
    <w:rsid w:val="00D10895"/>
    <w:rsid w:val="00D11F49"/>
    <w:rsid w:val="00D12FB3"/>
    <w:rsid w:val="00D13381"/>
    <w:rsid w:val="00D1346D"/>
    <w:rsid w:val="00D13F47"/>
    <w:rsid w:val="00D145C6"/>
    <w:rsid w:val="00D150AB"/>
    <w:rsid w:val="00D157AE"/>
    <w:rsid w:val="00D16DBE"/>
    <w:rsid w:val="00D2150F"/>
    <w:rsid w:val="00D215DF"/>
    <w:rsid w:val="00D22102"/>
    <w:rsid w:val="00D221BF"/>
    <w:rsid w:val="00D236D8"/>
    <w:rsid w:val="00D23974"/>
    <w:rsid w:val="00D23AD5"/>
    <w:rsid w:val="00D250AD"/>
    <w:rsid w:val="00D2527F"/>
    <w:rsid w:val="00D25294"/>
    <w:rsid w:val="00D254FE"/>
    <w:rsid w:val="00D25520"/>
    <w:rsid w:val="00D26919"/>
    <w:rsid w:val="00D27FC2"/>
    <w:rsid w:val="00D30485"/>
    <w:rsid w:val="00D30711"/>
    <w:rsid w:val="00D307EF"/>
    <w:rsid w:val="00D31CB0"/>
    <w:rsid w:val="00D320C3"/>
    <w:rsid w:val="00D32A54"/>
    <w:rsid w:val="00D32A72"/>
    <w:rsid w:val="00D33CA6"/>
    <w:rsid w:val="00D34420"/>
    <w:rsid w:val="00D347AF"/>
    <w:rsid w:val="00D3795C"/>
    <w:rsid w:val="00D408D9"/>
    <w:rsid w:val="00D40AF1"/>
    <w:rsid w:val="00D413DC"/>
    <w:rsid w:val="00D417CE"/>
    <w:rsid w:val="00D41C17"/>
    <w:rsid w:val="00D44414"/>
    <w:rsid w:val="00D45606"/>
    <w:rsid w:val="00D45C50"/>
    <w:rsid w:val="00D47302"/>
    <w:rsid w:val="00D47A04"/>
    <w:rsid w:val="00D47DA9"/>
    <w:rsid w:val="00D5061B"/>
    <w:rsid w:val="00D50AD6"/>
    <w:rsid w:val="00D51A72"/>
    <w:rsid w:val="00D521E8"/>
    <w:rsid w:val="00D52E26"/>
    <w:rsid w:val="00D542E4"/>
    <w:rsid w:val="00D54475"/>
    <w:rsid w:val="00D54BB7"/>
    <w:rsid w:val="00D55AB6"/>
    <w:rsid w:val="00D55F6D"/>
    <w:rsid w:val="00D5656C"/>
    <w:rsid w:val="00D6044B"/>
    <w:rsid w:val="00D6159D"/>
    <w:rsid w:val="00D65F43"/>
    <w:rsid w:val="00D66273"/>
    <w:rsid w:val="00D705B8"/>
    <w:rsid w:val="00D71848"/>
    <w:rsid w:val="00D7291D"/>
    <w:rsid w:val="00D7320E"/>
    <w:rsid w:val="00D73248"/>
    <w:rsid w:val="00D7447A"/>
    <w:rsid w:val="00D749FA"/>
    <w:rsid w:val="00D74B8A"/>
    <w:rsid w:val="00D76C32"/>
    <w:rsid w:val="00D776ED"/>
    <w:rsid w:val="00D80101"/>
    <w:rsid w:val="00D80504"/>
    <w:rsid w:val="00D8188A"/>
    <w:rsid w:val="00D833C7"/>
    <w:rsid w:val="00D86E51"/>
    <w:rsid w:val="00D87522"/>
    <w:rsid w:val="00D87EDF"/>
    <w:rsid w:val="00D9028F"/>
    <w:rsid w:val="00D903E4"/>
    <w:rsid w:val="00D9099D"/>
    <w:rsid w:val="00D91B8B"/>
    <w:rsid w:val="00D91D20"/>
    <w:rsid w:val="00D9308E"/>
    <w:rsid w:val="00D934EA"/>
    <w:rsid w:val="00D93CE6"/>
    <w:rsid w:val="00D93DF1"/>
    <w:rsid w:val="00D93E9D"/>
    <w:rsid w:val="00D944CA"/>
    <w:rsid w:val="00D94690"/>
    <w:rsid w:val="00D96D91"/>
    <w:rsid w:val="00DA060D"/>
    <w:rsid w:val="00DA1120"/>
    <w:rsid w:val="00DA1EC9"/>
    <w:rsid w:val="00DA2889"/>
    <w:rsid w:val="00DA3416"/>
    <w:rsid w:val="00DA40D3"/>
    <w:rsid w:val="00DA5663"/>
    <w:rsid w:val="00DA6A22"/>
    <w:rsid w:val="00DA77B8"/>
    <w:rsid w:val="00DA7D5C"/>
    <w:rsid w:val="00DA7F88"/>
    <w:rsid w:val="00DB03D3"/>
    <w:rsid w:val="00DB05AC"/>
    <w:rsid w:val="00DB1E6C"/>
    <w:rsid w:val="00DB2DA9"/>
    <w:rsid w:val="00DB3A5A"/>
    <w:rsid w:val="00DB63B7"/>
    <w:rsid w:val="00DB6850"/>
    <w:rsid w:val="00DB6D57"/>
    <w:rsid w:val="00DC008E"/>
    <w:rsid w:val="00DC1718"/>
    <w:rsid w:val="00DC1C1C"/>
    <w:rsid w:val="00DC314D"/>
    <w:rsid w:val="00DC3CD1"/>
    <w:rsid w:val="00DC414E"/>
    <w:rsid w:val="00DC45B9"/>
    <w:rsid w:val="00DC5D5C"/>
    <w:rsid w:val="00DC5E64"/>
    <w:rsid w:val="00DC64E0"/>
    <w:rsid w:val="00DC6857"/>
    <w:rsid w:val="00DC6BD1"/>
    <w:rsid w:val="00DC72BB"/>
    <w:rsid w:val="00DD0726"/>
    <w:rsid w:val="00DD0BE4"/>
    <w:rsid w:val="00DD15B4"/>
    <w:rsid w:val="00DD15C9"/>
    <w:rsid w:val="00DD18CC"/>
    <w:rsid w:val="00DD3283"/>
    <w:rsid w:val="00DD4958"/>
    <w:rsid w:val="00DD5099"/>
    <w:rsid w:val="00DD727B"/>
    <w:rsid w:val="00DD771A"/>
    <w:rsid w:val="00DD7BD6"/>
    <w:rsid w:val="00DE0E00"/>
    <w:rsid w:val="00DE102B"/>
    <w:rsid w:val="00DE1AF3"/>
    <w:rsid w:val="00DE1BA7"/>
    <w:rsid w:val="00DE20CC"/>
    <w:rsid w:val="00DE2C40"/>
    <w:rsid w:val="00DE5E88"/>
    <w:rsid w:val="00DE63A2"/>
    <w:rsid w:val="00DE64AD"/>
    <w:rsid w:val="00DF3AE1"/>
    <w:rsid w:val="00DF43CD"/>
    <w:rsid w:val="00DF4D84"/>
    <w:rsid w:val="00E00A8B"/>
    <w:rsid w:val="00E0297F"/>
    <w:rsid w:val="00E04D13"/>
    <w:rsid w:val="00E05F89"/>
    <w:rsid w:val="00E06444"/>
    <w:rsid w:val="00E06B55"/>
    <w:rsid w:val="00E06DDA"/>
    <w:rsid w:val="00E1030D"/>
    <w:rsid w:val="00E10DA4"/>
    <w:rsid w:val="00E1359E"/>
    <w:rsid w:val="00E161D7"/>
    <w:rsid w:val="00E168D4"/>
    <w:rsid w:val="00E171D9"/>
    <w:rsid w:val="00E1766A"/>
    <w:rsid w:val="00E21F50"/>
    <w:rsid w:val="00E22EB6"/>
    <w:rsid w:val="00E23E01"/>
    <w:rsid w:val="00E240C6"/>
    <w:rsid w:val="00E244B4"/>
    <w:rsid w:val="00E25093"/>
    <w:rsid w:val="00E3032E"/>
    <w:rsid w:val="00E30589"/>
    <w:rsid w:val="00E31323"/>
    <w:rsid w:val="00E31676"/>
    <w:rsid w:val="00E32D2F"/>
    <w:rsid w:val="00E342F1"/>
    <w:rsid w:val="00E34A38"/>
    <w:rsid w:val="00E35035"/>
    <w:rsid w:val="00E36EF5"/>
    <w:rsid w:val="00E370C2"/>
    <w:rsid w:val="00E37A5B"/>
    <w:rsid w:val="00E40135"/>
    <w:rsid w:val="00E405BB"/>
    <w:rsid w:val="00E40F6A"/>
    <w:rsid w:val="00E43907"/>
    <w:rsid w:val="00E45F30"/>
    <w:rsid w:val="00E47CC5"/>
    <w:rsid w:val="00E51688"/>
    <w:rsid w:val="00E520D0"/>
    <w:rsid w:val="00E555AD"/>
    <w:rsid w:val="00E55B93"/>
    <w:rsid w:val="00E55BE8"/>
    <w:rsid w:val="00E60D4D"/>
    <w:rsid w:val="00E61211"/>
    <w:rsid w:val="00E623E4"/>
    <w:rsid w:val="00E6440F"/>
    <w:rsid w:val="00E644C6"/>
    <w:rsid w:val="00E64973"/>
    <w:rsid w:val="00E64B67"/>
    <w:rsid w:val="00E6562A"/>
    <w:rsid w:val="00E666B4"/>
    <w:rsid w:val="00E66BF7"/>
    <w:rsid w:val="00E66E53"/>
    <w:rsid w:val="00E6759A"/>
    <w:rsid w:val="00E712D8"/>
    <w:rsid w:val="00E7262E"/>
    <w:rsid w:val="00E74115"/>
    <w:rsid w:val="00E76176"/>
    <w:rsid w:val="00E76342"/>
    <w:rsid w:val="00E77443"/>
    <w:rsid w:val="00E80331"/>
    <w:rsid w:val="00E8114E"/>
    <w:rsid w:val="00E8128E"/>
    <w:rsid w:val="00E81416"/>
    <w:rsid w:val="00E81CF6"/>
    <w:rsid w:val="00E82747"/>
    <w:rsid w:val="00E8512C"/>
    <w:rsid w:val="00E86CFF"/>
    <w:rsid w:val="00E87224"/>
    <w:rsid w:val="00E8793C"/>
    <w:rsid w:val="00E87CD2"/>
    <w:rsid w:val="00E87F4D"/>
    <w:rsid w:val="00E912A1"/>
    <w:rsid w:val="00E925D2"/>
    <w:rsid w:val="00E9267A"/>
    <w:rsid w:val="00E93034"/>
    <w:rsid w:val="00E935A2"/>
    <w:rsid w:val="00E94029"/>
    <w:rsid w:val="00E94FC4"/>
    <w:rsid w:val="00E95153"/>
    <w:rsid w:val="00E96C95"/>
    <w:rsid w:val="00EA06E4"/>
    <w:rsid w:val="00EA1945"/>
    <w:rsid w:val="00EA454D"/>
    <w:rsid w:val="00EA572B"/>
    <w:rsid w:val="00EA6175"/>
    <w:rsid w:val="00EA653F"/>
    <w:rsid w:val="00EA7125"/>
    <w:rsid w:val="00EA7DF0"/>
    <w:rsid w:val="00EB1EA8"/>
    <w:rsid w:val="00EB285A"/>
    <w:rsid w:val="00EB362F"/>
    <w:rsid w:val="00EB373C"/>
    <w:rsid w:val="00EB4788"/>
    <w:rsid w:val="00EB61DD"/>
    <w:rsid w:val="00EB7D73"/>
    <w:rsid w:val="00EC096D"/>
    <w:rsid w:val="00EC347E"/>
    <w:rsid w:val="00EC4F89"/>
    <w:rsid w:val="00EC58FE"/>
    <w:rsid w:val="00EC5B99"/>
    <w:rsid w:val="00EC6B35"/>
    <w:rsid w:val="00ED4B86"/>
    <w:rsid w:val="00ED7793"/>
    <w:rsid w:val="00ED7A4F"/>
    <w:rsid w:val="00ED7B5B"/>
    <w:rsid w:val="00EE2DDB"/>
    <w:rsid w:val="00EE2ED5"/>
    <w:rsid w:val="00EE325C"/>
    <w:rsid w:val="00EE3E7A"/>
    <w:rsid w:val="00EE3F1C"/>
    <w:rsid w:val="00EE553F"/>
    <w:rsid w:val="00EE6B90"/>
    <w:rsid w:val="00EF048B"/>
    <w:rsid w:val="00EF41C7"/>
    <w:rsid w:val="00EF4772"/>
    <w:rsid w:val="00EF538B"/>
    <w:rsid w:val="00EF64EE"/>
    <w:rsid w:val="00EF7067"/>
    <w:rsid w:val="00EF78BE"/>
    <w:rsid w:val="00F0246A"/>
    <w:rsid w:val="00F03D18"/>
    <w:rsid w:val="00F041E4"/>
    <w:rsid w:val="00F05709"/>
    <w:rsid w:val="00F06665"/>
    <w:rsid w:val="00F069E4"/>
    <w:rsid w:val="00F07467"/>
    <w:rsid w:val="00F075B5"/>
    <w:rsid w:val="00F07A24"/>
    <w:rsid w:val="00F07F76"/>
    <w:rsid w:val="00F11AF4"/>
    <w:rsid w:val="00F11EF8"/>
    <w:rsid w:val="00F14511"/>
    <w:rsid w:val="00F146E5"/>
    <w:rsid w:val="00F14C99"/>
    <w:rsid w:val="00F14ED8"/>
    <w:rsid w:val="00F16DCD"/>
    <w:rsid w:val="00F205FE"/>
    <w:rsid w:val="00F21484"/>
    <w:rsid w:val="00F2177F"/>
    <w:rsid w:val="00F21F8B"/>
    <w:rsid w:val="00F226A1"/>
    <w:rsid w:val="00F23622"/>
    <w:rsid w:val="00F24C6B"/>
    <w:rsid w:val="00F259AF"/>
    <w:rsid w:val="00F25DD4"/>
    <w:rsid w:val="00F262F5"/>
    <w:rsid w:val="00F26545"/>
    <w:rsid w:val="00F26550"/>
    <w:rsid w:val="00F26B1E"/>
    <w:rsid w:val="00F2746D"/>
    <w:rsid w:val="00F275EB"/>
    <w:rsid w:val="00F30C97"/>
    <w:rsid w:val="00F30F1E"/>
    <w:rsid w:val="00F31A25"/>
    <w:rsid w:val="00F31AB9"/>
    <w:rsid w:val="00F3214E"/>
    <w:rsid w:val="00F33749"/>
    <w:rsid w:val="00F337F3"/>
    <w:rsid w:val="00F366C7"/>
    <w:rsid w:val="00F377DA"/>
    <w:rsid w:val="00F37E30"/>
    <w:rsid w:val="00F4012B"/>
    <w:rsid w:val="00F408D9"/>
    <w:rsid w:val="00F40C25"/>
    <w:rsid w:val="00F40F2B"/>
    <w:rsid w:val="00F41AC9"/>
    <w:rsid w:val="00F42CF2"/>
    <w:rsid w:val="00F42CF8"/>
    <w:rsid w:val="00F4365D"/>
    <w:rsid w:val="00F44CB2"/>
    <w:rsid w:val="00F4505D"/>
    <w:rsid w:val="00F453FE"/>
    <w:rsid w:val="00F465D2"/>
    <w:rsid w:val="00F46FCF"/>
    <w:rsid w:val="00F4786A"/>
    <w:rsid w:val="00F4789A"/>
    <w:rsid w:val="00F478BB"/>
    <w:rsid w:val="00F47B14"/>
    <w:rsid w:val="00F47B64"/>
    <w:rsid w:val="00F50325"/>
    <w:rsid w:val="00F5043C"/>
    <w:rsid w:val="00F523B0"/>
    <w:rsid w:val="00F5244B"/>
    <w:rsid w:val="00F542C0"/>
    <w:rsid w:val="00F54719"/>
    <w:rsid w:val="00F54847"/>
    <w:rsid w:val="00F54FF8"/>
    <w:rsid w:val="00F55DA2"/>
    <w:rsid w:val="00F61FDE"/>
    <w:rsid w:val="00F6283F"/>
    <w:rsid w:val="00F6507E"/>
    <w:rsid w:val="00F65DE6"/>
    <w:rsid w:val="00F65EF0"/>
    <w:rsid w:val="00F66071"/>
    <w:rsid w:val="00F66B1D"/>
    <w:rsid w:val="00F670DC"/>
    <w:rsid w:val="00F712E6"/>
    <w:rsid w:val="00F713EC"/>
    <w:rsid w:val="00F71811"/>
    <w:rsid w:val="00F72CAD"/>
    <w:rsid w:val="00F743DC"/>
    <w:rsid w:val="00F751E2"/>
    <w:rsid w:val="00F80B4B"/>
    <w:rsid w:val="00F80DE2"/>
    <w:rsid w:val="00F813CF"/>
    <w:rsid w:val="00F831E7"/>
    <w:rsid w:val="00F85D0D"/>
    <w:rsid w:val="00F8693B"/>
    <w:rsid w:val="00F86B96"/>
    <w:rsid w:val="00F91F1C"/>
    <w:rsid w:val="00F9258C"/>
    <w:rsid w:val="00F92C0C"/>
    <w:rsid w:val="00F93062"/>
    <w:rsid w:val="00F93C05"/>
    <w:rsid w:val="00F94085"/>
    <w:rsid w:val="00F940AA"/>
    <w:rsid w:val="00F95C65"/>
    <w:rsid w:val="00F964E8"/>
    <w:rsid w:val="00F97B17"/>
    <w:rsid w:val="00FA2B3F"/>
    <w:rsid w:val="00FA3B35"/>
    <w:rsid w:val="00FA4E2F"/>
    <w:rsid w:val="00FA546C"/>
    <w:rsid w:val="00FA652A"/>
    <w:rsid w:val="00FA6973"/>
    <w:rsid w:val="00FA6DE9"/>
    <w:rsid w:val="00FA6E9C"/>
    <w:rsid w:val="00FA7532"/>
    <w:rsid w:val="00FA7839"/>
    <w:rsid w:val="00FA7DBD"/>
    <w:rsid w:val="00FB1106"/>
    <w:rsid w:val="00FB13CC"/>
    <w:rsid w:val="00FB1431"/>
    <w:rsid w:val="00FB1E60"/>
    <w:rsid w:val="00FB39D2"/>
    <w:rsid w:val="00FB43EB"/>
    <w:rsid w:val="00FB65FE"/>
    <w:rsid w:val="00FB684B"/>
    <w:rsid w:val="00FB770F"/>
    <w:rsid w:val="00FB7E4A"/>
    <w:rsid w:val="00FC117E"/>
    <w:rsid w:val="00FC3DBB"/>
    <w:rsid w:val="00FC4421"/>
    <w:rsid w:val="00FC565C"/>
    <w:rsid w:val="00FC5901"/>
    <w:rsid w:val="00FD00F6"/>
    <w:rsid w:val="00FD1C8B"/>
    <w:rsid w:val="00FD2DA5"/>
    <w:rsid w:val="00FD381C"/>
    <w:rsid w:val="00FD4FB9"/>
    <w:rsid w:val="00FD79A9"/>
    <w:rsid w:val="00FE1268"/>
    <w:rsid w:val="00FE180A"/>
    <w:rsid w:val="00FE190A"/>
    <w:rsid w:val="00FE1CF5"/>
    <w:rsid w:val="00FE26BF"/>
    <w:rsid w:val="00FE27DE"/>
    <w:rsid w:val="00FE2D8B"/>
    <w:rsid w:val="00FE2DB7"/>
    <w:rsid w:val="00FE360E"/>
    <w:rsid w:val="00FE5B9D"/>
    <w:rsid w:val="00FE5FEE"/>
    <w:rsid w:val="00FE6CF4"/>
    <w:rsid w:val="00FE7287"/>
    <w:rsid w:val="00FF4459"/>
    <w:rsid w:val="00FF5846"/>
    <w:rsid w:val="00FF68BD"/>
    <w:rsid w:val="00FF7544"/>
    <w:rsid w:val="00FF75D1"/>
    <w:rsid w:val="03B0E83F"/>
    <w:rsid w:val="05C7FEAC"/>
    <w:rsid w:val="07E38D57"/>
    <w:rsid w:val="0BEF9FC0"/>
    <w:rsid w:val="0C05271F"/>
    <w:rsid w:val="0FCE3DC8"/>
    <w:rsid w:val="17CE7615"/>
    <w:rsid w:val="187530B0"/>
    <w:rsid w:val="1B61285B"/>
    <w:rsid w:val="23B92762"/>
    <w:rsid w:val="297101B9"/>
    <w:rsid w:val="2A9ACF25"/>
    <w:rsid w:val="2B496850"/>
    <w:rsid w:val="2DAC411C"/>
    <w:rsid w:val="3C30F702"/>
    <w:rsid w:val="420B099C"/>
    <w:rsid w:val="46F1E6DF"/>
    <w:rsid w:val="494E9D2E"/>
    <w:rsid w:val="5190D44D"/>
    <w:rsid w:val="52619A0C"/>
    <w:rsid w:val="526F3F79"/>
    <w:rsid w:val="598E4458"/>
    <w:rsid w:val="5A2624A0"/>
    <w:rsid w:val="5DB7158B"/>
    <w:rsid w:val="5DC28F3B"/>
    <w:rsid w:val="6215901C"/>
    <w:rsid w:val="6669D64C"/>
    <w:rsid w:val="67690E49"/>
    <w:rsid w:val="6A738386"/>
    <w:rsid w:val="6C24F320"/>
    <w:rsid w:val="6DB04E45"/>
    <w:rsid w:val="6DC6A3D9"/>
    <w:rsid w:val="6E39BAA3"/>
    <w:rsid w:val="73D6D566"/>
    <w:rsid w:val="7565A589"/>
    <w:rsid w:val="7ADD38AA"/>
    <w:rsid w:val="7CDC8B9C"/>
    <w:rsid w:val="7DCC51A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5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C6"/>
    <w:pPr>
      <w:spacing w:before="120" w:after="120"/>
    </w:pPr>
    <w:rPr>
      <w:sz w:val="22"/>
    </w:rPr>
  </w:style>
  <w:style w:type="paragraph" w:styleId="Heading1">
    <w:name w:val="heading 1"/>
    <w:basedOn w:val="Heading2"/>
    <w:next w:val="Normal"/>
    <w:link w:val="Heading1Char"/>
    <w:uiPriority w:val="9"/>
    <w:qFormat/>
    <w:rsid w:val="00E644C6"/>
    <w:pPr>
      <w:spacing w:after="0" w:line="480" w:lineRule="exact"/>
      <w:outlineLvl w:val="0"/>
    </w:pPr>
    <w:rPr>
      <w:sz w:val="48"/>
      <w:szCs w:val="48"/>
    </w:rPr>
  </w:style>
  <w:style w:type="paragraph" w:styleId="Heading2">
    <w:name w:val="heading 2"/>
    <w:aliases w:val="Heading 2 - intro para"/>
    <w:basedOn w:val="Normal"/>
    <w:next w:val="Normal"/>
    <w:link w:val="Heading2Char"/>
    <w:uiPriority w:val="9"/>
    <w:unhideWhenUsed/>
    <w:qFormat/>
    <w:rsid w:val="00E644C6"/>
    <w:pPr>
      <w:spacing w:line="320" w:lineRule="exact"/>
      <w:ind w:right="2268"/>
      <w:outlineLvl w:val="1"/>
    </w:pPr>
    <w:rPr>
      <w:rFonts w:ascii="Calibri Light" w:hAnsi="Calibri Light"/>
      <w:b/>
      <w:bCs/>
      <w:color w:val="FFFFFF" w:themeColor="background1"/>
      <w:sz w:val="28"/>
      <w:szCs w:val="28"/>
    </w:rPr>
  </w:style>
  <w:style w:type="paragraph" w:styleId="Heading3">
    <w:name w:val="heading 3"/>
    <w:basedOn w:val="Normal"/>
    <w:next w:val="Normal"/>
    <w:link w:val="Heading3Char"/>
    <w:uiPriority w:val="9"/>
    <w:unhideWhenUsed/>
    <w:qFormat/>
    <w:rsid w:val="00E644C6"/>
    <w:pPr>
      <w:keepNext/>
      <w:keepLines/>
      <w:spacing w:before="70" w:after="57" w:line="400" w:lineRule="exact"/>
      <w:outlineLvl w:val="2"/>
    </w:pPr>
    <w:rPr>
      <w:rFonts w:eastAsiaTheme="majorEastAsia" w:cstheme="majorBidi"/>
      <w:bCs/>
      <w:color w:val="002A54"/>
      <w:sz w:val="32"/>
    </w:rPr>
  </w:style>
  <w:style w:type="paragraph" w:styleId="Heading4">
    <w:name w:val="heading 4"/>
    <w:basedOn w:val="Normal"/>
    <w:next w:val="Normal"/>
    <w:link w:val="Heading4Char"/>
    <w:uiPriority w:val="9"/>
    <w:unhideWhenUsed/>
    <w:qFormat/>
    <w:rsid w:val="00E644C6"/>
    <w:pPr>
      <w:keepNext/>
      <w:keepLines/>
      <w:spacing w:before="240" w:line="290" w:lineRule="exact"/>
      <w:outlineLvl w:val="3"/>
    </w:pPr>
    <w:rPr>
      <w:rFonts w:eastAsiaTheme="majorEastAsia" w:cstheme="majorBidi"/>
      <w:bCs/>
      <w:iCs/>
      <w:color w:val="002A54"/>
      <w:sz w:val="28"/>
      <w:szCs w:val="28"/>
    </w:rPr>
  </w:style>
  <w:style w:type="paragraph" w:styleId="Heading5">
    <w:name w:val="heading 5"/>
    <w:basedOn w:val="Normal"/>
    <w:next w:val="Normal"/>
    <w:link w:val="Heading5Char"/>
    <w:uiPriority w:val="9"/>
    <w:unhideWhenUsed/>
    <w:qFormat/>
    <w:rsid w:val="00E644C6"/>
    <w:pPr>
      <w:keepNext/>
      <w:keepLines/>
      <w:spacing w:before="40" w:after="0"/>
      <w:outlineLvl w:val="4"/>
    </w:pPr>
    <w:rPr>
      <w:rFonts w:asciiTheme="majorHAnsi" w:eastAsiaTheme="majorEastAsia" w:hAnsiTheme="majorHAnsi" w:cstheme="majorBidi"/>
      <w:color w:val="024A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4C6"/>
    <w:pPr>
      <w:tabs>
        <w:tab w:val="center" w:pos="4513"/>
        <w:tab w:val="right" w:pos="9026"/>
      </w:tabs>
    </w:pPr>
  </w:style>
  <w:style w:type="character" w:customStyle="1" w:styleId="HeaderChar">
    <w:name w:val="Header Char"/>
    <w:basedOn w:val="DefaultParagraphFont"/>
    <w:link w:val="Header"/>
    <w:uiPriority w:val="99"/>
    <w:rsid w:val="00E644C6"/>
    <w:rPr>
      <w:sz w:val="22"/>
    </w:rPr>
  </w:style>
  <w:style w:type="paragraph" w:styleId="Footer">
    <w:name w:val="footer"/>
    <w:basedOn w:val="Normal"/>
    <w:link w:val="FooterChar"/>
    <w:uiPriority w:val="99"/>
    <w:unhideWhenUsed/>
    <w:rsid w:val="00E644C6"/>
    <w:pPr>
      <w:tabs>
        <w:tab w:val="right" w:pos="9638"/>
      </w:tabs>
    </w:pPr>
    <w:rPr>
      <w:color w:val="FFFFFF" w:themeColor="background1"/>
      <w:sz w:val="16"/>
    </w:rPr>
  </w:style>
  <w:style w:type="character" w:customStyle="1" w:styleId="FooterChar">
    <w:name w:val="Footer Char"/>
    <w:basedOn w:val="DefaultParagraphFont"/>
    <w:link w:val="Footer"/>
    <w:uiPriority w:val="99"/>
    <w:rsid w:val="00E644C6"/>
    <w:rPr>
      <w:color w:val="FFFFFF" w:themeColor="background1"/>
      <w:sz w:val="16"/>
    </w:rPr>
  </w:style>
  <w:style w:type="character" w:customStyle="1" w:styleId="Heading1Char">
    <w:name w:val="Heading 1 Char"/>
    <w:basedOn w:val="DefaultParagraphFont"/>
    <w:link w:val="Heading1"/>
    <w:uiPriority w:val="9"/>
    <w:rsid w:val="00E644C6"/>
    <w:rPr>
      <w:rFonts w:ascii="Calibri Light" w:hAnsi="Calibri Light"/>
      <w:b/>
      <w:bCs/>
      <w:color w:val="FFFFFF" w:themeColor="background1"/>
      <w:sz w:val="48"/>
      <w:szCs w:val="48"/>
    </w:rPr>
  </w:style>
  <w:style w:type="paragraph" w:customStyle="1" w:styleId="Bullet">
    <w:name w:val="Bullet"/>
    <w:aliases w:val="Body,BodyNum,Bullet + line,b,b + line,b1,level 1,Bullet Char1,Bullet Char1 Char Char Char,Bullet Char1 Char Char Char Char,Bullet Char1 Char Char Char Char Char,b1 Char Char Char,bulleted,CG-Bullet"/>
    <w:basedOn w:val="Normal"/>
    <w:link w:val="BulletChar"/>
    <w:rsid w:val="00E644C6"/>
    <w:pPr>
      <w:numPr>
        <w:numId w:val="1"/>
      </w:numPr>
    </w:pPr>
  </w:style>
  <w:style w:type="character" w:customStyle="1" w:styleId="BulletChar">
    <w:name w:val="Bullet Char"/>
    <w:aliases w:val="Body Char,Bullet + line Char,Bullets Char,L Char,List Paragraph1 Char,List Paragraph11 Char,List Paragraph2 Char,Number Char,Recommendation Char,b + line Char,b + line Char Char,b Char,b Char Char,b1 Char,level 1 Char,Bulleted Para Char,L C"/>
    <w:basedOn w:val="DefaultParagraphFont"/>
    <w:link w:val="Bullet"/>
    <w:rsid w:val="00E644C6"/>
    <w:rPr>
      <w:sz w:val="22"/>
    </w:rPr>
  </w:style>
  <w:style w:type="paragraph" w:customStyle="1" w:styleId="Dash">
    <w:name w:val="Dash"/>
    <w:basedOn w:val="Normal"/>
    <w:link w:val="DashChar"/>
    <w:rsid w:val="00E644C6"/>
    <w:pPr>
      <w:numPr>
        <w:ilvl w:val="1"/>
        <w:numId w:val="1"/>
      </w:numPr>
    </w:pPr>
  </w:style>
  <w:style w:type="character" w:customStyle="1" w:styleId="DashChar">
    <w:name w:val="Dash Char"/>
    <w:basedOn w:val="DefaultParagraphFont"/>
    <w:link w:val="Dash"/>
    <w:rsid w:val="00E644C6"/>
    <w:rPr>
      <w:sz w:val="22"/>
    </w:rPr>
  </w:style>
  <w:style w:type="paragraph" w:customStyle="1" w:styleId="DoubleDot">
    <w:name w:val="Double Dot"/>
    <w:basedOn w:val="Normal"/>
    <w:link w:val="DoubleDotChar"/>
    <w:rsid w:val="00E644C6"/>
    <w:pPr>
      <w:numPr>
        <w:ilvl w:val="2"/>
        <w:numId w:val="1"/>
      </w:numPr>
    </w:pPr>
  </w:style>
  <w:style w:type="character" w:customStyle="1" w:styleId="DoubleDotChar">
    <w:name w:val="Double Dot Char"/>
    <w:basedOn w:val="DefaultParagraphFont"/>
    <w:link w:val="DoubleDot"/>
    <w:rsid w:val="00E644C6"/>
    <w:rPr>
      <w:sz w:val="22"/>
    </w:rPr>
  </w:style>
  <w:style w:type="paragraph" w:styleId="BalloonText">
    <w:name w:val="Balloon Text"/>
    <w:basedOn w:val="Normal"/>
    <w:link w:val="BalloonTextChar"/>
    <w:uiPriority w:val="99"/>
    <w:semiHidden/>
    <w:unhideWhenUsed/>
    <w:rsid w:val="00E644C6"/>
    <w:rPr>
      <w:rFonts w:ascii="Tahoma" w:hAnsi="Tahoma" w:cs="Tahoma"/>
      <w:sz w:val="16"/>
      <w:szCs w:val="16"/>
    </w:rPr>
  </w:style>
  <w:style w:type="character" w:customStyle="1" w:styleId="BalloonTextChar">
    <w:name w:val="Balloon Text Char"/>
    <w:basedOn w:val="DefaultParagraphFont"/>
    <w:link w:val="BalloonText"/>
    <w:uiPriority w:val="99"/>
    <w:semiHidden/>
    <w:rsid w:val="00E644C6"/>
    <w:rPr>
      <w:rFonts w:ascii="Tahoma" w:hAnsi="Tahoma" w:cs="Tahoma"/>
      <w:sz w:val="16"/>
      <w:szCs w:val="16"/>
    </w:rPr>
  </w:style>
  <w:style w:type="character" w:customStyle="1" w:styleId="Heading2Char">
    <w:name w:val="Heading 2 Char"/>
    <w:aliases w:val="Heading 2 - intro para Char"/>
    <w:basedOn w:val="DefaultParagraphFont"/>
    <w:link w:val="Heading2"/>
    <w:uiPriority w:val="9"/>
    <w:rsid w:val="00E644C6"/>
    <w:rPr>
      <w:rFonts w:ascii="Calibri Light" w:hAnsi="Calibri Light"/>
      <w:b/>
      <w:bCs/>
      <w:color w:val="FFFFFF" w:themeColor="background1"/>
      <w:sz w:val="28"/>
      <w:szCs w:val="28"/>
    </w:rPr>
  </w:style>
  <w:style w:type="character" w:customStyle="1" w:styleId="Heading3Char">
    <w:name w:val="Heading 3 Char"/>
    <w:basedOn w:val="DefaultParagraphFont"/>
    <w:link w:val="Heading3"/>
    <w:uiPriority w:val="9"/>
    <w:rsid w:val="00E644C6"/>
    <w:rPr>
      <w:rFonts w:eastAsiaTheme="majorEastAsia" w:cstheme="majorBidi"/>
      <w:bCs/>
      <w:color w:val="002A54"/>
      <w:sz w:val="32"/>
    </w:rPr>
  </w:style>
  <w:style w:type="character" w:customStyle="1" w:styleId="Heading4Char">
    <w:name w:val="Heading 4 Char"/>
    <w:basedOn w:val="DefaultParagraphFont"/>
    <w:link w:val="Heading4"/>
    <w:uiPriority w:val="9"/>
    <w:rsid w:val="00E644C6"/>
    <w:rPr>
      <w:rFonts w:eastAsiaTheme="majorEastAsia" w:cstheme="majorBidi"/>
      <w:bCs/>
      <w:iCs/>
      <w:color w:val="002A54"/>
      <w:sz w:val="28"/>
      <w:szCs w:val="28"/>
    </w:rPr>
  </w:style>
  <w:style w:type="table" w:styleId="TableGrid">
    <w:name w:val="Table Grid"/>
    <w:basedOn w:val="TableNormal"/>
    <w:uiPriority w:val="59"/>
    <w:rsid w:val="00E644C6"/>
    <w:tblPr>
      <w:tblBorders>
        <w:top w:val="single" w:sz="2" w:space="0" w:color="024A91" w:themeColor="accent1" w:themeShade="BF"/>
        <w:left w:val="single" w:sz="2" w:space="0" w:color="024A91" w:themeColor="accent1" w:themeShade="BF"/>
        <w:bottom w:val="single" w:sz="2" w:space="0" w:color="024A91" w:themeColor="accent1" w:themeShade="BF"/>
        <w:right w:val="single" w:sz="2" w:space="0" w:color="024A91" w:themeColor="accent1" w:themeShade="BF"/>
        <w:insideH w:val="single" w:sz="2" w:space="0" w:color="024A91" w:themeColor="accent1" w:themeShade="BF"/>
        <w:insideV w:val="single" w:sz="2" w:space="0" w:color="024A91" w:themeColor="accent1" w:themeShade="BF"/>
      </w:tblBorders>
    </w:tblPr>
    <w:tblStylePr w:type="firstRow">
      <w:rPr>
        <w:rFonts w:ascii="Calibri" w:hAnsi="Calibri"/>
        <w:b/>
        <w:i w:val="0"/>
        <w:color w:val="FFFFFF" w:themeColor="background1"/>
        <w:sz w:val="20"/>
      </w:rPr>
      <w:tblPr/>
      <w:tcPr>
        <w:shd w:val="clear" w:color="auto" w:fill="024A91" w:themeFill="accent1" w:themeFillShade="BF"/>
      </w:tcPr>
    </w:tblStylePr>
  </w:style>
  <w:style w:type="table" w:styleId="TableGridLight">
    <w:name w:val="Grid Table Light"/>
    <w:basedOn w:val="TableNormal"/>
    <w:uiPriority w:val="40"/>
    <w:rsid w:val="00E644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E644C6"/>
  </w:style>
  <w:style w:type="paragraph" w:customStyle="1" w:styleId="PullQuote">
    <w:name w:val="Pull Quote"/>
    <w:basedOn w:val="Normal"/>
    <w:uiPriority w:val="99"/>
    <w:rsid w:val="00E644C6"/>
    <w:pPr>
      <w:keepNext/>
      <w:suppressAutoHyphens/>
      <w:autoSpaceDE w:val="0"/>
      <w:autoSpaceDN w:val="0"/>
      <w:adjustRightInd w:val="0"/>
      <w:spacing w:before="272" w:after="88" w:line="350" w:lineRule="atLeast"/>
      <w:jc w:val="center"/>
      <w:textAlignment w:val="center"/>
    </w:pPr>
    <w:rPr>
      <w:rFonts w:asciiTheme="minorHAnsi" w:hAnsiTheme="minorHAnsi" w:cs="Noto Sans"/>
      <w:color w:val="FFFFFF"/>
      <w:sz w:val="28"/>
      <w:szCs w:val="28"/>
      <w:lang w:val="en-GB"/>
    </w:rPr>
  </w:style>
  <w:style w:type="character" w:styleId="Hyperlink">
    <w:name w:val="Hyperlink"/>
    <w:basedOn w:val="DefaultParagraphFont"/>
    <w:uiPriority w:val="99"/>
    <w:semiHidden/>
    <w:unhideWhenUsed/>
    <w:rsid w:val="00E644C6"/>
    <w:rPr>
      <w:color w:val="0000FF"/>
      <w:u w:val="single"/>
    </w:rPr>
  </w:style>
  <w:style w:type="paragraph" w:customStyle="1" w:styleId="TableFont">
    <w:name w:val="Table Font"/>
    <w:basedOn w:val="Normal"/>
    <w:qFormat/>
    <w:rsid w:val="00E644C6"/>
    <w:pPr>
      <w:spacing w:line="259" w:lineRule="auto"/>
    </w:pPr>
    <w:rPr>
      <w:rFonts w:eastAsia="Calibri" w:cs="Calibri"/>
      <w:sz w:val="18"/>
      <w:szCs w:val="18"/>
    </w:rPr>
  </w:style>
  <w:style w:type="table" w:styleId="PlainTable3">
    <w:name w:val="Plain Table 3"/>
    <w:basedOn w:val="TableNormal"/>
    <w:uiPriority w:val="43"/>
    <w:rsid w:val="00E644C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ubtleEmphasis">
    <w:name w:val="Subtle Emphasis"/>
    <w:basedOn w:val="DefaultParagraphFont"/>
    <w:uiPriority w:val="19"/>
    <w:qFormat/>
    <w:rsid w:val="00E644C6"/>
    <w:rPr>
      <w:rFonts w:asciiTheme="minorHAnsi" w:hAnsiTheme="minorHAnsi"/>
    </w:rPr>
  </w:style>
  <w:style w:type="paragraph" w:customStyle="1" w:styleId="BoxHeading">
    <w:name w:val="Box Heading"/>
    <w:basedOn w:val="Normal"/>
    <w:next w:val="Normal"/>
    <w:rsid w:val="00E644C6"/>
    <w:pPr>
      <w:keepNext/>
    </w:pPr>
    <w:rPr>
      <w:rFonts w:eastAsia="Times New Roman"/>
      <w:b/>
      <w:sz w:val="24"/>
      <w:lang w:eastAsia="en-AU"/>
    </w:rPr>
  </w:style>
  <w:style w:type="paragraph" w:customStyle="1" w:styleId="BoxBullet">
    <w:name w:val="Box Bullet"/>
    <w:basedOn w:val="Normal"/>
    <w:rsid w:val="00E644C6"/>
    <w:pPr>
      <w:numPr>
        <w:numId w:val="2"/>
      </w:numPr>
      <w:spacing w:before="0"/>
      <w:ind w:left="284" w:hanging="284"/>
    </w:pPr>
    <w:rPr>
      <w:rFonts w:eastAsia="Times New Roman"/>
      <w:lang w:eastAsia="en-AU"/>
    </w:rPr>
  </w:style>
  <w:style w:type="paragraph" w:customStyle="1" w:styleId="BoxDash">
    <w:name w:val="Box Dash"/>
    <w:basedOn w:val="Normal"/>
    <w:rsid w:val="00E644C6"/>
    <w:pPr>
      <w:numPr>
        <w:ilvl w:val="1"/>
        <w:numId w:val="2"/>
      </w:numPr>
      <w:spacing w:before="0"/>
      <w:ind w:left="568"/>
    </w:pPr>
    <w:rPr>
      <w:rFonts w:eastAsia="Times New Roman"/>
      <w:lang w:eastAsia="en-AU"/>
    </w:rPr>
  </w:style>
  <w:style w:type="paragraph" w:customStyle="1" w:styleId="BoxDoubleDot">
    <w:name w:val="Box Double Dot"/>
    <w:basedOn w:val="Normal"/>
    <w:rsid w:val="00E644C6"/>
    <w:pPr>
      <w:numPr>
        <w:ilvl w:val="2"/>
        <w:numId w:val="2"/>
      </w:numPr>
      <w:spacing w:before="0"/>
      <w:ind w:left="851" w:hanging="284"/>
    </w:pPr>
    <w:rPr>
      <w:rFonts w:eastAsia="Times New Roman"/>
      <w:lang w:eastAsia="en-AU"/>
    </w:rPr>
  </w:style>
  <w:style w:type="numbering" w:customStyle="1" w:styleId="BoxBulletedList">
    <w:name w:val="Box Bulleted List"/>
    <w:uiPriority w:val="99"/>
    <w:rsid w:val="00E644C6"/>
    <w:pPr>
      <w:numPr>
        <w:numId w:val="2"/>
      </w:numPr>
    </w:pPr>
  </w:style>
  <w:style w:type="paragraph" w:customStyle="1" w:styleId="TableMainHeading">
    <w:name w:val="Table Main Heading"/>
    <w:basedOn w:val="Heading3"/>
    <w:next w:val="Normal"/>
    <w:rsid w:val="00E644C6"/>
    <w:pPr>
      <w:keepLines w:val="0"/>
      <w:spacing w:before="180" w:after="120" w:line="240" w:lineRule="auto"/>
      <w:outlineLvl w:val="1"/>
    </w:pPr>
    <w:rPr>
      <w:rFonts w:eastAsia="Times New Roman" w:cs="Arial"/>
      <w:b/>
      <w:bCs w:val="0"/>
      <w:kern w:val="32"/>
      <w:sz w:val="24"/>
      <w:szCs w:val="26"/>
      <w:lang w:eastAsia="en-AU"/>
    </w:rPr>
  </w:style>
  <w:style w:type="paragraph" w:customStyle="1" w:styleId="TableColumnHeadingCentred">
    <w:name w:val="Table Column Heading Centred"/>
    <w:rsid w:val="00E644C6"/>
    <w:pPr>
      <w:spacing w:before="20" w:after="20"/>
      <w:jc w:val="center"/>
    </w:pPr>
    <w:rPr>
      <w:rFonts w:asciiTheme="minorHAnsi" w:eastAsia="Times New Roman" w:hAnsiTheme="minorHAnsi" w:cstheme="minorBidi"/>
      <w:b/>
      <w:color w:val="002A54" w:themeColor="text2"/>
      <w:szCs w:val="22"/>
      <w:lang w:eastAsia="en-AU"/>
    </w:rPr>
  </w:style>
  <w:style w:type="paragraph" w:customStyle="1" w:styleId="TableColumnHeadingLeft">
    <w:name w:val="Table Column Heading Left"/>
    <w:basedOn w:val="TableTextLeft"/>
    <w:rsid w:val="00E644C6"/>
    <w:pPr>
      <w:spacing w:before="20" w:after="20"/>
    </w:pPr>
    <w:rPr>
      <w:rFonts w:asciiTheme="minorHAnsi" w:hAnsiTheme="minorHAnsi" w:cstheme="minorBidi"/>
      <w:b/>
      <w:color w:val="002A54" w:themeColor="text2"/>
      <w:sz w:val="20"/>
      <w:szCs w:val="22"/>
    </w:rPr>
  </w:style>
  <w:style w:type="paragraph" w:customStyle="1" w:styleId="TableColumnHeadingRight">
    <w:name w:val="Table Column Heading Right"/>
    <w:basedOn w:val="TableTextLeft"/>
    <w:rsid w:val="00E644C6"/>
    <w:pPr>
      <w:spacing w:before="20" w:after="20"/>
    </w:pPr>
    <w:rPr>
      <w:rFonts w:cs="Calibri"/>
      <w:b/>
      <w:bCs/>
      <w:color w:val="002A54" w:themeColor="text2"/>
      <w:sz w:val="20"/>
    </w:rPr>
  </w:style>
  <w:style w:type="paragraph" w:customStyle="1" w:styleId="TableTextCentered">
    <w:name w:val="Table Text Centered"/>
    <w:basedOn w:val="TableTextRight"/>
    <w:rsid w:val="00E644C6"/>
  </w:style>
  <w:style w:type="paragraph" w:customStyle="1" w:styleId="TableTextLeft">
    <w:name w:val="Table Text Left"/>
    <w:basedOn w:val="Normal"/>
    <w:rsid w:val="00E644C6"/>
    <w:pPr>
      <w:spacing w:before="40" w:after="40"/>
    </w:pPr>
    <w:rPr>
      <w:sz w:val="18"/>
    </w:rPr>
  </w:style>
  <w:style w:type="paragraph" w:customStyle="1" w:styleId="TableTextRight">
    <w:name w:val="Table Text Right"/>
    <w:basedOn w:val="Normal"/>
    <w:rsid w:val="00E644C6"/>
    <w:pPr>
      <w:spacing w:before="40" w:after="40"/>
      <w:jc w:val="right"/>
    </w:pPr>
    <w:rPr>
      <w:rFonts w:eastAsia="Times New Roman"/>
      <w:color w:val="000000"/>
      <w:sz w:val="18"/>
      <w:lang w:eastAsia="en-AU"/>
    </w:rPr>
  </w:style>
  <w:style w:type="paragraph" w:customStyle="1" w:styleId="TableTextIndented">
    <w:name w:val="Table Text Indented"/>
    <w:basedOn w:val="TableTextLeft"/>
    <w:qFormat/>
    <w:rsid w:val="00E644C6"/>
    <w:pPr>
      <w:ind w:left="284"/>
    </w:pPr>
  </w:style>
  <w:style w:type="table" w:styleId="GridTable1Light-Accent1">
    <w:name w:val="Grid Table 1 Light Accent 1"/>
    <w:basedOn w:val="TableNormal"/>
    <w:uiPriority w:val="46"/>
    <w:rsid w:val="00E644C6"/>
    <w:rPr>
      <w:rFonts w:asciiTheme="minorHAnsi" w:hAnsiTheme="minorHAnsi" w:cstheme="minorBidi"/>
      <w:sz w:val="22"/>
      <w:szCs w:val="22"/>
    </w:rPr>
    <w:tblPr>
      <w:tblStyleRowBandSize w:val="1"/>
      <w:tblStyleColBandSize w:val="1"/>
      <w:tblBorders>
        <w:top w:val="single" w:sz="4" w:space="0" w:color="83C0FD" w:themeColor="accent1" w:themeTint="66"/>
        <w:left w:val="single" w:sz="4" w:space="0" w:color="83C0FD" w:themeColor="accent1" w:themeTint="66"/>
        <w:bottom w:val="single" w:sz="4" w:space="0" w:color="83C0FD" w:themeColor="accent1" w:themeTint="66"/>
        <w:right w:val="single" w:sz="4" w:space="0" w:color="83C0FD" w:themeColor="accent1" w:themeTint="66"/>
        <w:insideH w:val="single" w:sz="4" w:space="0" w:color="83C0FD" w:themeColor="accent1" w:themeTint="66"/>
        <w:insideV w:val="single" w:sz="4" w:space="0" w:color="83C0FD" w:themeColor="accent1" w:themeTint="66"/>
      </w:tblBorders>
    </w:tblPr>
    <w:tblStylePr w:type="firstRow">
      <w:rPr>
        <w:b/>
        <w:bCs/>
      </w:rPr>
      <w:tblPr/>
      <w:tcPr>
        <w:tcBorders>
          <w:bottom w:val="single" w:sz="12" w:space="0" w:color="46A1FC" w:themeColor="accent1" w:themeTint="99"/>
        </w:tcBorders>
      </w:tcPr>
    </w:tblStylePr>
    <w:tblStylePr w:type="lastRow">
      <w:rPr>
        <w:b/>
        <w:bCs/>
      </w:rPr>
      <w:tblPr/>
      <w:tcPr>
        <w:tcBorders>
          <w:top w:val="double" w:sz="2" w:space="0" w:color="46A1FC"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rsid w:val="00E644C6"/>
    <w:rPr>
      <w:rFonts w:asciiTheme="majorHAnsi" w:eastAsiaTheme="majorEastAsia" w:hAnsiTheme="majorHAnsi" w:cstheme="majorBidi"/>
      <w:color w:val="024A91" w:themeColor="accent1" w:themeShade="BF"/>
      <w:sz w:val="22"/>
    </w:rPr>
  </w:style>
  <w:style w:type="table" w:customStyle="1" w:styleId="BudgetFactsheetTable1">
    <w:name w:val="Budget Factsheet Table 1"/>
    <w:basedOn w:val="TableNormal"/>
    <w:uiPriority w:val="99"/>
    <w:rsid w:val="00E644C6"/>
    <w:rPr>
      <w:color w:val="000000" w:themeColor="text1"/>
      <w:sz w:val="18"/>
    </w:rPr>
    <w:tblPr>
      <w:tblBorders>
        <w:bottom w:val="single" w:sz="4" w:space="0" w:color="auto"/>
        <w:insideH w:val="single" w:sz="4" w:space="0" w:color="A6ACB6" w:themeColor="background2" w:themeTint="99"/>
        <w:insideV w:val="single" w:sz="4" w:space="0" w:color="A6ACB6" w:themeColor="background2" w:themeTint="99"/>
      </w:tblBorders>
    </w:tblPr>
    <w:tblStylePr w:type="firstRow">
      <w:pPr>
        <w:wordWrap/>
        <w:spacing w:beforeLines="0" w:before="40" w:beforeAutospacing="0" w:afterLines="0" w:after="40" w:afterAutospacing="0" w:line="240" w:lineRule="auto"/>
      </w:pPr>
      <w:rPr>
        <w:rFonts w:ascii="Calibri" w:hAnsi="Calibri"/>
        <w:b/>
        <w:color w:val="002A54" w:themeColor="text2"/>
        <w:sz w:val="20"/>
      </w:rPr>
      <w:tblPr/>
      <w:tcPr>
        <w:tcBorders>
          <w:top w:val="single" w:sz="4" w:space="0" w:color="auto"/>
          <w:left w:val="nil"/>
          <w:bottom w:val="single" w:sz="12" w:space="0" w:color="auto"/>
          <w:right w:val="nil"/>
          <w:insideH w:val="nil"/>
          <w:insideV w:val="nil"/>
          <w:tl2br w:val="nil"/>
          <w:tr2bl w:val="nil"/>
        </w:tcBorders>
        <w:shd w:val="clear" w:color="auto" w:fill="E6F2FF"/>
      </w:tcPr>
    </w:tblStylePr>
  </w:style>
  <w:style w:type="paragraph" w:styleId="NoSpacing">
    <w:name w:val="No Spacing"/>
    <w:uiPriority w:val="1"/>
    <w:qFormat/>
    <w:rsid w:val="00E644C6"/>
    <w:rPr>
      <w:sz w:val="22"/>
    </w:rPr>
  </w:style>
  <w:style w:type="paragraph" w:customStyle="1" w:styleId="CABNETParagraph">
    <w:name w:val="CABNET Paragraph."/>
    <w:basedOn w:val="Normal"/>
    <w:link w:val="CABNETParagraphChar"/>
    <w:uiPriority w:val="98"/>
    <w:qFormat/>
    <w:rsid w:val="00EE553F"/>
    <w:rPr>
      <w:rFonts w:ascii="Arial" w:hAnsi="Arial" w:cstheme="minorHAnsi"/>
      <w:szCs w:val="22"/>
    </w:rPr>
  </w:style>
  <w:style w:type="character" w:customStyle="1" w:styleId="CABNETParagraphChar">
    <w:name w:val="CABNET Paragraph. Char"/>
    <w:basedOn w:val="DefaultParagraphFont"/>
    <w:link w:val="CABNETParagraph"/>
    <w:uiPriority w:val="98"/>
    <w:rsid w:val="00EE553F"/>
    <w:rPr>
      <w:rFonts w:ascii="Arial" w:hAnsi="Arial" w:cstheme="minorHAnsi"/>
      <w:sz w:val="22"/>
      <w:szCs w:val="22"/>
    </w:rPr>
  </w:style>
  <w:style w:type="paragraph" w:customStyle="1" w:styleId="ChartandTableFootnote">
    <w:name w:val="Chart and Table Footnote"/>
    <w:basedOn w:val="Normal"/>
    <w:next w:val="Normal"/>
    <w:link w:val="ChartandTableFootnoteChar"/>
    <w:rsid w:val="00595FB9"/>
    <w:pPr>
      <w:tabs>
        <w:tab w:val="left" w:pos="709"/>
      </w:tabs>
      <w:spacing w:before="30" w:after="0"/>
      <w:ind w:left="709" w:hanging="709"/>
    </w:pPr>
    <w:rPr>
      <w:rFonts w:ascii="Arial" w:eastAsia="Times New Roman" w:hAnsi="Arial"/>
      <w:color w:val="000000"/>
      <w:sz w:val="16"/>
      <w:lang w:eastAsia="en-AU"/>
    </w:rPr>
  </w:style>
  <w:style w:type="paragraph" w:customStyle="1" w:styleId="Source">
    <w:name w:val="Source"/>
    <w:basedOn w:val="Normal"/>
    <w:rsid w:val="00595FB9"/>
    <w:pPr>
      <w:tabs>
        <w:tab w:val="left" w:pos="709"/>
      </w:tabs>
      <w:spacing w:before="30" w:after="240"/>
      <w:ind w:left="709" w:hanging="709"/>
    </w:pPr>
    <w:rPr>
      <w:rFonts w:ascii="Arial" w:eastAsia="Times New Roman" w:hAnsi="Arial"/>
      <w:sz w:val="16"/>
      <w:lang w:eastAsia="en-AU"/>
    </w:rPr>
  </w:style>
  <w:style w:type="character" w:customStyle="1" w:styleId="ChartandTableFootnoteChar">
    <w:name w:val="Chart and Table Footnote Char"/>
    <w:basedOn w:val="DefaultParagraphFont"/>
    <w:link w:val="ChartandTableFootnote"/>
    <w:rsid w:val="00595FB9"/>
    <w:rPr>
      <w:rFonts w:ascii="Arial" w:eastAsia="Times New Roman" w:hAnsi="Arial"/>
      <w:color w:val="000000"/>
      <w:sz w:val="16"/>
      <w:lang w:eastAsia="en-AU"/>
    </w:rPr>
  </w:style>
  <w:style w:type="character" w:styleId="CommentReference">
    <w:name w:val="annotation reference"/>
    <w:basedOn w:val="DefaultParagraphFont"/>
    <w:unhideWhenUsed/>
    <w:rsid w:val="00E34A38"/>
    <w:rPr>
      <w:sz w:val="16"/>
      <w:szCs w:val="16"/>
    </w:rPr>
  </w:style>
  <w:style w:type="paragraph" w:styleId="CommentText">
    <w:name w:val="annotation text"/>
    <w:basedOn w:val="Normal"/>
    <w:link w:val="CommentTextChar"/>
    <w:unhideWhenUsed/>
    <w:rsid w:val="00E34A38"/>
    <w:pPr>
      <w:spacing w:before="0" w:after="160"/>
    </w:pPr>
    <w:rPr>
      <w:rFonts w:asciiTheme="minorHAnsi" w:hAnsiTheme="minorHAnsi" w:cstheme="minorBidi"/>
      <w:sz w:val="20"/>
    </w:rPr>
  </w:style>
  <w:style w:type="character" w:customStyle="1" w:styleId="CommentTextChar">
    <w:name w:val="Comment Text Char"/>
    <w:basedOn w:val="DefaultParagraphFont"/>
    <w:link w:val="CommentText"/>
    <w:rsid w:val="00E34A38"/>
    <w:rPr>
      <w:rFonts w:asciiTheme="minorHAnsi" w:hAnsiTheme="minorHAnsi" w:cstheme="minorBidi"/>
    </w:rPr>
  </w:style>
  <w:style w:type="character" w:styleId="Mention">
    <w:name w:val="Mention"/>
    <w:basedOn w:val="DefaultParagraphFont"/>
    <w:uiPriority w:val="99"/>
    <w:unhideWhenUsed/>
    <w:rsid w:val="00E34A38"/>
    <w:rPr>
      <w:color w:val="2B579A"/>
      <w:shd w:val="clear" w:color="auto" w:fill="E1DFDD"/>
    </w:rPr>
  </w:style>
  <w:style w:type="paragraph" w:styleId="Revision">
    <w:name w:val="Revision"/>
    <w:hidden/>
    <w:uiPriority w:val="99"/>
    <w:semiHidden/>
    <w:rsid w:val="00A10C30"/>
    <w:rPr>
      <w:sz w:val="22"/>
    </w:rPr>
  </w:style>
  <w:style w:type="paragraph" w:styleId="CommentSubject">
    <w:name w:val="annotation subject"/>
    <w:basedOn w:val="CommentText"/>
    <w:next w:val="CommentText"/>
    <w:link w:val="CommentSubjectChar"/>
    <w:uiPriority w:val="99"/>
    <w:semiHidden/>
    <w:unhideWhenUsed/>
    <w:rsid w:val="007260C7"/>
    <w:pPr>
      <w:spacing w:before="120" w:after="120"/>
    </w:pPr>
    <w:rPr>
      <w:rFonts w:ascii="Calibri" w:hAnsi="Calibri" w:cs="Times New Roman"/>
      <w:b/>
      <w:bCs/>
    </w:rPr>
  </w:style>
  <w:style w:type="character" w:customStyle="1" w:styleId="CommentSubjectChar">
    <w:name w:val="Comment Subject Char"/>
    <w:basedOn w:val="CommentTextChar"/>
    <w:link w:val="CommentSubject"/>
    <w:uiPriority w:val="99"/>
    <w:semiHidden/>
    <w:rsid w:val="007260C7"/>
    <w:rPr>
      <w:rFonts w:asciiTheme="minorHAnsi" w:hAnsiTheme="minorHAnsi" w:cstheme="minorBidi"/>
      <w:b/>
      <w:bCs/>
    </w:rPr>
  </w:style>
  <w:style w:type="paragraph" w:customStyle="1" w:styleId="TableLine">
    <w:name w:val="Table Line"/>
    <w:basedOn w:val="Normal"/>
    <w:next w:val="Normal"/>
    <w:autoRedefine/>
    <w:rsid w:val="004F245E"/>
    <w:pPr>
      <w:pBdr>
        <w:bottom w:val="single" w:sz="4" w:space="2" w:color="626A77" w:themeColor="background2" w:themeShade="E6"/>
      </w:pBdr>
      <w:spacing w:before="0" w:after="240"/>
    </w:pPr>
    <w:rPr>
      <w:rFonts w:ascii="Book Antiqua" w:eastAsia="Times New Roman" w:hAnsi="Book Antiqua"/>
      <w:noProof/>
      <w:sz w:val="4"/>
      <w:szCs w:val="4"/>
      <w:lang w:eastAsia="en-AU"/>
    </w:rPr>
  </w:style>
  <w:style w:type="paragraph" w:styleId="Title">
    <w:name w:val="Title"/>
    <w:basedOn w:val="Normal"/>
    <w:next w:val="Normal"/>
    <w:link w:val="TitleChar"/>
    <w:uiPriority w:val="10"/>
    <w:qFormat/>
    <w:rsid w:val="007507EF"/>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7E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9117">
      <w:bodyDiv w:val="1"/>
      <w:marLeft w:val="0"/>
      <w:marRight w:val="0"/>
      <w:marTop w:val="0"/>
      <w:marBottom w:val="0"/>
      <w:divBdr>
        <w:top w:val="none" w:sz="0" w:space="0" w:color="auto"/>
        <w:left w:val="none" w:sz="0" w:space="0" w:color="auto"/>
        <w:bottom w:val="none" w:sz="0" w:space="0" w:color="auto"/>
        <w:right w:val="none" w:sz="0" w:space="0" w:color="auto"/>
      </w:divBdr>
    </w:div>
    <w:div w:id="1052466508">
      <w:bodyDiv w:val="1"/>
      <w:marLeft w:val="0"/>
      <w:marRight w:val="0"/>
      <w:marTop w:val="0"/>
      <w:marBottom w:val="0"/>
      <w:divBdr>
        <w:top w:val="none" w:sz="0" w:space="0" w:color="auto"/>
        <w:left w:val="none" w:sz="0" w:space="0" w:color="auto"/>
        <w:bottom w:val="none" w:sz="0" w:space="0" w:color="auto"/>
        <w:right w:val="none" w:sz="0" w:space="0" w:color="auto"/>
      </w:divBdr>
    </w:div>
    <w:div w:id="1303537253">
      <w:bodyDiv w:val="1"/>
      <w:marLeft w:val="0"/>
      <w:marRight w:val="0"/>
      <w:marTop w:val="0"/>
      <w:marBottom w:val="0"/>
      <w:divBdr>
        <w:top w:val="none" w:sz="0" w:space="0" w:color="auto"/>
        <w:left w:val="none" w:sz="0" w:space="0" w:color="auto"/>
        <w:bottom w:val="none" w:sz="0" w:space="0" w:color="auto"/>
        <w:right w:val="none" w:sz="0" w:space="0" w:color="auto"/>
      </w:divBdr>
    </w:div>
    <w:div w:id="1624116189">
      <w:bodyDiv w:val="1"/>
      <w:marLeft w:val="0"/>
      <w:marRight w:val="0"/>
      <w:marTop w:val="0"/>
      <w:marBottom w:val="0"/>
      <w:divBdr>
        <w:top w:val="none" w:sz="0" w:space="0" w:color="auto"/>
        <w:left w:val="none" w:sz="0" w:space="0" w:color="auto"/>
        <w:bottom w:val="none" w:sz="0" w:space="0" w:color="auto"/>
        <w:right w:val="none" w:sz="0" w:space="0" w:color="auto"/>
      </w:divBdr>
    </w:div>
    <w:div w:id="210229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Budget 2026–27 Tax Explainer</vt:lpstr>
    </vt:vector>
  </TitlesOfParts>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2026–27 Tax Explainer</dc:title>
  <dc:subject>New tax cuts for Australian workers</dc:subject>
  <dc:creator>Australian Government</dc:creator>
  <cp:keywords/>
  <cp:lastModifiedBy/>
  <cp:revision>1</cp:revision>
  <dcterms:created xsi:type="dcterms:W3CDTF">2026-05-11T09:54:00Z</dcterms:created>
  <dcterms:modified xsi:type="dcterms:W3CDTF">2026-05-11T09:54:00Z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2026-05-11T09:54:51Z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76864930-e071-44f9-86c8-61dc47988b26</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