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F736" w14:textId="5523F0C7" w:rsidR="00C7280D" w:rsidRDefault="00715815" w:rsidP="00B70BCB">
      <w:pPr>
        <w:pStyle w:val="Heading1"/>
        <w:spacing w:before="100" w:beforeAutospacing="1"/>
        <w:ind w:right="283"/>
      </w:pPr>
      <w:r w:rsidRPr="00A1701A">
        <w:t>Negative Gearing and Capital</w:t>
      </w:r>
      <w:r w:rsidR="00963E5C">
        <w:t> </w:t>
      </w:r>
      <w:r w:rsidRPr="00A1701A">
        <w:t>Gains</w:t>
      </w:r>
      <w:r w:rsidR="00963E5C">
        <w:t> </w:t>
      </w:r>
      <w:r w:rsidRPr="00A1701A">
        <w:t>Tax Reform</w:t>
      </w:r>
    </w:p>
    <w:p w14:paraId="341513C0" w14:textId="36391937" w:rsidR="00715815" w:rsidRDefault="00715815" w:rsidP="0037236E">
      <w:pPr>
        <w:pStyle w:val="Heading2"/>
        <w:ind w:right="708"/>
      </w:pPr>
      <w:r w:rsidRPr="001B2395">
        <w:t>The Government is helping more Australians get into the housing market and improving the efficiency and fairness of the tax system.</w:t>
      </w:r>
    </w:p>
    <w:p w14:paraId="4A57C470" w14:textId="77777777" w:rsidR="00715815" w:rsidRDefault="00715815" w:rsidP="00717666">
      <w:pPr>
        <w:spacing w:before="360"/>
      </w:pPr>
    </w:p>
    <w:p w14:paraId="2D58BD17" w14:textId="77777777" w:rsidR="00C7280D" w:rsidRDefault="00C7280D" w:rsidP="00233239">
      <w:pPr>
        <w:spacing w:before="360"/>
        <w:sectPr w:rsidR="00C7280D" w:rsidSect="00545FE1">
          <w:footerReference w:type="default" r:id="rId7"/>
          <w:headerReference w:type="first" r:id="rId8"/>
          <w:footerReference w:type="first" r:id="rId9"/>
          <w:type w:val="continuous"/>
          <w:pgSz w:w="11907" w:h="16840" w:code="9"/>
          <w:pgMar w:top="3175" w:right="1134" w:bottom="1418" w:left="1134" w:header="851" w:footer="397" w:gutter="0"/>
          <w:cols w:space="340"/>
          <w:titlePg/>
          <w:docGrid w:linePitch="360"/>
        </w:sectPr>
      </w:pPr>
    </w:p>
    <w:p w14:paraId="405AF977" w14:textId="34318881" w:rsidR="002F4C2D" w:rsidRDefault="000D0482" w:rsidP="008F5699">
      <w:pPr>
        <w:pStyle w:val="Heading3"/>
      </w:pPr>
      <w:r w:rsidRPr="000D0482">
        <w:t>Supporting home ownership with</w:t>
      </w:r>
      <w:r w:rsidR="00496F0F">
        <w:t> </w:t>
      </w:r>
      <w:r w:rsidRPr="000D0482">
        <w:t xml:space="preserve">a fairer and more efficient </w:t>
      </w:r>
      <w:r w:rsidR="00496F0F" w:rsidRPr="000D0482">
        <w:t>tax</w:t>
      </w:r>
      <w:r w:rsidR="00496F0F">
        <w:rPr>
          <w:sz w:val="36"/>
          <w:szCs w:val="22"/>
        </w:rPr>
        <w:t> </w:t>
      </w:r>
      <w:r w:rsidRPr="000D0482">
        <w:t>system</w:t>
      </w:r>
    </w:p>
    <w:p w14:paraId="32E3C82A" w14:textId="2F37430E" w:rsidR="00174D05" w:rsidRDefault="00174D05" w:rsidP="00174D05">
      <w:r>
        <w:t xml:space="preserve">The Government is reforming negative gearing </w:t>
      </w:r>
      <w:r w:rsidR="000154A3">
        <w:t>and </w:t>
      </w:r>
      <w:r>
        <w:t>capital gains tax (CGT) arrangements.</w:t>
      </w:r>
      <w:r w:rsidR="00AF02D2">
        <w:t xml:space="preserve"> These</w:t>
      </w:r>
      <w:r w:rsidR="00DA0291">
        <w:t> </w:t>
      </w:r>
      <w:r w:rsidR="00AF02D2">
        <w:t xml:space="preserve">reforms will limit </w:t>
      </w:r>
      <w:r w:rsidR="00AF02D2" w:rsidRPr="007A1389">
        <w:t>the benefits of negative gearing to new residential properties</w:t>
      </w:r>
      <w:r w:rsidR="00AF02D2">
        <w:t xml:space="preserve">, re-introduce capital gains tax cost base indexation, and introduce a 30 per cent minimum tax on capital </w:t>
      </w:r>
      <w:r w:rsidR="000154A3">
        <w:t> </w:t>
      </w:r>
      <w:r w:rsidR="00AF02D2">
        <w:t>gains.</w:t>
      </w:r>
    </w:p>
    <w:p w14:paraId="6782BCE9" w14:textId="58E4F695" w:rsidR="00174D05" w:rsidRDefault="00174D05" w:rsidP="00174D05">
      <w:r>
        <w:t>Since 1999,</w:t>
      </w:r>
      <w:r w:rsidRPr="000E37BB">
        <w:t xml:space="preserve"> hous</w:t>
      </w:r>
      <w:r w:rsidR="001D5695">
        <w:t>ing</w:t>
      </w:r>
      <w:r w:rsidRPr="000E37BB">
        <w:t xml:space="preserve"> prices have risen </w:t>
      </w:r>
      <w:r>
        <w:t>more than</w:t>
      </w:r>
      <w:r w:rsidRPr="000E37BB">
        <w:t xml:space="preserve"> twice as fast as average full time earnings and</w:t>
      </w:r>
      <w:r>
        <w:t>, since 2001</w:t>
      </w:r>
      <w:r w:rsidR="00154465">
        <w:t xml:space="preserve"> to 2021</w:t>
      </w:r>
      <w:r>
        <w:t>,</w:t>
      </w:r>
      <w:r w:rsidRPr="000E37BB">
        <w:t xml:space="preserve"> the home ownership rate </w:t>
      </w:r>
      <w:r>
        <w:t>for</w:t>
      </w:r>
      <w:r w:rsidRPr="000E37BB">
        <w:t xml:space="preserve"> </w:t>
      </w:r>
      <w:r>
        <w:t xml:space="preserve">households 25 to 34 years old </w:t>
      </w:r>
      <w:r w:rsidRPr="000E37BB">
        <w:t xml:space="preserve">has declined by </w:t>
      </w:r>
      <w:r w:rsidR="00DE4BBF">
        <w:t>seven</w:t>
      </w:r>
      <w:r w:rsidR="004756E8">
        <w:t> </w:t>
      </w:r>
      <w:r w:rsidRPr="000E37BB">
        <w:t>percentage points</w:t>
      </w:r>
      <w:r w:rsidR="005F6AA7">
        <w:t>.</w:t>
      </w:r>
    </w:p>
    <w:p w14:paraId="1D9625B1" w14:textId="12CD6F72" w:rsidR="00174D05" w:rsidRDefault="00174D05" w:rsidP="00174D05">
      <w:r>
        <w:t xml:space="preserve">These </w:t>
      </w:r>
      <w:r w:rsidRPr="002D18A6">
        <w:t>changes will</w:t>
      </w:r>
      <w:r>
        <w:t xml:space="preserve"> help</w:t>
      </w:r>
      <w:r w:rsidRPr="002D18A6">
        <w:t xml:space="preserve"> level the playing field for first home buyers, </w:t>
      </w:r>
      <w:r w:rsidR="00D9092A">
        <w:t>preserve</w:t>
      </w:r>
      <w:r>
        <w:t xml:space="preserve"> the </w:t>
      </w:r>
      <w:r w:rsidR="00D9092A">
        <w:t>gains investors have made</w:t>
      </w:r>
      <w:r w:rsidRPr="002D18A6">
        <w:t>,</w:t>
      </w:r>
      <w:r w:rsidDel="008D40EC">
        <w:t xml:space="preserve"> </w:t>
      </w:r>
      <w:r>
        <w:t xml:space="preserve">and </w:t>
      </w:r>
      <w:r w:rsidRPr="008D40EC">
        <w:t xml:space="preserve">support investment in </w:t>
      </w:r>
      <w:r w:rsidRPr="002D18A6" w:rsidDel="008D40EC">
        <w:t>new housing supply</w:t>
      </w:r>
      <w:r w:rsidRPr="002D18A6">
        <w:t>.</w:t>
      </w:r>
    </w:p>
    <w:p w14:paraId="2430B21F" w14:textId="77777777" w:rsidR="00174D05" w:rsidRDefault="00174D05" w:rsidP="00174D05">
      <w:r>
        <w:t>From 1 July 2027, the Government will:</w:t>
      </w:r>
    </w:p>
    <w:p w14:paraId="7B2E194A" w14:textId="77777777" w:rsidR="00174D05" w:rsidRDefault="00174D05" w:rsidP="00174D05">
      <w:pPr>
        <w:pStyle w:val="Bullet"/>
        <w:tabs>
          <w:tab w:val="clear" w:pos="520"/>
        </w:tabs>
        <w:spacing w:before="0"/>
        <w:ind w:left="283" w:hanging="283"/>
      </w:pPr>
      <w:r>
        <w:t>limit negative gearing for residential property investments to new builds; and</w:t>
      </w:r>
    </w:p>
    <w:p w14:paraId="328D1768" w14:textId="77777777" w:rsidR="00174D05" w:rsidRDefault="00174D05" w:rsidP="00174D05">
      <w:pPr>
        <w:pStyle w:val="Bullet"/>
        <w:tabs>
          <w:tab w:val="clear" w:pos="520"/>
        </w:tabs>
        <w:spacing w:before="0"/>
        <w:ind w:left="283" w:hanging="283"/>
      </w:pPr>
      <w:r>
        <w:t>r</w:t>
      </w:r>
      <w:r w:rsidRPr="00DD64B1">
        <w:t>eplace the 50</w:t>
      </w:r>
      <w:r>
        <w:t> </w:t>
      </w:r>
      <w:r w:rsidRPr="00DD64B1">
        <w:t>per cent CGT discount for individuals, trusts and partnerships with cost base indexation and a 30 per cent minimum tax rate on capital gains</w:t>
      </w:r>
      <w:r>
        <w:t xml:space="preserve">. </w:t>
      </w:r>
    </w:p>
    <w:p w14:paraId="2EBB1E32" w14:textId="0438EB92" w:rsidR="00174D05" w:rsidRDefault="00174D05" w:rsidP="00174D05">
      <w:r w:rsidRPr="00F63BDF">
        <w:t>The</w:t>
      </w:r>
      <w:r>
        <w:t>se changes</w:t>
      </w:r>
      <w:r w:rsidRPr="00F63BDF">
        <w:t xml:space="preserve"> will rebalance our tax system</w:t>
      </w:r>
      <w:r>
        <w:t>, allowing the Government to</w:t>
      </w:r>
      <w:r w:rsidRPr="00F63BDF">
        <w:t xml:space="preserve"> take pressure off wage earners</w:t>
      </w:r>
      <w:r>
        <w:t xml:space="preserve"> and first home buyers. </w:t>
      </w:r>
      <w:r w:rsidR="000154A3">
        <w:br w:type="column"/>
      </w:r>
      <w:r>
        <w:t xml:space="preserve">The impact of these changes on existing investments will be limited. Properties held </w:t>
      </w:r>
      <w:r w:rsidR="00ED7666">
        <w:t>before</w:t>
      </w:r>
      <w:r>
        <w:t xml:space="preserve"> announcement (7:30pm AEST 12 May 2026) will be exempt from the negative gearing changes. The CGT reforms will only apply to gains accruing</w:t>
      </w:r>
      <w:r w:rsidRPr="009F0979">
        <w:t xml:space="preserve"> after 1 July 2027</w:t>
      </w:r>
      <w:r>
        <w:t xml:space="preserve">. </w:t>
      </w:r>
    </w:p>
    <w:p w14:paraId="70E9004C" w14:textId="45C6F94F" w:rsidR="000D0482" w:rsidRDefault="00145B13" w:rsidP="00D95A99">
      <w:pPr>
        <w:pStyle w:val="Heading4"/>
      </w:pPr>
      <w:r w:rsidRPr="00145B13">
        <w:t>Rental losses can only reduce income from residential properties</w:t>
      </w:r>
    </w:p>
    <w:p w14:paraId="1E87E306" w14:textId="52DF9F4E" w:rsidR="00A35D7D" w:rsidRDefault="00A35D7D" w:rsidP="00A35D7D">
      <w:r>
        <w:t xml:space="preserve">Under current tax settings, losses from a rental property can be used to reduce other forms of taxable income (e.g. salary and wages). This encourages leveraged property investments </w:t>
      </w:r>
      <w:r w:rsidR="001B06A2">
        <w:t>that</w:t>
      </w:r>
      <w:r>
        <w:t xml:space="preserve"> can lead to investors receiving greater tax advantages than those available to owner occupiers.</w:t>
      </w:r>
    </w:p>
    <w:p w14:paraId="5E1D1FB7" w14:textId="1FF2AB5F" w:rsidR="00A35D7D" w:rsidRDefault="00A35D7D" w:rsidP="00A35D7D">
      <w:r>
        <w:t xml:space="preserve">From 1 July 2027, losses related to existing residential investment properties purchased </w:t>
      </w:r>
      <w:r w:rsidR="00E952CA">
        <w:t>from</w:t>
      </w:r>
      <w:r>
        <w:t xml:space="preserve"> 7:30pm AEST 12 May 2026 will only be deductible against other income from residential properties, including capital gains. </w:t>
      </w:r>
    </w:p>
    <w:p w14:paraId="1E5694B6" w14:textId="226EBE44" w:rsidR="00A35D7D" w:rsidRDefault="003F7CF9" w:rsidP="00A35D7D">
      <w:r>
        <w:t>However, when</w:t>
      </w:r>
      <w:r w:rsidR="00A35D7D">
        <w:t xml:space="preserve"> an investor has excess losses, </w:t>
      </w:r>
      <w:r w:rsidR="007C5203">
        <w:t>they wi</w:t>
      </w:r>
      <w:r w:rsidR="00CC0DE9">
        <w:t>ll</w:t>
      </w:r>
      <w:r w:rsidR="00A35D7D">
        <w:t xml:space="preserve"> be </w:t>
      </w:r>
      <w:r w:rsidR="000761A8">
        <w:t>able to carry</w:t>
      </w:r>
      <w:r w:rsidR="00A35D7D">
        <w:t xml:space="preserve"> forward </w:t>
      </w:r>
      <w:r w:rsidR="000761A8">
        <w:t>that excess</w:t>
      </w:r>
      <w:r w:rsidR="00A35D7D">
        <w:t xml:space="preserve"> to offset residential property income in future years. Enabling losses to be carried forward </w:t>
      </w:r>
      <w:r w:rsidR="00666640">
        <w:t>ensures investors remain able to claim a deduction</w:t>
      </w:r>
      <w:r w:rsidR="00A35D7D">
        <w:t xml:space="preserve"> in </w:t>
      </w:r>
      <w:r w:rsidR="006954C9">
        <w:t>the</w:t>
      </w:r>
      <w:r w:rsidR="00E11710">
        <w:t xml:space="preserve"> </w:t>
      </w:r>
      <w:r w:rsidR="00666640">
        <w:t>future for costs</w:t>
      </w:r>
      <w:r w:rsidR="00A35D7D">
        <w:t xml:space="preserve"> such as maintenance. </w:t>
      </w:r>
    </w:p>
    <w:p w14:paraId="1E8C69C5" w14:textId="5BECA96E" w:rsidR="00496F0F" w:rsidRDefault="00A35D7D" w:rsidP="0037236E">
      <w:r>
        <w:t xml:space="preserve">These changes will apply to individuals, partnerships, companies and most trusts. Widely held trusts (for example, most managed investment trusts) and superannuation funds (including SMSFs) will be excluded. </w:t>
      </w:r>
      <w:r w:rsidR="00496F0F">
        <w:br w:type="page"/>
      </w:r>
    </w:p>
    <w:p w14:paraId="39BDBC73" w14:textId="4478E589" w:rsidR="003D4F9E" w:rsidRDefault="003D4F9E" w:rsidP="00D95A99">
      <w:pPr>
        <w:pStyle w:val="Heading4"/>
      </w:pPr>
      <w:r w:rsidRPr="003D4F9E">
        <w:lastRenderedPageBreak/>
        <w:t>Cost base indexation</w:t>
      </w:r>
    </w:p>
    <w:p w14:paraId="08F499C4" w14:textId="484A1166" w:rsidR="0087296E" w:rsidRDefault="0087296E" w:rsidP="003A04D6">
      <w:r>
        <w:t>The current 50 per cent CGT discount was introduced</w:t>
      </w:r>
      <w:r w:rsidR="00E33A38">
        <w:t xml:space="preserve"> in 1999</w:t>
      </w:r>
      <w:r w:rsidR="003C795F">
        <w:t>, allowing taxpayers to reduce</w:t>
      </w:r>
      <w:r w:rsidR="00115F81">
        <w:t> </w:t>
      </w:r>
      <w:r w:rsidR="080BC45B">
        <w:t>the</w:t>
      </w:r>
      <w:r w:rsidR="00A920D9">
        <w:t>ir</w:t>
      </w:r>
      <w:r w:rsidR="080BC45B">
        <w:t xml:space="preserve"> taxable capital gain by hal</w:t>
      </w:r>
      <w:r w:rsidR="5BD4E5B8">
        <w:t xml:space="preserve">f </w:t>
      </w:r>
      <w:r w:rsidR="003C795F">
        <w:t>rather than adjusting</w:t>
      </w:r>
      <w:r w:rsidR="5BD4E5B8">
        <w:t xml:space="preserve"> for inflation.</w:t>
      </w:r>
      <w:r w:rsidR="0068092C">
        <w:t xml:space="preserve"> </w:t>
      </w:r>
      <w:r w:rsidR="359BA5F6">
        <w:t>As a result</w:t>
      </w:r>
      <w:r w:rsidR="00D93F5E">
        <w:t>, the 50</w:t>
      </w:r>
      <w:r w:rsidR="00115F81">
        <w:t> </w:t>
      </w:r>
      <w:r w:rsidR="00D93F5E">
        <w:t>per</w:t>
      </w:r>
      <w:r w:rsidR="00115F81">
        <w:t> </w:t>
      </w:r>
      <w:r w:rsidR="00D93F5E">
        <w:t>cent discount does not accurately approximate the inflation component of</w:t>
      </w:r>
      <w:r w:rsidR="003A04D6">
        <w:t xml:space="preserve"> gains</w:t>
      </w:r>
      <w:r w:rsidR="00D93F5E">
        <w:t>, meaning investors are undercompensated or overcompensated depending on their returns.</w:t>
      </w:r>
    </w:p>
    <w:p w14:paraId="7AB8A1DC" w14:textId="090B6A2B" w:rsidR="003A04D6" w:rsidRDefault="009A5340" w:rsidP="003A04D6">
      <w:r>
        <w:t xml:space="preserve">Returning to indexation </w:t>
      </w:r>
      <w:r w:rsidR="002E5C4E">
        <w:t>based on the Consumer</w:t>
      </w:r>
      <w:r w:rsidR="00115F81">
        <w:t> </w:t>
      </w:r>
      <w:r w:rsidR="002E5C4E">
        <w:t>Price Index (CPI)</w:t>
      </w:r>
      <w:r w:rsidR="003A04D6">
        <w:t xml:space="preserve"> aligns with the original</w:t>
      </w:r>
      <w:r w:rsidR="00115F81">
        <w:t> </w:t>
      </w:r>
      <w:r w:rsidR="003A04D6">
        <w:t xml:space="preserve">intent of the CGT regime and supports productivity </w:t>
      </w:r>
      <w:r w:rsidR="00515692">
        <w:t>over time</w:t>
      </w:r>
      <w:r w:rsidR="003A04D6">
        <w:t xml:space="preserve"> by ensuring that investment</w:t>
      </w:r>
      <w:r w:rsidR="00115F81">
        <w:t> </w:t>
      </w:r>
      <w:r w:rsidR="003A04D6">
        <w:t xml:space="preserve">decisions are taken for economic reasons, not due to tax outcomes. </w:t>
      </w:r>
    </w:p>
    <w:p w14:paraId="18267F78" w14:textId="61BEA2C1" w:rsidR="003A04D6" w:rsidRDefault="003A04D6" w:rsidP="00AC50D6">
      <w:pPr>
        <w:keepNext/>
      </w:pPr>
      <w:r>
        <w:t>Indexation will be calculated using CPI in a similar</w:t>
      </w:r>
      <w:r w:rsidR="00115F81">
        <w:t> </w:t>
      </w:r>
      <w:r>
        <w:t xml:space="preserve">manner to arrangements previously in place between 1985 and 1999. </w:t>
      </w:r>
      <w:r w:rsidR="002F2E73">
        <w:t>The ATO will provide guidance and tools to support calculation</w:t>
      </w:r>
      <w:r w:rsidR="00115F81">
        <w:t> </w:t>
      </w:r>
      <w:r w:rsidR="002F2E73">
        <w:t xml:space="preserve">of this adjustment. </w:t>
      </w:r>
    </w:p>
    <w:p w14:paraId="205C1A6E" w14:textId="0BF0CC7C" w:rsidR="003A04D6" w:rsidRDefault="003A04D6" w:rsidP="00860B51">
      <w:pPr>
        <w:keepLines/>
      </w:pPr>
      <w:r>
        <w:t>These changes will apply to all CGT assets (including property and shares) held by individuals, partnerships and trusts for at least 12 months.</w:t>
      </w:r>
      <w:r w:rsidR="00F40233">
        <w:t xml:space="preserve"> Applying these changes</w:t>
      </w:r>
      <w:r w:rsidR="008D736C">
        <w:t xml:space="preserve"> broadly across</w:t>
      </w:r>
      <w:r w:rsidR="002857E8">
        <w:t xml:space="preserve"> assets ensures the CGT settings are broadly asset neutral with only targeted exemptions</w:t>
      </w:r>
      <w:r w:rsidR="00115F81">
        <w:t>.</w:t>
      </w:r>
    </w:p>
    <w:p w14:paraId="211EB694" w14:textId="43B75867" w:rsidR="00236543" w:rsidRDefault="00236543" w:rsidP="00D95A99">
      <w:pPr>
        <w:pStyle w:val="Heading4"/>
      </w:pPr>
      <w:r w:rsidRPr="00236543">
        <w:t>Minimum tax on capital gains</w:t>
      </w:r>
    </w:p>
    <w:p w14:paraId="2EF43B2F" w14:textId="20177A4C" w:rsidR="001C668E" w:rsidRDefault="001C668E" w:rsidP="001C668E">
      <w:r>
        <w:t>A minimum tax rate of 30 per cent will apply to</w:t>
      </w:r>
      <w:r w:rsidR="00115F81">
        <w:t> </w:t>
      </w:r>
      <w:r>
        <w:t>real capital gains accruing from 1 July 2027 (with</w:t>
      </w:r>
      <w:r w:rsidR="00115F81">
        <w:t> </w:t>
      </w:r>
      <w:r>
        <w:t>no impact until the income is realised). This</w:t>
      </w:r>
      <w:r w:rsidR="00115F81">
        <w:t> </w:t>
      </w:r>
      <w:r>
        <w:t>will not affect people whose capital gains are</w:t>
      </w:r>
      <w:r w:rsidR="00115F81">
        <w:t> </w:t>
      </w:r>
      <w:r>
        <w:t>already taxed at rates of at least 30 per cent.</w:t>
      </w:r>
    </w:p>
    <w:p w14:paraId="6A8F3DF5" w14:textId="0E12EABB" w:rsidR="001C668E" w:rsidRDefault="001C668E" w:rsidP="001C668E">
      <w:r>
        <w:t>The introduction of the minimum tax reduces the</w:t>
      </w:r>
      <w:r w:rsidR="00115F81">
        <w:t> </w:t>
      </w:r>
      <w:r>
        <w:t xml:space="preserve">benefit of taxpayers deferring capital gains realisation to years where their marginal tax rates are low. It ensures their gains are subject to a tax rate closer to the rate they faced during their working life and is commensurate </w:t>
      </w:r>
      <w:r w:rsidR="00266534">
        <w:t>with</w:t>
      </w:r>
      <w:r>
        <w:t xml:space="preserve"> the tax rate</w:t>
      </w:r>
      <w:r w:rsidR="00115F81">
        <w:t> </w:t>
      </w:r>
      <w:r>
        <w:t xml:space="preserve">paid by most workers. </w:t>
      </w:r>
    </w:p>
    <w:p w14:paraId="4772DFB3" w14:textId="77777777" w:rsidR="00860B51" w:rsidRDefault="001C668E" w:rsidP="001C668E">
      <w:r>
        <w:t>Recipients of means-tested income support payments, such as the Age Pension or JobSeeker, will be exempted from the minimum tax if they receive any payment in the financial year in which they realise the capital gain</w:t>
      </w:r>
      <w:r w:rsidR="00860B51">
        <w:t>.</w:t>
      </w:r>
    </w:p>
    <w:p w14:paraId="43704E20" w14:textId="77777777" w:rsidR="00527465" w:rsidRDefault="00527465" w:rsidP="001C668E"/>
    <w:p w14:paraId="48428582" w14:textId="4E9183CF" w:rsidR="00527465" w:rsidRDefault="00527465" w:rsidP="001C668E">
      <w:pPr>
        <w:sectPr w:rsidR="00527465" w:rsidSect="00100CFA">
          <w:headerReference w:type="first" r:id="rId10"/>
          <w:type w:val="continuous"/>
          <w:pgSz w:w="11907" w:h="16840" w:code="9"/>
          <w:pgMar w:top="1985" w:right="1134" w:bottom="1418" w:left="1134" w:header="851" w:footer="397" w:gutter="0"/>
          <w:cols w:num="2" w:space="510"/>
          <w:titlePg/>
          <w:docGrid w:linePitch="360"/>
        </w:sectPr>
      </w:pPr>
    </w:p>
    <w:p w14:paraId="53281B39" w14:textId="77777777" w:rsidR="002F7784" w:rsidRDefault="002F7784" w:rsidP="00AE6D7C">
      <w:pPr>
        <w:pStyle w:val="NoSpacing"/>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F2FF"/>
        <w:tblLayout w:type="fixed"/>
        <w:tblLook w:val="04A0" w:firstRow="1" w:lastRow="0" w:firstColumn="1" w:lastColumn="0" w:noHBand="0" w:noVBand="1"/>
      </w:tblPr>
      <w:tblGrid>
        <w:gridCol w:w="9639"/>
      </w:tblGrid>
      <w:tr w:rsidR="002F7784" w14:paraId="4CC7BC0F" w14:textId="77777777" w:rsidTr="002E0E04">
        <w:trPr>
          <w:trHeight w:val="17"/>
        </w:trPr>
        <w:tc>
          <w:tcPr>
            <w:tcW w:w="5000" w:type="pct"/>
            <w:shd w:val="clear" w:color="auto" w:fill="E6F2FF"/>
            <w:tcMar>
              <w:top w:w="170" w:type="dxa"/>
              <w:left w:w="227" w:type="dxa"/>
              <w:bottom w:w="227" w:type="dxa"/>
              <w:right w:w="227" w:type="dxa"/>
            </w:tcMar>
          </w:tcPr>
          <w:p w14:paraId="42CD1E08" w14:textId="77777777" w:rsidR="002F7784" w:rsidRDefault="002F7784" w:rsidP="00454555">
            <w:pPr>
              <w:pStyle w:val="BoxHeading"/>
              <w:keepNext w:val="0"/>
            </w:pPr>
            <w:r>
              <w:t xml:space="preserve">Comparison of Returns, Inflation and </w:t>
            </w:r>
            <w:r w:rsidRPr="00233239">
              <w:t>Effective</w:t>
            </w:r>
            <w:r>
              <w:t xml:space="preserve"> Rates</w:t>
            </w:r>
          </w:p>
          <w:p w14:paraId="5205F644" w14:textId="5A721558" w:rsidR="002F7784" w:rsidRDefault="002F7784" w:rsidP="006E65CF">
            <w:pPr>
              <w:rPr>
                <w:lang w:eastAsia="en-AU"/>
              </w:rPr>
            </w:pPr>
            <w:r w:rsidRPr="007E4A43">
              <w:rPr>
                <w:lang w:eastAsia="en-AU"/>
              </w:rPr>
              <w:t>Under these</w:t>
            </w:r>
            <w:r w:rsidRPr="3D35D368">
              <w:rPr>
                <w:lang w:eastAsia="en-AU"/>
              </w:rPr>
              <w:t xml:space="preserve"> new</w:t>
            </w:r>
            <w:r w:rsidRPr="007E4A43">
              <w:rPr>
                <w:lang w:eastAsia="en-AU"/>
              </w:rPr>
              <w:t xml:space="preserve"> arrangements, the effective tax rate on </w:t>
            </w:r>
            <w:r>
              <w:rPr>
                <w:lang w:eastAsia="en-AU"/>
              </w:rPr>
              <w:t xml:space="preserve">nominal </w:t>
            </w:r>
            <w:r w:rsidRPr="007E4A43">
              <w:rPr>
                <w:lang w:eastAsia="en-AU"/>
              </w:rPr>
              <w:t>capital gains would vary depending</w:t>
            </w:r>
            <w:r w:rsidR="006168E0">
              <w:rPr>
                <w:lang w:eastAsia="en-AU"/>
              </w:rPr>
              <w:t> </w:t>
            </w:r>
            <w:r w:rsidRPr="007E4A43">
              <w:rPr>
                <w:lang w:eastAsia="en-AU"/>
              </w:rPr>
              <w:t>on an individual’s marginal rate, their returns and the inflation rate over the period the</w:t>
            </w:r>
            <w:r w:rsidR="006168E0">
              <w:rPr>
                <w:lang w:eastAsia="en-AU"/>
              </w:rPr>
              <w:t> </w:t>
            </w:r>
            <w:r w:rsidRPr="007E4A43">
              <w:rPr>
                <w:lang w:eastAsia="en-AU"/>
              </w:rPr>
              <w:t>asset had been</w:t>
            </w:r>
            <w:r w:rsidR="006168E0">
              <w:rPr>
                <w:lang w:eastAsia="en-AU"/>
              </w:rPr>
              <w:t> </w:t>
            </w:r>
            <w:r w:rsidRPr="007E4A43">
              <w:rPr>
                <w:lang w:eastAsia="en-AU"/>
              </w:rPr>
              <w:t>held</w:t>
            </w:r>
            <w:r>
              <w:rPr>
                <w:lang w:eastAsia="en-AU"/>
              </w:rPr>
              <w:t>.</w:t>
            </w:r>
          </w:p>
          <w:p w14:paraId="49C574FB" w14:textId="0545B9C1" w:rsidR="002F7784" w:rsidRDefault="002F7784" w:rsidP="006E65CF">
            <w:pPr>
              <w:rPr>
                <w:lang w:eastAsia="en-AU"/>
              </w:rPr>
            </w:pPr>
            <w:r>
              <w:rPr>
                <w:lang w:eastAsia="en-AU"/>
              </w:rPr>
              <w:t xml:space="preserve">As shown below, </w:t>
            </w:r>
            <w:r w:rsidRPr="3D35D368">
              <w:rPr>
                <w:lang w:eastAsia="en-AU"/>
              </w:rPr>
              <w:t xml:space="preserve">if indexation had been in place </w:t>
            </w:r>
            <w:r>
              <w:rPr>
                <w:lang w:eastAsia="en-AU"/>
              </w:rPr>
              <w:t xml:space="preserve">over the past 20 years </w:t>
            </w:r>
            <w:r w:rsidRPr="3D35D368">
              <w:rPr>
                <w:lang w:eastAsia="en-AU"/>
              </w:rPr>
              <w:t xml:space="preserve">instead of the current arrangements, </w:t>
            </w:r>
            <w:r>
              <w:rPr>
                <w:lang w:eastAsia="en-AU"/>
              </w:rPr>
              <w:t>the effective discount would have ranged from 35-60 per cent on average for typical</w:t>
            </w:r>
            <w:r w:rsidR="006168E0">
              <w:rPr>
                <w:lang w:eastAsia="en-AU"/>
              </w:rPr>
              <w:t> </w:t>
            </w:r>
            <w:r>
              <w:rPr>
                <w:lang w:eastAsia="en-AU"/>
              </w:rPr>
              <w:t>assets held for five or ten years.</w:t>
            </w:r>
          </w:p>
          <w:p w14:paraId="0AE11FFE" w14:textId="77777777" w:rsidR="002F7784" w:rsidRDefault="002F7784" w:rsidP="002E0E04">
            <w:pPr>
              <w:rPr>
                <w:lang w:eastAsia="en-AU"/>
              </w:rPr>
            </w:pPr>
            <w:r>
              <w:rPr>
                <w:lang w:eastAsia="en-AU"/>
              </w:rPr>
              <w:t>This equates to an effective tax rate on the nominal gain of between 13 per cent and 30 per cent.</w:t>
            </w:r>
          </w:p>
          <w:p w14:paraId="406DD68B" w14:textId="77777777" w:rsidR="0061481A" w:rsidRDefault="0061481A" w:rsidP="0061481A">
            <w:pPr>
              <w:pStyle w:val="TableMainHeading"/>
              <w:spacing w:after="0"/>
            </w:pPr>
            <w:r w:rsidRPr="003D7814">
              <w:t>Table</w:t>
            </w:r>
            <w:r>
              <w:t xml:space="preserve"> 1</w:t>
            </w:r>
            <w:r w:rsidRPr="003D7814">
              <w:t>: Comparison of tax rates under indexation on average over past 20 years</w:t>
            </w:r>
          </w:p>
          <w:p w14:paraId="50CC6990" w14:textId="77777777" w:rsidR="0061481A" w:rsidRPr="002F7784" w:rsidRDefault="0061481A" w:rsidP="0061481A">
            <w:pPr>
              <w:pStyle w:val="TableSecondHeading"/>
            </w:pPr>
            <w:r>
              <w:t>House</w:t>
            </w:r>
          </w:p>
          <w:tbl>
            <w:tblPr>
              <w:tblStyle w:val="BudgetFactsheetTable1"/>
              <w:tblW w:w="5000" w:type="pct"/>
              <w:tblLayout w:type="fixed"/>
              <w:tblLook w:val="04A0" w:firstRow="1" w:lastRow="0" w:firstColumn="1" w:lastColumn="0" w:noHBand="0" w:noVBand="1"/>
            </w:tblPr>
            <w:tblGrid>
              <w:gridCol w:w="1326"/>
              <w:gridCol w:w="2340"/>
              <w:gridCol w:w="2123"/>
              <w:gridCol w:w="1690"/>
              <w:gridCol w:w="1706"/>
            </w:tblGrid>
            <w:tr w:rsidR="0061481A" w:rsidRPr="003D7814" w14:paraId="2E8376AC" w14:textId="77777777" w:rsidTr="006E65CF">
              <w:trPr>
                <w:cnfStyle w:val="100000000000" w:firstRow="1" w:lastRow="0" w:firstColumn="0" w:lastColumn="0" w:oddVBand="0" w:evenVBand="0" w:oddHBand="0" w:evenHBand="0" w:firstRowFirstColumn="0" w:firstRowLastColumn="0" w:lastRowFirstColumn="0" w:lastRowLastColumn="0"/>
              </w:trPr>
              <w:tc>
                <w:tcPr>
                  <w:tcW w:w="1326" w:type="dxa"/>
                </w:tcPr>
                <w:p w14:paraId="4CFA95B3" w14:textId="77777777" w:rsidR="0061481A" w:rsidRPr="00821266" w:rsidRDefault="0061481A" w:rsidP="0061481A">
                  <w:pPr>
                    <w:pStyle w:val="TableColumnHeadingCentred"/>
                    <w:rPr>
                      <w:bCs/>
                    </w:rPr>
                  </w:pPr>
                </w:p>
              </w:tc>
              <w:tc>
                <w:tcPr>
                  <w:tcW w:w="2340" w:type="dxa"/>
                  <w:vAlign w:val="bottom"/>
                </w:tcPr>
                <w:p w14:paraId="444DCC71" w14:textId="77777777" w:rsidR="0061481A" w:rsidRPr="006753DE" w:rsidRDefault="0061481A" w:rsidP="0061481A">
                  <w:pPr>
                    <w:pStyle w:val="TableColumnHeadingRight"/>
                    <w:rPr>
                      <w:b/>
                    </w:rPr>
                  </w:pPr>
                  <w:r w:rsidRPr="006753DE">
                    <w:rPr>
                      <w:b/>
                    </w:rPr>
                    <w:t>Average capital</w:t>
                  </w:r>
                  <w:r>
                    <w:rPr>
                      <w:b/>
                    </w:rPr>
                    <w:t xml:space="preserve"> </w:t>
                  </w:r>
                  <w:r w:rsidRPr="006753DE">
                    <w:rPr>
                      <w:b/>
                    </w:rPr>
                    <w:t>growth</w:t>
                  </w:r>
                  <w:r w:rsidRPr="006753DE">
                    <w:rPr>
                      <w:b/>
                      <w:vertAlign w:val="superscript"/>
                    </w:rPr>
                    <w:t>(a)</w:t>
                  </w:r>
                </w:p>
              </w:tc>
              <w:tc>
                <w:tcPr>
                  <w:tcW w:w="2123" w:type="dxa"/>
                  <w:vAlign w:val="bottom"/>
                </w:tcPr>
                <w:p w14:paraId="77A8F1C6" w14:textId="77777777" w:rsidR="0061481A" w:rsidRPr="006753DE" w:rsidRDefault="0061481A" w:rsidP="0061481A">
                  <w:pPr>
                    <w:pStyle w:val="TableColumnHeadingRight"/>
                    <w:rPr>
                      <w:b/>
                    </w:rPr>
                  </w:pPr>
                  <w:r w:rsidRPr="006753DE">
                    <w:rPr>
                      <w:b/>
                    </w:rPr>
                    <w:t>Discount for CPI</w:t>
                  </w:r>
                  <w:r w:rsidRPr="006753DE">
                    <w:rPr>
                      <w:b/>
                      <w:vertAlign w:val="superscript"/>
                    </w:rPr>
                    <w:t>(b)</w:t>
                  </w:r>
                </w:p>
              </w:tc>
              <w:tc>
                <w:tcPr>
                  <w:tcW w:w="1690" w:type="dxa"/>
                  <w:vAlign w:val="bottom"/>
                </w:tcPr>
                <w:p w14:paraId="27503A42" w14:textId="77777777" w:rsidR="0061481A" w:rsidRPr="006753DE" w:rsidRDefault="0061481A" w:rsidP="0061481A">
                  <w:pPr>
                    <w:pStyle w:val="TableColumnHeadingRight"/>
                    <w:rPr>
                      <w:b/>
                    </w:rPr>
                  </w:pPr>
                  <w:r w:rsidRPr="006753DE">
                    <w:rPr>
                      <w:b/>
                    </w:rPr>
                    <w:t>At 32c rate</w:t>
                  </w:r>
                  <w:r w:rsidRPr="006753DE">
                    <w:rPr>
                      <w:b/>
                      <w:vertAlign w:val="superscript"/>
                    </w:rPr>
                    <w:t>(c)</w:t>
                  </w:r>
                </w:p>
              </w:tc>
              <w:tc>
                <w:tcPr>
                  <w:tcW w:w="1706" w:type="dxa"/>
                  <w:vAlign w:val="bottom"/>
                </w:tcPr>
                <w:p w14:paraId="4BD7BD3C" w14:textId="77777777" w:rsidR="0061481A" w:rsidRPr="006753DE" w:rsidRDefault="0061481A" w:rsidP="0061481A">
                  <w:pPr>
                    <w:pStyle w:val="TableColumnHeadingRight"/>
                    <w:rPr>
                      <w:b/>
                    </w:rPr>
                  </w:pPr>
                  <w:r w:rsidRPr="006753DE">
                    <w:rPr>
                      <w:b/>
                    </w:rPr>
                    <w:t>At 47c rate</w:t>
                  </w:r>
                  <w:r w:rsidRPr="006753DE">
                    <w:rPr>
                      <w:b/>
                      <w:vertAlign w:val="superscript"/>
                    </w:rPr>
                    <w:t>(d)</w:t>
                  </w:r>
                </w:p>
              </w:tc>
            </w:tr>
            <w:tr w:rsidR="0061481A" w:rsidRPr="003D7814" w14:paraId="561BF35C" w14:textId="77777777" w:rsidTr="006E65CF">
              <w:tc>
                <w:tcPr>
                  <w:tcW w:w="1326" w:type="dxa"/>
                </w:tcPr>
                <w:p w14:paraId="046C7017" w14:textId="77777777" w:rsidR="0061481A" w:rsidRPr="003D7814" w:rsidRDefault="0061481A" w:rsidP="0061481A">
                  <w:pPr>
                    <w:pStyle w:val="TableTextLeft"/>
                  </w:pPr>
                  <w:r w:rsidRPr="003D7814">
                    <w:t>5y hold</w:t>
                  </w:r>
                </w:p>
              </w:tc>
              <w:tc>
                <w:tcPr>
                  <w:tcW w:w="2340" w:type="dxa"/>
                </w:tcPr>
                <w:p w14:paraId="4F14E065" w14:textId="77777777" w:rsidR="0061481A" w:rsidRPr="003D7814" w:rsidRDefault="0061481A" w:rsidP="0061481A">
                  <w:pPr>
                    <w:pStyle w:val="TableTextRight"/>
                  </w:pPr>
                  <w:r>
                    <w:t>5.8</w:t>
                  </w:r>
                  <w:r w:rsidRPr="003D7814">
                    <w:t>%</w:t>
                  </w:r>
                </w:p>
              </w:tc>
              <w:tc>
                <w:tcPr>
                  <w:tcW w:w="2123" w:type="dxa"/>
                </w:tcPr>
                <w:p w14:paraId="6EF16BD0" w14:textId="77777777" w:rsidR="0061481A" w:rsidRPr="003D7814" w:rsidRDefault="0061481A" w:rsidP="0061481A">
                  <w:pPr>
                    <w:pStyle w:val="TableTextRight"/>
                  </w:pPr>
                  <w:r w:rsidRPr="003D7814">
                    <w:t>42%</w:t>
                  </w:r>
                </w:p>
              </w:tc>
              <w:tc>
                <w:tcPr>
                  <w:tcW w:w="1690" w:type="dxa"/>
                </w:tcPr>
                <w:p w14:paraId="3EC204B2" w14:textId="77777777" w:rsidR="0061481A" w:rsidRPr="003D7814" w:rsidRDefault="0061481A" w:rsidP="0061481A">
                  <w:pPr>
                    <w:pStyle w:val="TableTextRight"/>
                  </w:pPr>
                  <w:r w:rsidRPr="003D7814">
                    <w:t>18.</w:t>
                  </w:r>
                  <w:r>
                    <w:t>6</w:t>
                  </w:r>
                </w:p>
              </w:tc>
              <w:tc>
                <w:tcPr>
                  <w:tcW w:w="1706" w:type="dxa"/>
                </w:tcPr>
                <w:p w14:paraId="343AFD80" w14:textId="77777777" w:rsidR="0061481A" w:rsidRPr="003D7814" w:rsidRDefault="0061481A" w:rsidP="0061481A">
                  <w:pPr>
                    <w:pStyle w:val="TableTextRight"/>
                  </w:pPr>
                  <w:r w:rsidRPr="003D7814">
                    <w:t>27.</w:t>
                  </w:r>
                  <w:r>
                    <w:t>3</w:t>
                  </w:r>
                </w:p>
              </w:tc>
            </w:tr>
            <w:tr w:rsidR="0061481A" w:rsidRPr="00874935" w14:paraId="684DF7CD" w14:textId="77777777" w:rsidTr="006E65CF">
              <w:tc>
                <w:tcPr>
                  <w:tcW w:w="1326" w:type="dxa"/>
                </w:tcPr>
                <w:p w14:paraId="095404CA" w14:textId="77777777" w:rsidR="0061481A" w:rsidRPr="003D7814" w:rsidRDefault="0061481A" w:rsidP="0061481A">
                  <w:pPr>
                    <w:pStyle w:val="TableTextLeft"/>
                  </w:pPr>
                  <w:r w:rsidRPr="003D7814">
                    <w:t>10y hold</w:t>
                  </w:r>
                </w:p>
              </w:tc>
              <w:tc>
                <w:tcPr>
                  <w:tcW w:w="2340" w:type="dxa"/>
                </w:tcPr>
                <w:p w14:paraId="7748703A" w14:textId="77777777" w:rsidR="0061481A" w:rsidRPr="003D7814" w:rsidRDefault="0061481A" w:rsidP="0061481A">
                  <w:pPr>
                    <w:pStyle w:val="TableTextRight"/>
                  </w:pPr>
                  <w:r>
                    <w:t>6.1</w:t>
                  </w:r>
                  <w:r w:rsidRPr="003D7814">
                    <w:t>%</w:t>
                  </w:r>
                </w:p>
              </w:tc>
              <w:tc>
                <w:tcPr>
                  <w:tcW w:w="2123" w:type="dxa"/>
                </w:tcPr>
                <w:p w14:paraId="31065FC6" w14:textId="77777777" w:rsidR="0061481A" w:rsidRPr="003D7814" w:rsidRDefault="0061481A" w:rsidP="0061481A">
                  <w:pPr>
                    <w:pStyle w:val="TableTextRight"/>
                  </w:pPr>
                  <w:r w:rsidRPr="003D7814">
                    <w:t>36%</w:t>
                  </w:r>
                </w:p>
              </w:tc>
              <w:tc>
                <w:tcPr>
                  <w:tcW w:w="1690" w:type="dxa"/>
                </w:tcPr>
                <w:p w14:paraId="5C950EC3" w14:textId="77777777" w:rsidR="0061481A" w:rsidRPr="003D7814" w:rsidRDefault="0061481A" w:rsidP="0061481A">
                  <w:pPr>
                    <w:pStyle w:val="TableTextRight"/>
                  </w:pPr>
                  <w:r w:rsidRPr="003D7814">
                    <w:t>20.</w:t>
                  </w:r>
                  <w:r>
                    <w:t>5</w:t>
                  </w:r>
                </w:p>
              </w:tc>
              <w:tc>
                <w:tcPr>
                  <w:tcW w:w="1706" w:type="dxa"/>
                </w:tcPr>
                <w:p w14:paraId="5D6434E4" w14:textId="77777777" w:rsidR="0061481A" w:rsidRPr="003D7814" w:rsidRDefault="0061481A" w:rsidP="0061481A">
                  <w:pPr>
                    <w:pStyle w:val="TableTextRight"/>
                  </w:pPr>
                  <w:r w:rsidRPr="003D7814">
                    <w:t>30.</w:t>
                  </w:r>
                  <w:r>
                    <w:t>1</w:t>
                  </w:r>
                </w:p>
              </w:tc>
            </w:tr>
          </w:tbl>
          <w:p w14:paraId="5CCA0251" w14:textId="3187F59B" w:rsidR="0061481A" w:rsidRPr="0061481A" w:rsidRDefault="0061481A" w:rsidP="0061481A">
            <w:pPr>
              <w:jc w:val="right"/>
              <w:rPr>
                <w:i/>
                <w:iCs/>
              </w:rPr>
            </w:pPr>
            <w:r>
              <w:rPr>
                <w:i/>
                <w:iCs/>
              </w:rPr>
              <w:t>c</w:t>
            </w:r>
            <w:r w:rsidRPr="0061481A">
              <w:rPr>
                <w:i/>
                <w:iCs/>
              </w:rPr>
              <w:t>ontinued on next page</w:t>
            </w:r>
          </w:p>
        </w:tc>
      </w:tr>
      <w:tr w:rsidR="00860B51" w14:paraId="207A4949" w14:textId="77777777" w:rsidTr="0061481A">
        <w:trPr>
          <w:trHeight w:val="4211"/>
        </w:trPr>
        <w:tc>
          <w:tcPr>
            <w:tcW w:w="5000" w:type="pct"/>
            <w:shd w:val="clear" w:color="auto" w:fill="E6F2FF"/>
            <w:tcMar>
              <w:top w:w="170" w:type="dxa"/>
              <w:left w:w="227" w:type="dxa"/>
              <w:bottom w:w="227" w:type="dxa"/>
              <w:right w:w="227" w:type="dxa"/>
            </w:tcMar>
          </w:tcPr>
          <w:p w14:paraId="0BBA3F5C" w14:textId="0350E989" w:rsidR="0061481A" w:rsidRDefault="0061481A" w:rsidP="0061481A">
            <w:pPr>
              <w:pStyle w:val="TableMainHeading"/>
              <w:spacing w:after="0"/>
            </w:pPr>
            <w:r w:rsidRPr="003D7814">
              <w:lastRenderedPageBreak/>
              <w:t>Table</w:t>
            </w:r>
            <w:r>
              <w:t xml:space="preserve"> 1</w:t>
            </w:r>
            <w:r w:rsidRPr="003D7814">
              <w:t>: Comparison of tax rates under indexation on average over past 20 years</w:t>
            </w:r>
            <w:r>
              <w:t xml:space="preserve"> (continued)</w:t>
            </w:r>
          </w:p>
          <w:p w14:paraId="0745B851" w14:textId="77777777" w:rsidR="00860B51" w:rsidRPr="002F7784" w:rsidRDefault="00860B51" w:rsidP="00860B51">
            <w:pPr>
              <w:pStyle w:val="TableSecondHeading"/>
            </w:pPr>
            <w:r w:rsidRPr="002F7784">
              <w:t xml:space="preserve">Unit </w:t>
            </w:r>
          </w:p>
          <w:tbl>
            <w:tblPr>
              <w:tblStyle w:val="BudgetFactsheetTable1"/>
              <w:tblW w:w="5000" w:type="pct"/>
              <w:tblLayout w:type="fixed"/>
              <w:tblLook w:val="04A0" w:firstRow="1" w:lastRow="0" w:firstColumn="1" w:lastColumn="0" w:noHBand="0" w:noVBand="1"/>
            </w:tblPr>
            <w:tblGrid>
              <w:gridCol w:w="1326"/>
              <w:gridCol w:w="2340"/>
              <w:gridCol w:w="2123"/>
              <w:gridCol w:w="1690"/>
              <w:gridCol w:w="1706"/>
            </w:tblGrid>
            <w:tr w:rsidR="00860B51" w:rsidRPr="003D7814" w14:paraId="0F330118" w14:textId="77777777" w:rsidTr="006E65CF">
              <w:trPr>
                <w:cnfStyle w:val="100000000000" w:firstRow="1" w:lastRow="0" w:firstColumn="0" w:lastColumn="0" w:oddVBand="0" w:evenVBand="0" w:oddHBand="0" w:evenHBand="0" w:firstRowFirstColumn="0" w:firstRowLastColumn="0" w:lastRowFirstColumn="0" w:lastRowLastColumn="0"/>
              </w:trPr>
              <w:tc>
                <w:tcPr>
                  <w:tcW w:w="1326" w:type="dxa"/>
                </w:tcPr>
                <w:p w14:paraId="18BCA1DE" w14:textId="77777777" w:rsidR="00860B51" w:rsidRPr="003D7814" w:rsidRDefault="00860B51" w:rsidP="00860B51">
                  <w:pPr>
                    <w:pStyle w:val="TableColumnHeadingRight"/>
                  </w:pPr>
                </w:p>
              </w:tc>
              <w:tc>
                <w:tcPr>
                  <w:tcW w:w="2340" w:type="dxa"/>
                  <w:vAlign w:val="bottom"/>
                </w:tcPr>
                <w:p w14:paraId="179A8A79" w14:textId="77777777" w:rsidR="00860B51" w:rsidRDefault="00860B51" w:rsidP="00860B51">
                  <w:pPr>
                    <w:pStyle w:val="TableColumnHeadingRight"/>
                  </w:pPr>
                  <w:r w:rsidRPr="006753DE">
                    <w:rPr>
                      <w:b/>
                    </w:rPr>
                    <w:t>Average capital growth</w:t>
                  </w:r>
                  <w:r w:rsidRPr="006753DE">
                    <w:rPr>
                      <w:b/>
                      <w:vertAlign w:val="superscript"/>
                    </w:rPr>
                    <w:t>(a)</w:t>
                  </w:r>
                </w:p>
              </w:tc>
              <w:tc>
                <w:tcPr>
                  <w:tcW w:w="2123" w:type="dxa"/>
                  <w:vAlign w:val="bottom"/>
                </w:tcPr>
                <w:p w14:paraId="1EBEFD78" w14:textId="77777777" w:rsidR="00860B51" w:rsidRPr="003D7814" w:rsidRDefault="00860B51" w:rsidP="00860B51">
                  <w:pPr>
                    <w:pStyle w:val="TableColumnHeadingRight"/>
                  </w:pPr>
                  <w:r w:rsidRPr="006753DE">
                    <w:rPr>
                      <w:b/>
                    </w:rPr>
                    <w:t>Discount for CPI</w:t>
                  </w:r>
                  <w:r w:rsidRPr="006753DE">
                    <w:rPr>
                      <w:b/>
                      <w:vertAlign w:val="superscript"/>
                    </w:rPr>
                    <w:t>(b)</w:t>
                  </w:r>
                </w:p>
              </w:tc>
              <w:tc>
                <w:tcPr>
                  <w:tcW w:w="1690" w:type="dxa"/>
                  <w:vAlign w:val="bottom"/>
                </w:tcPr>
                <w:p w14:paraId="200E9496" w14:textId="77777777" w:rsidR="00860B51" w:rsidRPr="003D7814" w:rsidRDefault="00860B51" w:rsidP="00860B51">
                  <w:pPr>
                    <w:pStyle w:val="TableColumnHeadingRight"/>
                  </w:pPr>
                  <w:r w:rsidRPr="006753DE">
                    <w:rPr>
                      <w:b/>
                    </w:rPr>
                    <w:t>At 32c rate</w:t>
                  </w:r>
                  <w:r w:rsidRPr="006753DE">
                    <w:rPr>
                      <w:b/>
                      <w:vertAlign w:val="superscript"/>
                    </w:rPr>
                    <w:t>(c)</w:t>
                  </w:r>
                </w:p>
              </w:tc>
              <w:tc>
                <w:tcPr>
                  <w:tcW w:w="1706" w:type="dxa"/>
                  <w:vAlign w:val="bottom"/>
                </w:tcPr>
                <w:p w14:paraId="6A671239" w14:textId="77777777" w:rsidR="00860B51" w:rsidRPr="003D7814" w:rsidRDefault="00860B51" w:rsidP="00860B51">
                  <w:pPr>
                    <w:pStyle w:val="TableColumnHeadingRight"/>
                  </w:pPr>
                  <w:r w:rsidRPr="006753DE">
                    <w:rPr>
                      <w:b/>
                    </w:rPr>
                    <w:t>At 47c rate</w:t>
                  </w:r>
                  <w:r w:rsidRPr="006753DE">
                    <w:rPr>
                      <w:b/>
                      <w:vertAlign w:val="superscript"/>
                    </w:rPr>
                    <w:t>(d)</w:t>
                  </w:r>
                </w:p>
              </w:tc>
            </w:tr>
            <w:tr w:rsidR="00860B51" w:rsidRPr="003D7814" w14:paraId="2B1CFB9A" w14:textId="77777777" w:rsidTr="006E65CF">
              <w:tc>
                <w:tcPr>
                  <w:tcW w:w="1326" w:type="dxa"/>
                </w:tcPr>
                <w:p w14:paraId="32BDB290" w14:textId="77777777" w:rsidR="00860B51" w:rsidRPr="003D7814" w:rsidRDefault="00860B51" w:rsidP="00860B51">
                  <w:pPr>
                    <w:pStyle w:val="TableTextLeft"/>
                  </w:pPr>
                  <w:r w:rsidRPr="003D7814">
                    <w:t>5y hold</w:t>
                  </w:r>
                </w:p>
              </w:tc>
              <w:tc>
                <w:tcPr>
                  <w:tcW w:w="2340" w:type="dxa"/>
                </w:tcPr>
                <w:p w14:paraId="327804AC" w14:textId="77777777" w:rsidR="00860B51" w:rsidRPr="003D7814" w:rsidRDefault="00860B51" w:rsidP="00860B51">
                  <w:pPr>
                    <w:pStyle w:val="TableTextLeft"/>
                    <w:jc w:val="right"/>
                  </w:pPr>
                  <w:r>
                    <w:t>4.1</w:t>
                  </w:r>
                  <w:r w:rsidRPr="003D7814">
                    <w:t>%</w:t>
                  </w:r>
                </w:p>
              </w:tc>
              <w:tc>
                <w:tcPr>
                  <w:tcW w:w="2123" w:type="dxa"/>
                </w:tcPr>
                <w:p w14:paraId="41580377" w14:textId="77777777" w:rsidR="00860B51" w:rsidRPr="003D7814" w:rsidRDefault="00860B51" w:rsidP="00860B51">
                  <w:pPr>
                    <w:pStyle w:val="TableTextLeft"/>
                    <w:jc w:val="right"/>
                  </w:pPr>
                  <w:r w:rsidRPr="003D7814">
                    <w:t>59%</w:t>
                  </w:r>
                </w:p>
              </w:tc>
              <w:tc>
                <w:tcPr>
                  <w:tcW w:w="1690" w:type="dxa"/>
                </w:tcPr>
                <w:p w14:paraId="6889C2EC" w14:textId="77777777" w:rsidR="00860B51" w:rsidRPr="003D7814" w:rsidRDefault="00860B51" w:rsidP="00860B51">
                  <w:pPr>
                    <w:pStyle w:val="TableTextLeft"/>
                    <w:jc w:val="right"/>
                  </w:pPr>
                  <w:r w:rsidRPr="003D7814">
                    <w:t>13.1</w:t>
                  </w:r>
                </w:p>
              </w:tc>
              <w:tc>
                <w:tcPr>
                  <w:tcW w:w="1706" w:type="dxa"/>
                </w:tcPr>
                <w:p w14:paraId="0807B7A5" w14:textId="77777777" w:rsidR="00860B51" w:rsidRPr="003D7814" w:rsidRDefault="00860B51" w:rsidP="00860B51">
                  <w:pPr>
                    <w:pStyle w:val="TableTextLeft"/>
                    <w:jc w:val="right"/>
                  </w:pPr>
                  <w:r w:rsidRPr="003D7814">
                    <w:t>19.</w:t>
                  </w:r>
                  <w:r>
                    <w:t>3</w:t>
                  </w:r>
                </w:p>
              </w:tc>
            </w:tr>
            <w:tr w:rsidR="00860B51" w:rsidRPr="00874935" w14:paraId="76D3D23C" w14:textId="77777777" w:rsidTr="006E65CF">
              <w:tc>
                <w:tcPr>
                  <w:tcW w:w="1326" w:type="dxa"/>
                </w:tcPr>
                <w:p w14:paraId="11ED0170" w14:textId="77777777" w:rsidR="00860B51" w:rsidRPr="003D7814" w:rsidRDefault="00860B51" w:rsidP="00860B51">
                  <w:pPr>
                    <w:pStyle w:val="TableTextLeft"/>
                  </w:pPr>
                  <w:r w:rsidRPr="003D7814">
                    <w:t>10y hold</w:t>
                  </w:r>
                </w:p>
              </w:tc>
              <w:tc>
                <w:tcPr>
                  <w:tcW w:w="2340" w:type="dxa"/>
                </w:tcPr>
                <w:p w14:paraId="4C5CEBE5" w14:textId="77777777" w:rsidR="00860B51" w:rsidRPr="003D7814" w:rsidRDefault="00860B51" w:rsidP="00860B51">
                  <w:pPr>
                    <w:pStyle w:val="TableTextLeft"/>
                    <w:jc w:val="right"/>
                  </w:pPr>
                  <w:r>
                    <w:t>4.8</w:t>
                  </w:r>
                  <w:r w:rsidRPr="003D7814">
                    <w:t>%</w:t>
                  </w:r>
                </w:p>
              </w:tc>
              <w:tc>
                <w:tcPr>
                  <w:tcW w:w="2123" w:type="dxa"/>
                </w:tcPr>
                <w:p w14:paraId="23D2919A" w14:textId="77777777" w:rsidR="00860B51" w:rsidRPr="003D7814" w:rsidRDefault="00860B51" w:rsidP="00860B51">
                  <w:pPr>
                    <w:pStyle w:val="TableTextLeft"/>
                    <w:jc w:val="right"/>
                  </w:pPr>
                  <w:r w:rsidRPr="003D7814">
                    <w:t>50%</w:t>
                  </w:r>
                </w:p>
              </w:tc>
              <w:tc>
                <w:tcPr>
                  <w:tcW w:w="1690" w:type="dxa"/>
                </w:tcPr>
                <w:p w14:paraId="60287984" w14:textId="77777777" w:rsidR="00860B51" w:rsidRPr="003D7814" w:rsidRDefault="00860B51" w:rsidP="00860B51">
                  <w:pPr>
                    <w:pStyle w:val="TableTextLeft"/>
                    <w:jc w:val="right"/>
                  </w:pPr>
                  <w:r w:rsidRPr="003D7814">
                    <w:t>16</w:t>
                  </w:r>
                  <w:r>
                    <w:t>.0</w:t>
                  </w:r>
                </w:p>
              </w:tc>
              <w:tc>
                <w:tcPr>
                  <w:tcW w:w="1706" w:type="dxa"/>
                </w:tcPr>
                <w:p w14:paraId="0BCA9C1E" w14:textId="77777777" w:rsidR="00860B51" w:rsidRPr="003D7814" w:rsidRDefault="00860B51" w:rsidP="00860B51">
                  <w:pPr>
                    <w:pStyle w:val="TableTextLeft"/>
                    <w:jc w:val="right"/>
                  </w:pPr>
                  <w:r w:rsidRPr="003D7814">
                    <w:t>23.5</w:t>
                  </w:r>
                </w:p>
              </w:tc>
            </w:tr>
          </w:tbl>
          <w:p w14:paraId="37352F80" w14:textId="77777777" w:rsidR="00860B51" w:rsidRDefault="00860B51" w:rsidP="00860B51">
            <w:pPr>
              <w:pStyle w:val="TableSecondHeading"/>
            </w:pPr>
            <w:r w:rsidRPr="003D7814">
              <w:t>Shares (S&amp;P/ASX 200)</w:t>
            </w:r>
          </w:p>
          <w:tbl>
            <w:tblPr>
              <w:tblStyle w:val="BudgetFactsheetTable1"/>
              <w:tblW w:w="5000" w:type="pct"/>
              <w:tblLayout w:type="fixed"/>
              <w:tblLook w:val="04A0" w:firstRow="1" w:lastRow="0" w:firstColumn="1" w:lastColumn="0" w:noHBand="0" w:noVBand="1"/>
            </w:tblPr>
            <w:tblGrid>
              <w:gridCol w:w="1326"/>
              <w:gridCol w:w="2340"/>
              <w:gridCol w:w="2123"/>
              <w:gridCol w:w="1690"/>
              <w:gridCol w:w="1706"/>
            </w:tblGrid>
            <w:tr w:rsidR="00860B51" w:rsidRPr="003D7814" w14:paraId="0B059DBE" w14:textId="77777777" w:rsidTr="006E65CF">
              <w:trPr>
                <w:cnfStyle w:val="100000000000" w:firstRow="1" w:lastRow="0" w:firstColumn="0" w:lastColumn="0" w:oddVBand="0" w:evenVBand="0" w:oddHBand="0" w:evenHBand="0" w:firstRowFirstColumn="0" w:firstRowLastColumn="0" w:lastRowFirstColumn="0" w:lastRowLastColumn="0"/>
              </w:trPr>
              <w:tc>
                <w:tcPr>
                  <w:tcW w:w="1326" w:type="dxa"/>
                </w:tcPr>
                <w:p w14:paraId="0E6C03F7" w14:textId="77777777" w:rsidR="00860B51" w:rsidRPr="003D7814" w:rsidRDefault="00860B51" w:rsidP="00860B51">
                  <w:pPr>
                    <w:pStyle w:val="TableColumnHeadingRight"/>
                  </w:pPr>
                </w:p>
              </w:tc>
              <w:tc>
                <w:tcPr>
                  <w:tcW w:w="2340" w:type="dxa"/>
                  <w:vAlign w:val="bottom"/>
                </w:tcPr>
                <w:p w14:paraId="60E0D2A0" w14:textId="77777777" w:rsidR="00860B51" w:rsidRDefault="00860B51" w:rsidP="00860B51">
                  <w:pPr>
                    <w:pStyle w:val="TableColumnHeadingRight"/>
                  </w:pPr>
                  <w:r w:rsidRPr="006753DE">
                    <w:rPr>
                      <w:b/>
                    </w:rPr>
                    <w:t>Average capital growth</w:t>
                  </w:r>
                  <w:r w:rsidRPr="006753DE">
                    <w:rPr>
                      <w:b/>
                      <w:vertAlign w:val="superscript"/>
                    </w:rPr>
                    <w:t>(a)</w:t>
                  </w:r>
                </w:p>
              </w:tc>
              <w:tc>
                <w:tcPr>
                  <w:tcW w:w="2123" w:type="dxa"/>
                  <w:vAlign w:val="bottom"/>
                </w:tcPr>
                <w:p w14:paraId="2BFD314C" w14:textId="77777777" w:rsidR="00860B51" w:rsidRPr="003D7814" w:rsidRDefault="00860B51" w:rsidP="00860B51">
                  <w:pPr>
                    <w:pStyle w:val="TableColumnHeadingRight"/>
                  </w:pPr>
                  <w:r w:rsidRPr="006753DE">
                    <w:rPr>
                      <w:b/>
                    </w:rPr>
                    <w:t>Discount for CPI</w:t>
                  </w:r>
                  <w:r w:rsidRPr="006753DE">
                    <w:rPr>
                      <w:b/>
                      <w:vertAlign w:val="superscript"/>
                    </w:rPr>
                    <w:t>(b)</w:t>
                  </w:r>
                </w:p>
              </w:tc>
              <w:tc>
                <w:tcPr>
                  <w:tcW w:w="1690" w:type="dxa"/>
                  <w:vAlign w:val="bottom"/>
                </w:tcPr>
                <w:p w14:paraId="2B58FD0A" w14:textId="77777777" w:rsidR="00860B51" w:rsidRPr="003D7814" w:rsidRDefault="00860B51" w:rsidP="00860B51">
                  <w:pPr>
                    <w:pStyle w:val="TableColumnHeadingRight"/>
                  </w:pPr>
                  <w:r w:rsidRPr="006753DE">
                    <w:rPr>
                      <w:b/>
                    </w:rPr>
                    <w:t>At 32c rate</w:t>
                  </w:r>
                  <w:r w:rsidRPr="006753DE">
                    <w:rPr>
                      <w:b/>
                      <w:vertAlign w:val="superscript"/>
                    </w:rPr>
                    <w:t>(c)</w:t>
                  </w:r>
                </w:p>
              </w:tc>
              <w:tc>
                <w:tcPr>
                  <w:tcW w:w="1706" w:type="dxa"/>
                  <w:vAlign w:val="bottom"/>
                </w:tcPr>
                <w:p w14:paraId="0FF0269A" w14:textId="77777777" w:rsidR="00860B51" w:rsidRPr="003D7814" w:rsidRDefault="00860B51" w:rsidP="00860B51">
                  <w:pPr>
                    <w:pStyle w:val="TableColumnHeadingRight"/>
                  </w:pPr>
                  <w:r w:rsidRPr="006753DE">
                    <w:rPr>
                      <w:b/>
                    </w:rPr>
                    <w:t>At 47c rate</w:t>
                  </w:r>
                  <w:r w:rsidRPr="006753DE">
                    <w:rPr>
                      <w:b/>
                      <w:vertAlign w:val="superscript"/>
                    </w:rPr>
                    <w:t>(d)</w:t>
                  </w:r>
                </w:p>
              </w:tc>
            </w:tr>
            <w:tr w:rsidR="00860B51" w:rsidRPr="003D7814" w14:paraId="57E1B0F0" w14:textId="77777777" w:rsidTr="006E65CF">
              <w:tc>
                <w:tcPr>
                  <w:tcW w:w="1326" w:type="dxa"/>
                </w:tcPr>
                <w:p w14:paraId="7181338C" w14:textId="77777777" w:rsidR="00860B51" w:rsidRPr="003D7814" w:rsidRDefault="00860B51" w:rsidP="00860B51">
                  <w:pPr>
                    <w:pStyle w:val="TableTextLeft"/>
                  </w:pPr>
                  <w:r w:rsidRPr="003D7814">
                    <w:t>5y hold</w:t>
                  </w:r>
                </w:p>
              </w:tc>
              <w:tc>
                <w:tcPr>
                  <w:tcW w:w="2340" w:type="dxa"/>
                </w:tcPr>
                <w:p w14:paraId="04A3848A" w14:textId="77777777" w:rsidR="00860B51" w:rsidRPr="003D7814" w:rsidRDefault="00860B51" w:rsidP="00860B51">
                  <w:pPr>
                    <w:pStyle w:val="TableTextLeft"/>
                    <w:jc w:val="right"/>
                  </w:pPr>
                  <w:r>
                    <w:t>4.4</w:t>
                  </w:r>
                  <w:r w:rsidRPr="003D7814">
                    <w:t>%</w:t>
                  </w:r>
                </w:p>
              </w:tc>
              <w:tc>
                <w:tcPr>
                  <w:tcW w:w="2123" w:type="dxa"/>
                </w:tcPr>
                <w:p w14:paraId="10204D38" w14:textId="77777777" w:rsidR="00860B51" w:rsidRPr="003D7814" w:rsidRDefault="00860B51" w:rsidP="00860B51">
                  <w:pPr>
                    <w:pStyle w:val="TableTextLeft"/>
                    <w:jc w:val="right"/>
                  </w:pPr>
                  <w:r w:rsidRPr="003D7814">
                    <w:t>53%</w:t>
                  </w:r>
                </w:p>
              </w:tc>
              <w:tc>
                <w:tcPr>
                  <w:tcW w:w="1690" w:type="dxa"/>
                </w:tcPr>
                <w:p w14:paraId="423F21D4" w14:textId="77777777" w:rsidR="00860B51" w:rsidRPr="003D7814" w:rsidRDefault="00860B51" w:rsidP="00860B51">
                  <w:pPr>
                    <w:pStyle w:val="TableTextLeft"/>
                    <w:jc w:val="right"/>
                  </w:pPr>
                  <w:r w:rsidRPr="003D7814">
                    <w:t>15.0</w:t>
                  </w:r>
                </w:p>
              </w:tc>
              <w:tc>
                <w:tcPr>
                  <w:tcW w:w="1706" w:type="dxa"/>
                </w:tcPr>
                <w:p w14:paraId="0B019C9C" w14:textId="77777777" w:rsidR="00860B51" w:rsidRPr="003D7814" w:rsidRDefault="00860B51" w:rsidP="00860B51">
                  <w:pPr>
                    <w:pStyle w:val="TableTextLeft"/>
                    <w:jc w:val="right"/>
                  </w:pPr>
                  <w:r w:rsidRPr="003D7814">
                    <w:t>22.</w:t>
                  </w:r>
                  <w:r>
                    <w:t>1</w:t>
                  </w:r>
                </w:p>
              </w:tc>
            </w:tr>
            <w:tr w:rsidR="00860B51" w:rsidRPr="00874935" w14:paraId="2F474C9A" w14:textId="77777777" w:rsidTr="006E65CF">
              <w:tc>
                <w:tcPr>
                  <w:tcW w:w="1326" w:type="dxa"/>
                </w:tcPr>
                <w:p w14:paraId="084DBDBC" w14:textId="77777777" w:rsidR="00860B51" w:rsidRPr="003D7814" w:rsidRDefault="00860B51" w:rsidP="00860B51">
                  <w:pPr>
                    <w:pStyle w:val="TableTextLeft"/>
                  </w:pPr>
                  <w:r w:rsidRPr="003D7814">
                    <w:t>10y hold</w:t>
                  </w:r>
                </w:p>
              </w:tc>
              <w:tc>
                <w:tcPr>
                  <w:tcW w:w="2340" w:type="dxa"/>
                </w:tcPr>
                <w:p w14:paraId="297480E8" w14:textId="77777777" w:rsidR="00860B51" w:rsidRPr="003D7814" w:rsidRDefault="00860B51" w:rsidP="00860B51">
                  <w:pPr>
                    <w:pStyle w:val="TableTextLeft"/>
                    <w:jc w:val="right"/>
                  </w:pPr>
                  <w:r>
                    <w:t>4.3</w:t>
                  </w:r>
                  <w:r w:rsidRPr="003D7814">
                    <w:t>%</w:t>
                  </w:r>
                </w:p>
              </w:tc>
              <w:tc>
                <w:tcPr>
                  <w:tcW w:w="2123" w:type="dxa"/>
                </w:tcPr>
                <w:p w14:paraId="7582132E" w14:textId="77777777" w:rsidR="00860B51" w:rsidRPr="003D7814" w:rsidRDefault="00860B51" w:rsidP="00860B51">
                  <w:pPr>
                    <w:pStyle w:val="TableTextLeft"/>
                    <w:jc w:val="right"/>
                  </w:pPr>
                  <w:r w:rsidRPr="003D7814">
                    <w:t>56%</w:t>
                  </w:r>
                </w:p>
              </w:tc>
              <w:tc>
                <w:tcPr>
                  <w:tcW w:w="1690" w:type="dxa"/>
                </w:tcPr>
                <w:p w14:paraId="1A26AFD1" w14:textId="77777777" w:rsidR="00860B51" w:rsidRPr="003D7814" w:rsidRDefault="00860B51" w:rsidP="00860B51">
                  <w:pPr>
                    <w:pStyle w:val="TableTextLeft"/>
                    <w:jc w:val="right"/>
                  </w:pPr>
                  <w:r w:rsidRPr="003D7814">
                    <w:t>14.</w:t>
                  </w:r>
                  <w:r>
                    <w:t>1</w:t>
                  </w:r>
                </w:p>
              </w:tc>
              <w:tc>
                <w:tcPr>
                  <w:tcW w:w="1706" w:type="dxa"/>
                </w:tcPr>
                <w:p w14:paraId="5933B22D" w14:textId="77777777" w:rsidR="00860B51" w:rsidRPr="003D7814" w:rsidRDefault="00860B51" w:rsidP="00860B51">
                  <w:pPr>
                    <w:pStyle w:val="TableTextLeft"/>
                    <w:jc w:val="right"/>
                  </w:pPr>
                  <w:r w:rsidRPr="003D7814">
                    <w:t>2</w:t>
                  </w:r>
                  <w:r>
                    <w:t>0.7</w:t>
                  </w:r>
                </w:p>
              </w:tc>
            </w:tr>
          </w:tbl>
          <w:p w14:paraId="5D528B22" w14:textId="77777777" w:rsidR="00860B51" w:rsidRPr="003D7814" w:rsidRDefault="00860B51" w:rsidP="00860B51">
            <w:pPr>
              <w:pStyle w:val="ChartandTableFootnote"/>
              <w:ind w:left="284" w:hanging="284"/>
            </w:pPr>
            <w:r w:rsidRPr="00E87AB5">
              <w:t>a)</w:t>
            </w:r>
            <w:r>
              <w:tab/>
            </w:r>
            <w:r w:rsidRPr="003D7814">
              <w:t>Average</w:t>
            </w:r>
            <w:r w:rsidRPr="003D7814" w:rsidDel="00765D3B">
              <w:t xml:space="preserve"> a</w:t>
            </w:r>
            <w:r w:rsidRPr="003D7814">
              <w:t xml:space="preserve">nnual return on an asset held for </w:t>
            </w:r>
            <w:r>
              <w:t>five or ten</w:t>
            </w:r>
            <w:r w:rsidRPr="003D7814">
              <w:t xml:space="preserve"> years</w:t>
            </w:r>
            <w:r>
              <w:t xml:space="preserve"> and sold over the period, not including rental or dividend income or additional investor costs</w:t>
            </w:r>
          </w:p>
          <w:p w14:paraId="42B0735D" w14:textId="77777777" w:rsidR="00860B51" w:rsidRPr="003D7814" w:rsidRDefault="00860B51" w:rsidP="00860B51">
            <w:pPr>
              <w:pStyle w:val="ChartandTableFootnote"/>
              <w:ind w:left="284" w:hanging="284"/>
            </w:pPr>
            <w:r>
              <w:t>b)</w:t>
            </w:r>
            <w:r>
              <w:tab/>
            </w:r>
            <w:r w:rsidRPr="003D7814">
              <w:t xml:space="preserve">Average </w:t>
            </w:r>
            <w:r>
              <w:t>inflation share of</w:t>
            </w:r>
            <w:r w:rsidRPr="003D7814">
              <w:t xml:space="preserve"> nominal gain</w:t>
            </w:r>
            <w:r>
              <w:t xml:space="preserve"> over holding period</w:t>
            </w:r>
          </w:p>
          <w:p w14:paraId="064692BA" w14:textId="77777777" w:rsidR="00860B51" w:rsidRPr="003D7814" w:rsidRDefault="00860B51" w:rsidP="00860B51">
            <w:pPr>
              <w:pStyle w:val="ChartandTableFootnote"/>
              <w:ind w:left="284" w:hanging="284"/>
            </w:pPr>
            <w:r>
              <w:t>c)</w:t>
            </w:r>
            <w:r>
              <w:tab/>
            </w:r>
            <w:r w:rsidRPr="003D7814">
              <w:t>Effective tax rate on nominal gain at 32 cent marginal tax rate</w:t>
            </w:r>
            <w:r>
              <w:t xml:space="preserve"> after indexation</w:t>
            </w:r>
          </w:p>
          <w:p w14:paraId="5C77982D" w14:textId="77777777" w:rsidR="00860B51" w:rsidRPr="003D7814" w:rsidRDefault="00860B51" w:rsidP="00860B51">
            <w:pPr>
              <w:pStyle w:val="ChartandTableFootnote"/>
              <w:ind w:left="284" w:hanging="284"/>
            </w:pPr>
            <w:r>
              <w:t>d)</w:t>
            </w:r>
            <w:r>
              <w:tab/>
            </w:r>
            <w:r w:rsidRPr="003D7814">
              <w:t>Effective tax rate on nominal gain at 47 cent marginal tax rate</w:t>
            </w:r>
            <w:r>
              <w:t xml:space="preserve"> after indexation</w:t>
            </w:r>
          </w:p>
          <w:p w14:paraId="1CD13210" w14:textId="26A68E78" w:rsidR="00860B51" w:rsidRDefault="00860B51" w:rsidP="002E0E04">
            <w:pPr>
              <w:pStyle w:val="ChartandTableFootnote"/>
            </w:pPr>
            <w:r w:rsidRPr="003D7814">
              <w:t>Source:</w:t>
            </w:r>
            <w:r>
              <w:tab/>
            </w:r>
            <w:r w:rsidRPr="003D7814">
              <w:t>Cotality Data, ASX and Treasury</w:t>
            </w:r>
            <w:r>
              <w:t xml:space="preserve"> analysis; Budget Paper No. 1</w:t>
            </w:r>
            <w:r w:rsidRPr="00653481">
              <w:t>, Statement 4: Tax reform for workers, businesses and</w:t>
            </w:r>
            <w:r w:rsidR="002E0E04">
              <w:t> </w:t>
            </w:r>
            <w:r w:rsidRPr="00653481">
              <w:t>future generations</w:t>
            </w:r>
            <w:r>
              <w:t>.</w:t>
            </w:r>
          </w:p>
        </w:tc>
      </w:tr>
    </w:tbl>
    <w:p w14:paraId="02C2172C" w14:textId="77777777" w:rsidR="002F7784" w:rsidRDefault="002F7784" w:rsidP="001C668E"/>
    <w:p w14:paraId="63B3B5F7" w14:textId="77777777" w:rsidR="002F7784" w:rsidRDefault="002F7784" w:rsidP="001C668E">
      <w:pPr>
        <w:sectPr w:rsidR="002F7784" w:rsidSect="00EF155C">
          <w:type w:val="continuous"/>
          <w:pgSz w:w="11907" w:h="16840" w:code="9"/>
          <w:pgMar w:top="1985" w:right="1134" w:bottom="1418" w:left="1134" w:header="851" w:footer="397" w:gutter="0"/>
          <w:cols w:space="510"/>
          <w:titlePg/>
          <w:docGrid w:linePitch="360"/>
        </w:sectPr>
      </w:pPr>
    </w:p>
    <w:p w14:paraId="5A0B9BE0" w14:textId="27E0671E" w:rsidR="001C668E" w:rsidRDefault="00E0380D" w:rsidP="00233239">
      <w:pPr>
        <w:pStyle w:val="Heading3"/>
        <w:keepNext w:val="0"/>
        <w:keepLines w:val="0"/>
      </w:pPr>
      <w:r w:rsidRPr="00E0380D">
        <w:t>Transitional arrangements</w:t>
      </w:r>
    </w:p>
    <w:p w14:paraId="1436D67F" w14:textId="1D95BEC6" w:rsidR="00E0380D" w:rsidRDefault="009D6C39" w:rsidP="00D95A99">
      <w:pPr>
        <w:pStyle w:val="Heading4"/>
      </w:pPr>
      <w:r w:rsidRPr="009D6C39">
        <w:t>Transitional arrangements for negative</w:t>
      </w:r>
      <w:r w:rsidR="00233239">
        <w:t> </w:t>
      </w:r>
      <w:r w:rsidRPr="009D6C39">
        <w:t>gearing</w:t>
      </w:r>
    </w:p>
    <w:p w14:paraId="3968ACE9" w14:textId="7E059AAF" w:rsidR="003E1F5A" w:rsidRDefault="003E1F5A" w:rsidP="009D6C39">
      <w:r>
        <w:t xml:space="preserve">New builds can continue to be negatively geared </w:t>
      </w:r>
      <w:r w:rsidR="00A143CC">
        <w:t>before and after 1 July 2027.</w:t>
      </w:r>
    </w:p>
    <w:p w14:paraId="3DF1763B" w14:textId="10CF0CB0" w:rsidR="009D6C39" w:rsidRDefault="005B22F4" w:rsidP="009D6C39">
      <w:r w:rsidRPr="005B22F4">
        <w:t>For established residential properties:</w:t>
      </w:r>
    </w:p>
    <w:p w14:paraId="6EF10031" w14:textId="582AA05B" w:rsidR="005B22F4" w:rsidRDefault="007C608D" w:rsidP="00BE29AC">
      <w:pPr>
        <w:pStyle w:val="Bullet"/>
      </w:pPr>
      <w:r w:rsidRPr="007C608D">
        <w:t>Properties held at announcement (including where a contract has been entered into, but not yet settled) will be allowed to be negatively geared in future years</w:t>
      </w:r>
      <w:r w:rsidR="000D4E5D">
        <w:t xml:space="preserve"> until sold</w:t>
      </w:r>
      <w:r w:rsidRPr="007C608D">
        <w:t>. This ensures that arrangements for taxpayers who have already made investment decisions based on the existing negative gearing rules will not change.</w:t>
      </w:r>
    </w:p>
    <w:p w14:paraId="2348F05F" w14:textId="4DE0D8AC" w:rsidR="00BE29AC" w:rsidRDefault="00BE29AC" w:rsidP="00BE29AC">
      <w:pPr>
        <w:pStyle w:val="Bullet"/>
      </w:pPr>
      <w:r>
        <w:t xml:space="preserve">Properties purchased between announcement and 30 June 2027 may be negatively geared during this period, but not from 1 July 2027. </w:t>
      </w:r>
    </w:p>
    <w:p w14:paraId="2C5ADF3C" w14:textId="55847C34" w:rsidR="007C608D" w:rsidRDefault="00BE29AC" w:rsidP="00BE29AC">
      <w:pPr>
        <w:pStyle w:val="Bullet"/>
      </w:pPr>
      <w:r>
        <w:t>Properties purchased from 1 July 2027 will not be able to be negatively geared.</w:t>
      </w:r>
    </w:p>
    <w:p w14:paraId="5C723D77" w14:textId="70FCD362" w:rsidR="00E3181B" w:rsidRDefault="00FA5EC5" w:rsidP="002E0E04">
      <w:pPr>
        <w:pStyle w:val="Heading5"/>
      </w:pPr>
      <w:r>
        <w:br w:type="column"/>
      </w:r>
      <w:r w:rsidR="009333CF" w:rsidRPr="009333CF">
        <w:t xml:space="preserve">Transitional </w:t>
      </w:r>
      <w:r w:rsidR="009333CF" w:rsidRPr="002E0E04">
        <w:t>arrangements</w:t>
      </w:r>
      <w:r w:rsidR="009333CF" w:rsidRPr="009333CF">
        <w:t xml:space="preserve"> for capital gains tax</w:t>
      </w:r>
    </w:p>
    <w:p w14:paraId="4196B4D4" w14:textId="784503E1" w:rsidR="009333CF" w:rsidRDefault="002A674B" w:rsidP="009333CF">
      <w:r w:rsidRPr="002A674B">
        <w:t>For eligible CGT assets other than new residential properties:</w:t>
      </w:r>
    </w:p>
    <w:p w14:paraId="2DFE1413" w14:textId="22656CAC" w:rsidR="00D56FC2" w:rsidRDefault="00FD0A7C" w:rsidP="00D56FC2">
      <w:pPr>
        <w:pStyle w:val="Bullet"/>
      </w:pPr>
      <w:r>
        <w:t>There will be no changes in arrangements for assets</w:t>
      </w:r>
      <w:r w:rsidR="00D56FC2">
        <w:t xml:space="preserve"> purchased and sold prior to 1</w:t>
      </w:r>
      <w:r w:rsidR="00C3141C">
        <w:t> </w:t>
      </w:r>
      <w:r w:rsidR="00D56FC2">
        <w:t>July</w:t>
      </w:r>
      <w:r w:rsidR="00C3141C">
        <w:t> </w:t>
      </w:r>
      <w:r w:rsidR="00D56FC2">
        <w:t>2027</w:t>
      </w:r>
      <w:r w:rsidR="00614EE0">
        <w:t>.</w:t>
      </w:r>
    </w:p>
    <w:p w14:paraId="0754F77F" w14:textId="27DEF8AF" w:rsidR="00D56FC2" w:rsidRDefault="00D56FC2" w:rsidP="00D56FC2">
      <w:pPr>
        <w:pStyle w:val="Bullet"/>
      </w:pPr>
      <w:r>
        <w:t>Assets purchased after 1 July 2027 will be treated wholly under the new arrangements.</w:t>
      </w:r>
    </w:p>
    <w:p w14:paraId="4304615B" w14:textId="04FB4F45" w:rsidR="002A674B" w:rsidRDefault="00D56FC2" w:rsidP="00D56FC2">
      <w:pPr>
        <w:pStyle w:val="Bullet"/>
      </w:pPr>
      <w:r>
        <w:t>Assets owned prior to 1 July 2027 and sold after 1 July 2027 will be treated under current arrangements on gains made prior to this date, and under the new arrangements for gains made after this date (with no impact until gains are realised).</w:t>
      </w:r>
    </w:p>
    <w:p w14:paraId="5B383486" w14:textId="7A2E4D32" w:rsidR="00840AB4" w:rsidRDefault="00840AB4" w:rsidP="00840AB4">
      <w:r>
        <w:t xml:space="preserve">The 50 per cent CGT discount will apply to the difference between the asset’s </w:t>
      </w:r>
      <w:r w:rsidR="003C263B">
        <w:t xml:space="preserve">cost base </w:t>
      </w:r>
      <w:r w:rsidR="00C54FDE">
        <w:t xml:space="preserve">and its </w:t>
      </w:r>
      <w:r>
        <w:t xml:space="preserve">value at 1 July 2027. Indexation and the minimum tax will be used to calculate the CGT on gains accruing from 1 July 2027 (using the asset’s value at 1 July 2027 as the asset’s cost base). </w:t>
      </w:r>
    </w:p>
    <w:p w14:paraId="3F5FCEA6" w14:textId="7AB6C3CD" w:rsidR="00D56FC2" w:rsidRDefault="00EC2B9A" w:rsidP="00840AB4">
      <w:r>
        <w:br w:type="column"/>
      </w:r>
      <w:r w:rsidR="00840AB4">
        <w:lastRenderedPageBreak/>
        <w:t xml:space="preserve">An asset’s value at 1 July 2027 will be </w:t>
      </w:r>
      <w:r w:rsidR="00E72562">
        <w:t xml:space="preserve">determined </w:t>
      </w:r>
      <w:r w:rsidR="00840AB4">
        <w:t>by taxpayers as part of their tax return in the year the asset is realised. Taxpayers can either:</w:t>
      </w:r>
    </w:p>
    <w:p w14:paraId="35318E2C" w14:textId="03276D8C" w:rsidR="00447575" w:rsidRDefault="00447575" w:rsidP="00447575">
      <w:pPr>
        <w:pStyle w:val="Bullet"/>
      </w:pPr>
      <w:r>
        <w:t>seek a valuation of the asset as at 1</w:t>
      </w:r>
      <w:r w:rsidR="00C75DE2">
        <w:t> </w:t>
      </w:r>
      <w:r>
        <w:t>July</w:t>
      </w:r>
      <w:r w:rsidR="00C75DE2">
        <w:t> </w:t>
      </w:r>
      <w:r>
        <w:t xml:space="preserve">2027, which will include using quoted prices for assets such as shares; or </w:t>
      </w:r>
    </w:p>
    <w:p w14:paraId="16FA9916" w14:textId="391CE833" w:rsidR="00840AB4" w:rsidRDefault="00447575" w:rsidP="00447575">
      <w:pPr>
        <w:pStyle w:val="Bullet"/>
      </w:pPr>
      <w:r>
        <w:t>use a specified apportionment formula that estimates the asset’s value on 1 July 2027, based on its growth rate over the asset’s holding period. The ATO will provide tools to estimate this value for taxpayers.</w:t>
      </w:r>
    </w:p>
    <w:p w14:paraId="4D99297A" w14:textId="6C41F6F3" w:rsidR="00447575" w:rsidRDefault="002C5FF1" w:rsidP="00447575">
      <w:r w:rsidRPr="002C5FF1">
        <w:t xml:space="preserve">These transitional arrangements also apply to legacy assets, including those purchased before 1985. Gains on pre-1985 assets </w:t>
      </w:r>
      <w:r w:rsidR="00A45DA3">
        <w:t>accrued</w:t>
      </w:r>
      <w:r w:rsidRPr="002C5FF1">
        <w:t xml:space="preserve"> before 1</w:t>
      </w:r>
      <w:r w:rsidR="00CE2AE5">
        <w:t> </w:t>
      </w:r>
      <w:r w:rsidRPr="002C5FF1">
        <w:t>July 2027 will continue to be exempt.</w:t>
      </w:r>
    </w:p>
    <w:p w14:paraId="370CD3FF" w14:textId="3E2D72CB" w:rsidR="002C5FF1" w:rsidRDefault="00D0315A" w:rsidP="00D0315A">
      <w:pPr>
        <w:pStyle w:val="Heading3"/>
      </w:pPr>
      <w:r w:rsidRPr="00D0315A">
        <w:t>New build exemption</w:t>
      </w:r>
    </w:p>
    <w:p w14:paraId="6A895FF1" w14:textId="77777777" w:rsidR="00943060" w:rsidRDefault="00943060" w:rsidP="00943060">
      <w:r>
        <w:t>Investors who buy new builds will be able to choose either the 50 per cent CGT discount or indexation and the minimum tax when they sell the property.</w:t>
      </w:r>
    </w:p>
    <w:p w14:paraId="3332912B" w14:textId="2422AF05" w:rsidR="00943060" w:rsidRDefault="00943060" w:rsidP="00943060">
      <w:r>
        <w:t xml:space="preserve">These investors will also </w:t>
      </w:r>
      <w:r w:rsidR="00950A4D">
        <w:t>continue to have access</w:t>
      </w:r>
      <w:r>
        <w:t xml:space="preserve"> to negative gearing. This means if they make a rental loss on a new build, they can still use that loss to reduce their taxable income (including salary and wages).</w:t>
      </w:r>
    </w:p>
    <w:p w14:paraId="2F220737" w14:textId="1AA23C19" w:rsidR="00D0315A" w:rsidRDefault="00943060" w:rsidP="00943060">
      <w:r>
        <w:t>New builds are residential properties which genuinely add to supply</w:t>
      </w:r>
      <w:r w:rsidR="00AB5B63">
        <w:t xml:space="preserve"> </w:t>
      </w:r>
      <w:r w:rsidR="00D76E4F">
        <w:t xml:space="preserve">(see Table </w:t>
      </w:r>
      <w:r w:rsidR="004A12F6">
        <w:t>2</w:t>
      </w:r>
      <w:r w:rsidR="00D76E4F">
        <w:t>)</w:t>
      </w:r>
      <w:r>
        <w:t>. This will include:</w:t>
      </w:r>
    </w:p>
    <w:p w14:paraId="01FD00B6" w14:textId="686037C4" w:rsidR="00051A53" w:rsidRDefault="00051A53" w:rsidP="00051A53">
      <w:pPr>
        <w:pStyle w:val="Bullet"/>
      </w:pPr>
      <w:r>
        <w:t xml:space="preserve">dwellings constructed on vacant land, or </w:t>
      </w:r>
    </w:p>
    <w:p w14:paraId="246ED780" w14:textId="414117BF" w:rsidR="00943060" w:rsidRDefault="00051A53" w:rsidP="00051A53">
      <w:pPr>
        <w:pStyle w:val="Bullet"/>
      </w:pPr>
      <w:r>
        <w:t>where existing properties are demolished and replaced with a greater number of dwellings.</w:t>
      </w:r>
    </w:p>
    <w:p w14:paraId="32C7F71C" w14:textId="77777777" w:rsidR="00123AD9" w:rsidRDefault="00123AD9" w:rsidP="00123AD9">
      <w:r>
        <w:t>Knock-down rebuilds or substantial renovations that do not increase supply will not be eligible.</w:t>
      </w:r>
    </w:p>
    <w:p w14:paraId="3C5FC909" w14:textId="77777777" w:rsidR="00123AD9" w:rsidRDefault="00123AD9" w:rsidP="00123AD9">
      <w:r>
        <w:t xml:space="preserve">A new build cannot have been previously sold, unless first owned by the builder and not occupied for more than 12 months. </w:t>
      </w:r>
    </w:p>
    <w:p w14:paraId="3934A5EE" w14:textId="40E4D2C7" w:rsidR="00051A53" w:rsidRDefault="00123AD9" w:rsidP="00123AD9">
      <w:r>
        <w:t>Subsequent purchasers of the dwelling will not be able to access the 50 per cent CGT discount or negative gearing in relation to that property. This is similar to how stamp duty exemptions apply to new builds under some state-based arrangements.</w:t>
      </w:r>
    </w:p>
    <w:p w14:paraId="5066A472" w14:textId="0EECCA60" w:rsidR="00123AD9" w:rsidRDefault="00F66F68" w:rsidP="00F66F68">
      <w:pPr>
        <w:pStyle w:val="Heading3"/>
      </w:pPr>
      <w:r w:rsidRPr="00F66F68">
        <w:t>Other exemptions</w:t>
      </w:r>
    </w:p>
    <w:p w14:paraId="4278AD6E" w14:textId="463CBA2C" w:rsidR="00D76E4F" w:rsidRDefault="00D76E4F" w:rsidP="00F807A9">
      <w:r>
        <w:t>The main residence will continue to be exempt for</w:t>
      </w:r>
      <w:r w:rsidR="00902FBD">
        <w:t> </w:t>
      </w:r>
      <w:r>
        <w:t xml:space="preserve">CGT purposes. The </w:t>
      </w:r>
      <w:r w:rsidR="007D5F8A">
        <w:t xml:space="preserve">four </w:t>
      </w:r>
      <w:r>
        <w:t>small business CGT concessions will also be unchanged.</w:t>
      </w:r>
    </w:p>
    <w:p w14:paraId="18492388" w14:textId="77777777" w:rsidR="00F807A9" w:rsidRDefault="00F807A9" w:rsidP="00F807A9">
      <w:r>
        <w:t xml:space="preserve">The existing 60 per cent CGT discount applying to qualifying affordable housing will be fully retained to preserve incentives to invest in those assets. </w:t>
      </w:r>
    </w:p>
    <w:p w14:paraId="1640F01F" w14:textId="2D5CB665" w:rsidR="00780D85" w:rsidRDefault="00780D85" w:rsidP="00F807A9">
      <w:r>
        <w:t>Given the unique characteristics of the tech and start up sector the Government will consult on the</w:t>
      </w:r>
      <w:r w:rsidR="00902FBD">
        <w:t> </w:t>
      </w:r>
      <w:r>
        <w:t>interaction of the capital gains tax reforms and</w:t>
      </w:r>
      <w:r w:rsidR="00902FBD">
        <w:t> </w:t>
      </w:r>
      <w:r>
        <w:t>incentives for investment in early-stage and start</w:t>
      </w:r>
      <w:r w:rsidR="00917391">
        <w:noBreakHyphen/>
      </w:r>
      <w:r>
        <w:t>up businesses.</w:t>
      </w:r>
    </w:p>
    <w:p w14:paraId="0FE986B0" w14:textId="77777777" w:rsidR="00F807A9" w:rsidRDefault="00F807A9" w:rsidP="00F807A9">
      <w:r>
        <w:t>Changes to negative gearing will only apply to residential property. Commercial property and other asset classes, such as shares, will remain subject to existing arrangements.</w:t>
      </w:r>
    </w:p>
    <w:p w14:paraId="53AC3E87" w14:textId="4AB983AA" w:rsidR="00F66F68" w:rsidRDefault="00F807A9" w:rsidP="00F807A9">
      <w:r>
        <w:t>Further exemptions to the negative gearing changes will also be available for private investors</w:t>
      </w:r>
      <w:r w:rsidR="00902FBD">
        <w:t> </w:t>
      </w:r>
      <w:r>
        <w:t>who support government housing programs, for example, through the provision of</w:t>
      </w:r>
      <w:r w:rsidR="00902FBD">
        <w:t> </w:t>
      </w:r>
      <w:r>
        <w:t>affordable housing.</w:t>
      </w:r>
    </w:p>
    <w:p w14:paraId="61CE83C2" w14:textId="0919A3C9" w:rsidR="00F807A9" w:rsidRDefault="00EB6443" w:rsidP="00EB6443">
      <w:pPr>
        <w:pStyle w:val="Heading3"/>
      </w:pPr>
      <w:r w:rsidRPr="00EB6443">
        <w:t>Policy impacts</w:t>
      </w:r>
    </w:p>
    <w:p w14:paraId="7FA53552" w14:textId="62C9D9AC" w:rsidR="00A06273" w:rsidRDefault="00806B78" w:rsidP="00D95A99">
      <w:pPr>
        <w:pStyle w:val="Heading4"/>
      </w:pPr>
      <w:r w:rsidRPr="00806B78">
        <w:t>Changes to negative gearing arrangements</w:t>
      </w:r>
    </w:p>
    <w:p w14:paraId="5405119F" w14:textId="5A941119" w:rsidR="00567122" w:rsidRDefault="00567122" w:rsidP="00095B1A">
      <w:r>
        <w:t>Every existing property owner</w:t>
      </w:r>
      <w:r w:rsidR="008844BA">
        <w:t xml:space="preserve"> will be able to continue </w:t>
      </w:r>
      <w:r w:rsidR="00A802D6">
        <w:t xml:space="preserve">to </w:t>
      </w:r>
      <w:r w:rsidR="008844BA">
        <w:t>negative</w:t>
      </w:r>
      <w:r w:rsidR="00112D7A">
        <w:t>ly</w:t>
      </w:r>
      <w:r w:rsidR="008844BA">
        <w:t xml:space="preserve"> gear any properties </w:t>
      </w:r>
      <w:r w:rsidR="00112D7A">
        <w:t>held</w:t>
      </w:r>
      <w:r w:rsidR="00C1550A">
        <w:t xml:space="preserve"> </w:t>
      </w:r>
      <w:r w:rsidR="00E60184">
        <w:t>before</w:t>
      </w:r>
      <w:r w:rsidR="00C1550A">
        <w:t xml:space="preserve"> the time of announcement (7:30PM</w:t>
      </w:r>
      <w:r w:rsidR="00BC3E60">
        <w:t xml:space="preserve"> </w:t>
      </w:r>
      <w:r w:rsidR="008B6036">
        <w:t xml:space="preserve">AEST </w:t>
      </w:r>
      <w:r w:rsidR="00BC3E60">
        <w:t>on 12</w:t>
      </w:r>
      <w:r w:rsidR="004C75AD">
        <w:t> </w:t>
      </w:r>
      <w:r w:rsidR="00BC3E60">
        <w:t>May</w:t>
      </w:r>
      <w:r w:rsidR="004C75AD">
        <w:t> </w:t>
      </w:r>
      <w:r w:rsidR="00BC3E60">
        <w:t>2026)</w:t>
      </w:r>
      <w:r w:rsidR="008844BA">
        <w:t>.</w:t>
      </w:r>
    </w:p>
    <w:p w14:paraId="13B30BE0" w14:textId="7DC62610" w:rsidR="00095B1A" w:rsidRDefault="008D2A12" w:rsidP="00095B1A">
      <w:r w:rsidRPr="00ED780B">
        <w:t xml:space="preserve">All future investors </w:t>
      </w:r>
      <w:r w:rsidR="00066FBA" w:rsidRPr="00ED780B">
        <w:t>will still be able to negatively gear</w:t>
      </w:r>
      <w:r w:rsidR="00066FBA" w:rsidRPr="003C56A4">
        <w:t xml:space="preserve"> </w:t>
      </w:r>
      <w:r w:rsidR="004F1802" w:rsidRPr="003C56A4">
        <w:t xml:space="preserve">property investments if </w:t>
      </w:r>
      <w:r w:rsidR="00066FBA" w:rsidRPr="003C56A4">
        <w:t>the</w:t>
      </w:r>
      <w:r w:rsidR="00062B54" w:rsidRPr="003C56A4">
        <w:t>y</w:t>
      </w:r>
      <w:r w:rsidR="00066FBA" w:rsidRPr="003C56A4">
        <w:t xml:space="preserve"> </w:t>
      </w:r>
      <w:r w:rsidR="004F1802" w:rsidRPr="003C56A4">
        <w:t>are new builds</w:t>
      </w:r>
      <w:r w:rsidR="00066FBA" w:rsidRPr="00ED780B">
        <w:t>.</w:t>
      </w:r>
      <w:r w:rsidR="00066FBA">
        <w:t xml:space="preserve"> </w:t>
      </w:r>
    </w:p>
    <w:p w14:paraId="52F61BCD" w14:textId="57D118CD" w:rsidR="00FF71F6" w:rsidRDefault="00FF71F6" w:rsidP="00095B1A">
      <w:r>
        <w:t xml:space="preserve">Around 1 per cent of taxfilers </w:t>
      </w:r>
      <w:r w:rsidR="00F10729" w:rsidRPr="00ED780B">
        <w:t>acquire</w:t>
      </w:r>
      <w:r>
        <w:t xml:space="preserve"> negatively geared </w:t>
      </w:r>
      <w:r w:rsidR="00F10729">
        <w:t xml:space="preserve">properties </w:t>
      </w:r>
      <w:r>
        <w:t>each year. In 2022</w:t>
      </w:r>
      <w:r w:rsidR="008546C1" w:rsidRPr="00E87AB5">
        <w:rPr>
          <w:rStyle w:val="Emphasis"/>
          <w:i w:val="0"/>
          <w:iCs w:val="0"/>
        </w:rPr>
        <w:t>–</w:t>
      </w:r>
      <w:r>
        <w:t>23, this was around 230,000 individuals.</w:t>
      </w:r>
    </w:p>
    <w:p w14:paraId="665E2ACF" w14:textId="26A2FA8B" w:rsidR="00095B1A" w:rsidRDefault="00233239" w:rsidP="00D95A99">
      <w:pPr>
        <w:pStyle w:val="Heading4"/>
      </w:pPr>
      <w:r>
        <w:br w:type="column"/>
      </w:r>
      <w:r w:rsidR="00D4335C" w:rsidRPr="00D4335C">
        <w:lastRenderedPageBreak/>
        <w:t>Changes to capital gains tax arrangements</w:t>
      </w:r>
    </w:p>
    <w:p w14:paraId="59CF0862" w14:textId="5B5A508F" w:rsidR="00303298" w:rsidRDefault="00A94EC4" w:rsidP="00303298">
      <w:r>
        <w:t xml:space="preserve">The new arrangements will only apply to capital gains </w:t>
      </w:r>
      <w:r w:rsidR="004F4994">
        <w:t>that accrue</w:t>
      </w:r>
      <w:r>
        <w:t xml:space="preserve"> after 1 July 2027</w:t>
      </w:r>
      <w:r w:rsidR="006D239A">
        <w:t xml:space="preserve"> </w:t>
      </w:r>
      <w:r w:rsidR="007E6693">
        <w:t>when they are realised</w:t>
      </w:r>
      <w:r>
        <w:t xml:space="preserve">. </w:t>
      </w:r>
      <w:r w:rsidR="00303298">
        <w:t xml:space="preserve">Individuals may pay more or less tax than under current settings depending on investment returns (see </w:t>
      </w:r>
      <w:r w:rsidR="0018235D">
        <w:t>Came</w:t>
      </w:r>
      <w:r w:rsidR="00552AB8">
        <w:t>o</w:t>
      </w:r>
      <w:r w:rsidR="0018235D">
        <w:t>s: Different rates of return</w:t>
      </w:r>
      <w:r w:rsidR="00303298">
        <w:t>).</w:t>
      </w:r>
    </w:p>
    <w:p w14:paraId="18E130C3" w14:textId="5E35A703" w:rsidR="00E55B11" w:rsidRPr="0052072E" w:rsidRDefault="00E55B11" w:rsidP="00E55B11">
      <w:r>
        <w:t>Around 7 per cent of taxfilers</w:t>
      </w:r>
      <w:r w:rsidRPr="00732917">
        <w:t xml:space="preserve"> </w:t>
      </w:r>
      <w:r>
        <w:t>report a net capital gain each year.</w:t>
      </w:r>
      <w:r w:rsidRPr="00B27DDE">
        <w:t xml:space="preserve"> </w:t>
      </w:r>
      <w:r>
        <w:t>In 2022</w:t>
      </w:r>
      <w:r w:rsidR="00AC2278" w:rsidRPr="00AC2278">
        <w:t>–</w:t>
      </w:r>
      <w:r>
        <w:t>23, this was around 1.1</w:t>
      </w:r>
      <w:r w:rsidR="001571AA">
        <w:t> </w:t>
      </w:r>
      <w:r>
        <w:t xml:space="preserve">million individuals. </w:t>
      </w:r>
      <w:r w:rsidR="007F17CD">
        <w:t>Most</w:t>
      </w:r>
      <w:r>
        <w:t xml:space="preserve"> of these </w:t>
      </w:r>
      <w:r w:rsidR="001067C7" w:rsidRPr="0084720B">
        <w:t xml:space="preserve">taxfilers </w:t>
      </w:r>
      <w:r w:rsidR="002A4F59">
        <w:t>used the</w:t>
      </w:r>
      <w:r>
        <w:t xml:space="preserve"> CGT discount</w:t>
      </w:r>
      <w:r w:rsidR="002A4F59">
        <w:t xml:space="preserve"> (which is only available for assets held </w:t>
      </w:r>
      <w:r w:rsidR="00A93264">
        <w:t>for</w:t>
      </w:r>
      <w:r w:rsidR="002A4F59">
        <w:t xml:space="preserve"> more than 12 months)</w:t>
      </w:r>
      <w:r>
        <w:t>.</w:t>
      </w:r>
    </w:p>
    <w:p w14:paraId="69841C9B" w14:textId="5DACD2EF" w:rsidR="00A94EC4" w:rsidRDefault="001A1BF0" w:rsidP="001A1BF0">
      <w:pPr>
        <w:pStyle w:val="Heading3"/>
      </w:pPr>
      <w:r w:rsidRPr="001A1BF0">
        <w:t>Market impacts</w:t>
      </w:r>
    </w:p>
    <w:p w14:paraId="2619B7CE" w14:textId="0DF0A78D" w:rsidR="00C25FC3" w:rsidRDefault="00097AAD" w:rsidP="00C25FC3">
      <w:r>
        <w:t>The transitional arrangements minimis</w:t>
      </w:r>
      <w:r w:rsidR="002D6B23">
        <w:t>e risks of</w:t>
      </w:r>
      <w:r>
        <w:t xml:space="preserve"> asset market disruption. </w:t>
      </w:r>
      <w:r w:rsidR="00C25FC3">
        <w:t>Properties held at announcement (including where a contract has been entered into, but not yet settled) will be allowed to be negatively geared in future years, meaning there will be no incentive to buy or sell properties before specific dates.</w:t>
      </w:r>
    </w:p>
    <w:p w14:paraId="7B07AA00" w14:textId="4E58AC17" w:rsidR="00097AAD" w:rsidRDefault="00097AAD" w:rsidP="00097AAD">
      <w:r>
        <w:t xml:space="preserve">Only capital gains accrued after the </w:t>
      </w:r>
      <w:r w:rsidR="349E2F80">
        <w:t>commencement</w:t>
      </w:r>
      <w:r>
        <w:t xml:space="preserve"> of the policy will be subject to new arrangements, meaning there is no incentive to buy or sell assets before this date. </w:t>
      </w:r>
    </w:p>
    <w:p w14:paraId="70E853EB" w14:textId="69E50915" w:rsidR="00097AAD" w:rsidRDefault="002D6B23" w:rsidP="008A1F93">
      <w:pPr>
        <w:pStyle w:val="Heading3"/>
      </w:pPr>
      <w:r>
        <w:t>Housing</w:t>
      </w:r>
      <w:r w:rsidR="008A1F93" w:rsidRPr="008A1F93">
        <w:t xml:space="preserve"> impacts</w:t>
      </w:r>
    </w:p>
    <w:p w14:paraId="6E72F085" w14:textId="44D0AE0D" w:rsidR="00FA1C91" w:rsidRDefault="00FA1C91" w:rsidP="00FA1C91">
      <w:r>
        <w:t>Th</w:t>
      </w:r>
      <w:r w:rsidR="005D2C60">
        <w:t xml:space="preserve">ese </w:t>
      </w:r>
      <w:r w:rsidR="00495827">
        <w:t>changes</w:t>
      </w:r>
      <w:r>
        <w:t xml:space="preserve"> will support more first home buyers to enter the housing market over time, and </w:t>
      </w:r>
      <w:r w:rsidR="00495827">
        <w:t>form part of</w:t>
      </w:r>
      <w:r>
        <w:t xml:space="preserve"> a </w:t>
      </w:r>
      <w:r w:rsidR="00495827">
        <w:t>package of reforms that will support</w:t>
      </w:r>
      <w:r>
        <w:t xml:space="preserve"> supply</w:t>
      </w:r>
      <w:r w:rsidR="00495827">
        <w:t xml:space="preserve"> overall</w:t>
      </w:r>
      <w:r>
        <w:t>.</w:t>
      </w:r>
    </w:p>
    <w:p w14:paraId="4A8215AD" w14:textId="160D0791" w:rsidR="00FA1C91" w:rsidRDefault="00FA1C91" w:rsidP="00FA1C91">
      <w:r>
        <w:t xml:space="preserve">Treasury modelling suggests that </w:t>
      </w:r>
      <w:r w:rsidR="00495827">
        <w:t xml:space="preserve">the </w:t>
      </w:r>
      <w:r>
        <w:t xml:space="preserve">reforms will increase </w:t>
      </w:r>
      <w:r w:rsidR="00495827">
        <w:t>the owner occupier</w:t>
      </w:r>
      <w:r>
        <w:t xml:space="preserve"> share of </w:t>
      </w:r>
      <w:r w:rsidR="00495827">
        <w:t xml:space="preserve">the housing market, resulting in around 75,000 additional owner-occupiers </w:t>
      </w:r>
      <w:r>
        <w:t xml:space="preserve">over the </w:t>
      </w:r>
      <w:r w:rsidR="00495827">
        <w:t>next decade. This is</w:t>
      </w:r>
      <w:r>
        <w:t xml:space="preserve"> equivalent to reversing around 10 years of declines in the home ownership </w:t>
      </w:r>
      <w:r w:rsidR="00495827">
        <w:t>rate</w:t>
      </w:r>
      <w:r>
        <w:t>.</w:t>
      </w:r>
    </w:p>
    <w:p w14:paraId="1101228C" w14:textId="3B8D2A20" w:rsidR="00D510BE" w:rsidRDefault="00495827" w:rsidP="00FA1C91">
      <w:r>
        <w:t xml:space="preserve">The reduction in investor demand is expected to lead to a </w:t>
      </w:r>
      <w:r w:rsidR="08FE203F">
        <w:t>small</w:t>
      </w:r>
      <w:r>
        <w:t xml:space="preserve"> and temporary slowing in </w:t>
      </w:r>
      <w:r w:rsidR="005B6C32">
        <w:t>house</w:t>
      </w:r>
      <w:r>
        <w:t xml:space="preserve"> price growth, estimated to see prices grow by </w:t>
      </w:r>
      <w:r>
        <w:t xml:space="preserve">around </w:t>
      </w:r>
      <w:r w:rsidR="00523EBC">
        <w:t>2</w:t>
      </w:r>
      <w:r>
        <w:t xml:space="preserve"> per cent less over a couple years relative to no tax policy change.</w:t>
      </w:r>
      <w:r w:rsidR="008738EA">
        <w:t xml:space="preserve"> </w:t>
      </w:r>
      <w:r>
        <w:t xml:space="preserve">Lower house price growth will have a </w:t>
      </w:r>
      <w:r w:rsidR="61B1E536">
        <w:t>small</w:t>
      </w:r>
      <w:r>
        <w:t xml:space="preserve"> impact on housing supply, more than offset by the additional homes supported by housing supply measures in the Budget.</w:t>
      </w:r>
    </w:p>
    <w:p w14:paraId="2074A50A" w14:textId="4D3D71E3" w:rsidR="005F515A" w:rsidRDefault="00AD0F21" w:rsidP="005B272D">
      <w:r>
        <w:t>The reforms are likely to have a small impact on rents, with an expected increase of less than $2</w:t>
      </w:r>
      <w:r w:rsidR="003D0BC5">
        <w:t> </w:t>
      </w:r>
      <w:r>
        <w:t>per week for a household paying the current median rent. The combination of the Government</w:t>
      </w:r>
      <w:r w:rsidR="00972F04">
        <w:t>’s policies in this Budget will add to housing supply, which will exert</w:t>
      </w:r>
      <w:r w:rsidR="00EC1289">
        <w:t xml:space="preserve"> downward pressure on rents over time. </w:t>
      </w:r>
      <w:r w:rsidR="00C462C3">
        <w:t xml:space="preserve">The Government’s increases to Commonwealth Rent Assistance </w:t>
      </w:r>
      <w:r w:rsidR="00354161">
        <w:t>in 2023 and 2024 total more than $20 per week for a single person</w:t>
      </w:r>
      <w:r w:rsidR="00BF264F">
        <w:t xml:space="preserve"> receiving the maximum rate</w:t>
      </w:r>
      <w:r w:rsidR="00E9157C">
        <w:t>, and renters can also benefit from the Government’s tax cuts</w:t>
      </w:r>
      <w:r w:rsidR="00354161">
        <w:t>.</w:t>
      </w:r>
    </w:p>
    <w:p w14:paraId="502618A9" w14:textId="77777777" w:rsidR="006270FB" w:rsidRDefault="006270FB" w:rsidP="0066540E">
      <w:pPr>
        <w:pStyle w:val="Heading3"/>
      </w:pPr>
      <w:r>
        <w:t>International comparisons</w:t>
      </w:r>
    </w:p>
    <w:p w14:paraId="4B6A09DB" w14:textId="5964FADB" w:rsidR="008738EA" w:rsidRDefault="006270FB" w:rsidP="006270FB">
      <w:r>
        <w:t>In its most recent country report on Australia, the OECD recommended cutting or eliminating the capital gains tax discount and phasing out negative gearing to improve Australia’s tax system.</w:t>
      </w:r>
      <w:r w:rsidR="008738EA">
        <w:t xml:space="preserve"> </w:t>
      </w:r>
    </w:p>
    <w:p w14:paraId="010D7DFA" w14:textId="11F87B9A" w:rsidR="005D305D" w:rsidRDefault="006270FB" w:rsidP="006270FB">
      <w:r>
        <w:t xml:space="preserve">Countries tax capital gains and treat rental deductions in a range of different ways, so direct comparisons depend on specific </w:t>
      </w:r>
      <w:r w:rsidRPr="00627379">
        <w:t>circumstances.</w:t>
      </w:r>
      <w:r w:rsidR="001E7551" w:rsidRPr="00627379">
        <w:t xml:space="preserve"> In particular,</w:t>
      </w:r>
      <w:r w:rsidR="0099486B" w:rsidRPr="00627379">
        <w:t xml:space="preserve"> headline</w:t>
      </w:r>
      <w:r w:rsidR="001E7551" w:rsidRPr="00627379">
        <w:t xml:space="preserve"> tax rates applying to nominal and real gains are not directly comparable.</w:t>
      </w:r>
    </w:p>
    <w:p w14:paraId="288280D1" w14:textId="7DC2454F" w:rsidR="000C7869" w:rsidRDefault="000C7869" w:rsidP="000C7869">
      <w:r w:rsidRPr="00022E3F">
        <w:t>The effective tax rate on nominal gains in Australia under the new indexation arrangements will depend on the nominal return, inflation and marginal tax rate. As highlighted above, over the past 20 years nominal tax rates on average returns could have been in the order of 20 to 30 per cent for someone on the top marginal tax rate, though in some cases the effective rate could be higher where real returns are large.</w:t>
      </w:r>
    </w:p>
    <w:p w14:paraId="377B1EA3" w14:textId="1B5E7399" w:rsidR="00507850" w:rsidRDefault="000C7869" w:rsidP="000C7869">
      <w:r w:rsidRPr="00022E3F">
        <w:t>While there are difficulties in comparing tax arrangements across jurisdictions, similar rates apply across many OECD countries.</w:t>
      </w:r>
    </w:p>
    <w:p w14:paraId="493D724A" w14:textId="6454E8D1" w:rsidR="009A1A3A" w:rsidRPr="005B272D" w:rsidRDefault="009A1A3A" w:rsidP="005B272D">
      <w:pPr>
        <w:sectPr w:rsidR="009A1A3A" w:rsidRPr="005B272D" w:rsidSect="00EF155C">
          <w:type w:val="continuous"/>
          <w:pgSz w:w="11907" w:h="16840" w:code="9"/>
          <w:pgMar w:top="1985" w:right="1134" w:bottom="1418" w:left="1134" w:header="851" w:footer="397" w:gutter="0"/>
          <w:cols w:num="2" w:space="510"/>
          <w:titlePg/>
          <w:docGrid w:linePitch="360"/>
        </w:sectPr>
      </w:pPr>
    </w:p>
    <w:tbl>
      <w:tblPr>
        <w:tblStyle w:val="TableGridLight"/>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F2FF"/>
        <w:tblLook w:val="04A0" w:firstRow="1" w:lastRow="0" w:firstColumn="1" w:lastColumn="0" w:noHBand="0" w:noVBand="1"/>
      </w:tblPr>
      <w:tblGrid>
        <w:gridCol w:w="9626"/>
      </w:tblGrid>
      <w:tr w:rsidR="00821266" w14:paraId="0559D649" w14:textId="77777777" w:rsidTr="00273474">
        <w:tc>
          <w:tcPr>
            <w:tcW w:w="5000" w:type="pct"/>
            <w:shd w:val="clear" w:color="auto" w:fill="E6F2FF"/>
            <w:tcMar>
              <w:top w:w="170" w:type="dxa"/>
              <w:left w:w="227" w:type="dxa"/>
              <w:bottom w:w="227" w:type="dxa"/>
              <w:right w:w="227" w:type="dxa"/>
            </w:tcMar>
          </w:tcPr>
          <w:p w14:paraId="78A91204" w14:textId="77777777" w:rsidR="00821266" w:rsidRDefault="00821266" w:rsidP="00273474">
            <w:pPr>
              <w:pStyle w:val="BoxHeading"/>
            </w:pPr>
            <w:r>
              <w:lastRenderedPageBreak/>
              <w:t xml:space="preserve">Table 2: </w:t>
            </w:r>
            <w:r w:rsidRPr="00174616">
              <w:t>New builds comparison table</w:t>
            </w:r>
          </w:p>
          <w:p w14:paraId="09251CEA" w14:textId="77777777" w:rsidR="00821266" w:rsidRDefault="00821266" w:rsidP="00273474">
            <w:pPr>
              <w:rPr>
                <w:lang w:eastAsia="en-AU"/>
              </w:rPr>
            </w:pPr>
            <w:r w:rsidRPr="00310CEC">
              <w:rPr>
                <w:lang w:eastAsia="en-AU"/>
              </w:rPr>
              <w:t>The changes target the benefit of negative gearing to newly constructed properties that genuinely add to housing supply.</w:t>
            </w:r>
          </w:p>
          <w:tbl>
            <w:tblPr>
              <w:tblStyle w:val="BudgetFactsheetTable1"/>
              <w:tblW w:w="5000" w:type="pct"/>
              <w:tblLook w:val="0620" w:firstRow="1" w:lastRow="0" w:firstColumn="0" w:lastColumn="0" w:noHBand="1" w:noVBand="1"/>
            </w:tblPr>
            <w:tblGrid>
              <w:gridCol w:w="4586"/>
              <w:gridCol w:w="4586"/>
            </w:tblGrid>
            <w:tr w:rsidR="00821266" w14:paraId="10AC6587" w14:textId="77777777" w:rsidTr="00273474">
              <w:trPr>
                <w:cnfStyle w:val="100000000000" w:firstRow="1" w:lastRow="0" w:firstColumn="0" w:lastColumn="0" w:oddVBand="0" w:evenVBand="0" w:oddHBand="0" w:evenHBand="0" w:firstRowFirstColumn="0" w:firstRowLastColumn="0" w:lastRowFirstColumn="0" w:lastRowLastColumn="0"/>
              </w:trPr>
              <w:tc>
                <w:tcPr>
                  <w:tcW w:w="2500" w:type="pct"/>
                </w:tcPr>
                <w:p w14:paraId="6FD3016A" w14:textId="77777777" w:rsidR="00821266" w:rsidRPr="00523EBC" w:rsidRDefault="00821266" w:rsidP="00523EBC">
                  <w:pPr>
                    <w:pStyle w:val="TableColumnHeadingLeft"/>
                    <w:rPr>
                      <w:b/>
                      <w:bCs/>
                    </w:rPr>
                  </w:pPr>
                  <w:r w:rsidRPr="00523EBC">
                    <w:rPr>
                      <w:b/>
                      <w:bCs/>
                    </w:rPr>
                    <w:t>Eligible new build</w:t>
                  </w:r>
                </w:p>
              </w:tc>
              <w:tc>
                <w:tcPr>
                  <w:tcW w:w="2500" w:type="pct"/>
                </w:tcPr>
                <w:p w14:paraId="0CEA397F" w14:textId="77777777" w:rsidR="00821266" w:rsidRPr="00523EBC" w:rsidRDefault="00821266" w:rsidP="00523EBC">
                  <w:pPr>
                    <w:pStyle w:val="TableColumnHeadingLeft"/>
                    <w:rPr>
                      <w:b/>
                      <w:bCs/>
                    </w:rPr>
                  </w:pPr>
                  <w:r w:rsidRPr="00523EBC">
                    <w:rPr>
                      <w:b/>
                      <w:bCs/>
                    </w:rPr>
                    <w:t>Not an eligible new build</w:t>
                  </w:r>
                </w:p>
              </w:tc>
            </w:tr>
            <w:tr w:rsidR="00821266" w14:paraId="26CEB8A9" w14:textId="77777777" w:rsidTr="00273474">
              <w:tc>
                <w:tcPr>
                  <w:tcW w:w="2500" w:type="pct"/>
                </w:tcPr>
                <w:p w14:paraId="40BF9BD9" w14:textId="77777777" w:rsidR="00821266" w:rsidRPr="00F42CF8" w:rsidRDefault="00821266" w:rsidP="00273474">
                  <w:pPr>
                    <w:pStyle w:val="TableTextLeft"/>
                  </w:pPr>
                  <w:r w:rsidRPr="00150214">
                    <w:t>A newly constructed apartment bought off-the-plan.</w:t>
                  </w:r>
                </w:p>
              </w:tc>
              <w:tc>
                <w:tcPr>
                  <w:tcW w:w="2500" w:type="pct"/>
                </w:tcPr>
                <w:p w14:paraId="11CAA954" w14:textId="77777777" w:rsidR="00821266" w:rsidRDefault="00821266" w:rsidP="00273474">
                  <w:pPr>
                    <w:pStyle w:val="TableTextLeft"/>
                  </w:pPr>
                  <w:r w:rsidRPr="00150214">
                    <w:t>An established property that has recently been extended to add additional bedrooms.</w:t>
                  </w:r>
                </w:p>
              </w:tc>
            </w:tr>
            <w:tr w:rsidR="00821266" w14:paraId="5DBB80B7" w14:textId="77777777" w:rsidTr="00273474">
              <w:tc>
                <w:tcPr>
                  <w:tcW w:w="2500" w:type="pct"/>
                </w:tcPr>
                <w:p w14:paraId="638EE743" w14:textId="77777777" w:rsidR="00821266" w:rsidRDefault="00821266" w:rsidP="00273474">
                  <w:pPr>
                    <w:pStyle w:val="TableTextLeft"/>
                  </w:pPr>
                  <w:r w:rsidRPr="00150214">
                    <w:t>A duplex constructed through a knock</w:t>
                  </w:r>
                  <w:r>
                    <w:t>-</w:t>
                  </w:r>
                  <w:r w:rsidRPr="00150214">
                    <w:t>down rebuild replacing a single, free-standing house.</w:t>
                  </w:r>
                </w:p>
              </w:tc>
              <w:tc>
                <w:tcPr>
                  <w:tcW w:w="2500" w:type="pct"/>
                </w:tcPr>
                <w:p w14:paraId="7C4AD432" w14:textId="77777777" w:rsidR="00821266" w:rsidRDefault="00821266" w:rsidP="00273474">
                  <w:pPr>
                    <w:pStyle w:val="TableTextLeft"/>
                  </w:pPr>
                  <w:r w:rsidRPr="00150214">
                    <w:t>A free-standing house constructed through a knock</w:t>
                  </w:r>
                  <w:r>
                    <w:t>-</w:t>
                  </w:r>
                  <w:r w:rsidRPr="00150214">
                    <w:t xml:space="preserve">down rebuild replacing an older, smaller free-standing house. </w:t>
                  </w:r>
                </w:p>
              </w:tc>
            </w:tr>
            <w:tr w:rsidR="00821266" w14:paraId="29E1BCDE" w14:textId="77777777" w:rsidTr="00273474">
              <w:tc>
                <w:tcPr>
                  <w:tcW w:w="2500" w:type="pct"/>
                </w:tcPr>
                <w:p w14:paraId="7D45E4BD" w14:textId="77777777" w:rsidR="00821266" w:rsidRDefault="00821266" w:rsidP="00273474">
                  <w:pPr>
                    <w:pStyle w:val="TableTextLeft"/>
                  </w:pPr>
                  <w:r w:rsidRPr="00150214">
                    <w:t>Any residential construction on previously vacant land.</w:t>
                  </w:r>
                </w:p>
              </w:tc>
              <w:tc>
                <w:tcPr>
                  <w:tcW w:w="2500" w:type="pct"/>
                </w:tcPr>
                <w:p w14:paraId="7D6514F4" w14:textId="77777777" w:rsidR="00821266" w:rsidRDefault="00821266" w:rsidP="00273474">
                  <w:pPr>
                    <w:pStyle w:val="TableTextLeft"/>
                  </w:pPr>
                  <w:r w:rsidRPr="00150214">
                    <w:t>A granny flat built adjacent to an established property that is not eligible for negative gearing.</w:t>
                  </w:r>
                </w:p>
              </w:tc>
            </w:tr>
            <w:tr w:rsidR="00821266" w14:paraId="72C94CD2" w14:textId="77777777" w:rsidTr="00273474">
              <w:tc>
                <w:tcPr>
                  <w:tcW w:w="2500" w:type="pct"/>
                </w:tcPr>
                <w:p w14:paraId="54175D99" w14:textId="77777777" w:rsidR="00821266" w:rsidRPr="00150214" w:rsidRDefault="00821266" w:rsidP="00273474">
                  <w:pPr>
                    <w:pStyle w:val="TableTextLeft"/>
                  </w:pPr>
                  <w:r w:rsidRPr="00FC09FA">
                    <w:t>A newly built property which is occupied for less than 12</w:t>
                  </w:r>
                  <w:r>
                    <w:t> </w:t>
                  </w:r>
                  <w:r w:rsidRPr="00FC09FA">
                    <w:t>months before being first sold.</w:t>
                  </w:r>
                </w:p>
              </w:tc>
              <w:tc>
                <w:tcPr>
                  <w:tcW w:w="2500" w:type="pct"/>
                </w:tcPr>
                <w:p w14:paraId="1F6EA554" w14:textId="77777777" w:rsidR="00821266" w:rsidRPr="00150214" w:rsidRDefault="00821266" w:rsidP="00273474">
                  <w:pPr>
                    <w:pStyle w:val="TableTextLeft"/>
                  </w:pPr>
                  <w:r w:rsidRPr="0098638E">
                    <w:t>A newly built property which is occupied for more than 12</w:t>
                  </w:r>
                  <w:r>
                    <w:t> </w:t>
                  </w:r>
                  <w:r w:rsidRPr="0098638E">
                    <w:t>months before being sold to a subsequent investor.</w:t>
                  </w:r>
                </w:p>
              </w:tc>
            </w:tr>
          </w:tbl>
          <w:p w14:paraId="2F95152B" w14:textId="77777777" w:rsidR="00821266" w:rsidRPr="00A309FD" w:rsidRDefault="00821266" w:rsidP="00273474">
            <w:pPr>
              <w:pStyle w:val="BoxBullet"/>
              <w:numPr>
                <w:ilvl w:val="0"/>
                <w:numId w:val="0"/>
              </w:numPr>
            </w:pPr>
          </w:p>
        </w:tc>
      </w:tr>
    </w:tbl>
    <w:p w14:paraId="1BEEA18C" w14:textId="128140BB" w:rsidR="00821266" w:rsidRPr="00523EBC" w:rsidRDefault="00821266" w:rsidP="00523EBC">
      <w:pPr>
        <w:spacing w:before="0" w:after="0"/>
      </w:pPr>
    </w:p>
    <w:tbl>
      <w:tblPr>
        <w:tblStyle w:val="TableGridLight"/>
        <w:tblpPr w:leftFromText="180" w:rightFromText="180" w:vertAnchor="text" w:horzAnchor="margin" w:tblpY="98"/>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F2FF"/>
        <w:tblLook w:val="04A0" w:firstRow="1" w:lastRow="0" w:firstColumn="1" w:lastColumn="0" w:noHBand="0" w:noVBand="1"/>
      </w:tblPr>
      <w:tblGrid>
        <w:gridCol w:w="9626"/>
      </w:tblGrid>
      <w:tr w:rsidR="00DD58F1" w14:paraId="19C3F806" w14:textId="77777777" w:rsidTr="00523EBC">
        <w:trPr>
          <w:trHeight w:val="17"/>
        </w:trPr>
        <w:tc>
          <w:tcPr>
            <w:tcW w:w="5000" w:type="pct"/>
            <w:shd w:val="clear" w:color="auto" w:fill="E6F2FF"/>
            <w:tcMar>
              <w:top w:w="170" w:type="dxa"/>
              <w:left w:w="227" w:type="dxa"/>
              <w:bottom w:w="170" w:type="dxa"/>
              <w:right w:w="227" w:type="dxa"/>
            </w:tcMar>
          </w:tcPr>
          <w:p w14:paraId="1B73DC37" w14:textId="77777777" w:rsidR="00DD58F1" w:rsidRPr="00523EBC" w:rsidRDefault="00DD58F1" w:rsidP="00523EBC">
            <w:pPr>
              <w:pStyle w:val="BoxHeading"/>
            </w:pPr>
            <w:r>
              <w:t>Cameos</w:t>
            </w:r>
          </w:p>
          <w:p w14:paraId="46D3DE0E" w14:textId="77777777" w:rsidR="00DD58F1" w:rsidRPr="00D95A99" w:rsidRDefault="00DD58F1" w:rsidP="00DD58F1">
            <w:pPr>
              <w:spacing w:after="80"/>
              <w:rPr>
                <w:bCs/>
              </w:rPr>
            </w:pPr>
            <w:r w:rsidRPr="00D95A99">
              <w:rPr>
                <w:b/>
                <w:bCs/>
              </w:rPr>
              <w:t>Impacts on existing property investors</w:t>
            </w:r>
          </w:p>
          <w:p w14:paraId="48FAA224" w14:textId="3440E391" w:rsidR="00DD58F1" w:rsidRDefault="00DD58F1" w:rsidP="00DD58F1">
            <w:pPr>
              <w:spacing w:after="80"/>
              <w:rPr>
                <w:lang w:eastAsia="en-AU"/>
              </w:rPr>
            </w:pPr>
            <w:r>
              <w:rPr>
                <w:lang w:eastAsia="en-AU"/>
              </w:rPr>
              <w:t>Michael owns an investment property purchased before 12 May 2026 that is negatively geared. He</w:t>
            </w:r>
            <w:r w:rsidR="00523EBC">
              <w:rPr>
                <w:lang w:eastAsia="en-AU"/>
              </w:rPr>
              <w:t> </w:t>
            </w:r>
            <w:r>
              <w:rPr>
                <w:lang w:eastAsia="en-AU"/>
              </w:rPr>
              <w:t xml:space="preserve">can continue to negatively gear this property in future years by using losses from his investment property against other income. </w:t>
            </w:r>
          </w:p>
          <w:p w14:paraId="522B1DDD" w14:textId="38D26F67" w:rsidR="00DD58F1" w:rsidRDefault="00DD58F1" w:rsidP="00523EBC">
            <w:pPr>
              <w:rPr>
                <w:lang w:eastAsia="en-AU"/>
              </w:rPr>
            </w:pPr>
            <w:r>
              <w:rPr>
                <w:lang w:eastAsia="en-AU"/>
              </w:rPr>
              <w:t>Michael sells the property two years after the policy commences for $560,000. Michael still receives the 50 per cent CGT discount for the capital gain he makes on the property between the purchase date and 1 July 2027.  He uses ATO tools to determine its value on that date was $500,000. After adjusting for two years of inflation of 2.5 per cent, his taxable capital gain for the period after 1 July</w:t>
            </w:r>
            <w:r w:rsidR="00523EBC">
              <w:rPr>
                <w:lang w:eastAsia="en-AU"/>
              </w:rPr>
              <w:t> </w:t>
            </w:r>
            <w:r>
              <w:rPr>
                <w:lang w:eastAsia="en-AU"/>
              </w:rPr>
              <w:t>2027 is $34,688, slightly more than if he had applied a 50 per cent discount (which would have resulted in a taxable capital gain of $30,000). Assuming a 47 per cent tax rate, the tax on his gain since 1 July 2027 is $16,303 (instead of $14,100 with a 50 per cent discount). Michael does not pay any tax on the capital gain until he sells his property.</w:t>
            </w:r>
          </w:p>
          <w:p w14:paraId="47FF6F54" w14:textId="77777777" w:rsidR="00DD58F1" w:rsidRDefault="00DD58F1" w:rsidP="00DD58F1">
            <w:pPr>
              <w:spacing w:after="80"/>
            </w:pPr>
            <w:r>
              <w:rPr>
                <w:b/>
                <w:bCs/>
              </w:rPr>
              <w:t>Carrying forward losses for future property investors</w:t>
            </w:r>
          </w:p>
          <w:p w14:paraId="2D5ECFCB" w14:textId="77777777" w:rsidR="00DD58F1" w:rsidRDefault="00DD58F1" w:rsidP="00DD58F1">
            <w:pPr>
              <w:spacing w:after="80"/>
              <w:rPr>
                <w:lang w:eastAsia="en-AU"/>
              </w:rPr>
            </w:pPr>
            <w:r>
              <w:rPr>
                <w:lang w:eastAsia="en-AU"/>
              </w:rPr>
              <w:t>A person buying a new build property can continue to negatively gear as per current arrangements.</w:t>
            </w:r>
          </w:p>
          <w:p w14:paraId="29567644" w14:textId="7BC252F1" w:rsidR="00DD58F1" w:rsidRPr="007C7B92" w:rsidRDefault="00DD58F1" w:rsidP="00DD58F1">
            <w:pPr>
              <w:spacing w:after="80"/>
            </w:pPr>
            <w:r>
              <w:rPr>
                <w:lang w:eastAsia="en-AU"/>
              </w:rPr>
              <w:t>F</w:t>
            </w:r>
            <w:r w:rsidRPr="007C7B92">
              <w:rPr>
                <w:lang w:eastAsia="en-AU"/>
              </w:rPr>
              <w:t xml:space="preserve">or an individual </w:t>
            </w:r>
            <w:r>
              <w:rPr>
                <w:lang w:eastAsia="en-AU"/>
              </w:rPr>
              <w:t>purchasing an existing property after the announcement</w:t>
            </w:r>
            <w:r w:rsidRPr="007C7B92">
              <w:rPr>
                <w:lang w:eastAsia="en-AU"/>
              </w:rPr>
              <w:t>, the impact depends on the size of their rental loss and how much other income they have.</w:t>
            </w:r>
            <w:r>
              <w:rPr>
                <w:lang w:eastAsia="en-AU"/>
              </w:rPr>
              <w:t xml:space="preserve"> </w:t>
            </w:r>
            <w:r w:rsidRPr="007C7B92">
              <w:rPr>
                <w:lang w:eastAsia="en-AU"/>
              </w:rPr>
              <w:t>For example, assuming a rental loss of $14,810</w:t>
            </w:r>
            <w:r w:rsidRPr="007C7B92">
              <w:t>:</w:t>
            </w:r>
            <w:r w:rsidR="00523EBC">
              <w:rPr>
                <w:rStyle w:val="FootnoteReference"/>
              </w:rPr>
              <w:t xml:space="preserve"> </w:t>
            </w:r>
            <w:r w:rsidR="00523EBC">
              <w:rPr>
                <w:rStyle w:val="FootnoteReference"/>
              </w:rPr>
              <w:footnoteReference w:id="2"/>
            </w:r>
          </w:p>
          <w:p w14:paraId="7503C82C" w14:textId="293A671F" w:rsidR="00DD58F1" w:rsidRPr="007C7B92" w:rsidRDefault="00DD58F1" w:rsidP="00DD58F1">
            <w:pPr>
              <w:pStyle w:val="BoxBullet"/>
              <w:spacing w:after="80"/>
            </w:pPr>
            <w:r>
              <w:t>For a</w:t>
            </w:r>
            <w:r w:rsidRPr="007C7B92">
              <w:t xml:space="preserve"> person with $80,000 in other income </w:t>
            </w:r>
            <w:r>
              <w:t>this deduction would be worth</w:t>
            </w:r>
            <w:r w:rsidRPr="007C7B92">
              <w:t xml:space="preserve"> $4,761.</w:t>
            </w:r>
          </w:p>
          <w:p w14:paraId="2D23260A" w14:textId="4E53B1F9" w:rsidR="00DD58F1" w:rsidRPr="007C7B92" w:rsidRDefault="00DD58F1" w:rsidP="00DD58F1">
            <w:pPr>
              <w:pStyle w:val="BoxBullet"/>
              <w:spacing w:after="80"/>
            </w:pPr>
            <w:r>
              <w:t>For a</w:t>
            </w:r>
            <w:r w:rsidRPr="007C7B92">
              <w:t xml:space="preserve"> person with $210,000 in other income </w:t>
            </w:r>
            <w:r>
              <w:t>this deduction would be worth</w:t>
            </w:r>
            <w:r w:rsidRPr="007C7B92">
              <w:t xml:space="preserve"> $6,961.</w:t>
            </w:r>
          </w:p>
          <w:p w14:paraId="38771065" w14:textId="500A6F4C" w:rsidR="00DD58F1" w:rsidRDefault="00DD58F1" w:rsidP="00DE55AC">
            <w:r w:rsidRPr="007C7B92">
              <w:t>This person will instead carry forward their $14,810 loss to use against future property income.</w:t>
            </w:r>
            <w:r w:rsidR="00523EBC">
              <w:t xml:space="preserve"> </w:t>
            </w:r>
            <w:r w:rsidRPr="007C7B92">
              <w:t>The</w:t>
            </w:r>
            <w:r w:rsidR="00523EBC">
              <w:t> </w:t>
            </w:r>
            <w:r w:rsidRPr="007C7B92">
              <w:t>tax value of this future deduction will also depend on their other income at the time.</w:t>
            </w:r>
          </w:p>
          <w:p w14:paraId="05C2B5C5" w14:textId="1D05A585" w:rsidR="00DD58F1" w:rsidRPr="00A309FD" w:rsidRDefault="00A4203A" w:rsidP="00523EBC">
            <w:pPr>
              <w:jc w:val="right"/>
            </w:pPr>
            <w:r>
              <w:rPr>
                <w:i/>
                <w:iCs/>
                <w:lang w:eastAsia="en-AU"/>
              </w:rPr>
              <w:t>c</w:t>
            </w:r>
            <w:r w:rsidR="00523EBC" w:rsidRPr="00D95A99">
              <w:rPr>
                <w:i/>
                <w:iCs/>
                <w:lang w:eastAsia="en-AU"/>
              </w:rPr>
              <w:t>ontinued on next page</w:t>
            </w:r>
          </w:p>
        </w:tc>
      </w:tr>
    </w:tbl>
    <w:p w14:paraId="15E0E693" w14:textId="77777777" w:rsidR="00DD58F1" w:rsidRPr="00C233FE" w:rsidRDefault="00DD58F1" w:rsidP="00C233FE">
      <w:pPr>
        <w:spacing w:after="0"/>
        <w:rPr>
          <w:sz w:val="2"/>
          <w:szCs w:val="2"/>
        </w:rPr>
      </w:pPr>
    </w:p>
    <w:tbl>
      <w:tblPr>
        <w:tblStyle w:val="TableGridLight"/>
        <w:tblW w:w="4993"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F2FF"/>
        <w:tblLook w:val="04A0" w:firstRow="1" w:lastRow="0" w:firstColumn="1" w:lastColumn="0" w:noHBand="0" w:noVBand="1"/>
      </w:tblPr>
      <w:tblGrid>
        <w:gridCol w:w="9626"/>
      </w:tblGrid>
      <w:tr w:rsidR="00303575" w14:paraId="00ACA927" w14:textId="77777777" w:rsidTr="00EC2B9A">
        <w:trPr>
          <w:jc w:val="right"/>
        </w:trPr>
        <w:tc>
          <w:tcPr>
            <w:tcW w:w="5000" w:type="pct"/>
            <w:shd w:val="clear" w:color="auto" w:fill="E6F2FF"/>
            <w:tcMar>
              <w:top w:w="170" w:type="dxa"/>
              <w:left w:w="227" w:type="dxa"/>
              <w:bottom w:w="227" w:type="dxa"/>
              <w:right w:w="227" w:type="dxa"/>
            </w:tcMar>
          </w:tcPr>
          <w:p w14:paraId="5DF0CAFD" w14:textId="77777777" w:rsidR="00523EBC" w:rsidRDefault="00523EBC" w:rsidP="00523EBC">
            <w:pPr>
              <w:pStyle w:val="BoxHeading"/>
            </w:pPr>
            <w:r>
              <w:t>Cameos (continued)</w:t>
            </w:r>
          </w:p>
          <w:p w14:paraId="4ED3B7AB" w14:textId="7DBA9A3C" w:rsidR="008A4928" w:rsidRPr="00493351" w:rsidRDefault="008A4928" w:rsidP="00EC2B9A">
            <w:pPr>
              <w:spacing w:after="80"/>
              <w:rPr>
                <w:b/>
                <w:bCs/>
              </w:rPr>
            </w:pPr>
            <w:r w:rsidRPr="00493351">
              <w:rPr>
                <w:b/>
                <w:bCs/>
              </w:rPr>
              <w:t>Negative gearing</w:t>
            </w:r>
            <w:r>
              <w:rPr>
                <w:b/>
                <w:bCs/>
              </w:rPr>
              <w:t xml:space="preserve"> an existing residential property bought</w:t>
            </w:r>
            <w:r w:rsidR="009455D2">
              <w:rPr>
                <w:b/>
                <w:bCs/>
              </w:rPr>
              <w:t xml:space="preserve"> after </w:t>
            </w:r>
            <w:r w:rsidR="00696F32">
              <w:rPr>
                <w:b/>
                <w:bCs/>
              </w:rPr>
              <w:t>announcement</w:t>
            </w:r>
          </w:p>
          <w:p w14:paraId="33DDCA6E" w14:textId="3031C918" w:rsidR="00BB38EC" w:rsidRDefault="008A4928" w:rsidP="00EC2B9A">
            <w:pPr>
              <w:spacing w:after="80"/>
            </w:pPr>
            <w:r>
              <w:t xml:space="preserve">Yoonseo </w:t>
            </w:r>
            <w:r w:rsidR="004623C1">
              <w:t>earns</w:t>
            </w:r>
            <w:r w:rsidR="00DF6847">
              <w:t xml:space="preserve"> an income of</w:t>
            </w:r>
            <w:r w:rsidR="004623C1">
              <w:t xml:space="preserve"> </w:t>
            </w:r>
            <w:r w:rsidR="00E551DC">
              <w:t>$100,000</w:t>
            </w:r>
            <w:r w:rsidR="00B03118">
              <w:t xml:space="preserve"> and</w:t>
            </w:r>
            <w:r>
              <w:t xml:space="preserve"> buys an existing residential investment property for $519,000 (including stamp duty) after the policy start date</w:t>
            </w:r>
            <w:r w:rsidR="001C1073">
              <w:t>, rents</w:t>
            </w:r>
            <w:r>
              <w:t xml:space="preserve"> it </w:t>
            </w:r>
            <w:r w:rsidR="001C1073">
              <w:t>out</w:t>
            </w:r>
            <w:r>
              <w:t xml:space="preserve"> and sells it ten years later for</w:t>
            </w:r>
            <w:r w:rsidR="00C233FE">
              <w:t> </w:t>
            </w:r>
            <w:r>
              <w:t xml:space="preserve">$814,447. Over the </w:t>
            </w:r>
            <w:r w:rsidR="00833199">
              <w:t xml:space="preserve">first </w:t>
            </w:r>
            <w:r w:rsidR="002A07F2">
              <w:t>five years that</w:t>
            </w:r>
            <w:r>
              <w:t xml:space="preserve"> she owns the property she </w:t>
            </w:r>
            <w:r w:rsidR="009E0F16">
              <w:t>has</w:t>
            </w:r>
            <w:r>
              <w:t xml:space="preserve"> net rental losses and </w:t>
            </w:r>
            <w:r w:rsidR="00D72B0D">
              <w:t>accumulate</w:t>
            </w:r>
            <w:r w:rsidR="00E112FD">
              <w:t>s</w:t>
            </w:r>
            <w:r>
              <w:t xml:space="preserve"> $22,879 of carry forward losses. </w:t>
            </w:r>
          </w:p>
          <w:p w14:paraId="2B3A000D" w14:textId="4B086EBF" w:rsidR="008A4928" w:rsidRPr="00D95A99" w:rsidRDefault="001E6A95" w:rsidP="00EC2B9A">
            <w:pPr>
              <w:spacing w:after="80"/>
              <w:rPr>
                <w:spacing w:val="-1"/>
              </w:rPr>
            </w:pPr>
            <w:r w:rsidRPr="00D95A99">
              <w:rPr>
                <w:spacing w:val="-1"/>
              </w:rPr>
              <w:t xml:space="preserve">In the </w:t>
            </w:r>
            <w:r w:rsidR="0034458F" w:rsidRPr="00D95A99">
              <w:rPr>
                <w:spacing w:val="-1"/>
              </w:rPr>
              <w:t>following five years,</w:t>
            </w:r>
            <w:r w:rsidRPr="00D95A99">
              <w:rPr>
                <w:spacing w:val="-1"/>
              </w:rPr>
              <w:t xml:space="preserve"> </w:t>
            </w:r>
            <w:r w:rsidR="008A4928" w:rsidRPr="00D95A99">
              <w:rPr>
                <w:spacing w:val="-1"/>
              </w:rPr>
              <w:t xml:space="preserve">Yoonseo </w:t>
            </w:r>
            <w:r w:rsidR="000E2D1D" w:rsidRPr="00D95A99">
              <w:rPr>
                <w:spacing w:val="-1"/>
              </w:rPr>
              <w:t xml:space="preserve">applies </w:t>
            </w:r>
            <w:r w:rsidR="0005154D" w:rsidRPr="00D95A99">
              <w:rPr>
                <w:spacing w:val="-1"/>
              </w:rPr>
              <w:t xml:space="preserve">most of </w:t>
            </w:r>
            <w:r w:rsidR="000E2D1D" w:rsidRPr="00D95A99">
              <w:rPr>
                <w:spacing w:val="-1"/>
              </w:rPr>
              <w:t xml:space="preserve">these </w:t>
            </w:r>
            <w:r w:rsidR="008A4928" w:rsidRPr="00D95A99">
              <w:rPr>
                <w:spacing w:val="-1"/>
              </w:rPr>
              <w:t>carrie</w:t>
            </w:r>
            <w:r w:rsidR="000E2D1D" w:rsidRPr="00D95A99">
              <w:rPr>
                <w:spacing w:val="-1"/>
              </w:rPr>
              <w:t>d</w:t>
            </w:r>
            <w:r w:rsidR="008A4928" w:rsidRPr="00D95A99">
              <w:rPr>
                <w:spacing w:val="-1"/>
              </w:rPr>
              <w:t xml:space="preserve"> forward losses to reduce her </w:t>
            </w:r>
            <w:r w:rsidR="002C4854" w:rsidRPr="00D95A99">
              <w:rPr>
                <w:spacing w:val="-1"/>
              </w:rPr>
              <w:t xml:space="preserve">positive </w:t>
            </w:r>
            <w:r w:rsidR="008A4928" w:rsidRPr="00D95A99">
              <w:rPr>
                <w:spacing w:val="-1"/>
              </w:rPr>
              <w:t xml:space="preserve">net rent </w:t>
            </w:r>
            <w:r w:rsidR="00A905BC" w:rsidRPr="00D95A99">
              <w:rPr>
                <w:spacing w:val="-1"/>
              </w:rPr>
              <w:t>over this period</w:t>
            </w:r>
            <w:r w:rsidR="008A4928" w:rsidRPr="00D95A99" w:rsidDel="00A905BC">
              <w:rPr>
                <w:spacing w:val="-1"/>
              </w:rPr>
              <w:t xml:space="preserve"> </w:t>
            </w:r>
            <w:r w:rsidR="00F52B7F" w:rsidRPr="00D95A99">
              <w:rPr>
                <w:spacing w:val="-1"/>
              </w:rPr>
              <w:t>from</w:t>
            </w:r>
            <w:r w:rsidR="004700C8" w:rsidRPr="00D95A99">
              <w:rPr>
                <w:spacing w:val="-1"/>
              </w:rPr>
              <w:t xml:space="preserve"> $</w:t>
            </w:r>
            <w:r w:rsidR="00FF3B9D" w:rsidRPr="00D95A99">
              <w:rPr>
                <w:spacing w:val="-1"/>
              </w:rPr>
              <w:t>18</w:t>
            </w:r>
            <w:r w:rsidR="00F7507C" w:rsidRPr="00D95A99">
              <w:rPr>
                <w:spacing w:val="-1"/>
              </w:rPr>
              <w:t>,079</w:t>
            </w:r>
            <w:r w:rsidR="00F52B7F" w:rsidRPr="00D95A99">
              <w:rPr>
                <w:spacing w:val="-1"/>
              </w:rPr>
              <w:t xml:space="preserve"> </w:t>
            </w:r>
            <w:r w:rsidR="008A4928" w:rsidRPr="00D95A99">
              <w:rPr>
                <w:spacing w:val="-1"/>
              </w:rPr>
              <w:t>to zero</w:t>
            </w:r>
            <w:r w:rsidR="00EC300B" w:rsidRPr="00D95A99">
              <w:rPr>
                <w:spacing w:val="-1"/>
              </w:rPr>
              <w:t>. In</w:t>
            </w:r>
            <w:r w:rsidR="00E73985" w:rsidRPr="00D95A99">
              <w:rPr>
                <w:spacing w:val="-1"/>
              </w:rPr>
              <w:t xml:space="preserve"> the </w:t>
            </w:r>
            <w:r w:rsidR="00F421BF" w:rsidRPr="00D95A99">
              <w:rPr>
                <w:spacing w:val="-1"/>
              </w:rPr>
              <w:t>yea</w:t>
            </w:r>
            <w:r w:rsidR="00F04AB9" w:rsidRPr="00D95A99">
              <w:rPr>
                <w:spacing w:val="-1"/>
              </w:rPr>
              <w:t xml:space="preserve">r she sells the property </w:t>
            </w:r>
            <w:r w:rsidR="00705522" w:rsidRPr="00D95A99">
              <w:rPr>
                <w:spacing w:val="-1"/>
              </w:rPr>
              <w:t xml:space="preserve">she </w:t>
            </w:r>
            <w:r w:rsidR="001E2D69" w:rsidRPr="00D95A99">
              <w:rPr>
                <w:spacing w:val="-1"/>
              </w:rPr>
              <w:t xml:space="preserve">uses the remaining </w:t>
            </w:r>
            <w:r w:rsidR="007F2780" w:rsidRPr="00D95A99">
              <w:rPr>
                <w:spacing w:val="-1"/>
              </w:rPr>
              <w:t>carried forward losses to reduce her</w:t>
            </w:r>
            <w:r w:rsidR="008A4928" w:rsidRPr="00D95A99">
              <w:rPr>
                <w:spacing w:val="-1"/>
              </w:rPr>
              <w:t xml:space="preserve"> real estate capital gain </w:t>
            </w:r>
            <w:r w:rsidR="002C4854" w:rsidRPr="00D95A99">
              <w:rPr>
                <w:spacing w:val="-1"/>
              </w:rPr>
              <w:t>from $150,</w:t>
            </w:r>
            <w:r w:rsidR="00F52B7F" w:rsidRPr="00D95A99">
              <w:rPr>
                <w:spacing w:val="-1"/>
              </w:rPr>
              <w:t>083</w:t>
            </w:r>
            <w:r w:rsidR="002C4854" w:rsidRPr="00D95A99">
              <w:rPr>
                <w:spacing w:val="-1"/>
              </w:rPr>
              <w:t xml:space="preserve"> </w:t>
            </w:r>
            <w:r w:rsidR="008A4928" w:rsidRPr="00D95A99">
              <w:rPr>
                <w:spacing w:val="-1"/>
              </w:rPr>
              <w:t xml:space="preserve">to $145,284. </w:t>
            </w:r>
            <w:r w:rsidR="008614F6" w:rsidRPr="00D95A99">
              <w:rPr>
                <w:spacing w:val="-1"/>
              </w:rPr>
              <w:t>Overall, s</w:t>
            </w:r>
            <w:r w:rsidR="00D72B0D" w:rsidRPr="00D95A99">
              <w:rPr>
                <w:spacing w:val="-1"/>
              </w:rPr>
              <w:t>he</w:t>
            </w:r>
            <w:r w:rsidR="008A4928" w:rsidRPr="00D95A99">
              <w:rPr>
                <w:spacing w:val="-1"/>
              </w:rPr>
              <w:t xml:space="preserve"> pays $186 more </w:t>
            </w:r>
            <w:r w:rsidR="00271C11" w:rsidRPr="00D95A99">
              <w:rPr>
                <w:spacing w:val="-1"/>
              </w:rPr>
              <w:t xml:space="preserve">in </w:t>
            </w:r>
            <w:r w:rsidR="004623C1" w:rsidRPr="00D95A99">
              <w:rPr>
                <w:spacing w:val="-1"/>
              </w:rPr>
              <w:t xml:space="preserve">nominal </w:t>
            </w:r>
            <w:r w:rsidR="008A4928" w:rsidRPr="00D95A99">
              <w:rPr>
                <w:spacing w:val="-1"/>
              </w:rPr>
              <w:t xml:space="preserve">tax </w:t>
            </w:r>
            <w:r w:rsidR="004623C1" w:rsidRPr="00D95A99">
              <w:rPr>
                <w:spacing w:val="-1"/>
              </w:rPr>
              <w:t>over the years of her investment</w:t>
            </w:r>
            <w:r w:rsidR="008A4928" w:rsidRPr="00D95A99">
              <w:rPr>
                <w:spacing w:val="-1"/>
              </w:rPr>
              <w:t xml:space="preserve"> compared to previous settings. </w:t>
            </w:r>
          </w:p>
          <w:p w14:paraId="19E0DF87" w14:textId="00F536E2" w:rsidR="00BE4ACB" w:rsidRDefault="008A4928" w:rsidP="00EC2B9A">
            <w:pPr>
              <w:spacing w:after="80"/>
              <w:rPr>
                <w:szCs w:val="22"/>
              </w:rPr>
            </w:pPr>
            <w:r w:rsidRPr="00022E3F">
              <w:rPr>
                <w:szCs w:val="22"/>
              </w:rPr>
              <w:t xml:space="preserve">Had Yoonseo bought a new build property, she would </w:t>
            </w:r>
            <w:r w:rsidR="000A1868" w:rsidRPr="00022E3F">
              <w:rPr>
                <w:szCs w:val="22"/>
              </w:rPr>
              <w:t xml:space="preserve">not </w:t>
            </w:r>
            <w:r w:rsidRPr="00022E3F">
              <w:rPr>
                <w:szCs w:val="22"/>
              </w:rPr>
              <w:t>pay additional tax as negative gearing and</w:t>
            </w:r>
            <w:r w:rsidR="00C233FE">
              <w:rPr>
                <w:szCs w:val="22"/>
              </w:rPr>
              <w:t> </w:t>
            </w:r>
            <w:r w:rsidRPr="00022E3F">
              <w:rPr>
                <w:szCs w:val="22"/>
              </w:rPr>
              <w:t>the existing capital gains tax discount would still be available for this property.</w:t>
            </w:r>
          </w:p>
          <w:p w14:paraId="2C94FB1D" w14:textId="77777777" w:rsidR="00523EBC" w:rsidRPr="009A3578" w:rsidRDefault="00523EBC" w:rsidP="00523EBC">
            <w:pPr>
              <w:pStyle w:val="BoxHeading"/>
              <w:rPr>
                <w:sz w:val="22"/>
                <w:szCs w:val="18"/>
              </w:rPr>
            </w:pPr>
            <w:r w:rsidRPr="009A3578">
              <w:rPr>
                <w:sz w:val="22"/>
                <w:szCs w:val="18"/>
              </w:rPr>
              <w:t>Cost base indexation</w:t>
            </w:r>
          </w:p>
          <w:p w14:paraId="6A725E00" w14:textId="28744F5B" w:rsidR="00523EBC" w:rsidRDefault="00523EBC" w:rsidP="00523EBC">
            <w:pPr>
              <w:rPr>
                <w:lang w:eastAsia="en-AU"/>
              </w:rPr>
            </w:pPr>
            <w:r>
              <w:rPr>
                <w:lang w:eastAsia="en-AU"/>
              </w:rPr>
              <w:t>Zoe purchases shares in a company for $100 on 1 July 2027. She then sells her shares on 1 July 2032 for $125, having made a nominal gain of from this investment of $25, with an investment return of 4.6</w:t>
            </w:r>
            <w:r w:rsidR="00C233FE">
              <w:rPr>
                <w:lang w:eastAsia="en-AU"/>
              </w:rPr>
              <w:t> </w:t>
            </w:r>
            <w:r>
              <w:rPr>
                <w:lang w:eastAsia="en-AU"/>
              </w:rPr>
              <w:t>per cent per year.</w:t>
            </w:r>
          </w:p>
          <w:p w14:paraId="408D175E" w14:textId="77777777" w:rsidR="00523EBC" w:rsidRDefault="00523EBC" w:rsidP="00523EBC">
            <w:pPr>
              <w:rPr>
                <w:lang w:eastAsia="en-AU"/>
              </w:rPr>
            </w:pPr>
            <w:r>
              <w:rPr>
                <w:lang w:eastAsia="en-AU"/>
              </w:rPr>
              <w:t xml:space="preserve">As the shares were purchased after 1 July 2027, Zoe’s capital gains are subject to cost base indexation. Inflation is 2.5 per cent each year Zoe holds the assets and, using ATO tools, Zoe can work out that the indexed cost base of the shares is $113. Zoe's taxable capital gain is reduced from $25 to $12 under cost base indexation. This is slightly less than the taxable capital gain of about $13 under the 50 per cent discount, meaning she will pay slightly less tax. </w:t>
            </w:r>
          </w:p>
          <w:p w14:paraId="0EF22DD9" w14:textId="77777777" w:rsidR="00C233FE" w:rsidRPr="009A3578" w:rsidRDefault="00C233FE" w:rsidP="00C233FE">
            <w:pPr>
              <w:pStyle w:val="BoxHeading"/>
              <w:rPr>
                <w:sz w:val="22"/>
                <w:szCs w:val="18"/>
              </w:rPr>
            </w:pPr>
            <w:r w:rsidRPr="009A3578">
              <w:rPr>
                <w:sz w:val="22"/>
                <w:szCs w:val="18"/>
              </w:rPr>
              <w:t>Transitional CGT arrangements</w:t>
            </w:r>
          </w:p>
          <w:p w14:paraId="7BD599B2" w14:textId="149AB156" w:rsidR="00C233FE" w:rsidRDefault="00C233FE" w:rsidP="00C233FE">
            <w:pPr>
              <w:pStyle w:val="BoxBullet"/>
              <w:numPr>
                <w:ilvl w:val="0"/>
                <w:numId w:val="0"/>
              </w:numPr>
            </w:pPr>
            <w:r>
              <w:t>Jane purchases an asset on 1 July 2022 for $800,000. She sells the asset on 1 July 2032 for $1,600,000 earning a 7.2 per cent annual return. Using ATO tools, Jane determines that the asset was worth $1,131,371 at commencement of the policy (1 July 2027).</w:t>
            </w:r>
          </w:p>
          <w:p w14:paraId="4C7646E3" w14:textId="77777777" w:rsidR="00C233FE" w:rsidRDefault="00C233FE" w:rsidP="00C233FE">
            <w:pPr>
              <w:pStyle w:val="BoxBullet"/>
              <w:numPr>
                <w:ilvl w:val="0"/>
                <w:numId w:val="0"/>
              </w:numPr>
            </w:pPr>
            <w:r>
              <w:t>Under the transitional rules, Jane calculates her taxable capital gain by adding:</w:t>
            </w:r>
          </w:p>
          <w:p w14:paraId="708A4ACD" w14:textId="77777777" w:rsidR="00C233FE" w:rsidRDefault="00C233FE" w:rsidP="00C233FE">
            <w:pPr>
              <w:pStyle w:val="BoxBullet"/>
            </w:pPr>
            <w:r>
              <w:t>Taxable capital gains of $165,685 earned before commencement, which is equal to gross capital gains of $331,371 with the 50 per cent CGT discount; plus</w:t>
            </w:r>
          </w:p>
          <w:p w14:paraId="0464A099" w14:textId="77777777" w:rsidR="00C233FE" w:rsidRPr="00A1472B" w:rsidRDefault="00C233FE" w:rsidP="00C233FE">
            <w:pPr>
              <w:pStyle w:val="BoxBullet"/>
            </w:pPr>
            <w:r>
              <w:t>Taxable gains of $319,958 earned after commencement, which is equal to the gain of $468,629 less cost base indexation.</w:t>
            </w:r>
          </w:p>
          <w:p w14:paraId="2371C674" w14:textId="473E189D" w:rsidR="00C233FE" w:rsidRPr="00A1472B" w:rsidRDefault="00C233FE" w:rsidP="00C233FE">
            <w:pPr>
              <w:pStyle w:val="Bullet"/>
              <w:numPr>
                <w:ilvl w:val="0"/>
                <w:numId w:val="0"/>
              </w:numPr>
            </w:pPr>
            <w:r>
              <w:rPr>
                <w:bCs/>
              </w:rPr>
              <w:t>Her total taxable capital gain is $485,643. This is more than the $400,000 that would have been calculated if a 50 per cent discount applied to the gain overall. Assuming a 47 per cent tax rate, the tax</w:t>
            </w:r>
            <w:r w:rsidR="00DE55AC">
              <w:rPr>
                <w:bCs/>
              </w:rPr>
              <w:t> </w:t>
            </w:r>
            <w:r>
              <w:rPr>
                <w:bCs/>
              </w:rPr>
              <w:t>on her gain is $228,252 (compared to $188,000 with a 50 per cent discount).</w:t>
            </w:r>
          </w:p>
          <w:p w14:paraId="7F948B30" w14:textId="44DA6CD6" w:rsidR="00A577AA" w:rsidRPr="00D95A99" w:rsidRDefault="00A4203A" w:rsidP="00EC2B9A">
            <w:pPr>
              <w:jc w:val="right"/>
              <w:rPr>
                <w:i/>
                <w:iCs/>
              </w:rPr>
            </w:pPr>
            <w:r>
              <w:rPr>
                <w:i/>
                <w:iCs/>
                <w:lang w:eastAsia="en-AU"/>
              </w:rPr>
              <w:t>c</w:t>
            </w:r>
            <w:r w:rsidR="00CF788D" w:rsidRPr="00D95A99">
              <w:rPr>
                <w:i/>
                <w:iCs/>
                <w:lang w:eastAsia="en-AU"/>
              </w:rPr>
              <w:t>ontinued on next page</w:t>
            </w:r>
          </w:p>
        </w:tc>
      </w:tr>
    </w:tbl>
    <w:p w14:paraId="4D4A8022" w14:textId="77777777" w:rsidR="00C143C8" w:rsidRDefault="00C143C8" w:rsidP="000154A3">
      <w:pPr>
        <w:spacing w:before="0" w:after="0"/>
      </w:pPr>
    </w:p>
    <w:tbl>
      <w:tblPr>
        <w:tblStyle w:val="TableGridLight"/>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F2FF"/>
        <w:tblLook w:val="04A0" w:firstRow="1" w:lastRow="0" w:firstColumn="1" w:lastColumn="0" w:noHBand="0" w:noVBand="1"/>
      </w:tblPr>
      <w:tblGrid>
        <w:gridCol w:w="9626"/>
      </w:tblGrid>
      <w:tr w:rsidR="00821266" w14:paraId="61F98C3D" w14:textId="77777777" w:rsidTr="00EC2B9A">
        <w:trPr>
          <w:trHeight w:val="30"/>
        </w:trPr>
        <w:tc>
          <w:tcPr>
            <w:tcW w:w="5000" w:type="pct"/>
            <w:shd w:val="clear" w:color="auto" w:fill="E6F2FF"/>
            <w:tcMar>
              <w:top w:w="170" w:type="dxa"/>
              <w:left w:w="227" w:type="dxa"/>
              <w:bottom w:w="227" w:type="dxa"/>
              <w:right w:w="227" w:type="dxa"/>
            </w:tcMar>
          </w:tcPr>
          <w:p w14:paraId="49FE2354" w14:textId="1C689A49" w:rsidR="00821266" w:rsidRDefault="00E20206" w:rsidP="00EC2B9A">
            <w:pPr>
              <w:pStyle w:val="BoxHeading"/>
            </w:pPr>
            <w:r>
              <w:lastRenderedPageBreak/>
              <w:t>Cameos</w:t>
            </w:r>
            <w:r w:rsidR="00821266">
              <w:t xml:space="preserve"> (continued)</w:t>
            </w:r>
          </w:p>
          <w:p w14:paraId="354E26C6" w14:textId="77777777" w:rsidR="00821266" w:rsidRPr="009A3578" w:rsidRDefault="00821266" w:rsidP="00EC2B9A">
            <w:pPr>
              <w:pStyle w:val="BoxHeading"/>
              <w:rPr>
                <w:sz w:val="22"/>
                <w:szCs w:val="18"/>
              </w:rPr>
            </w:pPr>
            <w:r w:rsidRPr="009A3578">
              <w:rPr>
                <w:sz w:val="22"/>
                <w:szCs w:val="18"/>
              </w:rPr>
              <w:t>Different rates of return</w:t>
            </w:r>
          </w:p>
          <w:p w14:paraId="12323773" w14:textId="77777777" w:rsidR="00821266" w:rsidRDefault="00821266" w:rsidP="00EC2B9A">
            <w:r>
              <w:rPr>
                <w:lang w:eastAsia="en-AU"/>
              </w:rPr>
              <w:t>People will be affected differently depending on the rate of return on their assets. For example, assuming 2.5 per cent inflation, an asset purchased for $500,000 in July 2027, a holding period of 10 years, and $100,000 in other income per year:</w:t>
            </w:r>
          </w:p>
          <w:p w14:paraId="2B85EF20" w14:textId="3C92E19B" w:rsidR="00821266" w:rsidRDefault="00821266" w:rsidP="00EC2B9A">
            <w:pPr>
              <w:pStyle w:val="BoxBullet"/>
            </w:pPr>
            <w:r>
              <w:t>David earns an annual rate of return of 5 per cent, similar to longer term returns on residential real</w:t>
            </w:r>
            <w:r w:rsidR="0009409C">
              <w:t> </w:t>
            </w:r>
            <w:r>
              <w:t>estate. He will have a taxable capital gain of $174,405 under cost base indexation compared to</w:t>
            </w:r>
            <w:r w:rsidR="0009409C">
              <w:t> </w:t>
            </w:r>
            <w:r>
              <w:t>$157,224 under the current 50 per cent discount. He will pay an extra $8,075 in tax due to the</w:t>
            </w:r>
            <w:r w:rsidR="0009409C">
              <w:t> </w:t>
            </w:r>
            <w:r>
              <w:t>reforms.</w:t>
            </w:r>
          </w:p>
          <w:p w14:paraId="4C3368E1" w14:textId="5AE46F07" w:rsidR="00821266" w:rsidRPr="003B25A5" w:rsidRDefault="00821266" w:rsidP="00EC2B9A">
            <w:pPr>
              <w:pStyle w:val="BoxBullet"/>
            </w:pPr>
            <w:r>
              <w:t>Ben earns a lower 2.5 per cent annual return. As Ben does not earn a positive return on his investment after inflation, he will not have a taxable capital gain under cost base indexation. Under</w:t>
            </w:r>
            <w:r w:rsidR="0009409C">
              <w:t> </w:t>
            </w:r>
            <w:r>
              <w:t>the 50 per cent discount his taxable capital gain would have been $70,021. He will pay $24,858 less in tax due to the reforms.</w:t>
            </w:r>
          </w:p>
          <w:p w14:paraId="6F4E7749" w14:textId="2FF4E63E" w:rsidR="00821266" w:rsidRDefault="00821266" w:rsidP="00EC2B9A">
            <w:pPr>
              <w:pStyle w:val="BoxBullet"/>
            </w:pPr>
            <w:r>
              <w:t>Kate earns a higher 7.5 per cent annual return.  She will have a taxable capital gain of $390,474 under cost base indexation compared to $265,258 under the current 50 per cent discount. She will</w:t>
            </w:r>
            <w:r w:rsidR="0009409C">
              <w:t> </w:t>
            </w:r>
            <w:r>
              <w:t>pay an extra $58,851 in tax due to the reforms.</w:t>
            </w:r>
          </w:p>
          <w:p w14:paraId="65350533" w14:textId="77777777" w:rsidR="00C233FE" w:rsidRPr="00D95A99" w:rsidRDefault="00C233FE" w:rsidP="00C233FE">
            <w:pPr>
              <w:rPr>
                <w:bCs/>
              </w:rPr>
            </w:pPr>
            <w:r w:rsidRPr="00D95A99">
              <w:rPr>
                <w:b/>
                <w:bCs/>
              </w:rPr>
              <w:t>Minimum tax on capital gains</w:t>
            </w:r>
          </w:p>
          <w:p w14:paraId="3E1554FD" w14:textId="10AAC986" w:rsidR="00C233FE" w:rsidRDefault="00C233FE" w:rsidP="00C233FE">
            <w:r>
              <w:t>Jack has a taxable income before capital gains of $25,000 in 202</w:t>
            </w:r>
            <w:r w:rsidR="000A14CE">
              <w:t>9</w:t>
            </w:r>
            <w:r w:rsidRPr="00E87AB5">
              <w:rPr>
                <w:rStyle w:val="Emphasis"/>
                <w:i w:val="0"/>
                <w:iCs w:val="0"/>
              </w:rPr>
              <w:t>–</w:t>
            </w:r>
            <w:r>
              <w:t>30 and realises a capital gain of $10,000 on an asset that he purchased in 2027</w:t>
            </w:r>
            <w:r w:rsidRPr="00576DC7">
              <w:rPr>
                <w:rStyle w:val="Emphasis"/>
              </w:rPr>
              <w:t>–</w:t>
            </w:r>
            <w:r>
              <w:t>28. Jack does not receive an income support payment so is not exempt from the minimum tax.</w:t>
            </w:r>
          </w:p>
          <w:p w14:paraId="0E1F4DD5" w14:textId="5F94BBFB" w:rsidR="00CF788D" w:rsidRPr="00AE6D7C" w:rsidRDefault="00C233FE" w:rsidP="00AE6D7C">
            <w:pPr>
              <w:pStyle w:val="BoxBullet"/>
            </w:pPr>
            <w:r>
              <w:t>The tax on Jack's capital gain of $10,000 is $1,400, or a tax rate of 14 per cent (excluding the Medicare levy). As this is lower than 30 per cent, Jack pays an additional $1,600 in tax to bring the</w:t>
            </w:r>
            <w:r w:rsidR="0009409C">
              <w:t> </w:t>
            </w:r>
            <w:r>
              <w:t>tax rate on his capital gain up to 30 per cent. Jack may have tax offsets available to reduce the minimum tax and would be exempt from the minimum tax if he received an income support payment in that year.</w:t>
            </w:r>
          </w:p>
        </w:tc>
      </w:tr>
    </w:tbl>
    <w:p w14:paraId="7A37AF55" w14:textId="77777777" w:rsidR="00B31F43" w:rsidRDefault="00B31F43" w:rsidP="000154A3">
      <w:pPr>
        <w:spacing w:before="0" w:after="0"/>
      </w:pPr>
    </w:p>
    <w:sectPr w:rsidR="00B31F43" w:rsidSect="002D0177">
      <w:headerReference w:type="default" r:id="rId11"/>
      <w:type w:val="continuous"/>
      <w:pgSz w:w="11907" w:h="16840" w:code="9"/>
      <w:pgMar w:top="1985" w:right="1134" w:bottom="1418" w:left="1134" w:header="851" w:footer="397" w:gutter="0"/>
      <w:cols w:space="5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676D8" w14:textId="77777777" w:rsidR="00950C38" w:rsidRDefault="00950C38" w:rsidP="00807207">
      <w:r>
        <w:separator/>
      </w:r>
    </w:p>
    <w:p w14:paraId="268A1243" w14:textId="77777777" w:rsidR="00950C38" w:rsidRDefault="00950C38" w:rsidP="00807207"/>
  </w:endnote>
  <w:endnote w:type="continuationSeparator" w:id="0">
    <w:p w14:paraId="77CF0DCD" w14:textId="77777777" w:rsidR="00950C38" w:rsidRDefault="00950C38" w:rsidP="00807207">
      <w:r>
        <w:continuationSeparator/>
      </w:r>
    </w:p>
    <w:p w14:paraId="5D517831" w14:textId="77777777" w:rsidR="00950C38" w:rsidRDefault="00950C38" w:rsidP="00807207"/>
  </w:endnote>
  <w:endnote w:type="continuationNotice" w:id="1">
    <w:p w14:paraId="66BA42EF" w14:textId="77777777" w:rsidR="00950C38" w:rsidRDefault="00950C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C84B" w14:textId="4EC3DCD4" w:rsidR="009530CD" w:rsidRPr="002D0177" w:rsidRDefault="002D0177" w:rsidP="002D0177">
    <w:pPr>
      <w:pStyle w:val="Footer"/>
      <w:spacing w:after="0"/>
      <w:rPr>
        <w:noProof/>
      </w:rPr>
    </w:pPr>
    <w:r>
      <w:rPr>
        <w:noProof/>
      </w:rPr>
      <w:drawing>
        <wp:anchor distT="0" distB="0" distL="114300" distR="114300" simplePos="0" relativeHeight="251658243" behindDoc="1" locked="0" layoutInCell="1" allowOverlap="1" wp14:anchorId="621E839E" wp14:editId="7CB77071">
          <wp:simplePos x="0" y="0"/>
          <wp:positionH relativeFrom="page">
            <wp:posOffset>-438948</wp:posOffset>
          </wp:positionH>
          <wp:positionV relativeFrom="page">
            <wp:posOffset>9969486</wp:posOffset>
          </wp:positionV>
          <wp:extent cx="8457145" cy="720000"/>
          <wp:effectExtent l="0" t="0" r="1270" b="4445"/>
          <wp:wrapNone/>
          <wp:docPr id="902505925" name="Picture 9025059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57145" cy="72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2" behindDoc="1" locked="0" layoutInCell="1" allowOverlap="1" wp14:anchorId="33A03E59" wp14:editId="2584A2D7">
          <wp:simplePos x="0" y="0"/>
          <wp:positionH relativeFrom="margin">
            <wp:posOffset>-32385</wp:posOffset>
          </wp:positionH>
          <wp:positionV relativeFrom="paragraph">
            <wp:posOffset>93345</wp:posOffset>
          </wp:positionV>
          <wp:extent cx="869315" cy="127635"/>
          <wp:effectExtent l="0" t="0" r="6985" b="5715"/>
          <wp:wrapTight wrapText="bothSides">
            <wp:wrapPolygon edited="0">
              <wp:start x="0" y="0"/>
              <wp:lineTo x="0" y="19343"/>
              <wp:lineTo x="4733" y="19343"/>
              <wp:lineTo x="8047" y="19343"/>
              <wp:lineTo x="21300" y="19343"/>
              <wp:lineTo x="21300" y="0"/>
              <wp:lineTo x="0" y="0"/>
            </wp:wrapPolygon>
          </wp:wrapTight>
          <wp:docPr id="17969515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21655" name="Picture 9">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541" t="-1" r="541" b="-1516"/>
                  <a:stretch>
                    <a:fillRect/>
                  </a:stretch>
                </pic:blipFill>
                <pic:spPr bwMode="auto">
                  <a:xfrm>
                    <a:off x="0" y="0"/>
                    <a:ext cx="869315" cy="127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  </w:t>
    </w:r>
    <w:r w:rsidRPr="00C56C60">
      <w:rPr>
        <w:noProof/>
      </w:rPr>
      <w:t>|</w:t>
    </w:r>
    <w:r>
      <w:rPr>
        <w:noProof/>
      </w:rPr>
      <w:t xml:space="preserve"> </w:t>
    </w:r>
    <w:r w:rsidRPr="00C56C60">
      <w:rPr>
        <w:noProof/>
      </w:rPr>
      <w:t xml:space="preserve"> </w:t>
    </w:r>
    <w:r w:rsidRPr="00C56C60">
      <w:rPr>
        <w:noProof/>
      </w:rPr>
      <w:fldChar w:fldCharType="begin"/>
    </w:r>
    <w:r w:rsidRPr="00C56C60">
      <w:rPr>
        <w:noProof/>
      </w:rPr>
      <w:instrText xml:space="preserve"> STYLEREF  "Heading 1"  \* MERGEFORMAT </w:instrText>
    </w:r>
    <w:r w:rsidRPr="00C56C60">
      <w:rPr>
        <w:noProof/>
      </w:rPr>
      <w:fldChar w:fldCharType="separate"/>
    </w:r>
    <w:r w:rsidR="00861624" w:rsidRPr="00861624">
      <w:rPr>
        <w:b/>
        <w:bCs/>
        <w:noProof/>
        <w:lang w:val="en-US"/>
      </w:rPr>
      <w:t>Negative Gearing and Capital Gains Tax Reform</w:t>
    </w:r>
    <w:r w:rsidRPr="00C56C60">
      <w:rPr>
        <w:noProof/>
      </w:rPr>
      <w:fldChar w:fldCharType="end"/>
    </w:r>
    <w:r w:rsidRPr="0084440D">
      <w:tab/>
    </w:r>
    <w:r w:rsidRPr="00D80504">
      <w:rPr>
        <w:bCs/>
      </w:rPr>
      <w:fldChar w:fldCharType="begin"/>
    </w:r>
    <w:r w:rsidRPr="00D80504">
      <w:rPr>
        <w:bCs/>
      </w:rPr>
      <w:instrText xml:space="preserve"> PAGE   \* MERGEFORMAT </w:instrText>
    </w:r>
    <w:r w:rsidRPr="00D80504">
      <w:rPr>
        <w:bCs/>
      </w:rPr>
      <w:fldChar w:fldCharType="separate"/>
    </w:r>
    <w:r>
      <w:rPr>
        <w:bCs/>
      </w:rPr>
      <w:t>1</w:t>
    </w:r>
    <w:r w:rsidRPr="00D80504">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2709" w14:textId="1D291F79" w:rsidR="004C06BF" w:rsidRPr="0084440D" w:rsidRDefault="00DB6850" w:rsidP="00546AC5">
    <w:pPr>
      <w:pStyle w:val="Footer"/>
      <w:spacing w:after="0"/>
      <w:rPr>
        <w:noProof/>
      </w:rPr>
    </w:pPr>
    <w:r>
      <w:rPr>
        <w:noProof/>
      </w:rPr>
      <w:drawing>
        <wp:anchor distT="0" distB="0" distL="114300" distR="114300" simplePos="0" relativeHeight="251658244" behindDoc="1" locked="0" layoutInCell="1" allowOverlap="1" wp14:anchorId="64E22418" wp14:editId="1BB9E3A1">
          <wp:simplePos x="0" y="0"/>
          <wp:positionH relativeFrom="page">
            <wp:align>center</wp:align>
          </wp:positionH>
          <wp:positionV relativeFrom="page">
            <wp:align>bottom</wp:align>
          </wp:positionV>
          <wp:extent cx="8457953" cy="720000"/>
          <wp:effectExtent l="0" t="0" r="635" b="4445"/>
          <wp:wrapNone/>
          <wp:docPr id="1152776624" name="Picture 1152776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57953"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39D2">
      <w:rPr>
        <w:noProof/>
      </w:rPr>
      <w:drawing>
        <wp:anchor distT="0" distB="0" distL="0" distR="0" simplePos="0" relativeHeight="251658241" behindDoc="1" locked="0" layoutInCell="1" allowOverlap="1" wp14:anchorId="67D665DC" wp14:editId="270E9798">
          <wp:simplePos x="0" y="0"/>
          <wp:positionH relativeFrom="margin">
            <wp:posOffset>-32385</wp:posOffset>
          </wp:positionH>
          <wp:positionV relativeFrom="paragraph">
            <wp:posOffset>93345</wp:posOffset>
          </wp:positionV>
          <wp:extent cx="869315" cy="127635"/>
          <wp:effectExtent l="0" t="0" r="6985" b="5715"/>
          <wp:wrapTight wrapText="bothSides">
            <wp:wrapPolygon edited="0">
              <wp:start x="0" y="0"/>
              <wp:lineTo x="0" y="19343"/>
              <wp:lineTo x="4733" y="19343"/>
              <wp:lineTo x="8047" y="19343"/>
              <wp:lineTo x="21300" y="19343"/>
              <wp:lineTo x="21300" y="0"/>
              <wp:lineTo x="0" y="0"/>
            </wp:wrapPolygon>
          </wp:wrapTight>
          <wp:docPr id="161044585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21655" name="Picture 9">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541" t="-1" r="541" b="-1516"/>
                  <a:stretch>
                    <a:fillRect/>
                  </a:stretch>
                </pic:blipFill>
                <pic:spPr bwMode="auto">
                  <a:xfrm>
                    <a:off x="0" y="0"/>
                    <a:ext cx="869315" cy="127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421D">
      <w:rPr>
        <w:noProof/>
      </w:rPr>
      <w:t xml:space="preserve">  </w:t>
    </w:r>
    <w:r w:rsidR="003F18B1" w:rsidRPr="00C56C60">
      <w:rPr>
        <w:noProof/>
      </w:rPr>
      <w:t>|</w:t>
    </w:r>
    <w:r w:rsidR="00DD4958">
      <w:rPr>
        <w:noProof/>
      </w:rPr>
      <w:t xml:space="preserve"> </w:t>
    </w:r>
    <w:r w:rsidR="003F18B1" w:rsidRPr="00C56C60">
      <w:rPr>
        <w:noProof/>
      </w:rPr>
      <w:t xml:space="preserve"> </w:t>
    </w:r>
    <w:r w:rsidR="003F18B1" w:rsidRPr="00C56C60">
      <w:rPr>
        <w:noProof/>
      </w:rPr>
      <w:fldChar w:fldCharType="begin"/>
    </w:r>
    <w:r w:rsidR="003F18B1" w:rsidRPr="00C56C60">
      <w:rPr>
        <w:noProof/>
      </w:rPr>
      <w:instrText xml:space="preserve"> STYLEREF  "Heading 1"  \* MERGEFORMAT </w:instrText>
    </w:r>
    <w:r w:rsidR="003F18B1" w:rsidRPr="00C56C60">
      <w:rPr>
        <w:noProof/>
      </w:rPr>
      <w:fldChar w:fldCharType="separate"/>
    </w:r>
    <w:r w:rsidR="00861624" w:rsidRPr="00861624">
      <w:rPr>
        <w:b/>
        <w:bCs/>
        <w:noProof/>
        <w:lang w:val="en-US"/>
      </w:rPr>
      <w:t>Negative Gearing and Capital Gains Tax Reform</w:t>
    </w:r>
    <w:r w:rsidR="003F18B1" w:rsidRPr="00C56C60">
      <w:rPr>
        <w:noProof/>
      </w:rPr>
      <w:fldChar w:fldCharType="end"/>
    </w:r>
    <w:r w:rsidR="004C06BF" w:rsidRPr="0084440D">
      <w:tab/>
    </w:r>
    <w:r w:rsidR="004C06BF" w:rsidRPr="00D80504">
      <w:rPr>
        <w:bCs/>
      </w:rPr>
      <w:fldChar w:fldCharType="begin"/>
    </w:r>
    <w:r w:rsidR="004C06BF" w:rsidRPr="00D80504">
      <w:rPr>
        <w:bCs/>
      </w:rPr>
      <w:instrText xml:space="preserve"> PAGE   \* MERGEFORMAT </w:instrText>
    </w:r>
    <w:r w:rsidR="004C06BF" w:rsidRPr="00D80504">
      <w:rPr>
        <w:bCs/>
      </w:rPr>
      <w:fldChar w:fldCharType="separate"/>
    </w:r>
    <w:r w:rsidR="00D250AD" w:rsidRPr="00D80504">
      <w:rPr>
        <w:bCs/>
        <w:noProof/>
      </w:rPr>
      <w:t>1</w:t>
    </w:r>
    <w:r w:rsidR="004C06BF" w:rsidRPr="00D80504">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9D6F" w14:textId="77777777" w:rsidR="00950C38" w:rsidRDefault="00950C38" w:rsidP="00807207">
      <w:r>
        <w:separator/>
      </w:r>
    </w:p>
  </w:footnote>
  <w:footnote w:type="continuationSeparator" w:id="0">
    <w:p w14:paraId="5A889310" w14:textId="77777777" w:rsidR="00950C38" w:rsidRDefault="00950C38" w:rsidP="00807207">
      <w:r>
        <w:continuationSeparator/>
      </w:r>
    </w:p>
    <w:p w14:paraId="447EBD5B" w14:textId="77777777" w:rsidR="00950C38" w:rsidRDefault="00950C38" w:rsidP="00807207"/>
  </w:footnote>
  <w:footnote w:type="continuationNotice" w:id="1">
    <w:p w14:paraId="3D3F05DE" w14:textId="77777777" w:rsidR="00950C38" w:rsidRDefault="00950C38">
      <w:pPr>
        <w:spacing w:before="0" w:after="0"/>
      </w:pPr>
    </w:p>
  </w:footnote>
  <w:footnote w:id="2">
    <w:p w14:paraId="7F8DBE16" w14:textId="734E3A01" w:rsidR="00523EBC" w:rsidRDefault="00523EBC" w:rsidP="00C233FE">
      <w:pPr>
        <w:pStyle w:val="FootnoteText"/>
        <w:tabs>
          <w:tab w:val="left" w:pos="284"/>
        </w:tabs>
        <w:ind w:left="284" w:hanging="284"/>
      </w:pPr>
      <w:r w:rsidRPr="00E20206" w:rsidDel="00E20206">
        <w:rPr>
          <w:rStyle w:val="FootnoteReference"/>
          <w:vertAlign w:val="baseline"/>
        </w:rPr>
        <w:footnoteRef/>
      </w:r>
      <w:r w:rsidR="00C233FE">
        <w:t xml:space="preserve"> </w:t>
      </w:r>
      <w:r w:rsidR="00C233FE">
        <w:tab/>
      </w:r>
      <w:r w:rsidRPr="00E2798A">
        <w:t xml:space="preserve">This is roughly the average negative gearing loss </w:t>
      </w:r>
      <w:r>
        <w:t>in 2022</w:t>
      </w:r>
      <w:r w:rsidRPr="00576DC7">
        <w:rPr>
          <w:rStyle w:val="Emphasis"/>
        </w:rPr>
        <w:t>–</w:t>
      </w:r>
      <w:r>
        <w:t xml:space="preserve">23 </w:t>
      </w:r>
      <w:r w:rsidRPr="00E2798A">
        <w:t xml:space="preserve">for an individual in the top tax bracket ($14,390) and is equivalent to </w:t>
      </w:r>
      <w:r w:rsidRPr="00C233FE">
        <w:t>the</w:t>
      </w:r>
      <w:r w:rsidRPr="00E2798A">
        <w:t xml:space="preserve"> loss with a 3.1</w:t>
      </w:r>
      <w:r>
        <w:t xml:space="preserve"> per cent</w:t>
      </w:r>
      <w:r w:rsidRPr="00E2798A">
        <w:t xml:space="preserve"> rental yield and 5.7</w:t>
      </w:r>
      <w:r>
        <w:t xml:space="preserve"> per cent</w:t>
      </w:r>
      <w:r w:rsidRPr="00E2798A">
        <w:t xml:space="preserve"> interest rate on a $1 million property.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80AA" w14:textId="5AE8C2C6" w:rsidR="004C06BF" w:rsidRDefault="00AE6C30" w:rsidP="005F26F5">
    <w:pPr>
      <w:pStyle w:val="Header"/>
      <w:tabs>
        <w:tab w:val="clear" w:pos="9026"/>
        <w:tab w:val="left" w:pos="7738"/>
      </w:tabs>
    </w:pPr>
    <w:r>
      <w:rPr>
        <w:noProof/>
      </w:rPr>
      <w:drawing>
        <wp:anchor distT="0" distB="0" distL="114300" distR="114300" simplePos="0" relativeHeight="251658240" behindDoc="1" locked="0" layoutInCell="1" allowOverlap="1" wp14:anchorId="23725639" wp14:editId="74628F49">
          <wp:simplePos x="0" y="0"/>
          <wp:positionH relativeFrom="page">
            <wp:posOffset>0</wp:posOffset>
          </wp:positionH>
          <wp:positionV relativeFrom="page">
            <wp:posOffset>-1905</wp:posOffset>
          </wp:positionV>
          <wp:extent cx="7560000" cy="3023390"/>
          <wp:effectExtent l="0" t="0" r="3175" b="5715"/>
          <wp:wrapNone/>
          <wp:docPr id="17172744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22046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0233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0460" w14:textId="2090624C" w:rsidR="0031577C" w:rsidRDefault="0031577C" w:rsidP="005F26F5">
    <w:pPr>
      <w:pStyle w:val="Header"/>
      <w:tabs>
        <w:tab w:val="clear" w:pos="9026"/>
        <w:tab w:val="left" w:pos="77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1C83" w14:textId="42688F7A" w:rsidR="00FC565C" w:rsidRDefault="00FC5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D6B5224"/>
    <w:multiLevelType w:val="multilevel"/>
    <w:tmpl w:val="0F46578E"/>
    <w:name w:val="StandardBulletedList"/>
    <w:lvl w:ilvl="0">
      <w:start w:val="1"/>
      <w:numFmt w:val="bullet"/>
      <w:pStyle w:val="Bullet"/>
      <w:lvlText w:val="•"/>
      <w:lvlJc w:val="left"/>
      <w:pPr>
        <w:tabs>
          <w:tab w:val="num" w:pos="520"/>
        </w:tabs>
        <w:ind w:left="284" w:hanging="284"/>
      </w:pPr>
      <w:rPr>
        <w:rFonts w:ascii="Times New Roman" w:hAnsi="Times New Roman" w:cs="Times New Roman" w:hint="default"/>
      </w:rPr>
    </w:lvl>
    <w:lvl w:ilvl="1">
      <w:start w:val="1"/>
      <w:numFmt w:val="bullet"/>
      <w:pStyle w:val="Dash"/>
      <w:lvlText w:val="–"/>
      <w:lvlJc w:val="left"/>
      <w:pPr>
        <w:tabs>
          <w:tab w:val="num" w:pos="804"/>
        </w:tabs>
        <w:ind w:left="568" w:hanging="284"/>
      </w:pPr>
      <w:rPr>
        <w:rFonts w:ascii="Times New Roman" w:hAnsi="Times New Roman" w:cs="Times New Roman" w:hint="default"/>
      </w:rPr>
    </w:lvl>
    <w:lvl w:ilvl="2">
      <w:start w:val="1"/>
      <w:numFmt w:val="bullet"/>
      <w:pStyle w:val="DoubleDot"/>
      <w:lvlText w:val=":"/>
      <w:lvlJc w:val="left"/>
      <w:pPr>
        <w:tabs>
          <w:tab w:val="num" w:pos="1088"/>
        </w:tabs>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num w:numId="1" w16cid:durableId="1768233546">
    <w:abstractNumId w:val="2"/>
  </w:num>
  <w:num w:numId="2" w16cid:durableId="863714490">
    <w:abstractNumId w:val="0"/>
  </w:num>
  <w:num w:numId="3" w16cid:durableId="596979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9B"/>
    <w:rsid w:val="00001511"/>
    <w:rsid w:val="00002763"/>
    <w:rsid w:val="000034D4"/>
    <w:rsid w:val="00004032"/>
    <w:rsid w:val="00004127"/>
    <w:rsid w:val="00004490"/>
    <w:rsid w:val="00004696"/>
    <w:rsid w:val="00006FF9"/>
    <w:rsid w:val="0000783F"/>
    <w:rsid w:val="00007CB5"/>
    <w:rsid w:val="000100C6"/>
    <w:rsid w:val="00010548"/>
    <w:rsid w:val="000118DA"/>
    <w:rsid w:val="00012B1E"/>
    <w:rsid w:val="0001325F"/>
    <w:rsid w:val="000136C3"/>
    <w:rsid w:val="00013B38"/>
    <w:rsid w:val="00013FE9"/>
    <w:rsid w:val="000146F7"/>
    <w:rsid w:val="000149A0"/>
    <w:rsid w:val="00014A41"/>
    <w:rsid w:val="00014B67"/>
    <w:rsid w:val="000154A3"/>
    <w:rsid w:val="0001689E"/>
    <w:rsid w:val="000208C3"/>
    <w:rsid w:val="00022E3F"/>
    <w:rsid w:val="00023BA9"/>
    <w:rsid w:val="00023DB8"/>
    <w:rsid w:val="00025B01"/>
    <w:rsid w:val="00026183"/>
    <w:rsid w:val="00026A06"/>
    <w:rsid w:val="00027571"/>
    <w:rsid w:val="000279C7"/>
    <w:rsid w:val="00030C98"/>
    <w:rsid w:val="00031510"/>
    <w:rsid w:val="00031749"/>
    <w:rsid w:val="0003231E"/>
    <w:rsid w:val="0003336B"/>
    <w:rsid w:val="00033A75"/>
    <w:rsid w:val="00033F7D"/>
    <w:rsid w:val="000340B5"/>
    <w:rsid w:val="000343A0"/>
    <w:rsid w:val="0003467B"/>
    <w:rsid w:val="00034B32"/>
    <w:rsid w:val="00034F0F"/>
    <w:rsid w:val="00035F1A"/>
    <w:rsid w:val="000360D0"/>
    <w:rsid w:val="000360F6"/>
    <w:rsid w:val="0003620C"/>
    <w:rsid w:val="0003653A"/>
    <w:rsid w:val="00040402"/>
    <w:rsid w:val="00041B9B"/>
    <w:rsid w:val="000421F9"/>
    <w:rsid w:val="00042D9E"/>
    <w:rsid w:val="00043491"/>
    <w:rsid w:val="00043ACD"/>
    <w:rsid w:val="00043B0A"/>
    <w:rsid w:val="00044579"/>
    <w:rsid w:val="0004458A"/>
    <w:rsid w:val="000464DF"/>
    <w:rsid w:val="00046804"/>
    <w:rsid w:val="000475F8"/>
    <w:rsid w:val="0005154D"/>
    <w:rsid w:val="00051A53"/>
    <w:rsid w:val="000530E3"/>
    <w:rsid w:val="0005365B"/>
    <w:rsid w:val="00053DB9"/>
    <w:rsid w:val="00054DA7"/>
    <w:rsid w:val="000569D6"/>
    <w:rsid w:val="00057699"/>
    <w:rsid w:val="00060261"/>
    <w:rsid w:val="00060E15"/>
    <w:rsid w:val="00061BBE"/>
    <w:rsid w:val="000627FD"/>
    <w:rsid w:val="00062B54"/>
    <w:rsid w:val="00062F61"/>
    <w:rsid w:val="00063845"/>
    <w:rsid w:val="00063C86"/>
    <w:rsid w:val="00063D5B"/>
    <w:rsid w:val="00063F89"/>
    <w:rsid w:val="0006416A"/>
    <w:rsid w:val="000649C6"/>
    <w:rsid w:val="00064E79"/>
    <w:rsid w:val="00064F5B"/>
    <w:rsid w:val="000662EB"/>
    <w:rsid w:val="00066598"/>
    <w:rsid w:val="00066FBA"/>
    <w:rsid w:val="00070E39"/>
    <w:rsid w:val="0007510A"/>
    <w:rsid w:val="0007550E"/>
    <w:rsid w:val="000761A8"/>
    <w:rsid w:val="00077588"/>
    <w:rsid w:val="0008022D"/>
    <w:rsid w:val="000809E0"/>
    <w:rsid w:val="00080EEC"/>
    <w:rsid w:val="00081D9A"/>
    <w:rsid w:val="0008522A"/>
    <w:rsid w:val="00085674"/>
    <w:rsid w:val="00086615"/>
    <w:rsid w:val="00086E63"/>
    <w:rsid w:val="000911EB"/>
    <w:rsid w:val="000922A0"/>
    <w:rsid w:val="0009262A"/>
    <w:rsid w:val="00092DC9"/>
    <w:rsid w:val="0009409C"/>
    <w:rsid w:val="00095309"/>
    <w:rsid w:val="00095B1A"/>
    <w:rsid w:val="00097722"/>
    <w:rsid w:val="00097AAD"/>
    <w:rsid w:val="000A0816"/>
    <w:rsid w:val="000A14CE"/>
    <w:rsid w:val="000A1868"/>
    <w:rsid w:val="000A1D5D"/>
    <w:rsid w:val="000A4D2D"/>
    <w:rsid w:val="000A59BE"/>
    <w:rsid w:val="000A60F7"/>
    <w:rsid w:val="000A7170"/>
    <w:rsid w:val="000A7334"/>
    <w:rsid w:val="000B0E2F"/>
    <w:rsid w:val="000B0E8B"/>
    <w:rsid w:val="000B2968"/>
    <w:rsid w:val="000B53C4"/>
    <w:rsid w:val="000B565E"/>
    <w:rsid w:val="000B6BDD"/>
    <w:rsid w:val="000B7137"/>
    <w:rsid w:val="000C00A2"/>
    <w:rsid w:val="000C02C9"/>
    <w:rsid w:val="000C1515"/>
    <w:rsid w:val="000C15D5"/>
    <w:rsid w:val="000C1AB3"/>
    <w:rsid w:val="000C1AE1"/>
    <w:rsid w:val="000C1B29"/>
    <w:rsid w:val="000C4410"/>
    <w:rsid w:val="000C5250"/>
    <w:rsid w:val="000C5678"/>
    <w:rsid w:val="000C5857"/>
    <w:rsid w:val="000C5E6D"/>
    <w:rsid w:val="000C6D55"/>
    <w:rsid w:val="000C7869"/>
    <w:rsid w:val="000D0345"/>
    <w:rsid w:val="000D0374"/>
    <w:rsid w:val="000D0479"/>
    <w:rsid w:val="000D0482"/>
    <w:rsid w:val="000D1D57"/>
    <w:rsid w:val="000D2B09"/>
    <w:rsid w:val="000D3EFB"/>
    <w:rsid w:val="000D4398"/>
    <w:rsid w:val="000D4964"/>
    <w:rsid w:val="000D4E5D"/>
    <w:rsid w:val="000D633C"/>
    <w:rsid w:val="000D668E"/>
    <w:rsid w:val="000D6DE7"/>
    <w:rsid w:val="000E0C0E"/>
    <w:rsid w:val="000E106C"/>
    <w:rsid w:val="000E21D3"/>
    <w:rsid w:val="000E2D1D"/>
    <w:rsid w:val="000E3DEB"/>
    <w:rsid w:val="000E504F"/>
    <w:rsid w:val="000E50F4"/>
    <w:rsid w:val="000E5559"/>
    <w:rsid w:val="000E5995"/>
    <w:rsid w:val="000E5D1B"/>
    <w:rsid w:val="000E716C"/>
    <w:rsid w:val="000E793D"/>
    <w:rsid w:val="000E7995"/>
    <w:rsid w:val="000E7D66"/>
    <w:rsid w:val="000F1573"/>
    <w:rsid w:val="000F1BB2"/>
    <w:rsid w:val="000F253C"/>
    <w:rsid w:val="000F3E3B"/>
    <w:rsid w:val="000F4B3A"/>
    <w:rsid w:val="000F51EF"/>
    <w:rsid w:val="000F5DFA"/>
    <w:rsid w:val="000F61D1"/>
    <w:rsid w:val="000F7A11"/>
    <w:rsid w:val="00100CFA"/>
    <w:rsid w:val="00101688"/>
    <w:rsid w:val="001038CF"/>
    <w:rsid w:val="00103A5A"/>
    <w:rsid w:val="00104083"/>
    <w:rsid w:val="001045F8"/>
    <w:rsid w:val="0010481B"/>
    <w:rsid w:val="00104D09"/>
    <w:rsid w:val="001056EC"/>
    <w:rsid w:val="00105DFB"/>
    <w:rsid w:val="0010624D"/>
    <w:rsid w:val="001067C7"/>
    <w:rsid w:val="001075B4"/>
    <w:rsid w:val="00107BBF"/>
    <w:rsid w:val="001106BB"/>
    <w:rsid w:val="001117F9"/>
    <w:rsid w:val="0011181F"/>
    <w:rsid w:val="00112954"/>
    <w:rsid w:val="00112D7A"/>
    <w:rsid w:val="00113A79"/>
    <w:rsid w:val="00113D33"/>
    <w:rsid w:val="00114EDD"/>
    <w:rsid w:val="00115F81"/>
    <w:rsid w:val="00116A7E"/>
    <w:rsid w:val="00116D80"/>
    <w:rsid w:val="0011782D"/>
    <w:rsid w:val="00120121"/>
    <w:rsid w:val="0012050F"/>
    <w:rsid w:val="00121525"/>
    <w:rsid w:val="00121ABE"/>
    <w:rsid w:val="00123AD9"/>
    <w:rsid w:val="00124B8D"/>
    <w:rsid w:val="001251B5"/>
    <w:rsid w:val="00125B9C"/>
    <w:rsid w:val="00126057"/>
    <w:rsid w:val="00126832"/>
    <w:rsid w:val="00126CF8"/>
    <w:rsid w:val="00127757"/>
    <w:rsid w:val="00130F67"/>
    <w:rsid w:val="0013115F"/>
    <w:rsid w:val="00131389"/>
    <w:rsid w:val="00131586"/>
    <w:rsid w:val="00131836"/>
    <w:rsid w:val="00133C3C"/>
    <w:rsid w:val="001345C9"/>
    <w:rsid w:val="00134690"/>
    <w:rsid w:val="00134BCE"/>
    <w:rsid w:val="00135301"/>
    <w:rsid w:val="001366D4"/>
    <w:rsid w:val="00136B86"/>
    <w:rsid w:val="001374B9"/>
    <w:rsid w:val="001379AA"/>
    <w:rsid w:val="00137F5A"/>
    <w:rsid w:val="00140145"/>
    <w:rsid w:val="0014111B"/>
    <w:rsid w:val="00141C79"/>
    <w:rsid w:val="00142F15"/>
    <w:rsid w:val="00143685"/>
    <w:rsid w:val="0014394E"/>
    <w:rsid w:val="00143FEA"/>
    <w:rsid w:val="00144B0A"/>
    <w:rsid w:val="001453D4"/>
    <w:rsid w:val="00145B13"/>
    <w:rsid w:val="00145C48"/>
    <w:rsid w:val="00146434"/>
    <w:rsid w:val="001473F1"/>
    <w:rsid w:val="00147F83"/>
    <w:rsid w:val="001507CE"/>
    <w:rsid w:val="00151194"/>
    <w:rsid w:val="00151E90"/>
    <w:rsid w:val="00152274"/>
    <w:rsid w:val="00153C89"/>
    <w:rsid w:val="00153F87"/>
    <w:rsid w:val="00154465"/>
    <w:rsid w:val="00154A28"/>
    <w:rsid w:val="00154DA7"/>
    <w:rsid w:val="001552C7"/>
    <w:rsid w:val="001571AA"/>
    <w:rsid w:val="0016015F"/>
    <w:rsid w:val="001601E3"/>
    <w:rsid w:val="00160A98"/>
    <w:rsid w:val="00161659"/>
    <w:rsid w:val="00161A5D"/>
    <w:rsid w:val="00163457"/>
    <w:rsid w:val="00163DA4"/>
    <w:rsid w:val="00164BB1"/>
    <w:rsid w:val="00164D10"/>
    <w:rsid w:val="0016678B"/>
    <w:rsid w:val="00166869"/>
    <w:rsid w:val="00170748"/>
    <w:rsid w:val="001710B4"/>
    <w:rsid w:val="0017149D"/>
    <w:rsid w:val="00171851"/>
    <w:rsid w:val="00171DC0"/>
    <w:rsid w:val="00172330"/>
    <w:rsid w:val="00172540"/>
    <w:rsid w:val="00173161"/>
    <w:rsid w:val="0017350E"/>
    <w:rsid w:val="00174616"/>
    <w:rsid w:val="00174D05"/>
    <w:rsid w:val="001751FE"/>
    <w:rsid w:val="0017536B"/>
    <w:rsid w:val="00181085"/>
    <w:rsid w:val="001816D5"/>
    <w:rsid w:val="00182303"/>
    <w:rsid w:val="0018235D"/>
    <w:rsid w:val="0018249A"/>
    <w:rsid w:val="00182A33"/>
    <w:rsid w:val="00182F02"/>
    <w:rsid w:val="0018392B"/>
    <w:rsid w:val="0018495C"/>
    <w:rsid w:val="00184A8E"/>
    <w:rsid w:val="00185D30"/>
    <w:rsid w:val="00186928"/>
    <w:rsid w:val="00186A14"/>
    <w:rsid w:val="00187220"/>
    <w:rsid w:val="00190E1B"/>
    <w:rsid w:val="0019175A"/>
    <w:rsid w:val="00191989"/>
    <w:rsid w:val="001923CB"/>
    <w:rsid w:val="001927C5"/>
    <w:rsid w:val="00192940"/>
    <w:rsid w:val="001934BE"/>
    <w:rsid w:val="001934F6"/>
    <w:rsid w:val="00193F39"/>
    <w:rsid w:val="0019417D"/>
    <w:rsid w:val="00195980"/>
    <w:rsid w:val="001959C7"/>
    <w:rsid w:val="00196004"/>
    <w:rsid w:val="0019660A"/>
    <w:rsid w:val="00196EFC"/>
    <w:rsid w:val="00197635"/>
    <w:rsid w:val="001979C4"/>
    <w:rsid w:val="00197F1D"/>
    <w:rsid w:val="001A100D"/>
    <w:rsid w:val="001A19BC"/>
    <w:rsid w:val="001A1BF0"/>
    <w:rsid w:val="001A2806"/>
    <w:rsid w:val="001A6BAD"/>
    <w:rsid w:val="001B06A2"/>
    <w:rsid w:val="001B0701"/>
    <w:rsid w:val="001B0B78"/>
    <w:rsid w:val="001B1039"/>
    <w:rsid w:val="001B2395"/>
    <w:rsid w:val="001B3899"/>
    <w:rsid w:val="001B5A5D"/>
    <w:rsid w:val="001B717F"/>
    <w:rsid w:val="001B74D2"/>
    <w:rsid w:val="001B7735"/>
    <w:rsid w:val="001C0BF5"/>
    <w:rsid w:val="001C1073"/>
    <w:rsid w:val="001C17E2"/>
    <w:rsid w:val="001C2B15"/>
    <w:rsid w:val="001C2CF2"/>
    <w:rsid w:val="001C32DA"/>
    <w:rsid w:val="001C3A42"/>
    <w:rsid w:val="001C4201"/>
    <w:rsid w:val="001C4B49"/>
    <w:rsid w:val="001C5540"/>
    <w:rsid w:val="001C668E"/>
    <w:rsid w:val="001C6909"/>
    <w:rsid w:val="001C784A"/>
    <w:rsid w:val="001C78AE"/>
    <w:rsid w:val="001D18BA"/>
    <w:rsid w:val="001D2FEE"/>
    <w:rsid w:val="001D3D7E"/>
    <w:rsid w:val="001D4A81"/>
    <w:rsid w:val="001D5695"/>
    <w:rsid w:val="001D59F7"/>
    <w:rsid w:val="001D653B"/>
    <w:rsid w:val="001D7493"/>
    <w:rsid w:val="001E1FB9"/>
    <w:rsid w:val="001E2D69"/>
    <w:rsid w:val="001E3287"/>
    <w:rsid w:val="001E4BF8"/>
    <w:rsid w:val="001E5745"/>
    <w:rsid w:val="001E5F52"/>
    <w:rsid w:val="001E6292"/>
    <w:rsid w:val="001E6362"/>
    <w:rsid w:val="001E6A95"/>
    <w:rsid w:val="001E735C"/>
    <w:rsid w:val="001E7551"/>
    <w:rsid w:val="001E781E"/>
    <w:rsid w:val="001F044F"/>
    <w:rsid w:val="001F17AA"/>
    <w:rsid w:val="001F25C8"/>
    <w:rsid w:val="001F426B"/>
    <w:rsid w:val="001F4D0F"/>
    <w:rsid w:val="001F61FA"/>
    <w:rsid w:val="001F6A7F"/>
    <w:rsid w:val="001F7828"/>
    <w:rsid w:val="002000DE"/>
    <w:rsid w:val="00200137"/>
    <w:rsid w:val="002002A8"/>
    <w:rsid w:val="00200935"/>
    <w:rsid w:val="002039AA"/>
    <w:rsid w:val="002040EC"/>
    <w:rsid w:val="00205AAE"/>
    <w:rsid w:val="00205B96"/>
    <w:rsid w:val="00206C3A"/>
    <w:rsid w:val="00206D47"/>
    <w:rsid w:val="00207ACF"/>
    <w:rsid w:val="002101DB"/>
    <w:rsid w:val="00210365"/>
    <w:rsid w:val="00210651"/>
    <w:rsid w:val="0021074E"/>
    <w:rsid w:val="00210C21"/>
    <w:rsid w:val="002116AD"/>
    <w:rsid w:val="00211DDF"/>
    <w:rsid w:val="002129F6"/>
    <w:rsid w:val="00212DC9"/>
    <w:rsid w:val="002133BF"/>
    <w:rsid w:val="002143A7"/>
    <w:rsid w:val="00214656"/>
    <w:rsid w:val="00214BD0"/>
    <w:rsid w:val="00215935"/>
    <w:rsid w:val="00216D33"/>
    <w:rsid w:val="00216D66"/>
    <w:rsid w:val="00217892"/>
    <w:rsid w:val="00217A26"/>
    <w:rsid w:val="00217DE9"/>
    <w:rsid w:val="002202FD"/>
    <w:rsid w:val="00220315"/>
    <w:rsid w:val="0022076A"/>
    <w:rsid w:val="0022083C"/>
    <w:rsid w:val="002230EE"/>
    <w:rsid w:val="002256A6"/>
    <w:rsid w:val="00226AD2"/>
    <w:rsid w:val="00227C77"/>
    <w:rsid w:val="00232C5E"/>
    <w:rsid w:val="00233239"/>
    <w:rsid w:val="0023349A"/>
    <w:rsid w:val="0023362E"/>
    <w:rsid w:val="00233C1F"/>
    <w:rsid w:val="00233CB2"/>
    <w:rsid w:val="00233FFC"/>
    <w:rsid w:val="002340B3"/>
    <w:rsid w:val="002346D4"/>
    <w:rsid w:val="00236543"/>
    <w:rsid w:val="00240C59"/>
    <w:rsid w:val="00241B9A"/>
    <w:rsid w:val="00241C50"/>
    <w:rsid w:val="002420C9"/>
    <w:rsid w:val="00242768"/>
    <w:rsid w:val="0024410C"/>
    <w:rsid w:val="00245B40"/>
    <w:rsid w:val="00245E20"/>
    <w:rsid w:val="00246EFD"/>
    <w:rsid w:val="0024745B"/>
    <w:rsid w:val="00247519"/>
    <w:rsid w:val="00252F4C"/>
    <w:rsid w:val="00253576"/>
    <w:rsid w:val="00253934"/>
    <w:rsid w:val="002542A5"/>
    <w:rsid w:val="00254727"/>
    <w:rsid w:val="00254912"/>
    <w:rsid w:val="00254DDA"/>
    <w:rsid w:val="00255758"/>
    <w:rsid w:val="00256345"/>
    <w:rsid w:val="0025761B"/>
    <w:rsid w:val="00257C3E"/>
    <w:rsid w:val="00257C8F"/>
    <w:rsid w:val="00257E1F"/>
    <w:rsid w:val="00257FE7"/>
    <w:rsid w:val="00260712"/>
    <w:rsid w:val="002608B1"/>
    <w:rsid w:val="00260FF8"/>
    <w:rsid w:val="002626F6"/>
    <w:rsid w:val="0026368F"/>
    <w:rsid w:val="00264032"/>
    <w:rsid w:val="002649CC"/>
    <w:rsid w:val="0026565C"/>
    <w:rsid w:val="00265BC1"/>
    <w:rsid w:val="0026628F"/>
    <w:rsid w:val="00266534"/>
    <w:rsid w:val="00267AAE"/>
    <w:rsid w:val="00267CAA"/>
    <w:rsid w:val="0027187B"/>
    <w:rsid w:val="00271C11"/>
    <w:rsid w:val="00273C48"/>
    <w:rsid w:val="00273E9F"/>
    <w:rsid w:val="00273F14"/>
    <w:rsid w:val="0027457F"/>
    <w:rsid w:val="002748F0"/>
    <w:rsid w:val="00275571"/>
    <w:rsid w:val="00275E1E"/>
    <w:rsid w:val="002771C7"/>
    <w:rsid w:val="002806C5"/>
    <w:rsid w:val="0028157C"/>
    <w:rsid w:val="00281612"/>
    <w:rsid w:val="002816E5"/>
    <w:rsid w:val="00281CCA"/>
    <w:rsid w:val="00283FD1"/>
    <w:rsid w:val="00284F51"/>
    <w:rsid w:val="002857E8"/>
    <w:rsid w:val="002871BB"/>
    <w:rsid w:val="00287679"/>
    <w:rsid w:val="00290413"/>
    <w:rsid w:val="00290D55"/>
    <w:rsid w:val="002937D7"/>
    <w:rsid w:val="00293B55"/>
    <w:rsid w:val="00295DF6"/>
    <w:rsid w:val="00296B45"/>
    <w:rsid w:val="0029761F"/>
    <w:rsid w:val="00297B38"/>
    <w:rsid w:val="002A00FE"/>
    <w:rsid w:val="002A04D9"/>
    <w:rsid w:val="002A06A7"/>
    <w:rsid w:val="002A07F2"/>
    <w:rsid w:val="002A19F0"/>
    <w:rsid w:val="002A1AFA"/>
    <w:rsid w:val="002A1E6A"/>
    <w:rsid w:val="002A2E6F"/>
    <w:rsid w:val="002A3186"/>
    <w:rsid w:val="002A3653"/>
    <w:rsid w:val="002A3C9C"/>
    <w:rsid w:val="002A4337"/>
    <w:rsid w:val="002A4E7E"/>
    <w:rsid w:val="002A4F59"/>
    <w:rsid w:val="002A61EC"/>
    <w:rsid w:val="002A674B"/>
    <w:rsid w:val="002A6845"/>
    <w:rsid w:val="002A7157"/>
    <w:rsid w:val="002A748E"/>
    <w:rsid w:val="002A769E"/>
    <w:rsid w:val="002A793C"/>
    <w:rsid w:val="002A7FBF"/>
    <w:rsid w:val="002B13A6"/>
    <w:rsid w:val="002B1A31"/>
    <w:rsid w:val="002B1A54"/>
    <w:rsid w:val="002B29ED"/>
    <w:rsid w:val="002B2E4F"/>
    <w:rsid w:val="002B36EA"/>
    <w:rsid w:val="002B41C2"/>
    <w:rsid w:val="002B6610"/>
    <w:rsid w:val="002B7253"/>
    <w:rsid w:val="002B7428"/>
    <w:rsid w:val="002B760B"/>
    <w:rsid w:val="002C0F02"/>
    <w:rsid w:val="002C1608"/>
    <w:rsid w:val="002C2226"/>
    <w:rsid w:val="002C30D6"/>
    <w:rsid w:val="002C35C9"/>
    <w:rsid w:val="002C4597"/>
    <w:rsid w:val="002C4854"/>
    <w:rsid w:val="002C5B73"/>
    <w:rsid w:val="002C5FF1"/>
    <w:rsid w:val="002C7938"/>
    <w:rsid w:val="002D0177"/>
    <w:rsid w:val="002D0ABD"/>
    <w:rsid w:val="002D1258"/>
    <w:rsid w:val="002D190F"/>
    <w:rsid w:val="002D2AFA"/>
    <w:rsid w:val="002D489A"/>
    <w:rsid w:val="002D4E16"/>
    <w:rsid w:val="002D5C97"/>
    <w:rsid w:val="002D6374"/>
    <w:rsid w:val="002D6B23"/>
    <w:rsid w:val="002E0E04"/>
    <w:rsid w:val="002E1153"/>
    <w:rsid w:val="002E1F9E"/>
    <w:rsid w:val="002E499B"/>
    <w:rsid w:val="002E5573"/>
    <w:rsid w:val="002E5C4E"/>
    <w:rsid w:val="002E5CC1"/>
    <w:rsid w:val="002E649B"/>
    <w:rsid w:val="002E7141"/>
    <w:rsid w:val="002E7D21"/>
    <w:rsid w:val="002F0821"/>
    <w:rsid w:val="002F1C1B"/>
    <w:rsid w:val="002F20D0"/>
    <w:rsid w:val="002F297D"/>
    <w:rsid w:val="002F2E73"/>
    <w:rsid w:val="002F2EB8"/>
    <w:rsid w:val="002F3FF5"/>
    <w:rsid w:val="002F4C2D"/>
    <w:rsid w:val="002F5387"/>
    <w:rsid w:val="002F713E"/>
    <w:rsid w:val="002F720D"/>
    <w:rsid w:val="002F732E"/>
    <w:rsid w:val="002F7784"/>
    <w:rsid w:val="002F797F"/>
    <w:rsid w:val="003030A2"/>
    <w:rsid w:val="00303298"/>
    <w:rsid w:val="00303575"/>
    <w:rsid w:val="003037AF"/>
    <w:rsid w:val="0030442B"/>
    <w:rsid w:val="00304C0A"/>
    <w:rsid w:val="00304E46"/>
    <w:rsid w:val="00304FC2"/>
    <w:rsid w:val="003056E1"/>
    <w:rsid w:val="00305816"/>
    <w:rsid w:val="00307A48"/>
    <w:rsid w:val="00307C51"/>
    <w:rsid w:val="00307DF0"/>
    <w:rsid w:val="00307EC1"/>
    <w:rsid w:val="00310CEC"/>
    <w:rsid w:val="00310F30"/>
    <w:rsid w:val="0031178C"/>
    <w:rsid w:val="00312DFD"/>
    <w:rsid w:val="0031334F"/>
    <w:rsid w:val="00313D9B"/>
    <w:rsid w:val="00314169"/>
    <w:rsid w:val="0031438C"/>
    <w:rsid w:val="00314447"/>
    <w:rsid w:val="00314C4C"/>
    <w:rsid w:val="00314DAE"/>
    <w:rsid w:val="0031577C"/>
    <w:rsid w:val="0031660C"/>
    <w:rsid w:val="00316716"/>
    <w:rsid w:val="00317569"/>
    <w:rsid w:val="003178C0"/>
    <w:rsid w:val="003206F3"/>
    <w:rsid w:val="00320928"/>
    <w:rsid w:val="0032229B"/>
    <w:rsid w:val="00322BC3"/>
    <w:rsid w:val="00323797"/>
    <w:rsid w:val="0032442D"/>
    <w:rsid w:val="003246C5"/>
    <w:rsid w:val="00325113"/>
    <w:rsid w:val="00326414"/>
    <w:rsid w:val="0032695B"/>
    <w:rsid w:val="00326AC2"/>
    <w:rsid w:val="00326C16"/>
    <w:rsid w:val="00331B35"/>
    <w:rsid w:val="00333438"/>
    <w:rsid w:val="003358AB"/>
    <w:rsid w:val="00335D82"/>
    <w:rsid w:val="00337426"/>
    <w:rsid w:val="00337FA9"/>
    <w:rsid w:val="003414BD"/>
    <w:rsid w:val="003415B9"/>
    <w:rsid w:val="00341767"/>
    <w:rsid w:val="0034191D"/>
    <w:rsid w:val="00341B52"/>
    <w:rsid w:val="00341C5C"/>
    <w:rsid w:val="0034458F"/>
    <w:rsid w:val="0034706C"/>
    <w:rsid w:val="00347D95"/>
    <w:rsid w:val="00350290"/>
    <w:rsid w:val="00350475"/>
    <w:rsid w:val="0035143A"/>
    <w:rsid w:val="0035145B"/>
    <w:rsid w:val="003517A1"/>
    <w:rsid w:val="003525E0"/>
    <w:rsid w:val="00353837"/>
    <w:rsid w:val="0035400B"/>
    <w:rsid w:val="00354161"/>
    <w:rsid w:val="00354A15"/>
    <w:rsid w:val="00355406"/>
    <w:rsid w:val="00355D09"/>
    <w:rsid w:val="00355D3B"/>
    <w:rsid w:val="00355DD7"/>
    <w:rsid w:val="0035645A"/>
    <w:rsid w:val="00360945"/>
    <w:rsid w:val="00360A85"/>
    <w:rsid w:val="00361FD8"/>
    <w:rsid w:val="003637ED"/>
    <w:rsid w:val="00364A42"/>
    <w:rsid w:val="00365842"/>
    <w:rsid w:val="00365C3C"/>
    <w:rsid w:val="00367576"/>
    <w:rsid w:val="00367C73"/>
    <w:rsid w:val="00370EBC"/>
    <w:rsid w:val="003712FB"/>
    <w:rsid w:val="00371E1D"/>
    <w:rsid w:val="0037235F"/>
    <w:rsid w:val="0037236E"/>
    <w:rsid w:val="00372934"/>
    <w:rsid w:val="00372C54"/>
    <w:rsid w:val="00373711"/>
    <w:rsid w:val="00373A08"/>
    <w:rsid w:val="00373E69"/>
    <w:rsid w:val="00374A05"/>
    <w:rsid w:val="00375432"/>
    <w:rsid w:val="00375498"/>
    <w:rsid w:val="00375C22"/>
    <w:rsid w:val="00377C22"/>
    <w:rsid w:val="00377EC8"/>
    <w:rsid w:val="0038002C"/>
    <w:rsid w:val="003802F4"/>
    <w:rsid w:val="003811BB"/>
    <w:rsid w:val="0038166D"/>
    <w:rsid w:val="00381832"/>
    <w:rsid w:val="00381A26"/>
    <w:rsid w:val="003829D8"/>
    <w:rsid w:val="003838AE"/>
    <w:rsid w:val="00384C84"/>
    <w:rsid w:val="0038505B"/>
    <w:rsid w:val="0038590B"/>
    <w:rsid w:val="00385F82"/>
    <w:rsid w:val="003864E5"/>
    <w:rsid w:val="0038720C"/>
    <w:rsid w:val="00387A2E"/>
    <w:rsid w:val="00390442"/>
    <w:rsid w:val="00390FC4"/>
    <w:rsid w:val="0039148D"/>
    <w:rsid w:val="00391CEE"/>
    <w:rsid w:val="00393CC3"/>
    <w:rsid w:val="003940D1"/>
    <w:rsid w:val="003940FB"/>
    <w:rsid w:val="003941EB"/>
    <w:rsid w:val="003960B0"/>
    <w:rsid w:val="003970C3"/>
    <w:rsid w:val="003A04D6"/>
    <w:rsid w:val="003A0C9C"/>
    <w:rsid w:val="003A1363"/>
    <w:rsid w:val="003A1BB3"/>
    <w:rsid w:val="003A1FEC"/>
    <w:rsid w:val="003A3D61"/>
    <w:rsid w:val="003A3E13"/>
    <w:rsid w:val="003A4338"/>
    <w:rsid w:val="003A45E1"/>
    <w:rsid w:val="003A4EB7"/>
    <w:rsid w:val="003A6CAE"/>
    <w:rsid w:val="003A7622"/>
    <w:rsid w:val="003B2592"/>
    <w:rsid w:val="003B25A5"/>
    <w:rsid w:val="003B3B35"/>
    <w:rsid w:val="003B403B"/>
    <w:rsid w:val="003B4372"/>
    <w:rsid w:val="003B4541"/>
    <w:rsid w:val="003B4837"/>
    <w:rsid w:val="003B528B"/>
    <w:rsid w:val="003B6018"/>
    <w:rsid w:val="003B6842"/>
    <w:rsid w:val="003B6AAC"/>
    <w:rsid w:val="003B6B07"/>
    <w:rsid w:val="003B6B6A"/>
    <w:rsid w:val="003B7E42"/>
    <w:rsid w:val="003C0063"/>
    <w:rsid w:val="003C02C3"/>
    <w:rsid w:val="003C0F78"/>
    <w:rsid w:val="003C1C43"/>
    <w:rsid w:val="003C1EDE"/>
    <w:rsid w:val="003C263B"/>
    <w:rsid w:val="003C2B63"/>
    <w:rsid w:val="003C3121"/>
    <w:rsid w:val="003C56A4"/>
    <w:rsid w:val="003C589B"/>
    <w:rsid w:val="003C58EB"/>
    <w:rsid w:val="003C69BC"/>
    <w:rsid w:val="003C722F"/>
    <w:rsid w:val="003C795F"/>
    <w:rsid w:val="003D0BC5"/>
    <w:rsid w:val="003D0D6B"/>
    <w:rsid w:val="003D0F55"/>
    <w:rsid w:val="003D1424"/>
    <w:rsid w:val="003D1B2F"/>
    <w:rsid w:val="003D1B63"/>
    <w:rsid w:val="003D2746"/>
    <w:rsid w:val="003D3769"/>
    <w:rsid w:val="003D3947"/>
    <w:rsid w:val="003D49CB"/>
    <w:rsid w:val="003D4EBF"/>
    <w:rsid w:val="003D4F9E"/>
    <w:rsid w:val="003D5D9B"/>
    <w:rsid w:val="003D69AA"/>
    <w:rsid w:val="003D6F27"/>
    <w:rsid w:val="003D6FFC"/>
    <w:rsid w:val="003E120D"/>
    <w:rsid w:val="003E1F5A"/>
    <w:rsid w:val="003E225D"/>
    <w:rsid w:val="003E2276"/>
    <w:rsid w:val="003E2476"/>
    <w:rsid w:val="003E24D0"/>
    <w:rsid w:val="003E35D5"/>
    <w:rsid w:val="003E5E4C"/>
    <w:rsid w:val="003E668A"/>
    <w:rsid w:val="003E675E"/>
    <w:rsid w:val="003E6B6E"/>
    <w:rsid w:val="003F037C"/>
    <w:rsid w:val="003F0A8C"/>
    <w:rsid w:val="003F1099"/>
    <w:rsid w:val="003F18B1"/>
    <w:rsid w:val="003F21FC"/>
    <w:rsid w:val="003F22B0"/>
    <w:rsid w:val="003F2BB3"/>
    <w:rsid w:val="003F314A"/>
    <w:rsid w:val="003F32C9"/>
    <w:rsid w:val="003F32DC"/>
    <w:rsid w:val="003F3EA9"/>
    <w:rsid w:val="003F5714"/>
    <w:rsid w:val="003F61F4"/>
    <w:rsid w:val="003F6F70"/>
    <w:rsid w:val="003F74C4"/>
    <w:rsid w:val="003F7CF9"/>
    <w:rsid w:val="00400881"/>
    <w:rsid w:val="00400A04"/>
    <w:rsid w:val="00400BA0"/>
    <w:rsid w:val="00401754"/>
    <w:rsid w:val="00402438"/>
    <w:rsid w:val="00402A8C"/>
    <w:rsid w:val="00403209"/>
    <w:rsid w:val="004037C8"/>
    <w:rsid w:val="004049D7"/>
    <w:rsid w:val="00404ECC"/>
    <w:rsid w:val="00405276"/>
    <w:rsid w:val="0040666A"/>
    <w:rsid w:val="00406C8A"/>
    <w:rsid w:val="004104CA"/>
    <w:rsid w:val="004106A3"/>
    <w:rsid w:val="00410DFD"/>
    <w:rsid w:val="00412488"/>
    <w:rsid w:val="00412723"/>
    <w:rsid w:val="00415478"/>
    <w:rsid w:val="0041595B"/>
    <w:rsid w:val="00415EAB"/>
    <w:rsid w:val="00416523"/>
    <w:rsid w:val="00416627"/>
    <w:rsid w:val="004169AA"/>
    <w:rsid w:val="00416CF0"/>
    <w:rsid w:val="00417740"/>
    <w:rsid w:val="00420386"/>
    <w:rsid w:val="004235A8"/>
    <w:rsid w:val="0042382A"/>
    <w:rsid w:val="0042404C"/>
    <w:rsid w:val="00424A04"/>
    <w:rsid w:val="004262BC"/>
    <w:rsid w:val="004278E7"/>
    <w:rsid w:val="00430ADA"/>
    <w:rsid w:val="00430B17"/>
    <w:rsid w:val="00431847"/>
    <w:rsid w:val="00431FB8"/>
    <w:rsid w:val="004326DF"/>
    <w:rsid w:val="00432B39"/>
    <w:rsid w:val="0043536A"/>
    <w:rsid w:val="004361D7"/>
    <w:rsid w:val="004362F8"/>
    <w:rsid w:val="004408A2"/>
    <w:rsid w:val="00440A3A"/>
    <w:rsid w:val="00440B57"/>
    <w:rsid w:val="00440DCE"/>
    <w:rsid w:val="00440E32"/>
    <w:rsid w:val="004424CE"/>
    <w:rsid w:val="004455A8"/>
    <w:rsid w:val="00446A33"/>
    <w:rsid w:val="00446F20"/>
    <w:rsid w:val="0044700B"/>
    <w:rsid w:val="00447575"/>
    <w:rsid w:val="00447A7F"/>
    <w:rsid w:val="00447FE3"/>
    <w:rsid w:val="00451296"/>
    <w:rsid w:val="0045265F"/>
    <w:rsid w:val="004529A2"/>
    <w:rsid w:val="00452D86"/>
    <w:rsid w:val="00452DA3"/>
    <w:rsid w:val="004535F2"/>
    <w:rsid w:val="00454555"/>
    <w:rsid w:val="00454A87"/>
    <w:rsid w:val="004553A3"/>
    <w:rsid w:val="004608B8"/>
    <w:rsid w:val="00460FE1"/>
    <w:rsid w:val="00461423"/>
    <w:rsid w:val="004614A3"/>
    <w:rsid w:val="004615D9"/>
    <w:rsid w:val="00461FA9"/>
    <w:rsid w:val="00462280"/>
    <w:rsid w:val="004623C1"/>
    <w:rsid w:val="00462B98"/>
    <w:rsid w:val="00462CE8"/>
    <w:rsid w:val="0046302C"/>
    <w:rsid w:val="00463E1F"/>
    <w:rsid w:val="00466D5D"/>
    <w:rsid w:val="004676D2"/>
    <w:rsid w:val="004700C8"/>
    <w:rsid w:val="004708FD"/>
    <w:rsid w:val="00470E12"/>
    <w:rsid w:val="004711A7"/>
    <w:rsid w:val="0047361F"/>
    <w:rsid w:val="00474C8A"/>
    <w:rsid w:val="00475023"/>
    <w:rsid w:val="00475382"/>
    <w:rsid w:val="0047539D"/>
    <w:rsid w:val="004756E8"/>
    <w:rsid w:val="0047573D"/>
    <w:rsid w:val="00475AC7"/>
    <w:rsid w:val="00475B70"/>
    <w:rsid w:val="004766AF"/>
    <w:rsid w:val="00476962"/>
    <w:rsid w:val="00476A6F"/>
    <w:rsid w:val="0047712B"/>
    <w:rsid w:val="004771F4"/>
    <w:rsid w:val="00477ED7"/>
    <w:rsid w:val="00480382"/>
    <w:rsid w:val="00480A1E"/>
    <w:rsid w:val="00481929"/>
    <w:rsid w:val="00482126"/>
    <w:rsid w:val="004824DA"/>
    <w:rsid w:val="00482853"/>
    <w:rsid w:val="00484109"/>
    <w:rsid w:val="00485839"/>
    <w:rsid w:val="004859A5"/>
    <w:rsid w:val="00485E5F"/>
    <w:rsid w:val="00487A4B"/>
    <w:rsid w:val="00487E30"/>
    <w:rsid w:val="00490CB1"/>
    <w:rsid w:val="00490D8A"/>
    <w:rsid w:val="00491E33"/>
    <w:rsid w:val="00491F21"/>
    <w:rsid w:val="00493351"/>
    <w:rsid w:val="00493B61"/>
    <w:rsid w:val="004941D8"/>
    <w:rsid w:val="00494398"/>
    <w:rsid w:val="00495827"/>
    <w:rsid w:val="00496BE4"/>
    <w:rsid w:val="00496F0F"/>
    <w:rsid w:val="004975D0"/>
    <w:rsid w:val="004A0135"/>
    <w:rsid w:val="004A0E38"/>
    <w:rsid w:val="004A12F6"/>
    <w:rsid w:val="004A173A"/>
    <w:rsid w:val="004A2430"/>
    <w:rsid w:val="004A2F1E"/>
    <w:rsid w:val="004A3084"/>
    <w:rsid w:val="004A3489"/>
    <w:rsid w:val="004A36AD"/>
    <w:rsid w:val="004A3955"/>
    <w:rsid w:val="004A4424"/>
    <w:rsid w:val="004A5C25"/>
    <w:rsid w:val="004A6175"/>
    <w:rsid w:val="004A625D"/>
    <w:rsid w:val="004A771D"/>
    <w:rsid w:val="004A7DDD"/>
    <w:rsid w:val="004A7E02"/>
    <w:rsid w:val="004B0C2F"/>
    <w:rsid w:val="004B1BC3"/>
    <w:rsid w:val="004B1C33"/>
    <w:rsid w:val="004B1F3E"/>
    <w:rsid w:val="004B2402"/>
    <w:rsid w:val="004B2894"/>
    <w:rsid w:val="004B28C7"/>
    <w:rsid w:val="004B2B49"/>
    <w:rsid w:val="004B391D"/>
    <w:rsid w:val="004B4797"/>
    <w:rsid w:val="004B4804"/>
    <w:rsid w:val="004B4C83"/>
    <w:rsid w:val="004B4C98"/>
    <w:rsid w:val="004B59D5"/>
    <w:rsid w:val="004B60EB"/>
    <w:rsid w:val="004B658A"/>
    <w:rsid w:val="004B6C08"/>
    <w:rsid w:val="004B6CB9"/>
    <w:rsid w:val="004B758D"/>
    <w:rsid w:val="004C06BF"/>
    <w:rsid w:val="004C19A4"/>
    <w:rsid w:val="004C25EB"/>
    <w:rsid w:val="004C2B3A"/>
    <w:rsid w:val="004C75AD"/>
    <w:rsid w:val="004C7E76"/>
    <w:rsid w:val="004D0F16"/>
    <w:rsid w:val="004D0F95"/>
    <w:rsid w:val="004D14CA"/>
    <w:rsid w:val="004D20A7"/>
    <w:rsid w:val="004D24CF"/>
    <w:rsid w:val="004D27B6"/>
    <w:rsid w:val="004D291B"/>
    <w:rsid w:val="004D2936"/>
    <w:rsid w:val="004D5B73"/>
    <w:rsid w:val="004E0ECC"/>
    <w:rsid w:val="004E1023"/>
    <w:rsid w:val="004E1DBA"/>
    <w:rsid w:val="004E2CAA"/>
    <w:rsid w:val="004E2EBE"/>
    <w:rsid w:val="004E3C1C"/>
    <w:rsid w:val="004E51F7"/>
    <w:rsid w:val="004E5572"/>
    <w:rsid w:val="004E5B47"/>
    <w:rsid w:val="004E62AA"/>
    <w:rsid w:val="004E70C9"/>
    <w:rsid w:val="004F0144"/>
    <w:rsid w:val="004F0A3B"/>
    <w:rsid w:val="004F0E0C"/>
    <w:rsid w:val="004F0E0D"/>
    <w:rsid w:val="004F1802"/>
    <w:rsid w:val="004F4994"/>
    <w:rsid w:val="004F4B5B"/>
    <w:rsid w:val="004F50FB"/>
    <w:rsid w:val="004F5F78"/>
    <w:rsid w:val="004F62D7"/>
    <w:rsid w:val="004F6593"/>
    <w:rsid w:val="004F7F75"/>
    <w:rsid w:val="00500368"/>
    <w:rsid w:val="00500D7B"/>
    <w:rsid w:val="0050119B"/>
    <w:rsid w:val="005014F0"/>
    <w:rsid w:val="00501518"/>
    <w:rsid w:val="00502AFE"/>
    <w:rsid w:val="00502C2E"/>
    <w:rsid w:val="00502E73"/>
    <w:rsid w:val="00504110"/>
    <w:rsid w:val="00504455"/>
    <w:rsid w:val="00504EA5"/>
    <w:rsid w:val="00505853"/>
    <w:rsid w:val="00506FC3"/>
    <w:rsid w:val="00507850"/>
    <w:rsid w:val="0051270F"/>
    <w:rsid w:val="00512B8F"/>
    <w:rsid w:val="00512BA9"/>
    <w:rsid w:val="00513801"/>
    <w:rsid w:val="00515692"/>
    <w:rsid w:val="00515A18"/>
    <w:rsid w:val="005165C2"/>
    <w:rsid w:val="00517DBE"/>
    <w:rsid w:val="005207ED"/>
    <w:rsid w:val="00521050"/>
    <w:rsid w:val="0052167F"/>
    <w:rsid w:val="0052236B"/>
    <w:rsid w:val="00522769"/>
    <w:rsid w:val="00522ED9"/>
    <w:rsid w:val="00523EBC"/>
    <w:rsid w:val="005241E1"/>
    <w:rsid w:val="00524D19"/>
    <w:rsid w:val="00524DCE"/>
    <w:rsid w:val="00525BEC"/>
    <w:rsid w:val="00527465"/>
    <w:rsid w:val="00527C6D"/>
    <w:rsid w:val="00527FD2"/>
    <w:rsid w:val="005301E8"/>
    <w:rsid w:val="005319B1"/>
    <w:rsid w:val="00532CA4"/>
    <w:rsid w:val="0053353B"/>
    <w:rsid w:val="00534D06"/>
    <w:rsid w:val="0053527D"/>
    <w:rsid w:val="00535FA9"/>
    <w:rsid w:val="00536798"/>
    <w:rsid w:val="005375E1"/>
    <w:rsid w:val="00537D7E"/>
    <w:rsid w:val="0054000D"/>
    <w:rsid w:val="005407D0"/>
    <w:rsid w:val="00541C6E"/>
    <w:rsid w:val="005425CF"/>
    <w:rsid w:val="0054319B"/>
    <w:rsid w:val="0054425D"/>
    <w:rsid w:val="00544667"/>
    <w:rsid w:val="00544A6D"/>
    <w:rsid w:val="00545DE9"/>
    <w:rsid w:val="00545E3B"/>
    <w:rsid w:val="00545FE1"/>
    <w:rsid w:val="0054617A"/>
    <w:rsid w:val="00546AC5"/>
    <w:rsid w:val="005470CF"/>
    <w:rsid w:val="00551125"/>
    <w:rsid w:val="005513A3"/>
    <w:rsid w:val="00551DF0"/>
    <w:rsid w:val="00552563"/>
    <w:rsid w:val="00552AB8"/>
    <w:rsid w:val="005533DE"/>
    <w:rsid w:val="00554430"/>
    <w:rsid w:val="005547F1"/>
    <w:rsid w:val="0055485A"/>
    <w:rsid w:val="005551A8"/>
    <w:rsid w:val="00555EB4"/>
    <w:rsid w:val="0056113D"/>
    <w:rsid w:val="005611F7"/>
    <w:rsid w:val="005625F3"/>
    <w:rsid w:val="00562A23"/>
    <w:rsid w:val="00563B70"/>
    <w:rsid w:val="0056433A"/>
    <w:rsid w:val="00564ABC"/>
    <w:rsid w:val="00564ED1"/>
    <w:rsid w:val="005663E6"/>
    <w:rsid w:val="00566AD8"/>
    <w:rsid w:val="00566C94"/>
    <w:rsid w:val="00567122"/>
    <w:rsid w:val="00567811"/>
    <w:rsid w:val="005701E7"/>
    <w:rsid w:val="00572541"/>
    <w:rsid w:val="00572A25"/>
    <w:rsid w:val="00572EE4"/>
    <w:rsid w:val="0057482A"/>
    <w:rsid w:val="005751C5"/>
    <w:rsid w:val="005774A2"/>
    <w:rsid w:val="005805E3"/>
    <w:rsid w:val="00581D7A"/>
    <w:rsid w:val="00582892"/>
    <w:rsid w:val="00583974"/>
    <w:rsid w:val="00583D15"/>
    <w:rsid w:val="00584266"/>
    <w:rsid w:val="00584B3D"/>
    <w:rsid w:val="00584BD1"/>
    <w:rsid w:val="00584C2D"/>
    <w:rsid w:val="00584D2F"/>
    <w:rsid w:val="005855CF"/>
    <w:rsid w:val="00585FA9"/>
    <w:rsid w:val="005862BD"/>
    <w:rsid w:val="00586805"/>
    <w:rsid w:val="005876F4"/>
    <w:rsid w:val="00590902"/>
    <w:rsid w:val="005911F7"/>
    <w:rsid w:val="005915DE"/>
    <w:rsid w:val="00591C1C"/>
    <w:rsid w:val="00592DA1"/>
    <w:rsid w:val="005931E2"/>
    <w:rsid w:val="00593CA0"/>
    <w:rsid w:val="005940A6"/>
    <w:rsid w:val="00594526"/>
    <w:rsid w:val="00594C81"/>
    <w:rsid w:val="00595219"/>
    <w:rsid w:val="005955AE"/>
    <w:rsid w:val="00597B22"/>
    <w:rsid w:val="005A46BB"/>
    <w:rsid w:val="005A490D"/>
    <w:rsid w:val="005A6F30"/>
    <w:rsid w:val="005A7010"/>
    <w:rsid w:val="005A7115"/>
    <w:rsid w:val="005A7346"/>
    <w:rsid w:val="005B0906"/>
    <w:rsid w:val="005B0968"/>
    <w:rsid w:val="005B1432"/>
    <w:rsid w:val="005B1CA7"/>
    <w:rsid w:val="005B22F4"/>
    <w:rsid w:val="005B2484"/>
    <w:rsid w:val="005B24FA"/>
    <w:rsid w:val="005B272D"/>
    <w:rsid w:val="005B3009"/>
    <w:rsid w:val="005B429E"/>
    <w:rsid w:val="005B48C3"/>
    <w:rsid w:val="005B4AE8"/>
    <w:rsid w:val="005B5C82"/>
    <w:rsid w:val="005B5CBD"/>
    <w:rsid w:val="005B6C32"/>
    <w:rsid w:val="005B70A1"/>
    <w:rsid w:val="005B7478"/>
    <w:rsid w:val="005B79C8"/>
    <w:rsid w:val="005B7E98"/>
    <w:rsid w:val="005B7ECF"/>
    <w:rsid w:val="005B7FED"/>
    <w:rsid w:val="005C092A"/>
    <w:rsid w:val="005C165D"/>
    <w:rsid w:val="005C2333"/>
    <w:rsid w:val="005C3545"/>
    <w:rsid w:val="005C3642"/>
    <w:rsid w:val="005C3757"/>
    <w:rsid w:val="005C3EA2"/>
    <w:rsid w:val="005C451D"/>
    <w:rsid w:val="005C46F8"/>
    <w:rsid w:val="005C4823"/>
    <w:rsid w:val="005C586F"/>
    <w:rsid w:val="005C5DF4"/>
    <w:rsid w:val="005C615B"/>
    <w:rsid w:val="005C6283"/>
    <w:rsid w:val="005C65F5"/>
    <w:rsid w:val="005C7AE5"/>
    <w:rsid w:val="005D019F"/>
    <w:rsid w:val="005D041E"/>
    <w:rsid w:val="005D0955"/>
    <w:rsid w:val="005D222B"/>
    <w:rsid w:val="005D2C60"/>
    <w:rsid w:val="005D2D4B"/>
    <w:rsid w:val="005D305D"/>
    <w:rsid w:val="005D3339"/>
    <w:rsid w:val="005D3455"/>
    <w:rsid w:val="005D58B4"/>
    <w:rsid w:val="005D694B"/>
    <w:rsid w:val="005D69B9"/>
    <w:rsid w:val="005D73EE"/>
    <w:rsid w:val="005D7514"/>
    <w:rsid w:val="005D7A97"/>
    <w:rsid w:val="005D7C96"/>
    <w:rsid w:val="005E0BBF"/>
    <w:rsid w:val="005E0DA9"/>
    <w:rsid w:val="005E1A39"/>
    <w:rsid w:val="005E28EA"/>
    <w:rsid w:val="005E3CA1"/>
    <w:rsid w:val="005E3DC7"/>
    <w:rsid w:val="005E4F89"/>
    <w:rsid w:val="005E5AA2"/>
    <w:rsid w:val="005E6BA8"/>
    <w:rsid w:val="005E6E92"/>
    <w:rsid w:val="005E78CB"/>
    <w:rsid w:val="005F0476"/>
    <w:rsid w:val="005F0D89"/>
    <w:rsid w:val="005F0D8E"/>
    <w:rsid w:val="005F19DF"/>
    <w:rsid w:val="005F2282"/>
    <w:rsid w:val="005F26F5"/>
    <w:rsid w:val="005F27AE"/>
    <w:rsid w:val="005F305A"/>
    <w:rsid w:val="005F3245"/>
    <w:rsid w:val="005F3283"/>
    <w:rsid w:val="005F3310"/>
    <w:rsid w:val="005F3982"/>
    <w:rsid w:val="005F3D59"/>
    <w:rsid w:val="005F515A"/>
    <w:rsid w:val="005F5CFB"/>
    <w:rsid w:val="005F6AA7"/>
    <w:rsid w:val="005F79C5"/>
    <w:rsid w:val="005F7DA0"/>
    <w:rsid w:val="005F7EC6"/>
    <w:rsid w:val="005F7F76"/>
    <w:rsid w:val="006008D0"/>
    <w:rsid w:val="00600974"/>
    <w:rsid w:val="00601209"/>
    <w:rsid w:val="0060160D"/>
    <w:rsid w:val="006017CB"/>
    <w:rsid w:val="006017F2"/>
    <w:rsid w:val="00602F3F"/>
    <w:rsid w:val="006033C3"/>
    <w:rsid w:val="00604964"/>
    <w:rsid w:val="00605DBE"/>
    <w:rsid w:val="00606702"/>
    <w:rsid w:val="006072CE"/>
    <w:rsid w:val="00607BD9"/>
    <w:rsid w:val="00607F1A"/>
    <w:rsid w:val="006100F1"/>
    <w:rsid w:val="006106C9"/>
    <w:rsid w:val="006115A7"/>
    <w:rsid w:val="00611A28"/>
    <w:rsid w:val="00611C6E"/>
    <w:rsid w:val="006120FA"/>
    <w:rsid w:val="00612D00"/>
    <w:rsid w:val="0061321B"/>
    <w:rsid w:val="00613952"/>
    <w:rsid w:val="0061481A"/>
    <w:rsid w:val="00614EE0"/>
    <w:rsid w:val="006168E0"/>
    <w:rsid w:val="006178D8"/>
    <w:rsid w:val="00620D2D"/>
    <w:rsid w:val="00622869"/>
    <w:rsid w:val="0062369B"/>
    <w:rsid w:val="00623EBD"/>
    <w:rsid w:val="00624173"/>
    <w:rsid w:val="006246C6"/>
    <w:rsid w:val="0062470A"/>
    <w:rsid w:val="0062483D"/>
    <w:rsid w:val="00624A2F"/>
    <w:rsid w:val="00625653"/>
    <w:rsid w:val="0062594B"/>
    <w:rsid w:val="00626F52"/>
    <w:rsid w:val="00627025"/>
    <w:rsid w:val="0062708C"/>
    <w:rsid w:val="006270EE"/>
    <w:rsid w:val="006270FB"/>
    <w:rsid w:val="00627218"/>
    <w:rsid w:val="00627379"/>
    <w:rsid w:val="006277E9"/>
    <w:rsid w:val="006313AD"/>
    <w:rsid w:val="00632091"/>
    <w:rsid w:val="006330AA"/>
    <w:rsid w:val="0063340A"/>
    <w:rsid w:val="00633525"/>
    <w:rsid w:val="00633939"/>
    <w:rsid w:val="00633949"/>
    <w:rsid w:val="00633E08"/>
    <w:rsid w:val="006341F5"/>
    <w:rsid w:val="006345C1"/>
    <w:rsid w:val="0063467F"/>
    <w:rsid w:val="00635649"/>
    <w:rsid w:val="0063626C"/>
    <w:rsid w:val="00637B9F"/>
    <w:rsid w:val="00640957"/>
    <w:rsid w:val="00640E7C"/>
    <w:rsid w:val="006413BB"/>
    <w:rsid w:val="0064140B"/>
    <w:rsid w:val="00642C94"/>
    <w:rsid w:val="00643FB6"/>
    <w:rsid w:val="0064634E"/>
    <w:rsid w:val="00646406"/>
    <w:rsid w:val="00650CF6"/>
    <w:rsid w:val="00651D63"/>
    <w:rsid w:val="00651E1F"/>
    <w:rsid w:val="00652E94"/>
    <w:rsid w:val="006530BF"/>
    <w:rsid w:val="006530D8"/>
    <w:rsid w:val="00653240"/>
    <w:rsid w:val="00653481"/>
    <w:rsid w:val="006539C1"/>
    <w:rsid w:val="00655013"/>
    <w:rsid w:val="006561E0"/>
    <w:rsid w:val="00656EC1"/>
    <w:rsid w:val="00657669"/>
    <w:rsid w:val="006619E4"/>
    <w:rsid w:val="006623FC"/>
    <w:rsid w:val="00662FC6"/>
    <w:rsid w:val="00663395"/>
    <w:rsid w:val="0066443A"/>
    <w:rsid w:val="0066540E"/>
    <w:rsid w:val="006664DE"/>
    <w:rsid w:val="00666640"/>
    <w:rsid w:val="00666EA6"/>
    <w:rsid w:val="00667301"/>
    <w:rsid w:val="00667C32"/>
    <w:rsid w:val="00670033"/>
    <w:rsid w:val="00670DEC"/>
    <w:rsid w:val="006710B8"/>
    <w:rsid w:val="00672348"/>
    <w:rsid w:val="00673911"/>
    <w:rsid w:val="00673976"/>
    <w:rsid w:val="00673D4E"/>
    <w:rsid w:val="006753DE"/>
    <w:rsid w:val="00676FE1"/>
    <w:rsid w:val="00677177"/>
    <w:rsid w:val="0068020C"/>
    <w:rsid w:val="0068092C"/>
    <w:rsid w:val="00680B21"/>
    <w:rsid w:val="00682621"/>
    <w:rsid w:val="00683C14"/>
    <w:rsid w:val="00683D38"/>
    <w:rsid w:val="00683F7B"/>
    <w:rsid w:val="00684DD9"/>
    <w:rsid w:val="0068508E"/>
    <w:rsid w:val="00685B71"/>
    <w:rsid w:val="00686DE4"/>
    <w:rsid w:val="0068738B"/>
    <w:rsid w:val="00687B28"/>
    <w:rsid w:val="00690201"/>
    <w:rsid w:val="00690355"/>
    <w:rsid w:val="00690D1F"/>
    <w:rsid w:val="00691204"/>
    <w:rsid w:val="00691800"/>
    <w:rsid w:val="006919B9"/>
    <w:rsid w:val="00692150"/>
    <w:rsid w:val="00692DE4"/>
    <w:rsid w:val="006933C9"/>
    <w:rsid w:val="00693FAF"/>
    <w:rsid w:val="00694BCC"/>
    <w:rsid w:val="00694DEC"/>
    <w:rsid w:val="006954C9"/>
    <w:rsid w:val="00695736"/>
    <w:rsid w:val="00696F32"/>
    <w:rsid w:val="006973E4"/>
    <w:rsid w:val="006A02A4"/>
    <w:rsid w:val="006A0300"/>
    <w:rsid w:val="006A034D"/>
    <w:rsid w:val="006A1E91"/>
    <w:rsid w:val="006A2AE4"/>
    <w:rsid w:val="006A4336"/>
    <w:rsid w:val="006A492F"/>
    <w:rsid w:val="006A4EBA"/>
    <w:rsid w:val="006A53E5"/>
    <w:rsid w:val="006A55C5"/>
    <w:rsid w:val="006A709B"/>
    <w:rsid w:val="006A7744"/>
    <w:rsid w:val="006B10F0"/>
    <w:rsid w:val="006B2287"/>
    <w:rsid w:val="006B3395"/>
    <w:rsid w:val="006B5C96"/>
    <w:rsid w:val="006B6778"/>
    <w:rsid w:val="006B6FD4"/>
    <w:rsid w:val="006B76E3"/>
    <w:rsid w:val="006B7791"/>
    <w:rsid w:val="006C0A4A"/>
    <w:rsid w:val="006C1EBF"/>
    <w:rsid w:val="006C3A42"/>
    <w:rsid w:val="006C42EF"/>
    <w:rsid w:val="006C5E1B"/>
    <w:rsid w:val="006C7B99"/>
    <w:rsid w:val="006D08BE"/>
    <w:rsid w:val="006D1561"/>
    <w:rsid w:val="006D239A"/>
    <w:rsid w:val="006D2B62"/>
    <w:rsid w:val="006D2E5A"/>
    <w:rsid w:val="006D5B2B"/>
    <w:rsid w:val="006D6856"/>
    <w:rsid w:val="006D6E1E"/>
    <w:rsid w:val="006E0423"/>
    <w:rsid w:val="006E0BA9"/>
    <w:rsid w:val="006E13AB"/>
    <w:rsid w:val="006E1FA7"/>
    <w:rsid w:val="006E3057"/>
    <w:rsid w:val="006E4A72"/>
    <w:rsid w:val="006E55A0"/>
    <w:rsid w:val="006E5A7D"/>
    <w:rsid w:val="006E5BE5"/>
    <w:rsid w:val="006E7CE7"/>
    <w:rsid w:val="006F0AA5"/>
    <w:rsid w:val="006F33D8"/>
    <w:rsid w:val="006F3846"/>
    <w:rsid w:val="006F497F"/>
    <w:rsid w:val="006F4F5D"/>
    <w:rsid w:val="006F51E6"/>
    <w:rsid w:val="006F5426"/>
    <w:rsid w:val="006F552B"/>
    <w:rsid w:val="006F5B54"/>
    <w:rsid w:val="006F5CB7"/>
    <w:rsid w:val="00700591"/>
    <w:rsid w:val="0070090D"/>
    <w:rsid w:val="0070109A"/>
    <w:rsid w:val="00701519"/>
    <w:rsid w:val="00701A9E"/>
    <w:rsid w:val="00701AA0"/>
    <w:rsid w:val="00701AC2"/>
    <w:rsid w:val="00701B7B"/>
    <w:rsid w:val="00701BCC"/>
    <w:rsid w:val="00701D79"/>
    <w:rsid w:val="00701E68"/>
    <w:rsid w:val="00702195"/>
    <w:rsid w:val="00702F8D"/>
    <w:rsid w:val="007031E5"/>
    <w:rsid w:val="0070327B"/>
    <w:rsid w:val="0070392C"/>
    <w:rsid w:val="00703C0D"/>
    <w:rsid w:val="00703D3A"/>
    <w:rsid w:val="007042E0"/>
    <w:rsid w:val="00705522"/>
    <w:rsid w:val="0070556D"/>
    <w:rsid w:val="00705A0E"/>
    <w:rsid w:val="00707646"/>
    <w:rsid w:val="00707F2E"/>
    <w:rsid w:val="00711721"/>
    <w:rsid w:val="00711EA2"/>
    <w:rsid w:val="00713195"/>
    <w:rsid w:val="00713A3A"/>
    <w:rsid w:val="0071471A"/>
    <w:rsid w:val="00715815"/>
    <w:rsid w:val="00716A2D"/>
    <w:rsid w:val="00717666"/>
    <w:rsid w:val="007218BF"/>
    <w:rsid w:val="00721C6E"/>
    <w:rsid w:val="00722220"/>
    <w:rsid w:val="00722ED2"/>
    <w:rsid w:val="0072396E"/>
    <w:rsid w:val="00724769"/>
    <w:rsid w:val="007252B6"/>
    <w:rsid w:val="007256DA"/>
    <w:rsid w:val="0072578F"/>
    <w:rsid w:val="007265CB"/>
    <w:rsid w:val="00730689"/>
    <w:rsid w:val="007308E7"/>
    <w:rsid w:val="007309D5"/>
    <w:rsid w:val="00730BA8"/>
    <w:rsid w:val="00731DE2"/>
    <w:rsid w:val="00734A57"/>
    <w:rsid w:val="0073633C"/>
    <w:rsid w:val="00736777"/>
    <w:rsid w:val="00737914"/>
    <w:rsid w:val="007405C6"/>
    <w:rsid w:val="00740667"/>
    <w:rsid w:val="0074130E"/>
    <w:rsid w:val="00741648"/>
    <w:rsid w:val="00741F42"/>
    <w:rsid w:val="007427CD"/>
    <w:rsid w:val="0074416D"/>
    <w:rsid w:val="00745084"/>
    <w:rsid w:val="007465EB"/>
    <w:rsid w:val="00746B4F"/>
    <w:rsid w:val="00746E3F"/>
    <w:rsid w:val="007478C4"/>
    <w:rsid w:val="00747FD0"/>
    <w:rsid w:val="00750804"/>
    <w:rsid w:val="00750DB5"/>
    <w:rsid w:val="007512F6"/>
    <w:rsid w:val="00751786"/>
    <w:rsid w:val="00752C46"/>
    <w:rsid w:val="00752D5A"/>
    <w:rsid w:val="007538D3"/>
    <w:rsid w:val="007549F1"/>
    <w:rsid w:val="007563DC"/>
    <w:rsid w:val="007564B6"/>
    <w:rsid w:val="00757228"/>
    <w:rsid w:val="0076084D"/>
    <w:rsid w:val="00760C06"/>
    <w:rsid w:val="00761758"/>
    <w:rsid w:val="00762C0B"/>
    <w:rsid w:val="00763EE5"/>
    <w:rsid w:val="007645C4"/>
    <w:rsid w:val="00765239"/>
    <w:rsid w:val="007653F5"/>
    <w:rsid w:val="00765D3B"/>
    <w:rsid w:val="00771276"/>
    <w:rsid w:val="00771922"/>
    <w:rsid w:val="007720A6"/>
    <w:rsid w:val="007722B3"/>
    <w:rsid w:val="00773229"/>
    <w:rsid w:val="00773364"/>
    <w:rsid w:val="00774798"/>
    <w:rsid w:val="00774EC0"/>
    <w:rsid w:val="0077504B"/>
    <w:rsid w:val="00775936"/>
    <w:rsid w:val="00776D2E"/>
    <w:rsid w:val="007771E4"/>
    <w:rsid w:val="0077755C"/>
    <w:rsid w:val="00780D85"/>
    <w:rsid w:val="00780EBD"/>
    <w:rsid w:val="00780F32"/>
    <w:rsid w:val="00781B67"/>
    <w:rsid w:val="00782B28"/>
    <w:rsid w:val="00783E05"/>
    <w:rsid w:val="00783F4B"/>
    <w:rsid w:val="007846E0"/>
    <w:rsid w:val="00784A51"/>
    <w:rsid w:val="007850C9"/>
    <w:rsid w:val="00785FA6"/>
    <w:rsid w:val="0078655F"/>
    <w:rsid w:val="00786924"/>
    <w:rsid w:val="0078733B"/>
    <w:rsid w:val="00790F70"/>
    <w:rsid w:val="00790F97"/>
    <w:rsid w:val="0079301E"/>
    <w:rsid w:val="00793636"/>
    <w:rsid w:val="007937CD"/>
    <w:rsid w:val="0079393B"/>
    <w:rsid w:val="00795A08"/>
    <w:rsid w:val="00796FA2"/>
    <w:rsid w:val="00797E5E"/>
    <w:rsid w:val="007A099C"/>
    <w:rsid w:val="007A1A83"/>
    <w:rsid w:val="007A2293"/>
    <w:rsid w:val="007A27CC"/>
    <w:rsid w:val="007A2E44"/>
    <w:rsid w:val="007A42D1"/>
    <w:rsid w:val="007A5F31"/>
    <w:rsid w:val="007A6333"/>
    <w:rsid w:val="007A65DB"/>
    <w:rsid w:val="007A6A62"/>
    <w:rsid w:val="007A7710"/>
    <w:rsid w:val="007A7780"/>
    <w:rsid w:val="007A79C9"/>
    <w:rsid w:val="007B2127"/>
    <w:rsid w:val="007B2A7D"/>
    <w:rsid w:val="007B2CA9"/>
    <w:rsid w:val="007B2F07"/>
    <w:rsid w:val="007B4277"/>
    <w:rsid w:val="007B4ACF"/>
    <w:rsid w:val="007B5F83"/>
    <w:rsid w:val="007B73F5"/>
    <w:rsid w:val="007C0A47"/>
    <w:rsid w:val="007C1691"/>
    <w:rsid w:val="007C1D7E"/>
    <w:rsid w:val="007C2FEB"/>
    <w:rsid w:val="007C35A7"/>
    <w:rsid w:val="007C3F03"/>
    <w:rsid w:val="007C5203"/>
    <w:rsid w:val="007C548C"/>
    <w:rsid w:val="007C5600"/>
    <w:rsid w:val="007C5B65"/>
    <w:rsid w:val="007C5FEE"/>
    <w:rsid w:val="007C608D"/>
    <w:rsid w:val="007D004D"/>
    <w:rsid w:val="007D05F9"/>
    <w:rsid w:val="007D0C12"/>
    <w:rsid w:val="007D12B1"/>
    <w:rsid w:val="007D1E32"/>
    <w:rsid w:val="007D27E0"/>
    <w:rsid w:val="007D5BB2"/>
    <w:rsid w:val="007D5F8A"/>
    <w:rsid w:val="007E2233"/>
    <w:rsid w:val="007E2916"/>
    <w:rsid w:val="007E306D"/>
    <w:rsid w:val="007E4A36"/>
    <w:rsid w:val="007E50E8"/>
    <w:rsid w:val="007E54C6"/>
    <w:rsid w:val="007E5DB1"/>
    <w:rsid w:val="007E5E07"/>
    <w:rsid w:val="007E6693"/>
    <w:rsid w:val="007E6FB5"/>
    <w:rsid w:val="007E70D7"/>
    <w:rsid w:val="007E7C9D"/>
    <w:rsid w:val="007F0710"/>
    <w:rsid w:val="007F081D"/>
    <w:rsid w:val="007F111C"/>
    <w:rsid w:val="007F1329"/>
    <w:rsid w:val="007F17CD"/>
    <w:rsid w:val="007F245E"/>
    <w:rsid w:val="007F2780"/>
    <w:rsid w:val="007F5035"/>
    <w:rsid w:val="007F5C16"/>
    <w:rsid w:val="007F6C0E"/>
    <w:rsid w:val="007F6EA6"/>
    <w:rsid w:val="008014F3"/>
    <w:rsid w:val="008023C3"/>
    <w:rsid w:val="00802966"/>
    <w:rsid w:val="00802D42"/>
    <w:rsid w:val="008039A9"/>
    <w:rsid w:val="008043FB"/>
    <w:rsid w:val="00804A27"/>
    <w:rsid w:val="00804D92"/>
    <w:rsid w:val="00804DDC"/>
    <w:rsid w:val="00805571"/>
    <w:rsid w:val="008065F4"/>
    <w:rsid w:val="00806634"/>
    <w:rsid w:val="00806B78"/>
    <w:rsid w:val="00806D7A"/>
    <w:rsid w:val="00807207"/>
    <w:rsid w:val="00807C5B"/>
    <w:rsid w:val="0081183E"/>
    <w:rsid w:val="00813601"/>
    <w:rsid w:val="008139FB"/>
    <w:rsid w:val="00814449"/>
    <w:rsid w:val="008148B1"/>
    <w:rsid w:val="00814C3A"/>
    <w:rsid w:val="008179A9"/>
    <w:rsid w:val="00817ED7"/>
    <w:rsid w:val="008207F1"/>
    <w:rsid w:val="00821266"/>
    <w:rsid w:val="008224AB"/>
    <w:rsid w:val="00823765"/>
    <w:rsid w:val="0082448D"/>
    <w:rsid w:val="00824AD6"/>
    <w:rsid w:val="00826050"/>
    <w:rsid w:val="00826B15"/>
    <w:rsid w:val="00826B8C"/>
    <w:rsid w:val="00826E8B"/>
    <w:rsid w:val="00827E1C"/>
    <w:rsid w:val="00830727"/>
    <w:rsid w:val="008319EC"/>
    <w:rsid w:val="00832158"/>
    <w:rsid w:val="00832177"/>
    <w:rsid w:val="00833199"/>
    <w:rsid w:val="00833C15"/>
    <w:rsid w:val="00834ADF"/>
    <w:rsid w:val="008351AF"/>
    <w:rsid w:val="00835CA2"/>
    <w:rsid w:val="00837B56"/>
    <w:rsid w:val="00837B96"/>
    <w:rsid w:val="00840129"/>
    <w:rsid w:val="00840AB4"/>
    <w:rsid w:val="00841D7A"/>
    <w:rsid w:val="008421EB"/>
    <w:rsid w:val="00842219"/>
    <w:rsid w:val="008427E9"/>
    <w:rsid w:val="00843A30"/>
    <w:rsid w:val="0084440D"/>
    <w:rsid w:val="00844A8B"/>
    <w:rsid w:val="0084513B"/>
    <w:rsid w:val="00846BE1"/>
    <w:rsid w:val="0084720B"/>
    <w:rsid w:val="00847A4B"/>
    <w:rsid w:val="00850519"/>
    <w:rsid w:val="00852765"/>
    <w:rsid w:val="008545EA"/>
    <w:rsid w:val="008546C1"/>
    <w:rsid w:val="00854B05"/>
    <w:rsid w:val="00854EE8"/>
    <w:rsid w:val="00855389"/>
    <w:rsid w:val="00860736"/>
    <w:rsid w:val="0086091E"/>
    <w:rsid w:val="00860B51"/>
    <w:rsid w:val="00861339"/>
    <w:rsid w:val="00861409"/>
    <w:rsid w:val="008614F6"/>
    <w:rsid w:val="00861624"/>
    <w:rsid w:val="00861F33"/>
    <w:rsid w:val="00863379"/>
    <w:rsid w:val="00863A04"/>
    <w:rsid w:val="00863B68"/>
    <w:rsid w:val="00865351"/>
    <w:rsid w:val="00865E5B"/>
    <w:rsid w:val="00866459"/>
    <w:rsid w:val="008700B3"/>
    <w:rsid w:val="00872813"/>
    <w:rsid w:val="0087296E"/>
    <w:rsid w:val="00872C4F"/>
    <w:rsid w:val="008738EA"/>
    <w:rsid w:val="00873AD5"/>
    <w:rsid w:val="00874FC7"/>
    <w:rsid w:val="008753C0"/>
    <w:rsid w:val="0087563A"/>
    <w:rsid w:val="0087771C"/>
    <w:rsid w:val="00882475"/>
    <w:rsid w:val="00882792"/>
    <w:rsid w:val="008829A7"/>
    <w:rsid w:val="00882B08"/>
    <w:rsid w:val="00882C29"/>
    <w:rsid w:val="00883911"/>
    <w:rsid w:val="008844BA"/>
    <w:rsid w:val="00884808"/>
    <w:rsid w:val="008848A4"/>
    <w:rsid w:val="00885AA0"/>
    <w:rsid w:val="00886062"/>
    <w:rsid w:val="008861A7"/>
    <w:rsid w:val="00886BC4"/>
    <w:rsid w:val="00886E1B"/>
    <w:rsid w:val="00887B98"/>
    <w:rsid w:val="00890108"/>
    <w:rsid w:val="00890A7A"/>
    <w:rsid w:val="008922AA"/>
    <w:rsid w:val="00892974"/>
    <w:rsid w:val="00893442"/>
    <w:rsid w:val="0089410A"/>
    <w:rsid w:val="008946A2"/>
    <w:rsid w:val="00894F3E"/>
    <w:rsid w:val="00897913"/>
    <w:rsid w:val="00897C6A"/>
    <w:rsid w:val="008A02BB"/>
    <w:rsid w:val="008A0F9B"/>
    <w:rsid w:val="008A1F93"/>
    <w:rsid w:val="008A2BF8"/>
    <w:rsid w:val="008A4528"/>
    <w:rsid w:val="008A4928"/>
    <w:rsid w:val="008A531B"/>
    <w:rsid w:val="008A5A4C"/>
    <w:rsid w:val="008B0CD7"/>
    <w:rsid w:val="008B1866"/>
    <w:rsid w:val="008B215D"/>
    <w:rsid w:val="008B254B"/>
    <w:rsid w:val="008B258B"/>
    <w:rsid w:val="008B25DD"/>
    <w:rsid w:val="008B395C"/>
    <w:rsid w:val="008B5842"/>
    <w:rsid w:val="008B5DA5"/>
    <w:rsid w:val="008B6018"/>
    <w:rsid w:val="008B6036"/>
    <w:rsid w:val="008B6B7A"/>
    <w:rsid w:val="008B6E0E"/>
    <w:rsid w:val="008B7672"/>
    <w:rsid w:val="008C32E2"/>
    <w:rsid w:val="008C562F"/>
    <w:rsid w:val="008C5773"/>
    <w:rsid w:val="008C659D"/>
    <w:rsid w:val="008C73D6"/>
    <w:rsid w:val="008C79B2"/>
    <w:rsid w:val="008C7C5B"/>
    <w:rsid w:val="008D05AE"/>
    <w:rsid w:val="008D0B21"/>
    <w:rsid w:val="008D1914"/>
    <w:rsid w:val="008D1A5A"/>
    <w:rsid w:val="008D1D39"/>
    <w:rsid w:val="008D209C"/>
    <w:rsid w:val="008D20C7"/>
    <w:rsid w:val="008D248F"/>
    <w:rsid w:val="008D2A12"/>
    <w:rsid w:val="008D3469"/>
    <w:rsid w:val="008D3633"/>
    <w:rsid w:val="008D36D4"/>
    <w:rsid w:val="008D589C"/>
    <w:rsid w:val="008D5C3A"/>
    <w:rsid w:val="008D66FB"/>
    <w:rsid w:val="008D736C"/>
    <w:rsid w:val="008E120E"/>
    <w:rsid w:val="008E20F0"/>
    <w:rsid w:val="008E43FF"/>
    <w:rsid w:val="008E4BFB"/>
    <w:rsid w:val="008E6F25"/>
    <w:rsid w:val="008E7535"/>
    <w:rsid w:val="008E7B08"/>
    <w:rsid w:val="008F049E"/>
    <w:rsid w:val="008F0A6A"/>
    <w:rsid w:val="008F0AAD"/>
    <w:rsid w:val="008F1398"/>
    <w:rsid w:val="008F2828"/>
    <w:rsid w:val="008F2E52"/>
    <w:rsid w:val="008F4918"/>
    <w:rsid w:val="008F541D"/>
    <w:rsid w:val="008F550A"/>
    <w:rsid w:val="008F5699"/>
    <w:rsid w:val="008F7D67"/>
    <w:rsid w:val="00900003"/>
    <w:rsid w:val="00901887"/>
    <w:rsid w:val="009029DE"/>
    <w:rsid w:val="00902FBD"/>
    <w:rsid w:val="00904A95"/>
    <w:rsid w:val="009053A2"/>
    <w:rsid w:val="00905F2E"/>
    <w:rsid w:val="009067F1"/>
    <w:rsid w:val="009070E7"/>
    <w:rsid w:val="00913C50"/>
    <w:rsid w:val="00914BA1"/>
    <w:rsid w:val="00915986"/>
    <w:rsid w:val="009161BA"/>
    <w:rsid w:val="00916808"/>
    <w:rsid w:val="00917391"/>
    <w:rsid w:val="009173E7"/>
    <w:rsid w:val="00920C85"/>
    <w:rsid w:val="009210E4"/>
    <w:rsid w:val="00921E36"/>
    <w:rsid w:val="00922C75"/>
    <w:rsid w:val="00922EFC"/>
    <w:rsid w:val="00924788"/>
    <w:rsid w:val="0092570C"/>
    <w:rsid w:val="0092648F"/>
    <w:rsid w:val="0092790B"/>
    <w:rsid w:val="009333CF"/>
    <w:rsid w:val="0093436D"/>
    <w:rsid w:val="009351E4"/>
    <w:rsid w:val="009352DC"/>
    <w:rsid w:val="009356A3"/>
    <w:rsid w:val="0093615B"/>
    <w:rsid w:val="00937483"/>
    <w:rsid w:val="00937663"/>
    <w:rsid w:val="009378A9"/>
    <w:rsid w:val="009421CD"/>
    <w:rsid w:val="00943060"/>
    <w:rsid w:val="00943314"/>
    <w:rsid w:val="00943365"/>
    <w:rsid w:val="009449D8"/>
    <w:rsid w:val="00944CBA"/>
    <w:rsid w:val="00944D4E"/>
    <w:rsid w:val="00945504"/>
    <w:rsid w:val="009455D2"/>
    <w:rsid w:val="009457E7"/>
    <w:rsid w:val="00945D6F"/>
    <w:rsid w:val="00950245"/>
    <w:rsid w:val="009509A3"/>
    <w:rsid w:val="00950A4D"/>
    <w:rsid w:val="00950C38"/>
    <w:rsid w:val="00951093"/>
    <w:rsid w:val="00952947"/>
    <w:rsid w:val="00952FFB"/>
    <w:rsid w:val="009530CD"/>
    <w:rsid w:val="00953295"/>
    <w:rsid w:val="00954FA8"/>
    <w:rsid w:val="00954FE5"/>
    <w:rsid w:val="0095621E"/>
    <w:rsid w:val="00957328"/>
    <w:rsid w:val="00960401"/>
    <w:rsid w:val="0096097D"/>
    <w:rsid w:val="00961627"/>
    <w:rsid w:val="00962639"/>
    <w:rsid w:val="00963456"/>
    <w:rsid w:val="00963948"/>
    <w:rsid w:val="00963E5C"/>
    <w:rsid w:val="00964F55"/>
    <w:rsid w:val="0096558E"/>
    <w:rsid w:val="00965A39"/>
    <w:rsid w:val="00965C4B"/>
    <w:rsid w:val="009662F6"/>
    <w:rsid w:val="009678CE"/>
    <w:rsid w:val="009706BA"/>
    <w:rsid w:val="00970AF7"/>
    <w:rsid w:val="00972ABA"/>
    <w:rsid w:val="00972F04"/>
    <w:rsid w:val="009754AD"/>
    <w:rsid w:val="009759F8"/>
    <w:rsid w:val="009767AB"/>
    <w:rsid w:val="0097688C"/>
    <w:rsid w:val="00976F43"/>
    <w:rsid w:val="00977784"/>
    <w:rsid w:val="00977E3A"/>
    <w:rsid w:val="00977F9E"/>
    <w:rsid w:val="00981EEB"/>
    <w:rsid w:val="00984A25"/>
    <w:rsid w:val="00984B82"/>
    <w:rsid w:val="009852E9"/>
    <w:rsid w:val="009857F7"/>
    <w:rsid w:val="0098630B"/>
    <w:rsid w:val="0098638E"/>
    <w:rsid w:val="00986A6B"/>
    <w:rsid w:val="00987161"/>
    <w:rsid w:val="0098797C"/>
    <w:rsid w:val="009904C9"/>
    <w:rsid w:val="00991398"/>
    <w:rsid w:val="009928E0"/>
    <w:rsid w:val="00992F01"/>
    <w:rsid w:val="00993DD4"/>
    <w:rsid w:val="009945BA"/>
    <w:rsid w:val="0099486B"/>
    <w:rsid w:val="00995D1B"/>
    <w:rsid w:val="00997B57"/>
    <w:rsid w:val="009A0B05"/>
    <w:rsid w:val="009A1A3A"/>
    <w:rsid w:val="009A1CEC"/>
    <w:rsid w:val="009A1E7D"/>
    <w:rsid w:val="009A21E0"/>
    <w:rsid w:val="009A2704"/>
    <w:rsid w:val="009A2741"/>
    <w:rsid w:val="009A319B"/>
    <w:rsid w:val="009A31E0"/>
    <w:rsid w:val="009A3578"/>
    <w:rsid w:val="009A36A7"/>
    <w:rsid w:val="009A49AA"/>
    <w:rsid w:val="009A4E62"/>
    <w:rsid w:val="009A4F13"/>
    <w:rsid w:val="009A5340"/>
    <w:rsid w:val="009A5E24"/>
    <w:rsid w:val="009A6582"/>
    <w:rsid w:val="009A7BA3"/>
    <w:rsid w:val="009B06AE"/>
    <w:rsid w:val="009B0805"/>
    <w:rsid w:val="009B2326"/>
    <w:rsid w:val="009B2707"/>
    <w:rsid w:val="009B38CA"/>
    <w:rsid w:val="009B3979"/>
    <w:rsid w:val="009B418A"/>
    <w:rsid w:val="009B464D"/>
    <w:rsid w:val="009B644F"/>
    <w:rsid w:val="009B708B"/>
    <w:rsid w:val="009C0161"/>
    <w:rsid w:val="009C0AA0"/>
    <w:rsid w:val="009C2999"/>
    <w:rsid w:val="009C3467"/>
    <w:rsid w:val="009C3E56"/>
    <w:rsid w:val="009C41DD"/>
    <w:rsid w:val="009C52E0"/>
    <w:rsid w:val="009C5482"/>
    <w:rsid w:val="009C5813"/>
    <w:rsid w:val="009C621C"/>
    <w:rsid w:val="009C6976"/>
    <w:rsid w:val="009C791D"/>
    <w:rsid w:val="009C79BD"/>
    <w:rsid w:val="009D123D"/>
    <w:rsid w:val="009D3CC0"/>
    <w:rsid w:val="009D4177"/>
    <w:rsid w:val="009D4BBB"/>
    <w:rsid w:val="009D51A7"/>
    <w:rsid w:val="009D5605"/>
    <w:rsid w:val="009D6A6D"/>
    <w:rsid w:val="009D6C39"/>
    <w:rsid w:val="009D7548"/>
    <w:rsid w:val="009E0F16"/>
    <w:rsid w:val="009E1419"/>
    <w:rsid w:val="009E1CF9"/>
    <w:rsid w:val="009E37E1"/>
    <w:rsid w:val="009E3B44"/>
    <w:rsid w:val="009E3E4B"/>
    <w:rsid w:val="009E412B"/>
    <w:rsid w:val="009E6B8D"/>
    <w:rsid w:val="009E6DF4"/>
    <w:rsid w:val="009F11B1"/>
    <w:rsid w:val="009F1DAD"/>
    <w:rsid w:val="009F411C"/>
    <w:rsid w:val="009F4215"/>
    <w:rsid w:val="009F4501"/>
    <w:rsid w:val="009F4652"/>
    <w:rsid w:val="009F486B"/>
    <w:rsid w:val="009F554E"/>
    <w:rsid w:val="009F5F79"/>
    <w:rsid w:val="009F6063"/>
    <w:rsid w:val="009F6D6F"/>
    <w:rsid w:val="009F702E"/>
    <w:rsid w:val="00A003F4"/>
    <w:rsid w:val="00A0109B"/>
    <w:rsid w:val="00A04D88"/>
    <w:rsid w:val="00A05B9E"/>
    <w:rsid w:val="00A061C2"/>
    <w:rsid w:val="00A06273"/>
    <w:rsid w:val="00A06659"/>
    <w:rsid w:val="00A06B55"/>
    <w:rsid w:val="00A12A8A"/>
    <w:rsid w:val="00A12EAC"/>
    <w:rsid w:val="00A143CC"/>
    <w:rsid w:val="00A14433"/>
    <w:rsid w:val="00A1472B"/>
    <w:rsid w:val="00A1581E"/>
    <w:rsid w:val="00A1701A"/>
    <w:rsid w:val="00A176F7"/>
    <w:rsid w:val="00A21FDA"/>
    <w:rsid w:val="00A23AA1"/>
    <w:rsid w:val="00A2454F"/>
    <w:rsid w:val="00A24731"/>
    <w:rsid w:val="00A24EAA"/>
    <w:rsid w:val="00A2566A"/>
    <w:rsid w:val="00A263B4"/>
    <w:rsid w:val="00A2699F"/>
    <w:rsid w:val="00A26A64"/>
    <w:rsid w:val="00A27E8E"/>
    <w:rsid w:val="00A30190"/>
    <w:rsid w:val="00A30258"/>
    <w:rsid w:val="00A3039D"/>
    <w:rsid w:val="00A3229C"/>
    <w:rsid w:val="00A325F4"/>
    <w:rsid w:val="00A339AB"/>
    <w:rsid w:val="00A34678"/>
    <w:rsid w:val="00A34679"/>
    <w:rsid w:val="00A35D7D"/>
    <w:rsid w:val="00A35D80"/>
    <w:rsid w:val="00A36A37"/>
    <w:rsid w:val="00A36ADF"/>
    <w:rsid w:val="00A37214"/>
    <w:rsid w:val="00A406C8"/>
    <w:rsid w:val="00A4203A"/>
    <w:rsid w:val="00A42942"/>
    <w:rsid w:val="00A42C28"/>
    <w:rsid w:val="00A43788"/>
    <w:rsid w:val="00A43895"/>
    <w:rsid w:val="00A441AD"/>
    <w:rsid w:val="00A44C59"/>
    <w:rsid w:val="00A453AC"/>
    <w:rsid w:val="00A45DA3"/>
    <w:rsid w:val="00A45DF6"/>
    <w:rsid w:val="00A46B58"/>
    <w:rsid w:val="00A4736B"/>
    <w:rsid w:val="00A474FF"/>
    <w:rsid w:val="00A47622"/>
    <w:rsid w:val="00A52290"/>
    <w:rsid w:val="00A52367"/>
    <w:rsid w:val="00A53CBA"/>
    <w:rsid w:val="00A5417A"/>
    <w:rsid w:val="00A5451A"/>
    <w:rsid w:val="00A54AED"/>
    <w:rsid w:val="00A54FA4"/>
    <w:rsid w:val="00A55E37"/>
    <w:rsid w:val="00A56276"/>
    <w:rsid w:val="00A577AA"/>
    <w:rsid w:val="00A60636"/>
    <w:rsid w:val="00A609BE"/>
    <w:rsid w:val="00A60B25"/>
    <w:rsid w:val="00A61C2F"/>
    <w:rsid w:val="00A62F03"/>
    <w:rsid w:val="00A64156"/>
    <w:rsid w:val="00A65EAB"/>
    <w:rsid w:val="00A66197"/>
    <w:rsid w:val="00A66B3A"/>
    <w:rsid w:val="00A70E0C"/>
    <w:rsid w:val="00A72068"/>
    <w:rsid w:val="00A72BA4"/>
    <w:rsid w:val="00A72C5C"/>
    <w:rsid w:val="00A73266"/>
    <w:rsid w:val="00A734F4"/>
    <w:rsid w:val="00A73F95"/>
    <w:rsid w:val="00A740FE"/>
    <w:rsid w:val="00A741E6"/>
    <w:rsid w:val="00A752B9"/>
    <w:rsid w:val="00A767AE"/>
    <w:rsid w:val="00A775C2"/>
    <w:rsid w:val="00A7793A"/>
    <w:rsid w:val="00A802D6"/>
    <w:rsid w:val="00A80712"/>
    <w:rsid w:val="00A813F3"/>
    <w:rsid w:val="00A82398"/>
    <w:rsid w:val="00A82517"/>
    <w:rsid w:val="00A82B05"/>
    <w:rsid w:val="00A8366E"/>
    <w:rsid w:val="00A8474B"/>
    <w:rsid w:val="00A8481B"/>
    <w:rsid w:val="00A85026"/>
    <w:rsid w:val="00A85F32"/>
    <w:rsid w:val="00A86073"/>
    <w:rsid w:val="00A87F1C"/>
    <w:rsid w:val="00A87F4B"/>
    <w:rsid w:val="00A905BC"/>
    <w:rsid w:val="00A909A3"/>
    <w:rsid w:val="00A912EA"/>
    <w:rsid w:val="00A9171F"/>
    <w:rsid w:val="00A91796"/>
    <w:rsid w:val="00A920D9"/>
    <w:rsid w:val="00A928A0"/>
    <w:rsid w:val="00A92ECA"/>
    <w:rsid w:val="00A93264"/>
    <w:rsid w:val="00A9421D"/>
    <w:rsid w:val="00A94331"/>
    <w:rsid w:val="00A94B96"/>
    <w:rsid w:val="00A94EC4"/>
    <w:rsid w:val="00A957EB"/>
    <w:rsid w:val="00A95D6C"/>
    <w:rsid w:val="00A9606B"/>
    <w:rsid w:val="00A9619E"/>
    <w:rsid w:val="00A96687"/>
    <w:rsid w:val="00A96AF4"/>
    <w:rsid w:val="00A96C48"/>
    <w:rsid w:val="00A97320"/>
    <w:rsid w:val="00AA270D"/>
    <w:rsid w:val="00AA2C21"/>
    <w:rsid w:val="00AA44B6"/>
    <w:rsid w:val="00AA5921"/>
    <w:rsid w:val="00AA7CA8"/>
    <w:rsid w:val="00AB18B9"/>
    <w:rsid w:val="00AB19D6"/>
    <w:rsid w:val="00AB1A2B"/>
    <w:rsid w:val="00AB1E6E"/>
    <w:rsid w:val="00AB30F0"/>
    <w:rsid w:val="00AB3A33"/>
    <w:rsid w:val="00AB4403"/>
    <w:rsid w:val="00AB50FC"/>
    <w:rsid w:val="00AB589B"/>
    <w:rsid w:val="00AB5B63"/>
    <w:rsid w:val="00AB5F3F"/>
    <w:rsid w:val="00AB5FC8"/>
    <w:rsid w:val="00AB6C0A"/>
    <w:rsid w:val="00AB76A3"/>
    <w:rsid w:val="00AB7ACF"/>
    <w:rsid w:val="00AB7E2B"/>
    <w:rsid w:val="00AC1ADC"/>
    <w:rsid w:val="00AC2278"/>
    <w:rsid w:val="00AC39FB"/>
    <w:rsid w:val="00AC3B7E"/>
    <w:rsid w:val="00AC4509"/>
    <w:rsid w:val="00AC50D6"/>
    <w:rsid w:val="00AC51FD"/>
    <w:rsid w:val="00AC5EEA"/>
    <w:rsid w:val="00AC7F5D"/>
    <w:rsid w:val="00AD0BCA"/>
    <w:rsid w:val="00AD0C0E"/>
    <w:rsid w:val="00AD0F21"/>
    <w:rsid w:val="00AD15DD"/>
    <w:rsid w:val="00AD1C8C"/>
    <w:rsid w:val="00AD219C"/>
    <w:rsid w:val="00AD27FD"/>
    <w:rsid w:val="00AD2B67"/>
    <w:rsid w:val="00AD333A"/>
    <w:rsid w:val="00AD3412"/>
    <w:rsid w:val="00AD36BC"/>
    <w:rsid w:val="00AD4D54"/>
    <w:rsid w:val="00AD621B"/>
    <w:rsid w:val="00AD7B7C"/>
    <w:rsid w:val="00AE232E"/>
    <w:rsid w:val="00AE3A33"/>
    <w:rsid w:val="00AE3D4F"/>
    <w:rsid w:val="00AE3F3F"/>
    <w:rsid w:val="00AE42CD"/>
    <w:rsid w:val="00AE6C30"/>
    <w:rsid w:val="00AE6D7C"/>
    <w:rsid w:val="00AE743F"/>
    <w:rsid w:val="00AE7D10"/>
    <w:rsid w:val="00AF02D2"/>
    <w:rsid w:val="00AF0670"/>
    <w:rsid w:val="00AF2099"/>
    <w:rsid w:val="00AF24AE"/>
    <w:rsid w:val="00AF2512"/>
    <w:rsid w:val="00AF344F"/>
    <w:rsid w:val="00AF35A3"/>
    <w:rsid w:val="00AF37E8"/>
    <w:rsid w:val="00AF3B7B"/>
    <w:rsid w:val="00AF3EB7"/>
    <w:rsid w:val="00AF4B2A"/>
    <w:rsid w:val="00AF586B"/>
    <w:rsid w:val="00AF63DD"/>
    <w:rsid w:val="00AF65A2"/>
    <w:rsid w:val="00AF6EB4"/>
    <w:rsid w:val="00AF770A"/>
    <w:rsid w:val="00AF7757"/>
    <w:rsid w:val="00AF7DB5"/>
    <w:rsid w:val="00B0005E"/>
    <w:rsid w:val="00B00EB0"/>
    <w:rsid w:val="00B01220"/>
    <w:rsid w:val="00B0233C"/>
    <w:rsid w:val="00B03118"/>
    <w:rsid w:val="00B03848"/>
    <w:rsid w:val="00B05634"/>
    <w:rsid w:val="00B05B17"/>
    <w:rsid w:val="00B060AA"/>
    <w:rsid w:val="00B06469"/>
    <w:rsid w:val="00B06A2A"/>
    <w:rsid w:val="00B077C1"/>
    <w:rsid w:val="00B12411"/>
    <w:rsid w:val="00B15096"/>
    <w:rsid w:val="00B150D1"/>
    <w:rsid w:val="00B15131"/>
    <w:rsid w:val="00B15A77"/>
    <w:rsid w:val="00B15DE1"/>
    <w:rsid w:val="00B205DA"/>
    <w:rsid w:val="00B20BD4"/>
    <w:rsid w:val="00B20FEA"/>
    <w:rsid w:val="00B21676"/>
    <w:rsid w:val="00B22427"/>
    <w:rsid w:val="00B22538"/>
    <w:rsid w:val="00B22E46"/>
    <w:rsid w:val="00B23624"/>
    <w:rsid w:val="00B2698F"/>
    <w:rsid w:val="00B26D8E"/>
    <w:rsid w:val="00B309CC"/>
    <w:rsid w:val="00B30FAF"/>
    <w:rsid w:val="00B3108E"/>
    <w:rsid w:val="00B31F43"/>
    <w:rsid w:val="00B36365"/>
    <w:rsid w:val="00B36D9B"/>
    <w:rsid w:val="00B3785C"/>
    <w:rsid w:val="00B41816"/>
    <w:rsid w:val="00B42337"/>
    <w:rsid w:val="00B42434"/>
    <w:rsid w:val="00B4256E"/>
    <w:rsid w:val="00B4276A"/>
    <w:rsid w:val="00B42A1F"/>
    <w:rsid w:val="00B4430D"/>
    <w:rsid w:val="00B4586F"/>
    <w:rsid w:val="00B45915"/>
    <w:rsid w:val="00B45A61"/>
    <w:rsid w:val="00B46837"/>
    <w:rsid w:val="00B47964"/>
    <w:rsid w:val="00B506B9"/>
    <w:rsid w:val="00B50839"/>
    <w:rsid w:val="00B50E59"/>
    <w:rsid w:val="00B5362B"/>
    <w:rsid w:val="00B54B66"/>
    <w:rsid w:val="00B54CC2"/>
    <w:rsid w:val="00B55BDD"/>
    <w:rsid w:val="00B56160"/>
    <w:rsid w:val="00B56DE4"/>
    <w:rsid w:val="00B571D5"/>
    <w:rsid w:val="00B573F3"/>
    <w:rsid w:val="00B60F71"/>
    <w:rsid w:val="00B60FE4"/>
    <w:rsid w:val="00B6102E"/>
    <w:rsid w:val="00B618BA"/>
    <w:rsid w:val="00B619B5"/>
    <w:rsid w:val="00B6207A"/>
    <w:rsid w:val="00B6252A"/>
    <w:rsid w:val="00B637D6"/>
    <w:rsid w:val="00B65519"/>
    <w:rsid w:val="00B65717"/>
    <w:rsid w:val="00B65A01"/>
    <w:rsid w:val="00B65CEE"/>
    <w:rsid w:val="00B66FFD"/>
    <w:rsid w:val="00B67395"/>
    <w:rsid w:val="00B70BCB"/>
    <w:rsid w:val="00B71691"/>
    <w:rsid w:val="00B71737"/>
    <w:rsid w:val="00B71B34"/>
    <w:rsid w:val="00B72406"/>
    <w:rsid w:val="00B73C23"/>
    <w:rsid w:val="00B74556"/>
    <w:rsid w:val="00B74D4C"/>
    <w:rsid w:val="00B75933"/>
    <w:rsid w:val="00B76B54"/>
    <w:rsid w:val="00B7713C"/>
    <w:rsid w:val="00B7748B"/>
    <w:rsid w:val="00B77724"/>
    <w:rsid w:val="00B779FB"/>
    <w:rsid w:val="00B80E6A"/>
    <w:rsid w:val="00B81B31"/>
    <w:rsid w:val="00B8279E"/>
    <w:rsid w:val="00B82AF3"/>
    <w:rsid w:val="00B83689"/>
    <w:rsid w:val="00B83C2B"/>
    <w:rsid w:val="00B84465"/>
    <w:rsid w:val="00B86D34"/>
    <w:rsid w:val="00B87322"/>
    <w:rsid w:val="00B87735"/>
    <w:rsid w:val="00B91A34"/>
    <w:rsid w:val="00B9227C"/>
    <w:rsid w:val="00B9387D"/>
    <w:rsid w:val="00B957A2"/>
    <w:rsid w:val="00B961F5"/>
    <w:rsid w:val="00B96775"/>
    <w:rsid w:val="00BA22C1"/>
    <w:rsid w:val="00BA30EA"/>
    <w:rsid w:val="00BA4043"/>
    <w:rsid w:val="00BA4B99"/>
    <w:rsid w:val="00BA5055"/>
    <w:rsid w:val="00BA509E"/>
    <w:rsid w:val="00BA6B27"/>
    <w:rsid w:val="00BA75D8"/>
    <w:rsid w:val="00BB0002"/>
    <w:rsid w:val="00BB0005"/>
    <w:rsid w:val="00BB1084"/>
    <w:rsid w:val="00BB1577"/>
    <w:rsid w:val="00BB1789"/>
    <w:rsid w:val="00BB38EC"/>
    <w:rsid w:val="00BB39B7"/>
    <w:rsid w:val="00BB457F"/>
    <w:rsid w:val="00BB5ABF"/>
    <w:rsid w:val="00BB6988"/>
    <w:rsid w:val="00BB6C75"/>
    <w:rsid w:val="00BC0DD2"/>
    <w:rsid w:val="00BC0FAB"/>
    <w:rsid w:val="00BC17AA"/>
    <w:rsid w:val="00BC1ED4"/>
    <w:rsid w:val="00BC1FE4"/>
    <w:rsid w:val="00BC3AB2"/>
    <w:rsid w:val="00BC3E60"/>
    <w:rsid w:val="00BC45AC"/>
    <w:rsid w:val="00BC4805"/>
    <w:rsid w:val="00BC5098"/>
    <w:rsid w:val="00BC5674"/>
    <w:rsid w:val="00BC5B9D"/>
    <w:rsid w:val="00BC64BB"/>
    <w:rsid w:val="00BD110C"/>
    <w:rsid w:val="00BD16DE"/>
    <w:rsid w:val="00BD2903"/>
    <w:rsid w:val="00BD2FC8"/>
    <w:rsid w:val="00BD3137"/>
    <w:rsid w:val="00BD46D2"/>
    <w:rsid w:val="00BD4C2A"/>
    <w:rsid w:val="00BD6B61"/>
    <w:rsid w:val="00BD6EC8"/>
    <w:rsid w:val="00BD7A53"/>
    <w:rsid w:val="00BD7C62"/>
    <w:rsid w:val="00BE0C91"/>
    <w:rsid w:val="00BE0CFC"/>
    <w:rsid w:val="00BE145C"/>
    <w:rsid w:val="00BE16BD"/>
    <w:rsid w:val="00BE1955"/>
    <w:rsid w:val="00BE1B86"/>
    <w:rsid w:val="00BE1E64"/>
    <w:rsid w:val="00BE29AC"/>
    <w:rsid w:val="00BE304A"/>
    <w:rsid w:val="00BE37D9"/>
    <w:rsid w:val="00BE4ACB"/>
    <w:rsid w:val="00BE5439"/>
    <w:rsid w:val="00BE57DA"/>
    <w:rsid w:val="00BE6BC2"/>
    <w:rsid w:val="00BE6FE5"/>
    <w:rsid w:val="00BE79D5"/>
    <w:rsid w:val="00BF0028"/>
    <w:rsid w:val="00BF264F"/>
    <w:rsid w:val="00BF3ADB"/>
    <w:rsid w:val="00BF4659"/>
    <w:rsid w:val="00BF4F9F"/>
    <w:rsid w:val="00BF5FFA"/>
    <w:rsid w:val="00BF696B"/>
    <w:rsid w:val="00BF6AEE"/>
    <w:rsid w:val="00BF730A"/>
    <w:rsid w:val="00BF7FAB"/>
    <w:rsid w:val="00C008B6"/>
    <w:rsid w:val="00C0135A"/>
    <w:rsid w:val="00C0272A"/>
    <w:rsid w:val="00C02ACC"/>
    <w:rsid w:val="00C02C4A"/>
    <w:rsid w:val="00C03F2D"/>
    <w:rsid w:val="00C0404B"/>
    <w:rsid w:val="00C04BC1"/>
    <w:rsid w:val="00C0585C"/>
    <w:rsid w:val="00C05A12"/>
    <w:rsid w:val="00C062F2"/>
    <w:rsid w:val="00C0728C"/>
    <w:rsid w:val="00C106AC"/>
    <w:rsid w:val="00C12DF1"/>
    <w:rsid w:val="00C137C9"/>
    <w:rsid w:val="00C13966"/>
    <w:rsid w:val="00C143C8"/>
    <w:rsid w:val="00C14E27"/>
    <w:rsid w:val="00C1550A"/>
    <w:rsid w:val="00C166AB"/>
    <w:rsid w:val="00C16F81"/>
    <w:rsid w:val="00C17275"/>
    <w:rsid w:val="00C17783"/>
    <w:rsid w:val="00C22C7E"/>
    <w:rsid w:val="00C2332C"/>
    <w:rsid w:val="00C233FE"/>
    <w:rsid w:val="00C237CE"/>
    <w:rsid w:val="00C25FC3"/>
    <w:rsid w:val="00C269FC"/>
    <w:rsid w:val="00C26B17"/>
    <w:rsid w:val="00C27CCC"/>
    <w:rsid w:val="00C27EF8"/>
    <w:rsid w:val="00C300DD"/>
    <w:rsid w:val="00C301FC"/>
    <w:rsid w:val="00C3141C"/>
    <w:rsid w:val="00C32E08"/>
    <w:rsid w:val="00C32F28"/>
    <w:rsid w:val="00C33F03"/>
    <w:rsid w:val="00C34E01"/>
    <w:rsid w:val="00C34ED0"/>
    <w:rsid w:val="00C3516A"/>
    <w:rsid w:val="00C35EDC"/>
    <w:rsid w:val="00C3629A"/>
    <w:rsid w:val="00C3633A"/>
    <w:rsid w:val="00C36BAA"/>
    <w:rsid w:val="00C36BB6"/>
    <w:rsid w:val="00C3728F"/>
    <w:rsid w:val="00C376B2"/>
    <w:rsid w:val="00C401B2"/>
    <w:rsid w:val="00C41701"/>
    <w:rsid w:val="00C41E24"/>
    <w:rsid w:val="00C429EF"/>
    <w:rsid w:val="00C43093"/>
    <w:rsid w:val="00C43A3C"/>
    <w:rsid w:val="00C44224"/>
    <w:rsid w:val="00C44D87"/>
    <w:rsid w:val="00C4547D"/>
    <w:rsid w:val="00C462C3"/>
    <w:rsid w:val="00C46CA3"/>
    <w:rsid w:val="00C4729C"/>
    <w:rsid w:val="00C477FC"/>
    <w:rsid w:val="00C50B52"/>
    <w:rsid w:val="00C50F30"/>
    <w:rsid w:val="00C50FD6"/>
    <w:rsid w:val="00C525F4"/>
    <w:rsid w:val="00C532E5"/>
    <w:rsid w:val="00C53D9E"/>
    <w:rsid w:val="00C53F2A"/>
    <w:rsid w:val="00C54FDE"/>
    <w:rsid w:val="00C55501"/>
    <w:rsid w:val="00C60602"/>
    <w:rsid w:val="00C610B7"/>
    <w:rsid w:val="00C61365"/>
    <w:rsid w:val="00C62A8A"/>
    <w:rsid w:val="00C647B7"/>
    <w:rsid w:val="00C65894"/>
    <w:rsid w:val="00C700BD"/>
    <w:rsid w:val="00C70F83"/>
    <w:rsid w:val="00C7185D"/>
    <w:rsid w:val="00C71BF7"/>
    <w:rsid w:val="00C71E0B"/>
    <w:rsid w:val="00C7280D"/>
    <w:rsid w:val="00C73194"/>
    <w:rsid w:val="00C732F7"/>
    <w:rsid w:val="00C73A70"/>
    <w:rsid w:val="00C750CA"/>
    <w:rsid w:val="00C75861"/>
    <w:rsid w:val="00C75DE2"/>
    <w:rsid w:val="00C7762D"/>
    <w:rsid w:val="00C8185D"/>
    <w:rsid w:val="00C81B96"/>
    <w:rsid w:val="00C81F2A"/>
    <w:rsid w:val="00C847B6"/>
    <w:rsid w:val="00C8680F"/>
    <w:rsid w:val="00C86B99"/>
    <w:rsid w:val="00C86DA8"/>
    <w:rsid w:val="00C8751B"/>
    <w:rsid w:val="00C902EF"/>
    <w:rsid w:val="00C9098A"/>
    <w:rsid w:val="00C9126F"/>
    <w:rsid w:val="00C91D75"/>
    <w:rsid w:val="00C932BC"/>
    <w:rsid w:val="00C9333E"/>
    <w:rsid w:val="00C93D35"/>
    <w:rsid w:val="00C941BE"/>
    <w:rsid w:val="00C9456A"/>
    <w:rsid w:val="00C94CAC"/>
    <w:rsid w:val="00C966E6"/>
    <w:rsid w:val="00C968DC"/>
    <w:rsid w:val="00C96A2D"/>
    <w:rsid w:val="00C97350"/>
    <w:rsid w:val="00C97B24"/>
    <w:rsid w:val="00CA0ABB"/>
    <w:rsid w:val="00CA0D3F"/>
    <w:rsid w:val="00CA0F65"/>
    <w:rsid w:val="00CA14B4"/>
    <w:rsid w:val="00CA24E1"/>
    <w:rsid w:val="00CA4AE8"/>
    <w:rsid w:val="00CA5028"/>
    <w:rsid w:val="00CA5E0C"/>
    <w:rsid w:val="00CA6439"/>
    <w:rsid w:val="00CA66B5"/>
    <w:rsid w:val="00CA6C9C"/>
    <w:rsid w:val="00CB0067"/>
    <w:rsid w:val="00CB032B"/>
    <w:rsid w:val="00CB04C2"/>
    <w:rsid w:val="00CB081B"/>
    <w:rsid w:val="00CB1720"/>
    <w:rsid w:val="00CB2487"/>
    <w:rsid w:val="00CB2909"/>
    <w:rsid w:val="00CB35AD"/>
    <w:rsid w:val="00CB375F"/>
    <w:rsid w:val="00CB388D"/>
    <w:rsid w:val="00CB3FB7"/>
    <w:rsid w:val="00CB3FD1"/>
    <w:rsid w:val="00CB4298"/>
    <w:rsid w:val="00CB514D"/>
    <w:rsid w:val="00CB53D2"/>
    <w:rsid w:val="00CB593D"/>
    <w:rsid w:val="00CB5FF8"/>
    <w:rsid w:val="00CB62F3"/>
    <w:rsid w:val="00CB658B"/>
    <w:rsid w:val="00CB6823"/>
    <w:rsid w:val="00CB6C33"/>
    <w:rsid w:val="00CB6ED5"/>
    <w:rsid w:val="00CB6EF8"/>
    <w:rsid w:val="00CB7118"/>
    <w:rsid w:val="00CC0CF9"/>
    <w:rsid w:val="00CC0DE9"/>
    <w:rsid w:val="00CC1727"/>
    <w:rsid w:val="00CC30D8"/>
    <w:rsid w:val="00CC390D"/>
    <w:rsid w:val="00CC5C72"/>
    <w:rsid w:val="00CC62F4"/>
    <w:rsid w:val="00CC6A9A"/>
    <w:rsid w:val="00CC7B25"/>
    <w:rsid w:val="00CD02A5"/>
    <w:rsid w:val="00CD0921"/>
    <w:rsid w:val="00CD1ABC"/>
    <w:rsid w:val="00CD1EE9"/>
    <w:rsid w:val="00CD2751"/>
    <w:rsid w:val="00CD2EFB"/>
    <w:rsid w:val="00CD2F7E"/>
    <w:rsid w:val="00CD5446"/>
    <w:rsid w:val="00CD5747"/>
    <w:rsid w:val="00CD6001"/>
    <w:rsid w:val="00CD638C"/>
    <w:rsid w:val="00CD6E9A"/>
    <w:rsid w:val="00CD7049"/>
    <w:rsid w:val="00CD7D08"/>
    <w:rsid w:val="00CD7E74"/>
    <w:rsid w:val="00CE0600"/>
    <w:rsid w:val="00CE0F59"/>
    <w:rsid w:val="00CE120B"/>
    <w:rsid w:val="00CE192E"/>
    <w:rsid w:val="00CE21AA"/>
    <w:rsid w:val="00CE254B"/>
    <w:rsid w:val="00CE2AE5"/>
    <w:rsid w:val="00CE2D66"/>
    <w:rsid w:val="00CE307A"/>
    <w:rsid w:val="00CE4AAF"/>
    <w:rsid w:val="00CE4ABC"/>
    <w:rsid w:val="00CE5433"/>
    <w:rsid w:val="00CE546F"/>
    <w:rsid w:val="00CE66C9"/>
    <w:rsid w:val="00CE6AF5"/>
    <w:rsid w:val="00CF0FCD"/>
    <w:rsid w:val="00CF14F5"/>
    <w:rsid w:val="00CF27FE"/>
    <w:rsid w:val="00CF4189"/>
    <w:rsid w:val="00CF494E"/>
    <w:rsid w:val="00CF4CA5"/>
    <w:rsid w:val="00CF5888"/>
    <w:rsid w:val="00CF7582"/>
    <w:rsid w:val="00CF788D"/>
    <w:rsid w:val="00CF7EB1"/>
    <w:rsid w:val="00D0021B"/>
    <w:rsid w:val="00D011E7"/>
    <w:rsid w:val="00D017E0"/>
    <w:rsid w:val="00D0315A"/>
    <w:rsid w:val="00D03C08"/>
    <w:rsid w:val="00D04A4E"/>
    <w:rsid w:val="00D0658E"/>
    <w:rsid w:val="00D067EF"/>
    <w:rsid w:val="00D06C87"/>
    <w:rsid w:val="00D113F2"/>
    <w:rsid w:val="00D11F49"/>
    <w:rsid w:val="00D12784"/>
    <w:rsid w:val="00D13207"/>
    <w:rsid w:val="00D1346D"/>
    <w:rsid w:val="00D13F47"/>
    <w:rsid w:val="00D13FA7"/>
    <w:rsid w:val="00D145C6"/>
    <w:rsid w:val="00D15824"/>
    <w:rsid w:val="00D169C5"/>
    <w:rsid w:val="00D1739E"/>
    <w:rsid w:val="00D174D1"/>
    <w:rsid w:val="00D17C2E"/>
    <w:rsid w:val="00D20273"/>
    <w:rsid w:val="00D20372"/>
    <w:rsid w:val="00D2050E"/>
    <w:rsid w:val="00D2150F"/>
    <w:rsid w:val="00D215DF"/>
    <w:rsid w:val="00D21736"/>
    <w:rsid w:val="00D217B2"/>
    <w:rsid w:val="00D23174"/>
    <w:rsid w:val="00D249E2"/>
    <w:rsid w:val="00D250AD"/>
    <w:rsid w:val="00D25520"/>
    <w:rsid w:val="00D3064D"/>
    <w:rsid w:val="00D307EF"/>
    <w:rsid w:val="00D30974"/>
    <w:rsid w:val="00D323CC"/>
    <w:rsid w:val="00D33171"/>
    <w:rsid w:val="00D33827"/>
    <w:rsid w:val="00D3446C"/>
    <w:rsid w:val="00D34C7E"/>
    <w:rsid w:val="00D35657"/>
    <w:rsid w:val="00D36B4A"/>
    <w:rsid w:val="00D36E11"/>
    <w:rsid w:val="00D41102"/>
    <w:rsid w:val="00D413DC"/>
    <w:rsid w:val="00D414C7"/>
    <w:rsid w:val="00D4208A"/>
    <w:rsid w:val="00D425B4"/>
    <w:rsid w:val="00D430CF"/>
    <w:rsid w:val="00D4335C"/>
    <w:rsid w:val="00D4452E"/>
    <w:rsid w:val="00D44D44"/>
    <w:rsid w:val="00D45606"/>
    <w:rsid w:val="00D46012"/>
    <w:rsid w:val="00D46C62"/>
    <w:rsid w:val="00D4727C"/>
    <w:rsid w:val="00D475E8"/>
    <w:rsid w:val="00D479D2"/>
    <w:rsid w:val="00D47DA9"/>
    <w:rsid w:val="00D504B6"/>
    <w:rsid w:val="00D50B08"/>
    <w:rsid w:val="00D510BE"/>
    <w:rsid w:val="00D5146C"/>
    <w:rsid w:val="00D51BA2"/>
    <w:rsid w:val="00D51D54"/>
    <w:rsid w:val="00D52AC7"/>
    <w:rsid w:val="00D52C0F"/>
    <w:rsid w:val="00D530B3"/>
    <w:rsid w:val="00D53291"/>
    <w:rsid w:val="00D54424"/>
    <w:rsid w:val="00D54475"/>
    <w:rsid w:val="00D54526"/>
    <w:rsid w:val="00D55ABA"/>
    <w:rsid w:val="00D56DCE"/>
    <w:rsid w:val="00D56FC2"/>
    <w:rsid w:val="00D57D46"/>
    <w:rsid w:val="00D60349"/>
    <w:rsid w:val="00D6044B"/>
    <w:rsid w:val="00D60575"/>
    <w:rsid w:val="00D6159D"/>
    <w:rsid w:val="00D61EFD"/>
    <w:rsid w:val="00D61FC4"/>
    <w:rsid w:val="00D634C0"/>
    <w:rsid w:val="00D63BA4"/>
    <w:rsid w:val="00D656E2"/>
    <w:rsid w:val="00D65F43"/>
    <w:rsid w:val="00D660CC"/>
    <w:rsid w:val="00D66774"/>
    <w:rsid w:val="00D66922"/>
    <w:rsid w:val="00D67BCB"/>
    <w:rsid w:val="00D70AD8"/>
    <w:rsid w:val="00D70D5A"/>
    <w:rsid w:val="00D710A6"/>
    <w:rsid w:val="00D71BBF"/>
    <w:rsid w:val="00D72B0D"/>
    <w:rsid w:val="00D736E0"/>
    <w:rsid w:val="00D74A69"/>
    <w:rsid w:val="00D74EE9"/>
    <w:rsid w:val="00D75512"/>
    <w:rsid w:val="00D766EC"/>
    <w:rsid w:val="00D76E4F"/>
    <w:rsid w:val="00D7792D"/>
    <w:rsid w:val="00D77FAD"/>
    <w:rsid w:val="00D80504"/>
    <w:rsid w:val="00D80675"/>
    <w:rsid w:val="00D81AC6"/>
    <w:rsid w:val="00D8227D"/>
    <w:rsid w:val="00D83914"/>
    <w:rsid w:val="00D83E1E"/>
    <w:rsid w:val="00D85AF9"/>
    <w:rsid w:val="00D85B24"/>
    <w:rsid w:val="00D872E5"/>
    <w:rsid w:val="00D87B4E"/>
    <w:rsid w:val="00D9092A"/>
    <w:rsid w:val="00D91A02"/>
    <w:rsid w:val="00D9200C"/>
    <w:rsid w:val="00D9274B"/>
    <w:rsid w:val="00D9308E"/>
    <w:rsid w:val="00D93F5E"/>
    <w:rsid w:val="00D9470F"/>
    <w:rsid w:val="00D94874"/>
    <w:rsid w:val="00D95083"/>
    <w:rsid w:val="00D95A99"/>
    <w:rsid w:val="00D96109"/>
    <w:rsid w:val="00D976B3"/>
    <w:rsid w:val="00DA0133"/>
    <w:rsid w:val="00DA0291"/>
    <w:rsid w:val="00DA06B0"/>
    <w:rsid w:val="00DA1CEA"/>
    <w:rsid w:val="00DA1DA0"/>
    <w:rsid w:val="00DA224D"/>
    <w:rsid w:val="00DA2F13"/>
    <w:rsid w:val="00DA360B"/>
    <w:rsid w:val="00DA4B64"/>
    <w:rsid w:val="00DA6C8C"/>
    <w:rsid w:val="00DA6F2B"/>
    <w:rsid w:val="00DA731C"/>
    <w:rsid w:val="00DA7D5C"/>
    <w:rsid w:val="00DA7DA8"/>
    <w:rsid w:val="00DB014F"/>
    <w:rsid w:val="00DB0931"/>
    <w:rsid w:val="00DB26A7"/>
    <w:rsid w:val="00DB2E21"/>
    <w:rsid w:val="00DB3BCC"/>
    <w:rsid w:val="00DB4595"/>
    <w:rsid w:val="00DB45A1"/>
    <w:rsid w:val="00DB4ABC"/>
    <w:rsid w:val="00DB6850"/>
    <w:rsid w:val="00DB741F"/>
    <w:rsid w:val="00DB7EE5"/>
    <w:rsid w:val="00DB7FDE"/>
    <w:rsid w:val="00DC0A33"/>
    <w:rsid w:val="00DC1251"/>
    <w:rsid w:val="00DC12E3"/>
    <w:rsid w:val="00DC19EE"/>
    <w:rsid w:val="00DC1FBB"/>
    <w:rsid w:val="00DC23E8"/>
    <w:rsid w:val="00DC40C5"/>
    <w:rsid w:val="00DC4E1A"/>
    <w:rsid w:val="00DC5D5C"/>
    <w:rsid w:val="00DC60F4"/>
    <w:rsid w:val="00DC7045"/>
    <w:rsid w:val="00DC7E92"/>
    <w:rsid w:val="00DC7FDC"/>
    <w:rsid w:val="00DD0116"/>
    <w:rsid w:val="00DD0533"/>
    <w:rsid w:val="00DD0BE4"/>
    <w:rsid w:val="00DD249C"/>
    <w:rsid w:val="00DD2729"/>
    <w:rsid w:val="00DD29C0"/>
    <w:rsid w:val="00DD43BD"/>
    <w:rsid w:val="00DD4881"/>
    <w:rsid w:val="00DD4958"/>
    <w:rsid w:val="00DD4B17"/>
    <w:rsid w:val="00DD58F1"/>
    <w:rsid w:val="00DD76D4"/>
    <w:rsid w:val="00DD7BD6"/>
    <w:rsid w:val="00DE0ABE"/>
    <w:rsid w:val="00DE102B"/>
    <w:rsid w:val="00DE133E"/>
    <w:rsid w:val="00DE1528"/>
    <w:rsid w:val="00DE1645"/>
    <w:rsid w:val="00DE1718"/>
    <w:rsid w:val="00DE2D3D"/>
    <w:rsid w:val="00DE33FD"/>
    <w:rsid w:val="00DE4BBF"/>
    <w:rsid w:val="00DE55AC"/>
    <w:rsid w:val="00DE65D3"/>
    <w:rsid w:val="00DE7590"/>
    <w:rsid w:val="00DF17CA"/>
    <w:rsid w:val="00DF2421"/>
    <w:rsid w:val="00DF2E11"/>
    <w:rsid w:val="00DF3AB0"/>
    <w:rsid w:val="00DF4622"/>
    <w:rsid w:val="00DF4D84"/>
    <w:rsid w:val="00DF66DF"/>
    <w:rsid w:val="00DF6847"/>
    <w:rsid w:val="00DF6F9D"/>
    <w:rsid w:val="00E00586"/>
    <w:rsid w:val="00E01664"/>
    <w:rsid w:val="00E017B8"/>
    <w:rsid w:val="00E02844"/>
    <w:rsid w:val="00E0380D"/>
    <w:rsid w:val="00E03B61"/>
    <w:rsid w:val="00E03B89"/>
    <w:rsid w:val="00E04D13"/>
    <w:rsid w:val="00E07292"/>
    <w:rsid w:val="00E112FD"/>
    <w:rsid w:val="00E11710"/>
    <w:rsid w:val="00E11767"/>
    <w:rsid w:val="00E124B5"/>
    <w:rsid w:val="00E1255D"/>
    <w:rsid w:val="00E12A91"/>
    <w:rsid w:val="00E131DB"/>
    <w:rsid w:val="00E1703C"/>
    <w:rsid w:val="00E1766A"/>
    <w:rsid w:val="00E176E8"/>
    <w:rsid w:val="00E17FDE"/>
    <w:rsid w:val="00E20206"/>
    <w:rsid w:val="00E202D8"/>
    <w:rsid w:val="00E2212E"/>
    <w:rsid w:val="00E23A8E"/>
    <w:rsid w:val="00E23E01"/>
    <w:rsid w:val="00E25AF2"/>
    <w:rsid w:val="00E26D17"/>
    <w:rsid w:val="00E27F65"/>
    <w:rsid w:val="00E304E5"/>
    <w:rsid w:val="00E305C4"/>
    <w:rsid w:val="00E30DE9"/>
    <w:rsid w:val="00E31583"/>
    <w:rsid w:val="00E3181B"/>
    <w:rsid w:val="00E31C27"/>
    <w:rsid w:val="00E32193"/>
    <w:rsid w:val="00E32D2F"/>
    <w:rsid w:val="00E33A38"/>
    <w:rsid w:val="00E35679"/>
    <w:rsid w:val="00E35AB9"/>
    <w:rsid w:val="00E3662F"/>
    <w:rsid w:val="00E36EF5"/>
    <w:rsid w:val="00E370C2"/>
    <w:rsid w:val="00E37A5B"/>
    <w:rsid w:val="00E418DC"/>
    <w:rsid w:val="00E42BB1"/>
    <w:rsid w:val="00E42F77"/>
    <w:rsid w:val="00E4306A"/>
    <w:rsid w:val="00E43E0F"/>
    <w:rsid w:val="00E44D53"/>
    <w:rsid w:val="00E44D99"/>
    <w:rsid w:val="00E45270"/>
    <w:rsid w:val="00E47633"/>
    <w:rsid w:val="00E479A9"/>
    <w:rsid w:val="00E47A8F"/>
    <w:rsid w:val="00E47BB8"/>
    <w:rsid w:val="00E47C9A"/>
    <w:rsid w:val="00E507C9"/>
    <w:rsid w:val="00E507ED"/>
    <w:rsid w:val="00E517A2"/>
    <w:rsid w:val="00E52620"/>
    <w:rsid w:val="00E52BFB"/>
    <w:rsid w:val="00E533A3"/>
    <w:rsid w:val="00E537AB"/>
    <w:rsid w:val="00E551DC"/>
    <w:rsid w:val="00E55822"/>
    <w:rsid w:val="00E55B11"/>
    <w:rsid w:val="00E57241"/>
    <w:rsid w:val="00E6014F"/>
    <w:rsid w:val="00E60184"/>
    <w:rsid w:val="00E60FB8"/>
    <w:rsid w:val="00E61211"/>
    <w:rsid w:val="00E61DFB"/>
    <w:rsid w:val="00E63811"/>
    <w:rsid w:val="00E64B67"/>
    <w:rsid w:val="00E6562A"/>
    <w:rsid w:val="00E65AC8"/>
    <w:rsid w:val="00E72377"/>
    <w:rsid w:val="00E72562"/>
    <w:rsid w:val="00E72C50"/>
    <w:rsid w:val="00E73789"/>
    <w:rsid w:val="00E73985"/>
    <w:rsid w:val="00E74378"/>
    <w:rsid w:val="00E75734"/>
    <w:rsid w:val="00E767CC"/>
    <w:rsid w:val="00E775C8"/>
    <w:rsid w:val="00E7779E"/>
    <w:rsid w:val="00E77AC9"/>
    <w:rsid w:val="00E77B5E"/>
    <w:rsid w:val="00E8160D"/>
    <w:rsid w:val="00E82507"/>
    <w:rsid w:val="00E83B55"/>
    <w:rsid w:val="00E84CF6"/>
    <w:rsid w:val="00E84D05"/>
    <w:rsid w:val="00E85364"/>
    <w:rsid w:val="00E85547"/>
    <w:rsid w:val="00E85A38"/>
    <w:rsid w:val="00E8752D"/>
    <w:rsid w:val="00E8793C"/>
    <w:rsid w:val="00E87958"/>
    <w:rsid w:val="00E87AB5"/>
    <w:rsid w:val="00E90067"/>
    <w:rsid w:val="00E912A1"/>
    <w:rsid w:val="00E9157C"/>
    <w:rsid w:val="00E91C61"/>
    <w:rsid w:val="00E9267A"/>
    <w:rsid w:val="00E92EDB"/>
    <w:rsid w:val="00E93034"/>
    <w:rsid w:val="00E9350C"/>
    <w:rsid w:val="00E93833"/>
    <w:rsid w:val="00E94157"/>
    <w:rsid w:val="00E943E5"/>
    <w:rsid w:val="00E945BC"/>
    <w:rsid w:val="00E94DD8"/>
    <w:rsid w:val="00E952CA"/>
    <w:rsid w:val="00E95AD2"/>
    <w:rsid w:val="00E95DE2"/>
    <w:rsid w:val="00E965A0"/>
    <w:rsid w:val="00E96B82"/>
    <w:rsid w:val="00E96C95"/>
    <w:rsid w:val="00E9728A"/>
    <w:rsid w:val="00E97BA2"/>
    <w:rsid w:val="00EA0AA1"/>
    <w:rsid w:val="00EA1392"/>
    <w:rsid w:val="00EA1511"/>
    <w:rsid w:val="00EA1945"/>
    <w:rsid w:val="00EA2D64"/>
    <w:rsid w:val="00EA2FA3"/>
    <w:rsid w:val="00EA7150"/>
    <w:rsid w:val="00EA759B"/>
    <w:rsid w:val="00EA7B5F"/>
    <w:rsid w:val="00EB0C39"/>
    <w:rsid w:val="00EB271B"/>
    <w:rsid w:val="00EB4BD2"/>
    <w:rsid w:val="00EB5388"/>
    <w:rsid w:val="00EB5EAA"/>
    <w:rsid w:val="00EB6443"/>
    <w:rsid w:val="00EB6A0E"/>
    <w:rsid w:val="00EB7B88"/>
    <w:rsid w:val="00EB7BC4"/>
    <w:rsid w:val="00EC0CB5"/>
    <w:rsid w:val="00EC0F7A"/>
    <w:rsid w:val="00EC1289"/>
    <w:rsid w:val="00EC1962"/>
    <w:rsid w:val="00EC293A"/>
    <w:rsid w:val="00EC2B9A"/>
    <w:rsid w:val="00EC300B"/>
    <w:rsid w:val="00EC42DD"/>
    <w:rsid w:val="00EC5B99"/>
    <w:rsid w:val="00EC627C"/>
    <w:rsid w:val="00EC688C"/>
    <w:rsid w:val="00EC6A64"/>
    <w:rsid w:val="00EC75C0"/>
    <w:rsid w:val="00ED0A11"/>
    <w:rsid w:val="00ED3866"/>
    <w:rsid w:val="00ED3FC7"/>
    <w:rsid w:val="00ED553B"/>
    <w:rsid w:val="00ED5728"/>
    <w:rsid w:val="00ED636F"/>
    <w:rsid w:val="00ED63E9"/>
    <w:rsid w:val="00ED7666"/>
    <w:rsid w:val="00ED7793"/>
    <w:rsid w:val="00ED780B"/>
    <w:rsid w:val="00EE0E51"/>
    <w:rsid w:val="00EE124F"/>
    <w:rsid w:val="00EE14FF"/>
    <w:rsid w:val="00EE1F99"/>
    <w:rsid w:val="00EE23FD"/>
    <w:rsid w:val="00EE246C"/>
    <w:rsid w:val="00EE2E39"/>
    <w:rsid w:val="00EE3DC9"/>
    <w:rsid w:val="00EE5BF4"/>
    <w:rsid w:val="00EE6C5B"/>
    <w:rsid w:val="00EF0095"/>
    <w:rsid w:val="00EF0682"/>
    <w:rsid w:val="00EF155C"/>
    <w:rsid w:val="00EF1FBC"/>
    <w:rsid w:val="00EF34D3"/>
    <w:rsid w:val="00EF35D7"/>
    <w:rsid w:val="00EF3C63"/>
    <w:rsid w:val="00EF4772"/>
    <w:rsid w:val="00EF4C60"/>
    <w:rsid w:val="00EF5CCE"/>
    <w:rsid w:val="00EF6284"/>
    <w:rsid w:val="00EF7098"/>
    <w:rsid w:val="00F01C12"/>
    <w:rsid w:val="00F028E1"/>
    <w:rsid w:val="00F02BE4"/>
    <w:rsid w:val="00F04AB9"/>
    <w:rsid w:val="00F04C94"/>
    <w:rsid w:val="00F04D60"/>
    <w:rsid w:val="00F05419"/>
    <w:rsid w:val="00F06204"/>
    <w:rsid w:val="00F10729"/>
    <w:rsid w:val="00F11065"/>
    <w:rsid w:val="00F11287"/>
    <w:rsid w:val="00F121A4"/>
    <w:rsid w:val="00F127B0"/>
    <w:rsid w:val="00F1293A"/>
    <w:rsid w:val="00F13647"/>
    <w:rsid w:val="00F13B67"/>
    <w:rsid w:val="00F15A61"/>
    <w:rsid w:val="00F17555"/>
    <w:rsid w:val="00F21339"/>
    <w:rsid w:val="00F21D62"/>
    <w:rsid w:val="00F21FBF"/>
    <w:rsid w:val="00F21FD9"/>
    <w:rsid w:val="00F2231B"/>
    <w:rsid w:val="00F2387C"/>
    <w:rsid w:val="00F23CA9"/>
    <w:rsid w:val="00F251B1"/>
    <w:rsid w:val="00F25F92"/>
    <w:rsid w:val="00F25FB1"/>
    <w:rsid w:val="00F2662A"/>
    <w:rsid w:val="00F266FE"/>
    <w:rsid w:val="00F268AB"/>
    <w:rsid w:val="00F276FE"/>
    <w:rsid w:val="00F27ADF"/>
    <w:rsid w:val="00F3045C"/>
    <w:rsid w:val="00F30656"/>
    <w:rsid w:val="00F30C97"/>
    <w:rsid w:val="00F3214E"/>
    <w:rsid w:val="00F3392A"/>
    <w:rsid w:val="00F3459B"/>
    <w:rsid w:val="00F34DD5"/>
    <w:rsid w:val="00F34F39"/>
    <w:rsid w:val="00F35780"/>
    <w:rsid w:val="00F35F6D"/>
    <w:rsid w:val="00F36785"/>
    <w:rsid w:val="00F37004"/>
    <w:rsid w:val="00F3762F"/>
    <w:rsid w:val="00F40233"/>
    <w:rsid w:val="00F421BF"/>
    <w:rsid w:val="00F42CF8"/>
    <w:rsid w:val="00F43A8B"/>
    <w:rsid w:val="00F44553"/>
    <w:rsid w:val="00F44ED8"/>
    <w:rsid w:val="00F4505D"/>
    <w:rsid w:val="00F467A2"/>
    <w:rsid w:val="00F47856"/>
    <w:rsid w:val="00F4789A"/>
    <w:rsid w:val="00F47B14"/>
    <w:rsid w:val="00F47B64"/>
    <w:rsid w:val="00F47D6B"/>
    <w:rsid w:val="00F5043C"/>
    <w:rsid w:val="00F50E5E"/>
    <w:rsid w:val="00F51ABD"/>
    <w:rsid w:val="00F51F66"/>
    <w:rsid w:val="00F5244B"/>
    <w:rsid w:val="00F5259F"/>
    <w:rsid w:val="00F52B7F"/>
    <w:rsid w:val="00F5312E"/>
    <w:rsid w:val="00F53147"/>
    <w:rsid w:val="00F539E1"/>
    <w:rsid w:val="00F54FF8"/>
    <w:rsid w:val="00F55928"/>
    <w:rsid w:val="00F56260"/>
    <w:rsid w:val="00F56D2D"/>
    <w:rsid w:val="00F56F5D"/>
    <w:rsid w:val="00F5782D"/>
    <w:rsid w:val="00F60AFF"/>
    <w:rsid w:val="00F60CA6"/>
    <w:rsid w:val="00F60E73"/>
    <w:rsid w:val="00F61E87"/>
    <w:rsid w:val="00F62C4B"/>
    <w:rsid w:val="00F64245"/>
    <w:rsid w:val="00F648D3"/>
    <w:rsid w:val="00F64D0B"/>
    <w:rsid w:val="00F655F9"/>
    <w:rsid w:val="00F659B5"/>
    <w:rsid w:val="00F65EF0"/>
    <w:rsid w:val="00F664CD"/>
    <w:rsid w:val="00F66A24"/>
    <w:rsid w:val="00F66F2D"/>
    <w:rsid w:val="00F66F68"/>
    <w:rsid w:val="00F70B58"/>
    <w:rsid w:val="00F71E68"/>
    <w:rsid w:val="00F72239"/>
    <w:rsid w:val="00F723F2"/>
    <w:rsid w:val="00F75049"/>
    <w:rsid w:val="00F7507C"/>
    <w:rsid w:val="00F751E2"/>
    <w:rsid w:val="00F75D36"/>
    <w:rsid w:val="00F768DF"/>
    <w:rsid w:val="00F76E0F"/>
    <w:rsid w:val="00F76FDD"/>
    <w:rsid w:val="00F77270"/>
    <w:rsid w:val="00F77E42"/>
    <w:rsid w:val="00F80393"/>
    <w:rsid w:val="00F807A9"/>
    <w:rsid w:val="00F80926"/>
    <w:rsid w:val="00F809A9"/>
    <w:rsid w:val="00F81AB4"/>
    <w:rsid w:val="00F83CE2"/>
    <w:rsid w:val="00F84174"/>
    <w:rsid w:val="00F85667"/>
    <w:rsid w:val="00F8607D"/>
    <w:rsid w:val="00F8758E"/>
    <w:rsid w:val="00F907D4"/>
    <w:rsid w:val="00F90A5F"/>
    <w:rsid w:val="00F90F11"/>
    <w:rsid w:val="00F9139E"/>
    <w:rsid w:val="00F93B6E"/>
    <w:rsid w:val="00F942F0"/>
    <w:rsid w:val="00F9585E"/>
    <w:rsid w:val="00F95B86"/>
    <w:rsid w:val="00F96177"/>
    <w:rsid w:val="00F974D2"/>
    <w:rsid w:val="00FA1160"/>
    <w:rsid w:val="00FA1C91"/>
    <w:rsid w:val="00FA1CEA"/>
    <w:rsid w:val="00FA1DA4"/>
    <w:rsid w:val="00FA246F"/>
    <w:rsid w:val="00FA268F"/>
    <w:rsid w:val="00FA2839"/>
    <w:rsid w:val="00FA2B3F"/>
    <w:rsid w:val="00FA2BA1"/>
    <w:rsid w:val="00FA3050"/>
    <w:rsid w:val="00FA3C9C"/>
    <w:rsid w:val="00FA5EC5"/>
    <w:rsid w:val="00FB14F9"/>
    <w:rsid w:val="00FB2D62"/>
    <w:rsid w:val="00FB3216"/>
    <w:rsid w:val="00FB39D2"/>
    <w:rsid w:val="00FB405A"/>
    <w:rsid w:val="00FB498D"/>
    <w:rsid w:val="00FB5D59"/>
    <w:rsid w:val="00FB6C39"/>
    <w:rsid w:val="00FC00D8"/>
    <w:rsid w:val="00FC09FA"/>
    <w:rsid w:val="00FC0C76"/>
    <w:rsid w:val="00FC0EDB"/>
    <w:rsid w:val="00FC13F2"/>
    <w:rsid w:val="00FC218B"/>
    <w:rsid w:val="00FC248D"/>
    <w:rsid w:val="00FC28CC"/>
    <w:rsid w:val="00FC32C4"/>
    <w:rsid w:val="00FC565C"/>
    <w:rsid w:val="00FC5732"/>
    <w:rsid w:val="00FC59B1"/>
    <w:rsid w:val="00FC5F01"/>
    <w:rsid w:val="00FC61CF"/>
    <w:rsid w:val="00FC71D9"/>
    <w:rsid w:val="00FC7672"/>
    <w:rsid w:val="00FD0A7C"/>
    <w:rsid w:val="00FD1C8B"/>
    <w:rsid w:val="00FD29D1"/>
    <w:rsid w:val="00FD2E52"/>
    <w:rsid w:val="00FD2F7A"/>
    <w:rsid w:val="00FD3E04"/>
    <w:rsid w:val="00FD43C9"/>
    <w:rsid w:val="00FD5111"/>
    <w:rsid w:val="00FD5D75"/>
    <w:rsid w:val="00FD6100"/>
    <w:rsid w:val="00FD6EFA"/>
    <w:rsid w:val="00FD7074"/>
    <w:rsid w:val="00FD7195"/>
    <w:rsid w:val="00FE0BF2"/>
    <w:rsid w:val="00FE10E8"/>
    <w:rsid w:val="00FE1787"/>
    <w:rsid w:val="00FE18BF"/>
    <w:rsid w:val="00FE3C12"/>
    <w:rsid w:val="00FE3CD6"/>
    <w:rsid w:val="00FE4EC7"/>
    <w:rsid w:val="00FE5292"/>
    <w:rsid w:val="00FE5939"/>
    <w:rsid w:val="00FE5ED9"/>
    <w:rsid w:val="00FE6490"/>
    <w:rsid w:val="00FE6514"/>
    <w:rsid w:val="00FE7C25"/>
    <w:rsid w:val="00FE7E2F"/>
    <w:rsid w:val="00FF0856"/>
    <w:rsid w:val="00FF3B9D"/>
    <w:rsid w:val="00FF4459"/>
    <w:rsid w:val="00FF53E7"/>
    <w:rsid w:val="00FF5846"/>
    <w:rsid w:val="00FF71F6"/>
    <w:rsid w:val="00FF730C"/>
    <w:rsid w:val="00FF75D1"/>
    <w:rsid w:val="00FF75F2"/>
    <w:rsid w:val="00FF7725"/>
    <w:rsid w:val="00FF7AA2"/>
    <w:rsid w:val="0248A419"/>
    <w:rsid w:val="02508C3C"/>
    <w:rsid w:val="06A19440"/>
    <w:rsid w:val="080BC45B"/>
    <w:rsid w:val="08FE203F"/>
    <w:rsid w:val="090E80AB"/>
    <w:rsid w:val="1050BB7A"/>
    <w:rsid w:val="13EF938B"/>
    <w:rsid w:val="144A0E4D"/>
    <w:rsid w:val="1E0F3C48"/>
    <w:rsid w:val="1FAFFC5E"/>
    <w:rsid w:val="20EB6E02"/>
    <w:rsid w:val="2474BC54"/>
    <w:rsid w:val="2C1AB1FA"/>
    <w:rsid w:val="2D147FBA"/>
    <w:rsid w:val="2D31B50F"/>
    <w:rsid w:val="2ED8F93F"/>
    <w:rsid w:val="304E3695"/>
    <w:rsid w:val="33DACECF"/>
    <w:rsid w:val="349E2F80"/>
    <w:rsid w:val="34CF4CA7"/>
    <w:rsid w:val="3555BC0F"/>
    <w:rsid w:val="359BA5F6"/>
    <w:rsid w:val="35D58EA4"/>
    <w:rsid w:val="39105637"/>
    <w:rsid w:val="3A4239F6"/>
    <w:rsid w:val="3AF40D95"/>
    <w:rsid w:val="3C942940"/>
    <w:rsid w:val="3D35D368"/>
    <w:rsid w:val="3E6F7C81"/>
    <w:rsid w:val="3F07FC2A"/>
    <w:rsid w:val="3F1B59DC"/>
    <w:rsid w:val="3FB51B27"/>
    <w:rsid w:val="41C41650"/>
    <w:rsid w:val="41F56285"/>
    <w:rsid w:val="42D70848"/>
    <w:rsid w:val="43667024"/>
    <w:rsid w:val="4DA72BD9"/>
    <w:rsid w:val="4EDAC717"/>
    <w:rsid w:val="4FC2BC8E"/>
    <w:rsid w:val="554981FF"/>
    <w:rsid w:val="56F67716"/>
    <w:rsid w:val="5729315F"/>
    <w:rsid w:val="57B49E16"/>
    <w:rsid w:val="5BD4E5B8"/>
    <w:rsid w:val="5BECD91A"/>
    <w:rsid w:val="5BEEB1B8"/>
    <w:rsid w:val="5D6D6AAD"/>
    <w:rsid w:val="5DAC6A02"/>
    <w:rsid w:val="5DB877F0"/>
    <w:rsid w:val="61B1E536"/>
    <w:rsid w:val="649E7A27"/>
    <w:rsid w:val="65F89EF3"/>
    <w:rsid w:val="67474CFE"/>
    <w:rsid w:val="6C45F978"/>
    <w:rsid w:val="70352B01"/>
    <w:rsid w:val="70EE3DC6"/>
    <w:rsid w:val="73E10296"/>
    <w:rsid w:val="73ECB8BF"/>
    <w:rsid w:val="76C6A1A9"/>
    <w:rsid w:val="779E3E67"/>
    <w:rsid w:val="7964A717"/>
    <w:rsid w:val="7DEC084F"/>
    <w:rsid w:val="7FCD709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B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D6B"/>
    <w:pPr>
      <w:spacing w:before="120" w:after="120"/>
    </w:pPr>
    <w:rPr>
      <w:sz w:val="22"/>
    </w:rPr>
  </w:style>
  <w:style w:type="paragraph" w:styleId="Heading1">
    <w:name w:val="heading 1"/>
    <w:basedOn w:val="Heading2"/>
    <w:next w:val="Normal"/>
    <w:link w:val="Heading1Char"/>
    <w:uiPriority w:val="9"/>
    <w:qFormat/>
    <w:rsid w:val="00F47D6B"/>
    <w:pPr>
      <w:spacing w:after="0" w:line="480" w:lineRule="exact"/>
      <w:outlineLvl w:val="0"/>
    </w:pPr>
    <w:rPr>
      <w:sz w:val="48"/>
      <w:szCs w:val="48"/>
    </w:rPr>
  </w:style>
  <w:style w:type="paragraph" w:styleId="Heading2">
    <w:name w:val="heading 2"/>
    <w:aliases w:val="Heading 2 - intro para"/>
    <w:basedOn w:val="Normal"/>
    <w:next w:val="Normal"/>
    <w:link w:val="Heading2Char"/>
    <w:uiPriority w:val="9"/>
    <w:unhideWhenUsed/>
    <w:qFormat/>
    <w:rsid w:val="00F47D6B"/>
    <w:pPr>
      <w:spacing w:line="320" w:lineRule="exact"/>
      <w:ind w:right="2268"/>
      <w:outlineLvl w:val="1"/>
    </w:pPr>
    <w:rPr>
      <w:rFonts w:ascii="Calibri Light" w:hAnsi="Calibri Light"/>
      <w:b/>
      <w:bCs/>
      <w:color w:val="FFFFFF" w:themeColor="background1"/>
      <w:sz w:val="28"/>
      <w:szCs w:val="28"/>
    </w:rPr>
  </w:style>
  <w:style w:type="paragraph" w:styleId="Heading3">
    <w:name w:val="heading 3"/>
    <w:basedOn w:val="Normal"/>
    <w:next w:val="Normal"/>
    <w:link w:val="Heading3Char"/>
    <w:uiPriority w:val="9"/>
    <w:unhideWhenUsed/>
    <w:qFormat/>
    <w:rsid w:val="00F47D6B"/>
    <w:pPr>
      <w:keepNext/>
      <w:keepLines/>
      <w:spacing w:before="70" w:after="57" w:line="400" w:lineRule="exact"/>
      <w:outlineLvl w:val="2"/>
    </w:pPr>
    <w:rPr>
      <w:rFonts w:eastAsiaTheme="majorEastAsia" w:cstheme="majorBidi"/>
      <w:bCs/>
      <w:color w:val="002A54"/>
      <w:sz w:val="32"/>
    </w:rPr>
  </w:style>
  <w:style w:type="paragraph" w:styleId="Heading4">
    <w:name w:val="heading 4"/>
    <w:basedOn w:val="Normal"/>
    <w:next w:val="Normal"/>
    <w:link w:val="Heading4Char"/>
    <w:uiPriority w:val="9"/>
    <w:unhideWhenUsed/>
    <w:qFormat/>
    <w:rsid w:val="00F47D6B"/>
    <w:pPr>
      <w:keepNext/>
      <w:keepLines/>
      <w:spacing w:before="240" w:line="290" w:lineRule="exact"/>
      <w:outlineLvl w:val="3"/>
    </w:pPr>
    <w:rPr>
      <w:rFonts w:eastAsiaTheme="majorEastAsia" w:cstheme="majorBidi"/>
      <w:bCs/>
      <w:iCs/>
      <w:color w:val="002A54"/>
      <w:sz w:val="28"/>
      <w:szCs w:val="28"/>
    </w:rPr>
  </w:style>
  <w:style w:type="paragraph" w:styleId="Heading5">
    <w:name w:val="heading 5"/>
    <w:basedOn w:val="Normal"/>
    <w:next w:val="Normal"/>
    <w:link w:val="Heading5Char"/>
    <w:uiPriority w:val="9"/>
    <w:unhideWhenUsed/>
    <w:qFormat/>
    <w:rsid w:val="00F47D6B"/>
    <w:pPr>
      <w:keepNext/>
      <w:keepLines/>
      <w:spacing w:before="40" w:after="0"/>
      <w:outlineLvl w:val="4"/>
    </w:pPr>
    <w:rPr>
      <w:rFonts w:asciiTheme="majorHAnsi" w:eastAsiaTheme="majorEastAsia" w:hAnsiTheme="majorHAnsi" w:cstheme="majorBidi"/>
      <w:color w:val="024A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D6B"/>
    <w:pPr>
      <w:tabs>
        <w:tab w:val="center" w:pos="4513"/>
        <w:tab w:val="right" w:pos="9026"/>
      </w:tabs>
    </w:pPr>
  </w:style>
  <w:style w:type="character" w:customStyle="1" w:styleId="HeaderChar">
    <w:name w:val="Header Char"/>
    <w:basedOn w:val="DefaultParagraphFont"/>
    <w:link w:val="Header"/>
    <w:uiPriority w:val="99"/>
    <w:rsid w:val="00F47D6B"/>
    <w:rPr>
      <w:sz w:val="22"/>
    </w:rPr>
  </w:style>
  <w:style w:type="paragraph" w:styleId="Footer">
    <w:name w:val="footer"/>
    <w:basedOn w:val="Normal"/>
    <w:link w:val="FooterChar"/>
    <w:uiPriority w:val="99"/>
    <w:unhideWhenUsed/>
    <w:rsid w:val="00F47D6B"/>
    <w:pPr>
      <w:tabs>
        <w:tab w:val="right" w:pos="9638"/>
      </w:tabs>
    </w:pPr>
    <w:rPr>
      <w:color w:val="FFFFFF" w:themeColor="background1"/>
      <w:sz w:val="16"/>
    </w:rPr>
  </w:style>
  <w:style w:type="character" w:customStyle="1" w:styleId="FooterChar">
    <w:name w:val="Footer Char"/>
    <w:basedOn w:val="DefaultParagraphFont"/>
    <w:link w:val="Footer"/>
    <w:uiPriority w:val="99"/>
    <w:rsid w:val="00F47D6B"/>
    <w:rPr>
      <w:color w:val="FFFFFF" w:themeColor="background1"/>
      <w:sz w:val="16"/>
    </w:rPr>
  </w:style>
  <w:style w:type="character" w:customStyle="1" w:styleId="Heading1Char">
    <w:name w:val="Heading 1 Char"/>
    <w:basedOn w:val="DefaultParagraphFont"/>
    <w:link w:val="Heading1"/>
    <w:uiPriority w:val="9"/>
    <w:rsid w:val="00F47D6B"/>
    <w:rPr>
      <w:rFonts w:ascii="Calibri Light" w:hAnsi="Calibri Light"/>
      <w:b/>
      <w:bCs/>
      <w:color w:val="FFFFFF" w:themeColor="background1"/>
      <w:sz w:val="48"/>
      <w:szCs w:val="48"/>
    </w:rPr>
  </w:style>
  <w:style w:type="paragraph" w:customStyle="1" w:styleId="Bullet">
    <w:name w:val="Bullet"/>
    <w:aliases w:val="Body,BodyNum,Bullet + line,b,b + line,b1,level 1,Bullet Char1,Bullet Char1 Char Char Char,Bullet Char1 Char Char Char Char,Bullet Char1 Char Char Char Char Char,b1 Char Char Char,bulleted,CG-Bullet"/>
    <w:basedOn w:val="Normal"/>
    <w:link w:val="BulletChar"/>
    <w:rsid w:val="00F47D6B"/>
    <w:pPr>
      <w:numPr>
        <w:numId w:val="1"/>
      </w:numPr>
    </w:pPr>
  </w:style>
  <w:style w:type="character" w:customStyle="1" w:styleId="BulletChar">
    <w:name w:val="Bullet Char"/>
    <w:aliases w:val="Body Char,Bullet + line Char,Bullets Char,L Char,List Paragraph1 Char,List Paragraph11 Char,List Paragraph2 Char,Number Char,Recommendation Char,b + line Char,b + line Char Char,b Char,b Char Char,b1 Char,level 1 Char,Bulleted Para Char,L C"/>
    <w:basedOn w:val="DefaultParagraphFont"/>
    <w:link w:val="Bullet"/>
    <w:rsid w:val="00F47D6B"/>
    <w:rPr>
      <w:sz w:val="22"/>
    </w:rPr>
  </w:style>
  <w:style w:type="paragraph" w:customStyle="1" w:styleId="Dash">
    <w:name w:val="Dash"/>
    <w:basedOn w:val="Normal"/>
    <w:link w:val="DashChar"/>
    <w:rsid w:val="00F47D6B"/>
    <w:pPr>
      <w:numPr>
        <w:ilvl w:val="1"/>
        <w:numId w:val="1"/>
      </w:numPr>
    </w:pPr>
  </w:style>
  <w:style w:type="character" w:customStyle="1" w:styleId="DashChar">
    <w:name w:val="Dash Char"/>
    <w:basedOn w:val="DefaultParagraphFont"/>
    <w:link w:val="Dash"/>
    <w:rsid w:val="00F47D6B"/>
    <w:rPr>
      <w:sz w:val="22"/>
    </w:rPr>
  </w:style>
  <w:style w:type="paragraph" w:customStyle="1" w:styleId="DoubleDot">
    <w:name w:val="Double Dot"/>
    <w:basedOn w:val="Normal"/>
    <w:link w:val="DoubleDotChar"/>
    <w:rsid w:val="00F47D6B"/>
    <w:pPr>
      <w:numPr>
        <w:ilvl w:val="2"/>
        <w:numId w:val="1"/>
      </w:numPr>
    </w:pPr>
  </w:style>
  <w:style w:type="character" w:customStyle="1" w:styleId="DoubleDotChar">
    <w:name w:val="Double Dot Char"/>
    <w:basedOn w:val="DefaultParagraphFont"/>
    <w:link w:val="DoubleDot"/>
    <w:rsid w:val="00F47D6B"/>
    <w:rPr>
      <w:sz w:val="22"/>
    </w:rPr>
  </w:style>
  <w:style w:type="paragraph" w:styleId="BalloonText">
    <w:name w:val="Balloon Text"/>
    <w:basedOn w:val="Normal"/>
    <w:link w:val="BalloonTextChar"/>
    <w:uiPriority w:val="99"/>
    <w:semiHidden/>
    <w:unhideWhenUsed/>
    <w:rsid w:val="00F47D6B"/>
    <w:rPr>
      <w:rFonts w:ascii="Tahoma" w:hAnsi="Tahoma" w:cs="Tahoma"/>
      <w:sz w:val="16"/>
      <w:szCs w:val="16"/>
    </w:rPr>
  </w:style>
  <w:style w:type="character" w:customStyle="1" w:styleId="BalloonTextChar">
    <w:name w:val="Balloon Text Char"/>
    <w:basedOn w:val="DefaultParagraphFont"/>
    <w:link w:val="BalloonText"/>
    <w:uiPriority w:val="99"/>
    <w:semiHidden/>
    <w:rsid w:val="00F47D6B"/>
    <w:rPr>
      <w:rFonts w:ascii="Tahoma" w:hAnsi="Tahoma" w:cs="Tahoma"/>
      <w:sz w:val="16"/>
      <w:szCs w:val="16"/>
    </w:rPr>
  </w:style>
  <w:style w:type="character" w:customStyle="1" w:styleId="Heading2Char">
    <w:name w:val="Heading 2 Char"/>
    <w:aliases w:val="Heading 2 - intro para Char"/>
    <w:basedOn w:val="DefaultParagraphFont"/>
    <w:link w:val="Heading2"/>
    <w:uiPriority w:val="9"/>
    <w:rsid w:val="00F47D6B"/>
    <w:rPr>
      <w:rFonts w:ascii="Calibri Light" w:hAnsi="Calibri Light"/>
      <w:b/>
      <w:bCs/>
      <w:color w:val="FFFFFF" w:themeColor="background1"/>
      <w:sz w:val="28"/>
      <w:szCs w:val="28"/>
    </w:rPr>
  </w:style>
  <w:style w:type="character" w:customStyle="1" w:styleId="Heading3Char">
    <w:name w:val="Heading 3 Char"/>
    <w:basedOn w:val="DefaultParagraphFont"/>
    <w:link w:val="Heading3"/>
    <w:uiPriority w:val="9"/>
    <w:rsid w:val="00F47D6B"/>
    <w:rPr>
      <w:rFonts w:eastAsiaTheme="majorEastAsia" w:cstheme="majorBidi"/>
      <w:bCs/>
      <w:color w:val="002A54"/>
      <w:sz w:val="32"/>
    </w:rPr>
  </w:style>
  <w:style w:type="character" w:customStyle="1" w:styleId="Heading4Char">
    <w:name w:val="Heading 4 Char"/>
    <w:basedOn w:val="DefaultParagraphFont"/>
    <w:link w:val="Heading4"/>
    <w:uiPriority w:val="9"/>
    <w:rsid w:val="00F47D6B"/>
    <w:rPr>
      <w:rFonts w:eastAsiaTheme="majorEastAsia" w:cstheme="majorBidi"/>
      <w:bCs/>
      <w:iCs/>
      <w:color w:val="002A54"/>
      <w:sz w:val="28"/>
      <w:szCs w:val="28"/>
    </w:rPr>
  </w:style>
  <w:style w:type="table" w:styleId="TableGrid">
    <w:name w:val="Table Grid"/>
    <w:basedOn w:val="TableNormal"/>
    <w:uiPriority w:val="59"/>
    <w:rsid w:val="00F47D6B"/>
    <w:tblPr>
      <w:tblBorders>
        <w:top w:val="single" w:sz="2" w:space="0" w:color="024A91" w:themeColor="accent1" w:themeShade="BF"/>
        <w:left w:val="single" w:sz="2" w:space="0" w:color="024A91" w:themeColor="accent1" w:themeShade="BF"/>
        <w:bottom w:val="single" w:sz="2" w:space="0" w:color="024A91" w:themeColor="accent1" w:themeShade="BF"/>
        <w:right w:val="single" w:sz="2" w:space="0" w:color="024A91" w:themeColor="accent1" w:themeShade="BF"/>
        <w:insideH w:val="single" w:sz="2" w:space="0" w:color="024A91" w:themeColor="accent1" w:themeShade="BF"/>
        <w:insideV w:val="single" w:sz="2" w:space="0" w:color="024A91" w:themeColor="accent1" w:themeShade="BF"/>
      </w:tblBorders>
    </w:tblPr>
    <w:tblStylePr w:type="firstRow">
      <w:rPr>
        <w:rFonts w:ascii="Calibri" w:hAnsi="Calibri"/>
        <w:b/>
        <w:i w:val="0"/>
        <w:color w:val="FFFFFF" w:themeColor="background1"/>
        <w:sz w:val="20"/>
      </w:rPr>
      <w:tblPr/>
      <w:tcPr>
        <w:shd w:val="clear" w:color="auto" w:fill="024A91" w:themeFill="accent1" w:themeFillShade="BF"/>
      </w:tcPr>
    </w:tblStylePr>
  </w:style>
  <w:style w:type="table" w:styleId="TableGridLight">
    <w:name w:val="Grid Table Light"/>
    <w:basedOn w:val="TableNormal"/>
    <w:uiPriority w:val="40"/>
    <w:rsid w:val="00F47D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F47D6B"/>
  </w:style>
  <w:style w:type="paragraph" w:customStyle="1" w:styleId="PullQuote">
    <w:name w:val="Pull Quote"/>
    <w:basedOn w:val="Normal"/>
    <w:uiPriority w:val="99"/>
    <w:rsid w:val="00F47D6B"/>
    <w:pPr>
      <w:keepNext/>
      <w:suppressAutoHyphens/>
      <w:autoSpaceDE w:val="0"/>
      <w:autoSpaceDN w:val="0"/>
      <w:adjustRightInd w:val="0"/>
      <w:spacing w:before="272" w:after="88" w:line="350" w:lineRule="atLeast"/>
      <w:jc w:val="center"/>
      <w:textAlignment w:val="center"/>
    </w:pPr>
    <w:rPr>
      <w:rFonts w:asciiTheme="minorHAnsi" w:hAnsiTheme="minorHAnsi" w:cs="Noto Sans"/>
      <w:color w:val="FFFFFF"/>
      <w:sz w:val="28"/>
      <w:szCs w:val="28"/>
      <w:lang w:val="en-GB"/>
    </w:rPr>
  </w:style>
  <w:style w:type="character" w:styleId="Hyperlink">
    <w:name w:val="Hyperlink"/>
    <w:basedOn w:val="DefaultParagraphFont"/>
    <w:uiPriority w:val="99"/>
    <w:semiHidden/>
    <w:unhideWhenUsed/>
    <w:rsid w:val="00F47D6B"/>
    <w:rPr>
      <w:color w:val="0000FF"/>
      <w:u w:val="single"/>
    </w:rPr>
  </w:style>
  <w:style w:type="paragraph" w:customStyle="1" w:styleId="TableFont">
    <w:name w:val="Table Font"/>
    <w:basedOn w:val="Normal"/>
    <w:qFormat/>
    <w:rsid w:val="00F47D6B"/>
    <w:pPr>
      <w:spacing w:line="259" w:lineRule="auto"/>
    </w:pPr>
    <w:rPr>
      <w:rFonts w:eastAsia="Calibri" w:cs="Calibri"/>
      <w:sz w:val="18"/>
      <w:szCs w:val="18"/>
    </w:rPr>
  </w:style>
  <w:style w:type="table" w:styleId="PlainTable3">
    <w:name w:val="Plain Table 3"/>
    <w:basedOn w:val="TableNormal"/>
    <w:uiPriority w:val="43"/>
    <w:rsid w:val="00F47D6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ubtleEmphasis">
    <w:name w:val="Subtle Emphasis"/>
    <w:basedOn w:val="DefaultParagraphFont"/>
    <w:uiPriority w:val="19"/>
    <w:qFormat/>
    <w:rsid w:val="00F47D6B"/>
    <w:rPr>
      <w:rFonts w:asciiTheme="minorHAnsi" w:hAnsiTheme="minorHAnsi"/>
    </w:rPr>
  </w:style>
  <w:style w:type="paragraph" w:customStyle="1" w:styleId="BoxHeading">
    <w:name w:val="Box Heading"/>
    <w:basedOn w:val="Normal"/>
    <w:next w:val="Normal"/>
    <w:rsid w:val="00F47D6B"/>
    <w:pPr>
      <w:keepNext/>
    </w:pPr>
    <w:rPr>
      <w:rFonts w:eastAsia="Times New Roman"/>
      <w:b/>
      <w:sz w:val="24"/>
      <w:lang w:eastAsia="en-AU"/>
    </w:rPr>
  </w:style>
  <w:style w:type="paragraph" w:customStyle="1" w:styleId="BoxBullet">
    <w:name w:val="Box Bullet"/>
    <w:basedOn w:val="Normal"/>
    <w:rsid w:val="00F47D6B"/>
    <w:pPr>
      <w:numPr>
        <w:numId w:val="2"/>
      </w:numPr>
      <w:spacing w:before="0"/>
      <w:ind w:left="284" w:hanging="284"/>
    </w:pPr>
    <w:rPr>
      <w:rFonts w:eastAsia="Times New Roman"/>
      <w:lang w:eastAsia="en-AU"/>
    </w:rPr>
  </w:style>
  <w:style w:type="paragraph" w:customStyle="1" w:styleId="BoxDash">
    <w:name w:val="Box Dash"/>
    <w:basedOn w:val="Normal"/>
    <w:rsid w:val="00F47D6B"/>
    <w:pPr>
      <w:numPr>
        <w:ilvl w:val="1"/>
        <w:numId w:val="2"/>
      </w:numPr>
      <w:spacing w:before="0"/>
      <w:ind w:left="568"/>
    </w:pPr>
    <w:rPr>
      <w:rFonts w:eastAsia="Times New Roman"/>
      <w:lang w:eastAsia="en-AU"/>
    </w:rPr>
  </w:style>
  <w:style w:type="paragraph" w:customStyle="1" w:styleId="BoxDoubleDot">
    <w:name w:val="Box Double Dot"/>
    <w:basedOn w:val="Normal"/>
    <w:rsid w:val="00F47D6B"/>
    <w:pPr>
      <w:numPr>
        <w:ilvl w:val="2"/>
        <w:numId w:val="2"/>
      </w:numPr>
      <w:spacing w:before="0"/>
      <w:ind w:left="851" w:hanging="284"/>
    </w:pPr>
    <w:rPr>
      <w:rFonts w:eastAsia="Times New Roman"/>
      <w:lang w:eastAsia="en-AU"/>
    </w:rPr>
  </w:style>
  <w:style w:type="numbering" w:customStyle="1" w:styleId="BoxBulletedList">
    <w:name w:val="Box Bulleted List"/>
    <w:uiPriority w:val="99"/>
    <w:rsid w:val="00F47D6B"/>
    <w:pPr>
      <w:numPr>
        <w:numId w:val="2"/>
      </w:numPr>
    </w:pPr>
  </w:style>
  <w:style w:type="paragraph" w:customStyle="1" w:styleId="TableMainHeading">
    <w:name w:val="Table Main Heading"/>
    <w:basedOn w:val="Heading3"/>
    <w:next w:val="Normal"/>
    <w:rsid w:val="00F47D6B"/>
    <w:pPr>
      <w:keepLines w:val="0"/>
      <w:spacing w:before="180" w:after="120" w:line="240" w:lineRule="auto"/>
      <w:outlineLvl w:val="1"/>
    </w:pPr>
    <w:rPr>
      <w:rFonts w:eastAsia="Times New Roman" w:cs="Arial"/>
      <w:b/>
      <w:bCs w:val="0"/>
      <w:kern w:val="32"/>
      <w:sz w:val="24"/>
      <w:szCs w:val="26"/>
      <w:lang w:eastAsia="en-AU"/>
    </w:rPr>
  </w:style>
  <w:style w:type="paragraph" w:customStyle="1" w:styleId="TableColumnHeadingCentred">
    <w:name w:val="Table Column Heading Centred"/>
    <w:rsid w:val="00F47D6B"/>
    <w:pPr>
      <w:spacing w:before="20" w:after="20"/>
      <w:jc w:val="center"/>
    </w:pPr>
    <w:rPr>
      <w:rFonts w:asciiTheme="minorHAnsi" w:eastAsia="Times New Roman" w:hAnsiTheme="minorHAnsi" w:cstheme="minorBidi"/>
      <w:b/>
      <w:color w:val="002A54" w:themeColor="text2"/>
      <w:szCs w:val="22"/>
      <w:lang w:eastAsia="en-AU"/>
    </w:rPr>
  </w:style>
  <w:style w:type="paragraph" w:customStyle="1" w:styleId="TableColumnHeadingLeft">
    <w:name w:val="Table Column Heading Left"/>
    <w:basedOn w:val="TableTextLeft"/>
    <w:rsid w:val="00F47D6B"/>
    <w:pPr>
      <w:spacing w:before="20" w:after="20"/>
    </w:pPr>
    <w:rPr>
      <w:rFonts w:asciiTheme="minorHAnsi" w:hAnsiTheme="minorHAnsi" w:cstheme="minorBidi"/>
      <w:b/>
      <w:color w:val="002A54" w:themeColor="text2"/>
      <w:sz w:val="20"/>
      <w:szCs w:val="22"/>
    </w:rPr>
  </w:style>
  <w:style w:type="paragraph" w:customStyle="1" w:styleId="TableColumnHeadingRight">
    <w:name w:val="Table Column Heading Right"/>
    <w:basedOn w:val="TableTextLeft"/>
    <w:rsid w:val="00F47D6B"/>
    <w:pPr>
      <w:spacing w:before="20" w:after="20"/>
    </w:pPr>
    <w:rPr>
      <w:rFonts w:cs="Calibri"/>
      <w:b/>
      <w:bCs/>
      <w:color w:val="002A54" w:themeColor="text2"/>
      <w:sz w:val="20"/>
    </w:rPr>
  </w:style>
  <w:style w:type="paragraph" w:customStyle="1" w:styleId="TableTextCentered">
    <w:name w:val="Table Text Centered"/>
    <w:basedOn w:val="TableTextRight"/>
    <w:rsid w:val="00F47D6B"/>
  </w:style>
  <w:style w:type="paragraph" w:customStyle="1" w:styleId="TableTextLeft">
    <w:name w:val="Table Text Left"/>
    <w:basedOn w:val="Normal"/>
    <w:rsid w:val="00F47D6B"/>
    <w:pPr>
      <w:spacing w:before="40" w:after="40"/>
    </w:pPr>
    <w:rPr>
      <w:sz w:val="18"/>
    </w:rPr>
  </w:style>
  <w:style w:type="paragraph" w:customStyle="1" w:styleId="TableTextRight">
    <w:name w:val="Table Text Right"/>
    <w:basedOn w:val="Normal"/>
    <w:rsid w:val="00F47D6B"/>
    <w:pPr>
      <w:spacing w:before="40" w:after="40"/>
      <w:jc w:val="right"/>
    </w:pPr>
    <w:rPr>
      <w:rFonts w:eastAsia="Times New Roman"/>
      <w:color w:val="000000"/>
      <w:sz w:val="18"/>
      <w:lang w:eastAsia="en-AU"/>
    </w:rPr>
  </w:style>
  <w:style w:type="paragraph" w:customStyle="1" w:styleId="TableTextIndented">
    <w:name w:val="Table Text Indented"/>
    <w:basedOn w:val="TableTextLeft"/>
    <w:qFormat/>
    <w:rsid w:val="00F47D6B"/>
    <w:pPr>
      <w:ind w:left="284"/>
    </w:pPr>
  </w:style>
  <w:style w:type="table" w:styleId="GridTable1Light-Accent1">
    <w:name w:val="Grid Table 1 Light Accent 1"/>
    <w:basedOn w:val="TableNormal"/>
    <w:uiPriority w:val="46"/>
    <w:rsid w:val="00F47D6B"/>
    <w:rPr>
      <w:rFonts w:asciiTheme="minorHAnsi" w:hAnsiTheme="minorHAnsi" w:cstheme="minorBidi"/>
      <w:sz w:val="22"/>
      <w:szCs w:val="22"/>
    </w:rPr>
    <w:tblPr>
      <w:tblStyleRowBandSize w:val="1"/>
      <w:tblStyleColBandSize w:val="1"/>
      <w:tblBorders>
        <w:top w:val="single" w:sz="4" w:space="0" w:color="83C0FD" w:themeColor="accent1" w:themeTint="66"/>
        <w:left w:val="single" w:sz="4" w:space="0" w:color="83C0FD" w:themeColor="accent1" w:themeTint="66"/>
        <w:bottom w:val="single" w:sz="4" w:space="0" w:color="83C0FD" w:themeColor="accent1" w:themeTint="66"/>
        <w:right w:val="single" w:sz="4" w:space="0" w:color="83C0FD" w:themeColor="accent1" w:themeTint="66"/>
        <w:insideH w:val="single" w:sz="4" w:space="0" w:color="83C0FD" w:themeColor="accent1" w:themeTint="66"/>
        <w:insideV w:val="single" w:sz="4" w:space="0" w:color="83C0FD" w:themeColor="accent1" w:themeTint="66"/>
      </w:tblBorders>
    </w:tblPr>
    <w:tblStylePr w:type="firstRow">
      <w:rPr>
        <w:b/>
        <w:bCs/>
      </w:rPr>
      <w:tblPr/>
      <w:tcPr>
        <w:tcBorders>
          <w:bottom w:val="single" w:sz="12" w:space="0" w:color="46A1FC" w:themeColor="accent1" w:themeTint="99"/>
        </w:tcBorders>
      </w:tcPr>
    </w:tblStylePr>
    <w:tblStylePr w:type="lastRow">
      <w:rPr>
        <w:b/>
        <w:bCs/>
      </w:rPr>
      <w:tblPr/>
      <w:tcPr>
        <w:tcBorders>
          <w:top w:val="double" w:sz="2" w:space="0" w:color="46A1FC"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rsid w:val="00F47D6B"/>
    <w:rPr>
      <w:rFonts w:asciiTheme="majorHAnsi" w:eastAsiaTheme="majorEastAsia" w:hAnsiTheme="majorHAnsi" w:cstheme="majorBidi"/>
      <w:color w:val="024A91" w:themeColor="accent1" w:themeShade="BF"/>
      <w:sz w:val="22"/>
    </w:rPr>
  </w:style>
  <w:style w:type="table" w:customStyle="1" w:styleId="BudgetFactsheetTable1">
    <w:name w:val="Budget Factsheet Table 1"/>
    <w:basedOn w:val="TableNormal"/>
    <w:uiPriority w:val="99"/>
    <w:rsid w:val="00F47D6B"/>
    <w:rPr>
      <w:color w:val="000000" w:themeColor="text1"/>
      <w:sz w:val="18"/>
    </w:rPr>
    <w:tblPr>
      <w:tblBorders>
        <w:bottom w:val="single" w:sz="4" w:space="0" w:color="auto"/>
        <w:insideH w:val="single" w:sz="4" w:space="0" w:color="A6ACB6" w:themeColor="background2" w:themeTint="99"/>
        <w:insideV w:val="single" w:sz="4" w:space="0" w:color="A6ACB6" w:themeColor="background2" w:themeTint="99"/>
      </w:tblBorders>
    </w:tblPr>
    <w:tblStylePr w:type="firstRow">
      <w:pPr>
        <w:wordWrap/>
        <w:spacing w:beforeLines="0" w:before="40" w:beforeAutospacing="0" w:afterLines="0" w:after="40" w:afterAutospacing="0" w:line="240" w:lineRule="auto"/>
      </w:pPr>
      <w:rPr>
        <w:rFonts w:ascii="Calibri" w:hAnsi="Calibri"/>
        <w:b/>
        <w:color w:val="002A54" w:themeColor="text2"/>
        <w:sz w:val="20"/>
      </w:rPr>
      <w:tblPr/>
      <w:tcPr>
        <w:tcBorders>
          <w:top w:val="single" w:sz="4" w:space="0" w:color="auto"/>
          <w:left w:val="nil"/>
          <w:bottom w:val="single" w:sz="12" w:space="0" w:color="auto"/>
          <w:right w:val="nil"/>
          <w:insideH w:val="nil"/>
          <w:insideV w:val="nil"/>
          <w:tl2br w:val="nil"/>
          <w:tr2bl w:val="nil"/>
        </w:tcBorders>
        <w:shd w:val="clear" w:color="auto" w:fill="E6F2FF"/>
      </w:tcPr>
    </w:tblStylePr>
  </w:style>
  <w:style w:type="paragraph" w:styleId="NoSpacing">
    <w:name w:val="No Spacing"/>
    <w:uiPriority w:val="1"/>
    <w:qFormat/>
    <w:rsid w:val="00F47D6B"/>
    <w:rPr>
      <w:sz w:val="22"/>
    </w:rPr>
  </w:style>
  <w:style w:type="paragraph" w:styleId="FootnoteText">
    <w:name w:val="footnote text"/>
    <w:basedOn w:val="Normal"/>
    <w:link w:val="FootnoteTextChar"/>
    <w:unhideWhenUsed/>
    <w:rsid w:val="00AD621B"/>
    <w:pPr>
      <w:spacing w:before="0" w:after="0"/>
    </w:pPr>
    <w:rPr>
      <w:sz w:val="20"/>
    </w:rPr>
  </w:style>
  <w:style w:type="character" w:customStyle="1" w:styleId="FootnoteTextChar">
    <w:name w:val="Footnote Text Char"/>
    <w:basedOn w:val="DefaultParagraphFont"/>
    <w:link w:val="FootnoteText"/>
    <w:rsid w:val="00AD621B"/>
  </w:style>
  <w:style w:type="character" w:styleId="FootnoteReference">
    <w:name w:val="footnote reference"/>
    <w:basedOn w:val="DefaultParagraphFont"/>
    <w:unhideWhenUsed/>
    <w:rsid w:val="00AD621B"/>
    <w:rPr>
      <w:vertAlign w:val="superscript"/>
    </w:rPr>
  </w:style>
  <w:style w:type="character" w:styleId="CommentReference">
    <w:name w:val="annotation reference"/>
    <w:basedOn w:val="DefaultParagraphFont"/>
    <w:uiPriority w:val="99"/>
    <w:semiHidden/>
    <w:unhideWhenUsed/>
    <w:rsid w:val="0092570C"/>
    <w:rPr>
      <w:sz w:val="16"/>
      <w:szCs w:val="16"/>
    </w:rPr>
  </w:style>
  <w:style w:type="paragraph" w:styleId="CommentText">
    <w:name w:val="annotation text"/>
    <w:basedOn w:val="Normal"/>
    <w:link w:val="CommentTextChar"/>
    <w:uiPriority w:val="99"/>
    <w:unhideWhenUsed/>
    <w:rsid w:val="0092570C"/>
    <w:rPr>
      <w:sz w:val="20"/>
    </w:rPr>
  </w:style>
  <w:style w:type="character" w:customStyle="1" w:styleId="CommentTextChar">
    <w:name w:val="Comment Text Char"/>
    <w:basedOn w:val="DefaultParagraphFont"/>
    <w:link w:val="CommentText"/>
    <w:uiPriority w:val="99"/>
    <w:rsid w:val="0092570C"/>
  </w:style>
  <w:style w:type="paragraph" w:styleId="CommentSubject">
    <w:name w:val="annotation subject"/>
    <w:basedOn w:val="CommentText"/>
    <w:next w:val="CommentText"/>
    <w:link w:val="CommentSubjectChar"/>
    <w:uiPriority w:val="99"/>
    <w:semiHidden/>
    <w:unhideWhenUsed/>
    <w:rsid w:val="0092570C"/>
    <w:rPr>
      <w:b/>
      <w:bCs/>
    </w:rPr>
  </w:style>
  <w:style w:type="character" w:customStyle="1" w:styleId="CommentSubjectChar">
    <w:name w:val="Comment Subject Char"/>
    <w:basedOn w:val="CommentTextChar"/>
    <w:link w:val="CommentSubject"/>
    <w:uiPriority w:val="99"/>
    <w:semiHidden/>
    <w:rsid w:val="0092570C"/>
    <w:rPr>
      <w:b/>
      <w:bCs/>
    </w:rPr>
  </w:style>
  <w:style w:type="paragraph" w:styleId="Revision">
    <w:name w:val="Revision"/>
    <w:hidden/>
    <w:uiPriority w:val="99"/>
    <w:semiHidden/>
    <w:rsid w:val="00064F5B"/>
    <w:rPr>
      <w:sz w:val="22"/>
    </w:rPr>
  </w:style>
  <w:style w:type="character" w:styleId="Mention">
    <w:name w:val="Mention"/>
    <w:basedOn w:val="DefaultParagraphFont"/>
    <w:uiPriority w:val="99"/>
    <w:unhideWhenUsed/>
    <w:rsid w:val="00412723"/>
    <w:rPr>
      <w:color w:val="2B579A"/>
      <w:shd w:val="clear" w:color="auto" w:fill="E1DFDD"/>
    </w:rPr>
  </w:style>
  <w:style w:type="numbering" w:customStyle="1" w:styleId="StyleBulletedSymbolsymbol11ptLeft4cmHanging051">
    <w:name w:val="Style Bulleted Symbol (symbol) 11 pt Left:  4 cm Hanging:  0.5 ...1"/>
    <w:basedOn w:val="NoList"/>
    <w:rsid w:val="00412723"/>
    <w:pPr>
      <w:numPr>
        <w:numId w:val="3"/>
      </w:numPr>
    </w:pPr>
  </w:style>
  <w:style w:type="paragraph" w:customStyle="1" w:styleId="Cameotext">
    <w:name w:val="Cameo text"/>
    <w:basedOn w:val="Normal"/>
    <w:qFormat/>
    <w:rsid w:val="00412723"/>
    <w:pPr>
      <w:spacing w:before="60" w:after="60"/>
    </w:pPr>
    <w:rPr>
      <w:rFonts w:ascii="Calibri Light" w:eastAsia="Times New Roman" w:hAnsi="Calibri Light"/>
      <w:bCs/>
      <w:color w:val="000000" w:themeColor="text1"/>
      <w:lang w:eastAsia="en-AU"/>
    </w:rPr>
  </w:style>
  <w:style w:type="paragraph" w:customStyle="1" w:styleId="ChartandTableFootnote">
    <w:name w:val="Chart and Table Footnote"/>
    <w:basedOn w:val="Normal"/>
    <w:next w:val="Normal"/>
    <w:link w:val="ChartandTableFootnoteChar"/>
    <w:rsid w:val="00412723"/>
    <w:pPr>
      <w:tabs>
        <w:tab w:val="left" w:pos="709"/>
      </w:tabs>
      <w:spacing w:before="30" w:after="0"/>
      <w:ind w:left="709" w:hanging="709"/>
    </w:pPr>
    <w:rPr>
      <w:rFonts w:ascii="Arial" w:eastAsia="Times New Roman" w:hAnsi="Arial"/>
      <w:color w:val="000000"/>
      <w:sz w:val="16"/>
      <w:lang w:eastAsia="en-AU"/>
    </w:rPr>
  </w:style>
  <w:style w:type="character" w:customStyle="1" w:styleId="ChartandTableFootnoteChar">
    <w:name w:val="Chart and Table Footnote Char"/>
    <w:basedOn w:val="DefaultParagraphFont"/>
    <w:link w:val="ChartandTableFootnote"/>
    <w:rsid w:val="00412723"/>
    <w:rPr>
      <w:rFonts w:ascii="Arial" w:eastAsia="Times New Roman" w:hAnsi="Arial"/>
      <w:color w:val="000000"/>
      <w:sz w:val="16"/>
      <w:lang w:eastAsia="en-AU"/>
    </w:rPr>
  </w:style>
  <w:style w:type="paragraph" w:styleId="ListParagraph">
    <w:name w:val="List Paragraph"/>
    <w:basedOn w:val="Normal"/>
    <w:uiPriority w:val="34"/>
    <w:qFormat/>
    <w:rsid w:val="00FB2D62"/>
    <w:pPr>
      <w:ind w:left="720"/>
      <w:contextualSpacing/>
    </w:pPr>
  </w:style>
  <w:style w:type="character" w:styleId="Emphasis">
    <w:name w:val="Emphasis"/>
    <w:basedOn w:val="DefaultParagraphFont"/>
    <w:uiPriority w:val="20"/>
    <w:qFormat/>
    <w:rsid w:val="00FB2D62"/>
    <w:rPr>
      <w:i/>
      <w:iCs/>
    </w:rPr>
  </w:style>
  <w:style w:type="paragraph" w:customStyle="1" w:styleId="TableSecondHeading">
    <w:name w:val="Table Second Heading"/>
    <w:basedOn w:val="TableMainHeading"/>
    <w:qFormat/>
    <w:rsid w:val="006D2E5A"/>
    <w:pPr>
      <w:spacing w:before="60" w:after="20"/>
    </w:pPr>
    <w:rPr>
      <w:b w:val="0"/>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9117">
      <w:bodyDiv w:val="1"/>
      <w:marLeft w:val="0"/>
      <w:marRight w:val="0"/>
      <w:marTop w:val="0"/>
      <w:marBottom w:val="0"/>
      <w:divBdr>
        <w:top w:val="none" w:sz="0" w:space="0" w:color="auto"/>
        <w:left w:val="none" w:sz="0" w:space="0" w:color="auto"/>
        <w:bottom w:val="none" w:sz="0" w:space="0" w:color="auto"/>
        <w:right w:val="none" w:sz="0" w:space="0" w:color="auto"/>
      </w:divBdr>
    </w:div>
    <w:div w:id="1303537253">
      <w:bodyDiv w:val="1"/>
      <w:marLeft w:val="0"/>
      <w:marRight w:val="0"/>
      <w:marTop w:val="0"/>
      <w:marBottom w:val="0"/>
      <w:divBdr>
        <w:top w:val="none" w:sz="0" w:space="0" w:color="auto"/>
        <w:left w:val="none" w:sz="0" w:space="0" w:color="auto"/>
        <w:bottom w:val="none" w:sz="0" w:space="0" w:color="auto"/>
        <w:right w:val="none" w:sz="0" w:space="0" w:color="auto"/>
      </w:divBdr>
    </w:div>
    <w:div w:id="1624116189">
      <w:bodyDiv w:val="1"/>
      <w:marLeft w:val="0"/>
      <w:marRight w:val="0"/>
      <w:marTop w:val="0"/>
      <w:marBottom w:val="0"/>
      <w:divBdr>
        <w:top w:val="none" w:sz="0" w:space="0" w:color="auto"/>
        <w:left w:val="none" w:sz="0" w:space="0" w:color="auto"/>
        <w:bottom w:val="none" w:sz="0" w:space="0" w:color="auto"/>
        <w:right w:val="none" w:sz="0" w:space="0" w:color="auto"/>
      </w:divBdr>
    </w:div>
    <w:div w:id="2028018837">
      <w:bodyDiv w:val="1"/>
      <w:marLeft w:val="0"/>
      <w:marRight w:val="0"/>
      <w:marTop w:val="0"/>
      <w:marBottom w:val="0"/>
      <w:divBdr>
        <w:top w:val="none" w:sz="0" w:space="0" w:color="auto"/>
        <w:left w:val="none" w:sz="0" w:space="0" w:color="auto"/>
        <w:bottom w:val="none" w:sz="0" w:space="0" w:color="auto"/>
        <w:right w:val="none" w:sz="0" w:space="0" w:color="auto"/>
      </w:divBdr>
    </w:div>
    <w:div w:id="210229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14f1646-2021-47cc-8397-e3d3a7ba7d9d}" enabled="0" method="" siteId="{214f1646-2021-47cc-8397-e3d3a7ba7d9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3202</Words>
  <Characters>18253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Budget 2026–27 Tax Explainer</vt:lpstr>
    </vt:vector>
  </TitlesOfParts>
  <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2026–27 Tax Explainer</dc:title>
  <dc:subject>Negative Gearing and Capital Gains Tax Reform</dc:subject>
  <dc:creator>Australian Government</dc:creator>
  <cp:keywords/>
  <cp:lastModifiedBy/>
  <cp:revision>1</cp:revision>
  <dcterms:created xsi:type="dcterms:W3CDTF">2026-05-12T05:50:00Z</dcterms:created>
  <dcterms:modified xsi:type="dcterms:W3CDTF">2026-05-12T05:51:00Z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2026-05-12T05:51:11Z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a5004b7a-7f13-4a81-8a01-0619b69f1c1b</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