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6F9A" w14:textId="63311E98" w:rsidR="00C7280D" w:rsidRDefault="00155DBD" w:rsidP="00360505">
      <w:pPr>
        <w:pStyle w:val="Heading1"/>
        <w:tabs>
          <w:tab w:val="left" w:pos="9214"/>
        </w:tabs>
        <w:spacing w:before="0"/>
        <w:ind w:right="425"/>
      </w:pPr>
      <w:r w:rsidRPr="00155DBD">
        <w:t>Minimum tax on discretionary trusts</w:t>
      </w:r>
    </w:p>
    <w:p w14:paraId="699853A5" w14:textId="1C13EBEF" w:rsidR="00155DBD" w:rsidRPr="00155DBD" w:rsidRDefault="002272FB" w:rsidP="00360505">
      <w:pPr>
        <w:pStyle w:val="Heading2"/>
        <w:ind w:right="-426"/>
      </w:pPr>
      <w:r w:rsidRPr="002272FB">
        <w:t>The Government is improving the fairness of the tax system by introducing a 30</w:t>
      </w:r>
      <w:r w:rsidR="00360505">
        <w:t> </w:t>
      </w:r>
      <w:r w:rsidRPr="002272FB">
        <w:t>per</w:t>
      </w:r>
      <w:r w:rsidR="00360505">
        <w:t> </w:t>
      </w:r>
      <w:r w:rsidRPr="002272FB">
        <w:t>cent minimum tax on discretionary trusts. Expanded rollover relief will be available for small business and others to support restructuring out of discretionary trusts.</w:t>
      </w:r>
    </w:p>
    <w:p w14:paraId="0699DB41" w14:textId="77777777" w:rsidR="00026C1F" w:rsidRPr="00FF730A" w:rsidRDefault="00026C1F" w:rsidP="00717666">
      <w:pPr>
        <w:spacing w:before="360"/>
        <w:rPr>
          <w:sz w:val="16"/>
          <w:szCs w:val="16"/>
        </w:rPr>
      </w:pPr>
    </w:p>
    <w:p w14:paraId="4ABC546A" w14:textId="77777777" w:rsidR="00C7280D" w:rsidRDefault="00C7280D" w:rsidP="00717666">
      <w:pPr>
        <w:spacing w:before="360"/>
        <w:sectPr w:rsidR="00C7280D" w:rsidSect="00360505">
          <w:footerReference w:type="default" r:id="rId7"/>
          <w:headerReference w:type="first" r:id="rId8"/>
          <w:footerReference w:type="first" r:id="rId9"/>
          <w:type w:val="continuous"/>
          <w:pgSz w:w="11907" w:h="16840" w:code="9"/>
          <w:pgMar w:top="2835" w:right="1134" w:bottom="1418" w:left="1134" w:header="737" w:footer="567" w:gutter="0"/>
          <w:cols w:space="340"/>
          <w:titlePg/>
          <w:docGrid w:linePitch="360"/>
        </w:sectPr>
      </w:pPr>
    </w:p>
    <w:p w14:paraId="35FF4EE2" w14:textId="28FB713D" w:rsidR="002F4C2D" w:rsidRDefault="003A1B2D" w:rsidP="008F5699">
      <w:pPr>
        <w:pStyle w:val="Heading3"/>
      </w:pPr>
      <w:r w:rsidRPr="003A1B2D">
        <w:t>30</w:t>
      </w:r>
      <w:r w:rsidR="00533C9B">
        <w:t> </w:t>
      </w:r>
      <w:r w:rsidRPr="003A1B2D">
        <w:t>per</w:t>
      </w:r>
      <w:r w:rsidR="00533C9B">
        <w:t> </w:t>
      </w:r>
      <w:r w:rsidRPr="003A1B2D">
        <w:t>cent minimum tax on discretionary trusts</w:t>
      </w:r>
    </w:p>
    <w:p w14:paraId="124F7114" w14:textId="789184AB" w:rsidR="001F3782" w:rsidRPr="001F3782" w:rsidRDefault="001F3782" w:rsidP="001F3782">
      <w:r w:rsidRPr="001F3782">
        <w:t>Minimum tax on discretionary trusts</w:t>
      </w:r>
    </w:p>
    <w:p w14:paraId="2158FDE5" w14:textId="6D82D624" w:rsidR="00AB43E3" w:rsidRDefault="00AB43E3" w:rsidP="00AB43E3">
      <w:r>
        <w:t>The Government is introducing a 30</w:t>
      </w:r>
      <w:r w:rsidR="00542CBD">
        <w:t> </w:t>
      </w:r>
      <w:r>
        <w:t>per</w:t>
      </w:r>
      <w:r w:rsidR="00542CBD">
        <w:t> </w:t>
      </w:r>
      <w:r>
        <w:t>cent minimum tax on discretionary trusts from 1</w:t>
      </w:r>
      <w:r w:rsidR="006C4B71">
        <w:t> </w:t>
      </w:r>
      <w:r>
        <w:t>July</w:t>
      </w:r>
      <w:r w:rsidR="006C4B71">
        <w:t> </w:t>
      </w:r>
      <w:r>
        <w:t>2028</w:t>
      </w:r>
      <w:r w:rsidR="00533C9B">
        <w:t xml:space="preserve">. </w:t>
      </w:r>
    </w:p>
    <w:p w14:paraId="2C30190D" w14:textId="4589B4A3" w:rsidR="003A1B2D" w:rsidRDefault="00AB43E3" w:rsidP="00AB43E3">
      <w:r>
        <w:t>The tax will be paid by the trustee as it is the trustee who controls distributions</w:t>
      </w:r>
      <w:r w:rsidR="00533C9B">
        <w:t xml:space="preserve">. </w:t>
      </w:r>
      <w:r>
        <w:t>Beneficiaries will still need to declare their trust income in their</w:t>
      </w:r>
      <w:r w:rsidR="000D2269">
        <w:t> </w:t>
      </w:r>
      <w:r>
        <w:t>tax returns, but beneficiaries, other than corporate beneficiaries, will receive non</w:t>
      </w:r>
      <w:r w:rsidR="00533C9B">
        <w:noBreakHyphen/>
      </w:r>
      <w:r>
        <w:t>refundable credits for the tax payable by</w:t>
      </w:r>
      <w:r w:rsidR="000D2269">
        <w:t> </w:t>
      </w:r>
      <w:r>
        <w:t>the</w:t>
      </w:r>
      <w:r w:rsidR="00533C9B">
        <w:t> </w:t>
      </w:r>
      <w:r>
        <w:t>trustee.</w:t>
      </w:r>
    </w:p>
    <w:p w14:paraId="427C15A1" w14:textId="2752235E" w:rsidR="0083799E" w:rsidRPr="0083799E" w:rsidRDefault="00BB49C5" w:rsidP="0083799E">
      <w:r w:rsidRPr="00BB49C5">
        <w:t>The introduction of a 30</w:t>
      </w:r>
      <w:r w:rsidR="00533C9B">
        <w:t> </w:t>
      </w:r>
      <w:r w:rsidRPr="00BB49C5">
        <w:t>per</w:t>
      </w:r>
      <w:r w:rsidR="00533C9B">
        <w:t> </w:t>
      </w:r>
      <w:r w:rsidRPr="00BB49C5">
        <w:t>cent minimum rate will mean a fairer rate of tax paid on discretionary trust income</w:t>
      </w:r>
      <w:r w:rsidR="00F5607B">
        <w:t xml:space="preserve">, </w:t>
      </w:r>
      <w:r w:rsidR="00F26ED3">
        <w:t>better</w:t>
      </w:r>
      <w:r w:rsidR="00F5607B">
        <w:t xml:space="preserve"> align</w:t>
      </w:r>
      <w:r w:rsidR="00415355">
        <w:t>ing the tax rate</w:t>
      </w:r>
      <w:r w:rsidR="00AF7985">
        <w:t xml:space="preserve"> </w:t>
      </w:r>
      <w:r w:rsidR="00F26ED3">
        <w:t>on trust income</w:t>
      </w:r>
      <w:r w:rsidR="00CA403F">
        <w:t xml:space="preserve"> with the </w:t>
      </w:r>
      <w:r w:rsidR="00F26ED3">
        <w:t xml:space="preserve">tax </w:t>
      </w:r>
      <w:r w:rsidR="00CA403F">
        <w:t>rates paid by worker</w:t>
      </w:r>
      <w:r w:rsidR="002E4157">
        <w:t>s</w:t>
      </w:r>
      <w:r w:rsidRPr="00BB49C5">
        <w:t>.</w:t>
      </w:r>
    </w:p>
    <w:p w14:paraId="1E820EEB" w14:textId="044929A6" w:rsidR="009E37E1" w:rsidRPr="00567811" w:rsidRDefault="006C5857" w:rsidP="00567811">
      <w:pPr>
        <w:pStyle w:val="Heading4"/>
      </w:pPr>
      <w:r>
        <w:t xml:space="preserve">Growing use of discretionary trusts is </w:t>
      </w:r>
      <w:r w:rsidR="00225238">
        <w:t>increasingly</w:t>
      </w:r>
      <w:r>
        <w:t xml:space="preserve"> unsustainable</w:t>
      </w:r>
    </w:p>
    <w:p w14:paraId="68E5B892" w14:textId="2EAB5662" w:rsidR="00460093" w:rsidRDefault="00C83B39" w:rsidP="00C83B39">
      <w:r>
        <w:t>Since 2001</w:t>
      </w:r>
      <w:r w:rsidR="0002595C">
        <w:t>–</w:t>
      </w:r>
      <w:r>
        <w:t xml:space="preserve">02, the number of </w:t>
      </w:r>
      <w:r w:rsidR="0062104C">
        <w:t xml:space="preserve">discretionary </w:t>
      </w:r>
      <w:r>
        <w:t xml:space="preserve">trusts </w:t>
      </w:r>
      <w:r w:rsidR="0062104C">
        <w:t>in</w:t>
      </w:r>
      <w:r>
        <w:t xml:space="preserve"> Australia has </w:t>
      </w:r>
      <w:r w:rsidR="002216B8">
        <w:t>doubled</w:t>
      </w:r>
      <w:r>
        <w:t xml:space="preserve">, exceeding the growth in companies </w:t>
      </w:r>
      <w:r w:rsidR="002464A6">
        <w:t>(</w:t>
      </w:r>
      <w:r w:rsidR="003B0815">
        <w:t>which have grown by 70</w:t>
      </w:r>
      <w:r w:rsidR="00CC2121">
        <w:t> </w:t>
      </w:r>
      <w:r w:rsidR="003B0815">
        <w:t>per</w:t>
      </w:r>
      <w:r w:rsidR="00AB7AE1">
        <w:t> </w:t>
      </w:r>
      <w:r w:rsidR="003B0815">
        <w:t>cent</w:t>
      </w:r>
      <w:r w:rsidR="002464A6">
        <w:t>)</w:t>
      </w:r>
      <w:r w:rsidR="00533C9B">
        <w:t xml:space="preserve">. </w:t>
      </w:r>
    </w:p>
    <w:p w14:paraId="2E402199" w14:textId="606E5CBD" w:rsidR="00C83B39" w:rsidRDefault="00C83B39" w:rsidP="00C83B39">
      <w:r>
        <w:t xml:space="preserve">Australia now has over </w:t>
      </w:r>
      <w:r w:rsidR="003D6841">
        <w:t>one</w:t>
      </w:r>
      <w:r w:rsidR="00244184">
        <w:t> </w:t>
      </w:r>
      <w:r>
        <w:t>million trusts, of which</w:t>
      </w:r>
      <w:r w:rsidR="008656B6">
        <w:t> </w:t>
      </w:r>
      <w:r>
        <w:t>around 840,000 (80</w:t>
      </w:r>
      <w:r w:rsidR="00533C9B">
        <w:t> </w:t>
      </w:r>
      <w:r>
        <w:t>per</w:t>
      </w:r>
      <w:r w:rsidR="00533C9B">
        <w:t> </w:t>
      </w:r>
      <w:r>
        <w:t>cent) are discretionary</w:t>
      </w:r>
      <w:r w:rsidR="00806E4C">
        <w:t> </w:t>
      </w:r>
      <w:r>
        <w:t>trusts.</w:t>
      </w:r>
    </w:p>
    <w:p w14:paraId="6D55AF83" w14:textId="2A5535AB" w:rsidR="00C83B39" w:rsidRDefault="00C83B39" w:rsidP="00C83B39">
      <w:r>
        <w:t>In 2022</w:t>
      </w:r>
      <w:r w:rsidR="0002595C">
        <w:t>–</w:t>
      </w:r>
      <w:r>
        <w:t xml:space="preserve">23, discretionary trusts </w:t>
      </w:r>
      <w:r w:rsidR="00F734F5">
        <w:t xml:space="preserve">distributed </w:t>
      </w:r>
      <w:r>
        <w:t>$1</w:t>
      </w:r>
      <w:r w:rsidR="005B03CE">
        <w:t>42.4</w:t>
      </w:r>
      <w:r w:rsidR="00CC0B58">
        <w:t> </w:t>
      </w:r>
      <w:r>
        <w:t>billion in income</w:t>
      </w:r>
      <w:r w:rsidR="0062104C">
        <w:t xml:space="preserve"> to other entities</w:t>
      </w:r>
      <w:r>
        <w:t>, with average annual growth in income of 7.8</w:t>
      </w:r>
      <w:r w:rsidR="00533C9B">
        <w:t> </w:t>
      </w:r>
      <w:r>
        <w:t>per</w:t>
      </w:r>
      <w:r w:rsidR="00533C9B">
        <w:t> </w:t>
      </w:r>
      <w:r>
        <w:t>cent</w:t>
      </w:r>
      <w:r w:rsidR="008656B6">
        <w:t> </w:t>
      </w:r>
      <w:r>
        <w:t>since 2011</w:t>
      </w:r>
      <w:r w:rsidR="0002595C">
        <w:t>–</w:t>
      </w:r>
      <w:r>
        <w:t>12</w:t>
      </w:r>
      <w:r w:rsidR="00533C9B">
        <w:t xml:space="preserve">. </w:t>
      </w:r>
    </w:p>
    <w:p w14:paraId="7A061A3F" w14:textId="03596484" w:rsidR="00C83B39" w:rsidRDefault="007C0913" w:rsidP="00C83B39">
      <w:r>
        <w:br w:type="column"/>
      </w:r>
      <w:r w:rsidR="00C83B39">
        <w:t>The majority of trust income flows to the top earning 10 per</w:t>
      </w:r>
      <w:r w:rsidR="008F6361">
        <w:t> </w:t>
      </w:r>
      <w:r w:rsidR="00C83B39">
        <w:t>cent of families and approximately 90</w:t>
      </w:r>
      <w:r w:rsidR="00533C9B">
        <w:t> </w:t>
      </w:r>
      <w:r w:rsidR="00C83B39">
        <w:t>per</w:t>
      </w:r>
      <w:r w:rsidR="00533C9B">
        <w:t> </w:t>
      </w:r>
      <w:r w:rsidR="00C83B39">
        <w:t>cent of total private trust wealth is held by the wealthiest 10</w:t>
      </w:r>
      <w:r w:rsidR="00533C9B">
        <w:t> </w:t>
      </w:r>
      <w:r w:rsidR="00C83B39">
        <w:t>per</w:t>
      </w:r>
      <w:r w:rsidR="00533C9B">
        <w:t> </w:t>
      </w:r>
      <w:r w:rsidR="00C83B39">
        <w:t>cent of households (those</w:t>
      </w:r>
      <w:r w:rsidR="008F6361">
        <w:t> </w:t>
      </w:r>
      <w:r w:rsidR="00C83B39">
        <w:t>with net worth above around $2.3</w:t>
      </w:r>
      <w:r w:rsidR="00533C9B">
        <w:t> </w:t>
      </w:r>
      <w:r w:rsidR="00C83B39">
        <w:t>million).</w:t>
      </w:r>
    </w:p>
    <w:p w14:paraId="39B27CC3" w14:textId="7CAAA7E6" w:rsidR="00C83B39" w:rsidRPr="00567811" w:rsidRDefault="00C83B39" w:rsidP="00C83B39">
      <w:pPr>
        <w:pStyle w:val="Heading4"/>
      </w:pPr>
      <w:r>
        <w:t>Better aligning the tax rate on trust income with the tax rate paid by workers</w:t>
      </w:r>
    </w:p>
    <w:p w14:paraId="762C06AD" w14:textId="2D0742BA" w:rsidR="00863A90" w:rsidRDefault="00863A90" w:rsidP="00863A90">
      <w:r>
        <w:t>Trusts, including discretionary trusts, can assist with asset protection and succession planning</w:t>
      </w:r>
      <w:r w:rsidR="00533C9B">
        <w:t xml:space="preserve">. </w:t>
      </w:r>
      <w:r>
        <w:t xml:space="preserve">However, discretionary trusts also allow lower tax rates to be achieved through </w:t>
      </w:r>
      <w:r w:rsidR="00533C9B">
        <w:t>‘</w:t>
      </w:r>
      <w:r>
        <w:t>income splitting</w:t>
      </w:r>
      <w:r w:rsidR="00533C9B">
        <w:t>’</w:t>
      </w:r>
      <w:r>
        <w:t>, where trustees of discretionary trusts allocate all or part of their income to others</w:t>
      </w:r>
      <w:r w:rsidR="001F62DA">
        <w:t xml:space="preserve"> who have a lower marginal tax rate</w:t>
      </w:r>
      <w:r>
        <w:t>, while often retaining the income</w:t>
      </w:r>
      <w:r w:rsidR="00533C9B">
        <w:t xml:space="preserve">. </w:t>
      </w:r>
      <w:r w:rsidR="00B17720">
        <w:t>Treasury analysis shows that i</w:t>
      </w:r>
      <w:r w:rsidR="00975612" w:rsidRPr="00975612">
        <w:t>n 2022–23, on average, families with discretionary trusts faced an average tax rate around 4</w:t>
      </w:r>
      <w:r w:rsidR="00444BF0">
        <w:t> </w:t>
      </w:r>
      <w:r w:rsidR="00975612" w:rsidRPr="00975612">
        <w:t>percentage points lower compared with</w:t>
      </w:r>
      <w:r w:rsidR="00262387">
        <w:t xml:space="preserve"> families with</w:t>
      </w:r>
      <w:r w:rsidR="00975612" w:rsidRPr="00975612">
        <w:t xml:space="preserve"> similar </w:t>
      </w:r>
      <w:r w:rsidR="00262387">
        <w:t>incomes who do</w:t>
      </w:r>
      <w:r w:rsidR="00925688">
        <w:t xml:space="preserve"> </w:t>
      </w:r>
      <w:r w:rsidR="00262387">
        <w:t>n</w:t>
      </w:r>
      <w:r w:rsidR="00925688">
        <w:t>o</w:t>
      </w:r>
      <w:r w:rsidR="00262387">
        <w:t>t use a trust</w:t>
      </w:r>
      <w:r w:rsidR="00975612" w:rsidRPr="00975612">
        <w:t>.</w:t>
      </w:r>
    </w:p>
    <w:p w14:paraId="12090B9E" w14:textId="5615F544" w:rsidR="00863A90" w:rsidRDefault="00863A90" w:rsidP="00863A90">
      <w:r>
        <w:t>This flexibility is not available to individuals without a trust, including workers who pay tax on wages at marginal rates</w:t>
      </w:r>
      <w:r w:rsidR="00533C9B">
        <w:t xml:space="preserve">. </w:t>
      </w:r>
      <w:r w:rsidR="000B0061">
        <w:t>Numerous reviews of the tax system over the past 50</w:t>
      </w:r>
      <w:r w:rsidR="00311174">
        <w:t>-</w:t>
      </w:r>
      <w:r w:rsidR="000B0061">
        <w:t xml:space="preserve">years have raised concerns that </w:t>
      </w:r>
      <w:r>
        <w:t>different structures used to hold assets or earn an income can result in different tax outcomes for people with similar levels of income (see Table 1)</w:t>
      </w:r>
      <w:r w:rsidR="00533C9B">
        <w:t xml:space="preserve">. </w:t>
      </w:r>
    </w:p>
    <w:p w14:paraId="62BB56EF" w14:textId="1258686D" w:rsidR="00620D2D" w:rsidRDefault="00863A90" w:rsidP="00863A90">
      <w:r>
        <w:t xml:space="preserve">Introducing a </w:t>
      </w:r>
      <w:r w:rsidR="00262387">
        <w:t>30</w:t>
      </w:r>
      <w:r w:rsidR="00D242B2">
        <w:t> </w:t>
      </w:r>
      <w:r w:rsidR="00262387">
        <w:t>per</w:t>
      </w:r>
      <w:r w:rsidR="00D242B2">
        <w:t> </w:t>
      </w:r>
      <w:r w:rsidR="00262387">
        <w:t xml:space="preserve">cent </w:t>
      </w:r>
      <w:r>
        <w:t>minimum tax brings the tax outcome on income earned in a discretionary trust closer to that of wage and salary earners</w:t>
      </w:r>
      <w:r w:rsidR="00DC39A2">
        <w:t xml:space="preserve"> who pay a 30</w:t>
      </w:r>
      <w:r w:rsidR="00D242B2">
        <w:t> </w:t>
      </w:r>
      <w:r w:rsidR="00DC39A2">
        <w:t>per</w:t>
      </w:r>
      <w:r w:rsidR="00D242B2">
        <w:t> </w:t>
      </w:r>
      <w:r w:rsidR="00DC39A2">
        <w:t xml:space="preserve">cent marginal rate on incomes </w:t>
      </w:r>
      <w:r w:rsidR="0062104C">
        <w:t xml:space="preserve">between </w:t>
      </w:r>
      <w:r w:rsidR="00DC39A2">
        <w:t>$45,00</w:t>
      </w:r>
      <w:r w:rsidR="00C63A7D">
        <w:t>1</w:t>
      </w:r>
      <w:r w:rsidR="00DC39A2">
        <w:t xml:space="preserve"> </w:t>
      </w:r>
      <w:r w:rsidR="0062104C">
        <w:t>and</w:t>
      </w:r>
      <w:r w:rsidR="00DC39A2">
        <w:t xml:space="preserve"> $135,000</w:t>
      </w:r>
      <w:r w:rsidR="00533C9B">
        <w:t xml:space="preserve">. </w:t>
      </w:r>
      <w:r>
        <w:t>This improves the</w:t>
      </w:r>
      <w:r w:rsidR="003C2CFA">
        <w:t> </w:t>
      </w:r>
      <w:r>
        <w:t>fairness and sustainability of the tax system.</w:t>
      </w:r>
    </w:p>
    <w:p w14:paraId="0E15EB7F" w14:textId="77777777" w:rsidR="00D55448" w:rsidRDefault="00D55448">
      <w:pPr>
        <w:spacing w:before="0" w:after="0"/>
        <w:rPr>
          <w:i/>
          <w:iCs/>
          <w:color w:val="002A54" w:themeColor="text2"/>
          <w:sz w:val="18"/>
          <w:szCs w:val="18"/>
        </w:rPr>
      </w:pPr>
      <w:r>
        <w:br w:type="page"/>
      </w:r>
    </w:p>
    <w:p w14:paraId="38788B43" w14:textId="0E95548C" w:rsidR="00FE3C55" w:rsidRPr="00AB5A57" w:rsidRDefault="00FE3C55" w:rsidP="00273B4D">
      <w:pPr>
        <w:pStyle w:val="TableMainHeading"/>
      </w:pPr>
      <w:r w:rsidRPr="00AB5A57">
        <w:lastRenderedPageBreak/>
        <w:t xml:space="preserve">Table </w:t>
      </w:r>
      <w:r w:rsidRPr="00AB5A57">
        <w:fldChar w:fldCharType="begin"/>
      </w:r>
      <w:r w:rsidRPr="00AB5A57">
        <w:instrText xml:space="preserve"> SEQ Table \* ARABIC </w:instrText>
      </w:r>
      <w:r w:rsidRPr="00AB5A57">
        <w:fldChar w:fldCharType="separate"/>
      </w:r>
      <w:r w:rsidR="007873D4">
        <w:rPr>
          <w:noProof/>
        </w:rPr>
        <w:t>1</w:t>
      </w:r>
      <w:r w:rsidRPr="00AB5A57">
        <w:fldChar w:fldCharType="end"/>
      </w:r>
      <w:r w:rsidRPr="00AB5A57">
        <w:t>: Tax reviews raising discretionary trust concerns</w:t>
      </w:r>
    </w:p>
    <w:tbl>
      <w:tblPr>
        <w:tblStyle w:val="BudgetFactsheetTable1"/>
        <w:tblW w:w="5000" w:type="pct"/>
        <w:tblLook w:val="0620" w:firstRow="1" w:lastRow="0" w:firstColumn="0" w:lastColumn="0" w:noHBand="1" w:noVBand="1"/>
      </w:tblPr>
      <w:tblGrid>
        <w:gridCol w:w="1701"/>
        <w:gridCol w:w="2863"/>
      </w:tblGrid>
      <w:tr w:rsidR="00863A90" w:rsidRPr="00533C9B" w14:paraId="1207682E" w14:textId="77777777" w:rsidTr="00863A90">
        <w:trPr>
          <w:cnfStyle w:val="100000000000" w:firstRow="1" w:lastRow="0" w:firstColumn="0" w:lastColumn="0" w:oddVBand="0" w:evenVBand="0" w:oddHBand="0" w:evenHBand="0" w:firstRowFirstColumn="0" w:firstRowLastColumn="0" w:lastRowFirstColumn="0" w:lastRowLastColumn="0"/>
        </w:trPr>
        <w:tc>
          <w:tcPr>
            <w:tcW w:w="1701" w:type="dxa"/>
          </w:tcPr>
          <w:p w14:paraId="6AEA2A03" w14:textId="0275CC9C" w:rsidR="00863A90" w:rsidRPr="00533C9B" w:rsidRDefault="00863A90" w:rsidP="00273B4D">
            <w:pPr>
              <w:pStyle w:val="TableColumnHeadingLeft"/>
              <w:keepNext/>
              <w:spacing w:before="48" w:after="48"/>
              <w:rPr>
                <w:b/>
              </w:rPr>
            </w:pPr>
            <w:r w:rsidRPr="00533C9B">
              <w:rPr>
                <w:b/>
              </w:rPr>
              <w:t>Review</w:t>
            </w:r>
          </w:p>
        </w:tc>
        <w:tc>
          <w:tcPr>
            <w:tcW w:w="2863" w:type="dxa"/>
          </w:tcPr>
          <w:p w14:paraId="345A94B3" w14:textId="6EB8F75D" w:rsidR="00863A90" w:rsidRPr="00533C9B" w:rsidRDefault="00863A90" w:rsidP="00273B4D">
            <w:pPr>
              <w:pStyle w:val="TableColumnHeadingLeft"/>
              <w:keepNext/>
              <w:spacing w:before="48" w:after="48"/>
              <w:rPr>
                <w:b/>
              </w:rPr>
            </w:pPr>
            <w:r w:rsidRPr="00533C9B">
              <w:rPr>
                <w:b/>
              </w:rPr>
              <w:t>Key concerns</w:t>
            </w:r>
          </w:p>
        </w:tc>
      </w:tr>
      <w:tr w:rsidR="00FE3C55" w:rsidRPr="00533C9B" w14:paraId="70E5886A" w14:textId="77777777" w:rsidTr="00863A90">
        <w:tc>
          <w:tcPr>
            <w:tcW w:w="1701" w:type="dxa"/>
          </w:tcPr>
          <w:p w14:paraId="41345553" w14:textId="685A6B37" w:rsidR="00FE3C55" w:rsidRPr="00533C9B" w:rsidRDefault="00FE3C55" w:rsidP="008D2FBD">
            <w:pPr>
              <w:pStyle w:val="TableTextLeft"/>
              <w:keepNext/>
            </w:pPr>
            <w:r w:rsidRPr="00533C9B">
              <w:rPr>
                <w:sz w:val="20"/>
              </w:rPr>
              <w:t>Asprey Report (1975)</w:t>
            </w:r>
          </w:p>
        </w:tc>
        <w:tc>
          <w:tcPr>
            <w:tcW w:w="2863" w:type="dxa"/>
          </w:tcPr>
          <w:p w14:paraId="0FBA15DD" w14:textId="6FD00C9F" w:rsidR="00FE3C55" w:rsidRPr="00533C9B" w:rsidRDefault="00FE3C55" w:rsidP="008D2FBD">
            <w:pPr>
              <w:pStyle w:val="TableTextLeft"/>
              <w:keepNext/>
            </w:pPr>
            <w:r w:rsidRPr="00533C9B">
              <w:rPr>
                <w:sz w:val="20"/>
              </w:rPr>
              <w:t xml:space="preserve">Income splitting through trusts undermines tax integrity. </w:t>
            </w:r>
          </w:p>
        </w:tc>
      </w:tr>
      <w:tr w:rsidR="00FE3C55" w:rsidRPr="00533C9B" w14:paraId="3078BF0F" w14:textId="77777777" w:rsidTr="00863A90">
        <w:tc>
          <w:tcPr>
            <w:tcW w:w="1701" w:type="dxa"/>
          </w:tcPr>
          <w:p w14:paraId="4D080320" w14:textId="1B812254" w:rsidR="00FE3C55" w:rsidRPr="00533C9B" w:rsidRDefault="00FE3C55" w:rsidP="008D2FBD">
            <w:pPr>
              <w:pStyle w:val="TableTextLeft"/>
              <w:keepNext/>
            </w:pPr>
            <w:r w:rsidRPr="00533C9B">
              <w:rPr>
                <w:sz w:val="20"/>
              </w:rPr>
              <w:t>Review of Business Taxation (1999)</w:t>
            </w:r>
          </w:p>
        </w:tc>
        <w:tc>
          <w:tcPr>
            <w:tcW w:w="2863" w:type="dxa"/>
          </w:tcPr>
          <w:p w14:paraId="476CB56C" w14:textId="440EC004" w:rsidR="00FE3C55" w:rsidRPr="00533C9B" w:rsidRDefault="00FE3C55" w:rsidP="008D2FBD">
            <w:pPr>
              <w:pStyle w:val="TableTextLeft"/>
              <w:keepNext/>
            </w:pPr>
            <w:r w:rsidRPr="00533C9B">
              <w:rPr>
                <w:sz w:val="20"/>
              </w:rPr>
              <w:t xml:space="preserve">Inconsistent tax treatment between trusts, companies and other entities. </w:t>
            </w:r>
          </w:p>
        </w:tc>
      </w:tr>
      <w:tr w:rsidR="00FE3C55" w:rsidRPr="00533C9B" w14:paraId="40333BE1" w14:textId="77777777" w:rsidTr="00863A90">
        <w:tc>
          <w:tcPr>
            <w:tcW w:w="1701" w:type="dxa"/>
          </w:tcPr>
          <w:p w14:paraId="30AF2F23" w14:textId="04E92895" w:rsidR="00FE3C55" w:rsidRPr="00533C9B" w:rsidRDefault="00FE3C55" w:rsidP="008D2FBD">
            <w:pPr>
              <w:pStyle w:val="TableTextLeft"/>
              <w:keepNext/>
            </w:pPr>
            <w:r w:rsidRPr="00533C9B">
              <w:rPr>
                <w:sz w:val="20"/>
              </w:rPr>
              <w:t>Australia’s Future Tax System (2009)</w:t>
            </w:r>
          </w:p>
        </w:tc>
        <w:tc>
          <w:tcPr>
            <w:tcW w:w="2863" w:type="dxa"/>
          </w:tcPr>
          <w:p w14:paraId="4BB02975" w14:textId="7FC68868" w:rsidR="00FE3C55" w:rsidRPr="00533C9B" w:rsidRDefault="00FE3C55" w:rsidP="008D2FBD">
            <w:pPr>
              <w:pStyle w:val="TableTextLeft"/>
              <w:keepNext/>
            </w:pPr>
            <w:r w:rsidRPr="00533C9B">
              <w:rPr>
                <w:sz w:val="20"/>
              </w:rPr>
              <w:t xml:space="preserve">Trusts remain a source of tax avoidance and complexity. </w:t>
            </w:r>
          </w:p>
        </w:tc>
      </w:tr>
      <w:tr w:rsidR="00FE3C55" w:rsidRPr="00533C9B" w14:paraId="1BD6714C" w14:textId="77777777" w:rsidTr="00863A90">
        <w:tc>
          <w:tcPr>
            <w:tcW w:w="1701" w:type="dxa"/>
          </w:tcPr>
          <w:p w14:paraId="088D006E" w14:textId="7E6C0B64" w:rsidR="00FE3C55" w:rsidRPr="00533C9B" w:rsidRDefault="00FE3C55" w:rsidP="008D2FBD">
            <w:pPr>
              <w:pStyle w:val="TableTextLeft"/>
              <w:keepNext/>
            </w:pPr>
            <w:r w:rsidRPr="00533C9B">
              <w:rPr>
                <w:sz w:val="20"/>
              </w:rPr>
              <w:t>Re:think (2015)</w:t>
            </w:r>
          </w:p>
        </w:tc>
        <w:tc>
          <w:tcPr>
            <w:tcW w:w="2863" w:type="dxa"/>
          </w:tcPr>
          <w:p w14:paraId="24563FB3" w14:textId="11FE0739" w:rsidR="00FE3C55" w:rsidRPr="00533C9B" w:rsidRDefault="00FE3C55" w:rsidP="008D2FBD">
            <w:pPr>
              <w:pStyle w:val="TableTextLeft"/>
              <w:keepNext/>
            </w:pPr>
            <w:r w:rsidRPr="00533C9B">
              <w:rPr>
                <w:sz w:val="20"/>
              </w:rPr>
              <w:t>Discretionary trusts offer tax advantages to individuals who share the income from savings.</w:t>
            </w:r>
          </w:p>
        </w:tc>
      </w:tr>
    </w:tbl>
    <w:p w14:paraId="211955E3" w14:textId="1C55FE7A" w:rsidR="00863A90" w:rsidRDefault="00DD6760" w:rsidP="00DD6760">
      <w:pPr>
        <w:pStyle w:val="Heading3"/>
      </w:pPr>
      <w:r>
        <w:t>How it works</w:t>
      </w:r>
    </w:p>
    <w:p w14:paraId="27BA325F" w14:textId="1209600F" w:rsidR="00711717" w:rsidRDefault="00711717" w:rsidP="00711717">
      <w:r w:rsidRPr="008A3965">
        <w:t xml:space="preserve">Trustees </w:t>
      </w:r>
      <w:r>
        <w:t>currentl</w:t>
      </w:r>
      <w:r w:rsidRPr="008A3965">
        <w:t xml:space="preserve">y pay tax on any income that is retained in the trust, as well as </w:t>
      </w:r>
      <w:r w:rsidRPr="008A3965" w:rsidDel="00933CAA">
        <w:t xml:space="preserve">paying tax </w:t>
      </w:r>
      <w:r w:rsidRPr="008A3965">
        <w:t>on behalf of particular beneficiaries (including</w:t>
      </w:r>
      <w:r w:rsidR="00806E4C">
        <w:t xml:space="preserve"> </w:t>
      </w:r>
      <w:r w:rsidRPr="008A3965">
        <w:t>children)</w:t>
      </w:r>
      <w:r w:rsidR="00533C9B">
        <w:t xml:space="preserve">. </w:t>
      </w:r>
      <w:r>
        <w:t xml:space="preserve">The trustee determines which beneficiaries are to be </w:t>
      </w:r>
      <w:r w:rsidR="0028393F">
        <w:t xml:space="preserve">made </w:t>
      </w:r>
      <w:r>
        <w:t xml:space="preserve">presently entitled to the income of the trust and the beneficiary pays tax </w:t>
      </w:r>
      <w:r w:rsidR="00A14B82">
        <w:t>base</w:t>
      </w:r>
      <w:r w:rsidR="00D770E9">
        <w:t>d</w:t>
      </w:r>
      <w:r w:rsidR="00A14B82">
        <w:t xml:space="preserve"> </w:t>
      </w:r>
      <w:r>
        <w:t>on that entitlement at their marginal tax</w:t>
      </w:r>
      <w:r w:rsidR="00D242B2">
        <w:t> </w:t>
      </w:r>
      <w:r>
        <w:t>rate.</w:t>
      </w:r>
    </w:p>
    <w:p w14:paraId="1A3C4E99" w14:textId="0EF19FF7" w:rsidR="00D4696E" w:rsidRDefault="00E3051D" w:rsidP="00D4696E">
      <w:r>
        <w:t>Under these changes,</w:t>
      </w:r>
      <w:r w:rsidR="00D4696E" w:rsidDel="00E3051D">
        <w:t xml:space="preserve"> </w:t>
      </w:r>
      <w:r>
        <w:t>the</w:t>
      </w:r>
      <w:r w:rsidR="00D4696E">
        <w:t xml:space="preserve"> trustee of a discretionary trust will continue to determine the trust income </w:t>
      </w:r>
      <w:r w:rsidR="007F48BB">
        <w:t xml:space="preserve">that </w:t>
      </w:r>
      <w:r w:rsidR="00D4696E">
        <w:t>beneficiaries are entitled to each year, and beneficiaries will continue to be responsible for including trust distributions in their</w:t>
      </w:r>
      <w:r w:rsidR="00806E4C">
        <w:t> </w:t>
      </w:r>
      <w:r w:rsidR="00D4696E">
        <w:t>income tax returns</w:t>
      </w:r>
      <w:r w:rsidR="00533C9B">
        <w:t xml:space="preserve">. </w:t>
      </w:r>
    </w:p>
    <w:p w14:paraId="169FF5B6" w14:textId="19327794" w:rsidR="00D4696E" w:rsidRDefault="00D4696E" w:rsidP="00D4696E">
      <w:r>
        <w:t>However, the trustee will now pay 30</w:t>
      </w:r>
      <w:r w:rsidR="00655821">
        <w:t> </w:t>
      </w:r>
      <w:r>
        <w:t>per</w:t>
      </w:r>
      <w:r w:rsidR="0043238C">
        <w:t> </w:t>
      </w:r>
      <w:r>
        <w:t xml:space="preserve">cent tax on </w:t>
      </w:r>
      <w:r w:rsidR="00981702">
        <w:t xml:space="preserve">the </w:t>
      </w:r>
      <w:r>
        <w:t>taxable income of the trust</w:t>
      </w:r>
      <w:r w:rsidR="002F1FFA">
        <w:t xml:space="preserve"> (</w:t>
      </w:r>
      <w:r w:rsidR="00A26697">
        <w:t>unless</w:t>
      </w:r>
      <w:r w:rsidR="002F1FFA">
        <w:t xml:space="preserve"> </w:t>
      </w:r>
      <w:r w:rsidR="00024D43">
        <w:t>higher</w:t>
      </w:r>
      <w:r w:rsidR="002F1FFA">
        <w:t xml:space="preserve"> rates apply)</w:t>
      </w:r>
      <w:r w:rsidR="00533C9B">
        <w:t xml:space="preserve">. </w:t>
      </w:r>
      <w:r>
        <w:t>Individuals and other non</w:t>
      </w:r>
      <w:r w:rsidR="00533C9B">
        <w:noBreakHyphen/>
      </w:r>
      <w:r>
        <w:t>corporate beneficiaries will receive non</w:t>
      </w:r>
      <w:r w:rsidR="00533C9B">
        <w:noBreakHyphen/>
      </w:r>
      <w:r>
        <w:t>refundable tax credits for the tax payable by the trustee, which reduces their income tax payable</w:t>
      </w:r>
      <w:r w:rsidR="00533C9B">
        <w:t xml:space="preserve">. </w:t>
      </w:r>
      <w:r w:rsidR="002940E0">
        <w:t xml:space="preserve">This </w:t>
      </w:r>
      <w:r w:rsidR="00F313A2">
        <w:t xml:space="preserve">recognises the tax already paid, while </w:t>
      </w:r>
      <w:r w:rsidR="002940E0">
        <w:t>ensur</w:t>
      </w:r>
      <w:r w:rsidR="00F313A2">
        <w:t>ing</w:t>
      </w:r>
      <w:r w:rsidR="002940E0">
        <w:t xml:space="preserve"> the tax paid </w:t>
      </w:r>
      <w:r w:rsidR="00C534C1">
        <w:t xml:space="preserve">on that income </w:t>
      </w:r>
      <w:r w:rsidR="00291068">
        <w:t xml:space="preserve">is not lower than </w:t>
      </w:r>
      <w:r w:rsidR="00150DAB">
        <w:t>30</w:t>
      </w:r>
      <w:r w:rsidR="004E6A9C">
        <w:t> </w:t>
      </w:r>
      <w:r w:rsidR="00150DAB">
        <w:t>per</w:t>
      </w:r>
      <w:r w:rsidR="004E6A9C">
        <w:t> </w:t>
      </w:r>
      <w:r w:rsidR="00150DAB">
        <w:t>cent</w:t>
      </w:r>
      <w:r w:rsidR="00533C9B">
        <w:t xml:space="preserve">. </w:t>
      </w:r>
    </w:p>
    <w:p w14:paraId="11A20E74" w14:textId="0161E07A" w:rsidR="00D4696E" w:rsidRDefault="00D4696E" w:rsidP="00D4696E">
      <w:r>
        <w:t>Trustees will be required to calculate, report and pay the minimum tax, as well as to notify beneficiaries of their entitlements and associated tax credits</w:t>
      </w:r>
      <w:r w:rsidR="00533C9B">
        <w:t xml:space="preserve">. </w:t>
      </w:r>
      <w:r>
        <w:t>The mechanism for collecting the minimum tax will be subject to consultation, but is expected to be consistent with established collection mechanisms.</w:t>
      </w:r>
    </w:p>
    <w:p w14:paraId="5A50233E" w14:textId="2E8ED7F5" w:rsidR="00D4696E" w:rsidRDefault="00D4696E" w:rsidP="00273B4D">
      <w:pPr>
        <w:keepNext/>
      </w:pPr>
      <w:r>
        <w:t>To ensure the use of refundable franking credits does not undermine the minimum tax:</w:t>
      </w:r>
    </w:p>
    <w:p w14:paraId="4F64E64D" w14:textId="148F9460" w:rsidR="00D4696E" w:rsidRDefault="00D4696E" w:rsidP="00273B4D">
      <w:pPr>
        <w:pStyle w:val="Bullet"/>
        <w:keepNext/>
      </w:pPr>
      <w:r>
        <w:t>trust</w:t>
      </w:r>
      <w:r w:rsidR="001D0AAD">
        <w:t>ee</w:t>
      </w:r>
      <w:r>
        <w:t>s that receive franked dividends will be required to use their franking credits to pay the minimum tax; and</w:t>
      </w:r>
    </w:p>
    <w:p w14:paraId="6CE3FD93" w14:textId="20617241" w:rsidR="00D4696E" w:rsidRDefault="00D4696E" w:rsidP="00D4696E">
      <w:pPr>
        <w:pStyle w:val="Bullet"/>
      </w:pPr>
      <w:r>
        <w:t>corporate beneficiaries will not receive non</w:t>
      </w:r>
      <w:r w:rsidR="00533C9B">
        <w:noBreakHyphen/>
      </w:r>
      <w:r>
        <w:t>refundable credits for tax payable by the trustee, to avoid them converting these to refundable franking credits</w:t>
      </w:r>
      <w:r w:rsidR="0044573C">
        <w:t xml:space="preserve"> to avoid the minimum tax</w:t>
      </w:r>
      <w:r>
        <w:t>.</w:t>
      </w:r>
    </w:p>
    <w:p w14:paraId="0ABFC86B" w14:textId="05D37F34" w:rsidR="00DD6760" w:rsidRDefault="00D4696E" w:rsidP="00D4696E">
      <w:r>
        <w:t>Key aspects of the changes will be finalised following consultation with stakeholders</w:t>
      </w:r>
      <w:r w:rsidR="00533C9B">
        <w:t xml:space="preserve">. </w:t>
      </w:r>
      <w:r>
        <w:t>As well as the mechanism for collecting the minimum tax, stakeholder views will also be sought on how the trustee uses franking credits that exceed the minimum tax liability</w:t>
      </w:r>
      <w:r w:rsidR="00FB343D">
        <w:t>,</w:t>
      </w:r>
      <w:r>
        <w:t xml:space="preserve"> and on the rollover relief provided to support restructuring.</w:t>
      </w:r>
    </w:p>
    <w:p w14:paraId="494DE55F" w14:textId="1BE368C1" w:rsidR="00DD6760" w:rsidRDefault="00D4696E" w:rsidP="00D4696E">
      <w:pPr>
        <w:pStyle w:val="Heading3"/>
      </w:pPr>
      <w:r>
        <w:t>Rollover relief</w:t>
      </w:r>
    </w:p>
    <w:p w14:paraId="0C04E79D" w14:textId="77777777" w:rsidR="006234BB" w:rsidRDefault="006234BB" w:rsidP="006234BB">
      <w:r>
        <w:t>Rollover relief will be available to assist small businesses and others that wish to restructure out of a discretionary trust into other arrangements, such as a company or a fixed trust.</w:t>
      </w:r>
    </w:p>
    <w:p w14:paraId="333628F5" w14:textId="29DE174C" w:rsidR="006234BB" w:rsidRDefault="006234BB" w:rsidP="006234BB">
      <w:r>
        <w:t>This will provide expanded relief from income tax consequences, including capital gains tax, for those who choose to restructure, and will be available for three years from 1</w:t>
      </w:r>
      <w:r w:rsidR="00FF1160">
        <w:t> </w:t>
      </w:r>
      <w:r>
        <w:t>July</w:t>
      </w:r>
      <w:r w:rsidR="00FF1160">
        <w:t> </w:t>
      </w:r>
      <w:r>
        <w:t>2027.</w:t>
      </w:r>
    </w:p>
    <w:p w14:paraId="31B9A555" w14:textId="59E47BCA" w:rsidR="006234BB" w:rsidRDefault="006234BB" w:rsidP="006234BB">
      <w:r>
        <w:t>From 1</w:t>
      </w:r>
      <w:r w:rsidR="00D032EE">
        <w:t> </w:t>
      </w:r>
      <w:r>
        <w:t>January</w:t>
      </w:r>
      <w:r w:rsidR="00D032EE">
        <w:t> </w:t>
      </w:r>
      <w:r>
        <w:t>2027, the Australian Small Business and Family Enterprise Ombudsman will be available to assist small business</w:t>
      </w:r>
      <w:r w:rsidR="00A63166">
        <w:t>es</w:t>
      </w:r>
      <w:r>
        <w:t xml:space="preserve"> </w:t>
      </w:r>
      <w:r w:rsidR="00895D1E">
        <w:t xml:space="preserve">to </w:t>
      </w:r>
      <w:r>
        <w:t>understand the options available to them and where they can get further advice</w:t>
      </w:r>
      <w:r w:rsidR="00533C9B">
        <w:t xml:space="preserve">. </w:t>
      </w:r>
      <w:r>
        <w:t>Specific arrangements will be put in place by the Australian</w:t>
      </w:r>
      <w:r w:rsidR="00916451">
        <w:t> </w:t>
      </w:r>
      <w:r>
        <w:t>Securities and Investments Commission to support small businesses that wish to</w:t>
      </w:r>
      <w:r w:rsidR="00916451">
        <w:t> </w:t>
      </w:r>
      <w:r>
        <w:t>incorporate.</w:t>
      </w:r>
    </w:p>
    <w:p w14:paraId="6C3BAC26" w14:textId="136D1247" w:rsidR="00435340" w:rsidRDefault="007C0913" w:rsidP="00435340">
      <w:pPr>
        <w:pStyle w:val="Heading3"/>
      </w:pPr>
      <w:r>
        <w:br w:type="column"/>
      </w:r>
      <w:r w:rsidR="00435340">
        <w:lastRenderedPageBreak/>
        <w:t>Exclusions</w:t>
      </w:r>
    </w:p>
    <w:p w14:paraId="3C009FC1" w14:textId="77777777" w:rsidR="008E36E3" w:rsidRDefault="008E36E3" w:rsidP="008E36E3">
      <w:r>
        <w:t>The minimum tax will not apply to other types of trusts such as fixed and widely held trusts, complying superannuation funds, special disability trusts, deceased estates and charitable trusts.</w:t>
      </w:r>
    </w:p>
    <w:p w14:paraId="4ED0FCB2" w14:textId="353C156A" w:rsidR="00435340" w:rsidRDefault="008E36E3" w:rsidP="008E36E3">
      <w:r>
        <w:t>Some types of income such as primary production income, certain income relating to vulnerable minors, amounts to which non</w:t>
      </w:r>
      <w:r w:rsidR="00533C9B">
        <w:noBreakHyphen/>
      </w:r>
      <w:r>
        <w:t>resident withholding tax applies, and income from assets of testamentary trusts existing at announcement will also be excluded.</w:t>
      </w:r>
    </w:p>
    <w:p w14:paraId="4B4171B5" w14:textId="0DC2516C" w:rsidR="008E36E3" w:rsidRDefault="008E36E3" w:rsidP="008E36E3">
      <w:pPr>
        <w:pStyle w:val="Heading3"/>
      </w:pPr>
      <w:r>
        <w:t>Policy impact</w:t>
      </w:r>
    </w:p>
    <w:p w14:paraId="5D649610" w14:textId="410C0AB0" w:rsidR="008E36E3" w:rsidRDefault="00F43E0A" w:rsidP="008E36E3">
      <w:pPr>
        <w:pStyle w:val="Heading4"/>
      </w:pPr>
      <w:r>
        <w:t>Trustees and i</w:t>
      </w:r>
      <w:r w:rsidR="008E36E3">
        <w:t xml:space="preserve">ndividuals </w:t>
      </w:r>
    </w:p>
    <w:p w14:paraId="1987DFF1" w14:textId="7A72863F" w:rsidR="00F43E0A" w:rsidRDefault="00F43E0A" w:rsidP="00F43E0A">
      <w:r>
        <w:t>All trustees of discretionary trusts in scope will be required to pay the minimum tax, but where a trust is already distributing to non</w:t>
      </w:r>
      <w:r w:rsidR="00533C9B">
        <w:noBreakHyphen/>
      </w:r>
      <w:r>
        <w:t>corporate beneficiaries with a tax rate of 30 per cent or higher there will be no overall increase in tax paid</w:t>
      </w:r>
      <w:r w:rsidR="00533C9B">
        <w:t xml:space="preserve">. </w:t>
      </w:r>
    </w:p>
    <w:p w14:paraId="0CA6CDF6" w14:textId="3AB42379" w:rsidR="00F43E0A" w:rsidRDefault="00657DB5" w:rsidP="00F43E0A">
      <w:r>
        <w:t>A</w:t>
      </w:r>
      <w:r w:rsidR="009D727D">
        <w:t>round half of discretionary trusts</w:t>
      </w:r>
      <w:r w:rsidR="005A72E7">
        <w:t xml:space="preserve"> are</w:t>
      </w:r>
      <w:r w:rsidR="00857559">
        <w:t xml:space="preserve"> not expected to be affected</w:t>
      </w:r>
      <w:r w:rsidR="009D727D">
        <w:t xml:space="preserve"> in any given year</w:t>
      </w:r>
      <w:r w:rsidR="00533C9B">
        <w:t xml:space="preserve">. </w:t>
      </w:r>
      <w:r w:rsidR="00857559">
        <w:t>Those that are affected</w:t>
      </w:r>
      <w:r w:rsidR="00F43E0A">
        <w:t xml:space="preserve"> may restructure into a company or fixed trust structure not subject to the minimum tax, or</w:t>
      </w:r>
      <w:r w:rsidR="00D245DC">
        <w:t xml:space="preserve"> </w:t>
      </w:r>
      <w:r w:rsidR="00F43E0A">
        <w:t>make different decisions about the distribution of income to beneficiaries</w:t>
      </w:r>
      <w:r w:rsidR="00857559">
        <w:t xml:space="preserve"> to reduce their tax </w:t>
      </w:r>
      <w:r w:rsidR="006323B8">
        <w:t>liability</w:t>
      </w:r>
      <w:r w:rsidR="00533C9B">
        <w:t xml:space="preserve">. </w:t>
      </w:r>
    </w:p>
    <w:p w14:paraId="7A0352A3" w14:textId="6E588F3F" w:rsidR="001E440D" w:rsidRDefault="00954FD1" w:rsidP="001E440D">
      <w:r>
        <w:t>More than 95 per cent of individual taxfilers will not be affected by these changes</w:t>
      </w:r>
      <w:r w:rsidR="001476C2">
        <w:t xml:space="preserve"> in any given year</w:t>
      </w:r>
      <w:r w:rsidR="00533C9B">
        <w:t xml:space="preserve">. </w:t>
      </w:r>
      <w:r w:rsidR="001E440D">
        <w:t>Around</w:t>
      </w:r>
      <w:r w:rsidR="00C662C1">
        <w:t xml:space="preserve"> </w:t>
      </w:r>
      <w:r w:rsidR="004311CE">
        <w:t>810,000 adults</w:t>
      </w:r>
      <w:r w:rsidR="00955E3E">
        <w:t>,</w:t>
      </w:r>
      <w:r w:rsidR="004311CE">
        <w:t xml:space="preserve"> </w:t>
      </w:r>
      <w:r w:rsidR="001E440D">
        <w:t>or 5 per cent of individual taxfilers</w:t>
      </w:r>
      <w:r w:rsidR="0097360F">
        <w:t>,</w:t>
      </w:r>
      <w:r w:rsidR="004311CE">
        <w:t xml:space="preserve"> </w:t>
      </w:r>
      <w:r w:rsidR="001E440D">
        <w:t>receive</w:t>
      </w:r>
      <w:r w:rsidR="00DC0ECD">
        <w:t>d</w:t>
      </w:r>
      <w:r w:rsidR="001E440D">
        <w:t xml:space="preserve"> distributions from discretionary trusts</w:t>
      </w:r>
      <w:r w:rsidR="00DC0ECD">
        <w:t xml:space="preserve"> in 2022</w:t>
      </w:r>
      <w:r w:rsidR="00272839" w:rsidRPr="006237D0">
        <w:t>–</w:t>
      </w:r>
      <w:r w:rsidR="00DC0ECD">
        <w:t>23</w:t>
      </w:r>
      <w:r w:rsidR="00F36126">
        <w:t>,</w:t>
      </w:r>
      <w:r w:rsidR="00F36126" w:rsidRPr="00F36126">
        <w:t xml:space="preserve"> </w:t>
      </w:r>
      <w:r w:rsidR="00F36126">
        <w:t>plus 120,000 non</w:t>
      </w:r>
      <w:r w:rsidR="00533C9B">
        <w:noBreakHyphen/>
      </w:r>
      <w:r w:rsidR="00F36126">
        <w:t>filers</w:t>
      </w:r>
      <w:r w:rsidR="00542927">
        <w:t>,</w:t>
      </w:r>
      <w:r w:rsidR="00F36126">
        <w:t xml:space="preserve"> who are predominantly minors</w:t>
      </w:r>
      <w:r w:rsidR="00533C9B">
        <w:t xml:space="preserve">. </w:t>
      </w:r>
    </w:p>
    <w:p w14:paraId="6567BBF2" w14:textId="79A06023" w:rsidR="00B9457F" w:rsidRDefault="001E440D" w:rsidP="009129F1">
      <w:r>
        <w:t>Since the financial benefit of income splitting goes to the primary earner in most cases, the minimum tax will primarily align the tax rates of the high</w:t>
      </w:r>
      <w:r w:rsidR="00533C9B">
        <w:noBreakHyphen/>
      </w:r>
      <w:r>
        <w:t>income primary earner more closely to wage and salary earners on similar incomes</w:t>
      </w:r>
      <w:r w:rsidR="00533C9B">
        <w:t xml:space="preserve">. </w:t>
      </w:r>
    </w:p>
    <w:p w14:paraId="3A8F7372" w14:textId="6AC87816" w:rsidR="001E440D" w:rsidRDefault="007C0913" w:rsidP="00462238">
      <w:pPr>
        <w:pStyle w:val="Heading4"/>
      </w:pPr>
      <w:r>
        <w:br w:type="column"/>
      </w:r>
      <w:r w:rsidR="001E440D">
        <w:t>Small businesses</w:t>
      </w:r>
    </w:p>
    <w:p w14:paraId="5C16536A" w14:textId="472B1F7A" w:rsidR="00394A77" w:rsidRDefault="00394A77" w:rsidP="00394A77">
      <w:r>
        <w:t xml:space="preserve">Around 350,000 </w:t>
      </w:r>
      <w:r w:rsidR="003F07C0">
        <w:t xml:space="preserve">active </w:t>
      </w:r>
      <w:r>
        <w:t>small businesses</w:t>
      </w:r>
      <w:r w:rsidR="00043B1D">
        <w:t xml:space="preserve"> </w:t>
      </w:r>
      <w:r w:rsidR="004B19FB">
        <w:t>(</w:t>
      </w:r>
      <w:r w:rsidR="008D2E50">
        <w:t>less than</w:t>
      </w:r>
      <w:r>
        <w:t xml:space="preserve"> 1</w:t>
      </w:r>
      <w:r w:rsidR="009A1F67">
        <w:t>5</w:t>
      </w:r>
      <w:r w:rsidR="00A83F30">
        <w:t> </w:t>
      </w:r>
      <w:r>
        <w:t>per</w:t>
      </w:r>
      <w:r w:rsidR="00A83F30">
        <w:t> </w:t>
      </w:r>
      <w:r>
        <w:t xml:space="preserve">cent of all </w:t>
      </w:r>
      <w:r w:rsidR="00320266">
        <w:t xml:space="preserve">active </w:t>
      </w:r>
      <w:r w:rsidR="00432222">
        <w:t xml:space="preserve">small </w:t>
      </w:r>
      <w:r>
        <w:t>businesses</w:t>
      </w:r>
      <w:r w:rsidR="004B19FB">
        <w:t>)</w:t>
      </w:r>
      <w:r>
        <w:t xml:space="preserve"> operate through a </w:t>
      </w:r>
      <w:r w:rsidR="00385EC3">
        <w:t xml:space="preserve">discretionary </w:t>
      </w:r>
      <w:r>
        <w:t>trust structure</w:t>
      </w:r>
      <w:r w:rsidR="00533C9B">
        <w:t xml:space="preserve">. </w:t>
      </w:r>
      <w:r w:rsidR="00952110">
        <w:t xml:space="preserve">Of </w:t>
      </w:r>
      <w:r w:rsidR="004B19FB">
        <w:t>these</w:t>
      </w:r>
      <w:r w:rsidR="006450DB" w:rsidRPr="000C78CB">
        <w:t xml:space="preserve">, </w:t>
      </w:r>
      <w:r w:rsidR="006450DB" w:rsidRPr="000C78CB">
        <w:rPr>
          <w:szCs w:val="22"/>
        </w:rPr>
        <w:t>40</w:t>
      </w:r>
      <w:r w:rsidR="006450DB" w:rsidRPr="00DF5250">
        <w:rPr>
          <w:szCs w:val="22"/>
        </w:rPr>
        <w:t xml:space="preserve"> per cent </w:t>
      </w:r>
      <w:r w:rsidR="00A2135B">
        <w:rPr>
          <w:szCs w:val="22"/>
        </w:rPr>
        <w:t xml:space="preserve">(140,000) </w:t>
      </w:r>
      <w:r w:rsidR="006450DB" w:rsidRPr="00DF5250">
        <w:rPr>
          <w:szCs w:val="22"/>
        </w:rPr>
        <w:t>are not expected to pay additional tax or</w:t>
      </w:r>
      <w:r w:rsidR="006450DB" w:rsidRPr="000C14AB">
        <w:rPr>
          <w:szCs w:val="22"/>
        </w:rPr>
        <w:t xml:space="preserve"> </w:t>
      </w:r>
      <w:r w:rsidR="006450DB" w:rsidRPr="00DF5250">
        <w:rPr>
          <w:szCs w:val="22"/>
        </w:rPr>
        <w:t>need to restructure</w:t>
      </w:r>
      <w:r w:rsidR="00264A14">
        <w:rPr>
          <w:szCs w:val="22"/>
        </w:rPr>
        <w:t xml:space="preserve"> in any given year</w:t>
      </w:r>
      <w:r w:rsidR="00533C9B">
        <w:rPr>
          <w:szCs w:val="22"/>
        </w:rPr>
        <w:t xml:space="preserve">. </w:t>
      </w:r>
      <w:r>
        <w:t xml:space="preserve">As a result, </w:t>
      </w:r>
      <w:r w:rsidR="006A7BB7">
        <w:t xml:space="preserve">more than </w:t>
      </w:r>
      <w:r>
        <w:t>9</w:t>
      </w:r>
      <w:r w:rsidR="006A7BB7">
        <w:t>0</w:t>
      </w:r>
      <w:r>
        <w:t xml:space="preserve"> per cent of all small businesses </w:t>
      </w:r>
      <w:r w:rsidR="00264A14">
        <w:t xml:space="preserve">in any given year </w:t>
      </w:r>
      <w:r>
        <w:t>will not be affected by these changes.</w:t>
      </w:r>
    </w:p>
    <w:p w14:paraId="248C694E" w14:textId="77777777" w:rsidR="007C0913" w:rsidRDefault="00394A77" w:rsidP="00394A77">
      <w:r>
        <w:t>Small businesses sometimes use trust structures for tax reasons, despite the drawbacks of trusts for running a business</w:t>
      </w:r>
      <w:r w:rsidR="00533C9B">
        <w:t xml:space="preserve">. </w:t>
      </w:r>
      <w:r>
        <w:t>For example, trusts do not provide a simple way to retain earnings and have more difficulties accessing debt financing or attracting equity finance</w:t>
      </w:r>
      <w:r w:rsidR="00533C9B">
        <w:t xml:space="preserve">. </w:t>
      </w:r>
    </w:p>
    <w:p w14:paraId="71571B70" w14:textId="539E5253" w:rsidR="00394A77" w:rsidRDefault="00394A77" w:rsidP="00394A77">
      <w:r>
        <w:t>Small businesses will be able to reduce the impact of the minimum tax by employing beneficiaries working in the business, rather than paying them a trust distribution</w:t>
      </w:r>
      <w:r w:rsidR="00533C9B">
        <w:t xml:space="preserve">. </w:t>
      </w:r>
      <w:r>
        <w:t>Payments of salary or wages to employees will not attract the minimum tax.</w:t>
      </w:r>
    </w:p>
    <w:p w14:paraId="35C482B0" w14:textId="77777777" w:rsidR="00394A77" w:rsidRDefault="00394A77" w:rsidP="00394A77">
      <w:r>
        <w:t>Alternatively, small businesses could choose to restructure their operations, for example into a company or a fixed trust.</w:t>
      </w:r>
    </w:p>
    <w:p w14:paraId="4ED65C19" w14:textId="77777777" w:rsidR="00394A77" w:rsidRDefault="00394A77" w:rsidP="00394A77">
      <w:r>
        <w:t>Rollover relief will facilitate restructuring by ensuring there are no income tax consequences, including capital gains tax, for those that wish to move out of discretionary trust structures.</w:t>
      </w:r>
    </w:p>
    <w:p w14:paraId="109813D6" w14:textId="491B4B33" w:rsidR="00394A77" w:rsidRDefault="00394A77" w:rsidP="00394A77">
      <w:r>
        <w:t>Small businesses that choose to restructure into a company will benefit from access to dividend imputation and a lower 25 per cent corporate tax rate where their aggregated annual turnover is less than $50 million and no more than 80 per cent of their assessable income is passive income</w:t>
      </w:r>
      <w:r w:rsidR="00533C9B">
        <w:t xml:space="preserve">. </w:t>
      </w:r>
      <w:r>
        <w:t>Companies also provide simpler ways to retain earnings, to access debt financing and to introduce new equity.</w:t>
      </w:r>
    </w:p>
    <w:p w14:paraId="353DA9AC" w14:textId="7EFC2615" w:rsidR="00394A77" w:rsidRDefault="00394A77" w:rsidP="00394A77">
      <w:r>
        <w:t>Restructuring into a fixed trust will allow a business to retain the benefits of a trust structure while providing beneficiaries with more certain entitlements</w:t>
      </w:r>
      <w:r w:rsidR="00533C9B">
        <w:t xml:space="preserve">. </w:t>
      </w:r>
    </w:p>
    <w:p w14:paraId="17F025CC" w14:textId="41BAF32D" w:rsidR="00394A77" w:rsidRDefault="007C0913" w:rsidP="00394A77">
      <w:pPr>
        <w:pStyle w:val="Heading4"/>
      </w:pPr>
      <w:r>
        <w:br w:type="column"/>
      </w:r>
      <w:r w:rsidR="00394A77">
        <w:lastRenderedPageBreak/>
        <w:t>Corporate beneficiaries</w:t>
      </w:r>
    </w:p>
    <w:p w14:paraId="36C46C32" w14:textId="0BFA5F45" w:rsidR="00DB541C" w:rsidRDefault="00DB541C" w:rsidP="00DB541C">
      <w:r>
        <w:t>Trusts can distribute to corporate beneficiaries that have access to corporate tax rates and franking credits, and which can be used to defer tax for underlying shareholders, who are often also trust beneficiaries</w:t>
      </w:r>
      <w:r w:rsidR="00533C9B">
        <w:t xml:space="preserve">. </w:t>
      </w:r>
    </w:p>
    <w:p w14:paraId="4863054A" w14:textId="201B5910" w:rsidR="00BF174F" w:rsidRDefault="00DB541C" w:rsidP="00DB541C">
      <w:r>
        <w:t>Under the minimum tax, corporate beneficiaries will be assessed based on the trust income to which they are entitled, without being able to claim credits for tax payable by the trustee</w:t>
      </w:r>
      <w:r w:rsidR="00533C9B">
        <w:t xml:space="preserve">. </w:t>
      </w:r>
      <w:r>
        <w:t xml:space="preserve">This will ensure the minimum tax cannot be avoided by cycling income through a </w:t>
      </w:r>
      <w:r w:rsidR="00533C9B">
        <w:t>‘</w:t>
      </w:r>
      <w:r>
        <w:t>bucket</w:t>
      </w:r>
      <w:r w:rsidR="00533C9B">
        <w:t>’</w:t>
      </w:r>
      <w:r>
        <w:t xml:space="preserve"> company</w:t>
      </w:r>
      <w:r w:rsidR="00533C9B">
        <w:t xml:space="preserve">. </w:t>
      </w:r>
    </w:p>
    <w:p w14:paraId="24B9DBC8" w14:textId="4157E709" w:rsidR="00DB541C" w:rsidRDefault="00ED0803" w:rsidP="00DB541C">
      <w:r>
        <w:t xml:space="preserve">Around </w:t>
      </w:r>
      <w:r w:rsidR="00D706E9">
        <w:t xml:space="preserve">94 </w:t>
      </w:r>
      <w:r w:rsidR="00D70A2E">
        <w:t>per cent of companies d</w:t>
      </w:r>
      <w:r w:rsidR="00ED5C7C">
        <w:t xml:space="preserve">id not receive a </w:t>
      </w:r>
      <w:r w:rsidR="00C41C38">
        <w:t>distribution from a discretionary trust in 2022</w:t>
      </w:r>
      <w:r w:rsidR="00EE0F63" w:rsidRPr="006237D0">
        <w:t>–</w:t>
      </w:r>
      <w:r w:rsidR="00C41C38">
        <w:t>23</w:t>
      </w:r>
      <w:r w:rsidR="00533C9B">
        <w:t xml:space="preserve">. </w:t>
      </w:r>
      <w:r w:rsidR="00DB541C">
        <w:t xml:space="preserve">Australian Taxation Office data </w:t>
      </w:r>
      <w:r w:rsidR="00DB541C" w:rsidDel="00BF76D3">
        <w:t>indicates</w:t>
      </w:r>
      <w:r w:rsidR="00DB541C">
        <w:t xml:space="preserve"> that </w:t>
      </w:r>
      <w:r w:rsidR="005D44E5">
        <w:t xml:space="preserve">of </w:t>
      </w:r>
      <w:r w:rsidR="008450D5">
        <w:t>the</w:t>
      </w:r>
      <w:r w:rsidR="00DB541C">
        <w:t xml:space="preserve"> </w:t>
      </w:r>
      <w:r w:rsidR="00D00ED9">
        <w:t xml:space="preserve">80,000 </w:t>
      </w:r>
      <w:r w:rsidR="002B07C6">
        <w:t>companies receiving distributions</w:t>
      </w:r>
      <w:r w:rsidR="00693CBB">
        <w:t xml:space="preserve">, </w:t>
      </w:r>
      <w:r w:rsidR="00DB541C">
        <w:t>83</w:t>
      </w:r>
      <w:r w:rsidR="003A42A5">
        <w:t> </w:t>
      </w:r>
      <w:r w:rsidR="00DB541C">
        <w:t>per</w:t>
      </w:r>
      <w:r w:rsidR="003A42A5">
        <w:t> </w:t>
      </w:r>
      <w:r w:rsidR="00DB541C">
        <w:t>cen</w:t>
      </w:r>
      <w:r w:rsidR="00082452">
        <w:t>t</w:t>
      </w:r>
      <w:r w:rsidR="00DB541C">
        <w:t xml:space="preserve"> d</w:t>
      </w:r>
      <w:r w:rsidR="005D66BA">
        <w:t>id</w:t>
      </w:r>
      <w:r w:rsidR="00DB541C">
        <w:t xml:space="preserve"> not have evidence of business activity, </w:t>
      </w:r>
      <w:r w:rsidR="000F544F">
        <w:t>suggesting</w:t>
      </w:r>
      <w:r w:rsidR="00DB541C">
        <w:t xml:space="preserve"> they operate primarily for tax purposes.</w:t>
      </w:r>
    </w:p>
    <w:p w14:paraId="68EE874E" w14:textId="14A06946" w:rsidR="007076F2" w:rsidRDefault="00DB541C" w:rsidP="00546976">
      <w:r>
        <w:t xml:space="preserve">The introduction of the minimum tax will reduce the incentive for trustees to distribute to </w:t>
      </w:r>
      <w:r w:rsidRPr="00FC6540">
        <w:t>corporate beneficiaries set up just to receive trust distributions from discretionary trusts</w:t>
      </w:r>
      <w:r w:rsidR="00533C9B">
        <w:t xml:space="preserve">. </w:t>
      </w:r>
      <w:r w:rsidR="00CB4175">
        <w:t>This</w:t>
      </w:r>
      <w:r w:rsidR="00322FA6">
        <w:t xml:space="preserve"> will discourage the use of structures that add complexity to the tax system and compliance costs for taxpayers.</w:t>
      </w:r>
    </w:p>
    <w:p w14:paraId="443A21B3" w14:textId="25D5FD5F" w:rsidR="007076F2" w:rsidRPr="003E65EC" w:rsidRDefault="007C0913" w:rsidP="007076F2">
      <w:pPr>
        <w:rPr>
          <w:rStyle w:val="Heading3Char"/>
        </w:rPr>
      </w:pPr>
      <w:r>
        <w:rPr>
          <w:rStyle w:val="Heading3Char"/>
        </w:rPr>
        <w:br w:type="column"/>
      </w:r>
      <w:r w:rsidR="007076F2" w:rsidRPr="003E65EC">
        <w:rPr>
          <w:rStyle w:val="Heading3Char"/>
        </w:rPr>
        <w:t>International comparisons</w:t>
      </w:r>
    </w:p>
    <w:p w14:paraId="72771BFE" w14:textId="5ABA90E0" w:rsidR="006237D0" w:rsidRDefault="006237D0" w:rsidP="006237D0">
      <w:r w:rsidRPr="006237D0">
        <w:t>Australia has a high use of trusts compared with jurisdictions with similar tax systems</w:t>
      </w:r>
      <w:r w:rsidR="00533C9B">
        <w:t xml:space="preserve">. </w:t>
      </w:r>
    </w:p>
    <w:p w14:paraId="29EE9D75" w14:textId="6446E6B2" w:rsidR="006C35BE" w:rsidRPr="006237D0" w:rsidRDefault="006237D0">
      <w:r w:rsidRPr="006237D0">
        <w:t xml:space="preserve">In 2022–23, there were more than </w:t>
      </w:r>
      <w:r w:rsidR="006D7FD6">
        <w:t>one</w:t>
      </w:r>
      <w:r w:rsidRPr="006237D0">
        <w:t xml:space="preserve"> million trusts in Australia, or </w:t>
      </w:r>
      <w:r w:rsidR="00D74A9F">
        <w:t>around</w:t>
      </w:r>
      <w:r w:rsidRPr="006237D0">
        <w:t xml:space="preserve"> </w:t>
      </w:r>
      <w:r w:rsidR="00861F48">
        <w:t>40</w:t>
      </w:r>
      <w:r w:rsidRPr="006237D0">
        <w:t> trusts per 1,000</w:t>
      </w:r>
      <w:r w:rsidR="003B18DE">
        <w:t> </w:t>
      </w:r>
      <w:r w:rsidRPr="006237D0">
        <w:t>people</w:t>
      </w:r>
      <w:r w:rsidR="00533C9B">
        <w:t xml:space="preserve">. </w:t>
      </w:r>
      <w:r w:rsidRPr="006237D0">
        <w:t>By comparison, the UK is estimated to have around 2 trusts per 1,000 people, and the US around 9 trusts per 1,000 people</w:t>
      </w:r>
      <w:r w:rsidR="00533C9B">
        <w:t xml:space="preserve">. </w:t>
      </w:r>
      <w:r w:rsidRPr="006237D0">
        <w:t xml:space="preserve">New Zealand has higher use of trusts, estimated at </w:t>
      </w:r>
      <w:r>
        <w:t>around 44</w:t>
      </w:r>
      <w:r w:rsidR="003B18DE">
        <w:t> </w:t>
      </w:r>
      <w:r w:rsidRPr="006237D0">
        <w:t>trusts per 1,000 people.</w:t>
      </w:r>
    </w:p>
    <w:p w14:paraId="6AF3251E" w14:textId="62A575E2" w:rsidR="006237D0" w:rsidRDefault="008E0E75" w:rsidP="006237D0">
      <w:r w:rsidRPr="006237D0">
        <w:t xml:space="preserve">While different jurisdictions use different tax structures for different purposes, </w:t>
      </w:r>
      <w:r w:rsidRPr="005C7088">
        <w:t>the combination of the high use of trusts in Australia, and the availability of the discretionary trust structure to more flexibly tax income at marginal rates, presents challenges for the fairness and sustainability of the tax system</w:t>
      </w:r>
      <w:r>
        <w:t>.</w:t>
      </w:r>
    </w:p>
    <w:p w14:paraId="4AAB6D99" w14:textId="77777777" w:rsidR="0029445F" w:rsidRDefault="0029445F" w:rsidP="00546976"/>
    <w:p w14:paraId="672971E2" w14:textId="60AFA1E9" w:rsidR="007C0913" w:rsidRDefault="007C0913" w:rsidP="00546976">
      <w:pPr>
        <w:sectPr w:rsidR="007C0913" w:rsidSect="00725657">
          <w:headerReference w:type="first" r:id="rId10"/>
          <w:type w:val="continuous"/>
          <w:pgSz w:w="11907" w:h="16840" w:code="9"/>
          <w:pgMar w:top="1985" w:right="1134" w:bottom="1418" w:left="1134" w:header="850" w:footer="567" w:gutter="0"/>
          <w:cols w:num="2" w:space="510"/>
          <w:titlePg/>
          <w:docGrid w:linePitch="360"/>
        </w:sect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39"/>
      </w:tblGrid>
      <w:tr w:rsidR="001372C6" w:rsidRPr="00533C9B" w14:paraId="20BC80DE" w14:textId="77777777" w:rsidTr="001C058C">
        <w:trPr>
          <w:trHeight w:val="1309"/>
        </w:trPr>
        <w:tc>
          <w:tcPr>
            <w:tcW w:w="5000" w:type="pct"/>
            <w:shd w:val="clear" w:color="auto" w:fill="E6F2FF"/>
            <w:tcMar>
              <w:top w:w="170" w:type="dxa"/>
              <w:left w:w="227" w:type="dxa"/>
              <w:bottom w:w="227" w:type="dxa"/>
              <w:right w:w="227" w:type="dxa"/>
            </w:tcMar>
          </w:tcPr>
          <w:p w14:paraId="3AE21154" w14:textId="77199987" w:rsidR="00F76784" w:rsidRPr="00533C9B" w:rsidRDefault="4F64D082" w:rsidP="00F76784">
            <w:pPr>
              <w:pStyle w:val="BoxHeading"/>
            </w:pPr>
            <w:r w:rsidRPr="00533C9B">
              <w:lastRenderedPageBreak/>
              <w:t xml:space="preserve">Cameo – using a discretionary trust </w:t>
            </w:r>
            <w:r w:rsidR="297B0B1A" w:rsidRPr="00533C9B">
              <w:t xml:space="preserve">can result in a lower rate of tax </w:t>
            </w:r>
            <w:r w:rsidR="79970DA5" w:rsidRPr="00533C9B">
              <w:t>compared to</w:t>
            </w:r>
            <w:r w:rsidR="297B0B1A" w:rsidRPr="00533C9B">
              <w:t xml:space="preserve"> an ordinary </w:t>
            </w:r>
            <w:r w:rsidR="00F76784" w:rsidRPr="00533C9B" w:rsidDel="4F64D082">
              <w:t>worker</w:t>
            </w:r>
          </w:p>
          <w:p w14:paraId="0DBF920B" w14:textId="5AAAD0E8" w:rsidR="00F76784" w:rsidRPr="00533C9B" w:rsidRDefault="00F76784" w:rsidP="00785530">
            <w:r w:rsidRPr="00533C9B">
              <w:t>Ying is a</w:t>
            </w:r>
            <w:r w:rsidR="000809CA" w:rsidRPr="00533C9B">
              <w:t xml:space="preserve"> youth worker</w:t>
            </w:r>
            <w:r w:rsidRPr="00533C9B">
              <w:t xml:space="preserve"> earning $80,000 in 2028</w:t>
            </w:r>
            <w:r w:rsidR="00953190" w:rsidRPr="00533C9B">
              <w:t>–</w:t>
            </w:r>
            <w:r w:rsidRPr="00533C9B">
              <w:t>29. Ying will pay $15,602 in tax, with a marginal rate of</w:t>
            </w:r>
            <w:r w:rsidR="003115A1">
              <w:t> </w:t>
            </w:r>
            <w:r w:rsidRPr="00533C9B">
              <w:t xml:space="preserve">30 per cent </w:t>
            </w:r>
            <w:r w:rsidR="000F5CDC" w:rsidRPr="00533C9B">
              <w:t>(</w:t>
            </w:r>
            <w:r w:rsidR="007B6E39" w:rsidRPr="00533C9B">
              <w:t>plus</w:t>
            </w:r>
            <w:r w:rsidR="000F5CDC" w:rsidRPr="00533C9B">
              <w:t xml:space="preserve"> Medicare levy)</w:t>
            </w:r>
            <w:r w:rsidRPr="00533C9B">
              <w:t xml:space="preserve"> and an average tax rate of 19.5 per cent.</w:t>
            </w:r>
          </w:p>
          <w:p w14:paraId="09527143" w14:textId="4635C673" w:rsidR="00F76784" w:rsidRPr="00533C9B" w:rsidRDefault="00F76784" w:rsidP="00785530">
            <w:r w:rsidRPr="00533C9B">
              <w:t>Steven earns $200,000 of income from investments through a family discretionary trust. Steven as trustee is able to split the taxable income of $200,000 among his family members. Steven chooses to make himself and each of his three family members, who have no other income, entitled to $50,000 of</w:t>
            </w:r>
            <w:r w:rsidR="003115A1">
              <w:t> </w:t>
            </w:r>
            <w:r w:rsidRPr="00533C9B">
              <w:t>the trust’s income. In total, Steven’s family pays $24,008 tax, an average tax rate of around 12 per</w:t>
            </w:r>
            <w:r w:rsidR="00894162" w:rsidRPr="00533C9B">
              <w:t> </w:t>
            </w:r>
            <w:r w:rsidRPr="00533C9B">
              <w:t>cent.</w:t>
            </w:r>
          </w:p>
          <w:p w14:paraId="51D817C2" w14:textId="7C5E8E79" w:rsidR="00F76784" w:rsidRPr="00533C9B" w:rsidRDefault="00F76784" w:rsidP="00785530">
            <w:r w:rsidRPr="00533C9B">
              <w:t>If Steven had not used a discretionary trust to split his income with his family, he would have paid $59,</w:t>
            </w:r>
            <w:r w:rsidR="00E6371D" w:rsidRPr="00533C9B">
              <w:t>602</w:t>
            </w:r>
            <w:r w:rsidRPr="00533C9B">
              <w:t xml:space="preserve"> in tax. By using a discretionary trust, Steven has reduced his tax liability by $35,</w:t>
            </w:r>
            <w:r w:rsidR="006C1AEA" w:rsidRPr="00533C9B">
              <w:t>594</w:t>
            </w:r>
            <w:r w:rsidRPr="00533C9B">
              <w:t xml:space="preserve"> and</w:t>
            </w:r>
            <w:r w:rsidR="003115A1">
              <w:t> </w:t>
            </w:r>
            <w:r w:rsidRPr="00533C9B">
              <w:t>achieved a tax rate significantly lower than Ying.</w:t>
            </w:r>
          </w:p>
          <w:p w14:paraId="6A145A45" w14:textId="77777777" w:rsidR="00F76784" w:rsidRPr="00533C9B" w:rsidRDefault="00F76784" w:rsidP="00F76784">
            <w:pPr>
              <w:pStyle w:val="BoxHeading"/>
            </w:pPr>
            <w:r w:rsidRPr="00533C9B">
              <w:t>Cameo – comparison to equivalent wage income</w:t>
            </w:r>
          </w:p>
          <w:p w14:paraId="29D7FF61" w14:textId="77777777" w:rsidR="00F76784" w:rsidRPr="00533C9B" w:rsidRDefault="00F76784" w:rsidP="00785530">
            <w:r w:rsidRPr="00533C9B">
              <w:t xml:space="preserve">In 2028–29, Angela has $200,000 in wage income, equal to Steven’s $200,000 in investment income in the example above. </w:t>
            </w:r>
          </w:p>
          <w:p w14:paraId="5E6CFECF" w14:textId="135BD54C" w:rsidR="00F76784" w:rsidRPr="00533C9B" w:rsidRDefault="00F76784" w:rsidP="00785530">
            <w:r w:rsidRPr="00533C9B">
              <w:t>Angela receives her income as a salary and will pay $59,352 in tax, an average tax rate of around 30 per</w:t>
            </w:r>
            <w:r w:rsidR="00533C9B" w:rsidRPr="00533C9B">
              <w:t> </w:t>
            </w:r>
            <w:r w:rsidRPr="00533C9B">
              <w:t>cent.</w:t>
            </w:r>
          </w:p>
          <w:p w14:paraId="6BB1D81B" w14:textId="397ADEBC" w:rsidR="001372C6" w:rsidRPr="00533C9B" w:rsidRDefault="00F76784" w:rsidP="00785530">
            <w:r w:rsidRPr="00533C9B">
              <w:t>With a minimum tax in place, Steven’s trust would pay 30 per cent tax on the $200,000 of investment income, regardless of how this income was distributed. This would bring the total tax paid on Steven’s</w:t>
            </w:r>
            <w:r w:rsidR="005C2EF5">
              <w:t> </w:t>
            </w:r>
            <w:r w:rsidRPr="00533C9B">
              <w:t xml:space="preserve">income to </w:t>
            </w:r>
            <w:r w:rsidR="00535AD5" w:rsidRPr="00533C9B">
              <w:t xml:space="preserve">around </w:t>
            </w:r>
            <w:r w:rsidRPr="00533C9B">
              <w:t xml:space="preserve">the </w:t>
            </w:r>
            <w:r w:rsidR="00535AD5" w:rsidRPr="00533C9B">
              <w:t xml:space="preserve">amount of </w:t>
            </w:r>
            <w:r w:rsidRPr="00533C9B">
              <w:t>tax paid by Angela.</w:t>
            </w:r>
          </w:p>
        </w:tc>
      </w:tr>
    </w:tbl>
    <w:p w14:paraId="7AA87E44" w14:textId="77777777" w:rsidR="001372C6" w:rsidRDefault="001372C6" w:rsidP="001372C6">
      <w:pPr>
        <w:spacing w:before="0" w:after="0"/>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2FF"/>
        <w:tblLook w:val="04A0" w:firstRow="1" w:lastRow="0" w:firstColumn="1" w:lastColumn="0" w:noHBand="0" w:noVBand="1"/>
      </w:tblPr>
      <w:tblGrid>
        <w:gridCol w:w="9639"/>
      </w:tblGrid>
      <w:tr w:rsidR="001372C6" w:rsidRPr="00533C9B" w14:paraId="5D265009" w14:textId="77777777" w:rsidTr="001C058C">
        <w:trPr>
          <w:trHeight w:val="1402"/>
        </w:trPr>
        <w:tc>
          <w:tcPr>
            <w:tcW w:w="5000" w:type="pct"/>
            <w:shd w:val="clear" w:color="auto" w:fill="E6F2FF"/>
            <w:tcMar>
              <w:top w:w="170" w:type="dxa"/>
              <w:left w:w="227" w:type="dxa"/>
              <w:bottom w:w="227" w:type="dxa"/>
              <w:right w:w="227" w:type="dxa"/>
            </w:tcMar>
          </w:tcPr>
          <w:p w14:paraId="2D00EAB2" w14:textId="41C58C18" w:rsidR="001372C6" w:rsidRPr="00533C9B" w:rsidRDefault="001372C6">
            <w:pPr>
              <w:pStyle w:val="BoxHeading"/>
            </w:pPr>
            <w:r w:rsidRPr="00533C9B">
              <w:t>Cam</w:t>
            </w:r>
            <w:r w:rsidR="00FD20D5">
              <w:t>e</w:t>
            </w:r>
            <w:r w:rsidRPr="00533C9B">
              <w:t>o – comparison of tax outcomes of different business structures</w:t>
            </w:r>
          </w:p>
          <w:p w14:paraId="17386909" w14:textId="77777777" w:rsidR="001372C6" w:rsidRPr="00533C9B" w:rsidRDefault="001372C6">
            <w:pPr>
              <w:spacing w:before="0"/>
            </w:pPr>
            <w:r w:rsidRPr="00533C9B">
              <w:t xml:space="preserve">In 2028–29, Kurt and Loretta each earn $300,000 operating small businesses. </w:t>
            </w:r>
          </w:p>
          <w:p w14:paraId="6A2244DA" w14:textId="3B1620C9" w:rsidR="001372C6" w:rsidRPr="00533C9B" w:rsidRDefault="001372C6" w:rsidP="00785530">
            <w:r w:rsidRPr="00533C9B">
              <w:t>Loretta provides her services through a company. Loretta pays herself a salary as an employee of $100,000 and retains the remaining income in the company to build the business. The company pays the small business rate of 25 per cent on this profit. Overall, $72,002 of tax will be paid.</w:t>
            </w:r>
          </w:p>
          <w:p w14:paraId="3FB83D15" w14:textId="2844BB49" w:rsidR="001372C6" w:rsidRPr="00533C9B" w:rsidRDefault="001372C6" w:rsidP="00785530">
            <w:r w:rsidRPr="00533C9B">
              <w:t xml:space="preserve">Kurt provides his services through a family discretionary trust with himself as the trustee. The trust pays Kurt a salary of $100,000 as an employee and has remaining taxable income of $200,000. Kurt makes four of his extended family members, who have no other income, </w:t>
            </w:r>
            <w:r w:rsidR="00DF74A5" w:rsidRPr="00533C9B">
              <w:t xml:space="preserve">each </w:t>
            </w:r>
            <w:r w:rsidRPr="00533C9B">
              <w:t>entitled to $50,000, while retaining the money in the trust to build the business. In total, Kurt’s family will pay $42,010 in</w:t>
            </w:r>
            <w:r w:rsidR="00533C9B" w:rsidRPr="00533C9B">
              <w:t> </w:t>
            </w:r>
            <w:r w:rsidRPr="00533C9B">
              <w:t xml:space="preserve">tax. </w:t>
            </w:r>
          </w:p>
          <w:p w14:paraId="1A0C18F6" w14:textId="40E7DB94" w:rsidR="001372C6" w:rsidRPr="00533C9B" w:rsidRDefault="001372C6" w:rsidP="00785530">
            <w:r w:rsidRPr="00533C9B">
              <w:t xml:space="preserve">With a minimum tax in place, the trust would pay 30 per cent tax on the $200,000 of income not paid as wages, regardless of how this income was distributed. </w:t>
            </w:r>
            <w:r w:rsidR="009D3056" w:rsidRPr="00533C9B">
              <w:t xml:space="preserve">Overall, </w:t>
            </w:r>
            <w:r w:rsidR="00B335A4" w:rsidRPr="00533C9B">
              <w:t>$8</w:t>
            </w:r>
            <w:r w:rsidR="00104D4D" w:rsidRPr="00533C9B">
              <w:t>6</w:t>
            </w:r>
            <w:r w:rsidR="00B335A4" w:rsidRPr="00533C9B">
              <w:t>,00</w:t>
            </w:r>
            <w:r w:rsidR="00370450" w:rsidRPr="00533C9B">
              <w:t>2</w:t>
            </w:r>
            <w:r w:rsidR="00B335A4" w:rsidRPr="00533C9B">
              <w:t xml:space="preserve"> </w:t>
            </w:r>
            <w:r w:rsidR="009D3056" w:rsidRPr="00533C9B">
              <w:t>of tax will be paid</w:t>
            </w:r>
            <w:r w:rsidR="00655811" w:rsidRPr="00533C9B">
              <w:t xml:space="preserve"> if Kurt does not change the distributions made to his family members. </w:t>
            </w:r>
            <w:r w:rsidR="009D3056" w:rsidRPr="00533C9B">
              <w:t xml:space="preserve"> </w:t>
            </w:r>
            <w:r w:rsidRPr="00533C9B">
              <w:t xml:space="preserve">Kurt would </w:t>
            </w:r>
            <w:r w:rsidR="00A0076F" w:rsidRPr="00533C9B">
              <w:t>pay less tax</w:t>
            </w:r>
            <w:r w:rsidRPr="00533C9B">
              <w:t xml:space="preserve"> operating through a company than a trust</w:t>
            </w:r>
            <w:r w:rsidR="00E537A2" w:rsidRPr="00533C9B">
              <w:t>,</w:t>
            </w:r>
            <w:r w:rsidRPr="00533C9B">
              <w:t xml:space="preserve"> once the minimum tax is in place, </w:t>
            </w:r>
            <w:r w:rsidR="00A0076F" w:rsidRPr="00533C9B">
              <w:t>by accessing</w:t>
            </w:r>
            <w:r w:rsidRPr="00533C9B">
              <w:t xml:space="preserve"> the small business tax</w:t>
            </w:r>
            <w:r w:rsidR="00991164">
              <w:t> </w:t>
            </w:r>
            <w:r w:rsidRPr="00533C9B">
              <w:t>rate.</w:t>
            </w:r>
          </w:p>
        </w:tc>
      </w:tr>
    </w:tbl>
    <w:p w14:paraId="118F8B3E" w14:textId="77777777" w:rsidR="001C32DA" w:rsidRDefault="001C32DA" w:rsidP="00446322">
      <w:pPr>
        <w:spacing w:before="0" w:after="0"/>
      </w:pPr>
    </w:p>
    <w:sectPr w:rsidR="001C32DA" w:rsidSect="00B47376">
      <w:headerReference w:type="default" r:id="rId11"/>
      <w:pgSz w:w="11907" w:h="16840" w:code="9"/>
      <w:pgMar w:top="1985" w:right="1134" w:bottom="1418" w:left="1134" w:header="851" w:footer="56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8592" w14:textId="77777777" w:rsidR="00B54249" w:rsidRDefault="00B54249" w:rsidP="00807207">
      <w:r>
        <w:separator/>
      </w:r>
    </w:p>
    <w:p w14:paraId="331F19AA" w14:textId="77777777" w:rsidR="00B54249" w:rsidRDefault="00B54249" w:rsidP="00807207"/>
  </w:endnote>
  <w:endnote w:type="continuationSeparator" w:id="0">
    <w:p w14:paraId="6977F949" w14:textId="77777777" w:rsidR="00B54249" w:rsidRDefault="00B54249" w:rsidP="00807207">
      <w:r>
        <w:continuationSeparator/>
      </w:r>
    </w:p>
    <w:p w14:paraId="3AA34E32" w14:textId="77777777" w:rsidR="00B54249" w:rsidRDefault="00B54249" w:rsidP="00807207"/>
  </w:endnote>
  <w:endnote w:type="continuationNotice" w:id="1">
    <w:p w14:paraId="41E21E76" w14:textId="77777777" w:rsidR="00B54249" w:rsidRDefault="00B542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CBF2" w14:textId="52290250" w:rsidR="009530CD" w:rsidRPr="002D0177" w:rsidRDefault="002D0177" w:rsidP="002D0177">
    <w:pPr>
      <w:pStyle w:val="Footer"/>
      <w:spacing w:after="0"/>
      <w:rPr>
        <w:noProof/>
      </w:rPr>
    </w:pPr>
    <w:r>
      <w:rPr>
        <w:noProof/>
      </w:rPr>
      <w:drawing>
        <wp:anchor distT="0" distB="0" distL="114300" distR="114300" simplePos="0" relativeHeight="251658246" behindDoc="1" locked="0" layoutInCell="1" allowOverlap="1" wp14:anchorId="518E0016" wp14:editId="25C649A7">
          <wp:simplePos x="0" y="0"/>
          <wp:positionH relativeFrom="page">
            <wp:posOffset>-438948</wp:posOffset>
          </wp:positionH>
          <wp:positionV relativeFrom="page">
            <wp:posOffset>9969486</wp:posOffset>
          </wp:positionV>
          <wp:extent cx="8457145" cy="720000"/>
          <wp:effectExtent l="0" t="0" r="1270" b="4445"/>
          <wp:wrapNone/>
          <wp:docPr id="851944821" name="Picture 851944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145"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7" behindDoc="1" locked="0" layoutInCell="1" allowOverlap="1" wp14:anchorId="3393333A" wp14:editId="3120F67D">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87805457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sidRPr="00C56C60">
      <w:rPr>
        <w:noProof/>
      </w:rPr>
      <w:t>|</w:t>
    </w:r>
    <w:r w:rsidRPr="003D1FA7">
      <w:rPr>
        <w:b/>
        <w:bCs/>
        <w:noProof/>
      </w:rPr>
      <w:t xml:space="preserve">  </w:t>
    </w:r>
    <w:r w:rsidRPr="00D91C1C">
      <w:rPr>
        <w:b/>
        <w:bCs/>
        <w:noProof/>
      </w:rPr>
      <w:fldChar w:fldCharType="begin"/>
    </w:r>
    <w:r w:rsidRPr="00D91C1C">
      <w:rPr>
        <w:b/>
        <w:bCs/>
        <w:noProof/>
      </w:rPr>
      <w:instrText xml:space="preserve"> STYLEREF  "Heading 1"  \* MERGEFORMAT </w:instrText>
    </w:r>
    <w:r w:rsidRPr="00D91C1C">
      <w:rPr>
        <w:b/>
        <w:bCs/>
        <w:noProof/>
      </w:rPr>
      <w:fldChar w:fldCharType="separate"/>
    </w:r>
    <w:r w:rsidR="00E12241" w:rsidRPr="00E12241">
      <w:rPr>
        <w:b/>
        <w:bCs/>
        <w:noProof/>
        <w:lang w:val="en-US"/>
      </w:rPr>
      <w:t>Minimum tax on discretionary trusts</w:t>
    </w:r>
    <w:r w:rsidRPr="00D91C1C">
      <w:rPr>
        <w:b/>
        <w:bCs/>
        <w:noProof/>
      </w:rPr>
      <w:fldChar w:fldCharType="end"/>
    </w:r>
    <w:r w:rsidRPr="0084440D">
      <w:tab/>
    </w:r>
    <w:r w:rsidRPr="00D80504">
      <w:rPr>
        <w:bCs/>
      </w:rPr>
      <w:fldChar w:fldCharType="begin"/>
    </w:r>
    <w:r w:rsidRPr="00D80504">
      <w:rPr>
        <w:bCs/>
      </w:rPr>
      <w:instrText xml:space="preserve"> PAGE   \* MERGEFORMAT </w:instrText>
    </w:r>
    <w:r w:rsidRPr="00D80504">
      <w:rPr>
        <w:bCs/>
      </w:rPr>
      <w:fldChar w:fldCharType="separate"/>
    </w:r>
    <w:r>
      <w:rPr>
        <w:bCs/>
      </w:rPr>
      <w:t>1</w:t>
    </w:r>
    <w:r w:rsidRPr="00D80504">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62D6" w14:textId="4ACC8DF9" w:rsidR="004C06BF" w:rsidRPr="0084440D" w:rsidRDefault="00DB6850" w:rsidP="00546AC5">
    <w:pPr>
      <w:pStyle w:val="Footer"/>
      <w:spacing w:after="0"/>
      <w:rPr>
        <w:noProof/>
      </w:rPr>
    </w:pPr>
    <w:r>
      <w:rPr>
        <w:noProof/>
      </w:rPr>
      <w:drawing>
        <wp:anchor distT="0" distB="0" distL="114300" distR="114300" simplePos="0" relativeHeight="251658240" behindDoc="1" locked="0" layoutInCell="1" allowOverlap="1" wp14:anchorId="0B4452BE" wp14:editId="515008D9">
          <wp:simplePos x="0" y="0"/>
          <wp:positionH relativeFrom="page">
            <wp:align>center</wp:align>
          </wp:positionH>
          <wp:positionV relativeFrom="page">
            <wp:align>bottom</wp:align>
          </wp:positionV>
          <wp:extent cx="8457953" cy="720000"/>
          <wp:effectExtent l="0" t="0" r="635" b="4445"/>
          <wp:wrapNone/>
          <wp:docPr id="1282501459" name="Picture 1282501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7953"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39D2">
      <w:rPr>
        <w:noProof/>
      </w:rPr>
      <w:drawing>
        <wp:anchor distT="0" distB="0" distL="0" distR="0" simplePos="0" relativeHeight="251658241" behindDoc="1" locked="0" layoutInCell="1" allowOverlap="1" wp14:anchorId="0CB17F57" wp14:editId="106EDE5C">
          <wp:simplePos x="0" y="0"/>
          <wp:positionH relativeFrom="margin">
            <wp:posOffset>-32385</wp:posOffset>
          </wp:positionH>
          <wp:positionV relativeFrom="paragraph">
            <wp:posOffset>93345</wp:posOffset>
          </wp:positionV>
          <wp:extent cx="869315" cy="127635"/>
          <wp:effectExtent l="0" t="0" r="6985" b="5715"/>
          <wp:wrapTight wrapText="bothSides">
            <wp:wrapPolygon edited="0">
              <wp:start x="0" y="0"/>
              <wp:lineTo x="0" y="19343"/>
              <wp:lineTo x="4733" y="19343"/>
              <wp:lineTo x="8047" y="19343"/>
              <wp:lineTo x="21300" y="19343"/>
              <wp:lineTo x="21300" y="0"/>
              <wp:lineTo x="0" y="0"/>
            </wp:wrapPolygon>
          </wp:wrapTight>
          <wp:docPr id="15690644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21655" name="Picture 9">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541" t="-1" r="541" b="-1516"/>
                  <a:stretch>
                    <a:fillRect/>
                  </a:stretch>
                </pic:blipFill>
                <pic:spPr bwMode="auto">
                  <a:xfrm>
                    <a:off x="0" y="0"/>
                    <a:ext cx="869315" cy="127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21D">
      <w:rPr>
        <w:noProof/>
      </w:rPr>
      <w:t xml:space="preserve">  </w:t>
    </w:r>
    <w:r w:rsidR="003F18B1" w:rsidRPr="00C56C60">
      <w:rPr>
        <w:noProof/>
      </w:rPr>
      <w:t>|</w:t>
    </w:r>
    <w:r w:rsidR="00DD4958">
      <w:rPr>
        <w:noProof/>
      </w:rPr>
      <w:t xml:space="preserve"> </w:t>
    </w:r>
    <w:r w:rsidR="003F18B1" w:rsidRPr="003D1FA7">
      <w:rPr>
        <w:b/>
        <w:bCs/>
        <w:noProof/>
      </w:rPr>
      <w:t xml:space="preserve"> </w:t>
    </w:r>
    <w:r w:rsidR="003F18B1" w:rsidRPr="00D91C1C">
      <w:rPr>
        <w:b/>
        <w:bCs/>
        <w:noProof/>
      </w:rPr>
      <w:fldChar w:fldCharType="begin"/>
    </w:r>
    <w:r w:rsidR="003F18B1" w:rsidRPr="00D91C1C">
      <w:rPr>
        <w:b/>
        <w:bCs/>
        <w:noProof/>
      </w:rPr>
      <w:instrText xml:space="preserve"> STYLEREF  "Heading 1"  \* MERGEFORMAT </w:instrText>
    </w:r>
    <w:r w:rsidR="003F18B1" w:rsidRPr="00D91C1C">
      <w:rPr>
        <w:b/>
        <w:bCs/>
        <w:noProof/>
      </w:rPr>
      <w:fldChar w:fldCharType="separate"/>
    </w:r>
    <w:r w:rsidR="00E12241" w:rsidRPr="00E12241">
      <w:rPr>
        <w:b/>
        <w:bCs/>
        <w:noProof/>
        <w:lang w:val="en-US"/>
      </w:rPr>
      <w:t>Minimum tax on discretionary trusts</w:t>
    </w:r>
    <w:r w:rsidR="003F18B1" w:rsidRPr="00D91C1C">
      <w:rPr>
        <w:b/>
        <w:bCs/>
        <w:noProof/>
      </w:rPr>
      <w:fldChar w:fldCharType="end"/>
    </w:r>
    <w:r w:rsidR="004C06BF" w:rsidRPr="0084440D">
      <w:tab/>
    </w:r>
    <w:r w:rsidR="004C06BF" w:rsidRPr="00D80504">
      <w:rPr>
        <w:bCs/>
      </w:rPr>
      <w:fldChar w:fldCharType="begin"/>
    </w:r>
    <w:r w:rsidR="004C06BF" w:rsidRPr="00D80504">
      <w:rPr>
        <w:bCs/>
      </w:rPr>
      <w:instrText xml:space="preserve"> PAGE   \* MERGEFORMAT </w:instrText>
    </w:r>
    <w:r w:rsidR="004C06BF" w:rsidRPr="00D80504">
      <w:rPr>
        <w:bCs/>
      </w:rPr>
      <w:fldChar w:fldCharType="separate"/>
    </w:r>
    <w:r w:rsidR="00D250AD" w:rsidRPr="00D80504">
      <w:rPr>
        <w:bCs/>
        <w:noProof/>
      </w:rPr>
      <w:t>1</w:t>
    </w:r>
    <w:r w:rsidR="004C06BF" w:rsidRPr="00D8050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64B6" w14:textId="77777777" w:rsidR="00B54249" w:rsidRDefault="00B54249" w:rsidP="00807207">
      <w:r>
        <w:separator/>
      </w:r>
    </w:p>
    <w:p w14:paraId="7EDE4F2A" w14:textId="77777777" w:rsidR="00B54249" w:rsidRDefault="00B54249" w:rsidP="00807207"/>
  </w:footnote>
  <w:footnote w:type="continuationSeparator" w:id="0">
    <w:p w14:paraId="79D760FE" w14:textId="77777777" w:rsidR="00B54249" w:rsidRDefault="00B54249" w:rsidP="00807207">
      <w:r>
        <w:continuationSeparator/>
      </w:r>
    </w:p>
    <w:p w14:paraId="56B0F3B2" w14:textId="77777777" w:rsidR="00B54249" w:rsidRDefault="00B54249" w:rsidP="00807207"/>
  </w:footnote>
  <w:footnote w:type="continuationNotice" w:id="1">
    <w:p w14:paraId="5B2AF7B4" w14:textId="77777777" w:rsidR="00B54249" w:rsidRDefault="00B5424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614F" w14:textId="31CB1191" w:rsidR="004C06BF" w:rsidRDefault="00AE6C30" w:rsidP="005F26F5">
    <w:pPr>
      <w:pStyle w:val="Header"/>
      <w:tabs>
        <w:tab w:val="clear" w:pos="9026"/>
        <w:tab w:val="left" w:pos="7738"/>
      </w:tabs>
    </w:pPr>
    <w:r>
      <w:rPr>
        <w:noProof/>
      </w:rPr>
      <w:drawing>
        <wp:anchor distT="0" distB="0" distL="114300" distR="114300" simplePos="0" relativeHeight="251658249" behindDoc="1" locked="0" layoutInCell="1" allowOverlap="1" wp14:anchorId="19C0F2F1" wp14:editId="6A9F4D1F">
          <wp:simplePos x="0" y="0"/>
          <wp:positionH relativeFrom="page">
            <wp:align>left</wp:align>
          </wp:positionH>
          <wp:positionV relativeFrom="page">
            <wp:align>top</wp:align>
          </wp:positionV>
          <wp:extent cx="7566660" cy="2980706"/>
          <wp:effectExtent l="0" t="0" r="0" b="2540"/>
          <wp:wrapNone/>
          <wp:docPr id="14499292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046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2980706"/>
                  </a:xfrm>
                  <a:prstGeom prst="rect">
                    <a:avLst/>
                  </a:prstGeom>
                </pic:spPr>
              </pic:pic>
            </a:graphicData>
          </a:graphic>
          <wp14:sizeRelH relativeFrom="margin">
            <wp14:pctWidth>0</wp14:pctWidth>
          </wp14:sizeRelH>
          <wp14:sizeRelV relativeFrom="margin">
            <wp14:pctHeight>0</wp14:pctHeight>
          </wp14:sizeRelV>
        </wp:anchor>
      </w:drawing>
    </w:r>
    <w:r w:rsidR="00E370C2">
      <w:tab/>
    </w:r>
    <w:r w:rsidR="005F26F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D66" w14:textId="5ABBDC15" w:rsidR="0031577C" w:rsidRDefault="0031577C" w:rsidP="005F26F5">
    <w:pPr>
      <w:pStyle w:val="Header"/>
      <w:tabs>
        <w:tab w:val="clear" w:pos="9026"/>
        <w:tab w:val="left" w:pos="77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52B" w14:textId="1682B950" w:rsidR="00FC565C" w:rsidRDefault="00FC5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2CE8"/>
    <w:multiLevelType w:val="hybridMultilevel"/>
    <w:tmpl w:val="D76CD87A"/>
    <w:lvl w:ilvl="0" w:tplc="6BECB91A">
      <w:start w:val="1"/>
      <w:numFmt w:val="bullet"/>
      <w:lvlText w:val=""/>
      <w:lvlJc w:val="left"/>
      <w:pPr>
        <w:ind w:left="720" w:hanging="360"/>
      </w:pPr>
      <w:rPr>
        <w:rFonts w:ascii="Symbol" w:hAnsi="Symbol"/>
      </w:rPr>
    </w:lvl>
    <w:lvl w:ilvl="1" w:tplc="C8700B96">
      <w:start w:val="1"/>
      <w:numFmt w:val="bullet"/>
      <w:lvlText w:val=""/>
      <w:lvlJc w:val="left"/>
      <w:pPr>
        <w:ind w:left="720" w:hanging="360"/>
      </w:pPr>
      <w:rPr>
        <w:rFonts w:ascii="Symbol" w:hAnsi="Symbol"/>
      </w:rPr>
    </w:lvl>
    <w:lvl w:ilvl="2" w:tplc="F082368E">
      <w:start w:val="1"/>
      <w:numFmt w:val="bullet"/>
      <w:lvlText w:val=""/>
      <w:lvlJc w:val="left"/>
      <w:pPr>
        <w:ind w:left="720" w:hanging="360"/>
      </w:pPr>
      <w:rPr>
        <w:rFonts w:ascii="Symbol" w:hAnsi="Symbol"/>
      </w:rPr>
    </w:lvl>
    <w:lvl w:ilvl="3" w:tplc="572EFA3A">
      <w:start w:val="1"/>
      <w:numFmt w:val="bullet"/>
      <w:lvlText w:val=""/>
      <w:lvlJc w:val="left"/>
      <w:pPr>
        <w:ind w:left="720" w:hanging="360"/>
      </w:pPr>
      <w:rPr>
        <w:rFonts w:ascii="Symbol" w:hAnsi="Symbol"/>
      </w:rPr>
    </w:lvl>
    <w:lvl w:ilvl="4" w:tplc="35685216">
      <w:start w:val="1"/>
      <w:numFmt w:val="bullet"/>
      <w:lvlText w:val=""/>
      <w:lvlJc w:val="left"/>
      <w:pPr>
        <w:ind w:left="720" w:hanging="360"/>
      </w:pPr>
      <w:rPr>
        <w:rFonts w:ascii="Symbol" w:hAnsi="Symbol"/>
      </w:rPr>
    </w:lvl>
    <w:lvl w:ilvl="5" w:tplc="9B047C36">
      <w:start w:val="1"/>
      <w:numFmt w:val="bullet"/>
      <w:lvlText w:val=""/>
      <w:lvlJc w:val="left"/>
      <w:pPr>
        <w:ind w:left="720" w:hanging="360"/>
      </w:pPr>
      <w:rPr>
        <w:rFonts w:ascii="Symbol" w:hAnsi="Symbol"/>
      </w:rPr>
    </w:lvl>
    <w:lvl w:ilvl="6" w:tplc="C34CBDE0">
      <w:start w:val="1"/>
      <w:numFmt w:val="bullet"/>
      <w:lvlText w:val=""/>
      <w:lvlJc w:val="left"/>
      <w:pPr>
        <w:ind w:left="720" w:hanging="360"/>
      </w:pPr>
      <w:rPr>
        <w:rFonts w:ascii="Symbol" w:hAnsi="Symbol"/>
      </w:rPr>
    </w:lvl>
    <w:lvl w:ilvl="7" w:tplc="DBF85214">
      <w:start w:val="1"/>
      <w:numFmt w:val="bullet"/>
      <w:lvlText w:val=""/>
      <w:lvlJc w:val="left"/>
      <w:pPr>
        <w:ind w:left="720" w:hanging="360"/>
      </w:pPr>
      <w:rPr>
        <w:rFonts w:ascii="Symbol" w:hAnsi="Symbol"/>
      </w:rPr>
    </w:lvl>
    <w:lvl w:ilvl="8" w:tplc="3C4471BE">
      <w:start w:val="1"/>
      <w:numFmt w:val="bullet"/>
      <w:lvlText w:val=""/>
      <w:lvlJc w:val="left"/>
      <w:pPr>
        <w:ind w:left="720" w:hanging="360"/>
      </w:pPr>
      <w:rPr>
        <w:rFonts w:ascii="Symbol" w:hAnsi="Symbol"/>
      </w:r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4A636A9F"/>
    <w:multiLevelType w:val="hybridMultilevel"/>
    <w:tmpl w:val="25022640"/>
    <w:lvl w:ilvl="0" w:tplc="F31ADA9A">
      <w:start w:val="1"/>
      <w:numFmt w:val="bullet"/>
      <w:lvlText w:val=""/>
      <w:lvlJc w:val="left"/>
      <w:pPr>
        <w:ind w:left="720" w:hanging="360"/>
      </w:pPr>
      <w:rPr>
        <w:rFonts w:ascii="Symbol" w:hAnsi="Symbol"/>
      </w:rPr>
    </w:lvl>
    <w:lvl w:ilvl="1" w:tplc="FB36F9F2">
      <w:start w:val="1"/>
      <w:numFmt w:val="bullet"/>
      <w:lvlText w:val=""/>
      <w:lvlJc w:val="left"/>
      <w:pPr>
        <w:ind w:left="720" w:hanging="360"/>
      </w:pPr>
      <w:rPr>
        <w:rFonts w:ascii="Symbol" w:hAnsi="Symbol"/>
      </w:rPr>
    </w:lvl>
    <w:lvl w:ilvl="2" w:tplc="63A42164">
      <w:start w:val="1"/>
      <w:numFmt w:val="bullet"/>
      <w:lvlText w:val=""/>
      <w:lvlJc w:val="left"/>
      <w:pPr>
        <w:ind w:left="720" w:hanging="360"/>
      </w:pPr>
      <w:rPr>
        <w:rFonts w:ascii="Symbol" w:hAnsi="Symbol"/>
      </w:rPr>
    </w:lvl>
    <w:lvl w:ilvl="3" w:tplc="580C3BE8">
      <w:start w:val="1"/>
      <w:numFmt w:val="bullet"/>
      <w:lvlText w:val=""/>
      <w:lvlJc w:val="left"/>
      <w:pPr>
        <w:ind w:left="720" w:hanging="360"/>
      </w:pPr>
      <w:rPr>
        <w:rFonts w:ascii="Symbol" w:hAnsi="Symbol"/>
      </w:rPr>
    </w:lvl>
    <w:lvl w:ilvl="4" w:tplc="94CCD6E2">
      <w:start w:val="1"/>
      <w:numFmt w:val="bullet"/>
      <w:lvlText w:val=""/>
      <w:lvlJc w:val="left"/>
      <w:pPr>
        <w:ind w:left="720" w:hanging="360"/>
      </w:pPr>
      <w:rPr>
        <w:rFonts w:ascii="Symbol" w:hAnsi="Symbol"/>
      </w:rPr>
    </w:lvl>
    <w:lvl w:ilvl="5" w:tplc="2E6C2C9A">
      <w:start w:val="1"/>
      <w:numFmt w:val="bullet"/>
      <w:lvlText w:val=""/>
      <w:lvlJc w:val="left"/>
      <w:pPr>
        <w:ind w:left="720" w:hanging="360"/>
      </w:pPr>
      <w:rPr>
        <w:rFonts w:ascii="Symbol" w:hAnsi="Symbol"/>
      </w:rPr>
    </w:lvl>
    <w:lvl w:ilvl="6" w:tplc="8EFA915E">
      <w:start w:val="1"/>
      <w:numFmt w:val="bullet"/>
      <w:lvlText w:val=""/>
      <w:lvlJc w:val="left"/>
      <w:pPr>
        <w:ind w:left="720" w:hanging="360"/>
      </w:pPr>
      <w:rPr>
        <w:rFonts w:ascii="Symbol" w:hAnsi="Symbol"/>
      </w:rPr>
    </w:lvl>
    <w:lvl w:ilvl="7" w:tplc="37261C8E">
      <w:start w:val="1"/>
      <w:numFmt w:val="bullet"/>
      <w:lvlText w:val=""/>
      <w:lvlJc w:val="left"/>
      <w:pPr>
        <w:ind w:left="720" w:hanging="360"/>
      </w:pPr>
      <w:rPr>
        <w:rFonts w:ascii="Symbol" w:hAnsi="Symbol"/>
      </w:rPr>
    </w:lvl>
    <w:lvl w:ilvl="8" w:tplc="B3AA1834">
      <w:start w:val="1"/>
      <w:numFmt w:val="bullet"/>
      <w:lvlText w:val=""/>
      <w:lvlJc w:val="left"/>
      <w:pPr>
        <w:ind w:left="720" w:hanging="360"/>
      </w:pPr>
      <w:rPr>
        <w:rFonts w:ascii="Symbol" w:hAnsi="Symbol"/>
      </w:rPr>
    </w:lvl>
  </w:abstractNum>
  <w:abstractNum w:abstractNumId="3" w15:restartNumberingAfterBreak="0">
    <w:nsid w:val="57CE34E4"/>
    <w:multiLevelType w:val="hybridMultilevel"/>
    <w:tmpl w:val="97645B0C"/>
    <w:lvl w:ilvl="0" w:tplc="3BAEEA24">
      <w:start w:val="1"/>
      <w:numFmt w:val="bullet"/>
      <w:lvlText w:val=""/>
      <w:lvlJc w:val="left"/>
      <w:pPr>
        <w:ind w:left="1120" w:hanging="360"/>
      </w:pPr>
      <w:rPr>
        <w:rFonts w:ascii="Symbol" w:hAnsi="Symbol"/>
      </w:rPr>
    </w:lvl>
    <w:lvl w:ilvl="1" w:tplc="17047544">
      <w:start w:val="1"/>
      <w:numFmt w:val="bullet"/>
      <w:lvlText w:val=""/>
      <w:lvlJc w:val="left"/>
      <w:pPr>
        <w:ind w:left="1120" w:hanging="360"/>
      </w:pPr>
      <w:rPr>
        <w:rFonts w:ascii="Symbol" w:hAnsi="Symbol"/>
      </w:rPr>
    </w:lvl>
    <w:lvl w:ilvl="2" w:tplc="40DA679A">
      <w:start w:val="1"/>
      <w:numFmt w:val="bullet"/>
      <w:lvlText w:val=""/>
      <w:lvlJc w:val="left"/>
      <w:pPr>
        <w:ind w:left="1120" w:hanging="360"/>
      </w:pPr>
      <w:rPr>
        <w:rFonts w:ascii="Symbol" w:hAnsi="Symbol"/>
      </w:rPr>
    </w:lvl>
    <w:lvl w:ilvl="3" w:tplc="EF789010">
      <w:start w:val="1"/>
      <w:numFmt w:val="bullet"/>
      <w:lvlText w:val=""/>
      <w:lvlJc w:val="left"/>
      <w:pPr>
        <w:ind w:left="1120" w:hanging="360"/>
      </w:pPr>
      <w:rPr>
        <w:rFonts w:ascii="Symbol" w:hAnsi="Symbol"/>
      </w:rPr>
    </w:lvl>
    <w:lvl w:ilvl="4" w:tplc="2DDE01B4">
      <w:start w:val="1"/>
      <w:numFmt w:val="bullet"/>
      <w:lvlText w:val=""/>
      <w:lvlJc w:val="left"/>
      <w:pPr>
        <w:ind w:left="1120" w:hanging="360"/>
      </w:pPr>
      <w:rPr>
        <w:rFonts w:ascii="Symbol" w:hAnsi="Symbol"/>
      </w:rPr>
    </w:lvl>
    <w:lvl w:ilvl="5" w:tplc="C43A9C04">
      <w:start w:val="1"/>
      <w:numFmt w:val="bullet"/>
      <w:lvlText w:val=""/>
      <w:lvlJc w:val="left"/>
      <w:pPr>
        <w:ind w:left="1120" w:hanging="360"/>
      </w:pPr>
      <w:rPr>
        <w:rFonts w:ascii="Symbol" w:hAnsi="Symbol"/>
      </w:rPr>
    </w:lvl>
    <w:lvl w:ilvl="6" w:tplc="D8AAB3BA">
      <w:start w:val="1"/>
      <w:numFmt w:val="bullet"/>
      <w:lvlText w:val=""/>
      <w:lvlJc w:val="left"/>
      <w:pPr>
        <w:ind w:left="1120" w:hanging="360"/>
      </w:pPr>
      <w:rPr>
        <w:rFonts w:ascii="Symbol" w:hAnsi="Symbol"/>
      </w:rPr>
    </w:lvl>
    <w:lvl w:ilvl="7" w:tplc="8A50AD94">
      <w:start w:val="1"/>
      <w:numFmt w:val="bullet"/>
      <w:lvlText w:val=""/>
      <w:lvlJc w:val="left"/>
      <w:pPr>
        <w:ind w:left="1120" w:hanging="360"/>
      </w:pPr>
      <w:rPr>
        <w:rFonts w:ascii="Symbol" w:hAnsi="Symbol"/>
      </w:rPr>
    </w:lvl>
    <w:lvl w:ilvl="8" w:tplc="8A021144">
      <w:start w:val="1"/>
      <w:numFmt w:val="bullet"/>
      <w:lvlText w:val=""/>
      <w:lvlJc w:val="left"/>
      <w:pPr>
        <w:ind w:left="1120" w:hanging="360"/>
      </w:pPr>
      <w:rPr>
        <w:rFonts w:ascii="Symbol" w:hAnsi="Symbol"/>
      </w:rPr>
    </w:lvl>
  </w:abstractNum>
  <w:abstractNum w:abstractNumId="4" w15:restartNumberingAfterBreak="0">
    <w:nsid w:val="707F0A9D"/>
    <w:multiLevelType w:val="hybridMultilevel"/>
    <w:tmpl w:val="9DEE5130"/>
    <w:lvl w:ilvl="0" w:tplc="186AFF54">
      <w:start w:val="1"/>
      <w:numFmt w:val="bullet"/>
      <w:lvlText w:val=""/>
      <w:lvlJc w:val="left"/>
      <w:pPr>
        <w:ind w:left="720" w:hanging="360"/>
      </w:pPr>
      <w:rPr>
        <w:rFonts w:ascii="Symbol" w:hAnsi="Symbol"/>
      </w:rPr>
    </w:lvl>
    <w:lvl w:ilvl="1" w:tplc="D84A45F4">
      <w:start w:val="1"/>
      <w:numFmt w:val="bullet"/>
      <w:lvlText w:val=""/>
      <w:lvlJc w:val="left"/>
      <w:pPr>
        <w:ind w:left="720" w:hanging="360"/>
      </w:pPr>
      <w:rPr>
        <w:rFonts w:ascii="Symbol" w:hAnsi="Symbol"/>
      </w:rPr>
    </w:lvl>
    <w:lvl w:ilvl="2" w:tplc="1728D8F6">
      <w:start w:val="1"/>
      <w:numFmt w:val="bullet"/>
      <w:lvlText w:val=""/>
      <w:lvlJc w:val="left"/>
      <w:pPr>
        <w:ind w:left="720" w:hanging="360"/>
      </w:pPr>
      <w:rPr>
        <w:rFonts w:ascii="Symbol" w:hAnsi="Symbol"/>
      </w:rPr>
    </w:lvl>
    <w:lvl w:ilvl="3" w:tplc="DCBA5F18">
      <w:start w:val="1"/>
      <w:numFmt w:val="bullet"/>
      <w:lvlText w:val=""/>
      <w:lvlJc w:val="left"/>
      <w:pPr>
        <w:ind w:left="720" w:hanging="360"/>
      </w:pPr>
      <w:rPr>
        <w:rFonts w:ascii="Symbol" w:hAnsi="Symbol"/>
      </w:rPr>
    </w:lvl>
    <w:lvl w:ilvl="4" w:tplc="ACAA94C4">
      <w:start w:val="1"/>
      <w:numFmt w:val="bullet"/>
      <w:lvlText w:val=""/>
      <w:lvlJc w:val="left"/>
      <w:pPr>
        <w:ind w:left="720" w:hanging="360"/>
      </w:pPr>
      <w:rPr>
        <w:rFonts w:ascii="Symbol" w:hAnsi="Symbol"/>
      </w:rPr>
    </w:lvl>
    <w:lvl w:ilvl="5" w:tplc="AFF029B0">
      <w:start w:val="1"/>
      <w:numFmt w:val="bullet"/>
      <w:lvlText w:val=""/>
      <w:lvlJc w:val="left"/>
      <w:pPr>
        <w:ind w:left="720" w:hanging="360"/>
      </w:pPr>
      <w:rPr>
        <w:rFonts w:ascii="Symbol" w:hAnsi="Symbol"/>
      </w:rPr>
    </w:lvl>
    <w:lvl w:ilvl="6" w:tplc="88D4B1BC">
      <w:start w:val="1"/>
      <w:numFmt w:val="bullet"/>
      <w:lvlText w:val=""/>
      <w:lvlJc w:val="left"/>
      <w:pPr>
        <w:ind w:left="720" w:hanging="360"/>
      </w:pPr>
      <w:rPr>
        <w:rFonts w:ascii="Symbol" w:hAnsi="Symbol"/>
      </w:rPr>
    </w:lvl>
    <w:lvl w:ilvl="7" w:tplc="E60E556E">
      <w:start w:val="1"/>
      <w:numFmt w:val="bullet"/>
      <w:lvlText w:val=""/>
      <w:lvlJc w:val="left"/>
      <w:pPr>
        <w:ind w:left="720" w:hanging="360"/>
      </w:pPr>
      <w:rPr>
        <w:rFonts w:ascii="Symbol" w:hAnsi="Symbol"/>
      </w:rPr>
    </w:lvl>
    <w:lvl w:ilvl="8" w:tplc="D3DC20BA">
      <w:start w:val="1"/>
      <w:numFmt w:val="bullet"/>
      <w:lvlText w:val=""/>
      <w:lvlJc w:val="left"/>
      <w:pPr>
        <w:ind w:left="720" w:hanging="360"/>
      </w:pPr>
      <w:rPr>
        <w:rFonts w:ascii="Symbol" w:hAnsi="Symbol"/>
      </w:rPr>
    </w:lvl>
  </w:abstractNum>
  <w:abstractNum w:abstractNumId="5" w15:restartNumberingAfterBreak="0">
    <w:nsid w:val="7D6B5224"/>
    <w:multiLevelType w:val="multilevel"/>
    <w:tmpl w:val="0F46578E"/>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1768233546">
    <w:abstractNumId w:val="5"/>
  </w:num>
  <w:num w:numId="2" w16cid:durableId="863714490">
    <w:abstractNumId w:val="1"/>
  </w:num>
  <w:num w:numId="3" w16cid:durableId="2041393171">
    <w:abstractNumId w:val="5"/>
  </w:num>
  <w:num w:numId="4" w16cid:durableId="1522745473">
    <w:abstractNumId w:val="5"/>
  </w:num>
  <w:num w:numId="5" w16cid:durableId="1526675848">
    <w:abstractNumId w:val="3"/>
  </w:num>
  <w:num w:numId="6" w16cid:durableId="115030192">
    <w:abstractNumId w:val="0"/>
  </w:num>
  <w:num w:numId="7" w16cid:durableId="16976519">
    <w:abstractNumId w:val="2"/>
  </w:num>
  <w:num w:numId="8" w16cid:durableId="23093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89"/>
    <w:rsid w:val="00000C0C"/>
    <w:rsid w:val="00001699"/>
    <w:rsid w:val="00006F98"/>
    <w:rsid w:val="000102C4"/>
    <w:rsid w:val="00010DB8"/>
    <w:rsid w:val="000121A0"/>
    <w:rsid w:val="000127D8"/>
    <w:rsid w:val="0001325F"/>
    <w:rsid w:val="00013FE9"/>
    <w:rsid w:val="00014AC5"/>
    <w:rsid w:val="00014B38"/>
    <w:rsid w:val="00014B67"/>
    <w:rsid w:val="0001559E"/>
    <w:rsid w:val="000208B1"/>
    <w:rsid w:val="000208C3"/>
    <w:rsid w:val="00021E05"/>
    <w:rsid w:val="00024842"/>
    <w:rsid w:val="00024D43"/>
    <w:rsid w:val="000254BB"/>
    <w:rsid w:val="0002595C"/>
    <w:rsid w:val="00025F1E"/>
    <w:rsid w:val="00026C1F"/>
    <w:rsid w:val="00027980"/>
    <w:rsid w:val="00031274"/>
    <w:rsid w:val="000321A8"/>
    <w:rsid w:val="00032235"/>
    <w:rsid w:val="000343BF"/>
    <w:rsid w:val="00034CFE"/>
    <w:rsid w:val="000360D0"/>
    <w:rsid w:val="00036263"/>
    <w:rsid w:val="00036653"/>
    <w:rsid w:val="00037388"/>
    <w:rsid w:val="00040257"/>
    <w:rsid w:val="0004047F"/>
    <w:rsid w:val="000406FE"/>
    <w:rsid w:val="00040C0F"/>
    <w:rsid w:val="00041B9B"/>
    <w:rsid w:val="000421F9"/>
    <w:rsid w:val="00043491"/>
    <w:rsid w:val="00043B1D"/>
    <w:rsid w:val="0004458A"/>
    <w:rsid w:val="000464DF"/>
    <w:rsid w:val="000502B2"/>
    <w:rsid w:val="00050C84"/>
    <w:rsid w:val="00050DA8"/>
    <w:rsid w:val="00050EBC"/>
    <w:rsid w:val="0005147D"/>
    <w:rsid w:val="0005197E"/>
    <w:rsid w:val="00052316"/>
    <w:rsid w:val="00055C48"/>
    <w:rsid w:val="00055FC6"/>
    <w:rsid w:val="0005632C"/>
    <w:rsid w:val="000565F7"/>
    <w:rsid w:val="00060568"/>
    <w:rsid w:val="0006164F"/>
    <w:rsid w:val="00061683"/>
    <w:rsid w:val="00061739"/>
    <w:rsid w:val="00061867"/>
    <w:rsid w:val="0006194C"/>
    <w:rsid w:val="000629CE"/>
    <w:rsid w:val="00063D5B"/>
    <w:rsid w:val="000647E1"/>
    <w:rsid w:val="00066598"/>
    <w:rsid w:val="00067211"/>
    <w:rsid w:val="00067516"/>
    <w:rsid w:val="000676B5"/>
    <w:rsid w:val="00075664"/>
    <w:rsid w:val="000758B3"/>
    <w:rsid w:val="00077D07"/>
    <w:rsid w:val="0008022D"/>
    <w:rsid w:val="000809CA"/>
    <w:rsid w:val="00080BF8"/>
    <w:rsid w:val="00082452"/>
    <w:rsid w:val="00082EC2"/>
    <w:rsid w:val="0008340E"/>
    <w:rsid w:val="00084BCA"/>
    <w:rsid w:val="000861D1"/>
    <w:rsid w:val="00086615"/>
    <w:rsid w:val="0008775F"/>
    <w:rsid w:val="00087A96"/>
    <w:rsid w:val="000933AF"/>
    <w:rsid w:val="00093C2A"/>
    <w:rsid w:val="00094145"/>
    <w:rsid w:val="0009416E"/>
    <w:rsid w:val="00094252"/>
    <w:rsid w:val="00094586"/>
    <w:rsid w:val="00095309"/>
    <w:rsid w:val="00095998"/>
    <w:rsid w:val="00096208"/>
    <w:rsid w:val="00097D83"/>
    <w:rsid w:val="000A0816"/>
    <w:rsid w:val="000A1F57"/>
    <w:rsid w:val="000A282B"/>
    <w:rsid w:val="000A2B01"/>
    <w:rsid w:val="000A3F88"/>
    <w:rsid w:val="000A4D2D"/>
    <w:rsid w:val="000A60F7"/>
    <w:rsid w:val="000A79FE"/>
    <w:rsid w:val="000B0061"/>
    <w:rsid w:val="000B1291"/>
    <w:rsid w:val="000B2004"/>
    <w:rsid w:val="000B258E"/>
    <w:rsid w:val="000B473B"/>
    <w:rsid w:val="000B479E"/>
    <w:rsid w:val="000B4CB8"/>
    <w:rsid w:val="000B4D01"/>
    <w:rsid w:val="000B5959"/>
    <w:rsid w:val="000B5D7D"/>
    <w:rsid w:val="000B72E7"/>
    <w:rsid w:val="000B7D7E"/>
    <w:rsid w:val="000C02C9"/>
    <w:rsid w:val="000C0888"/>
    <w:rsid w:val="000C14AB"/>
    <w:rsid w:val="000C156B"/>
    <w:rsid w:val="000C15B5"/>
    <w:rsid w:val="000C1897"/>
    <w:rsid w:val="000C19CB"/>
    <w:rsid w:val="000C1BD4"/>
    <w:rsid w:val="000C35BE"/>
    <w:rsid w:val="000C38DE"/>
    <w:rsid w:val="000C49C9"/>
    <w:rsid w:val="000C4E22"/>
    <w:rsid w:val="000C6FF5"/>
    <w:rsid w:val="000C719C"/>
    <w:rsid w:val="000C78CB"/>
    <w:rsid w:val="000D0680"/>
    <w:rsid w:val="000D2269"/>
    <w:rsid w:val="000D3E3D"/>
    <w:rsid w:val="000D633C"/>
    <w:rsid w:val="000E006F"/>
    <w:rsid w:val="000E1513"/>
    <w:rsid w:val="000E222C"/>
    <w:rsid w:val="000E3223"/>
    <w:rsid w:val="000E3FA9"/>
    <w:rsid w:val="000E4CF4"/>
    <w:rsid w:val="000E52DC"/>
    <w:rsid w:val="000E5FF1"/>
    <w:rsid w:val="000E79F0"/>
    <w:rsid w:val="000F0C8E"/>
    <w:rsid w:val="000F116F"/>
    <w:rsid w:val="000F1C4F"/>
    <w:rsid w:val="000F27A1"/>
    <w:rsid w:val="000F2EEA"/>
    <w:rsid w:val="000F4B91"/>
    <w:rsid w:val="000F4C7A"/>
    <w:rsid w:val="000F544F"/>
    <w:rsid w:val="000F5CDC"/>
    <w:rsid w:val="000F5E22"/>
    <w:rsid w:val="000F6BE4"/>
    <w:rsid w:val="00103912"/>
    <w:rsid w:val="0010481B"/>
    <w:rsid w:val="00104D09"/>
    <w:rsid w:val="00104D4D"/>
    <w:rsid w:val="00114418"/>
    <w:rsid w:val="00114923"/>
    <w:rsid w:val="00116AE2"/>
    <w:rsid w:val="00120128"/>
    <w:rsid w:val="00120B2E"/>
    <w:rsid w:val="00121525"/>
    <w:rsid w:val="0012363D"/>
    <w:rsid w:val="0012390A"/>
    <w:rsid w:val="00123946"/>
    <w:rsid w:val="00123EEE"/>
    <w:rsid w:val="00124C0D"/>
    <w:rsid w:val="00124C94"/>
    <w:rsid w:val="00125E94"/>
    <w:rsid w:val="00126832"/>
    <w:rsid w:val="00127F81"/>
    <w:rsid w:val="00131586"/>
    <w:rsid w:val="00132C2F"/>
    <w:rsid w:val="001338E4"/>
    <w:rsid w:val="00133D28"/>
    <w:rsid w:val="00134E7E"/>
    <w:rsid w:val="0013504D"/>
    <w:rsid w:val="001352E6"/>
    <w:rsid w:val="00136733"/>
    <w:rsid w:val="00136A83"/>
    <w:rsid w:val="00136B86"/>
    <w:rsid w:val="00136F52"/>
    <w:rsid w:val="001372C6"/>
    <w:rsid w:val="001379AA"/>
    <w:rsid w:val="00140054"/>
    <w:rsid w:val="00141153"/>
    <w:rsid w:val="00141B46"/>
    <w:rsid w:val="00142F15"/>
    <w:rsid w:val="00142FE0"/>
    <w:rsid w:val="00143066"/>
    <w:rsid w:val="00144530"/>
    <w:rsid w:val="00146358"/>
    <w:rsid w:val="001476C2"/>
    <w:rsid w:val="001500EA"/>
    <w:rsid w:val="001507CE"/>
    <w:rsid w:val="00150A37"/>
    <w:rsid w:val="00150DAB"/>
    <w:rsid w:val="00152EB1"/>
    <w:rsid w:val="001531B0"/>
    <w:rsid w:val="00153C89"/>
    <w:rsid w:val="00153F87"/>
    <w:rsid w:val="0015418C"/>
    <w:rsid w:val="00154A28"/>
    <w:rsid w:val="001552C7"/>
    <w:rsid w:val="00155450"/>
    <w:rsid w:val="00155DBD"/>
    <w:rsid w:val="00156ADA"/>
    <w:rsid w:val="001573AB"/>
    <w:rsid w:val="001575D0"/>
    <w:rsid w:val="00160AA9"/>
    <w:rsid w:val="00160F30"/>
    <w:rsid w:val="001628C4"/>
    <w:rsid w:val="001631E8"/>
    <w:rsid w:val="00163CD1"/>
    <w:rsid w:val="001650A3"/>
    <w:rsid w:val="001659C3"/>
    <w:rsid w:val="00167340"/>
    <w:rsid w:val="001711A9"/>
    <w:rsid w:val="00174FCB"/>
    <w:rsid w:val="0017770E"/>
    <w:rsid w:val="0018005C"/>
    <w:rsid w:val="00181200"/>
    <w:rsid w:val="001815B9"/>
    <w:rsid w:val="00182303"/>
    <w:rsid w:val="00182EBD"/>
    <w:rsid w:val="00183B4A"/>
    <w:rsid w:val="0018495C"/>
    <w:rsid w:val="00184BEF"/>
    <w:rsid w:val="0018569E"/>
    <w:rsid w:val="00187B32"/>
    <w:rsid w:val="0019129B"/>
    <w:rsid w:val="00193F39"/>
    <w:rsid w:val="0019491C"/>
    <w:rsid w:val="00195280"/>
    <w:rsid w:val="0019528C"/>
    <w:rsid w:val="001954CC"/>
    <w:rsid w:val="00195659"/>
    <w:rsid w:val="00196938"/>
    <w:rsid w:val="00196B76"/>
    <w:rsid w:val="001A19BC"/>
    <w:rsid w:val="001A2910"/>
    <w:rsid w:val="001A3A9A"/>
    <w:rsid w:val="001A46ED"/>
    <w:rsid w:val="001A47D5"/>
    <w:rsid w:val="001A594A"/>
    <w:rsid w:val="001A7A30"/>
    <w:rsid w:val="001B04C3"/>
    <w:rsid w:val="001B12B2"/>
    <w:rsid w:val="001B23E4"/>
    <w:rsid w:val="001B2C76"/>
    <w:rsid w:val="001B4070"/>
    <w:rsid w:val="001B4C4E"/>
    <w:rsid w:val="001B604A"/>
    <w:rsid w:val="001B6226"/>
    <w:rsid w:val="001B6E4D"/>
    <w:rsid w:val="001B74E5"/>
    <w:rsid w:val="001C058C"/>
    <w:rsid w:val="001C0E5F"/>
    <w:rsid w:val="001C2569"/>
    <w:rsid w:val="001C32DA"/>
    <w:rsid w:val="001C380E"/>
    <w:rsid w:val="001C3BD3"/>
    <w:rsid w:val="001C4201"/>
    <w:rsid w:val="001C5351"/>
    <w:rsid w:val="001C5CE7"/>
    <w:rsid w:val="001C5F5F"/>
    <w:rsid w:val="001C78AE"/>
    <w:rsid w:val="001D0720"/>
    <w:rsid w:val="001D0AAD"/>
    <w:rsid w:val="001D1097"/>
    <w:rsid w:val="001D20AA"/>
    <w:rsid w:val="001D2278"/>
    <w:rsid w:val="001D33E0"/>
    <w:rsid w:val="001D515D"/>
    <w:rsid w:val="001D54D1"/>
    <w:rsid w:val="001D5840"/>
    <w:rsid w:val="001D5E5A"/>
    <w:rsid w:val="001D653B"/>
    <w:rsid w:val="001D7170"/>
    <w:rsid w:val="001D75F4"/>
    <w:rsid w:val="001D76CF"/>
    <w:rsid w:val="001E1370"/>
    <w:rsid w:val="001E440D"/>
    <w:rsid w:val="001E4BF8"/>
    <w:rsid w:val="001E4C80"/>
    <w:rsid w:val="001E6723"/>
    <w:rsid w:val="001F044F"/>
    <w:rsid w:val="001F063D"/>
    <w:rsid w:val="001F18E5"/>
    <w:rsid w:val="001F20DA"/>
    <w:rsid w:val="001F267A"/>
    <w:rsid w:val="001F3782"/>
    <w:rsid w:val="001F602B"/>
    <w:rsid w:val="001F62DA"/>
    <w:rsid w:val="00200FF3"/>
    <w:rsid w:val="00201D7A"/>
    <w:rsid w:val="00202112"/>
    <w:rsid w:val="002041DD"/>
    <w:rsid w:val="0020448F"/>
    <w:rsid w:val="00205E4D"/>
    <w:rsid w:val="002071FA"/>
    <w:rsid w:val="00207A7D"/>
    <w:rsid w:val="00211EF0"/>
    <w:rsid w:val="00212DC9"/>
    <w:rsid w:val="002134AC"/>
    <w:rsid w:val="00214492"/>
    <w:rsid w:val="002145AF"/>
    <w:rsid w:val="002216B8"/>
    <w:rsid w:val="0022381D"/>
    <w:rsid w:val="002238FF"/>
    <w:rsid w:val="00224B5E"/>
    <w:rsid w:val="00224D47"/>
    <w:rsid w:val="00224F1F"/>
    <w:rsid w:val="00225238"/>
    <w:rsid w:val="00226292"/>
    <w:rsid w:val="002272FB"/>
    <w:rsid w:val="00227A38"/>
    <w:rsid w:val="00227C77"/>
    <w:rsid w:val="002310B5"/>
    <w:rsid w:val="002319B0"/>
    <w:rsid w:val="0023349A"/>
    <w:rsid w:val="00235492"/>
    <w:rsid w:val="002403AC"/>
    <w:rsid w:val="002408A8"/>
    <w:rsid w:val="00241B9A"/>
    <w:rsid w:val="00242FE4"/>
    <w:rsid w:val="00244184"/>
    <w:rsid w:val="00244702"/>
    <w:rsid w:val="00245B40"/>
    <w:rsid w:val="002464A6"/>
    <w:rsid w:val="00247301"/>
    <w:rsid w:val="002477BD"/>
    <w:rsid w:val="002504FD"/>
    <w:rsid w:val="00250B7D"/>
    <w:rsid w:val="00250CC3"/>
    <w:rsid w:val="002533B7"/>
    <w:rsid w:val="002543D6"/>
    <w:rsid w:val="00254DDA"/>
    <w:rsid w:val="00255722"/>
    <w:rsid w:val="00255C85"/>
    <w:rsid w:val="00255D7A"/>
    <w:rsid w:val="00255E49"/>
    <w:rsid w:val="002560D8"/>
    <w:rsid w:val="002566CE"/>
    <w:rsid w:val="0025710B"/>
    <w:rsid w:val="00257457"/>
    <w:rsid w:val="0025761B"/>
    <w:rsid w:val="002577A9"/>
    <w:rsid w:val="00260712"/>
    <w:rsid w:val="00261920"/>
    <w:rsid w:val="00262387"/>
    <w:rsid w:val="002625C1"/>
    <w:rsid w:val="00262AF8"/>
    <w:rsid w:val="00264A14"/>
    <w:rsid w:val="00264F48"/>
    <w:rsid w:val="002651BC"/>
    <w:rsid w:val="002702CC"/>
    <w:rsid w:val="00270601"/>
    <w:rsid w:val="00271AAD"/>
    <w:rsid w:val="00272839"/>
    <w:rsid w:val="002729EB"/>
    <w:rsid w:val="00273B4D"/>
    <w:rsid w:val="00276507"/>
    <w:rsid w:val="00277D58"/>
    <w:rsid w:val="0028071A"/>
    <w:rsid w:val="0028393F"/>
    <w:rsid w:val="00285151"/>
    <w:rsid w:val="002869FC"/>
    <w:rsid w:val="0028742C"/>
    <w:rsid w:val="00287679"/>
    <w:rsid w:val="002877EB"/>
    <w:rsid w:val="00287924"/>
    <w:rsid w:val="00290199"/>
    <w:rsid w:val="00290C8D"/>
    <w:rsid w:val="00291068"/>
    <w:rsid w:val="00291E69"/>
    <w:rsid w:val="002921B6"/>
    <w:rsid w:val="00292A08"/>
    <w:rsid w:val="0029306C"/>
    <w:rsid w:val="0029349C"/>
    <w:rsid w:val="002939FC"/>
    <w:rsid w:val="002940E0"/>
    <w:rsid w:val="0029445F"/>
    <w:rsid w:val="002947D3"/>
    <w:rsid w:val="00295BD2"/>
    <w:rsid w:val="0029625D"/>
    <w:rsid w:val="00296C79"/>
    <w:rsid w:val="00297D09"/>
    <w:rsid w:val="002A04D9"/>
    <w:rsid w:val="002A0D61"/>
    <w:rsid w:val="002A1757"/>
    <w:rsid w:val="002A1E6A"/>
    <w:rsid w:val="002A2EFB"/>
    <w:rsid w:val="002A402F"/>
    <w:rsid w:val="002A49F6"/>
    <w:rsid w:val="002A4E36"/>
    <w:rsid w:val="002A5439"/>
    <w:rsid w:val="002A5DF4"/>
    <w:rsid w:val="002B04CE"/>
    <w:rsid w:val="002B07A7"/>
    <w:rsid w:val="002B07C6"/>
    <w:rsid w:val="002B09A9"/>
    <w:rsid w:val="002B0B1E"/>
    <w:rsid w:val="002B19F5"/>
    <w:rsid w:val="002B2E26"/>
    <w:rsid w:val="002B3B1E"/>
    <w:rsid w:val="002B4D57"/>
    <w:rsid w:val="002B6423"/>
    <w:rsid w:val="002B7C27"/>
    <w:rsid w:val="002C00AF"/>
    <w:rsid w:val="002C0F02"/>
    <w:rsid w:val="002C1425"/>
    <w:rsid w:val="002C3D46"/>
    <w:rsid w:val="002C40E4"/>
    <w:rsid w:val="002C482C"/>
    <w:rsid w:val="002C5B73"/>
    <w:rsid w:val="002D0177"/>
    <w:rsid w:val="002D0213"/>
    <w:rsid w:val="002D0ABD"/>
    <w:rsid w:val="002D0C1E"/>
    <w:rsid w:val="002D14B0"/>
    <w:rsid w:val="002D1B15"/>
    <w:rsid w:val="002D1DD3"/>
    <w:rsid w:val="002D3ED6"/>
    <w:rsid w:val="002D4979"/>
    <w:rsid w:val="002D5204"/>
    <w:rsid w:val="002D582A"/>
    <w:rsid w:val="002E029A"/>
    <w:rsid w:val="002E0428"/>
    <w:rsid w:val="002E1F9E"/>
    <w:rsid w:val="002E2FE8"/>
    <w:rsid w:val="002E40E9"/>
    <w:rsid w:val="002E4157"/>
    <w:rsid w:val="002E4215"/>
    <w:rsid w:val="002E4A1F"/>
    <w:rsid w:val="002E4D93"/>
    <w:rsid w:val="002E649B"/>
    <w:rsid w:val="002F0FAB"/>
    <w:rsid w:val="002F1F29"/>
    <w:rsid w:val="002F1FFA"/>
    <w:rsid w:val="002F2C5F"/>
    <w:rsid w:val="002F2CFE"/>
    <w:rsid w:val="002F38FA"/>
    <w:rsid w:val="002F49AC"/>
    <w:rsid w:val="002F4C2D"/>
    <w:rsid w:val="002F52CC"/>
    <w:rsid w:val="002F5387"/>
    <w:rsid w:val="002F5F3F"/>
    <w:rsid w:val="002F60DD"/>
    <w:rsid w:val="003002B6"/>
    <w:rsid w:val="00301005"/>
    <w:rsid w:val="00301CF7"/>
    <w:rsid w:val="003030C8"/>
    <w:rsid w:val="00303459"/>
    <w:rsid w:val="00303915"/>
    <w:rsid w:val="003051F9"/>
    <w:rsid w:val="00307C51"/>
    <w:rsid w:val="0031055D"/>
    <w:rsid w:val="00311174"/>
    <w:rsid w:val="003115A1"/>
    <w:rsid w:val="00313268"/>
    <w:rsid w:val="0031421A"/>
    <w:rsid w:val="00314541"/>
    <w:rsid w:val="0031577C"/>
    <w:rsid w:val="00315837"/>
    <w:rsid w:val="00315A50"/>
    <w:rsid w:val="00320266"/>
    <w:rsid w:val="003207D7"/>
    <w:rsid w:val="00320928"/>
    <w:rsid w:val="0032113C"/>
    <w:rsid w:val="003217F7"/>
    <w:rsid w:val="00321AAC"/>
    <w:rsid w:val="00321CFB"/>
    <w:rsid w:val="00322FA6"/>
    <w:rsid w:val="003230DF"/>
    <w:rsid w:val="00324464"/>
    <w:rsid w:val="00325BD8"/>
    <w:rsid w:val="00326414"/>
    <w:rsid w:val="00326B39"/>
    <w:rsid w:val="00326D44"/>
    <w:rsid w:val="00327185"/>
    <w:rsid w:val="00327F93"/>
    <w:rsid w:val="00330DBB"/>
    <w:rsid w:val="00331594"/>
    <w:rsid w:val="00331F2B"/>
    <w:rsid w:val="00332260"/>
    <w:rsid w:val="003323C3"/>
    <w:rsid w:val="00332AC9"/>
    <w:rsid w:val="00332C8D"/>
    <w:rsid w:val="00333BC3"/>
    <w:rsid w:val="00334102"/>
    <w:rsid w:val="00334CF0"/>
    <w:rsid w:val="00336205"/>
    <w:rsid w:val="003378E0"/>
    <w:rsid w:val="003416ED"/>
    <w:rsid w:val="003445E1"/>
    <w:rsid w:val="003448FD"/>
    <w:rsid w:val="003478A6"/>
    <w:rsid w:val="00347DBE"/>
    <w:rsid w:val="003509BC"/>
    <w:rsid w:val="003509F6"/>
    <w:rsid w:val="003510F1"/>
    <w:rsid w:val="0035143B"/>
    <w:rsid w:val="0035627D"/>
    <w:rsid w:val="003563E5"/>
    <w:rsid w:val="0035645A"/>
    <w:rsid w:val="00356BE5"/>
    <w:rsid w:val="00360505"/>
    <w:rsid w:val="00360680"/>
    <w:rsid w:val="003631B6"/>
    <w:rsid w:val="003637FD"/>
    <w:rsid w:val="00364FF5"/>
    <w:rsid w:val="00366024"/>
    <w:rsid w:val="00366582"/>
    <w:rsid w:val="00370450"/>
    <w:rsid w:val="00370874"/>
    <w:rsid w:val="00370E7C"/>
    <w:rsid w:val="00370EBC"/>
    <w:rsid w:val="003712FB"/>
    <w:rsid w:val="00371A57"/>
    <w:rsid w:val="00371A6B"/>
    <w:rsid w:val="003729DE"/>
    <w:rsid w:val="003736BC"/>
    <w:rsid w:val="00373C6D"/>
    <w:rsid w:val="00374E3A"/>
    <w:rsid w:val="0037641C"/>
    <w:rsid w:val="00376A7B"/>
    <w:rsid w:val="003770A2"/>
    <w:rsid w:val="003801BA"/>
    <w:rsid w:val="003802F4"/>
    <w:rsid w:val="00380ACD"/>
    <w:rsid w:val="003818F9"/>
    <w:rsid w:val="003854E0"/>
    <w:rsid w:val="00385887"/>
    <w:rsid w:val="0038590B"/>
    <w:rsid w:val="00385C14"/>
    <w:rsid w:val="00385EC3"/>
    <w:rsid w:val="00386938"/>
    <w:rsid w:val="00387A2E"/>
    <w:rsid w:val="00392271"/>
    <w:rsid w:val="003941EB"/>
    <w:rsid w:val="003947BF"/>
    <w:rsid w:val="00394A77"/>
    <w:rsid w:val="0039780C"/>
    <w:rsid w:val="003A0D0B"/>
    <w:rsid w:val="003A1363"/>
    <w:rsid w:val="003A16C7"/>
    <w:rsid w:val="003A1B2D"/>
    <w:rsid w:val="003A2681"/>
    <w:rsid w:val="003A3871"/>
    <w:rsid w:val="003A42A5"/>
    <w:rsid w:val="003A4A98"/>
    <w:rsid w:val="003A6CAE"/>
    <w:rsid w:val="003A6F02"/>
    <w:rsid w:val="003B01F3"/>
    <w:rsid w:val="003B0815"/>
    <w:rsid w:val="003B10B7"/>
    <w:rsid w:val="003B18DE"/>
    <w:rsid w:val="003B5ED0"/>
    <w:rsid w:val="003B78D7"/>
    <w:rsid w:val="003C2CFA"/>
    <w:rsid w:val="003C3C0D"/>
    <w:rsid w:val="003C40A4"/>
    <w:rsid w:val="003C589B"/>
    <w:rsid w:val="003D0D27"/>
    <w:rsid w:val="003D1344"/>
    <w:rsid w:val="003D1C09"/>
    <w:rsid w:val="003D1FA7"/>
    <w:rsid w:val="003D2E76"/>
    <w:rsid w:val="003D2FDE"/>
    <w:rsid w:val="003D3193"/>
    <w:rsid w:val="003D3D2F"/>
    <w:rsid w:val="003D6841"/>
    <w:rsid w:val="003D7439"/>
    <w:rsid w:val="003D7A3A"/>
    <w:rsid w:val="003D7B86"/>
    <w:rsid w:val="003E112E"/>
    <w:rsid w:val="003E18CF"/>
    <w:rsid w:val="003E3C01"/>
    <w:rsid w:val="003E5741"/>
    <w:rsid w:val="003E65B5"/>
    <w:rsid w:val="003E6EEE"/>
    <w:rsid w:val="003F07C0"/>
    <w:rsid w:val="003F1362"/>
    <w:rsid w:val="003F18B1"/>
    <w:rsid w:val="003F2561"/>
    <w:rsid w:val="003F428F"/>
    <w:rsid w:val="003F5284"/>
    <w:rsid w:val="003F5665"/>
    <w:rsid w:val="003F68D3"/>
    <w:rsid w:val="003F74C4"/>
    <w:rsid w:val="003F7B7B"/>
    <w:rsid w:val="00400A17"/>
    <w:rsid w:val="00400EF8"/>
    <w:rsid w:val="00404E24"/>
    <w:rsid w:val="00407532"/>
    <w:rsid w:val="00407C10"/>
    <w:rsid w:val="00410068"/>
    <w:rsid w:val="00411D6B"/>
    <w:rsid w:val="00413228"/>
    <w:rsid w:val="00413850"/>
    <w:rsid w:val="00413CEB"/>
    <w:rsid w:val="00413E6A"/>
    <w:rsid w:val="00414DBD"/>
    <w:rsid w:val="00415123"/>
    <w:rsid w:val="00415355"/>
    <w:rsid w:val="00415478"/>
    <w:rsid w:val="00416523"/>
    <w:rsid w:val="004177BC"/>
    <w:rsid w:val="0042175B"/>
    <w:rsid w:val="004224BE"/>
    <w:rsid w:val="00422B71"/>
    <w:rsid w:val="00424A04"/>
    <w:rsid w:val="00425ADC"/>
    <w:rsid w:val="00426088"/>
    <w:rsid w:val="00427D40"/>
    <w:rsid w:val="00430DC6"/>
    <w:rsid w:val="004311CE"/>
    <w:rsid w:val="00432222"/>
    <w:rsid w:val="0043238C"/>
    <w:rsid w:val="00435340"/>
    <w:rsid w:val="004363A0"/>
    <w:rsid w:val="00436981"/>
    <w:rsid w:val="00436FC7"/>
    <w:rsid w:val="004378E5"/>
    <w:rsid w:val="00437C7F"/>
    <w:rsid w:val="004400BD"/>
    <w:rsid w:val="004408A2"/>
    <w:rsid w:val="00440E3D"/>
    <w:rsid w:val="004423F1"/>
    <w:rsid w:val="004424E3"/>
    <w:rsid w:val="004427D8"/>
    <w:rsid w:val="00444BF0"/>
    <w:rsid w:val="004455F2"/>
    <w:rsid w:val="0044573C"/>
    <w:rsid w:val="00445BCA"/>
    <w:rsid w:val="0044607A"/>
    <w:rsid w:val="00446322"/>
    <w:rsid w:val="004469E6"/>
    <w:rsid w:val="00446E00"/>
    <w:rsid w:val="00446F20"/>
    <w:rsid w:val="004471DD"/>
    <w:rsid w:val="00447E32"/>
    <w:rsid w:val="00452AAA"/>
    <w:rsid w:val="0045372A"/>
    <w:rsid w:val="00454A9B"/>
    <w:rsid w:val="00455CD7"/>
    <w:rsid w:val="00455EEE"/>
    <w:rsid w:val="0045745F"/>
    <w:rsid w:val="00460093"/>
    <w:rsid w:val="00460E0E"/>
    <w:rsid w:val="00461423"/>
    <w:rsid w:val="00462238"/>
    <w:rsid w:val="00462CE8"/>
    <w:rsid w:val="00463183"/>
    <w:rsid w:val="00463E1F"/>
    <w:rsid w:val="0046446B"/>
    <w:rsid w:val="00464A34"/>
    <w:rsid w:val="00465F6A"/>
    <w:rsid w:val="00466360"/>
    <w:rsid w:val="004666A5"/>
    <w:rsid w:val="00467905"/>
    <w:rsid w:val="00470B1D"/>
    <w:rsid w:val="004711A7"/>
    <w:rsid w:val="00472070"/>
    <w:rsid w:val="004727C8"/>
    <w:rsid w:val="004748E9"/>
    <w:rsid w:val="00482BE4"/>
    <w:rsid w:val="00484109"/>
    <w:rsid w:val="00485F2D"/>
    <w:rsid w:val="00485F9D"/>
    <w:rsid w:val="004863DC"/>
    <w:rsid w:val="004914F1"/>
    <w:rsid w:val="00492920"/>
    <w:rsid w:val="00492AE2"/>
    <w:rsid w:val="00492E78"/>
    <w:rsid w:val="004933B1"/>
    <w:rsid w:val="00493B61"/>
    <w:rsid w:val="00493C82"/>
    <w:rsid w:val="00493E1C"/>
    <w:rsid w:val="00495316"/>
    <w:rsid w:val="0049539E"/>
    <w:rsid w:val="004A2365"/>
    <w:rsid w:val="004A36AD"/>
    <w:rsid w:val="004A4424"/>
    <w:rsid w:val="004A5B8B"/>
    <w:rsid w:val="004A5D59"/>
    <w:rsid w:val="004B0A79"/>
    <w:rsid w:val="004B0AD7"/>
    <w:rsid w:val="004B118E"/>
    <w:rsid w:val="004B1727"/>
    <w:rsid w:val="004B19FB"/>
    <w:rsid w:val="004B2EE6"/>
    <w:rsid w:val="004B318C"/>
    <w:rsid w:val="004B3B38"/>
    <w:rsid w:val="004B51FD"/>
    <w:rsid w:val="004B626F"/>
    <w:rsid w:val="004B6855"/>
    <w:rsid w:val="004B6C08"/>
    <w:rsid w:val="004C06BF"/>
    <w:rsid w:val="004C19A4"/>
    <w:rsid w:val="004C1C6F"/>
    <w:rsid w:val="004C6F62"/>
    <w:rsid w:val="004D11AE"/>
    <w:rsid w:val="004D1BBB"/>
    <w:rsid w:val="004D2936"/>
    <w:rsid w:val="004D3B6B"/>
    <w:rsid w:val="004D3BC1"/>
    <w:rsid w:val="004D4778"/>
    <w:rsid w:val="004D5B73"/>
    <w:rsid w:val="004D5B7C"/>
    <w:rsid w:val="004E0198"/>
    <w:rsid w:val="004E0439"/>
    <w:rsid w:val="004E65E0"/>
    <w:rsid w:val="004E6618"/>
    <w:rsid w:val="004E6A9C"/>
    <w:rsid w:val="004F007F"/>
    <w:rsid w:val="004F0E0D"/>
    <w:rsid w:val="004F1E87"/>
    <w:rsid w:val="004F2D01"/>
    <w:rsid w:val="004F3007"/>
    <w:rsid w:val="004F4226"/>
    <w:rsid w:val="004F6638"/>
    <w:rsid w:val="004F7C1D"/>
    <w:rsid w:val="0050119B"/>
    <w:rsid w:val="005012B2"/>
    <w:rsid w:val="00501C7B"/>
    <w:rsid w:val="00502423"/>
    <w:rsid w:val="00504110"/>
    <w:rsid w:val="00505853"/>
    <w:rsid w:val="00505E85"/>
    <w:rsid w:val="005076F3"/>
    <w:rsid w:val="00510B02"/>
    <w:rsid w:val="00512338"/>
    <w:rsid w:val="0051270F"/>
    <w:rsid w:val="00512E58"/>
    <w:rsid w:val="0051364D"/>
    <w:rsid w:val="005139DE"/>
    <w:rsid w:val="005146BD"/>
    <w:rsid w:val="0051495F"/>
    <w:rsid w:val="005165C2"/>
    <w:rsid w:val="00516966"/>
    <w:rsid w:val="00516AC1"/>
    <w:rsid w:val="00517395"/>
    <w:rsid w:val="00517BC8"/>
    <w:rsid w:val="00517DBE"/>
    <w:rsid w:val="00517F44"/>
    <w:rsid w:val="00520F48"/>
    <w:rsid w:val="005216BB"/>
    <w:rsid w:val="00522741"/>
    <w:rsid w:val="00522ED9"/>
    <w:rsid w:val="0052390F"/>
    <w:rsid w:val="00524183"/>
    <w:rsid w:val="005241FC"/>
    <w:rsid w:val="00524DCE"/>
    <w:rsid w:val="00524F1D"/>
    <w:rsid w:val="005264C8"/>
    <w:rsid w:val="00526504"/>
    <w:rsid w:val="00526EAB"/>
    <w:rsid w:val="005300BE"/>
    <w:rsid w:val="00531EB2"/>
    <w:rsid w:val="0053233F"/>
    <w:rsid w:val="0053353B"/>
    <w:rsid w:val="00533C9B"/>
    <w:rsid w:val="005343A3"/>
    <w:rsid w:val="00534E8C"/>
    <w:rsid w:val="0053501E"/>
    <w:rsid w:val="00535AD5"/>
    <w:rsid w:val="00535F19"/>
    <w:rsid w:val="005368D9"/>
    <w:rsid w:val="005374BF"/>
    <w:rsid w:val="00537808"/>
    <w:rsid w:val="00537D7E"/>
    <w:rsid w:val="00542927"/>
    <w:rsid w:val="00542CBD"/>
    <w:rsid w:val="0054425D"/>
    <w:rsid w:val="0054514E"/>
    <w:rsid w:val="00545A46"/>
    <w:rsid w:val="00546976"/>
    <w:rsid w:val="00546AC5"/>
    <w:rsid w:val="00546BB6"/>
    <w:rsid w:val="00550F59"/>
    <w:rsid w:val="00551125"/>
    <w:rsid w:val="0055277A"/>
    <w:rsid w:val="005539A4"/>
    <w:rsid w:val="00553F71"/>
    <w:rsid w:val="0056100D"/>
    <w:rsid w:val="00561D2A"/>
    <w:rsid w:val="0056272C"/>
    <w:rsid w:val="00562C5F"/>
    <w:rsid w:val="0056421A"/>
    <w:rsid w:val="00564ABC"/>
    <w:rsid w:val="00565318"/>
    <w:rsid w:val="00565DF2"/>
    <w:rsid w:val="005663E6"/>
    <w:rsid w:val="00566AD8"/>
    <w:rsid w:val="00567811"/>
    <w:rsid w:val="00567A99"/>
    <w:rsid w:val="00572EE4"/>
    <w:rsid w:val="00576BA2"/>
    <w:rsid w:val="00581743"/>
    <w:rsid w:val="00581D5D"/>
    <w:rsid w:val="00581D7A"/>
    <w:rsid w:val="005831DC"/>
    <w:rsid w:val="00583D19"/>
    <w:rsid w:val="00583F8E"/>
    <w:rsid w:val="0058407D"/>
    <w:rsid w:val="00584964"/>
    <w:rsid w:val="005857C5"/>
    <w:rsid w:val="00585D04"/>
    <w:rsid w:val="00586EB4"/>
    <w:rsid w:val="0058753E"/>
    <w:rsid w:val="00587E69"/>
    <w:rsid w:val="00590C94"/>
    <w:rsid w:val="00591541"/>
    <w:rsid w:val="005915DE"/>
    <w:rsid w:val="0059201B"/>
    <w:rsid w:val="005925F8"/>
    <w:rsid w:val="005926DA"/>
    <w:rsid w:val="005939F7"/>
    <w:rsid w:val="0059435E"/>
    <w:rsid w:val="00594B68"/>
    <w:rsid w:val="00594F43"/>
    <w:rsid w:val="00595649"/>
    <w:rsid w:val="005961F2"/>
    <w:rsid w:val="005A03A1"/>
    <w:rsid w:val="005A06AA"/>
    <w:rsid w:val="005A0A5F"/>
    <w:rsid w:val="005A3458"/>
    <w:rsid w:val="005A3FFF"/>
    <w:rsid w:val="005A4521"/>
    <w:rsid w:val="005A4F20"/>
    <w:rsid w:val="005A5032"/>
    <w:rsid w:val="005A5625"/>
    <w:rsid w:val="005A66A3"/>
    <w:rsid w:val="005A698F"/>
    <w:rsid w:val="005A6AE9"/>
    <w:rsid w:val="005A72E7"/>
    <w:rsid w:val="005B00F7"/>
    <w:rsid w:val="005B03CE"/>
    <w:rsid w:val="005B0968"/>
    <w:rsid w:val="005B1B51"/>
    <w:rsid w:val="005B2484"/>
    <w:rsid w:val="005B347B"/>
    <w:rsid w:val="005B3909"/>
    <w:rsid w:val="005B3F81"/>
    <w:rsid w:val="005B4348"/>
    <w:rsid w:val="005B55F2"/>
    <w:rsid w:val="005B570C"/>
    <w:rsid w:val="005B63B8"/>
    <w:rsid w:val="005B79C8"/>
    <w:rsid w:val="005C049B"/>
    <w:rsid w:val="005C0645"/>
    <w:rsid w:val="005C2EF5"/>
    <w:rsid w:val="005C3AC9"/>
    <w:rsid w:val="005C4FEE"/>
    <w:rsid w:val="005C600B"/>
    <w:rsid w:val="005C6CB8"/>
    <w:rsid w:val="005D101F"/>
    <w:rsid w:val="005D15F3"/>
    <w:rsid w:val="005D16AF"/>
    <w:rsid w:val="005D2CCE"/>
    <w:rsid w:val="005D3153"/>
    <w:rsid w:val="005D3593"/>
    <w:rsid w:val="005D44E5"/>
    <w:rsid w:val="005D5D22"/>
    <w:rsid w:val="005D5D62"/>
    <w:rsid w:val="005D66BA"/>
    <w:rsid w:val="005D6C0D"/>
    <w:rsid w:val="005D7086"/>
    <w:rsid w:val="005E1D6D"/>
    <w:rsid w:val="005E5AA2"/>
    <w:rsid w:val="005F04D3"/>
    <w:rsid w:val="005F26F5"/>
    <w:rsid w:val="005F3D59"/>
    <w:rsid w:val="005F4FD5"/>
    <w:rsid w:val="005F5CFB"/>
    <w:rsid w:val="005F5F58"/>
    <w:rsid w:val="005F619A"/>
    <w:rsid w:val="005F6262"/>
    <w:rsid w:val="005F6F1A"/>
    <w:rsid w:val="005F7E5B"/>
    <w:rsid w:val="00600974"/>
    <w:rsid w:val="006013C7"/>
    <w:rsid w:val="006024B2"/>
    <w:rsid w:val="006059DE"/>
    <w:rsid w:val="006062AC"/>
    <w:rsid w:val="00606702"/>
    <w:rsid w:val="006079FD"/>
    <w:rsid w:val="006103D2"/>
    <w:rsid w:val="00610BAE"/>
    <w:rsid w:val="0061245B"/>
    <w:rsid w:val="00613736"/>
    <w:rsid w:val="0061590C"/>
    <w:rsid w:val="00617C85"/>
    <w:rsid w:val="00620D2D"/>
    <w:rsid w:val="0062104C"/>
    <w:rsid w:val="0062125D"/>
    <w:rsid w:val="00621DA0"/>
    <w:rsid w:val="00622DAB"/>
    <w:rsid w:val="006234BB"/>
    <w:rsid w:val="00623697"/>
    <w:rsid w:val="006237D0"/>
    <w:rsid w:val="00623DA4"/>
    <w:rsid w:val="006241D6"/>
    <w:rsid w:val="00624540"/>
    <w:rsid w:val="00624A2F"/>
    <w:rsid w:val="00625B6F"/>
    <w:rsid w:val="006264B2"/>
    <w:rsid w:val="0062683D"/>
    <w:rsid w:val="00627218"/>
    <w:rsid w:val="00627335"/>
    <w:rsid w:val="00627A9B"/>
    <w:rsid w:val="00631222"/>
    <w:rsid w:val="006323B8"/>
    <w:rsid w:val="00633525"/>
    <w:rsid w:val="00633939"/>
    <w:rsid w:val="00633A62"/>
    <w:rsid w:val="00634357"/>
    <w:rsid w:val="00635649"/>
    <w:rsid w:val="0063626C"/>
    <w:rsid w:val="006374BA"/>
    <w:rsid w:val="00640957"/>
    <w:rsid w:val="00641350"/>
    <w:rsid w:val="0064140B"/>
    <w:rsid w:val="00643AFD"/>
    <w:rsid w:val="00643B01"/>
    <w:rsid w:val="006450DB"/>
    <w:rsid w:val="00645743"/>
    <w:rsid w:val="00647300"/>
    <w:rsid w:val="006518D3"/>
    <w:rsid w:val="00655811"/>
    <w:rsid w:val="00655821"/>
    <w:rsid w:val="00655BBE"/>
    <w:rsid w:val="00655D57"/>
    <w:rsid w:val="00655E25"/>
    <w:rsid w:val="00656EF8"/>
    <w:rsid w:val="00657DB5"/>
    <w:rsid w:val="00660B24"/>
    <w:rsid w:val="0066326D"/>
    <w:rsid w:val="006642E1"/>
    <w:rsid w:val="006649E4"/>
    <w:rsid w:val="00665037"/>
    <w:rsid w:val="00665755"/>
    <w:rsid w:val="00666913"/>
    <w:rsid w:val="00666EA6"/>
    <w:rsid w:val="006745F7"/>
    <w:rsid w:val="00674DE7"/>
    <w:rsid w:val="006750A9"/>
    <w:rsid w:val="00676D74"/>
    <w:rsid w:val="00677028"/>
    <w:rsid w:val="006771BC"/>
    <w:rsid w:val="0068108C"/>
    <w:rsid w:val="00682B8C"/>
    <w:rsid w:val="0068438C"/>
    <w:rsid w:val="006855A0"/>
    <w:rsid w:val="0068570E"/>
    <w:rsid w:val="00685A2F"/>
    <w:rsid w:val="006873C4"/>
    <w:rsid w:val="00690549"/>
    <w:rsid w:val="00691502"/>
    <w:rsid w:val="00691800"/>
    <w:rsid w:val="006919B9"/>
    <w:rsid w:val="006924AE"/>
    <w:rsid w:val="006935F1"/>
    <w:rsid w:val="00693CBB"/>
    <w:rsid w:val="0069449F"/>
    <w:rsid w:val="006962AB"/>
    <w:rsid w:val="0069630E"/>
    <w:rsid w:val="006A1B9B"/>
    <w:rsid w:val="006A1D3D"/>
    <w:rsid w:val="006A26FF"/>
    <w:rsid w:val="006A2FDF"/>
    <w:rsid w:val="006A3200"/>
    <w:rsid w:val="006A4336"/>
    <w:rsid w:val="006A49EF"/>
    <w:rsid w:val="006A4EBA"/>
    <w:rsid w:val="006A53A7"/>
    <w:rsid w:val="006A6876"/>
    <w:rsid w:val="006A7BB7"/>
    <w:rsid w:val="006B10F0"/>
    <w:rsid w:val="006B2709"/>
    <w:rsid w:val="006B2D93"/>
    <w:rsid w:val="006B3395"/>
    <w:rsid w:val="006B3F02"/>
    <w:rsid w:val="006B41F9"/>
    <w:rsid w:val="006B5F13"/>
    <w:rsid w:val="006B7492"/>
    <w:rsid w:val="006B75F0"/>
    <w:rsid w:val="006C04B6"/>
    <w:rsid w:val="006C0A1E"/>
    <w:rsid w:val="006C1962"/>
    <w:rsid w:val="006C1AEA"/>
    <w:rsid w:val="006C1ED6"/>
    <w:rsid w:val="006C2127"/>
    <w:rsid w:val="006C22AA"/>
    <w:rsid w:val="006C35BE"/>
    <w:rsid w:val="006C43B2"/>
    <w:rsid w:val="006C4B71"/>
    <w:rsid w:val="006C5857"/>
    <w:rsid w:val="006D05A1"/>
    <w:rsid w:val="006D0B39"/>
    <w:rsid w:val="006D5721"/>
    <w:rsid w:val="006D5C56"/>
    <w:rsid w:val="006D5D47"/>
    <w:rsid w:val="006D74D1"/>
    <w:rsid w:val="006D7631"/>
    <w:rsid w:val="006D7F23"/>
    <w:rsid w:val="006D7F84"/>
    <w:rsid w:val="006D7FD6"/>
    <w:rsid w:val="006E0883"/>
    <w:rsid w:val="006E13AB"/>
    <w:rsid w:val="006E1997"/>
    <w:rsid w:val="006E2167"/>
    <w:rsid w:val="006E2494"/>
    <w:rsid w:val="006E3830"/>
    <w:rsid w:val="006F08FF"/>
    <w:rsid w:val="006F0E23"/>
    <w:rsid w:val="006F314F"/>
    <w:rsid w:val="006F3846"/>
    <w:rsid w:val="006F4045"/>
    <w:rsid w:val="006F4226"/>
    <w:rsid w:val="006F4F5D"/>
    <w:rsid w:val="006F5A96"/>
    <w:rsid w:val="006F65BD"/>
    <w:rsid w:val="006F7490"/>
    <w:rsid w:val="0070015E"/>
    <w:rsid w:val="00700663"/>
    <w:rsid w:val="00703431"/>
    <w:rsid w:val="0070392C"/>
    <w:rsid w:val="00703EFA"/>
    <w:rsid w:val="00704523"/>
    <w:rsid w:val="0070471C"/>
    <w:rsid w:val="0070582E"/>
    <w:rsid w:val="007059E5"/>
    <w:rsid w:val="007076F2"/>
    <w:rsid w:val="007113F3"/>
    <w:rsid w:val="00711717"/>
    <w:rsid w:val="007119B2"/>
    <w:rsid w:val="00713C58"/>
    <w:rsid w:val="00716C58"/>
    <w:rsid w:val="00717666"/>
    <w:rsid w:val="00717E49"/>
    <w:rsid w:val="00720E21"/>
    <w:rsid w:val="00721506"/>
    <w:rsid w:val="0072200F"/>
    <w:rsid w:val="00722ED2"/>
    <w:rsid w:val="00725657"/>
    <w:rsid w:val="007265CB"/>
    <w:rsid w:val="007307A5"/>
    <w:rsid w:val="00731E6D"/>
    <w:rsid w:val="0073232B"/>
    <w:rsid w:val="00733ECB"/>
    <w:rsid w:val="007351A5"/>
    <w:rsid w:val="00735441"/>
    <w:rsid w:val="00736083"/>
    <w:rsid w:val="00736407"/>
    <w:rsid w:val="00736656"/>
    <w:rsid w:val="00736777"/>
    <w:rsid w:val="00742EB4"/>
    <w:rsid w:val="007430BC"/>
    <w:rsid w:val="00743B28"/>
    <w:rsid w:val="007441C6"/>
    <w:rsid w:val="00744EA5"/>
    <w:rsid w:val="0074518E"/>
    <w:rsid w:val="00745F23"/>
    <w:rsid w:val="00746E44"/>
    <w:rsid w:val="007470F1"/>
    <w:rsid w:val="00747284"/>
    <w:rsid w:val="00747869"/>
    <w:rsid w:val="007537AB"/>
    <w:rsid w:val="00753E3D"/>
    <w:rsid w:val="007546EF"/>
    <w:rsid w:val="00755879"/>
    <w:rsid w:val="00756165"/>
    <w:rsid w:val="00756F34"/>
    <w:rsid w:val="00760002"/>
    <w:rsid w:val="00761034"/>
    <w:rsid w:val="00761082"/>
    <w:rsid w:val="007657C3"/>
    <w:rsid w:val="00765DFC"/>
    <w:rsid w:val="00770491"/>
    <w:rsid w:val="00771922"/>
    <w:rsid w:val="00773027"/>
    <w:rsid w:val="00773364"/>
    <w:rsid w:val="00774450"/>
    <w:rsid w:val="007746E5"/>
    <w:rsid w:val="00774798"/>
    <w:rsid w:val="00777320"/>
    <w:rsid w:val="0077744C"/>
    <w:rsid w:val="007800A1"/>
    <w:rsid w:val="00780126"/>
    <w:rsid w:val="007815FD"/>
    <w:rsid w:val="00781B67"/>
    <w:rsid w:val="00781FA2"/>
    <w:rsid w:val="0078466A"/>
    <w:rsid w:val="00785530"/>
    <w:rsid w:val="00786924"/>
    <w:rsid w:val="007873D4"/>
    <w:rsid w:val="00790F70"/>
    <w:rsid w:val="00790FDD"/>
    <w:rsid w:val="007917C3"/>
    <w:rsid w:val="00791C3F"/>
    <w:rsid w:val="00791C95"/>
    <w:rsid w:val="00792106"/>
    <w:rsid w:val="00792AB6"/>
    <w:rsid w:val="00796EDB"/>
    <w:rsid w:val="00797565"/>
    <w:rsid w:val="007A2293"/>
    <w:rsid w:val="007A34A9"/>
    <w:rsid w:val="007A3A8E"/>
    <w:rsid w:val="007A4E95"/>
    <w:rsid w:val="007A5767"/>
    <w:rsid w:val="007A58E9"/>
    <w:rsid w:val="007A73C6"/>
    <w:rsid w:val="007B0BC5"/>
    <w:rsid w:val="007B22E8"/>
    <w:rsid w:val="007B4ACF"/>
    <w:rsid w:val="007B6E39"/>
    <w:rsid w:val="007B70AD"/>
    <w:rsid w:val="007C0913"/>
    <w:rsid w:val="007C1032"/>
    <w:rsid w:val="007C1691"/>
    <w:rsid w:val="007C2609"/>
    <w:rsid w:val="007C60B6"/>
    <w:rsid w:val="007C7B80"/>
    <w:rsid w:val="007D0038"/>
    <w:rsid w:val="007D16BB"/>
    <w:rsid w:val="007D1E32"/>
    <w:rsid w:val="007D3453"/>
    <w:rsid w:val="007D373A"/>
    <w:rsid w:val="007D3EEB"/>
    <w:rsid w:val="007D4373"/>
    <w:rsid w:val="007D5B19"/>
    <w:rsid w:val="007D6489"/>
    <w:rsid w:val="007D747F"/>
    <w:rsid w:val="007D755C"/>
    <w:rsid w:val="007E23B9"/>
    <w:rsid w:val="007E2807"/>
    <w:rsid w:val="007E38E4"/>
    <w:rsid w:val="007E5A7A"/>
    <w:rsid w:val="007E5DCF"/>
    <w:rsid w:val="007E5E07"/>
    <w:rsid w:val="007E6FB5"/>
    <w:rsid w:val="007E7516"/>
    <w:rsid w:val="007F081D"/>
    <w:rsid w:val="007F122D"/>
    <w:rsid w:val="007F17B5"/>
    <w:rsid w:val="007F1929"/>
    <w:rsid w:val="007F48BB"/>
    <w:rsid w:val="007F5332"/>
    <w:rsid w:val="007F58D9"/>
    <w:rsid w:val="007F5C16"/>
    <w:rsid w:val="0080076C"/>
    <w:rsid w:val="00801BD3"/>
    <w:rsid w:val="00804276"/>
    <w:rsid w:val="00804C2F"/>
    <w:rsid w:val="0080636D"/>
    <w:rsid w:val="00806E4C"/>
    <w:rsid w:val="00807207"/>
    <w:rsid w:val="008077BD"/>
    <w:rsid w:val="00810104"/>
    <w:rsid w:val="00810A3B"/>
    <w:rsid w:val="008114DB"/>
    <w:rsid w:val="008139FB"/>
    <w:rsid w:val="008146E3"/>
    <w:rsid w:val="00817306"/>
    <w:rsid w:val="00821E25"/>
    <w:rsid w:val="00825AD4"/>
    <w:rsid w:val="00830924"/>
    <w:rsid w:val="00832E4E"/>
    <w:rsid w:val="00833F84"/>
    <w:rsid w:val="0083616A"/>
    <w:rsid w:val="00836338"/>
    <w:rsid w:val="0083799E"/>
    <w:rsid w:val="00837AA3"/>
    <w:rsid w:val="008404FE"/>
    <w:rsid w:val="00840BBD"/>
    <w:rsid w:val="0084440D"/>
    <w:rsid w:val="008450D5"/>
    <w:rsid w:val="00850519"/>
    <w:rsid w:val="00853F5F"/>
    <w:rsid w:val="00854C33"/>
    <w:rsid w:val="00856C22"/>
    <w:rsid w:val="00857559"/>
    <w:rsid w:val="0086059A"/>
    <w:rsid w:val="00860B55"/>
    <w:rsid w:val="0086149F"/>
    <w:rsid w:val="00861599"/>
    <w:rsid w:val="00861F48"/>
    <w:rsid w:val="008621BD"/>
    <w:rsid w:val="008632BB"/>
    <w:rsid w:val="00863A90"/>
    <w:rsid w:val="00864C57"/>
    <w:rsid w:val="00864D5D"/>
    <w:rsid w:val="008656B6"/>
    <w:rsid w:val="008670C9"/>
    <w:rsid w:val="0086712E"/>
    <w:rsid w:val="008674A5"/>
    <w:rsid w:val="00870489"/>
    <w:rsid w:val="008704B8"/>
    <w:rsid w:val="008708E8"/>
    <w:rsid w:val="008709C7"/>
    <w:rsid w:val="00874AB7"/>
    <w:rsid w:val="008751D5"/>
    <w:rsid w:val="00875A04"/>
    <w:rsid w:val="00875DF4"/>
    <w:rsid w:val="0087771C"/>
    <w:rsid w:val="00877ACC"/>
    <w:rsid w:val="0088066C"/>
    <w:rsid w:val="008806F5"/>
    <w:rsid w:val="0088409F"/>
    <w:rsid w:val="00885478"/>
    <w:rsid w:val="008857C0"/>
    <w:rsid w:val="00885AA0"/>
    <w:rsid w:val="00885FEA"/>
    <w:rsid w:val="0088652B"/>
    <w:rsid w:val="00886BC4"/>
    <w:rsid w:val="00886BF3"/>
    <w:rsid w:val="00887184"/>
    <w:rsid w:val="008920FF"/>
    <w:rsid w:val="00892A3E"/>
    <w:rsid w:val="008930E1"/>
    <w:rsid w:val="00894162"/>
    <w:rsid w:val="008943BB"/>
    <w:rsid w:val="00894C55"/>
    <w:rsid w:val="0089518B"/>
    <w:rsid w:val="00895D1E"/>
    <w:rsid w:val="00895F4F"/>
    <w:rsid w:val="00896404"/>
    <w:rsid w:val="008967CD"/>
    <w:rsid w:val="00897FF4"/>
    <w:rsid w:val="008A0C4C"/>
    <w:rsid w:val="008A1D63"/>
    <w:rsid w:val="008A4A41"/>
    <w:rsid w:val="008A4E75"/>
    <w:rsid w:val="008A5AC0"/>
    <w:rsid w:val="008A7819"/>
    <w:rsid w:val="008B136A"/>
    <w:rsid w:val="008B31C3"/>
    <w:rsid w:val="008B395C"/>
    <w:rsid w:val="008B4F2F"/>
    <w:rsid w:val="008B53B8"/>
    <w:rsid w:val="008B63EC"/>
    <w:rsid w:val="008B64EC"/>
    <w:rsid w:val="008B6B06"/>
    <w:rsid w:val="008B7672"/>
    <w:rsid w:val="008C3824"/>
    <w:rsid w:val="008C3C3A"/>
    <w:rsid w:val="008C49E8"/>
    <w:rsid w:val="008C4D82"/>
    <w:rsid w:val="008C5773"/>
    <w:rsid w:val="008C7C5B"/>
    <w:rsid w:val="008D029D"/>
    <w:rsid w:val="008D05AE"/>
    <w:rsid w:val="008D10FA"/>
    <w:rsid w:val="008D2E50"/>
    <w:rsid w:val="008D2FBD"/>
    <w:rsid w:val="008D3AB6"/>
    <w:rsid w:val="008D6E0C"/>
    <w:rsid w:val="008E07E2"/>
    <w:rsid w:val="008E0938"/>
    <w:rsid w:val="008E0E75"/>
    <w:rsid w:val="008E36E3"/>
    <w:rsid w:val="008E3860"/>
    <w:rsid w:val="008E4120"/>
    <w:rsid w:val="008E4775"/>
    <w:rsid w:val="008E6123"/>
    <w:rsid w:val="008E7294"/>
    <w:rsid w:val="008F0F0E"/>
    <w:rsid w:val="008F1293"/>
    <w:rsid w:val="008F1398"/>
    <w:rsid w:val="008F2A77"/>
    <w:rsid w:val="008F3674"/>
    <w:rsid w:val="008F541D"/>
    <w:rsid w:val="008F5699"/>
    <w:rsid w:val="008F6361"/>
    <w:rsid w:val="008F6ACD"/>
    <w:rsid w:val="008F75BA"/>
    <w:rsid w:val="008F792A"/>
    <w:rsid w:val="008F7E45"/>
    <w:rsid w:val="00900571"/>
    <w:rsid w:val="00900897"/>
    <w:rsid w:val="00900F94"/>
    <w:rsid w:val="00903BC1"/>
    <w:rsid w:val="00904711"/>
    <w:rsid w:val="00906AEE"/>
    <w:rsid w:val="00907606"/>
    <w:rsid w:val="00907A9D"/>
    <w:rsid w:val="009104DB"/>
    <w:rsid w:val="00912737"/>
    <w:rsid w:val="009129F1"/>
    <w:rsid w:val="00915ACA"/>
    <w:rsid w:val="009162CC"/>
    <w:rsid w:val="00916451"/>
    <w:rsid w:val="00916681"/>
    <w:rsid w:val="009167AE"/>
    <w:rsid w:val="009169F7"/>
    <w:rsid w:val="00917655"/>
    <w:rsid w:val="00920F12"/>
    <w:rsid w:val="00921583"/>
    <w:rsid w:val="00925688"/>
    <w:rsid w:val="0092678F"/>
    <w:rsid w:val="009267D5"/>
    <w:rsid w:val="009269C9"/>
    <w:rsid w:val="00930DEF"/>
    <w:rsid w:val="00933CAA"/>
    <w:rsid w:val="009355A2"/>
    <w:rsid w:val="009357C1"/>
    <w:rsid w:val="00936A8E"/>
    <w:rsid w:val="00936BE1"/>
    <w:rsid w:val="00937280"/>
    <w:rsid w:val="0094233A"/>
    <w:rsid w:val="00942ADD"/>
    <w:rsid w:val="00942F77"/>
    <w:rsid w:val="009449A5"/>
    <w:rsid w:val="00945856"/>
    <w:rsid w:val="00946819"/>
    <w:rsid w:val="0094796E"/>
    <w:rsid w:val="00950BD1"/>
    <w:rsid w:val="00951C5E"/>
    <w:rsid w:val="009520EA"/>
    <w:rsid w:val="00952110"/>
    <w:rsid w:val="009530CD"/>
    <w:rsid w:val="00953190"/>
    <w:rsid w:val="009535E1"/>
    <w:rsid w:val="0095373D"/>
    <w:rsid w:val="0095378D"/>
    <w:rsid w:val="00954919"/>
    <w:rsid w:val="00954FA8"/>
    <w:rsid w:val="00954FD1"/>
    <w:rsid w:val="009551D7"/>
    <w:rsid w:val="00955E3E"/>
    <w:rsid w:val="00957328"/>
    <w:rsid w:val="00961ADC"/>
    <w:rsid w:val="00961DC0"/>
    <w:rsid w:val="00961FB6"/>
    <w:rsid w:val="009635E7"/>
    <w:rsid w:val="00965592"/>
    <w:rsid w:val="00965C4B"/>
    <w:rsid w:val="009662F6"/>
    <w:rsid w:val="009673FC"/>
    <w:rsid w:val="00970736"/>
    <w:rsid w:val="00970D94"/>
    <w:rsid w:val="009715D8"/>
    <w:rsid w:val="0097166F"/>
    <w:rsid w:val="00971673"/>
    <w:rsid w:val="009719EB"/>
    <w:rsid w:val="00972912"/>
    <w:rsid w:val="00972ABA"/>
    <w:rsid w:val="0097360F"/>
    <w:rsid w:val="00975612"/>
    <w:rsid w:val="009774DB"/>
    <w:rsid w:val="0097757A"/>
    <w:rsid w:val="00981702"/>
    <w:rsid w:val="009848A3"/>
    <w:rsid w:val="00985D30"/>
    <w:rsid w:val="00991164"/>
    <w:rsid w:val="00991920"/>
    <w:rsid w:val="0099256D"/>
    <w:rsid w:val="009927A8"/>
    <w:rsid w:val="00992F01"/>
    <w:rsid w:val="00993401"/>
    <w:rsid w:val="00993FA8"/>
    <w:rsid w:val="00995E20"/>
    <w:rsid w:val="009A0B84"/>
    <w:rsid w:val="009A182F"/>
    <w:rsid w:val="009A1F67"/>
    <w:rsid w:val="009A33E6"/>
    <w:rsid w:val="009A491F"/>
    <w:rsid w:val="009A6566"/>
    <w:rsid w:val="009A66E2"/>
    <w:rsid w:val="009A7209"/>
    <w:rsid w:val="009A738B"/>
    <w:rsid w:val="009A7ED3"/>
    <w:rsid w:val="009B0805"/>
    <w:rsid w:val="009B0B7C"/>
    <w:rsid w:val="009B3D2C"/>
    <w:rsid w:val="009B464D"/>
    <w:rsid w:val="009B5022"/>
    <w:rsid w:val="009B53E2"/>
    <w:rsid w:val="009B644F"/>
    <w:rsid w:val="009B6494"/>
    <w:rsid w:val="009B7A95"/>
    <w:rsid w:val="009C02CB"/>
    <w:rsid w:val="009C11E7"/>
    <w:rsid w:val="009C1CC3"/>
    <w:rsid w:val="009C343D"/>
    <w:rsid w:val="009C5BB3"/>
    <w:rsid w:val="009C668A"/>
    <w:rsid w:val="009C6A34"/>
    <w:rsid w:val="009C753D"/>
    <w:rsid w:val="009D27BD"/>
    <w:rsid w:val="009D2C4F"/>
    <w:rsid w:val="009D3056"/>
    <w:rsid w:val="009D3B60"/>
    <w:rsid w:val="009D589B"/>
    <w:rsid w:val="009D601A"/>
    <w:rsid w:val="009D6327"/>
    <w:rsid w:val="009D727D"/>
    <w:rsid w:val="009E021E"/>
    <w:rsid w:val="009E03D2"/>
    <w:rsid w:val="009E08D6"/>
    <w:rsid w:val="009E0E66"/>
    <w:rsid w:val="009E1DDB"/>
    <w:rsid w:val="009E240D"/>
    <w:rsid w:val="009E37E1"/>
    <w:rsid w:val="009E69D1"/>
    <w:rsid w:val="009E7505"/>
    <w:rsid w:val="009F25A6"/>
    <w:rsid w:val="009F26D7"/>
    <w:rsid w:val="009F35AC"/>
    <w:rsid w:val="009F3ECD"/>
    <w:rsid w:val="009F4215"/>
    <w:rsid w:val="009F54AF"/>
    <w:rsid w:val="009F6138"/>
    <w:rsid w:val="00A0076F"/>
    <w:rsid w:val="00A0080E"/>
    <w:rsid w:val="00A0119A"/>
    <w:rsid w:val="00A034CA"/>
    <w:rsid w:val="00A03699"/>
    <w:rsid w:val="00A04471"/>
    <w:rsid w:val="00A06659"/>
    <w:rsid w:val="00A07C93"/>
    <w:rsid w:val="00A10E9E"/>
    <w:rsid w:val="00A12BCC"/>
    <w:rsid w:val="00A12C40"/>
    <w:rsid w:val="00A12DE6"/>
    <w:rsid w:val="00A147E7"/>
    <w:rsid w:val="00A14B82"/>
    <w:rsid w:val="00A14D7F"/>
    <w:rsid w:val="00A20B05"/>
    <w:rsid w:val="00A2135B"/>
    <w:rsid w:val="00A2454F"/>
    <w:rsid w:val="00A25786"/>
    <w:rsid w:val="00A25EC7"/>
    <w:rsid w:val="00A26697"/>
    <w:rsid w:val="00A26E85"/>
    <w:rsid w:val="00A30EB9"/>
    <w:rsid w:val="00A322B6"/>
    <w:rsid w:val="00A32329"/>
    <w:rsid w:val="00A3371B"/>
    <w:rsid w:val="00A34035"/>
    <w:rsid w:val="00A344B1"/>
    <w:rsid w:val="00A34BA3"/>
    <w:rsid w:val="00A3585C"/>
    <w:rsid w:val="00A4254F"/>
    <w:rsid w:val="00A44BFE"/>
    <w:rsid w:val="00A4501E"/>
    <w:rsid w:val="00A476B1"/>
    <w:rsid w:val="00A51199"/>
    <w:rsid w:val="00A52290"/>
    <w:rsid w:val="00A52403"/>
    <w:rsid w:val="00A52DBA"/>
    <w:rsid w:val="00A53B56"/>
    <w:rsid w:val="00A5451A"/>
    <w:rsid w:val="00A545DF"/>
    <w:rsid w:val="00A55849"/>
    <w:rsid w:val="00A576B4"/>
    <w:rsid w:val="00A604A2"/>
    <w:rsid w:val="00A61F2B"/>
    <w:rsid w:val="00A62204"/>
    <w:rsid w:val="00A62D6F"/>
    <w:rsid w:val="00A63166"/>
    <w:rsid w:val="00A63428"/>
    <w:rsid w:val="00A63B30"/>
    <w:rsid w:val="00A63C4D"/>
    <w:rsid w:val="00A651D1"/>
    <w:rsid w:val="00A67955"/>
    <w:rsid w:val="00A71482"/>
    <w:rsid w:val="00A743BD"/>
    <w:rsid w:val="00A75812"/>
    <w:rsid w:val="00A76B9E"/>
    <w:rsid w:val="00A7735B"/>
    <w:rsid w:val="00A774DB"/>
    <w:rsid w:val="00A775C2"/>
    <w:rsid w:val="00A80103"/>
    <w:rsid w:val="00A81143"/>
    <w:rsid w:val="00A81DFA"/>
    <w:rsid w:val="00A8366E"/>
    <w:rsid w:val="00A83A9E"/>
    <w:rsid w:val="00A83F30"/>
    <w:rsid w:val="00A8512A"/>
    <w:rsid w:val="00A8579E"/>
    <w:rsid w:val="00A85BE5"/>
    <w:rsid w:val="00A85CF1"/>
    <w:rsid w:val="00A864E6"/>
    <w:rsid w:val="00A87F4B"/>
    <w:rsid w:val="00A909A3"/>
    <w:rsid w:val="00A91968"/>
    <w:rsid w:val="00A92ECA"/>
    <w:rsid w:val="00A939AC"/>
    <w:rsid w:val="00A940E3"/>
    <w:rsid w:val="00A9421D"/>
    <w:rsid w:val="00A95516"/>
    <w:rsid w:val="00A95D70"/>
    <w:rsid w:val="00A96AF4"/>
    <w:rsid w:val="00A96BA6"/>
    <w:rsid w:val="00A9762F"/>
    <w:rsid w:val="00A97699"/>
    <w:rsid w:val="00A97829"/>
    <w:rsid w:val="00AA0823"/>
    <w:rsid w:val="00AA1392"/>
    <w:rsid w:val="00AA18A6"/>
    <w:rsid w:val="00AA196E"/>
    <w:rsid w:val="00AA4CBE"/>
    <w:rsid w:val="00AA5045"/>
    <w:rsid w:val="00AA6244"/>
    <w:rsid w:val="00AA72CA"/>
    <w:rsid w:val="00AA7897"/>
    <w:rsid w:val="00AA7BF8"/>
    <w:rsid w:val="00AA7CDF"/>
    <w:rsid w:val="00AB0412"/>
    <w:rsid w:val="00AB051C"/>
    <w:rsid w:val="00AB05E3"/>
    <w:rsid w:val="00AB1852"/>
    <w:rsid w:val="00AB3E3D"/>
    <w:rsid w:val="00AB43E3"/>
    <w:rsid w:val="00AB49D7"/>
    <w:rsid w:val="00AB5462"/>
    <w:rsid w:val="00AB5646"/>
    <w:rsid w:val="00AB5A57"/>
    <w:rsid w:val="00AB6ADB"/>
    <w:rsid w:val="00AB7192"/>
    <w:rsid w:val="00AB7AE1"/>
    <w:rsid w:val="00AC1AB7"/>
    <w:rsid w:val="00AC5082"/>
    <w:rsid w:val="00AC53E1"/>
    <w:rsid w:val="00AC698C"/>
    <w:rsid w:val="00AD034C"/>
    <w:rsid w:val="00AD316A"/>
    <w:rsid w:val="00AD3992"/>
    <w:rsid w:val="00AD5E0C"/>
    <w:rsid w:val="00AD7167"/>
    <w:rsid w:val="00AD7554"/>
    <w:rsid w:val="00AE02AA"/>
    <w:rsid w:val="00AE1CF1"/>
    <w:rsid w:val="00AE3327"/>
    <w:rsid w:val="00AE3A56"/>
    <w:rsid w:val="00AE411A"/>
    <w:rsid w:val="00AE49FA"/>
    <w:rsid w:val="00AE6C30"/>
    <w:rsid w:val="00AE7AF6"/>
    <w:rsid w:val="00AF0E70"/>
    <w:rsid w:val="00AF3864"/>
    <w:rsid w:val="00AF5C8A"/>
    <w:rsid w:val="00AF5DAC"/>
    <w:rsid w:val="00AF74AC"/>
    <w:rsid w:val="00AF7985"/>
    <w:rsid w:val="00B0005E"/>
    <w:rsid w:val="00B05E39"/>
    <w:rsid w:val="00B06CAC"/>
    <w:rsid w:val="00B10E91"/>
    <w:rsid w:val="00B111B4"/>
    <w:rsid w:val="00B113BD"/>
    <w:rsid w:val="00B159D6"/>
    <w:rsid w:val="00B16D8F"/>
    <w:rsid w:val="00B173B6"/>
    <w:rsid w:val="00B17720"/>
    <w:rsid w:val="00B17FC8"/>
    <w:rsid w:val="00B20AFA"/>
    <w:rsid w:val="00B20F9C"/>
    <w:rsid w:val="00B218EC"/>
    <w:rsid w:val="00B21CFA"/>
    <w:rsid w:val="00B22113"/>
    <w:rsid w:val="00B222D8"/>
    <w:rsid w:val="00B224B8"/>
    <w:rsid w:val="00B22E46"/>
    <w:rsid w:val="00B24A5D"/>
    <w:rsid w:val="00B24CD6"/>
    <w:rsid w:val="00B24FB1"/>
    <w:rsid w:val="00B2575B"/>
    <w:rsid w:val="00B26CFD"/>
    <w:rsid w:val="00B27873"/>
    <w:rsid w:val="00B27D99"/>
    <w:rsid w:val="00B32163"/>
    <w:rsid w:val="00B32D63"/>
    <w:rsid w:val="00B335A4"/>
    <w:rsid w:val="00B366E8"/>
    <w:rsid w:val="00B37A34"/>
    <w:rsid w:val="00B42A36"/>
    <w:rsid w:val="00B44EB9"/>
    <w:rsid w:val="00B45046"/>
    <w:rsid w:val="00B468C1"/>
    <w:rsid w:val="00B46A83"/>
    <w:rsid w:val="00B46DC9"/>
    <w:rsid w:val="00B47376"/>
    <w:rsid w:val="00B476E8"/>
    <w:rsid w:val="00B476F1"/>
    <w:rsid w:val="00B47716"/>
    <w:rsid w:val="00B50990"/>
    <w:rsid w:val="00B50EA1"/>
    <w:rsid w:val="00B51278"/>
    <w:rsid w:val="00B51EA4"/>
    <w:rsid w:val="00B5260D"/>
    <w:rsid w:val="00B52730"/>
    <w:rsid w:val="00B53AC2"/>
    <w:rsid w:val="00B54249"/>
    <w:rsid w:val="00B5524B"/>
    <w:rsid w:val="00B569AA"/>
    <w:rsid w:val="00B5723E"/>
    <w:rsid w:val="00B573F3"/>
    <w:rsid w:val="00B6111B"/>
    <w:rsid w:val="00B637D6"/>
    <w:rsid w:val="00B640FC"/>
    <w:rsid w:val="00B65717"/>
    <w:rsid w:val="00B65A01"/>
    <w:rsid w:val="00B666BC"/>
    <w:rsid w:val="00B67711"/>
    <w:rsid w:val="00B71B34"/>
    <w:rsid w:val="00B7228B"/>
    <w:rsid w:val="00B7268C"/>
    <w:rsid w:val="00B73C23"/>
    <w:rsid w:val="00B74323"/>
    <w:rsid w:val="00B74502"/>
    <w:rsid w:val="00B754D4"/>
    <w:rsid w:val="00B755E1"/>
    <w:rsid w:val="00B7748B"/>
    <w:rsid w:val="00B779CE"/>
    <w:rsid w:val="00B82880"/>
    <w:rsid w:val="00B82C25"/>
    <w:rsid w:val="00B8456D"/>
    <w:rsid w:val="00B851E9"/>
    <w:rsid w:val="00B85414"/>
    <w:rsid w:val="00B85FD5"/>
    <w:rsid w:val="00B8640B"/>
    <w:rsid w:val="00B86D34"/>
    <w:rsid w:val="00B86F05"/>
    <w:rsid w:val="00B87E16"/>
    <w:rsid w:val="00B9050A"/>
    <w:rsid w:val="00B91455"/>
    <w:rsid w:val="00B917BF"/>
    <w:rsid w:val="00B91EA2"/>
    <w:rsid w:val="00B9457F"/>
    <w:rsid w:val="00B96853"/>
    <w:rsid w:val="00BA1E7B"/>
    <w:rsid w:val="00BA205F"/>
    <w:rsid w:val="00BA25A3"/>
    <w:rsid w:val="00BA29E5"/>
    <w:rsid w:val="00BA3604"/>
    <w:rsid w:val="00BA4C7C"/>
    <w:rsid w:val="00BA502A"/>
    <w:rsid w:val="00BA58CB"/>
    <w:rsid w:val="00BA5C1F"/>
    <w:rsid w:val="00BA6632"/>
    <w:rsid w:val="00BA78C8"/>
    <w:rsid w:val="00BB04C2"/>
    <w:rsid w:val="00BB09C3"/>
    <w:rsid w:val="00BB1084"/>
    <w:rsid w:val="00BB1CD1"/>
    <w:rsid w:val="00BB23B7"/>
    <w:rsid w:val="00BB28F8"/>
    <w:rsid w:val="00BB2D55"/>
    <w:rsid w:val="00BB4031"/>
    <w:rsid w:val="00BB49C5"/>
    <w:rsid w:val="00BB7399"/>
    <w:rsid w:val="00BC04AB"/>
    <w:rsid w:val="00BC0FAB"/>
    <w:rsid w:val="00BC469F"/>
    <w:rsid w:val="00BC4805"/>
    <w:rsid w:val="00BC5654"/>
    <w:rsid w:val="00BC6A93"/>
    <w:rsid w:val="00BD09C1"/>
    <w:rsid w:val="00BD4770"/>
    <w:rsid w:val="00BD4DD9"/>
    <w:rsid w:val="00BD62E9"/>
    <w:rsid w:val="00BE0586"/>
    <w:rsid w:val="00BE0C97"/>
    <w:rsid w:val="00BE1146"/>
    <w:rsid w:val="00BE37D9"/>
    <w:rsid w:val="00BE510E"/>
    <w:rsid w:val="00BE6801"/>
    <w:rsid w:val="00BE6E06"/>
    <w:rsid w:val="00BE7885"/>
    <w:rsid w:val="00BF174F"/>
    <w:rsid w:val="00BF232D"/>
    <w:rsid w:val="00BF246A"/>
    <w:rsid w:val="00BF2FAE"/>
    <w:rsid w:val="00BF30D6"/>
    <w:rsid w:val="00BF3D4A"/>
    <w:rsid w:val="00BF58EA"/>
    <w:rsid w:val="00BF696B"/>
    <w:rsid w:val="00BF76D3"/>
    <w:rsid w:val="00BF7E1E"/>
    <w:rsid w:val="00C0135A"/>
    <w:rsid w:val="00C022D9"/>
    <w:rsid w:val="00C030A5"/>
    <w:rsid w:val="00C03722"/>
    <w:rsid w:val="00C03E22"/>
    <w:rsid w:val="00C04589"/>
    <w:rsid w:val="00C0579F"/>
    <w:rsid w:val="00C07C88"/>
    <w:rsid w:val="00C10CAD"/>
    <w:rsid w:val="00C12849"/>
    <w:rsid w:val="00C12F0F"/>
    <w:rsid w:val="00C13966"/>
    <w:rsid w:val="00C158B7"/>
    <w:rsid w:val="00C15E83"/>
    <w:rsid w:val="00C16007"/>
    <w:rsid w:val="00C16223"/>
    <w:rsid w:val="00C1647B"/>
    <w:rsid w:val="00C16BBC"/>
    <w:rsid w:val="00C17352"/>
    <w:rsid w:val="00C2121D"/>
    <w:rsid w:val="00C24512"/>
    <w:rsid w:val="00C26663"/>
    <w:rsid w:val="00C27469"/>
    <w:rsid w:val="00C27C1B"/>
    <w:rsid w:val="00C27EF8"/>
    <w:rsid w:val="00C306FE"/>
    <w:rsid w:val="00C331E8"/>
    <w:rsid w:val="00C34BD9"/>
    <w:rsid w:val="00C34DB2"/>
    <w:rsid w:val="00C3663B"/>
    <w:rsid w:val="00C413CC"/>
    <w:rsid w:val="00C41624"/>
    <w:rsid w:val="00C41C38"/>
    <w:rsid w:val="00C41EAD"/>
    <w:rsid w:val="00C4270C"/>
    <w:rsid w:val="00C438BA"/>
    <w:rsid w:val="00C43B79"/>
    <w:rsid w:val="00C4418C"/>
    <w:rsid w:val="00C44224"/>
    <w:rsid w:val="00C44CCF"/>
    <w:rsid w:val="00C44EEE"/>
    <w:rsid w:val="00C45919"/>
    <w:rsid w:val="00C45C94"/>
    <w:rsid w:val="00C46062"/>
    <w:rsid w:val="00C4703B"/>
    <w:rsid w:val="00C47A79"/>
    <w:rsid w:val="00C47DE8"/>
    <w:rsid w:val="00C52B60"/>
    <w:rsid w:val="00C5325D"/>
    <w:rsid w:val="00C534C1"/>
    <w:rsid w:val="00C54AF6"/>
    <w:rsid w:val="00C56055"/>
    <w:rsid w:val="00C618E0"/>
    <w:rsid w:val="00C62588"/>
    <w:rsid w:val="00C62A4D"/>
    <w:rsid w:val="00C62EB9"/>
    <w:rsid w:val="00C62F93"/>
    <w:rsid w:val="00C63A7D"/>
    <w:rsid w:val="00C64C4E"/>
    <w:rsid w:val="00C657E5"/>
    <w:rsid w:val="00C660F1"/>
    <w:rsid w:val="00C662C1"/>
    <w:rsid w:val="00C6667C"/>
    <w:rsid w:val="00C70711"/>
    <w:rsid w:val="00C7075F"/>
    <w:rsid w:val="00C70910"/>
    <w:rsid w:val="00C70C98"/>
    <w:rsid w:val="00C71822"/>
    <w:rsid w:val="00C722EF"/>
    <w:rsid w:val="00C7280D"/>
    <w:rsid w:val="00C73C7C"/>
    <w:rsid w:val="00C73DBF"/>
    <w:rsid w:val="00C75EFB"/>
    <w:rsid w:val="00C77A34"/>
    <w:rsid w:val="00C811FC"/>
    <w:rsid w:val="00C82799"/>
    <w:rsid w:val="00C83B39"/>
    <w:rsid w:val="00C84265"/>
    <w:rsid w:val="00C8463C"/>
    <w:rsid w:val="00C84D3B"/>
    <w:rsid w:val="00C85553"/>
    <w:rsid w:val="00C85FCF"/>
    <w:rsid w:val="00C86AB1"/>
    <w:rsid w:val="00C86E80"/>
    <w:rsid w:val="00C9071C"/>
    <w:rsid w:val="00C926F2"/>
    <w:rsid w:val="00C93304"/>
    <w:rsid w:val="00C9491A"/>
    <w:rsid w:val="00C94CAC"/>
    <w:rsid w:val="00C96010"/>
    <w:rsid w:val="00C96F7B"/>
    <w:rsid w:val="00CA0739"/>
    <w:rsid w:val="00CA24E1"/>
    <w:rsid w:val="00CA2B70"/>
    <w:rsid w:val="00CA403F"/>
    <w:rsid w:val="00CA6AF8"/>
    <w:rsid w:val="00CA6C9C"/>
    <w:rsid w:val="00CA6DE6"/>
    <w:rsid w:val="00CB013F"/>
    <w:rsid w:val="00CB032B"/>
    <w:rsid w:val="00CB12F9"/>
    <w:rsid w:val="00CB161E"/>
    <w:rsid w:val="00CB1720"/>
    <w:rsid w:val="00CB2909"/>
    <w:rsid w:val="00CB31CF"/>
    <w:rsid w:val="00CB4175"/>
    <w:rsid w:val="00CB5BE0"/>
    <w:rsid w:val="00CB5CB5"/>
    <w:rsid w:val="00CB6823"/>
    <w:rsid w:val="00CB6C33"/>
    <w:rsid w:val="00CC0B58"/>
    <w:rsid w:val="00CC0E27"/>
    <w:rsid w:val="00CC15C7"/>
    <w:rsid w:val="00CC1F8A"/>
    <w:rsid w:val="00CC2121"/>
    <w:rsid w:val="00CC2659"/>
    <w:rsid w:val="00CC6AEE"/>
    <w:rsid w:val="00CC7513"/>
    <w:rsid w:val="00CD02A5"/>
    <w:rsid w:val="00CD0D20"/>
    <w:rsid w:val="00CD1AE7"/>
    <w:rsid w:val="00CD1B86"/>
    <w:rsid w:val="00CD1EE9"/>
    <w:rsid w:val="00CD266A"/>
    <w:rsid w:val="00CD327A"/>
    <w:rsid w:val="00CD5D3B"/>
    <w:rsid w:val="00CD67DE"/>
    <w:rsid w:val="00CD7E65"/>
    <w:rsid w:val="00CE17EE"/>
    <w:rsid w:val="00CE2051"/>
    <w:rsid w:val="00CE39E1"/>
    <w:rsid w:val="00CE3B51"/>
    <w:rsid w:val="00CE4F8E"/>
    <w:rsid w:val="00CE6440"/>
    <w:rsid w:val="00CE6DE0"/>
    <w:rsid w:val="00CE779F"/>
    <w:rsid w:val="00CF085B"/>
    <w:rsid w:val="00CF3969"/>
    <w:rsid w:val="00CF4752"/>
    <w:rsid w:val="00CF540A"/>
    <w:rsid w:val="00CF561A"/>
    <w:rsid w:val="00CF5888"/>
    <w:rsid w:val="00D00ED9"/>
    <w:rsid w:val="00D032EE"/>
    <w:rsid w:val="00D0344D"/>
    <w:rsid w:val="00D04877"/>
    <w:rsid w:val="00D048B3"/>
    <w:rsid w:val="00D05966"/>
    <w:rsid w:val="00D05AEF"/>
    <w:rsid w:val="00D05B9D"/>
    <w:rsid w:val="00D061BE"/>
    <w:rsid w:val="00D0662C"/>
    <w:rsid w:val="00D07A34"/>
    <w:rsid w:val="00D109AB"/>
    <w:rsid w:val="00D111B1"/>
    <w:rsid w:val="00D1146A"/>
    <w:rsid w:val="00D11F49"/>
    <w:rsid w:val="00D125B6"/>
    <w:rsid w:val="00D1346D"/>
    <w:rsid w:val="00D13F47"/>
    <w:rsid w:val="00D145C6"/>
    <w:rsid w:val="00D179EE"/>
    <w:rsid w:val="00D17AA9"/>
    <w:rsid w:val="00D20735"/>
    <w:rsid w:val="00D2150F"/>
    <w:rsid w:val="00D215DF"/>
    <w:rsid w:val="00D21731"/>
    <w:rsid w:val="00D242B2"/>
    <w:rsid w:val="00D245DC"/>
    <w:rsid w:val="00D250AD"/>
    <w:rsid w:val="00D25520"/>
    <w:rsid w:val="00D268E2"/>
    <w:rsid w:val="00D26AA5"/>
    <w:rsid w:val="00D271E7"/>
    <w:rsid w:val="00D305F4"/>
    <w:rsid w:val="00D307EF"/>
    <w:rsid w:val="00D3304F"/>
    <w:rsid w:val="00D36C41"/>
    <w:rsid w:val="00D40D83"/>
    <w:rsid w:val="00D413DC"/>
    <w:rsid w:val="00D41E37"/>
    <w:rsid w:val="00D44AEE"/>
    <w:rsid w:val="00D44B23"/>
    <w:rsid w:val="00D45606"/>
    <w:rsid w:val="00D4696E"/>
    <w:rsid w:val="00D47958"/>
    <w:rsid w:val="00D47DA9"/>
    <w:rsid w:val="00D5052C"/>
    <w:rsid w:val="00D5136B"/>
    <w:rsid w:val="00D51778"/>
    <w:rsid w:val="00D5275D"/>
    <w:rsid w:val="00D53725"/>
    <w:rsid w:val="00D53AC7"/>
    <w:rsid w:val="00D54475"/>
    <w:rsid w:val="00D55448"/>
    <w:rsid w:val="00D55BF8"/>
    <w:rsid w:val="00D571FD"/>
    <w:rsid w:val="00D57A04"/>
    <w:rsid w:val="00D6015D"/>
    <w:rsid w:val="00D6044B"/>
    <w:rsid w:val="00D6159D"/>
    <w:rsid w:val="00D61ECB"/>
    <w:rsid w:val="00D62C52"/>
    <w:rsid w:val="00D634C8"/>
    <w:rsid w:val="00D63C2A"/>
    <w:rsid w:val="00D65B98"/>
    <w:rsid w:val="00D65F3A"/>
    <w:rsid w:val="00D65F43"/>
    <w:rsid w:val="00D66F0A"/>
    <w:rsid w:val="00D706E9"/>
    <w:rsid w:val="00D7074C"/>
    <w:rsid w:val="00D70A2E"/>
    <w:rsid w:val="00D729CD"/>
    <w:rsid w:val="00D739BA"/>
    <w:rsid w:val="00D73C52"/>
    <w:rsid w:val="00D74A9F"/>
    <w:rsid w:val="00D7504B"/>
    <w:rsid w:val="00D753FB"/>
    <w:rsid w:val="00D76CC3"/>
    <w:rsid w:val="00D77092"/>
    <w:rsid w:val="00D770E9"/>
    <w:rsid w:val="00D778BE"/>
    <w:rsid w:val="00D80492"/>
    <w:rsid w:val="00D80498"/>
    <w:rsid w:val="00D80504"/>
    <w:rsid w:val="00D817B5"/>
    <w:rsid w:val="00D85670"/>
    <w:rsid w:val="00D86CEF"/>
    <w:rsid w:val="00D87E41"/>
    <w:rsid w:val="00D9015D"/>
    <w:rsid w:val="00D911E9"/>
    <w:rsid w:val="00D91C1C"/>
    <w:rsid w:val="00D91DA4"/>
    <w:rsid w:val="00D9308E"/>
    <w:rsid w:val="00D931FC"/>
    <w:rsid w:val="00D953DE"/>
    <w:rsid w:val="00D95959"/>
    <w:rsid w:val="00D95B73"/>
    <w:rsid w:val="00D966F2"/>
    <w:rsid w:val="00D97C3A"/>
    <w:rsid w:val="00DA069C"/>
    <w:rsid w:val="00DA1A78"/>
    <w:rsid w:val="00DA25B2"/>
    <w:rsid w:val="00DA3D88"/>
    <w:rsid w:val="00DA51D6"/>
    <w:rsid w:val="00DA7D5C"/>
    <w:rsid w:val="00DB0EA2"/>
    <w:rsid w:val="00DB1862"/>
    <w:rsid w:val="00DB38CC"/>
    <w:rsid w:val="00DB4052"/>
    <w:rsid w:val="00DB541C"/>
    <w:rsid w:val="00DB6850"/>
    <w:rsid w:val="00DB6A6E"/>
    <w:rsid w:val="00DC02D1"/>
    <w:rsid w:val="00DC0ECD"/>
    <w:rsid w:val="00DC1511"/>
    <w:rsid w:val="00DC3753"/>
    <w:rsid w:val="00DC39A2"/>
    <w:rsid w:val="00DC3E8D"/>
    <w:rsid w:val="00DC4A57"/>
    <w:rsid w:val="00DC5D5C"/>
    <w:rsid w:val="00DC6DE1"/>
    <w:rsid w:val="00DD039A"/>
    <w:rsid w:val="00DD0581"/>
    <w:rsid w:val="00DD0BE4"/>
    <w:rsid w:val="00DD3E99"/>
    <w:rsid w:val="00DD4189"/>
    <w:rsid w:val="00DD4958"/>
    <w:rsid w:val="00DD5F4B"/>
    <w:rsid w:val="00DD617F"/>
    <w:rsid w:val="00DD6760"/>
    <w:rsid w:val="00DD6D32"/>
    <w:rsid w:val="00DD72E7"/>
    <w:rsid w:val="00DD7BD6"/>
    <w:rsid w:val="00DE0732"/>
    <w:rsid w:val="00DE102B"/>
    <w:rsid w:val="00DE28BA"/>
    <w:rsid w:val="00DE36C1"/>
    <w:rsid w:val="00DE4D57"/>
    <w:rsid w:val="00DE5DAC"/>
    <w:rsid w:val="00DE629E"/>
    <w:rsid w:val="00DE76E2"/>
    <w:rsid w:val="00DE7F41"/>
    <w:rsid w:val="00DF00BA"/>
    <w:rsid w:val="00DF0FB4"/>
    <w:rsid w:val="00DF1529"/>
    <w:rsid w:val="00DF155D"/>
    <w:rsid w:val="00DF3A13"/>
    <w:rsid w:val="00DF4D84"/>
    <w:rsid w:val="00DF5250"/>
    <w:rsid w:val="00DF56C5"/>
    <w:rsid w:val="00DF735F"/>
    <w:rsid w:val="00DF74A5"/>
    <w:rsid w:val="00DF74C1"/>
    <w:rsid w:val="00E002C1"/>
    <w:rsid w:val="00E010ED"/>
    <w:rsid w:val="00E016D9"/>
    <w:rsid w:val="00E02129"/>
    <w:rsid w:val="00E02A22"/>
    <w:rsid w:val="00E02BA1"/>
    <w:rsid w:val="00E03183"/>
    <w:rsid w:val="00E0388F"/>
    <w:rsid w:val="00E04D13"/>
    <w:rsid w:val="00E065CE"/>
    <w:rsid w:val="00E12241"/>
    <w:rsid w:val="00E12AF8"/>
    <w:rsid w:val="00E12DC1"/>
    <w:rsid w:val="00E13222"/>
    <w:rsid w:val="00E14AD6"/>
    <w:rsid w:val="00E14E23"/>
    <w:rsid w:val="00E15329"/>
    <w:rsid w:val="00E17019"/>
    <w:rsid w:val="00E1766A"/>
    <w:rsid w:val="00E23E01"/>
    <w:rsid w:val="00E258C6"/>
    <w:rsid w:val="00E26531"/>
    <w:rsid w:val="00E26A98"/>
    <w:rsid w:val="00E26C24"/>
    <w:rsid w:val="00E26F45"/>
    <w:rsid w:val="00E271A3"/>
    <w:rsid w:val="00E27E0F"/>
    <w:rsid w:val="00E3051D"/>
    <w:rsid w:val="00E325B1"/>
    <w:rsid w:val="00E32D2F"/>
    <w:rsid w:val="00E3318B"/>
    <w:rsid w:val="00E33403"/>
    <w:rsid w:val="00E3386B"/>
    <w:rsid w:val="00E351C6"/>
    <w:rsid w:val="00E35E79"/>
    <w:rsid w:val="00E36EF5"/>
    <w:rsid w:val="00E370C2"/>
    <w:rsid w:val="00E37A5B"/>
    <w:rsid w:val="00E413D7"/>
    <w:rsid w:val="00E41CB4"/>
    <w:rsid w:val="00E4214E"/>
    <w:rsid w:val="00E43C7B"/>
    <w:rsid w:val="00E43F26"/>
    <w:rsid w:val="00E45B32"/>
    <w:rsid w:val="00E46534"/>
    <w:rsid w:val="00E50F3A"/>
    <w:rsid w:val="00E51DFC"/>
    <w:rsid w:val="00E537A2"/>
    <w:rsid w:val="00E54D2C"/>
    <w:rsid w:val="00E55AC6"/>
    <w:rsid w:val="00E56F1F"/>
    <w:rsid w:val="00E57268"/>
    <w:rsid w:val="00E57469"/>
    <w:rsid w:val="00E609B6"/>
    <w:rsid w:val="00E60C71"/>
    <w:rsid w:val="00E61211"/>
    <w:rsid w:val="00E62677"/>
    <w:rsid w:val="00E6371D"/>
    <w:rsid w:val="00E64B67"/>
    <w:rsid w:val="00E6562A"/>
    <w:rsid w:val="00E65E7F"/>
    <w:rsid w:val="00E66129"/>
    <w:rsid w:val="00E668BF"/>
    <w:rsid w:val="00E66FA9"/>
    <w:rsid w:val="00E67561"/>
    <w:rsid w:val="00E678D7"/>
    <w:rsid w:val="00E702EC"/>
    <w:rsid w:val="00E706FD"/>
    <w:rsid w:val="00E707F8"/>
    <w:rsid w:val="00E70983"/>
    <w:rsid w:val="00E71C9E"/>
    <w:rsid w:val="00E71DF5"/>
    <w:rsid w:val="00E74045"/>
    <w:rsid w:val="00E740B2"/>
    <w:rsid w:val="00E746F8"/>
    <w:rsid w:val="00E75294"/>
    <w:rsid w:val="00E75A02"/>
    <w:rsid w:val="00E769DD"/>
    <w:rsid w:val="00E76C45"/>
    <w:rsid w:val="00E77ABF"/>
    <w:rsid w:val="00E82747"/>
    <w:rsid w:val="00E8307C"/>
    <w:rsid w:val="00E846D1"/>
    <w:rsid w:val="00E84B9F"/>
    <w:rsid w:val="00E87921"/>
    <w:rsid w:val="00E8793C"/>
    <w:rsid w:val="00E87E87"/>
    <w:rsid w:val="00E900B3"/>
    <w:rsid w:val="00E90762"/>
    <w:rsid w:val="00E90823"/>
    <w:rsid w:val="00E90A87"/>
    <w:rsid w:val="00E912A1"/>
    <w:rsid w:val="00E916A1"/>
    <w:rsid w:val="00E925AE"/>
    <w:rsid w:val="00E9267A"/>
    <w:rsid w:val="00E93034"/>
    <w:rsid w:val="00E93120"/>
    <w:rsid w:val="00E948AD"/>
    <w:rsid w:val="00E96C04"/>
    <w:rsid w:val="00E96C95"/>
    <w:rsid w:val="00EA10ED"/>
    <w:rsid w:val="00EA1333"/>
    <w:rsid w:val="00EA1945"/>
    <w:rsid w:val="00EA2AF7"/>
    <w:rsid w:val="00EA3370"/>
    <w:rsid w:val="00EA3552"/>
    <w:rsid w:val="00EA36B2"/>
    <w:rsid w:val="00EA6949"/>
    <w:rsid w:val="00EB16CC"/>
    <w:rsid w:val="00EB4038"/>
    <w:rsid w:val="00EB4B27"/>
    <w:rsid w:val="00EB50BD"/>
    <w:rsid w:val="00EB5315"/>
    <w:rsid w:val="00EB7B20"/>
    <w:rsid w:val="00EC15A0"/>
    <w:rsid w:val="00EC1613"/>
    <w:rsid w:val="00EC384C"/>
    <w:rsid w:val="00EC3FA0"/>
    <w:rsid w:val="00EC4693"/>
    <w:rsid w:val="00EC57BB"/>
    <w:rsid w:val="00EC5B99"/>
    <w:rsid w:val="00ED0803"/>
    <w:rsid w:val="00ED1873"/>
    <w:rsid w:val="00ED215D"/>
    <w:rsid w:val="00ED3118"/>
    <w:rsid w:val="00ED5835"/>
    <w:rsid w:val="00ED5C7C"/>
    <w:rsid w:val="00ED6D9B"/>
    <w:rsid w:val="00ED7793"/>
    <w:rsid w:val="00EE06B8"/>
    <w:rsid w:val="00EE0B18"/>
    <w:rsid w:val="00EE0C4B"/>
    <w:rsid w:val="00EE0F63"/>
    <w:rsid w:val="00EE3595"/>
    <w:rsid w:val="00EE3DCE"/>
    <w:rsid w:val="00EE4F97"/>
    <w:rsid w:val="00EE6211"/>
    <w:rsid w:val="00EE6B6E"/>
    <w:rsid w:val="00EE70C2"/>
    <w:rsid w:val="00EE7E68"/>
    <w:rsid w:val="00EF00B6"/>
    <w:rsid w:val="00EF1211"/>
    <w:rsid w:val="00EF17DD"/>
    <w:rsid w:val="00EF2545"/>
    <w:rsid w:val="00EF29B4"/>
    <w:rsid w:val="00EF2B5F"/>
    <w:rsid w:val="00EF4117"/>
    <w:rsid w:val="00EF4263"/>
    <w:rsid w:val="00EF4772"/>
    <w:rsid w:val="00EF57F7"/>
    <w:rsid w:val="00EF693B"/>
    <w:rsid w:val="00EF6E75"/>
    <w:rsid w:val="00EF779F"/>
    <w:rsid w:val="00EF7ED0"/>
    <w:rsid w:val="00F005FC"/>
    <w:rsid w:val="00F009B9"/>
    <w:rsid w:val="00F02BCA"/>
    <w:rsid w:val="00F057DC"/>
    <w:rsid w:val="00F06242"/>
    <w:rsid w:val="00F06251"/>
    <w:rsid w:val="00F0634B"/>
    <w:rsid w:val="00F07C9B"/>
    <w:rsid w:val="00F10922"/>
    <w:rsid w:val="00F11EE9"/>
    <w:rsid w:val="00F1280F"/>
    <w:rsid w:val="00F1384A"/>
    <w:rsid w:val="00F14A01"/>
    <w:rsid w:val="00F15AC9"/>
    <w:rsid w:val="00F206B7"/>
    <w:rsid w:val="00F20C24"/>
    <w:rsid w:val="00F2105E"/>
    <w:rsid w:val="00F2113F"/>
    <w:rsid w:val="00F22260"/>
    <w:rsid w:val="00F2226A"/>
    <w:rsid w:val="00F245A1"/>
    <w:rsid w:val="00F2508D"/>
    <w:rsid w:val="00F25D52"/>
    <w:rsid w:val="00F26743"/>
    <w:rsid w:val="00F26B60"/>
    <w:rsid w:val="00F26ED3"/>
    <w:rsid w:val="00F27022"/>
    <w:rsid w:val="00F302ED"/>
    <w:rsid w:val="00F30C97"/>
    <w:rsid w:val="00F310CA"/>
    <w:rsid w:val="00F313A2"/>
    <w:rsid w:val="00F31D08"/>
    <w:rsid w:val="00F3214E"/>
    <w:rsid w:val="00F33860"/>
    <w:rsid w:val="00F34171"/>
    <w:rsid w:val="00F34B4F"/>
    <w:rsid w:val="00F35879"/>
    <w:rsid w:val="00F3608E"/>
    <w:rsid w:val="00F36126"/>
    <w:rsid w:val="00F368ED"/>
    <w:rsid w:val="00F3754F"/>
    <w:rsid w:val="00F37D2C"/>
    <w:rsid w:val="00F414DC"/>
    <w:rsid w:val="00F42758"/>
    <w:rsid w:val="00F42CF8"/>
    <w:rsid w:val="00F43689"/>
    <w:rsid w:val="00F43E0A"/>
    <w:rsid w:val="00F44006"/>
    <w:rsid w:val="00F44182"/>
    <w:rsid w:val="00F45050"/>
    <w:rsid w:val="00F4505D"/>
    <w:rsid w:val="00F463AE"/>
    <w:rsid w:val="00F4789A"/>
    <w:rsid w:val="00F47B14"/>
    <w:rsid w:val="00F47B64"/>
    <w:rsid w:val="00F5043C"/>
    <w:rsid w:val="00F50E3E"/>
    <w:rsid w:val="00F514FD"/>
    <w:rsid w:val="00F5244B"/>
    <w:rsid w:val="00F5257A"/>
    <w:rsid w:val="00F53A48"/>
    <w:rsid w:val="00F53BC6"/>
    <w:rsid w:val="00F5426A"/>
    <w:rsid w:val="00F542BA"/>
    <w:rsid w:val="00F543A8"/>
    <w:rsid w:val="00F54BD9"/>
    <w:rsid w:val="00F54FF8"/>
    <w:rsid w:val="00F5607B"/>
    <w:rsid w:val="00F569C0"/>
    <w:rsid w:val="00F56B62"/>
    <w:rsid w:val="00F60C0B"/>
    <w:rsid w:val="00F63040"/>
    <w:rsid w:val="00F65ECC"/>
    <w:rsid w:val="00F65EF0"/>
    <w:rsid w:val="00F701FE"/>
    <w:rsid w:val="00F71D04"/>
    <w:rsid w:val="00F722B2"/>
    <w:rsid w:val="00F734F5"/>
    <w:rsid w:val="00F74271"/>
    <w:rsid w:val="00F751E2"/>
    <w:rsid w:val="00F7532C"/>
    <w:rsid w:val="00F75B35"/>
    <w:rsid w:val="00F76391"/>
    <w:rsid w:val="00F76784"/>
    <w:rsid w:val="00F77CB5"/>
    <w:rsid w:val="00F81A82"/>
    <w:rsid w:val="00F82A75"/>
    <w:rsid w:val="00F82AF5"/>
    <w:rsid w:val="00F83295"/>
    <w:rsid w:val="00F83310"/>
    <w:rsid w:val="00F84B9A"/>
    <w:rsid w:val="00F861EF"/>
    <w:rsid w:val="00F86C6A"/>
    <w:rsid w:val="00F87257"/>
    <w:rsid w:val="00F92E85"/>
    <w:rsid w:val="00F93D00"/>
    <w:rsid w:val="00F94A0A"/>
    <w:rsid w:val="00FA0779"/>
    <w:rsid w:val="00FA07F7"/>
    <w:rsid w:val="00FA2019"/>
    <w:rsid w:val="00FA293F"/>
    <w:rsid w:val="00FA2B3F"/>
    <w:rsid w:val="00FA2BEC"/>
    <w:rsid w:val="00FA482F"/>
    <w:rsid w:val="00FA601A"/>
    <w:rsid w:val="00FA6F89"/>
    <w:rsid w:val="00FA795C"/>
    <w:rsid w:val="00FB0CE1"/>
    <w:rsid w:val="00FB1FE6"/>
    <w:rsid w:val="00FB2F41"/>
    <w:rsid w:val="00FB305B"/>
    <w:rsid w:val="00FB343D"/>
    <w:rsid w:val="00FB3683"/>
    <w:rsid w:val="00FB39D2"/>
    <w:rsid w:val="00FB3AA8"/>
    <w:rsid w:val="00FB56DA"/>
    <w:rsid w:val="00FB6447"/>
    <w:rsid w:val="00FB72B6"/>
    <w:rsid w:val="00FC1634"/>
    <w:rsid w:val="00FC388E"/>
    <w:rsid w:val="00FC4685"/>
    <w:rsid w:val="00FC565C"/>
    <w:rsid w:val="00FC6540"/>
    <w:rsid w:val="00FC7AD1"/>
    <w:rsid w:val="00FC7CAA"/>
    <w:rsid w:val="00FD0D16"/>
    <w:rsid w:val="00FD1207"/>
    <w:rsid w:val="00FD1C8B"/>
    <w:rsid w:val="00FD20D5"/>
    <w:rsid w:val="00FD2115"/>
    <w:rsid w:val="00FD228A"/>
    <w:rsid w:val="00FD27EE"/>
    <w:rsid w:val="00FD2849"/>
    <w:rsid w:val="00FD36D4"/>
    <w:rsid w:val="00FD7936"/>
    <w:rsid w:val="00FD7B8D"/>
    <w:rsid w:val="00FE0565"/>
    <w:rsid w:val="00FE0667"/>
    <w:rsid w:val="00FE15E2"/>
    <w:rsid w:val="00FE1869"/>
    <w:rsid w:val="00FE1E99"/>
    <w:rsid w:val="00FE38D5"/>
    <w:rsid w:val="00FE3C55"/>
    <w:rsid w:val="00FE3CBC"/>
    <w:rsid w:val="00FE40CB"/>
    <w:rsid w:val="00FE5CC0"/>
    <w:rsid w:val="00FE6447"/>
    <w:rsid w:val="00FF060A"/>
    <w:rsid w:val="00FF09F3"/>
    <w:rsid w:val="00FF1160"/>
    <w:rsid w:val="00FF155F"/>
    <w:rsid w:val="00FF3C5F"/>
    <w:rsid w:val="00FF4459"/>
    <w:rsid w:val="00FF4D84"/>
    <w:rsid w:val="00FF5846"/>
    <w:rsid w:val="00FF60E8"/>
    <w:rsid w:val="00FF6567"/>
    <w:rsid w:val="00FF730A"/>
    <w:rsid w:val="00FF75D1"/>
    <w:rsid w:val="00FF76B7"/>
    <w:rsid w:val="2432CE3C"/>
    <w:rsid w:val="297B0B1A"/>
    <w:rsid w:val="29FFCE34"/>
    <w:rsid w:val="2E640803"/>
    <w:rsid w:val="2EE36328"/>
    <w:rsid w:val="324FE0CC"/>
    <w:rsid w:val="41D0D23F"/>
    <w:rsid w:val="4F64D082"/>
    <w:rsid w:val="56D11297"/>
    <w:rsid w:val="5877A0BE"/>
    <w:rsid w:val="5C408664"/>
    <w:rsid w:val="5F3A619D"/>
    <w:rsid w:val="68A889D7"/>
    <w:rsid w:val="6CC005B3"/>
    <w:rsid w:val="75D0E7CC"/>
    <w:rsid w:val="79970D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A7"/>
    <w:pPr>
      <w:spacing w:before="120" w:after="120"/>
    </w:pPr>
    <w:rPr>
      <w:sz w:val="22"/>
    </w:rPr>
  </w:style>
  <w:style w:type="paragraph" w:styleId="Heading1">
    <w:name w:val="heading 1"/>
    <w:basedOn w:val="Heading2"/>
    <w:next w:val="Normal"/>
    <w:link w:val="Heading1Char"/>
    <w:uiPriority w:val="9"/>
    <w:qFormat/>
    <w:rsid w:val="003D1FA7"/>
    <w:pPr>
      <w:spacing w:after="0" w:line="480" w:lineRule="exact"/>
      <w:outlineLvl w:val="0"/>
    </w:pPr>
    <w:rPr>
      <w:sz w:val="48"/>
      <w:szCs w:val="48"/>
    </w:rPr>
  </w:style>
  <w:style w:type="paragraph" w:styleId="Heading2">
    <w:name w:val="heading 2"/>
    <w:aliases w:val="Heading 2 - intro para"/>
    <w:basedOn w:val="Normal"/>
    <w:next w:val="Normal"/>
    <w:link w:val="Heading2Char"/>
    <w:uiPriority w:val="9"/>
    <w:unhideWhenUsed/>
    <w:qFormat/>
    <w:rsid w:val="003D1FA7"/>
    <w:pPr>
      <w:spacing w:line="320" w:lineRule="exact"/>
      <w:ind w:right="2268"/>
      <w:outlineLvl w:val="1"/>
    </w:pPr>
    <w:rPr>
      <w:rFonts w:ascii="Calibri Light" w:hAnsi="Calibri Light"/>
      <w:b/>
      <w:bCs/>
      <w:color w:val="FFFFFF" w:themeColor="background1"/>
      <w:sz w:val="28"/>
      <w:szCs w:val="28"/>
    </w:rPr>
  </w:style>
  <w:style w:type="paragraph" w:styleId="Heading3">
    <w:name w:val="heading 3"/>
    <w:basedOn w:val="Normal"/>
    <w:next w:val="Normal"/>
    <w:link w:val="Heading3Char"/>
    <w:uiPriority w:val="9"/>
    <w:unhideWhenUsed/>
    <w:qFormat/>
    <w:rsid w:val="003D1FA7"/>
    <w:pPr>
      <w:keepNext/>
      <w:keepLines/>
      <w:spacing w:before="70" w:after="57" w:line="400" w:lineRule="exact"/>
      <w:outlineLvl w:val="2"/>
    </w:pPr>
    <w:rPr>
      <w:rFonts w:eastAsiaTheme="majorEastAsia" w:cstheme="majorBidi"/>
      <w:bCs/>
      <w:color w:val="002A54"/>
      <w:sz w:val="32"/>
    </w:rPr>
  </w:style>
  <w:style w:type="paragraph" w:styleId="Heading4">
    <w:name w:val="heading 4"/>
    <w:basedOn w:val="Normal"/>
    <w:next w:val="Normal"/>
    <w:link w:val="Heading4Char"/>
    <w:uiPriority w:val="9"/>
    <w:unhideWhenUsed/>
    <w:qFormat/>
    <w:rsid w:val="003D1FA7"/>
    <w:pPr>
      <w:keepNext/>
      <w:keepLines/>
      <w:spacing w:before="240" w:line="290" w:lineRule="exact"/>
      <w:outlineLvl w:val="3"/>
    </w:pPr>
    <w:rPr>
      <w:rFonts w:eastAsiaTheme="majorEastAsia" w:cstheme="majorBidi"/>
      <w:bCs/>
      <w:iCs/>
      <w:color w:val="002A54"/>
      <w:sz w:val="28"/>
      <w:szCs w:val="28"/>
    </w:rPr>
  </w:style>
  <w:style w:type="paragraph" w:styleId="Heading5">
    <w:name w:val="heading 5"/>
    <w:basedOn w:val="Normal"/>
    <w:next w:val="Normal"/>
    <w:link w:val="Heading5Char"/>
    <w:uiPriority w:val="9"/>
    <w:unhideWhenUsed/>
    <w:qFormat/>
    <w:rsid w:val="003D1FA7"/>
    <w:pPr>
      <w:keepNext/>
      <w:keepLines/>
      <w:spacing w:before="40" w:after="0"/>
      <w:outlineLvl w:val="4"/>
    </w:pPr>
    <w:rPr>
      <w:rFonts w:asciiTheme="majorHAnsi" w:eastAsiaTheme="majorEastAsia" w:hAnsiTheme="majorHAnsi" w:cstheme="majorBidi"/>
      <w:color w:val="024A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FA7"/>
    <w:pPr>
      <w:tabs>
        <w:tab w:val="center" w:pos="4513"/>
        <w:tab w:val="right" w:pos="9026"/>
      </w:tabs>
    </w:pPr>
  </w:style>
  <w:style w:type="character" w:customStyle="1" w:styleId="HeaderChar">
    <w:name w:val="Header Char"/>
    <w:basedOn w:val="DefaultParagraphFont"/>
    <w:link w:val="Header"/>
    <w:uiPriority w:val="99"/>
    <w:rsid w:val="003D1FA7"/>
    <w:rPr>
      <w:sz w:val="22"/>
    </w:rPr>
  </w:style>
  <w:style w:type="paragraph" w:styleId="Footer">
    <w:name w:val="footer"/>
    <w:basedOn w:val="Normal"/>
    <w:link w:val="FooterChar"/>
    <w:uiPriority w:val="99"/>
    <w:unhideWhenUsed/>
    <w:rsid w:val="003D1FA7"/>
    <w:pPr>
      <w:tabs>
        <w:tab w:val="right" w:pos="9638"/>
      </w:tabs>
    </w:pPr>
    <w:rPr>
      <w:color w:val="FFFFFF" w:themeColor="background1"/>
      <w:sz w:val="16"/>
    </w:rPr>
  </w:style>
  <w:style w:type="character" w:customStyle="1" w:styleId="FooterChar">
    <w:name w:val="Footer Char"/>
    <w:basedOn w:val="DefaultParagraphFont"/>
    <w:link w:val="Footer"/>
    <w:uiPriority w:val="99"/>
    <w:rsid w:val="003D1FA7"/>
    <w:rPr>
      <w:color w:val="FFFFFF" w:themeColor="background1"/>
      <w:sz w:val="16"/>
    </w:rPr>
  </w:style>
  <w:style w:type="character" w:customStyle="1" w:styleId="Heading1Char">
    <w:name w:val="Heading 1 Char"/>
    <w:basedOn w:val="DefaultParagraphFont"/>
    <w:link w:val="Heading1"/>
    <w:uiPriority w:val="9"/>
    <w:rsid w:val="003D1FA7"/>
    <w:rPr>
      <w:rFonts w:ascii="Calibri Light" w:hAnsi="Calibri Light"/>
      <w:b/>
      <w:bCs/>
      <w:color w:val="FFFFFF" w:themeColor="background1"/>
      <w:sz w:val="48"/>
      <w:szCs w:val="48"/>
    </w:rPr>
  </w:style>
  <w:style w:type="paragraph" w:customStyle="1" w:styleId="Bullet">
    <w:name w:val="Bullet"/>
    <w:basedOn w:val="Normal"/>
    <w:link w:val="BulletChar"/>
    <w:rsid w:val="003D1FA7"/>
    <w:pPr>
      <w:numPr>
        <w:numId w:val="1"/>
      </w:numPr>
    </w:pPr>
  </w:style>
  <w:style w:type="character" w:customStyle="1" w:styleId="BulletChar">
    <w:name w:val="Bullet Char"/>
    <w:basedOn w:val="DefaultParagraphFont"/>
    <w:link w:val="Bullet"/>
    <w:rsid w:val="003D1FA7"/>
    <w:rPr>
      <w:sz w:val="22"/>
    </w:rPr>
  </w:style>
  <w:style w:type="paragraph" w:customStyle="1" w:styleId="Dash">
    <w:name w:val="Dash"/>
    <w:basedOn w:val="Normal"/>
    <w:link w:val="DashChar"/>
    <w:rsid w:val="003D1FA7"/>
    <w:pPr>
      <w:numPr>
        <w:ilvl w:val="1"/>
        <w:numId w:val="1"/>
      </w:numPr>
    </w:pPr>
  </w:style>
  <w:style w:type="character" w:customStyle="1" w:styleId="DashChar">
    <w:name w:val="Dash Char"/>
    <w:basedOn w:val="DefaultParagraphFont"/>
    <w:link w:val="Dash"/>
    <w:rsid w:val="003D1FA7"/>
    <w:rPr>
      <w:sz w:val="22"/>
    </w:rPr>
  </w:style>
  <w:style w:type="paragraph" w:customStyle="1" w:styleId="DoubleDot">
    <w:name w:val="Double Dot"/>
    <w:basedOn w:val="Normal"/>
    <w:link w:val="DoubleDotChar"/>
    <w:rsid w:val="003D1FA7"/>
    <w:pPr>
      <w:numPr>
        <w:ilvl w:val="2"/>
        <w:numId w:val="1"/>
      </w:numPr>
    </w:pPr>
  </w:style>
  <w:style w:type="character" w:customStyle="1" w:styleId="DoubleDotChar">
    <w:name w:val="Double Dot Char"/>
    <w:basedOn w:val="DefaultParagraphFont"/>
    <w:link w:val="DoubleDot"/>
    <w:rsid w:val="003D1FA7"/>
    <w:rPr>
      <w:sz w:val="22"/>
    </w:rPr>
  </w:style>
  <w:style w:type="paragraph" w:styleId="BalloonText">
    <w:name w:val="Balloon Text"/>
    <w:basedOn w:val="Normal"/>
    <w:link w:val="BalloonTextChar"/>
    <w:uiPriority w:val="99"/>
    <w:semiHidden/>
    <w:unhideWhenUsed/>
    <w:rsid w:val="003D1FA7"/>
    <w:rPr>
      <w:rFonts w:ascii="Tahoma" w:hAnsi="Tahoma" w:cs="Tahoma"/>
      <w:sz w:val="16"/>
      <w:szCs w:val="16"/>
    </w:rPr>
  </w:style>
  <w:style w:type="character" w:customStyle="1" w:styleId="BalloonTextChar">
    <w:name w:val="Balloon Text Char"/>
    <w:basedOn w:val="DefaultParagraphFont"/>
    <w:link w:val="BalloonText"/>
    <w:uiPriority w:val="99"/>
    <w:semiHidden/>
    <w:rsid w:val="003D1FA7"/>
    <w:rPr>
      <w:rFonts w:ascii="Tahoma" w:hAnsi="Tahoma" w:cs="Tahoma"/>
      <w:sz w:val="16"/>
      <w:szCs w:val="16"/>
    </w:rPr>
  </w:style>
  <w:style w:type="character" w:customStyle="1" w:styleId="Heading2Char">
    <w:name w:val="Heading 2 Char"/>
    <w:aliases w:val="Heading 2 - intro para Char"/>
    <w:basedOn w:val="DefaultParagraphFont"/>
    <w:link w:val="Heading2"/>
    <w:uiPriority w:val="9"/>
    <w:rsid w:val="003D1FA7"/>
    <w:rPr>
      <w:rFonts w:ascii="Calibri Light" w:hAnsi="Calibri Light"/>
      <w:b/>
      <w:bCs/>
      <w:color w:val="FFFFFF" w:themeColor="background1"/>
      <w:sz w:val="28"/>
      <w:szCs w:val="28"/>
    </w:rPr>
  </w:style>
  <w:style w:type="character" w:customStyle="1" w:styleId="Heading3Char">
    <w:name w:val="Heading 3 Char"/>
    <w:basedOn w:val="DefaultParagraphFont"/>
    <w:link w:val="Heading3"/>
    <w:uiPriority w:val="9"/>
    <w:rsid w:val="003D1FA7"/>
    <w:rPr>
      <w:rFonts w:eastAsiaTheme="majorEastAsia" w:cstheme="majorBidi"/>
      <w:bCs/>
      <w:color w:val="002A54"/>
      <w:sz w:val="32"/>
    </w:rPr>
  </w:style>
  <w:style w:type="character" w:customStyle="1" w:styleId="Heading4Char">
    <w:name w:val="Heading 4 Char"/>
    <w:basedOn w:val="DefaultParagraphFont"/>
    <w:link w:val="Heading4"/>
    <w:uiPriority w:val="9"/>
    <w:rsid w:val="003D1FA7"/>
    <w:rPr>
      <w:rFonts w:eastAsiaTheme="majorEastAsia" w:cstheme="majorBidi"/>
      <w:bCs/>
      <w:iCs/>
      <w:color w:val="002A54"/>
      <w:sz w:val="28"/>
      <w:szCs w:val="28"/>
    </w:rPr>
  </w:style>
  <w:style w:type="table" w:styleId="TableGrid">
    <w:name w:val="Table Grid"/>
    <w:basedOn w:val="TableNormal"/>
    <w:uiPriority w:val="59"/>
    <w:rsid w:val="003D1FA7"/>
    <w:tblPr>
      <w:tblBorders>
        <w:top w:val="single" w:sz="2" w:space="0" w:color="024A91" w:themeColor="accent1" w:themeShade="BF"/>
        <w:left w:val="single" w:sz="2" w:space="0" w:color="024A91" w:themeColor="accent1" w:themeShade="BF"/>
        <w:bottom w:val="single" w:sz="2" w:space="0" w:color="024A91" w:themeColor="accent1" w:themeShade="BF"/>
        <w:right w:val="single" w:sz="2" w:space="0" w:color="024A91" w:themeColor="accent1" w:themeShade="BF"/>
        <w:insideH w:val="single" w:sz="2" w:space="0" w:color="024A91" w:themeColor="accent1" w:themeShade="BF"/>
        <w:insideV w:val="single" w:sz="2" w:space="0" w:color="024A91" w:themeColor="accent1" w:themeShade="BF"/>
      </w:tblBorders>
    </w:tblPr>
    <w:tblStylePr w:type="firstRow">
      <w:rPr>
        <w:rFonts w:ascii="Calibri" w:hAnsi="Calibri"/>
        <w:b/>
        <w:i w:val="0"/>
        <w:color w:val="FFFFFF" w:themeColor="background1"/>
        <w:sz w:val="20"/>
      </w:rPr>
      <w:tblPr/>
      <w:tcPr>
        <w:shd w:val="clear" w:color="auto" w:fill="024A91" w:themeFill="accent1" w:themeFillShade="BF"/>
      </w:tcPr>
    </w:tblStylePr>
  </w:style>
  <w:style w:type="table" w:styleId="TableGridLight">
    <w:name w:val="Grid Table Light"/>
    <w:basedOn w:val="TableNormal"/>
    <w:uiPriority w:val="40"/>
    <w:rsid w:val="003D1F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D1FA7"/>
  </w:style>
  <w:style w:type="paragraph" w:customStyle="1" w:styleId="PullQuote">
    <w:name w:val="Pull Quote"/>
    <w:basedOn w:val="Normal"/>
    <w:uiPriority w:val="99"/>
    <w:rsid w:val="003D1FA7"/>
    <w:pPr>
      <w:keepNext/>
      <w:suppressAutoHyphens/>
      <w:autoSpaceDE w:val="0"/>
      <w:autoSpaceDN w:val="0"/>
      <w:adjustRightInd w:val="0"/>
      <w:spacing w:before="272" w:after="88" w:line="350" w:lineRule="atLeast"/>
      <w:jc w:val="center"/>
      <w:textAlignment w:val="center"/>
    </w:pPr>
    <w:rPr>
      <w:rFonts w:asciiTheme="minorHAnsi" w:hAnsiTheme="minorHAnsi" w:cs="Noto Sans"/>
      <w:color w:val="FFFFFF"/>
      <w:sz w:val="28"/>
      <w:szCs w:val="28"/>
      <w:lang w:val="en-GB"/>
    </w:rPr>
  </w:style>
  <w:style w:type="character" w:styleId="Hyperlink">
    <w:name w:val="Hyperlink"/>
    <w:basedOn w:val="DefaultParagraphFont"/>
    <w:uiPriority w:val="99"/>
    <w:unhideWhenUsed/>
    <w:rsid w:val="003D1FA7"/>
    <w:rPr>
      <w:color w:val="0000FF"/>
      <w:u w:val="single"/>
    </w:rPr>
  </w:style>
  <w:style w:type="paragraph" w:customStyle="1" w:styleId="TableFont">
    <w:name w:val="Table Font"/>
    <w:basedOn w:val="Normal"/>
    <w:qFormat/>
    <w:rsid w:val="003D1FA7"/>
    <w:pPr>
      <w:spacing w:line="259" w:lineRule="auto"/>
    </w:pPr>
    <w:rPr>
      <w:rFonts w:eastAsia="Calibri" w:cs="Calibri"/>
      <w:sz w:val="18"/>
      <w:szCs w:val="18"/>
    </w:rPr>
  </w:style>
  <w:style w:type="table" w:styleId="PlainTable3">
    <w:name w:val="Plain Table 3"/>
    <w:basedOn w:val="TableNormal"/>
    <w:uiPriority w:val="43"/>
    <w:rsid w:val="003D1FA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ubtleEmphasis">
    <w:name w:val="Subtle Emphasis"/>
    <w:basedOn w:val="DefaultParagraphFont"/>
    <w:uiPriority w:val="19"/>
    <w:qFormat/>
    <w:rsid w:val="003D1FA7"/>
    <w:rPr>
      <w:rFonts w:asciiTheme="minorHAnsi" w:hAnsiTheme="minorHAnsi"/>
    </w:rPr>
  </w:style>
  <w:style w:type="paragraph" w:customStyle="1" w:styleId="BoxHeading">
    <w:name w:val="Box Heading"/>
    <w:basedOn w:val="Normal"/>
    <w:next w:val="Normal"/>
    <w:rsid w:val="003D1FA7"/>
    <w:pPr>
      <w:keepNext/>
    </w:pPr>
    <w:rPr>
      <w:rFonts w:eastAsia="Times New Roman"/>
      <w:b/>
      <w:sz w:val="24"/>
      <w:lang w:eastAsia="en-AU"/>
    </w:rPr>
  </w:style>
  <w:style w:type="paragraph" w:customStyle="1" w:styleId="BoxBullet">
    <w:name w:val="Box Bullet"/>
    <w:basedOn w:val="Normal"/>
    <w:rsid w:val="003D1FA7"/>
    <w:pPr>
      <w:numPr>
        <w:numId w:val="2"/>
      </w:numPr>
      <w:spacing w:before="0"/>
      <w:ind w:left="284" w:hanging="284"/>
    </w:pPr>
    <w:rPr>
      <w:rFonts w:eastAsia="Times New Roman"/>
      <w:lang w:eastAsia="en-AU"/>
    </w:rPr>
  </w:style>
  <w:style w:type="paragraph" w:customStyle="1" w:styleId="BoxDash">
    <w:name w:val="Box Dash"/>
    <w:basedOn w:val="Normal"/>
    <w:rsid w:val="003D1FA7"/>
    <w:pPr>
      <w:numPr>
        <w:ilvl w:val="1"/>
        <w:numId w:val="2"/>
      </w:numPr>
      <w:spacing w:before="0"/>
      <w:ind w:left="568"/>
    </w:pPr>
    <w:rPr>
      <w:rFonts w:eastAsia="Times New Roman"/>
      <w:lang w:eastAsia="en-AU"/>
    </w:rPr>
  </w:style>
  <w:style w:type="paragraph" w:customStyle="1" w:styleId="BoxDoubleDot">
    <w:name w:val="Box Double Dot"/>
    <w:basedOn w:val="Normal"/>
    <w:rsid w:val="003D1FA7"/>
    <w:pPr>
      <w:numPr>
        <w:ilvl w:val="2"/>
        <w:numId w:val="2"/>
      </w:numPr>
      <w:spacing w:before="0"/>
      <w:ind w:left="851" w:hanging="284"/>
    </w:pPr>
    <w:rPr>
      <w:rFonts w:eastAsia="Times New Roman"/>
      <w:lang w:eastAsia="en-AU"/>
    </w:rPr>
  </w:style>
  <w:style w:type="numbering" w:customStyle="1" w:styleId="BoxBulletedList">
    <w:name w:val="Box Bulleted List"/>
    <w:uiPriority w:val="99"/>
    <w:rsid w:val="003D1FA7"/>
    <w:pPr>
      <w:numPr>
        <w:numId w:val="2"/>
      </w:numPr>
    </w:pPr>
  </w:style>
  <w:style w:type="paragraph" w:customStyle="1" w:styleId="TableMainHeading">
    <w:name w:val="Table Main Heading"/>
    <w:basedOn w:val="Heading3"/>
    <w:next w:val="Normal"/>
    <w:rsid w:val="003D1FA7"/>
    <w:pPr>
      <w:keepLines w:val="0"/>
      <w:spacing w:before="180" w:after="120" w:line="240" w:lineRule="auto"/>
      <w:outlineLvl w:val="1"/>
    </w:pPr>
    <w:rPr>
      <w:rFonts w:eastAsia="Times New Roman" w:cs="Arial"/>
      <w:b/>
      <w:bCs w:val="0"/>
      <w:kern w:val="32"/>
      <w:sz w:val="24"/>
      <w:szCs w:val="26"/>
      <w:lang w:eastAsia="en-AU"/>
    </w:rPr>
  </w:style>
  <w:style w:type="paragraph" w:customStyle="1" w:styleId="TableColumnHeadingCentred">
    <w:name w:val="Table Column Heading Centred"/>
    <w:rsid w:val="003D1FA7"/>
    <w:pPr>
      <w:spacing w:before="20" w:after="20"/>
      <w:jc w:val="center"/>
    </w:pPr>
    <w:rPr>
      <w:rFonts w:asciiTheme="minorHAnsi" w:eastAsia="Times New Roman" w:hAnsiTheme="minorHAnsi" w:cstheme="minorBidi"/>
      <w:b/>
      <w:color w:val="002A54" w:themeColor="text2"/>
      <w:szCs w:val="22"/>
      <w:lang w:eastAsia="en-AU"/>
    </w:rPr>
  </w:style>
  <w:style w:type="paragraph" w:customStyle="1" w:styleId="TableColumnHeadingLeft">
    <w:name w:val="Table Column Heading Left"/>
    <w:basedOn w:val="TableTextLeft"/>
    <w:rsid w:val="003D1FA7"/>
    <w:pPr>
      <w:spacing w:before="20" w:after="20"/>
    </w:pPr>
    <w:rPr>
      <w:rFonts w:asciiTheme="minorHAnsi" w:hAnsiTheme="minorHAnsi" w:cstheme="minorBidi"/>
      <w:b/>
      <w:color w:val="002A54" w:themeColor="text2"/>
      <w:sz w:val="20"/>
      <w:szCs w:val="22"/>
    </w:rPr>
  </w:style>
  <w:style w:type="paragraph" w:customStyle="1" w:styleId="TableColumnHeadingRight">
    <w:name w:val="Table Column Heading Right"/>
    <w:basedOn w:val="TableTextLeft"/>
    <w:rsid w:val="003D1FA7"/>
    <w:pPr>
      <w:spacing w:before="20" w:after="20"/>
    </w:pPr>
    <w:rPr>
      <w:rFonts w:cs="Calibri"/>
      <w:b/>
      <w:bCs/>
      <w:color w:val="002A54" w:themeColor="text2"/>
      <w:sz w:val="20"/>
    </w:rPr>
  </w:style>
  <w:style w:type="paragraph" w:customStyle="1" w:styleId="TableTextCentered">
    <w:name w:val="Table Text Centered"/>
    <w:basedOn w:val="TableTextRight"/>
    <w:rsid w:val="003D1FA7"/>
  </w:style>
  <w:style w:type="paragraph" w:customStyle="1" w:styleId="TableTextLeft">
    <w:name w:val="Table Text Left"/>
    <w:basedOn w:val="Normal"/>
    <w:rsid w:val="003D1FA7"/>
    <w:pPr>
      <w:spacing w:before="40" w:after="40"/>
    </w:pPr>
    <w:rPr>
      <w:sz w:val="18"/>
    </w:rPr>
  </w:style>
  <w:style w:type="paragraph" w:customStyle="1" w:styleId="TableTextRight">
    <w:name w:val="Table Text Right"/>
    <w:basedOn w:val="Normal"/>
    <w:rsid w:val="003D1FA7"/>
    <w:pPr>
      <w:spacing w:before="40" w:after="40"/>
      <w:jc w:val="right"/>
    </w:pPr>
    <w:rPr>
      <w:rFonts w:eastAsia="Times New Roman"/>
      <w:color w:val="000000"/>
      <w:sz w:val="18"/>
      <w:lang w:eastAsia="en-AU"/>
    </w:rPr>
  </w:style>
  <w:style w:type="paragraph" w:customStyle="1" w:styleId="TableTextIndented">
    <w:name w:val="Table Text Indented"/>
    <w:basedOn w:val="TableTextLeft"/>
    <w:qFormat/>
    <w:rsid w:val="003D1FA7"/>
    <w:pPr>
      <w:ind w:left="284"/>
    </w:pPr>
  </w:style>
  <w:style w:type="table" w:styleId="GridTable1Light-Accent1">
    <w:name w:val="Grid Table 1 Light Accent 1"/>
    <w:basedOn w:val="TableNormal"/>
    <w:uiPriority w:val="46"/>
    <w:rsid w:val="003D1FA7"/>
    <w:rPr>
      <w:rFonts w:asciiTheme="minorHAnsi" w:hAnsiTheme="minorHAnsi" w:cstheme="minorBidi"/>
      <w:sz w:val="22"/>
      <w:szCs w:val="22"/>
    </w:rPr>
    <w:tblPr>
      <w:tblStyleRowBandSize w:val="1"/>
      <w:tblStyleColBandSize w:val="1"/>
      <w:tblBorders>
        <w:top w:val="single" w:sz="4" w:space="0" w:color="83C0FD" w:themeColor="accent1" w:themeTint="66"/>
        <w:left w:val="single" w:sz="4" w:space="0" w:color="83C0FD" w:themeColor="accent1" w:themeTint="66"/>
        <w:bottom w:val="single" w:sz="4" w:space="0" w:color="83C0FD" w:themeColor="accent1" w:themeTint="66"/>
        <w:right w:val="single" w:sz="4" w:space="0" w:color="83C0FD" w:themeColor="accent1" w:themeTint="66"/>
        <w:insideH w:val="single" w:sz="4" w:space="0" w:color="83C0FD" w:themeColor="accent1" w:themeTint="66"/>
        <w:insideV w:val="single" w:sz="4" w:space="0" w:color="83C0FD" w:themeColor="accent1" w:themeTint="66"/>
      </w:tblBorders>
    </w:tblPr>
    <w:tblStylePr w:type="firstRow">
      <w:rPr>
        <w:b/>
        <w:bCs/>
      </w:rPr>
      <w:tblPr/>
      <w:tcPr>
        <w:tcBorders>
          <w:bottom w:val="single" w:sz="12" w:space="0" w:color="46A1FC" w:themeColor="accent1" w:themeTint="99"/>
        </w:tcBorders>
      </w:tcPr>
    </w:tblStylePr>
    <w:tblStylePr w:type="lastRow">
      <w:rPr>
        <w:b/>
        <w:bCs/>
      </w:rPr>
      <w:tblPr/>
      <w:tcPr>
        <w:tcBorders>
          <w:top w:val="double" w:sz="2" w:space="0" w:color="46A1FC"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3D1FA7"/>
    <w:rPr>
      <w:rFonts w:asciiTheme="majorHAnsi" w:eastAsiaTheme="majorEastAsia" w:hAnsiTheme="majorHAnsi" w:cstheme="majorBidi"/>
      <w:color w:val="024A91" w:themeColor="accent1" w:themeShade="BF"/>
      <w:sz w:val="22"/>
    </w:rPr>
  </w:style>
  <w:style w:type="table" w:customStyle="1" w:styleId="BudgetFactsheetTable1">
    <w:name w:val="Budget Factsheet Table 1"/>
    <w:basedOn w:val="TableNormal"/>
    <w:uiPriority w:val="99"/>
    <w:rsid w:val="003D1FA7"/>
    <w:rPr>
      <w:color w:val="000000" w:themeColor="text1"/>
      <w:sz w:val="18"/>
    </w:rPr>
    <w:tblPr>
      <w:tblBorders>
        <w:bottom w:val="single" w:sz="4" w:space="0" w:color="auto"/>
        <w:insideH w:val="single" w:sz="4" w:space="0" w:color="A6ACB6" w:themeColor="background2" w:themeTint="99"/>
        <w:insideV w:val="single" w:sz="4" w:space="0" w:color="A6ACB6" w:themeColor="background2" w:themeTint="99"/>
      </w:tblBorders>
    </w:tblPr>
    <w:tblStylePr w:type="firstRow">
      <w:pPr>
        <w:wordWrap/>
        <w:spacing w:beforeLines="0" w:before="40" w:beforeAutospacing="0" w:afterLines="0" w:after="40" w:afterAutospacing="0" w:line="240" w:lineRule="auto"/>
      </w:pPr>
      <w:rPr>
        <w:rFonts w:ascii="Calibri" w:hAnsi="Calibri"/>
        <w:b/>
        <w:color w:val="002A54" w:themeColor="text2"/>
        <w:sz w:val="20"/>
      </w:rPr>
      <w:tblPr/>
      <w:tcPr>
        <w:tcBorders>
          <w:top w:val="single" w:sz="4" w:space="0" w:color="auto"/>
          <w:left w:val="nil"/>
          <w:bottom w:val="single" w:sz="12" w:space="0" w:color="auto"/>
          <w:right w:val="nil"/>
          <w:insideH w:val="nil"/>
          <w:insideV w:val="nil"/>
          <w:tl2br w:val="nil"/>
          <w:tr2bl w:val="nil"/>
        </w:tcBorders>
        <w:shd w:val="clear" w:color="auto" w:fill="E6F2FF"/>
      </w:tcPr>
    </w:tblStylePr>
  </w:style>
  <w:style w:type="paragraph" w:styleId="NoSpacing">
    <w:name w:val="No Spacing"/>
    <w:uiPriority w:val="1"/>
    <w:qFormat/>
    <w:rsid w:val="003D1FA7"/>
    <w:rPr>
      <w:sz w:val="22"/>
    </w:rPr>
  </w:style>
  <w:style w:type="character" w:styleId="CommentReference">
    <w:name w:val="annotation reference"/>
    <w:basedOn w:val="DefaultParagraphFont"/>
    <w:uiPriority w:val="99"/>
    <w:semiHidden/>
    <w:unhideWhenUsed/>
    <w:rsid w:val="00CB12F9"/>
    <w:rPr>
      <w:sz w:val="16"/>
      <w:szCs w:val="16"/>
    </w:rPr>
  </w:style>
  <w:style w:type="paragraph" w:styleId="CommentText">
    <w:name w:val="annotation text"/>
    <w:basedOn w:val="Normal"/>
    <w:link w:val="CommentTextChar"/>
    <w:uiPriority w:val="99"/>
    <w:unhideWhenUsed/>
    <w:rsid w:val="00CB12F9"/>
    <w:rPr>
      <w:sz w:val="20"/>
    </w:rPr>
  </w:style>
  <w:style w:type="character" w:customStyle="1" w:styleId="CommentTextChar">
    <w:name w:val="Comment Text Char"/>
    <w:basedOn w:val="DefaultParagraphFont"/>
    <w:link w:val="CommentText"/>
    <w:uiPriority w:val="99"/>
    <w:rsid w:val="00CB12F9"/>
  </w:style>
  <w:style w:type="paragraph" w:styleId="CommentSubject">
    <w:name w:val="annotation subject"/>
    <w:basedOn w:val="CommentText"/>
    <w:next w:val="CommentText"/>
    <w:link w:val="CommentSubjectChar"/>
    <w:uiPriority w:val="99"/>
    <w:semiHidden/>
    <w:unhideWhenUsed/>
    <w:rsid w:val="00CB12F9"/>
    <w:rPr>
      <w:b/>
      <w:bCs/>
    </w:rPr>
  </w:style>
  <w:style w:type="character" w:customStyle="1" w:styleId="CommentSubjectChar">
    <w:name w:val="Comment Subject Char"/>
    <w:basedOn w:val="CommentTextChar"/>
    <w:link w:val="CommentSubject"/>
    <w:uiPriority w:val="99"/>
    <w:semiHidden/>
    <w:rsid w:val="00CB12F9"/>
    <w:rPr>
      <w:b/>
      <w:bCs/>
    </w:rPr>
  </w:style>
  <w:style w:type="paragraph" w:styleId="Caption">
    <w:name w:val="caption"/>
    <w:basedOn w:val="Normal"/>
    <w:next w:val="Normal"/>
    <w:uiPriority w:val="35"/>
    <w:unhideWhenUsed/>
    <w:qFormat/>
    <w:rsid w:val="00FE3C55"/>
    <w:pPr>
      <w:spacing w:before="0" w:after="200"/>
    </w:pPr>
    <w:rPr>
      <w:i/>
      <w:iCs/>
      <w:color w:val="002A54" w:themeColor="text2"/>
      <w:sz w:val="18"/>
      <w:szCs w:val="18"/>
    </w:rPr>
  </w:style>
  <w:style w:type="paragraph" w:styleId="Revision">
    <w:name w:val="Revision"/>
    <w:hidden/>
    <w:uiPriority w:val="99"/>
    <w:semiHidden/>
    <w:rsid w:val="004F4226"/>
    <w:rPr>
      <w:sz w:val="22"/>
    </w:rPr>
  </w:style>
  <w:style w:type="character" w:styleId="Mention">
    <w:name w:val="Mention"/>
    <w:basedOn w:val="DefaultParagraphFont"/>
    <w:uiPriority w:val="99"/>
    <w:unhideWhenUsed/>
    <w:rsid w:val="00E55AC6"/>
    <w:rPr>
      <w:color w:val="2B579A"/>
      <w:shd w:val="clear" w:color="auto" w:fill="E1DFDD"/>
    </w:rPr>
  </w:style>
  <w:style w:type="character" w:styleId="UnresolvedMention">
    <w:name w:val="Unresolved Mention"/>
    <w:basedOn w:val="DefaultParagraphFont"/>
    <w:uiPriority w:val="99"/>
    <w:semiHidden/>
    <w:unhideWhenUsed/>
    <w:rsid w:val="00B37A34"/>
    <w:rPr>
      <w:color w:val="605E5C"/>
      <w:shd w:val="clear" w:color="auto" w:fill="E1DFDD"/>
    </w:rPr>
  </w:style>
  <w:style w:type="paragraph" w:styleId="NormalWeb">
    <w:name w:val="Normal (Web)"/>
    <w:basedOn w:val="Normal"/>
    <w:uiPriority w:val="99"/>
    <w:semiHidden/>
    <w:unhideWhenUsed/>
    <w:rsid w:val="00B8288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117">
      <w:bodyDiv w:val="1"/>
      <w:marLeft w:val="0"/>
      <w:marRight w:val="0"/>
      <w:marTop w:val="0"/>
      <w:marBottom w:val="0"/>
      <w:divBdr>
        <w:top w:val="none" w:sz="0" w:space="0" w:color="auto"/>
        <w:left w:val="none" w:sz="0" w:space="0" w:color="auto"/>
        <w:bottom w:val="none" w:sz="0" w:space="0" w:color="auto"/>
        <w:right w:val="none" w:sz="0" w:space="0" w:color="auto"/>
      </w:divBdr>
    </w:div>
    <w:div w:id="596405393">
      <w:bodyDiv w:val="1"/>
      <w:marLeft w:val="0"/>
      <w:marRight w:val="0"/>
      <w:marTop w:val="0"/>
      <w:marBottom w:val="0"/>
      <w:divBdr>
        <w:top w:val="none" w:sz="0" w:space="0" w:color="auto"/>
        <w:left w:val="none" w:sz="0" w:space="0" w:color="auto"/>
        <w:bottom w:val="none" w:sz="0" w:space="0" w:color="auto"/>
        <w:right w:val="none" w:sz="0" w:space="0" w:color="auto"/>
      </w:divBdr>
    </w:div>
    <w:div w:id="1303537253">
      <w:bodyDiv w:val="1"/>
      <w:marLeft w:val="0"/>
      <w:marRight w:val="0"/>
      <w:marTop w:val="0"/>
      <w:marBottom w:val="0"/>
      <w:divBdr>
        <w:top w:val="none" w:sz="0" w:space="0" w:color="auto"/>
        <w:left w:val="none" w:sz="0" w:space="0" w:color="auto"/>
        <w:bottom w:val="none" w:sz="0" w:space="0" w:color="auto"/>
        <w:right w:val="none" w:sz="0" w:space="0" w:color="auto"/>
      </w:divBdr>
    </w:div>
    <w:div w:id="1624116189">
      <w:bodyDiv w:val="1"/>
      <w:marLeft w:val="0"/>
      <w:marRight w:val="0"/>
      <w:marTop w:val="0"/>
      <w:marBottom w:val="0"/>
      <w:divBdr>
        <w:top w:val="none" w:sz="0" w:space="0" w:color="auto"/>
        <w:left w:val="none" w:sz="0" w:space="0" w:color="auto"/>
        <w:bottom w:val="none" w:sz="0" w:space="0" w:color="auto"/>
        <w:right w:val="none" w:sz="0" w:space="0" w:color="auto"/>
      </w:divBdr>
    </w:div>
    <w:div w:id="1897740009">
      <w:bodyDiv w:val="1"/>
      <w:marLeft w:val="0"/>
      <w:marRight w:val="0"/>
      <w:marTop w:val="0"/>
      <w:marBottom w:val="0"/>
      <w:divBdr>
        <w:top w:val="none" w:sz="0" w:space="0" w:color="auto"/>
        <w:left w:val="none" w:sz="0" w:space="0" w:color="auto"/>
        <w:bottom w:val="none" w:sz="0" w:space="0" w:color="auto"/>
        <w:right w:val="none" w:sz="0" w:space="0" w:color="auto"/>
      </w:divBdr>
    </w:div>
    <w:div w:id="21022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Budget 2026–27 Tax Explainer</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2026–27 Tax Explainer</dc:title>
  <dc:subject>Minimum tax on discretionary trusts</dc:subject>
  <dc:creator>Australian Government</dc:creator>
  <cp:keywords/>
  <cp:lastModifiedBy/>
  <cp:revision>1</cp:revision>
  <dcterms:created xsi:type="dcterms:W3CDTF">2026-05-11T09:50:00Z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2026-05-11T09:53:48Z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2f229b24-54ee-4253-9029-15dd53b43d1c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